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color w:val="auto"/>
          <w:sz w:val="20"/>
          <w:highlight w:val="none"/>
        </w:rPr>
      </w:pPr>
      <w:bookmarkStart w:id="0" w:name="EB8388323710814b63940f4da58e9679e6"/>
      <w:r>
        <w:rPr>
          <w:rFonts w:hint="eastAsia"/>
          <w:color w:val="auto"/>
          <w:sz w:val="20"/>
          <w:highlight w:val="none"/>
        </w:rPr>
        <w:t xml:space="preserve"> </w:t>
      </w:r>
      <w:bookmarkEnd w:id="0"/>
      <w:bookmarkStart w:id="1" w:name="EB8b19b7216b064f94ad4eb0e0ed38afad"/>
      <w:r>
        <w:rPr>
          <w:rFonts w:hint="eastAsia"/>
          <w:color w:val="auto"/>
          <w:sz w:val="20"/>
          <w:highlight w:val="none"/>
        </w:rPr>
        <w:t xml:space="preserve"> </w:t>
      </w:r>
      <w:bookmarkEnd w:id="1"/>
    </w:p>
    <w:p>
      <w:pPr>
        <w:spacing w:line="360" w:lineRule="auto"/>
        <w:jc w:val="center"/>
        <w:rPr>
          <w:rFonts w:hint="eastAsia"/>
          <w:color w:val="auto"/>
          <w:sz w:val="20"/>
          <w:highlight w:val="none"/>
        </w:rPr>
      </w:pPr>
    </w:p>
    <w:p>
      <w:pPr>
        <w:spacing w:line="360" w:lineRule="auto"/>
        <w:jc w:val="center"/>
        <w:rPr>
          <w:rFonts w:ascii="华文中宋" w:hAnsi="华文中宋" w:eastAsia="华文中宋"/>
          <w:color w:val="auto"/>
          <w:spacing w:val="-20"/>
          <w:sz w:val="96"/>
          <w:szCs w:val="96"/>
          <w:highlight w:val="none"/>
        </w:rPr>
      </w:pPr>
      <w:r>
        <w:rPr>
          <w:rFonts w:hint="eastAsia" w:ascii="华文中宋" w:hAnsi="华文中宋" w:eastAsia="华文中宋"/>
          <w:color w:val="auto"/>
          <w:spacing w:val="-20"/>
          <w:sz w:val="96"/>
          <w:szCs w:val="96"/>
          <w:highlight w:val="none"/>
        </w:rPr>
        <w:t>竞争性磋商文件</w:t>
      </w:r>
    </w:p>
    <w:p>
      <w:pPr>
        <w:spacing w:line="360" w:lineRule="auto"/>
        <w:ind w:left="2168" w:leftChars="223" w:hanging="1700" w:hangingChars="500"/>
        <w:rPr>
          <w:rFonts w:ascii="华文中宋" w:hAnsi="华文中宋" w:eastAsia="华文中宋"/>
          <w:color w:val="auto"/>
          <w:spacing w:val="20"/>
          <w:sz w:val="30"/>
          <w:szCs w:val="30"/>
          <w:highlight w:val="none"/>
        </w:rPr>
      </w:pPr>
    </w:p>
    <w:p>
      <w:pPr>
        <w:pStyle w:val="5"/>
        <w:numPr>
          <w:ilvl w:val="1"/>
          <w:numId w:val="0"/>
        </w:numPr>
        <w:ind w:leftChars="0"/>
        <w:rPr>
          <w:color w:val="auto"/>
          <w:highlight w:val="none"/>
        </w:rPr>
      </w:pPr>
    </w:p>
    <w:p>
      <w:pPr>
        <w:tabs>
          <w:tab w:val="left" w:pos="2552"/>
        </w:tabs>
        <w:spacing w:line="360" w:lineRule="auto"/>
        <w:rPr>
          <w:rFonts w:hint="eastAsia" w:ascii="华文中宋" w:hAnsi="华文中宋" w:eastAsia="华文中宋"/>
          <w:color w:val="auto"/>
          <w:sz w:val="32"/>
          <w:szCs w:val="32"/>
          <w:highlight w:val="none"/>
          <w:lang w:val="en-US" w:eastAsia="zh-CN"/>
        </w:rPr>
      </w:pPr>
      <w:r>
        <w:rPr>
          <w:rFonts w:hint="eastAsia" w:ascii="华文中宋" w:hAnsi="华文中宋" w:eastAsia="华文中宋"/>
          <w:color w:val="auto"/>
          <w:sz w:val="32"/>
          <w:szCs w:val="32"/>
          <w:highlight w:val="none"/>
        </w:rPr>
        <w:t>项目名称：成都市温江区教育局特教学校功能室设备采购</w:t>
      </w:r>
      <w:r>
        <w:rPr>
          <w:rFonts w:hint="eastAsia" w:ascii="华文中宋" w:hAnsi="华文中宋" w:eastAsia="华文中宋"/>
          <w:color w:val="auto"/>
          <w:sz w:val="32"/>
          <w:szCs w:val="32"/>
          <w:highlight w:val="none"/>
          <w:lang w:val="en-US" w:eastAsia="zh-CN"/>
        </w:rPr>
        <w:t>项目</w:t>
      </w:r>
    </w:p>
    <w:p>
      <w:pPr>
        <w:tabs>
          <w:tab w:val="left" w:pos="2552"/>
        </w:tabs>
        <w:spacing w:line="360" w:lineRule="auto"/>
        <w:rPr>
          <w:rFonts w:hint="eastAsia" w:ascii="华文中宋" w:hAnsi="华文中宋" w:eastAsia="华文中宋"/>
          <w:color w:val="auto"/>
          <w:spacing w:val="110"/>
          <w:sz w:val="32"/>
          <w:szCs w:val="32"/>
          <w:highlight w:val="none"/>
          <w:lang w:eastAsia="zh-CN"/>
        </w:rPr>
      </w:pPr>
      <w:r>
        <w:rPr>
          <w:rFonts w:hint="eastAsia" w:ascii="华文中宋" w:hAnsi="华文中宋" w:eastAsia="华文中宋"/>
          <w:color w:val="auto"/>
          <w:sz w:val="32"/>
          <w:szCs w:val="32"/>
          <w:highlight w:val="none"/>
        </w:rPr>
        <w:t xml:space="preserve">项目编号: </w:t>
      </w:r>
      <w:r>
        <w:rPr>
          <w:rFonts w:hint="eastAsia" w:ascii="华文中宋" w:hAnsi="华文中宋" w:eastAsia="华文中宋"/>
          <w:color w:val="auto"/>
          <w:sz w:val="32"/>
          <w:szCs w:val="32"/>
          <w:highlight w:val="none"/>
          <w:lang w:eastAsia="zh-CN"/>
        </w:rPr>
        <w:t>温江政采（2021）A0047号</w:t>
      </w:r>
    </w:p>
    <w:p>
      <w:pPr>
        <w:spacing w:line="360" w:lineRule="auto"/>
        <w:ind w:left="2123" w:leftChars="336" w:hanging="1417" w:hangingChars="443"/>
        <w:rPr>
          <w:rFonts w:ascii="华文中宋" w:hAnsi="华文中宋" w:eastAsia="华文中宋"/>
          <w:color w:val="auto"/>
          <w:sz w:val="32"/>
          <w:szCs w:val="32"/>
          <w:highlight w:val="none"/>
        </w:rPr>
      </w:pPr>
    </w:p>
    <w:p>
      <w:pPr>
        <w:tabs>
          <w:tab w:val="left" w:pos="2552"/>
        </w:tabs>
        <w:spacing w:line="360" w:lineRule="auto"/>
        <w:ind w:firstLine="2392" w:firstLineChars="443"/>
        <w:rPr>
          <w:rFonts w:ascii="华文中宋" w:hAnsi="华文中宋" w:eastAsia="华文中宋"/>
          <w:color w:val="auto"/>
          <w:spacing w:val="110"/>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kern w:val="24"/>
          <w:sz w:val="32"/>
          <w:szCs w:val="32"/>
          <w:highlight w:val="none"/>
        </w:rPr>
      </w:pPr>
    </w:p>
    <w:p>
      <w:pPr>
        <w:spacing w:line="360" w:lineRule="auto"/>
        <w:jc w:val="center"/>
        <w:rPr>
          <w:rFonts w:hint="eastAsia" w:ascii="华文中宋" w:hAnsi="华文中宋" w:eastAsia="华文中宋"/>
          <w:color w:val="auto"/>
          <w:sz w:val="32"/>
          <w:szCs w:val="32"/>
          <w:highlight w:val="none"/>
          <w:lang w:val="en-US" w:eastAsia="zh-CN"/>
        </w:rPr>
      </w:pPr>
      <w:r>
        <w:rPr>
          <w:rFonts w:hint="eastAsia" w:ascii="华文中宋" w:hAnsi="华文中宋" w:eastAsia="华文中宋"/>
          <w:color w:val="auto"/>
          <w:sz w:val="32"/>
          <w:szCs w:val="32"/>
          <w:highlight w:val="none"/>
        </w:rPr>
        <w:t>成都市温江区教育局</w:t>
      </w:r>
      <w:r>
        <w:rPr>
          <w:rFonts w:hint="eastAsia" w:ascii="华文中宋" w:hAnsi="华文中宋" w:eastAsia="华文中宋"/>
          <w:color w:val="auto"/>
          <w:sz w:val="32"/>
          <w:szCs w:val="32"/>
          <w:highlight w:val="none"/>
          <w:lang w:val="en-US" w:eastAsia="zh-CN"/>
        </w:rPr>
        <w:t>、</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成都市</w:t>
      </w:r>
      <w:r>
        <w:rPr>
          <w:rFonts w:hint="eastAsia" w:ascii="华文中宋" w:hAnsi="华文中宋" w:eastAsia="华文中宋"/>
          <w:color w:val="auto"/>
          <w:sz w:val="32"/>
          <w:szCs w:val="32"/>
          <w:highlight w:val="none"/>
          <w:lang w:val="en-US" w:eastAsia="zh-CN"/>
        </w:rPr>
        <w:t>温江区</w:t>
      </w:r>
      <w:r>
        <w:rPr>
          <w:rFonts w:hint="eastAsia" w:ascii="华文中宋" w:hAnsi="华文中宋" w:eastAsia="华文中宋"/>
          <w:color w:val="auto"/>
          <w:sz w:val="32"/>
          <w:szCs w:val="32"/>
          <w:highlight w:val="none"/>
        </w:rPr>
        <w:t>公共资源交易服务中心</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jc w:val="center"/>
        <w:rPr>
          <w:rFonts w:hint="eastAsia"/>
          <w:color w:val="auto"/>
          <w:highlight w:val="none"/>
        </w:rPr>
      </w:pPr>
      <w:r>
        <w:rPr>
          <w:rFonts w:hint="eastAsia" w:ascii="华文中宋" w:hAnsi="华文中宋" w:eastAsia="华文中宋"/>
          <w:color w:val="auto"/>
          <w:sz w:val="32"/>
          <w:szCs w:val="32"/>
          <w:highlight w:val="none"/>
        </w:rPr>
        <w:t>二○二一年</w:t>
      </w:r>
      <w:r>
        <w:rPr>
          <w:rFonts w:hint="eastAsia" w:ascii="华文中宋" w:hAnsi="华文中宋" w:eastAsia="华文中宋"/>
          <w:color w:val="auto"/>
          <w:sz w:val="32"/>
          <w:szCs w:val="32"/>
          <w:highlight w:val="none"/>
          <w:lang w:val="en-US" w:eastAsia="zh-CN"/>
        </w:rPr>
        <w:t>九</w:t>
      </w:r>
      <w:r>
        <w:rPr>
          <w:rFonts w:hint="eastAsia" w:ascii="华文中宋" w:hAnsi="华文中宋" w:eastAsia="华文中宋"/>
          <w:color w:val="auto"/>
          <w:sz w:val="32"/>
          <w:szCs w:val="32"/>
          <w:highlight w:val="none"/>
        </w:rPr>
        <w:t>月</w:t>
      </w:r>
      <w:r>
        <w:rPr>
          <w:rFonts w:ascii="华文中宋" w:hAnsi="华文中宋" w:eastAsia="华文中宋"/>
          <w:bCs/>
          <w:color w:val="auto"/>
          <w:sz w:val="36"/>
          <w:szCs w:val="36"/>
          <w:highlight w:val="none"/>
        </w:rPr>
        <w:br w:type="page"/>
      </w:r>
    </w:p>
    <w:p>
      <w:pPr>
        <w:keepNext w:val="0"/>
        <w:keepLines w:val="0"/>
        <w:pageBreakBefore w:val="0"/>
        <w:kinsoku/>
        <w:wordWrap/>
        <w:overflowPunct/>
        <w:topLinePunct w:val="0"/>
        <w:autoSpaceDE/>
        <w:autoSpaceDN/>
        <w:bidi w:val="0"/>
        <w:adjustRightInd/>
        <w:snapToGrid/>
        <w:spacing w:line="280" w:lineRule="exact"/>
        <w:jc w:val="center"/>
        <w:textAlignment w:val="auto"/>
        <w:rPr>
          <w:color w:val="auto"/>
          <w:highlight w:val="none"/>
          <w:lang w:val="zh-CN"/>
        </w:rPr>
      </w:pPr>
      <w:r>
        <w:rPr>
          <w:color w:val="auto"/>
          <w:highlight w:val="none"/>
          <w:lang w:val="zh-CN"/>
        </w:rPr>
        <w:t>目</w:t>
      </w:r>
      <w:r>
        <w:rPr>
          <w:rFonts w:hint="eastAsia"/>
          <w:color w:val="auto"/>
          <w:highlight w:val="none"/>
          <w:lang w:val="zh-CN"/>
        </w:rPr>
        <w:t xml:space="preserve">  </w:t>
      </w:r>
      <w:r>
        <w:rPr>
          <w:color w:val="auto"/>
          <w:highlight w:val="none"/>
          <w:lang w:val="zh-CN"/>
        </w:rPr>
        <w:t>录</w:t>
      </w:r>
    </w:p>
    <w:p>
      <w:pPr>
        <w:pStyle w:val="14"/>
        <w:tabs>
          <w:tab w:val="right" w:leader="dot" w:pos="9214"/>
          <w:tab w:val="clear" w:pos="840"/>
          <w:tab w:val="clear" w:pos="9204"/>
        </w:tabs>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highlight w:val="none"/>
        </w:rPr>
        <w:instrText xml:space="preserve"> HYPERLINK \l _Toc13772 </w:instrText>
      </w:r>
      <w:r>
        <w:rPr>
          <w:highlight w:val="none"/>
        </w:rPr>
        <w:fldChar w:fldCharType="separate"/>
      </w:r>
      <w:r>
        <w:rPr>
          <w:rFonts w:hint="eastAsia"/>
          <w:highlight w:val="none"/>
        </w:rPr>
        <w:t>第1章 竞争性磋商邀请</w:t>
      </w:r>
      <w:r>
        <w:tab/>
      </w:r>
      <w:r>
        <w:fldChar w:fldCharType="begin"/>
      </w:r>
      <w:r>
        <w:instrText xml:space="preserve"> PAGEREF _Toc13772 \h </w:instrText>
      </w:r>
      <w:r>
        <w:fldChar w:fldCharType="separate"/>
      </w:r>
      <w:r>
        <w:t>6</w:t>
      </w:r>
      <w:r>
        <w:fldChar w:fldCharType="end"/>
      </w:r>
      <w:r>
        <w:rPr>
          <w:color w:val="auto"/>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_Toc4977 </w:instrText>
      </w:r>
      <w:r>
        <w:rPr>
          <w:szCs w:val="20"/>
          <w:highlight w:val="none"/>
        </w:rPr>
        <w:fldChar w:fldCharType="separate"/>
      </w:r>
      <w:r>
        <w:rPr>
          <w:rFonts w:hint="eastAsia"/>
          <w:highlight w:val="none"/>
        </w:rPr>
        <w:t>第2章 供应商须知</w:t>
      </w:r>
      <w:r>
        <w:tab/>
      </w:r>
      <w:r>
        <w:fldChar w:fldCharType="begin"/>
      </w:r>
      <w:r>
        <w:instrText xml:space="preserve"> PAGEREF _Toc4977 \h </w:instrText>
      </w:r>
      <w:r>
        <w:fldChar w:fldCharType="separate"/>
      </w:r>
      <w:r>
        <w:t>20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_Toc4908 </w:instrText>
      </w:r>
      <w:r>
        <w:rPr>
          <w:szCs w:val="20"/>
          <w:highlight w:val="none"/>
        </w:rPr>
        <w:fldChar w:fldCharType="separate"/>
      </w:r>
      <w:r>
        <w:rPr>
          <w:rFonts w:hint="eastAsia"/>
          <w:highlight w:val="none"/>
        </w:rPr>
        <w:t>2.1供应商须知前附表</w:t>
      </w:r>
      <w:r>
        <w:tab/>
      </w:r>
      <w:r>
        <w:fldChar w:fldCharType="begin"/>
      </w:r>
      <w:r>
        <w:instrText xml:space="preserve"> PAGEREF _Toc4908 \h </w:instrText>
      </w:r>
      <w:r>
        <w:fldChar w:fldCharType="separate"/>
      </w:r>
      <w:r>
        <w:t>20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_Toc16489 </w:instrText>
      </w:r>
      <w:r>
        <w:rPr>
          <w:szCs w:val="20"/>
          <w:highlight w:val="none"/>
        </w:rPr>
        <w:fldChar w:fldCharType="separate"/>
      </w:r>
      <w:r>
        <w:rPr>
          <w:rFonts w:hint="eastAsia"/>
          <w:highlight w:val="none"/>
        </w:rPr>
        <w:t>2.2总则</w:t>
      </w:r>
      <w:r>
        <w:tab/>
      </w:r>
      <w:r>
        <w:fldChar w:fldCharType="begin"/>
      </w:r>
      <w:r>
        <w:instrText xml:space="preserve"> PAGEREF _Toc16489 \h </w:instrText>
      </w:r>
      <w:r>
        <w:fldChar w:fldCharType="separate"/>
      </w:r>
      <w:r>
        <w:t>24</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_Toc4117 </w:instrText>
      </w:r>
      <w:r>
        <w:rPr>
          <w:szCs w:val="20"/>
          <w:highlight w:val="none"/>
        </w:rPr>
        <w:fldChar w:fldCharType="separate"/>
      </w:r>
      <w:r>
        <w:rPr>
          <w:rFonts w:hint="eastAsia"/>
          <w:highlight w:val="none"/>
        </w:rPr>
        <w:t>2.2.1适用范围</w:t>
      </w:r>
      <w:r>
        <w:tab/>
      </w:r>
      <w:r>
        <w:fldChar w:fldCharType="begin"/>
      </w:r>
      <w:r>
        <w:instrText xml:space="preserve"> PAGEREF _Toc4117 \h </w:instrText>
      </w:r>
      <w:r>
        <w:fldChar w:fldCharType="separate"/>
      </w:r>
      <w:r>
        <w:t>24</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_Toc17628 </w:instrText>
      </w:r>
      <w:r>
        <w:rPr>
          <w:szCs w:val="20"/>
          <w:highlight w:val="none"/>
        </w:rPr>
        <w:fldChar w:fldCharType="separate"/>
      </w:r>
      <w:r>
        <w:rPr>
          <w:rFonts w:hint="eastAsia"/>
          <w:highlight w:val="none"/>
        </w:rPr>
        <w:t>2.2.2有关定义</w:t>
      </w:r>
      <w:r>
        <w:tab/>
      </w:r>
      <w:r>
        <w:fldChar w:fldCharType="begin"/>
      </w:r>
      <w:r>
        <w:instrText xml:space="preserve"> PAGEREF _Toc17628 \h </w:instrText>
      </w:r>
      <w:r>
        <w:fldChar w:fldCharType="separate"/>
      </w:r>
      <w:r>
        <w:t>24</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_Toc32087 </w:instrText>
      </w:r>
      <w:r>
        <w:rPr>
          <w:szCs w:val="20"/>
          <w:highlight w:val="none"/>
        </w:rPr>
        <w:fldChar w:fldCharType="separate"/>
      </w:r>
      <w:r>
        <w:rPr>
          <w:rFonts w:hint="eastAsia"/>
          <w:highlight w:val="none"/>
        </w:rPr>
        <w:t>2.2.3合格的供应商</w:t>
      </w:r>
      <w:r>
        <w:tab/>
      </w:r>
      <w:r>
        <w:fldChar w:fldCharType="begin"/>
      </w:r>
      <w:r>
        <w:instrText xml:space="preserve"> PAGEREF _Toc32087 \h </w:instrText>
      </w:r>
      <w:r>
        <w:fldChar w:fldCharType="separate"/>
      </w:r>
      <w:r>
        <w:t>24</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_Toc18663 </w:instrText>
      </w:r>
      <w:r>
        <w:rPr>
          <w:szCs w:val="20"/>
          <w:highlight w:val="none"/>
        </w:rPr>
        <w:fldChar w:fldCharType="separate"/>
      </w:r>
      <w:r>
        <w:rPr>
          <w:rFonts w:hint="eastAsia"/>
          <w:highlight w:val="none"/>
        </w:rPr>
        <w:t>2.2.4参加竞争性磋商的费用</w:t>
      </w:r>
      <w:r>
        <w:tab/>
      </w:r>
      <w:r>
        <w:fldChar w:fldCharType="begin"/>
      </w:r>
      <w:r>
        <w:instrText xml:space="preserve"> PAGEREF _Toc18663 \h </w:instrText>
      </w:r>
      <w:r>
        <w:fldChar w:fldCharType="separate"/>
      </w:r>
      <w:r>
        <w:t>25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_Toc23267 </w:instrText>
      </w:r>
      <w:r>
        <w:rPr>
          <w:szCs w:val="20"/>
          <w:highlight w:val="none"/>
        </w:rPr>
        <w:fldChar w:fldCharType="separate"/>
      </w:r>
      <w:r>
        <w:rPr>
          <w:rFonts w:hint="eastAsia"/>
          <w:highlight w:val="none"/>
        </w:rPr>
        <w:t>2.2.5充分、公平竞争保障措施</w:t>
      </w:r>
      <w:r>
        <w:tab/>
      </w:r>
      <w:r>
        <w:fldChar w:fldCharType="begin"/>
      </w:r>
      <w:r>
        <w:instrText xml:space="preserve"> PAGEREF _Toc23267 \h </w:instrText>
      </w:r>
      <w:r>
        <w:fldChar w:fldCharType="separate"/>
      </w:r>
      <w:r>
        <w:t>25</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_Toc3032 </w:instrText>
      </w:r>
      <w:r>
        <w:rPr>
          <w:szCs w:val="20"/>
          <w:highlight w:val="none"/>
        </w:rPr>
        <w:fldChar w:fldCharType="separate"/>
      </w:r>
      <w:r>
        <w:rPr>
          <w:rFonts w:hint="eastAsia"/>
          <w:highlight w:val="none"/>
        </w:rPr>
        <w:t>2.3磋商文件</w:t>
      </w:r>
      <w:r>
        <w:tab/>
      </w:r>
      <w:r>
        <w:fldChar w:fldCharType="begin"/>
      </w:r>
      <w:r>
        <w:instrText xml:space="preserve"> PAGEREF _Toc3032 \h </w:instrText>
      </w:r>
      <w:r>
        <w:fldChar w:fldCharType="separate"/>
      </w:r>
      <w:r>
        <w:t>25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_Toc13675 </w:instrText>
      </w:r>
      <w:r>
        <w:rPr>
          <w:szCs w:val="20"/>
          <w:highlight w:val="none"/>
        </w:rPr>
        <w:fldChar w:fldCharType="separate"/>
      </w:r>
      <w:r>
        <w:rPr>
          <w:rFonts w:hint="eastAsia"/>
          <w:highlight w:val="none"/>
        </w:rPr>
        <w:t>2.3.1磋商文件的构成</w:t>
      </w:r>
      <w:r>
        <w:tab/>
      </w:r>
      <w:r>
        <w:fldChar w:fldCharType="begin"/>
      </w:r>
      <w:r>
        <w:instrText xml:space="preserve"> PAGEREF _Toc13675 \h </w:instrText>
      </w:r>
      <w:r>
        <w:fldChar w:fldCharType="separate"/>
      </w:r>
      <w:r>
        <w:t>25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_Toc28624 </w:instrText>
      </w:r>
      <w:r>
        <w:rPr>
          <w:szCs w:val="20"/>
          <w:highlight w:val="none"/>
        </w:rPr>
        <w:fldChar w:fldCharType="separate"/>
      </w:r>
      <w:r>
        <w:rPr>
          <w:rFonts w:hint="eastAsia"/>
          <w:highlight w:val="none"/>
        </w:rPr>
        <w:t>2.3.2磋商文件的澄清和修改</w:t>
      </w:r>
      <w:r>
        <w:tab/>
      </w:r>
      <w:r>
        <w:fldChar w:fldCharType="begin"/>
      </w:r>
      <w:r>
        <w:instrText xml:space="preserve"> PAGEREF _Toc28624 \h </w:instrText>
      </w:r>
      <w:r>
        <w:fldChar w:fldCharType="separate"/>
      </w:r>
      <w:r>
        <w:t>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_Toc5622 </w:instrText>
      </w:r>
      <w:r>
        <w:rPr>
          <w:szCs w:val="20"/>
          <w:highlight w:val="none"/>
        </w:rPr>
        <w:fldChar w:fldCharType="separate"/>
      </w:r>
      <w:r>
        <w:rPr>
          <w:rFonts w:hint="eastAsia"/>
          <w:highlight w:val="none"/>
        </w:rPr>
        <w:t>2.4.1响应文件的语言</w:t>
      </w:r>
      <w:r>
        <w:tab/>
      </w:r>
      <w:r>
        <w:fldChar w:fldCharType="begin"/>
      </w:r>
      <w:r>
        <w:instrText xml:space="preserve"> PAGEREF _Toc5622 \h </w:instrText>
      </w:r>
      <w:r>
        <w:fldChar w:fldCharType="separate"/>
      </w:r>
      <w:r>
        <w:t>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_Toc29562 </w:instrText>
      </w:r>
      <w:r>
        <w:rPr>
          <w:szCs w:val="20"/>
          <w:highlight w:val="none"/>
        </w:rPr>
        <w:fldChar w:fldCharType="separate"/>
      </w:r>
      <w:r>
        <w:rPr>
          <w:rFonts w:hint="eastAsia"/>
          <w:highlight w:val="none"/>
        </w:rPr>
        <w:t>2.4.2计量单位</w:t>
      </w:r>
      <w:r>
        <w:tab/>
      </w:r>
      <w:r>
        <w:fldChar w:fldCharType="begin"/>
      </w:r>
      <w:r>
        <w:instrText xml:space="preserve"> PAGEREF _Toc29562 \h </w:instrText>
      </w:r>
      <w:r>
        <w:fldChar w:fldCharType="separate"/>
      </w:r>
      <w:r>
        <w:t>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_Toc15163 </w:instrText>
      </w:r>
      <w:r>
        <w:rPr>
          <w:szCs w:val="20"/>
          <w:highlight w:val="none"/>
        </w:rPr>
        <w:fldChar w:fldCharType="separate"/>
      </w:r>
      <w:r>
        <w:rPr>
          <w:rFonts w:hint="eastAsia"/>
          <w:highlight w:val="none"/>
        </w:rPr>
        <w:t>2.4.</w:t>
      </w:r>
      <w:r>
        <w:rPr>
          <w:rFonts w:hint="eastAsia"/>
          <w:highlight w:val="none"/>
          <w:lang w:val="en-US" w:eastAsia="zh-CN"/>
        </w:rPr>
        <w:t>3</w:t>
      </w:r>
      <w:r>
        <w:rPr>
          <w:rFonts w:hint="eastAsia"/>
          <w:highlight w:val="none"/>
        </w:rPr>
        <w:t>联合体</w:t>
      </w:r>
      <w:r>
        <w:tab/>
      </w:r>
      <w:r>
        <w:fldChar w:fldCharType="begin"/>
      </w:r>
      <w:r>
        <w:instrText xml:space="preserve"> PAGEREF _Toc15163 \h </w:instrText>
      </w:r>
      <w:r>
        <w:fldChar w:fldCharType="separate"/>
      </w:r>
      <w:r>
        <w:t>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_Toc4737 </w:instrText>
      </w:r>
      <w:r>
        <w:rPr>
          <w:szCs w:val="20"/>
          <w:highlight w:val="none"/>
        </w:rPr>
        <w:fldChar w:fldCharType="separate"/>
      </w:r>
      <w:r>
        <w:rPr>
          <w:rFonts w:hint="eastAsia"/>
          <w:highlight w:val="none"/>
        </w:rPr>
        <w:t>2.4.</w:t>
      </w:r>
      <w:r>
        <w:rPr>
          <w:rFonts w:hint="eastAsia"/>
          <w:highlight w:val="none"/>
          <w:lang w:val="en-US" w:eastAsia="zh-CN"/>
        </w:rPr>
        <w:t>4</w:t>
      </w:r>
      <w:r>
        <w:rPr>
          <w:rFonts w:hint="eastAsia"/>
          <w:highlight w:val="none"/>
        </w:rPr>
        <w:t>知识产权</w:t>
      </w:r>
      <w:r>
        <w:tab/>
      </w:r>
      <w:r>
        <w:fldChar w:fldCharType="begin"/>
      </w:r>
      <w:r>
        <w:instrText xml:space="preserve"> PAGEREF _Toc4737 \h </w:instrText>
      </w:r>
      <w:r>
        <w:fldChar w:fldCharType="separate"/>
      </w:r>
      <w:r>
        <w:t>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_Toc21188 </w:instrText>
      </w:r>
      <w:r>
        <w:rPr>
          <w:szCs w:val="20"/>
          <w:highlight w:val="none"/>
        </w:rPr>
        <w:fldChar w:fldCharType="separate"/>
      </w:r>
      <w:r>
        <w:rPr>
          <w:rFonts w:hint="eastAsia"/>
          <w:highlight w:val="none"/>
        </w:rPr>
        <w:t>2.4.</w:t>
      </w:r>
      <w:r>
        <w:rPr>
          <w:rFonts w:hint="eastAsia"/>
          <w:highlight w:val="none"/>
          <w:lang w:val="en-US" w:eastAsia="zh-CN"/>
        </w:rPr>
        <w:t>5</w:t>
      </w:r>
      <w:r>
        <w:rPr>
          <w:rFonts w:hint="eastAsia"/>
          <w:highlight w:val="none"/>
        </w:rPr>
        <w:t>响应文件的组成</w:t>
      </w:r>
      <w:r>
        <w:tab/>
      </w:r>
      <w:r>
        <w:fldChar w:fldCharType="begin"/>
      </w:r>
      <w:r>
        <w:instrText xml:space="preserve"> PAGEREF _Toc21188 \h </w:instrText>
      </w:r>
      <w:r>
        <w:fldChar w:fldCharType="separate"/>
      </w:r>
      <w:r>
        <w:t>27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_Toc2728 </w:instrText>
      </w:r>
      <w:r>
        <w:rPr>
          <w:szCs w:val="20"/>
          <w:highlight w:val="none"/>
        </w:rPr>
        <w:fldChar w:fldCharType="separate"/>
      </w:r>
      <w:r>
        <w:rPr>
          <w:rFonts w:hint="eastAsia"/>
          <w:highlight w:val="none"/>
        </w:rPr>
        <w:t>2.4.</w:t>
      </w:r>
      <w:r>
        <w:rPr>
          <w:rFonts w:hint="eastAsia"/>
          <w:highlight w:val="none"/>
          <w:lang w:val="en-US" w:eastAsia="zh-CN"/>
        </w:rPr>
        <w:t>6</w:t>
      </w:r>
      <w:r>
        <w:rPr>
          <w:rFonts w:hint="eastAsia"/>
          <w:highlight w:val="none"/>
        </w:rPr>
        <w:t>响应文件格式</w:t>
      </w:r>
      <w:r>
        <w:tab/>
      </w:r>
      <w:r>
        <w:fldChar w:fldCharType="begin"/>
      </w:r>
      <w:r>
        <w:instrText xml:space="preserve"> PAGEREF _Toc2728 \h </w:instrText>
      </w:r>
      <w:r>
        <w:fldChar w:fldCharType="separate"/>
      </w:r>
      <w:r>
        <w:t>28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_Toc22562 </w:instrText>
      </w:r>
      <w:r>
        <w:rPr>
          <w:szCs w:val="20"/>
          <w:highlight w:val="none"/>
        </w:rPr>
        <w:fldChar w:fldCharType="separate"/>
      </w:r>
      <w:r>
        <w:rPr>
          <w:rFonts w:hint="eastAsia"/>
          <w:highlight w:val="none"/>
        </w:rPr>
        <w:t>2.4.</w:t>
      </w:r>
      <w:r>
        <w:rPr>
          <w:rFonts w:hint="eastAsia"/>
          <w:highlight w:val="none"/>
          <w:lang w:val="en-US" w:eastAsia="zh-CN"/>
        </w:rPr>
        <w:t>7</w:t>
      </w:r>
      <w:r>
        <w:rPr>
          <w:rFonts w:hint="eastAsia"/>
          <w:highlight w:val="none"/>
        </w:rPr>
        <w:t>报价</w:t>
      </w:r>
      <w:r>
        <w:tab/>
      </w:r>
      <w:r>
        <w:fldChar w:fldCharType="begin"/>
      </w:r>
      <w:r>
        <w:instrText xml:space="preserve"> PAGEREF _Toc22562 \h </w:instrText>
      </w:r>
      <w:r>
        <w:fldChar w:fldCharType="separate"/>
      </w:r>
      <w:r>
        <w:t>28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_Toc12979 </w:instrText>
      </w:r>
      <w:r>
        <w:rPr>
          <w:szCs w:val="20"/>
          <w:highlight w:val="none"/>
        </w:rPr>
        <w:fldChar w:fldCharType="separate"/>
      </w:r>
      <w:r>
        <w:rPr>
          <w:rFonts w:hint="eastAsia"/>
          <w:highlight w:val="none"/>
        </w:rPr>
        <w:t>2.4.</w:t>
      </w:r>
      <w:r>
        <w:rPr>
          <w:rFonts w:hint="eastAsia"/>
          <w:highlight w:val="none"/>
          <w:lang w:val="en-US" w:eastAsia="zh-CN"/>
        </w:rPr>
        <w:t>8</w:t>
      </w:r>
      <w:r>
        <w:rPr>
          <w:rFonts w:hint="eastAsia"/>
          <w:highlight w:val="none"/>
        </w:rPr>
        <w:t>磋商保证金</w:t>
      </w:r>
      <w:r>
        <w:tab/>
      </w:r>
      <w:r>
        <w:fldChar w:fldCharType="begin"/>
      </w:r>
      <w:r>
        <w:instrText xml:space="preserve"> PAGEREF _Toc12979 \h </w:instrText>
      </w:r>
      <w:r>
        <w:fldChar w:fldCharType="separate"/>
      </w:r>
      <w:r>
        <w:t>28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_Toc12982 </w:instrText>
      </w:r>
      <w:r>
        <w:rPr>
          <w:szCs w:val="20"/>
          <w:highlight w:val="none"/>
        </w:rPr>
        <w:fldChar w:fldCharType="separate"/>
      </w:r>
      <w:r>
        <w:rPr>
          <w:rFonts w:hint="eastAsia"/>
          <w:highlight w:val="none"/>
        </w:rPr>
        <w:t>2.4.</w:t>
      </w:r>
      <w:r>
        <w:rPr>
          <w:rFonts w:hint="eastAsia"/>
          <w:highlight w:val="none"/>
          <w:lang w:val="en-US" w:eastAsia="zh-CN"/>
        </w:rPr>
        <w:t>9</w:t>
      </w:r>
      <w:r>
        <w:rPr>
          <w:rFonts w:hint="eastAsia"/>
          <w:highlight w:val="none"/>
        </w:rPr>
        <w:t>响应文件有效期</w:t>
      </w:r>
      <w:r>
        <w:tab/>
      </w:r>
      <w:r>
        <w:fldChar w:fldCharType="begin"/>
      </w:r>
      <w:r>
        <w:instrText xml:space="preserve"> PAGEREF _Toc12982 \h </w:instrText>
      </w:r>
      <w:r>
        <w:fldChar w:fldCharType="separate"/>
      </w:r>
      <w:r>
        <w:t>28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_Toc14718 </w:instrText>
      </w:r>
      <w:r>
        <w:rPr>
          <w:szCs w:val="20"/>
          <w:highlight w:val="none"/>
        </w:rPr>
        <w:fldChar w:fldCharType="separate"/>
      </w:r>
      <w:r>
        <w:rPr>
          <w:rFonts w:hint="eastAsia"/>
          <w:highlight w:val="none"/>
        </w:rPr>
        <w:t>2.4.</w:t>
      </w:r>
      <w:r>
        <w:rPr>
          <w:rFonts w:hint="eastAsia"/>
          <w:highlight w:val="none"/>
          <w:lang w:val="en-US" w:eastAsia="zh-CN"/>
        </w:rPr>
        <w:t>10</w:t>
      </w:r>
      <w:r>
        <w:rPr>
          <w:rFonts w:hint="eastAsia"/>
          <w:highlight w:val="none"/>
        </w:rPr>
        <w:t>响应文件的</w:t>
      </w:r>
      <w:r>
        <w:rPr>
          <w:rFonts w:hint="eastAsia"/>
          <w:highlight w:val="none"/>
          <w:lang w:eastAsia="zh-CN"/>
        </w:rPr>
        <w:t>制作、签章和加密</w:t>
      </w:r>
      <w:r>
        <w:tab/>
      </w:r>
      <w:r>
        <w:fldChar w:fldCharType="begin"/>
      </w:r>
      <w:r>
        <w:instrText xml:space="preserve"> PAGEREF _Toc14718 \h </w:instrText>
      </w:r>
      <w:r>
        <w:fldChar w:fldCharType="separate"/>
      </w:r>
      <w:r>
        <w:t>29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_Toc11999 </w:instrText>
      </w:r>
      <w:r>
        <w:rPr>
          <w:szCs w:val="20"/>
          <w:highlight w:val="none"/>
        </w:rPr>
        <w:fldChar w:fldCharType="separate"/>
      </w:r>
      <w:r>
        <w:rPr>
          <w:rFonts w:hint="eastAsia"/>
          <w:highlight w:val="none"/>
        </w:rPr>
        <w:t>2.4.</w:t>
      </w:r>
      <w:r>
        <w:rPr>
          <w:rFonts w:hint="eastAsia"/>
          <w:highlight w:val="none"/>
          <w:lang w:val="en-US" w:eastAsia="zh-CN"/>
        </w:rPr>
        <w:t>11</w:t>
      </w:r>
      <w:r>
        <w:rPr>
          <w:rFonts w:hint="eastAsia"/>
          <w:highlight w:val="none"/>
        </w:rPr>
        <w:t>响应文件的</w:t>
      </w:r>
      <w:r>
        <w:rPr>
          <w:rFonts w:hint="eastAsia"/>
          <w:szCs w:val="24"/>
          <w:highlight w:val="none"/>
          <w:lang w:eastAsia="zh-CN"/>
        </w:rPr>
        <w:t>递交</w:t>
      </w:r>
      <w:r>
        <w:tab/>
      </w:r>
      <w:r>
        <w:fldChar w:fldCharType="begin"/>
      </w:r>
      <w:r>
        <w:instrText xml:space="preserve"> PAGEREF _Toc11999 \h </w:instrText>
      </w:r>
      <w:r>
        <w:fldChar w:fldCharType="separate"/>
      </w:r>
      <w:r>
        <w:t>29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_Toc5885 </w:instrText>
      </w:r>
      <w:r>
        <w:rPr>
          <w:szCs w:val="20"/>
          <w:highlight w:val="none"/>
        </w:rPr>
        <w:fldChar w:fldCharType="separate"/>
      </w:r>
      <w:r>
        <w:rPr>
          <w:rFonts w:hint="eastAsia"/>
          <w:highlight w:val="none"/>
        </w:rPr>
        <w:t>2.4.1</w:t>
      </w:r>
      <w:r>
        <w:rPr>
          <w:rFonts w:hint="eastAsia"/>
          <w:highlight w:val="none"/>
          <w:lang w:val="en-US" w:eastAsia="zh-CN"/>
        </w:rPr>
        <w:t>2</w:t>
      </w:r>
      <w:r>
        <w:rPr>
          <w:rFonts w:hint="eastAsia"/>
          <w:highlight w:val="none"/>
        </w:rPr>
        <w:t>响应文件的补充、修改和撤回</w:t>
      </w:r>
      <w:r>
        <w:tab/>
      </w:r>
      <w:r>
        <w:fldChar w:fldCharType="begin"/>
      </w:r>
      <w:r>
        <w:instrText xml:space="preserve"> PAGEREF _Toc5885 \h </w:instrText>
      </w:r>
      <w:r>
        <w:fldChar w:fldCharType="separate"/>
      </w:r>
      <w:r>
        <w:t>30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_Toc5523 </w:instrText>
      </w:r>
      <w:r>
        <w:rPr>
          <w:szCs w:val="20"/>
          <w:highlight w:val="none"/>
        </w:rPr>
        <w:fldChar w:fldCharType="separate"/>
      </w:r>
      <w:r>
        <w:rPr>
          <w:rFonts w:hint="eastAsia"/>
          <w:iCs w:val="0"/>
          <w:kern w:val="2"/>
          <w:highlight w:val="none"/>
          <w:lang w:val="en-US" w:eastAsia="zh-CN"/>
        </w:rPr>
        <w:t>2.4.13响应文件的解密</w:t>
      </w:r>
      <w:r>
        <w:tab/>
      </w:r>
      <w:r>
        <w:fldChar w:fldCharType="begin"/>
      </w:r>
      <w:r>
        <w:instrText xml:space="preserve"> PAGEREF _Toc5523 \h </w:instrText>
      </w:r>
      <w:r>
        <w:fldChar w:fldCharType="separate"/>
      </w:r>
      <w:r>
        <w:t>30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_Toc1521 </w:instrText>
      </w:r>
      <w:r>
        <w:rPr>
          <w:szCs w:val="20"/>
          <w:highlight w:val="none"/>
        </w:rPr>
        <w:fldChar w:fldCharType="separate"/>
      </w:r>
      <w:r>
        <w:rPr>
          <w:rFonts w:hint="eastAsia"/>
          <w:szCs w:val="24"/>
          <w:highlight w:val="none"/>
        </w:rPr>
        <w:t>2.5磋商</w:t>
      </w:r>
      <w:r>
        <w:rPr>
          <w:szCs w:val="24"/>
          <w:highlight w:val="none"/>
        </w:rPr>
        <w:t>开启活动</w:t>
      </w:r>
      <w:r>
        <w:rPr>
          <w:rFonts w:hint="eastAsia"/>
          <w:szCs w:val="24"/>
          <w:highlight w:val="none"/>
        </w:rPr>
        <w:t>程序</w:t>
      </w:r>
      <w:r>
        <w:tab/>
      </w:r>
      <w:r>
        <w:fldChar w:fldCharType="begin"/>
      </w:r>
      <w:r>
        <w:instrText xml:space="preserve"> PAGEREF _Toc1521 \h </w:instrText>
      </w:r>
      <w:r>
        <w:fldChar w:fldCharType="separate"/>
      </w:r>
      <w:r>
        <w:t>30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_Toc32163 </w:instrText>
      </w:r>
      <w:r>
        <w:rPr>
          <w:szCs w:val="20"/>
          <w:highlight w:val="none"/>
        </w:rPr>
        <w:fldChar w:fldCharType="separate"/>
      </w:r>
      <w:r>
        <w:rPr>
          <w:rFonts w:hint="eastAsia"/>
          <w:bCs/>
          <w:szCs w:val="24"/>
          <w:highlight w:val="none"/>
          <w:lang w:val="en-US" w:eastAsia="zh-CN"/>
        </w:rPr>
        <w:t>2.6</w:t>
      </w:r>
      <w:r>
        <w:rPr>
          <w:rFonts w:hint="eastAsia"/>
          <w:bCs/>
          <w:szCs w:val="24"/>
          <w:highlight w:val="none"/>
        </w:rPr>
        <w:t>资格审查</w:t>
      </w:r>
      <w:r>
        <w:rPr>
          <w:rFonts w:hint="eastAsia"/>
          <w:bCs/>
          <w:szCs w:val="24"/>
          <w:highlight w:val="none"/>
          <w:lang w:eastAsia="zh-CN"/>
        </w:rPr>
        <w:t>和评审</w:t>
      </w:r>
      <w:r>
        <w:tab/>
      </w:r>
      <w:r>
        <w:fldChar w:fldCharType="begin"/>
      </w:r>
      <w:r>
        <w:instrText xml:space="preserve"> PAGEREF _Toc32163 \h </w:instrText>
      </w:r>
      <w:r>
        <w:fldChar w:fldCharType="separate"/>
      </w:r>
      <w:r>
        <w:t>31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_Toc21658 </w:instrText>
      </w:r>
      <w:r>
        <w:rPr>
          <w:szCs w:val="20"/>
          <w:highlight w:val="none"/>
        </w:rPr>
        <w:fldChar w:fldCharType="separate"/>
      </w:r>
      <w:r>
        <w:rPr>
          <w:rFonts w:hint="eastAsia"/>
          <w:szCs w:val="24"/>
          <w:highlight w:val="none"/>
          <w:lang w:val="en-US" w:eastAsia="zh-CN"/>
        </w:rPr>
        <w:t>2.7</w:t>
      </w:r>
      <w:r>
        <w:rPr>
          <w:szCs w:val="24"/>
          <w:highlight w:val="none"/>
        </w:rPr>
        <w:t>成交通知书</w:t>
      </w:r>
      <w:r>
        <w:tab/>
      </w:r>
      <w:r>
        <w:fldChar w:fldCharType="begin"/>
      </w:r>
      <w:r>
        <w:instrText xml:space="preserve"> PAGEREF _Toc21658 \h </w:instrText>
      </w:r>
      <w:r>
        <w:fldChar w:fldCharType="separate"/>
      </w:r>
      <w:r>
        <w:t>31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_Toc3132 </w:instrText>
      </w:r>
      <w:r>
        <w:rPr>
          <w:szCs w:val="20"/>
          <w:highlight w:val="none"/>
        </w:rPr>
        <w:fldChar w:fldCharType="separate"/>
      </w:r>
      <w:r>
        <w:rPr>
          <w:rFonts w:hint="eastAsia"/>
          <w:szCs w:val="24"/>
          <w:highlight w:val="none"/>
          <w:lang w:val="en-US" w:eastAsia="zh-CN"/>
        </w:rPr>
        <w:t>2.8</w:t>
      </w:r>
      <w:r>
        <w:rPr>
          <w:rFonts w:hint="eastAsia"/>
          <w:szCs w:val="24"/>
          <w:highlight w:val="none"/>
        </w:rPr>
        <w:t>签订及履行合同和验收</w:t>
      </w:r>
      <w:r>
        <w:tab/>
      </w:r>
      <w:r>
        <w:fldChar w:fldCharType="begin"/>
      </w:r>
      <w:r>
        <w:instrText xml:space="preserve"> PAGEREF _Toc3132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_Toc2994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.1签订合同</w:t>
      </w:r>
      <w:r>
        <w:tab/>
      </w:r>
      <w:r>
        <w:fldChar w:fldCharType="begin"/>
      </w:r>
      <w:r>
        <w:instrText xml:space="preserve"> PAGEREF _Toc2994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_Toc18025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.2合同分包和转包</w:t>
      </w:r>
      <w:r>
        <w:tab/>
      </w:r>
      <w:r>
        <w:fldChar w:fldCharType="begin"/>
      </w:r>
      <w:r>
        <w:instrText xml:space="preserve"> PAGEREF _Toc18025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_Toc9837 </w:instrText>
      </w:r>
      <w:r>
        <w:rPr>
          <w:szCs w:val="20"/>
          <w:highlight w:val="none"/>
        </w:rPr>
        <w:fldChar w:fldCharType="separate"/>
      </w:r>
      <w:r>
        <w:rPr>
          <w:rFonts w:hint="eastAsia" w:ascii="宋体" w:hAnsi="宋体"/>
          <w:bCs/>
          <w:szCs w:val="24"/>
          <w:highlight w:val="none"/>
          <w:lang w:val="en-US" w:eastAsia="zh-CN"/>
        </w:rPr>
        <w:t>2.</w:t>
      </w:r>
      <w:r>
        <w:rPr>
          <w:rFonts w:hint="eastAsia"/>
          <w:bCs/>
          <w:szCs w:val="24"/>
          <w:highlight w:val="none"/>
          <w:lang w:val="en-US" w:eastAsia="zh-CN"/>
        </w:rPr>
        <w:t>8</w:t>
      </w:r>
      <w:r>
        <w:rPr>
          <w:rFonts w:hint="eastAsia" w:ascii="宋体" w:hAnsi="宋体"/>
          <w:bCs/>
          <w:szCs w:val="24"/>
          <w:highlight w:val="none"/>
          <w:lang w:val="en-US" w:eastAsia="zh-CN"/>
        </w:rPr>
        <w:t>.2.1</w:t>
      </w:r>
      <w:r>
        <w:rPr>
          <w:rFonts w:hint="eastAsia" w:ascii="宋体" w:hAnsi="宋体"/>
          <w:bCs/>
          <w:szCs w:val="24"/>
          <w:highlight w:val="none"/>
        </w:rPr>
        <w:t>合同分包</w:t>
      </w:r>
      <w:r>
        <w:tab/>
      </w:r>
      <w:r>
        <w:fldChar w:fldCharType="begin"/>
      </w:r>
      <w:r>
        <w:instrText xml:space="preserve"> PAGEREF _Toc9837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_Toc25499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.3采购人增加合同标的的权利</w:t>
      </w:r>
      <w:r>
        <w:tab/>
      </w:r>
      <w:r>
        <w:fldChar w:fldCharType="begin"/>
      </w:r>
      <w:r>
        <w:instrText xml:space="preserve"> PAGEREF _Toc25499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_Toc11093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.4履约保证金</w:t>
      </w:r>
      <w:r>
        <w:tab/>
      </w:r>
      <w:r>
        <w:fldChar w:fldCharType="begin"/>
      </w:r>
      <w:r>
        <w:instrText xml:space="preserve"> PAGEREF _Toc11093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_Toc20870 </w:instrText>
      </w:r>
      <w:r>
        <w:rPr>
          <w:szCs w:val="20"/>
          <w:highlight w:val="none"/>
        </w:rPr>
        <w:fldChar w:fldCharType="separate"/>
      </w:r>
      <w:r>
        <w:rPr>
          <w:rFonts w:hint="eastAsia" w:ascii="宋体" w:hAnsi="宋体" w:eastAsia="宋体" w:cs="宋体"/>
          <w:bCs/>
          <w:kern w:val="2"/>
          <w:szCs w:val="24"/>
          <w:highlight w:val="none"/>
          <w:lang w:val="en-US" w:eastAsia="zh-CN" w:bidi="ar-SA"/>
        </w:rPr>
        <w:t>合同总金额的5%作为履约保证金。</w:t>
      </w:r>
      <w:r>
        <w:tab/>
      </w:r>
      <w:r>
        <w:fldChar w:fldCharType="begin"/>
      </w:r>
      <w:r>
        <w:instrText xml:space="preserve"> PAGEREF _Toc20870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_Toc13634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.5</w:t>
      </w:r>
      <w:r>
        <w:rPr>
          <w:highlight w:val="none"/>
        </w:rPr>
        <w:t>合同公告</w:t>
      </w:r>
      <w:r>
        <w:tab/>
      </w:r>
      <w:r>
        <w:fldChar w:fldCharType="begin"/>
      </w:r>
      <w:r>
        <w:instrText xml:space="preserve"> PAGEREF _Toc13634 \h </w:instrText>
      </w:r>
      <w:r>
        <w:fldChar w:fldCharType="separate"/>
      </w:r>
      <w:r>
        <w:t>32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_Toc23510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.6</w:t>
      </w:r>
      <w:r>
        <w:rPr>
          <w:highlight w:val="none"/>
        </w:rPr>
        <w:t>合同备案</w:t>
      </w:r>
      <w:r>
        <w:tab/>
      </w:r>
      <w:r>
        <w:fldChar w:fldCharType="begin"/>
      </w:r>
      <w:r>
        <w:instrText xml:space="preserve"> PAGEREF _Toc23510 \h </w:instrText>
      </w:r>
      <w:r>
        <w:fldChar w:fldCharType="separate"/>
      </w:r>
      <w:r>
        <w:t>33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_Toc13491 </w:instrText>
      </w:r>
      <w:r>
        <w:rPr>
          <w:szCs w:val="20"/>
          <w:highlight w:val="none"/>
        </w:rPr>
        <w:fldChar w:fldCharType="separate"/>
      </w:r>
      <w:r>
        <w:rPr>
          <w:rFonts w:hint="eastAsia" w:cs="宋体"/>
          <w:highlight w:val="none"/>
        </w:rPr>
        <w:t>2.</w:t>
      </w:r>
      <w:r>
        <w:rPr>
          <w:rFonts w:hint="eastAsia" w:cs="宋体"/>
          <w:highlight w:val="none"/>
          <w:lang w:val="en-US" w:eastAsia="zh-CN"/>
        </w:rPr>
        <w:t>8</w:t>
      </w:r>
      <w:r>
        <w:rPr>
          <w:rFonts w:hint="eastAsia" w:cs="宋体"/>
          <w:highlight w:val="none"/>
        </w:rPr>
        <w:t>.7履行</w:t>
      </w:r>
      <w:r>
        <w:rPr>
          <w:rFonts w:hint="eastAsia"/>
          <w:highlight w:val="none"/>
        </w:rPr>
        <w:t>合同</w:t>
      </w:r>
      <w:r>
        <w:tab/>
      </w:r>
      <w:r>
        <w:fldChar w:fldCharType="begin"/>
      </w:r>
      <w:r>
        <w:instrText xml:space="preserve"> PAGEREF _Toc13491 \h </w:instrText>
      </w:r>
      <w:r>
        <w:fldChar w:fldCharType="separate"/>
      </w:r>
      <w:r>
        <w:t>33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_Toc16001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.8验收</w:t>
      </w:r>
      <w:r>
        <w:tab/>
      </w:r>
      <w:r>
        <w:fldChar w:fldCharType="begin"/>
      </w:r>
      <w:r>
        <w:instrText xml:space="preserve"> PAGEREF _Toc16001 \h </w:instrText>
      </w:r>
      <w:r>
        <w:fldChar w:fldCharType="separate"/>
      </w:r>
      <w:r>
        <w:t>33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_Toc13655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.9资金支付</w:t>
      </w:r>
      <w:r>
        <w:tab/>
      </w:r>
      <w:r>
        <w:fldChar w:fldCharType="begin"/>
      </w:r>
      <w:r>
        <w:instrText xml:space="preserve"> PAGEREF _Toc13655 \h </w:instrText>
      </w:r>
      <w:r>
        <w:fldChar w:fldCharType="separate"/>
      </w:r>
      <w:r>
        <w:t>33</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_Toc4237 </w:instrText>
      </w:r>
      <w:r>
        <w:rPr>
          <w:szCs w:val="20"/>
          <w:highlight w:val="none"/>
        </w:rPr>
        <w:fldChar w:fldCharType="separate"/>
      </w:r>
      <w:r>
        <w:rPr>
          <w:rFonts w:hint="eastAsia"/>
          <w:szCs w:val="24"/>
          <w:highlight w:val="none"/>
        </w:rPr>
        <w:t>2.</w:t>
      </w:r>
      <w:r>
        <w:rPr>
          <w:rFonts w:hint="eastAsia"/>
          <w:szCs w:val="24"/>
          <w:highlight w:val="none"/>
          <w:lang w:val="en-US" w:eastAsia="zh-CN"/>
        </w:rPr>
        <w:t>9</w:t>
      </w:r>
      <w:r>
        <w:rPr>
          <w:rFonts w:hint="eastAsia"/>
          <w:szCs w:val="24"/>
          <w:highlight w:val="none"/>
        </w:rPr>
        <w:t>竞争性磋商工作纪律及要求</w:t>
      </w:r>
      <w:r>
        <w:tab/>
      </w:r>
      <w:r>
        <w:fldChar w:fldCharType="begin"/>
      </w:r>
      <w:r>
        <w:instrText xml:space="preserve"> PAGEREF _Toc4237 \h </w:instrText>
      </w:r>
      <w:r>
        <w:fldChar w:fldCharType="separate"/>
      </w:r>
      <w:r>
        <w:t>33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_Toc5924 </w:instrText>
      </w:r>
      <w:r>
        <w:rPr>
          <w:szCs w:val="20"/>
          <w:highlight w:val="none"/>
        </w:rPr>
        <w:fldChar w:fldCharType="separate"/>
      </w:r>
      <w:r>
        <w:rPr>
          <w:rFonts w:hint="eastAsia"/>
          <w:highlight w:val="none"/>
        </w:rPr>
        <w:t>2.</w:t>
      </w:r>
      <w:r>
        <w:rPr>
          <w:rFonts w:hint="eastAsia"/>
          <w:highlight w:val="none"/>
          <w:lang w:val="en-US" w:eastAsia="zh-CN"/>
        </w:rPr>
        <w:t>9</w:t>
      </w:r>
      <w:r>
        <w:rPr>
          <w:rFonts w:hint="eastAsia"/>
          <w:highlight w:val="none"/>
        </w:rPr>
        <w:t>.1供应商不得具有的情形</w:t>
      </w:r>
      <w:r>
        <w:tab/>
      </w:r>
      <w:r>
        <w:fldChar w:fldCharType="begin"/>
      </w:r>
      <w:r>
        <w:instrText xml:space="preserve"> PAGEREF _Toc5924 \h </w:instrText>
      </w:r>
      <w:r>
        <w:fldChar w:fldCharType="separate"/>
      </w:r>
      <w:r>
        <w:t>33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_Toc32027 </w:instrText>
      </w:r>
      <w:r>
        <w:rPr>
          <w:szCs w:val="20"/>
          <w:highlight w:val="none"/>
        </w:rPr>
        <w:fldChar w:fldCharType="separate"/>
      </w:r>
      <w:r>
        <w:rPr>
          <w:rFonts w:hint="eastAsia"/>
          <w:highlight w:val="none"/>
        </w:rPr>
        <w:t>2.</w:t>
      </w:r>
      <w:r>
        <w:rPr>
          <w:rFonts w:hint="eastAsia"/>
          <w:highlight w:val="none"/>
          <w:lang w:val="en-US" w:eastAsia="zh-CN"/>
        </w:rPr>
        <w:t>9</w:t>
      </w:r>
      <w:r>
        <w:rPr>
          <w:rFonts w:hint="eastAsia"/>
          <w:highlight w:val="none"/>
        </w:rPr>
        <w:t>.</w:t>
      </w:r>
      <w:r>
        <w:rPr>
          <w:rFonts w:hint="eastAsia"/>
          <w:highlight w:val="none"/>
          <w:lang w:val="en-US" w:eastAsia="zh-CN"/>
        </w:rPr>
        <w:t>2</w:t>
      </w:r>
      <w:r>
        <w:rPr>
          <w:rFonts w:hint="eastAsia"/>
          <w:highlight w:val="none"/>
        </w:rPr>
        <w:t>回避</w:t>
      </w:r>
      <w:r>
        <w:tab/>
      </w:r>
      <w:r>
        <w:fldChar w:fldCharType="begin"/>
      </w:r>
      <w:r>
        <w:instrText xml:space="preserve"> PAGEREF _Toc32027 \h </w:instrText>
      </w:r>
      <w:r>
        <w:fldChar w:fldCharType="separate"/>
      </w:r>
      <w:r>
        <w:t>34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_Toc20657 </w:instrText>
      </w:r>
      <w:r>
        <w:rPr>
          <w:szCs w:val="20"/>
          <w:highlight w:val="none"/>
        </w:rPr>
        <w:fldChar w:fldCharType="separate"/>
      </w:r>
      <w:r>
        <w:rPr>
          <w:rFonts w:hint="eastAsia"/>
          <w:highlight w:val="none"/>
        </w:rPr>
        <w:t>2.</w:t>
      </w:r>
      <w:r>
        <w:rPr>
          <w:rFonts w:hint="eastAsia"/>
          <w:highlight w:val="none"/>
          <w:lang w:val="en-US" w:eastAsia="zh-CN"/>
        </w:rPr>
        <w:t>10</w:t>
      </w:r>
      <w:r>
        <w:rPr>
          <w:rFonts w:hint="eastAsia"/>
          <w:highlight w:val="none"/>
        </w:rPr>
        <w:t>询问、质疑和投诉</w:t>
      </w:r>
      <w:r>
        <w:tab/>
      </w:r>
      <w:r>
        <w:fldChar w:fldCharType="begin"/>
      </w:r>
      <w:r>
        <w:instrText xml:space="preserve"> PAGEREF _Toc20657 \h </w:instrText>
      </w:r>
      <w:r>
        <w:fldChar w:fldCharType="separate"/>
      </w:r>
      <w:r>
        <w:t>35</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_Toc11634 </w:instrText>
      </w:r>
      <w:r>
        <w:rPr>
          <w:szCs w:val="20"/>
          <w:highlight w:val="none"/>
        </w:rPr>
        <w:fldChar w:fldCharType="separate"/>
      </w:r>
      <w:r>
        <w:rPr>
          <w:rFonts w:hint="eastAsia"/>
          <w:highlight w:val="none"/>
        </w:rPr>
        <w:t>2.</w:t>
      </w:r>
      <w:r>
        <w:rPr>
          <w:rFonts w:hint="eastAsia"/>
          <w:highlight w:val="none"/>
          <w:lang w:val="en-US" w:eastAsia="zh-CN"/>
        </w:rPr>
        <w:t>11</w:t>
      </w:r>
      <w:r>
        <w:rPr>
          <w:rFonts w:hint="eastAsia" w:ascii="宋体" w:hAnsi="宋体"/>
          <w:bCs/>
          <w:szCs w:val="28"/>
          <w:highlight w:val="none"/>
        </w:rPr>
        <w:t>中小企业政府采购信用融资</w:t>
      </w:r>
      <w:r>
        <w:tab/>
      </w:r>
      <w:r>
        <w:fldChar w:fldCharType="begin"/>
      </w:r>
      <w:r>
        <w:instrText xml:space="preserve"> PAGEREF _Toc11634 \h </w:instrText>
      </w:r>
      <w:r>
        <w:fldChar w:fldCharType="separate"/>
      </w:r>
      <w:r>
        <w:t>36</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_Toc6355 </w:instrText>
      </w:r>
      <w:r>
        <w:rPr>
          <w:szCs w:val="20"/>
          <w:highlight w:val="none"/>
        </w:rPr>
        <w:fldChar w:fldCharType="separate"/>
      </w:r>
      <w:r>
        <w:rPr>
          <w:rFonts w:hint="eastAsia"/>
        </w:rPr>
        <w:t xml:space="preserve">第3章 </w:t>
      </w:r>
      <w:r>
        <w:rPr>
          <w:rFonts w:hint="eastAsia"/>
          <w:highlight w:val="none"/>
        </w:rPr>
        <w:t>响应文件格式</w:t>
      </w:r>
      <w:r>
        <w:tab/>
      </w:r>
      <w:r>
        <w:fldChar w:fldCharType="begin"/>
      </w:r>
      <w:r>
        <w:instrText xml:space="preserve"> PAGEREF _Toc6355 \h </w:instrText>
      </w:r>
      <w:r>
        <w:fldChar w:fldCharType="separate"/>
      </w:r>
      <w:r>
        <w:t>37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_Toc31029 </w:instrText>
      </w:r>
      <w:r>
        <w:rPr>
          <w:szCs w:val="20"/>
          <w:highlight w:val="none"/>
        </w:rPr>
        <w:fldChar w:fldCharType="separate"/>
      </w:r>
      <w:r>
        <w:rPr>
          <w:rFonts w:hint="eastAsia"/>
          <w:highlight w:val="none"/>
          <w:lang w:val="en-US" w:eastAsia="zh-CN"/>
        </w:rPr>
        <w:t>3.1</w:t>
      </w:r>
      <w:r>
        <w:rPr>
          <w:rFonts w:hint="eastAsia"/>
          <w:highlight w:val="none"/>
        </w:rPr>
        <w:t>资格性响应文件格式</w:t>
      </w:r>
      <w:r>
        <w:tab/>
      </w:r>
      <w:r>
        <w:fldChar w:fldCharType="begin"/>
      </w:r>
      <w:r>
        <w:instrText xml:space="preserve"> PAGEREF _Toc31029 \h </w:instrText>
      </w:r>
      <w:r>
        <w:fldChar w:fldCharType="separate"/>
      </w:r>
      <w:r>
        <w:t>37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_Toc14892 </w:instrText>
      </w:r>
      <w:r>
        <w:rPr>
          <w:szCs w:val="20"/>
          <w:highlight w:val="none"/>
        </w:rPr>
        <w:fldChar w:fldCharType="separate"/>
      </w:r>
      <w:r>
        <w:rPr>
          <w:rFonts w:hint="eastAsia"/>
          <w:highlight w:val="none"/>
          <w:lang w:val="en-US" w:eastAsia="zh-CN"/>
        </w:rPr>
        <w:t>3.1.1.</w:t>
      </w:r>
      <w:r>
        <w:rPr>
          <w:rFonts w:hint="eastAsia"/>
          <w:highlight w:val="none"/>
        </w:rPr>
        <w:t>资格性响应文件封面格式</w:t>
      </w:r>
      <w:r>
        <w:tab/>
      </w:r>
      <w:r>
        <w:fldChar w:fldCharType="begin"/>
      </w:r>
      <w:r>
        <w:instrText xml:space="preserve"> PAGEREF _Toc14892 \h </w:instrText>
      </w:r>
      <w:r>
        <w:fldChar w:fldCharType="separate"/>
      </w:r>
      <w:r>
        <w:t>37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_Toc13282 </w:instrText>
      </w:r>
      <w:r>
        <w:rPr>
          <w:szCs w:val="20"/>
          <w:highlight w:val="none"/>
        </w:rPr>
        <w:fldChar w:fldCharType="separate"/>
      </w:r>
      <w:r>
        <w:rPr>
          <w:rFonts w:hint="eastAsia" w:ascii="宋体" w:hAnsi="宋体" w:eastAsia="宋体"/>
          <w:highlight w:val="none"/>
          <w:lang w:val="en-US" w:eastAsia="zh-CN"/>
        </w:rPr>
        <w:t>3.1.2供应商资格申明的函</w:t>
      </w:r>
      <w:r>
        <w:tab/>
      </w:r>
      <w:r>
        <w:fldChar w:fldCharType="begin"/>
      </w:r>
      <w:r>
        <w:instrText xml:space="preserve"> PAGEREF _Toc13282 \h </w:instrText>
      </w:r>
      <w:r>
        <w:fldChar w:fldCharType="separate"/>
      </w:r>
      <w:r>
        <w:t>38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_Toc10269 </w:instrText>
      </w:r>
      <w:r>
        <w:rPr>
          <w:szCs w:val="20"/>
          <w:highlight w:val="none"/>
        </w:rPr>
        <w:fldChar w:fldCharType="separate"/>
      </w:r>
      <w:r>
        <w:rPr>
          <w:rFonts w:hint="eastAsia" w:ascii="宋体" w:hAnsi="宋体" w:eastAsia="宋体"/>
          <w:highlight w:val="none"/>
          <w:lang w:val="en-US" w:eastAsia="zh-CN"/>
        </w:rPr>
        <w:t>3.1.3声明</w:t>
      </w:r>
      <w:r>
        <w:tab/>
      </w:r>
      <w:r>
        <w:fldChar w:fldCharType="begin"/>
      </w:r>
      <w:r>
        <w:instrText xml:space="preserve"> PAGEREF _Toc10269 \h </w:instrText>
      </w:r>
      <w:r>
        <w:fldChar w:fldCharType="separate"/>
      </w:r>
      <w:r>
        <w:t>39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_Toc8648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4</w:t>
      </w:r>
      <w:r>
        <w:rPr>
          <w:rFonts w:hint="eastAsia" w:ascii="宋体" w:hAnsi="宋体" w:eastAsia="宋体" w:cs="Times New Roman"/>
          <w:bCs/>
          <w:kern w:val="2"/>
          <w:szCs w:val="28"/>
          <w:highlight w:val="none"/>
          <w:lang w:val="en-US" w:eastAsia="zh-CN" w:bidi="ar-SA"/>
        </w:rPr>
        <w:t>法定代表人身份证明书</w:t>
      </w:r>
      <w:r>
        <w:tab/>
      </w:r>
      <w:r>
        <w:fldChar w:fldCharType="begin"/>
      </w:r>
      <w:r>
        <w:instrText xml:space="preserve"> PAGEREF _Toc8648 \h </w:instrText>
      </w:r>
      <w:r>
        <w:fldChar w:fldCharType="separate"/>
      </w:r>
      <w:r>
        <w:t>41</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_Toc610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5</w:t>
      </w:r>
      <w:r>
        <w:rPr>
          <w:rFonts w:hint="eastAsia" w:ascii="宋体" w:hAnsi="宋体" w:eastAsia="宋体" w:cs="Times New Roman"/>
          <w:bCs/>
          <w:kern w:val="2"/>
          <w:szCs w:val="28"/>
          <w:highlight w:val="none"/>
          <w:lang w:val="en-US" w:eastAsia="zh-CN" w:bidi="ar-SA"/>
        </w:rPr>
        <w:t>供应商基本情况表</w:t>
      </w:r>
      <w:r>
        <w:tab/>
      </w:r>
      <w:r>
        <w:fldChar w:fldCharType="begin"/>
      </w:r>
      <w:r>
        <w:instrText xml:space="preserve"> PAGEREF _Toc610 \h </w:instrText>
      </w:r>
      <w:r>
        <w:fldChar w:fldCharType="separate"/>
      </w:r>
      <w:r>
        <w:t>42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_Toc8849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6</w:t>
      </w:r>
      <w:r>
        <w:rPr>
          <w:rFonts w:hint="eastAsia" w:ascii="宋体" w:hAnsi="宋体" w:eastAsia="宋体" w:cs="Times New Roman"/>
          <w:bCs/>
          <w:kern w:val="2"/>
          <w:szCs w:val="28"/>
          <w:highlight w:val="none"/>
          <w:lang w:val="en-US" w:eastAsia="zh-CN" w:bidi="ar-SA"/>
        </w:rPr>
        <w:t>供应商应提供的相关资格证明材料</w:t>
      </w:r>
      <w:r>
        <w:tab/>
      </w:r>
      <w:r>
        <w:fldChar w:fldCharType="begin"/>
      </w:r>
      <w:r>
        <w:instrText xml:space="preserve"> PAGEREF _Toc8849 \h </w:instrText>
      </w:r>
      <w:r>
        <w:fldChar w:fldCharType="separate"/>
      </w:r>
      <w:r>
        <w:t>43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_Toc21749 </w:instrText>
      </w:r>
      <w:r>
        <w:rPr>
          <w:szCs w:val="20"/>
          <w:highlight w:val="none"/>
        </w:rPr>
        <w:fldChar w:fldCharType="separate"/>
      </w:r>
      <w:r>
        <w:rPr>
          <w:rFonts w:hint="eastAsia"/>
          <w:highlight w:val="none"/>
          <w:lang w:val="en-US" w:eastAsia="zh-CN"/>
        </w:rPr>
        <w:t>3.2.1</w:t>
      </w:r>
      <w:r>
        <w:rPr>
          <w:rFonts w:hint="eastAsia"/>
          <w:highlight w:val="none"/>
        </w:rPr>
        <w:t>技术、服务性响应文件封面格式</w:t>
      </w:r>
      <w:r>
        <w:tab/>
      </w:r>
      <w:r>
        <w:fldChar w:fldCharType="begin"/>
      </w:r>
      <w:r>
        <w:instrText xml:space="preserve"> PAGEREF _Toc21749 \h </w:instrText>
      </w:r>
      <w:r>
        <w:fldChar w:fldCharType="separate"/>
      </w:r>
      <w:r>
        <w:t>44</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_Toc27262 </w:instrText>
      </w:r>
      <w:r>
        <w:rPr>
          <w:szCs w:val="20"/>
          <w:highlight w:val="none"/>
        </w:rPr>
        <w:fldChar w:fldCharType="separate"/>
      </w:r>
      <w:r>
        <w:rPr>
          <w:rFonts w:hint="eastAsia" w:ascii="宋体" w:hAnsi="宋体" w:eastAsia="宋体"/>
          <w:highlight w:val="none"/>
          <w:lang w:val="en-US" w:eastAsia="zh-CN"/>
        </w:rPr>
        <w:t>3.2.2报价表</w:t>
      </w:r>
      <w:r>
        <w:tab/>
      </w:r>
      <w:r>
        <w:fldChar w:fldCharType="begin"/>
      </w:r>
      <w:r>
        <w:instrText xml:space="preserve"> PAGEREF _Toc27262 \h </w:instrText>
      </w:r>
      <w:r>
        <w:fldChar w:fldCharType="separate"/>
      </w:r>
      <w:r>
        <w:t>45</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_Toc19636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3.2.3分项报价表</w:t>
      </w:r>
      <w:r>
        <w:tab/>
      </w:r>
      <w:r>
        <w:fldChar w:fldCharType="begin"/>
      </w:r>
      <w:r>
        <w:instrText xml:space="preserve"> PAGEREF _Toc19636 \h </w:instrText>
      </w:r>
      <w:r>
        <w:fldChar w:fldCharType="separate"/>
      </w:r>
      <w:r>
        <w:t>46</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_Toc723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3.2.4中小企业声明函</w:t>
      </w:r>
      <w:r>
        <w:tab/>
      </w:r>
      <w:r>
        <w:fldChar w:fldCharType="begin"/>
      </w:r>
      <w:r>
        <w:instrText xml:space="preserve"> PAGEREF _Toc723 \h </w:instrText>
      </w:r>
      <w:r>
        <w:fldChar w:fldCharType="separate"/>
      </w:r>
      <w:r>
        <w:t>48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_Toc15010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3.2.5残疾人福利性单位声明函</w:t>
      </w:r>
      <w:r>
        <w:tab/>
      </w:r>
      <w:r>
        <w:fldChar w:fldCharType="begin"/>
      </w:r>
      <w:r>
        <w:instrText xml:space="preserve"> PAGEREF _Toc15010 \h </w:instrText>
      </w:r>
      <w:r>
        <w:fldChar w:fldCharType="separate"/>
      </w:r>
      <w:r>
        <w:t>49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_Toc29537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3.2.6所投产品技术性能、技术参数和配置的详细描述</w:t>
      </w:r>
      <w:r>
        <w:tab/>
      </w:r>
      <w:r>
        <w:fldChar w:fldCharType="begin"/>
      </w:r>
      <w:r>
        <w:instrText xml:space="preserve"> PAGEREF _Toc29537 \h </w:instrText>
      </w:r>
      <w:r>
        <w:fldChar w:fldCharType="separate"/>
      </w:r>
      <w:r>
        <w:t>50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_Toc7313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3.2.7实施方案</w:t>
      </w:r>
      <w:r>
        <w:tab/>
      </w:r>
      <w:r>
        <w:fldChar w:fldCharType="begin"/>
      </w:r>
      <w:r>
        <w:instrText xml:space="preserve"> PAGEREF _Toc7313 \h </w:instrText>
      </w:r>
      <w:r>
        <w:fldChar w:fldCharType="separate"/>
      </w:r>
      <w:r>
        <w:t>51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_Toc2799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3.2.8培训方案</w:t>
      </w:r>
      <w:r>
        <w:tab/>
      </w:r>
      <w:r>
        <w:fldChar w:fldCharType="begin"/>
      </w:r>
      <w:r>
        <w:instrText xml:space="preserve"> PAGEREF _Toc2799 \h </w:instrText>
      </w:r>
      <w:r>
        <w:fldChar w:fldCharType="separate"/>
      </w:r>
      <w:r>
        <w:t>52</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_Toc5498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3.2.9售后服务方案</w:t>
      </w:r>
      <w:r>
        <w:tab/>
      </w:r>
      <w:r>
        <w:fldChar w:fldCharType="begin"/>
      </w:r>
      <w:r>
        <w:instrText xml:space="preserve"> PAGEREF _Toc5498 \h </w:instrText>
      </w:r>
      <w:r>
        <w:fldChar w:fldCharType="separate"/>
      </w:r>
      <w:r>
        <w:t>53</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_Toc31382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3.2.10承诺函</w:t>
      </w:r>
      <w:r>
        <w:tab/>
      </w:r>
      <w:r>
        <w:fldChar w:fldCharType="begin"/>
      </w:r>
      <w:r>
        <w:instrText xml:space="preserve"> PAGEREF _Toc31382 \h </w:instrText>
      </w:r>
      <w:r>
        <w:fldChar w:fldCharType="separate"/>
      </w:r>
      <w:r>
        <w:t>54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_Toc27638 </w:instrText>
      </w:r>
      <w:r>
        <w:rPr>
          <w:szCs w:val="20"/>
          <w:highlight w:val="none"/>
        </w:rPr>
        <w:fldChar w:fldCharType="separate"/>
      </w:r>
      <w:r>
        <w:rPr>
          <w:rFonts w:hint="eastAsia"/>
          <w:highlight w:val="none"/>
          <w:lang w:val="en-US" w:eastAsia="zh-CN"/>
        </w:rPr>
        <w:t>4.1项目概况</w:t>
      </w:r>
      <w:r>
        <w:tab/>
      </w:r>
      <w:r>
        <w:fldChar w:fldCharType="begin"/>
      </w:r>
      <w:r>
        <w:instrText xml:space="preserve"> PAGEREF _Toc27638 \h </w:instrText>
      </w:r>
      <w:r>
        <w:fldChar w:fldCharType="separate"/>
      </w:r>
      <w:r>
        <w:t>56</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_Toc26860 </w:instrText>
      </w:r>
      <w:r>
        <w:rPr>
          <w:szCs w:val="20"/>
          <w:highlight w:val="none"/>
        </w:rPr>
        <w:fldChar w:fldCharType="separate"/>
      </w:r>
      <w:r>
        <w:rPr>
          <w:rFonts w:hint="eastAsia"/>
          <w:szCs w:val="32"/>
          <w:highlight w:val="none"/>
          <w:lang w:val="en-US" w:eastAsia="zh-CN"/>
        </w:rPr>
        <w:t>4.2技术参数及要求</w:t>
      </w:r>
      <w:r>
        <w:tab/>
      </w:r>
      <w:r>
        <w:fldChar w:fldCharType="begin"/>
      </w:r>
      <w:r>
        <w:instrText xml:space="preserve"> PAGEREF _Toc26860 \h </w:instrText>
      </w:r>
      <w:r>
        <w:fldChar w:fldCharType="separate"/>
      </w:r>
      <w:r>
        <w:t>56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_Toc9525 </w:instrText>
      </w:r>
      <w:r>
        <w:rPr>
          <w:szCs w:val="20"/>
          <w:highlight w:val="none"/>
        </w:rPr>
        <w:fldChar w:fldCharType="separate"/>
      </w:r>
      <w:r>
        <w:rPr>
          <w:rFonts w:hint="eastAsia" w:ascii="宋体" w:hAnsi="宋体" w:eastAsia="宋体" w:cs="Times New Roman"/>
          <w:bCs/>
          <w:iCs/>
          <w:kern w:val="0"/>
          <w:szCs w:val="28"/>
          <w:highlight w:val="none"/>
          <w:lang w:val="en-US" w:eastAsia="zh-CN" w:bidi="ar-SA"/>
        </w:rPr>
        <w:t>4.3建设周期</w:t>
      </w:r>
      <w:r>
        <w:tab/>
      </w:r>
      <w:r>
        <w:fldChar w:fldCharType="begin"/>
      </w:r>
      <w:r>
        <w:instrText xml:space="preserve"> PAGEREF _Toc9525 \h </w:instrText>
      </w:r>
      <w:r>
        <w:fldChar w:fldCharType="separate"/>
      </w:r>
      <w:r>
        <w:t>57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_Toc9096 </w:instrText>
      </w:r>
      <w:r>
        <w:rPr>
          <w:szCs w:val="20"/>
          <w:highlight w:val="none"/>
        </w:rPr>
        <w:fldChar w:fldCharType="separate"/>
      </w:r>
      <w:r>
        <w:rPr>
          <w:rFonts w:hint="eastAsia"/>
          <w:highlight w:val="none"/>
          <w:lang w:val="en-US" w:eastAsia="zh-CN"/>
        </w:rPr>
        <w:t>4.4</w:t>
      </w:r>
      <w:r>
        <w:rPr>
          <w:rFonts w:hint="eastAsia" w:ascii="宋体" w:hAnsi="宋体" w:eastAsia="宋体" w:cs="Times New Roman"/>
          <w:highlight w:val="none"/>
          <w:lang w:val="en-US" w:eastAsia="zh-CN"/>
        </w:rPr>
        <w:t>履约验收要求</w:t>
      </w:r>
      <w:r>
        <w:tab/>
      </w:r>
      <w:r>
        <w:fldChar w:fldCharType="begin"/>
      </w:r>
      <w:r>
        <w:instrText xml:space="preserve"> PAGEREF _Toc9096 \h </w:instrText>
      </w:r>
      <w:r>
        <w:fldChar w:fldCharType="separate"/>
      </w:r>
      <w:r>
        <w:t>57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_Toc2469 </w:instrText>
      </w:r>
      <w:r>
        <w:rPr>
          <w:szCs w:val="20"/>
          <w:highlight w:val="none"/>
        </w:rPr>
        <w:fldChar w:fldCharType="separate"/>
      </w:r>
      <w:r>
        <w:rPr>
          <w:rFonts w:hint="eastAsia" w:ascii="宋体" w:hAnsi="宋体" w:eastAsia="宋体" w:cs="Times New Roman"/>
          <w:highlight w:val="none"/>
          <w:lang w:val="en-US" w:eastAsia="zh-CN"/>
        </w:rPr>
        <w:t>★4.5售后服务要求</w:t>
      </w:r>
      <w:r>
        <w:tab/>
      </w:r>
      <w:r>
        <w:fldChar w:fldCharType="begin"/>
      </w:r>
      <w:r>
        <w:instrText xml:space="preserve"> PAGEREF _Toc2469 \h </w:instrText>
      </w:r>
      <w:r>
        <w:fldChar w:fldCharType="separate"/>
      </w:r>
      <w:r>
        <w:t>58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_Toc32282 </w:instrText>
      </w:r>
      <w:r>
        <w:rPr>
          <w:szCs w:val="20"/>
          <w:highlight w:val="none"/>
        </w:rPr>
        <w:fldChar w:fldCharType="separate"/>
      </w:r>
      <w:r>
        <w:rPr>
          <w:rFonts w:hint="eastAsia"/>
          <w:highlight w:val="none"/>
          <w:lang w:val="en-US" w:eastAsia="zh-CN"/>
        </w:rPr>
        <w:t>4.6商务要求</w:t>
      </w:r>
      <w:r>
        <w:tab/>
      </w:r>
      <w:r>
        <w:fldChar w:fldCharType="begin"/>
      </w:r>
      <w:r>
        <w:instrText xml:space="preserve"> PAGEREF _Toc32282 \h </w:instrText>
      </w:r>
      <w:r>
        <w:fldChar w:fldCharType="separate"/>
      </w:r>
      <w:r>
        <w:t>58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_Toc24818 </w:instrText>
      </w:r>
      <w:r>
        <w:rPr>
          <w:szCs w:val="20"/>
          <w:highlight w:val="none"/>
        </w:rPr>
        <w:fldChar w:fldCharType="separate"/>
      </w:r>
      <w:r>
        <w:rPr>
          <w:rFonts w:hint="eastAsia"/>
          <w:highlight w:val="none"/>
          <w:lang w:val="en-US" w:eastAsia="zh-CN"/>
        </w:rPr>
        <w:t>4.7</w:t>
      </w:r>
      <w:r>
        <w:rPr>
          <w:rFonts w:hint="eastAsia"/>
          <w:highlight w:val="none"/>
        </w:rPr>
        <w:t>其他要求</w:t>
      </w:r>
      <w:r>
        <w:tab/>
      </w:r>
      <w:r>
        <w:fldChar w:fldCharType="begin"/>
      </w:r>
      <w:r>
        <w:instrText xml:space="preserve"> PAGEREF _Toc24818 \h </w:instrText>
      </w:r>
      <w:r>
        <w:fldChar w:fldCharType="separate"/>
      </w:r>
      <w:r>
        <w:t>59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_Toc27824 </w:instrText>
      </w:r>
      <w:r>
        <w:rPr>
          <w:szCs w:val="20"/>
          <w:highlight w:val="none"/>
        </w:rPr>
        <w:fldChar w:fldCharType="separate"/>
      </w:r>
      <w:r>
        <w:rPr>
          <w:rFonts w:hint="eastAsia"/>
          <w:highlight w:val="none"/>
          <w:lang w:val="en-US" w:eastAsia="zh-CN"/>
        </w:rPr>
        <w:t>4.8</w:t>
      </w:r>
      <w:r>
        <w:rPr>
          <w:rFonts w:hint="eastAsia"/>
          <w:highlight w:val="none"/>
        </w:rPr>
        <w:t>满足采购需求的实质性要求</w:t>
      </w:r>
      <w:r>
        <w:tab/>
      </w:r>
      <w:r>
        <w:fldChar w:fldCharType="begin"/>
      </w:r>
      <w:r>
        <w:instrText xml:space="preserve"> PAGEREF _Toc27824 \h </w:instrText>
      </w:r>
      <w:r>
        <w:fldChar w:fldCharType="separate"/>
      </w:r>
      <w:r>
        <w:t>60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_Toc31170 </w:instrText>
      </w:r>
      <w:r>
        <w:rPr>
          <w:szCs w:val="20"/>
          <w:highlight w:val="none"/>
        </w:rPr>
        <w:fldChar w:fldCharType="separate"/>
      </w:r>
      <w:r>
        <w:rPr>
          <w:rFonts w:hint="eastAsia"/>
          <w:highlight w:val="none"/>
          <w:lang w:val="en-US" w:eastAsia="zh-CN"/>
        </w:rPr>
        <w:t>4.1项目概况</w:t>
      </w:r>
      <w:r>
        <w:tab/>
      </w:r>
      <w:r>
        <w:fldChar w:fldCharType="begin"/>
      </w:r>
      <w:r>
        <w:instrText xml:space="preserve"> PAGEREF _Toc31170 \h </w:instrText>
      </w:r>
      <w:r>
        <w:fldChar w:fldCharType="separate"/>
      </w:r>
      <w:r>
        <w:t>61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_Toc9502 </w:instrText>
      </w:r>
      <w:r>
        <w:rPr>
          <w:szCs w:val="20"/>
          <w:highlight w:val="none"/>
        </w:rPr>
        <w:fldChar w:fldCharType="separate"/>
      </w:r>
      <w:r>
        <w:rPr>
          <w:rFonts w:hint="eastAsia"/>
          <w:highlight w:val="none"/>
          <w:lang w:val="en-US" w:eastAsia="zh-CN"/>
        </w:rPr>
        <w:t>4.2技术参数及要求</w:t>
      </w:r>
      <w:r>
        <w:tab/>
      </w:r>
      <w:r>
        <w:fldChar w:fldCharType="begin"/>
      </w:r>
      <w:r>
        <w:instrText xml:space="preserve"> PAGEREF _Toc9502 \h </w:instrText>
      </w:r>
      <w:r>
        <w:fldChar w:fldCharType="separate"/>
      </w:r>
      <w:r>
        <w:t>61</w:t>
      </w:r>
      <w:r>
        <w:fldChar w:fldCharType="end"/>
      </w:r>
      <w:r>
        <w:rPr>
          <w:color w:val="auto"/>
          <w:szCs w:val="20"/>
          <w:highlight w:val="none"/>
        </w:rPr>
        <w:fldChar w:fldCharType="end"/>
      </w:r>
    </w:p>
    <w:p>
      <w:pPr>
        <w:pStyle w:val="9"/>
        <w:tabs>
          <w:tab w:val="right" w:leader="dot" w:pos="9214"/>
        </w:tabs>
        <w:ind w:left="0" w:leftChars="0" w:firstLine="200" w:firstLineChars="100"/>
      </w:pPr>
      <w:r>
        <w:rPr>
          <w:color w:val="auto"/>
          <w:szCs w:val="20"/>
          <w:highlight w:val="none"/>
        </w:rPr>
        <w:fldChar w:fldCharType="begin"/>
      </w:r>
      <w:r>
        <w:rPr>
          <w:szCs w:val="20"/>
          <w:highlight w:val="none"/>
        </w:rPr>
        <w:instrText xml:space="preserve"> HYPERLINK \l _Toc21817 </w:instrText>
      </w:r>
      <w:r>
        <w:rPr>
          <w:szCs w:val="20"/>
          <w:highlight w:val="none"/>
        </w:rPr>
        <w:fldChar w:fldCharType="separate"/>
      </w:r>
      <w:r>
        <w:rPr>
          <w:rFonts w:hint="eastAsia" w:ascii="宋体" w:hAnsi="宋体" w:eastAsia="宋体" w:cs="Times New Roman"/>
          <w:bCs/>
          <w:iCs/>
          <w:kern w:val="0"/>
          <w:szCs w:val="28"/>
          <w:highlight w:val="none"/>
          <w:lang w:val="en-US" w:eastAsia="zh-CN" w:bidi="ar-SA"/>
        </w:rPr>
        <w:t>4.3建设周期</w:t>
      </w:r>
      <w:r>
        <w:tab/>
      </w:r>
      <w:r>
        <w:fldChar w:fldCharType="begin"/>
      </w:r>
      <w:r>
        <w:instrText xml:space="preserve"> PAGEREF _Toc21817 \h </w:instrText>
      </w:r>
      <w:r>
        <w:fldChar w:fldCharType="separate"/>
      </w:r>
      <w:r>
        <w:t>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_Toc20412 </w:instrText>
      </w:r>
      <w:r>
        <w:rPr>
          <w:szCs w:val="20"/>
          <w:highlight w:val="none"/>
        </w:rPr>
        <w:fldChar w:fldCharType="separate"/>
      </w:r>
      <w:r>
        <w:rPr>
          <w:rFonts w:hint="eastAsia"/>
          <w:highlight w:val="none"/>
          <w:lang w:val="en-US" w:eastAsia="zh-CN"/>
        </w:rPr>
        <w:t>4.4</w:t>
      </w:r>
      <w:r>
        <w:rPr>
          <w:rFonts w:hint="eastAsia" w:ascii="宋体" w:hAnsi="宋体" w:eastAsia="宋体" w:cs="Times New Roman"/>
          <w:highlight w:val="none"/>
          <w:lang w:val="en-US" w:eastAsia="zh-CN"/>
        </w:rPr>
        <w:t>履约验收要求</w:t>
      </w:r>
      <w:r>
        <w:tab/>
      </w:r>
      <w:r>
        <w:fldChar w:fldCharType="begin"/>
      </w:r>
      <w:r>
        <w:instrText xml:space="preserve"> PAGEREF _Toc20412 \h </w:instrText>
      </w:r>
      <w:r>
        <w:fldChar w:fldCharType="separate"/>
      </w:r>
      <w:r>
        <w:t>1</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_Toc6201 </w:instrText>
      </w:r>
      <w:r>
        <w:rPr>
          <w:szCs w:val="20"/>
          <w:highlight w:val="none"/>
        </w:rPr>
        <w:fldChar w:fldCharType="separate"/>
      </w:r>
      <w:r>
        <w:rPr>
          <w:rFonts w:hint="eastAsia" w:ascii="宋体" w:hAnsi="宋体" w:eastAsia="宋体" w:cs="Times New Roman"/>
          <w:highlight w:val="none"/>
          <w:lang w:val="en-US" w:eastAsia="zh-CN"/>
        </w:rPr>
        <w:t>★4.5售后服务要求</w:t>
      </w:r>
      <w:r>
        <w:tab/>
      </w:r>
      <w:r>
        <w:fldChar w:fldCharType="begin"/>
      </w:r>
      <w:r>
        <w:instrText xml:space="preserve"> PAGEREF _Toc6201 \h </w:instrText>
      </w:r>
      <w:r>
        <w:fldChar w:fldCharType="separate"/>
      </w:r>
      <w:r>
        <w:t>2</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_Toc10897 </w:instrText>
      </w:r>
      <w:r>
        <w:rPr>
          <w:szCs w:val="20"/>
          <w:highlight w:val="none"/>
        </w:rPr>
        <w:fldChar w:fldCharType="separate"/>
      </w:r>
      <w:r>
        <w:rPr>
          <w:rFonts w:hint="eastAsia"/>
          <w:highlight w:val="none"/>
          <w:lang w:val="en-US" w:eastAsia="zh-CN"/>
        </w:rPr>
        <w:t>4.6商务要求</w:t>
      </w:r>
      <w:r>
        <w:tab/>
      </w:r>
      <w:r>
        <w:fldChar w:fldCharType="begin"/>
      </w:r>
      <w:r>
        <w:instrText xml:space="preserve"> PAGEREF _Toc10897 \h </w:instrText>
      </w:r>
      <w:r>
        <w:fldChar w:fldCharType="separate"/>
      </w:r>
      <w:r>
        <w:t>2</w:t>
      </w:r>
      <w:r>
        <w:fldChar w:fldCharType="end"/>
      </w:r>
      <w:r>
        <w:rPr>
          <w:color w:val="auto"/>
          <w:szCs w:val="20"/>
          <w:highlight w:val="none"/>
        </w:rPr>
        <w:fldChar w:fldCharType="end"/>
      </w:r>
    </w:p>
    <w:p>
      <w:pPr>
        <w:pStyle w:val="15"/>
        <w:tabs>
          <w:tab w:val="right" w:leader="dot" w:pos="9214"/>
        </w:tabs>
        <w:ind w:left="0" w:leftChars="0" w:firstLine="200" w:firstLineChars="100"/>
      </w:pPr>
      <w:r>
        <w:rPr>
          <w:color w:val="auto"/>
          <w:szCs w:val="20"/>
          <w:highlight w:val="none"/>
        </w:rPr>
        <w:fldChar w:fldCharType="begin"/>
      </w:r>
      <w:r>
        <w:rPr>
          <w:szCs w:val="20"/>
          <w:highlight w:val="none"/>
        </w:rPr>
        <w:instrText xml:space="preserve"> HYPERLINK \l _Toc19602 </w:instrText>
      </w:r>
      <w:r>
        <w:rPr>
          <w:szCs w:val="20"/>
          <w:highlight w:val="none"/>
        </w:rPr>
        <w:fldChar w:fldCharType="separate"/>
      </w:r>
      <w:r>
        <w:rPr>
          <w:rFonts w:hint="eastAsia"/>
          <w:highlight w:val="none"/>
          <w:lang w:val="en-US" w:eastAsia="zh-CN"/>
        </w:rPr>
        <w:t>4.8</w:t>
      </w:r>
      <w:r>
        <w:rPr>
          <w:rFonts w:hint="eastAsia"/>
          <w:highlight w:val="none"/>
        </w:rPr>
        <w:t>满足采购需求的实质性要求</w:t>
      </w:r>
      <w:r>
        <w:tab/>
      </w:r>
      <w:r>
        <w:fldChar w:fldCharType="begin"/>
      </w:r>
      <w:r>
        <w:instrText xml:space="preserve"> PAGEREF _Toc19602 \h </w:instrText>
      </w:r>
      <w:r>
        <w:fldChar w:fldCharType="separate"/>
      </w:r>
      <w:r>
        <w:t>4</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_Toc8524 </w:instrText>
      </w:r>
      <w:r>
        <w:rPr>
          <w:szCs w:val="20"/>
          <w:highlight w:val="none"/>
        </w:rPr>
        <w:fldChar w:fldCharType="separate"/>
      </w:r>
      <w:r>
        <w:rPr>
          <w:rFonts w:hint="eastAsia"/>
        </w:rPr>
        <w:t>第一章 项目简介</w:t>
      </w:r>
      <w:r>
        <w:tab/>
      </w:r>
      <w:r>
        <w:fldChar w:fldCharType="begin"/>
      </w:r>
      <w:r>
        <w:instrText xml:space="preserve"> PAGEREF _Toc8524 \h </w:instrText>
      </w:r>
      <w:r>
        <w:fldChar w:fldCharType="separate"/>
      </w:r>
      <w:r>
        <w:t>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_Toc321 </w:instrText>
      </w:r>
      <w:r>
        <w:rPr>
          <w:szCs w:val="20"/>
          <w:highlight w:val="none"/>
        </w:rPr>
        <w:fldChar w:fldCharType="separate"/>
      </w:r>
      <w:r>
        <w:rPr>
          <w:rFonts w:hint="default"/>
        </w:rPr>
        <w:t xml:space="preserve">1.1 </w:t>
      </w:r>
      <w:r>
        <w:rPr>
          <w:rFonts w:hint="eastAsia"/>
        </w:rPr>
        <w:t>项目名称</w:t>
      </w:r>
      <w:r>
        <w:tab/>
      </w:r>
      <w:r>
        <w:fldChar w:fldCharType="begin"/>
      </w:r>
      <w:r>
        <w:instrText xml:space="preserve"> PAGEREF _Toc321 \h </w:instrText>
      </w:r>
      <w:r>
        <w:fldChar w:fldCharType="separate"/>
      </w:r>
      <w:r>
        <w:t>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_Toc17573 </w:instrText>
      </w:r>
      <w:r>
        <w:rPr>
          <w:szCs w:val="20"/>
          <w:highlight w:val="none"/>
        </w:rPr>
        <w:fldChar w:fldCharType="separate"/>
      </w:r>
      <w:r>
        <w:rPr>
          <w:rFonts w:hint="default"/>
        </w:rPr>
        <w:t xml:space="preserve">1.2 </w:t>
      </w:r>
      <w:r>
        <w:rPr>
          <w:rFonts w:hint="eastAsia"/>
        </w:rPr>
        <w:t>项目建设单位</w:t>
      </w:r>
      <w:r>
        <w:tab/>
      </w:r>
      <w:r>
        <w:fldChar w:fldCharType="begin"/>
      </w:r>
      <w:r>
        <w:instrText xml:space="preserve"> PAGEREF _Toc17573 \h </w:instrText>
      </w:r>
      <w:r>
        <w:fldChar w:fldCharType="separate"/>
      </w:r>
      <w:r>
        <w:t>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_Toc6043 </w:instrText>
      </w:r>
      <w:r>
        <w:rPr>
          <w:szCs w:val="20"/>
          <w:highlight w:val="none"/>
        </w:rPr>
        <w:fldChar w:fldCharType="separate"/>
      </w:r>
      <w:r>
        <w:rPr>
          <w:rFonts w:hint="default"/>
        </w:rPr>
        <w:t xml:space="preserve">1.3 </w:t>
      </w:r>
      <w:r>
        <w:rPr>
          <w:rFonts w:hint="eastAsia"/>
        </w:rPr>
        <w:t>方案编制单位</w:t>
      </w:r>
      <w:r>
        <w:tab/>
      </w:r>
      <w:r>
        <w:fldChar w:fldCharType="begin"/>
      </w:r>
      <w:r>
        <w:instrText xml:space="preserve"> PAGEREF _Toc6043 \h </w:instrText>
      </w:r>
      <w:r>
        <w:fldChar w:fldCharType="separate"/>
      </w:r>
      <w:r>
        <w:t>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_Toc12935 </w:instrText>
      </w:r>
      <w:r>
        <w:rPr>
          <w:szCs w:val="20"/>
          <w:highlight w:val="none"/>
        </w:rPr>
        <w:fldChar w:fldCharType="separate"/>
      </w:r>
      <w:r>
        <w:rPr>
          <w:rFonts w:hint="default"/>
        </w:rPr>
        <w:t xml:space="preserve">1.4 </w:t>
      </w:r>
      <w:r>
        <w:rPr>
          <w:rFonts w:hint="eastAsia"/>
        </w:rPr>
        <w:t>项目建设相关依据文件</w:t>
      </w:r>
      <w:r>
        <w:tab/>
      </w:r>
      <w:r>
        <w:fldChar w:fldCharType="begin"/>
      </w:r>
      <w:r>
        <w:instrText xml:space="preserve"> PAGEREF _Toc12935 \h </w:instrText>
      </w:r>
      <w:r>
        <w:fldChar w:fldCharType="separate"/>
      </w:r>
      <w:r>
        <w:t>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_Toc9419 </w:instrText>
      </w:r>
      <w:r>
        <w:rPr>
          <w:szCs w:val="20"/>
          <w:highlight w:val="none"/>
        </w:rPr>
        <w:fldChar w:fldCharType="separate"/>
      </w:r>
      <w:r>
        <w:rPr>
          <w:rFonts w:hint="default"/>
        </w:rPr>
        <w:t xml:space="preserve">1.4.1 </w:t>
      </w:r>
      <w:r>
        <w:rPr>
          <w:rFonts w:hint="eastAsia"/>
        </w:rPr>
        <w:t>法律依据</w:t>
      </w:r>
      <w:r>
        <w:tab/>
      </w:r>
      <w:r>
        <w:fldChar w:fldCharType="begin"/>
      </w:r>
      <w:r>
        <w:instrText xml:space="preserve"> PAGEREF _Toc9419 \h </w:instrText>
      </w:r>
      <w:r>
        <w:fldChar w:fldCharType="separate"/>
      </w:r>
      <w:r>
        <w:t>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_Toc18835 </w:instrText>
      </w:r>
      <w:r>
        <w:rPr>
          <w:szCs w:val="20"/>
          <w:highlight w:val="none"/>
        </w:rPr>
        <w:fldChar w:fldCharType="separate"/>
      </w:r>
      <w:r>
        <w:rPr>
          <w:rFonts w:hint="default" w:ascii="Times New Roman" w:hAnsi="Times New Roman" w:eastAsia="宋体" w:cs="Times New Roman"/>
          <w:i w:val="0"/>
        </w:rPr>
        <w:t xml:space="preserve">1.1.1 </w:t>
      </w:r>
      <w:r>
        <w:rPr>
          <w:rFonts w:hint="eastAsia"/>
        </w:rPr>
        <w:t>1.4.2 政策文件</w:t>
      </w:r>
      <w:r>
        <w:tab/>
      </w:r>
      <w:r>
        <w:fldChar w:fldCharType="begin"/>
      </w:r>
      <w:r>
        <w:instrText xml:space="preserve"> PAGEREF _Toc18835 \h </w:instrText>
      </w:r>
      <w:r>
        <w:fldChar w:fldCharType="separate"/>
      </w:r>
      <w:r>
        <w:t>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_Toc23152 </w:instrText>
      </w:r>
      <w:r>
        <w:rPr>
          <w:szCs w:val="20"/>
          <w:highlight w:val="none"/>
        </w:rPr>
        <w:fldChar w:fldCharType="separate"/>
      </w:r>
      <w:r>
        <w:rPr>
          <w:rFonts w:hint="default"/>
        </w:rPr>
        <w:t xml:space="preserve">1.4.2 </w:t>
      </w:r>
      <w:r>
        <w:rPr>
          <w:rFonts w:hint="eastAsia"/>
        </w:rPr>
        <w:t>标准规范</w:t>
      </w:r>
      <w:r>
        <w:tab/>
      </w:r>
      <w:r>
        <w:fldChar w:fldCharType="begin"/>
      </w:r>
      <w:r>
        <w:instrText xml:space="preserve"> PAGEREF _Toc23152 \h </w:instrText>
      </w:r>
      <w:r>
        <w:fldChar w:fldCharType="separate"/>
      </w:r>
      <w:r>
        <w:t>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_Toc5226 </w:instrText>
      </w:r>
      <w:r>
        <w:rPr>
          <w:szCs w:val="20"/>
          <w:highlight w:val="none"/>
        </w:rPr>
        <w:fldChar w:fldCharType="separate"/>
      </w:r>
      <w:r>
        <w:rPr>
          <w:rFonts w:hint="eastAsia"/>
        </w:rPr>
        <w:t>1.5 项目概述</w:t>
      </w:r>
      <w:r>
        <w:tab/>
      </w:r>
      <w:r>
        <w:fldChar w:fldCharType="begin"/>
      </w:r>
      <w:r>
        <w:instrText xml:space="preserve"> PAGEREF _Toc5226 \h </w:instrText>
      </w:r>
      <w:r>
        <w:fldChar w:fldCharType="separate"/>
      </w:r>
      <w:r>
        <w:t>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_Toc8761 </w:instrText>
      </w:r>
      <w:r>
        <w:rPr>
          <w:szCs w:val="20"/>
          <w:highlight w:val="none"/>
        </w:rPr>
        <w:fldChar w:fldCharType="separate"/>
      </w:r>
      <w:r>
        <w:rPr>
          <w:rFonts w:hint="eastAsia"/>
        </w:rPr>
        <w:t>1.5.1 项目背景</w:t>
      </w:r>
      <w:r>
        <w:tab/>
      </w:r>
      <w:r>
        <w:fldChar w:fldCharType="begin"/>
      </w:r>
      <w:r>
        <w:instrText xml:space="preserve"> PAGEREF _Toc8761 \h </w:instrText>
      </w:r>
      <w:r>
        <w:fldChar w:fldCharType="separate"/>
      </w:r>
      <w:r>
        <w:t>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_Toc331 </w:instrText>
      </w:r>
      <w:r>
        <w:rPr>
          <w:szCs w:val="20"/>
          <w:highlight w:val="none"/>
        </w:rPr>
        <w:fldChar w:fldCharType="separate"/>
      </w:r>
      <w:r>
        <w:rPr>
          <w:rFonts w:hint="eastAsia"/>
        </w:rPr>
        <w:t>1.5.2 建设目标</w:t>
      </w:r>
      <w:r>
        <w:tab/>
      </w:r>
      <w:r>
        <w:fldChar w:fldCharType="begin"/>
      </w:r>
      <w:r>
        <w:instrText xml:space="preserve"> PAGEREF _Toc331 \h </w:instrText>
      </w:r>
      <w:r>
        <w:fldChar w:fldCharType="separate"/>
      </w:r>
      <w:r>
        <w:t>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_Toc22408 </w:instrText>
      </w:r>
      <w:r>
        <w:rPr>
          <w:szCs w:val="20"/>
          <w:highlight w:val="none"/>
        </w:rPr>
        <w:fldChar w:fldCharType="separate"/>
      </w:r>
      <w:r>
        <w:rPr>
          <w:rFonts w:hint="eastAsia"/>
        </w:rPr>
        <w:t>1.5.3 建设内容</w:t>
      </w:r>
      <w:r>
        <w:tab/>
      </w:r>
      <w:r>
        <w:fldChar w:fldCharType="begin"/>
      </w:r>
      <w:r>
        <w:instrText xml:space="preserve"> PAGEREF _Toc22408 \h </w:instrText>
      </w:r>
      <w:r>
        <w:fldChar w:fldCharType="separate"/>
      </w:r>
      <w:r>
        <w:t>8</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_Toc5026 </w:instrText>
      </w:r>
      <w:r>
        <w:rPr>
          <w:szCs w:val="20"/>
          <w:highlight w:val="none"/>
        </w:rPr>
        <w:fldChar w:fldCharType="separate"/>
      </w:r>
      <w:r>
        <w:rPr>
          <w:rFonts w:hint="eastAsia"/>
        </w:rPr>
        <w:t>第二章 方案设计</w:t>
      </w:r>
      <w:r>
        <w:tab/>
      </w:r>
      <w:r>
        <w:fldChar w:fldCharType="begin"/>
      </w:r>
      <w:r>
        <w:instrText xml:space="preserve"> PAGEREF _Toc5026 \h </w:instrText>
      </w:r>
      <w:r>
        <w:fldChar w:fldCharType="separate"/>
      </w:r>
      <w:r>
        <w:t>9</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_Toc5965 </w:instrText>
      </w:r>
      <w:r>
        <w:rPr>
          <w:szCs w:val="20"/>
          <w:highlight w:val="none"/>
        </w:rPr>
        <w:fldChar w:fldCharType="separate"/>
      </w:r>
      <w:r>
        <w:rPr>
          <w:rFonts w:hint="eastAsia"/>
          <w:lang w:val="en-US" w:eastAsia="zh-CN"/>
        </w:rPr>
        <w:t>2</w:t>
      </w:r>
      <w:r>
        <w:rPr>
          <w:rFonts w:hint="eastAsia"/>
        </w:rPr>
        <w:t xml:space="preserve"> 总体要求</w:t>
      </w:r>
      <w:r>
        <w:tab/>
      </w:r>
      <w:r>
        <w:fldChar w:fldCharType="begin"/>
      </w:r>
      <w:r>
        <w:instrText xml:space="preserve"> PAGEREF _Toc5965 \h </w:instrText>
      </w:r>
      <w:r>
        <w:fldChar w:fldCharType="separate"/>
      </w:r>
      <w:r>
        <w:t>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_Toc18193 </w:instrText>
      </w:r>
      <w:r>
        <w:rPr>
          <w:szCs w:val="20"/>
          <w:highlight w:val="none"/>
        </w:rPr>
        <w:fldChar w:fldCharType="separate"/>
      </w:r>
      <w:r>
        <w:rPr>
          <w:rFonts w:hint="eastAsia"/>
        </w:rPr>
        <w:t>2.1.1 资源中心</w:t>
      </w:r>
      <w:r>
        <w:tab/>
      </w:r>
      <w:r>
        <w:fldChar w:fldCharType="begin"/>
      </w:r>
      <w:r>
        <w:instrText xml:space="preserve"> PAGEREF _Toc18193 \h </w:instrText>
      </w:r>
      <w:r>
        <w:fldChar w:fldCharType="separate"/>
      </w:r>
      <w:r>
        <w:t>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_Toc8038 </w:instrText>
      </w:r>
      <w:r>
        <w:rPr>
          <w:szCs w:val="20"/>
          <w:highlight w:val="none"/>
        </w:rPr>
        <w:fldChar w:fldCharType="separate"/>
      </w:r>
      <w:r>
        <w:rPr>
          <w:rFonts w:hint="eastAsia"/>
        </w:rPr>
        <w:t>2.1.2 心理咨询室</w:t>
      </w:r>
      <w:r>
        <w:tab/>
      </w:r>
      <w:r>
        <w:fldChar w:fldCharType="begin"/>
      </w:r>
      <w:r>
        <w:instrText xml:space="preserve"> PAGEREF _Toc8038 \h </w:instrText>
      </w:r>
      <w:r>
        <w:fldChar w:fldCharType="separate"/>
      </w:r>
      <w:r>
        <w:t>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_Toc22456 </w:instrText>
      </w:r>
      <w:r>
        <w:rPr>
          <w:szCs w:val="20"/>
          <w:highlight w:val="none"/>
        </w:rPr>
        <w:fldChar w:fldCharType="separate"/>
      </w:r>
      <w:r>
        <w:rPr>
          <w:rFonts w:hint="eastAsia"/>
        </w:rPr>
        <w:t>2.1.3 康复训练室</w:t>
      </w:r>
      <w:r>
        <w:tab/>
      </w:r>
      <w:r>
        <w:fldChar w:fldCharType="begin"/>
      </w:r>
      <w:r>
        <w:instrText xml:space="preserve"> PAGEREF _Toc22456 \h </w:instrText>
      </w:r>
      <w:r>
        <w:fldChar w:fldCharType="separate"/>
      </w:r>
      <w:r>
        <w:t>10</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_Toc16965 </w:instrText>
      </w:r>
      <w:r>
        <w:rPr>
          <w:szCs w:val="20"/>
          <w:highlight w:val="none"/>
        </w:rPr>
        <w:fldChar w:fldCharType="separate"/>
      </w:r>
      <w:r>
        <w:rPr>
          <w:rFonts w:hint="eastAsia"/>
        </w:rPr>
        <w:t>2.1.4 艺术治疗室</w:t>
      </w:r>
      <w:r>
        <w:tab/>
      </w:r>
      <w:r>
        <w:fldChar w:fldCharType="begin"/>
      </w:r>
      <w:r>
        <w:instrText xml:space="preserve"> PAGEREF _Toc16965 \h </w:instrText>
      </w:r>
      <w:r>
        <w:fldChar w:fldCharType="separate"/>
      </w:r>
      <w:r>
        <w:t>12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_Toc453 </w:instrText>
      </w:r>
      <w:r>
        <w:rPr>
          <w:szCs w:val="20"/>
          <w:highlight w:val="none"/>
        </w:rPr>
        <w:fldChar w:fldCharType="separate"/>
      </w:r>
      <w:r>
        <w:rPr>
          <w:rFonts w:hint="eastAsia"/>
        </w:rPr>
        <w:t>2.1.5 生活情景体验室</w:t>
      </w:r>
      <w:r>
        <w:tab/>
      </w:r>
      <w:r>
        <w:fldChar w:fldCharType="begin"/>
      </w:r>
      <w:r>
        <w:instrText xml:space="preserve"> PAGEREF _Toc453 \h </w:instrText>
      </w:r>
      <w:r>
        <w:fldChar w:fldCharType="separate"/>
      </w:r>
      <w:r>
        <w:t>12</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_Toc22717 </w:instrText>
      </w:r>
      <w:r>
        <w:rPr>
          <w:szCs w:val="20"/>
          <w:highlight w:val="none"/>
        </w:rPr>
        <w:fldChar w:fldCharType="separate"/>
      </w:r>
      <w:r>
        <w:t>2</w:t>
      </w:r>
      <w:r>
        <w:rPr>
          <w:rFonts w:hint="eastAsia"/>
        </w:rPr>
        <w:t>.2 原则要求</w:t>
      </w:r>
      <w:r>
        <w:tab/>
      </w:r>
      <w:r>
        <w:fldChar w:fldCharType="begin"/>
      </w:r>
      <w:r>
        <w:instrText xml:space="preserve"> PAGEREF _Toc22717 \h </w:instrText>
      </w:r>
      <w:r>
        <w:fldChar w:fldCharType="separate"/>
      </w:r>
      <w:r>
        <w:t>14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_Toc6813 </w:instrText>
      </w:r>
      <w:r>
        <w:rPr>
          <w:szCs w:val="20"/>
          <w:highlight w:val="none"/>
        </w:rPr>
        <w:fldChar w:fldCharType="separate"/>
      </w:r>
      <w:r>
        <w:t>2</w:t>
      </w:r>
      <w:r>
        <w:rPr>
          <w:rFonts w:hint="eastAsia"/>
        </w:rPr>
        <w:t>.3 技术指标</w:t>
      </w:r>
      <w:r>
        <w:tab/>
      </w:r>
      <w:r>
        <w:fldChar w:fldCharType="begin"/>
      </w:r>
      <w:r>
        <w:instrText xml:space="preserve"> PAGEREF _Toc6813 \h </w:instrText>
      </w:r>
      <w:r>
        <w:fldChar w:fldCharType="separate"/>
      </w:r>
      <w:r>
        <w:t>14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_Toc11029 </w:instrText>
      </w:r>
      <w:r>
        <w:rPr>
          <w:szCs w:val="20"/>
          <w:highlight w:val="none"/>
        </w:rPr>
        <w:fldChar w:fldCharType="separate"/>
      </w:r>
      <w:r>
        <w:t>2</w:t>
      </w:r>
      <w:r>
        <w:rPr>
          <w:rFonts w:hint="eastAsia"/>
        </w:rPr>
        <w:t>.4基本布局和场地环境</w:t>
      </w:r>
      <w:r>
        <w:tab/>
      </w:r>
      <w:r>
        <w:fldChar w:fldCharType="begin"/>
      </w:r>
      <w:r>
        <w:instrText xml:space="preserve"> PAGEREF _Toc11029 \h </w:instrText>
      </w:r>
      <w:r>
        <w:fldChar w:fldCharType="separate"/>
      </w:r>
      <w:r>
        <w:t>15</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_Toc14354 </w:instrText>
      </w:r>
      <w:r>
        <w:rPr>
          <w:szCs w:val="20"/>
          <w:highlight w:val="none"/>
        </w:rPr>
        <w:fldChar w:fldCharType="separate"/>
      </w:r>
      <w:r>
        <w:t>2</w:t>
      </w:r>
      <w:r>
        <w:rPr>
          <w:rFonts w:hint="eastAsia"/>
        </w:rPr>
        <w:t>.</w:t>
      </w:r>
      <w:r>
        <w:t>5</w:t>
      </w:r>
      <w:r>
        <w:rPr>
          <w:rFonts w:hint="eastAsia"/>
        </w:rPr>
        <w:t>区域设置</w:t>
      </w:r>
      <w:r>
        <w:tab/>
      </w:r>
      <w:r>
        <w:fldChar w:fldCharType="begin"/>
      </w:r>
      <w:r>
        <w:instrText xml:space="preserve"> PAGEREF _Toc14354 \h </w:instrText>
      </w:r>
      <w:r>
        <w:fldChar w:fldCharType="separate"/>
      </w:r>
      <w:r>
        <w:t>15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_Toc21463 </w:instrText>
      </w:r>
      <w:r>
        <w:rPr>
          <w:szCs w:val="20"/>
          <w:highlight w:val="none"/>
        </w:rPr>
        <w:fldChar w:fldCharType="separate"/>
      </w:r>
      <w:r>
        <w:t>2</w:t>
      </w:r>
      <w:r>
        <w:rPr>
          <w:rFonts w:hint="eastAsia"/>
        </w:rPr>
        <w:t>.</w:t>
      </w:r>
      <w:r>
        <w:t>5</w:t>
      </w:r>
      <w:r>
        <w:rPr>
          <w:rFonts w:hint="eastAsia"/>
        </w:rPr>
        <w:t>.1 资源中心功能</w:t>
      </w:r>
      <w:r>
        <w:tab/>
      </w:r>
      <w:r>
        <w:fldChar w:fldCharType="begin"/>
      </w:r>
      <w:r>
        <w:instrText xml:space="preserve"> PAGEREF _Toc21463 \h </w:instrText>
      </w:r>
      <w:r>
        <w:fldChar w:fldCharType="separate"/>
      </w:r>
      <w:r>
        <w:t>15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_Toc32390 </w:instrText>
      </w:r>
      <w:r>
        <w:rPr>
          <w:szCs w:val="20"/>
          <w:highlight w:val="none"/>
        </w:rPr>
        <w:fldChar w:fldCharType="separate"/>
      </w:r>
      <w:r>
        <w:t>2</w:t>
      </w:r>
      <w:r>
        <w:rPr>
          <w:rFonts w:hint="eastAsia"/>
        </w:rPr>
        <w:t>.</w:t>
      </w:r>
      <w:r>
        <w:t>5</w:t>
      </w:r>
      <w:r>
        <w:rPr>
          <w:rFonts w:hint="eastAsia"/>
        </w:rPr>
        <w:t>.2 心理咨询室功能</w:t>
      </w:r>
      <w:r>
        <w:tab/>
      </w:r>
      <w:r>
        <w:fldChar w:fldCharType="begin"/>
      </w:r>
      <w:r>
        <w:instrText xml:space="preserve"> PAGEREF _Toc32390 \h </w:instrText>
      </w:r>
      <w:r>
        <w:fldChar w:fldCharType="separate"/>
      </w:r>
      <w:r>
        <w:t>16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_Toc29173 </w:instrText>
      </w:r>
      <w:r>
        <w:rPr>
          <w:szCs w:val="20"/>
          <w:highlight w:val="none"/>
        </w:rPr>
        <w:fldChar w:fldCharType="separate"/>
      </w:r>
      <w:r>
        <w:t>2</w:t>
      </w:r>
      <w:r>
        <w:rPr>
          <w:rFonts w:hint="eastAsia"/>
        </w:rPr>
        <w:t>.</w:t>
      </w:r>
      <w:r>
        <w:t>5</w:t>
      </w:r>
      <w:r>
        <w:rPr>
          <w:rFonts w:hint="eastAsia"/>
        </w:rPr>
        <w:t>.3 康复训练室功能</w:t>
      </w:r>
      <w:r>
        <w:tab/>
      </w:r>
      <w:r>
        <w:fldChar w:fldCharType="begin"/>
      </w:r>
      <w:r>
        <w:instrText xml:space="preserve"> PAGEREF _Toc29173 \h </w:instrText>
      </w:r>
      <w:r>
        <w:fldChar w:fldCharType="separate"/>
      </w:r>
      <w:r>
        <w:t>16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_Toc13545 </w:instrText>
      </w:r>
      <w:r>
        <w:rPr>
          <w:szCs w:val="20"/>
          <w:highlight w:val="none"/>
        </w:rPr>
        <w:fldChar w:fldCharType="separate"/>
      </w:r>
      <w:r>
        <w:t>2</w:t>
      </w:r>
      <w:r>
        <w:rPr>
          <w:rFonts w:hint="eastAsia"/>
        </w:rPr>
        <w:t>.</w:t>
      </w:r>
      <w:r>
        <w:t>5</w:t>
      </w:r>
      <w:r>
        <w:rPr>
          <w:rFonts w:hint="eastAsia"/>
        </w:rPr>
        <w:t>.4 艺术治疗室功能</w:t>
      </w:r>
      <w:r>
        <w:tab/>
      </w:r>
      <w:r>
        <w:fldChar w:fldCharType="begin"/>
      </w:r>
      <w:r>
        <w:instrText xml:space="preserve"> PAGEREF _Toc13545 \h </w:instrText>
      </w:r>
      <w:r>
        <w:fldChar w:fldCharType="separate"/>
      </w:r>
      <w:r>
        <w:t>19</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_Toc27959 </w:instrText>
      </w:r>
      <w:r>
        <w:rPr>
          <w:szCs w:val="20"/>
          <w:highlight w:val="none"/>
        </w:rPr>
        <w:fldChar w:fldCharType="separate"/>
      </w:r>
      <w:r>
        <w:t>2</w:t>
      </w:r>
      <w:r>
        <w:rPr>
          <w:rFonts w:hint="eastAsia"/>
        </w:rPr>
        <w:t>.</w:t>
      </w:r>
      <w:r>
        <w:t>5</w:t>
      </w:r>
      <w:r>
        <w:rPr>
          <w:rFonts w:hint="eastAsia"/>
        </w:rPr>
        <w:t>.5 生活情景体验室功能</w:t>
      </w:r>
      <w:r>
        <w:tab/>
      </w:r>
      <w:r>
        <w:fldChar w:fldCharType="begin"/>
      </w:r>
      <w:r>
        <w:instrText xml:space="preserve"> PAGEREF _Toc27959 \h </w:instrText>
      </w:r>
      <w:r>
        <w:fldChar w:fldCharType="separate"/>
      </w:r>
      <w:r>
        <w:t>20</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_Toc26395 </w:instrText>
      </w:r>
      <w:r>
        <w:rPr>
          <w:szCs w:val="20"/>
          <w:highlight w:val="none"/>
        </w:rPr>
        <w:fldChar w:fldCharType="separate"/>
      </w:r>
      <w:r>
        <w:t>2</w:t>
      </w:r>
      <w:r>
        <w:rPr>
          <w:rFonts w:hint="eastAsia"/>
        </w:rPr>
        <w:t>.</w:t>
      </w:r>
      <w:r>
        <w:t>6</w:t>
      </w:r>
      <w:r>
        <w:rPr>
          <w:rFonts w:hint="eastAsia"/>
        </w:rPr>
        <w:t>配备目录</w:t>
      </w:r>
      <w:r>
        <w:tab/>
      </w:r>
      <w:r>
        <w:fldChar w:fldCharType="begin"/>
      </w:r>
      <w:r>
        <w:instrText xml:space="preserve"> PAGEREF _Toc26395 \h </w:instrText>
      </w:r>
      <w:r>
        <w:fldChar w:fldCharType="separate"/>
      </w:r>
      <w:r>
        <w:t>22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_Toc20526 </w:instrText>
      </w:r>
      <w:r>
        <w:rPr>
          <w:szCs w:val="20"/>
          <w:highlight w:val="none"/>
        </w:rPr>
        <w:fldChar w:fldCharType="separate"/>
      </w:r>
      <w:r>
        <w:t>2.6.1</w:t>
      </w:r>
      <w:r>
        <w:rPr>
          <w:rFonts w:hint="eastAsia"/>
        </w:rPr>
        <w:t xml:space="preserve"> 资源中心设备清单</w:t>
      </w:r>
      <w:r>
        <w:tab/>
      </w:r>
      <w:r>
        <w:fldChar w:fldCharType="begin"/>
      </w:r>
      <w:r>
        <w:instrText xml:space="preserve"> PAGEREF _Toc20526 \h </w:instrText>
      </w:r>
      <w:r>
        <w:fldChar w:fldCharType="separate"/>
      </w:r>
      <w:r>
        <w:t>22</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_Toc894 </w:instrText>
      </w:r>
      <w:r>
        <w:rPr>
          <w:szCs w:val="20"/>
          <w:highlight w:val="none"/>
        </w:rPr>
        <w:fldChar w:fldCharType="separate"/>
      </w:r>
      <w:r>
        <w:t>2</w:t>
      </w:r>
      <w:r>
        <w:rPr>
          <w:rFonts w:hint="eastAsia"/>
        </w:rPr>
        <w:t>.</w:t>
      </w:r>
      <w:r>
        <w:t>6</w:t>
      </w:r>
      <w:r>
        <w:rPr>
          <w:rFonts w:hint="eastAsia"/>
        </w:rPr>
        <w:t>.2 康复训练室设备清单</w:t>
      </w:r>
      <w:r>
        <w:tab/>
      </w:r>
      <w:r>
        <w:fldChar w:fldCharType="begin"/>
      </w:r>
      <w:r>
        <w:instrText xml:space="preserve"> PAGEREF _Toc894 \h </w:instrText>
      </w:r>
      <w:r>
        <w:fldChar w:fldCharType="separate"/>
      </w:r>
      <w:r>
        <w:t>56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_Toc29224 </w:instrText>
      </w:r>
      <w:r>
        <w:rPr>
          <w:szCs w:val="20"/>
          <w:highlight w:val="none"/>
        </w:rPr>
        <w:fldChar w:fldCharType="separate"/>
      </w:r>
      <w:r>
        <w:t>2.6.</w:t>
      </w:r>
      <w:r>
        <w:rPr>
          <w:rFonts w:hint="eastAsia"/>
        </w:rPr>
        <w:t>3心理咨询室设备清单</w:t>
      </w:r>
      <w:r>
        <w:tab/>
      </w:r>
      <w:r>
        <w:fldChar w:fldCharType="begin"/>
      </w:r>
      <w:r>
        <w:instrText xml:space="preserve"> PAGEREF _Toc29224 \h </w:instrText>
      </w:r>
      <w:r>
        <w:fldChar w:fldCharType="separate"/>
      </w:r>
      <w:r>
        <w:t>85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_Toc20426 </w:instrText>
      </w:r>
      <w:r>
        <w:rPr>
          <w:szCs w:val="20"/>
          <w:highlight w:val="none"/>
        </w:rPr>
        <w:fldChar w:fldCharType="separate"/>
      </w:r>
      <w:r>
        <w:t>2</w:t>
      </w:r>
      <w:r>
        <w:rPr>
          <w:rFonts w:hint="eastAsia"/>
        </w:rPr>
        <w:t>.</w:t>
      </w:r>
      <w:r>
        <w:t>6</w:t>
      </w:r>
      <w:r>
        <w:rPr>
          <w:rFonts w:hint="eastAsia"/>
        </w:rPr>
        <w:t>.</w:t>
      </w:r>
      <w:r>
        <w:t>4</w:t>
      </w:r>
      <w:r>
        <w:rPr>
          <w:rFonts w:hint="eastAsia"/>
        </w:rPr>
        <w:t xml:space="preserve"> 艺术治疗室设备清单</w:t>
      </w:r>
      <w:r>
        <w:tab/>
      </w:r>
      <w:r>
        <w:fldChar w:fldCharType="begin"/>
      </w:r>
      <w:r>
        <w:instrText xml:space="preserve"> PAGEREF _Toc20426 \h </w:instrText>
      </w:r>
      <w:r>
        <w:fldChar w:fldCharType="separate"/>
      </w:r>
      <w:r>
        <w:t>90</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_Toc12209 </w:instrText>
      </w:r>
      <w:r>
        <w:rPr>
          <w:szCs w:val="20"/>
          <w:highlight w:val="none"/>
        </w:rPr>
        <w:fldChar w:fldCharType="separate"/>
      </w:r>
      <w:r>
        <w:t>2</w:t>
      </w:r>
      <w:r>
        <w:rPr>
          <w:rFonts w:hint="eastAsia"/>
        </w:rPr>
        <w:t>.</w:t>
      </w:r>
      <w:r>
        <w:t>6</w:t>
      </w:r>
      <w:r>
        <w:rPr>
          <w:rFonts w:hint="eastAsia"/>
        </w:rPr>
        <w:t>.</w:t>
      </w:r>
      <w:r>
        <w:t>5</w:t>
      </w:r>
      <w:r>
        <w:rPr>
          <w:rFonts w:hint="eastAsia"/>
        </w:rPr>
        <w:t xml:space="preserve"> 生活情景体验室设备清单</w:t>
      </w:r>
      <w:r>
        <w:tab/>
      </w:r>
      <w:r>
        <w:fldChar w:fldCharType="begin"/>
      </w:r>
      <w:r>
        <w:instrText xml:space="preserve"> PAGEREF _Toc12209 \h </w:instrText>
      </w:r>
      <w:r>
        <w:fldChar w:fldCharType="separate"/>
      </w:r>
      <w:r>
        <w:t>105</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_Toc1163 </w:instrText>
      </w:r>
      <w:r>
        <w:rPr>
          <w:szCs w:val="20"/>
          <w:highlight w:val="none"/>
        </w:rPr>
        <w:fldChar w:fldCharType="separate"/>
      </w:r>
      <w:r>
        <w:rPr>
          <w:rFonts w:hint="eastAsia"/>
        </w:rPr>
        <w:t>第</w:t>
      </w:r>
      <w:r>
        <w:rPr>
          <w:rFonts w:hint="eastAsia"/>
          <w:lang w:val="en-US" w:eastAsia="zh-CN"/>
        </w:rPr>
        <w:t>三</w:t>
      </w:r>
      <w:r>
        <w:rPr>
          <w:rFonts w:hint="eastAsia"/>
        </w:rPr>
        <w:t>章人员培训</w:t>
      </w:r>
      <w:r>
        <w:tab/>
      </w:r>
      <w:r>
        <w:fldChar w:fldCharType="begin"/>
      </w:r>
      <w:r>
        <w:instrText xml:space="preserve"> PAGEREF _Toc1163 \h </w:instrText>
      </w:r>
      <w:r>
        <w:fldChar w:fldCharType="separate"/>
      </w:r>
      <w:r>
        <w:t>116</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_Toc19327 </w:instrText>
      </w:r>
      <w:r>
        <w:rPr>
          <w:szCs w:val="20"/>
          <w:highlight w:val="none"/>
        </w:rPr>
        <w:fldChar w:fldCharType="separate"/>
      </w:r>
      <w:r>
        <w:rPr>
          <w:rFonts w:hint="eastAsia"/>
          <w:lang w:val="en-US" w:eastAsia="zh-CN"/>
        </w:rPr>
        <w:t>3</w:t>
      </w:r>
      <w:r>
        <w:rPr>
          <w:rFonts w:hint="eastAsia"/>
        </w:rPr>
        <w:t>.1培训计划</w:t>
      </w:r>
      <w:r>
        <w:tab/>
      </w:r>
      <w:r>
        <w:fldChar w:fldCharType="begin"/>
      </w:r>
      <w:r>
        <w:instrText xml:space="preserve"> PAGEREF _Toc19327 \h </w:instrText>
      </w:r>
      <w:r>
        <w:fldChar w:fldCharType="separate"/>
      </w:r>
      <w:r>
        <w:t>116</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_Toc31883 </w:instrText>
      </w:r>
      <w:r>
        <w:rPr>
          <w:szCs w:val="20"/>
          <w:highlight w:val="none"/>
        </w:rPr>
        <w:fldChar w:fldCharType="separate"/>
      </w:r>
      <w:r>
        <w:rPr>
          <w:rFonts w:hint="eastAsia"/>
        </w:rPr>
        <w:t>第</w:t>
      </w:r>
      <w:r>
        <w:rPr>
          <w:rFonts w:hint="eastAsia"/>
          <w:lang w:val="en-US" w:eastAsia="zh-CN"/>
        </w:rPr>
        <w:t>四</w:t>
      </w:r>
      <w:r>
        <w:rPr>
          <w:rFonts w:hint="eastAsia"/>
        </w:rPr>
        <w:t>章运行维护</w:t>
      </w:r>
      <w:r>
        <w:tab/>
      </w:r>
      <w:r>
        <w:fldChar w:fldCharType="begin"/>
      </w:r>
      <w:r>
        <w:instrText xml:space="preserve"> PAGEREF _Toc31883 \h </w:instrText>
      </w:r>
      <w:r>
        <w:fldChar w:fldCharType="separate"/>
      </w:r>
      <w:r>
        <w:t>117</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_Toc5215 </w:instrText>
      </w:r>
      <w:r>
        <w:rPr>
          <w:szCs w:val="20"/>
          <w:highlight w:val="none"/>
        </w:rPr>
        <w:fldChar w:fldCharType="separate"/>
      </w:r>
      <w:r>
        <w:rPr>
          <w:rFonts w:hint="eastAsia"/>
          <w:lang w:val="en-US" w:eastAsia="zh-CN"/>
        </w:rPr>
        <w:t>4</w:t>
      </w:r>
      <w:r>
        <w:rPr>
          <w:rFonts w:hint="eastAsia"/>
        </w:rPr>
        <w:t>.1运行维护内容</w:t>
      </w:r>
      <w:r>
        <w:tab/>
      </w:r>
      <w:r>
        <w:fldChar w:fldCharType="begin"/>
      </w:r>
      <w:r>
        <w:instrText xml:space="preserve"> PAGEREF _Toc5215 \h </w:instrText>
      </w:r>
      <w:r>
        <w:fldChar w:fldCharType="separate"/>
      </w:r>
      <w:r>
        <w:t>117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_Toc21990 </w:instrText>
      </w:r>
      <w:r>
        <w:rPr>
          <w:szCs w:val="20"/>
          <w:highlight w:val="none"/>
        </w:rPr>
        <w:fldChar w:fldCharType="separate"/>
      </w:r>
      <w:r>
        <w:rPr>
          <w:rFonts w:hint="eastAsia"/>
          <w:lang w:val="en-US" w:eastAsia="zh-CN"/>
        </w:rPr>
        <w:t>4</w:t>
      </w:r>
      <w:r>
        <w:rPr>
          <w:rFonts w:hint="eastAsia"/>
        </w:rPr>
        <w:t>.1.1质量保证要求</w:t>
      </w:r>
      <w:r>
        <w:tab/>
      </w:r>
      <w:r>
        <w:fldChar w:fldCharType="begin"/>
      </w:r>
      <w:r>
        <w:instrText xml:space="preserve"> PAGEREF _Toc21990 \h </w:instrText>
      </w:r>
      <w:r>
        <w:fldChar w:fldCharType="separate"/>
      </w:r>
      <w:r>
        <w:t>117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_Toc6265 </w:instrText>
      </w:r>
      <w:r>
        <w:rPr>
          <w:szCs w:val="20"/>
          <w:highlight w:val="none"/>
        </w:rPr>
        <w:fldChar w:fldCharType="separate"/>
      </w:r>
      <w:r>
        <w:rPr>
          <w:rFonts w:hint="eastAsia"/>
          <w:lang w:val="en-US" w:eastAsia="zh-CN"/>
        </w:rPr>
        <w:t>4</w:t>
      </w:r>
      <w:r>
        <w:rPr>
          <w:rFonts w:hint="eastAsia"/>
        </w:rPr>
        <w:t>.1.2运行维护要求</w:t>
      </w:r>
      <w:r>
        <w:tab/>
      </w:r>
      <w:r>
        <w:fldChar w:fldCharType="begin"/>
      </w:r>
      <w:r>
        <w:instrText xml:space="preserve"> PAGEREF _Toc6265 \h </w:instrText>
      </w:r>
      <w:r>
        <w:fldChar w:fldCharType="separate"/>
      </w:r>
      <w:r>
        <w:t>117</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_Toc5307 </w:instrText>
      </w:r>
      <w:r>
        <w:rPr>
          <w:szCs w:val="20"/>
          <w:highlight w:val="none"/>
        </w:rPr>
        <w:fldChar w:fldCharType="separate"/>
      </w:r>
      <w:r>
        <w:rPr>
          <w:rFonts w:hint="eastAsia"/>
        </w:rPr>
        <w:t>第</w:t>
      </w:r>
      <w:r>
        <w:rPr>
          <w:rFonts w:hint="eastAsia"/>
          <w:lang w:val="en-US" w:eastAsia="zh-CN"/>
        </w:rPr>
        <w:t>五</w:t>
      </w:r>
      <w:r>
        <w:rPr>
          <w:rFonts w:hint="eastAsia"/>
        </w:rPr>
        <w:t>章其他要求</w:t>
      </w:r>
      <w:r>
        <w:tab/>
      </w:r>
      <w:r>
        <w:fldChar w:fldCharType="begin"/>
      </w:r>
      <w:r>
        <w:instrText xml:space="preserve"> PAGEREF _Toc5307 \h </w:instrText>
      </w:r>
      <w:r>
        <w:fldChar w:fldCharType="separate"/>
      </w:r>
      <w:r>
        <w:t>118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_Toc1978 </w:instrText>
      </w:r>
      <w:r>
        <w:rPr>
          <w:szCs w:val="20"/>
          <w:highlight w:val="none"/>
        </w:rPr>
        <w:fldChar w:fldCharType="separate"/>
      </w:r>
      <w:r>
        <w:rPr>
          <w:rFonts w:hint="eastAsia"/>
          <w:lang w:val="en-US" w:eastAsia="zh-CN"/>
        </w:rPr>
        <w:t>5</w:t>
      </w:r>
      <w:r>
        <w:rPr>
          <w:rFonts w:hint="eastAsia"/>
        </w:rPr>
        <w:t>.1质量要求</w:t>
      </w:r>
      <w:r>
        <w:tab/>
      </w:r>
      <w:r>
        <w:fldChar w:fldCharType="begin"/>
      </w:r>
      <w:r>
        <w:instrText xml:space="preserve"> PAGEREF _Toc1978 \h </w:instrText>
      </w:r>
      <w:r>
        <w:fldChar w:fldCharType="separate"/>
      </w:r>
      <w:r>
        <w:t>118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_Toc7263 </w:instrText>
      </w:r>
      <w:r>
        <w:rPr>
          <w:szCs w:val="20"/>
          <w:highlight w:val="none"/>
        </w:rPr>
        <w:fldChar w:fldCharType="separate"/>
      </w:r>
      <w:r>
        <w:rPr>
          <w:rFonts w:hint="eastAsia"/>
          <w:lang w:val="en-US" w:eastAsia="zh-CN"/>
        </w:rPr>
        <w:t>5</w:t>
      </w:r>
      <w:r>
        <w:rPr>
          <w:rFonts w:hint="eastAsia"/>
        </w:rPr>
        <w:t>.2验收要求</w:t>
      </w:r>
      <w:r>
        <w:tab/>
      </w:r>
      <w:r>
        <w:fldChar w:fldCharType="begin"/>
      </w:r>
      <w:r>
        <w:instrText xml:space="preserve"> PAGEREF _Toc7263 \h </w:instrText>
      </w:r>
      <w:r>
        <w:fldChar w:fldCharType="separate"/>
      </w:r>
      <w:r>
        <w:t>118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_Toc26295 </w:instrText>
      </w:r>
      <w:r>
        <w:rPr>
          <w:szCs w:val="20"/>
          <w:highlight w:val="none"/>
        </w:rPr>
        <w:fldChar w:fldCharType="separate"/>
      </w:r>
      <w:r>
        <w:rPr>
          <w:rFonts w:hint="eastAsia"/>
          <w:lang w:val="en-US" w:eastAsia="zh-CN"/>
        </w:rPr>
        <w:t>5</w:t>
      </w:r>
      <w:r>
        <w:rPr>
          <w:rFonts w:hint="eastAsia"/>
        </w:rPr>
        <w:t>.3验收文档</w:t>
      </w:r>
      <w:r>
        <w:tab/>
      </w:r>
      <w:r>
        <w:fldChar w:fldCharType="begin"/>
      </w:r>
      <w:r>
        <w:instrText xml:space="preserve"> PAGEREF _Toc26295 \h </w:instrText>
      </w:r>
      <w:r>
        <w:fldChar w:fldCharType="separate"/>
      </w:r>
      <w:r>
        <w:t>118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_Toc15173 </w:instrText>
      </w:r>
      <w:r>
        <w:rPr>
          <w:szCs w:val="20"/>
          <w:highlight w:val="none"/>
        </w:rPr>
        <w:fldChar w:fldCharType="separate"/>
      </w:r>
      <w:r>
        <w:rPr>
          <w:rFonts w:hint="eastAsia"/>
          <w:highlight w:val="none"/>
        </w:rPr>
        <w:t>5.1总则</w:t>
      </w:r>
      <w:r>
        <w:tab/>
      </w:r>
      <w:r>
        <w:fldChar w:fldCharType="begin"/>
      </w:r>
      <w:r>
        <w:instrText xml:space="preserve"> PAGEREF _Toc15173 \h </w:instrText>
      </w:r>
      <w:r>
        <w:fldChar w:fldCharType="separate"/>
      </w:r>
      <w:r>
        <w:t>119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_Toc32134 </w:instrText>
      </w:r>
      <w:r>
        <w:rPr>
          <w:szCs w:val="20"/>
          <w:highlight w:val="none"/>
        </w:rPr>
        <w:fldChar w:fldCharType="separate"/>
      </w:r>
      <w:r>
        <w:rPr>
          <w:rFonts w:hint="eastAsia"/>
          <w:highlight w:val="none"/>
        </w:rPr>
        <w:t>5.2</w:t>
      </w:r>
      <w:r>
        <w:rPr>
          <w:rFonts w:hint="eastAsia"/>
          <w:highlight w:val="none"/>
          <w:lang w:eastAsia="zh-CN"/>
        </w:rPr>
        <w:t>评审</w:t>
      </w:r>
      <w:r>
        <w:rPr>
          <w:rFonts w:hint="eastAsia"/>
          <w:highlight w:val="none"/>
        </w:rPr>
        <w:t>程序</w:t>
      </w:r>
      <w:r>
        <w:tab/>
      </w:r>
      <w:r>
        <w:fldChar w:fldCharType="begin"/>
      </w:r>
      <w:r>
        <w:instrText xml:space="preserve"> PAGEREF _Toc32134 \h </w:instrText>
      </w:r>
      <w:r>
        <w:fldChar w:fldCharType="separate"/>
      </w:r>
      <w:r>
        <w:t>120</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_Toc9970 </w:instrText>
      </w:r>
      <w:r>
        <w:rPr>
          <w:szCs w:val="20"/>
          <w:highlight w:val="none"/>
        </w:rPr>
        <w:fldChar w:fldCharType="separate"/>
      </w:r>
      <w:r>
        <w:rPr>
          <w:rFonts w:hint="eastAsia"/>
          <w:highlight w:val="none"/>
        </w:rPr>
        <w:t>5.2.</w:t>
      </w:r>
      <w:r>
        <w:rPr>
          <w:rFonts w:hint="eastAsia"/>
          <w:highlight w:val="none"/>
          <w:lang w:val="en-US" w:eastAsia="zh-CN"/>
        </w:rPr>
        <w:t>1</w:t>
      </w:r>
      <w:r>
        <w:rPr>
          <w:rFonts w:hint="eastAsia"/>
          <w:highlight w:val="none"/>
        </w:rPr>
        <w:t>磋商小组</w:t>
      </w:r>
      <w:r>
        <w:tab/>
      </w:r>
      <w:r>
        <w:fldChar w:fldCharType="begin"/>
      </w:r>
      <w:r>
        <w:instrText xml:space="preserve"> PAGEREF _Toc9970 \h </w:instrText>
      </w:r>
      <w:r>
        <w:fldChar w:fldCharType="separate"/>
      </w:r>
      <w:r>
        <w:t>120</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_Toc2643 </w:instrText>
      </w:r>
      <w:r>
        <w:rPr>
          <w:szCs w:val="20"/>
          <w:highlight w:val="none"/>
        </w:rPr>
        <w:fldChar w:fldCharType="separate"/>
      </w:r>
      <w:r>
        <w:rPr>
          <w:rFonts w:hint="eastAsia"/>
          <w:highlight w:val="none"/>
        </w:rPr>
        <w:t>5.2.</w:t>
      </w:r>
      <w:r>
        <w:rPr>
          <w:rFonts w:hint="eastAsia"/>
          <w:highlight w:val="none"/>
          <w:lang w:val="en-US" w:eastAsia="zh-CN"/>
        </w:rPr>
        <w:t>2</w:t>
      </w:r>
      <w:r>
        <w:rPr>
          <w:rFonts w:hint="eastAsia"/>
          <w:highlight w:val="none"/>
        </w:rPr>
        <w:t>资格性审查</w:t>
      </w:r>
      <w:r>
        <w:tab/>
      </w:r>
      <w:r>
        <w:fldChar w:fldCharType="begin"/>
      </w:r>
      <w:r>
        <w:instrText xml:space="preserve"> PAGEREF _Toc2643 \h </w:instrText>
      </w:r>
      <w:r>
        <w:fldChar w:fldCharType="separate"/>
      </w:r>
      <w:r>
        <w:t>120</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_Toc28849 </w:instrText>
      </w:r>
      <w:r>
        <w:rPr>
          <w:szCs w:val="20"/>
          <w:highlight w:val="none"/>
        </w:rPr>
        <w:fldChar w:fldCharType="separate"/>
      </w:r>
      <w:r>
        <w:rPr>
          <w:rFonts w:hint="eastAsia"/>
          <w:highlight w:val="none"/>
          <w:lang w:val="en-US" w:eastAsia="zh-CN"/>
        </w:rPr>
        <w:t>5.2.3符合性审</w:t>
      </w:r>
      <w:r>
        <w:tab/>
      </w:r>
      <w:r>
        <w:fldChar w:fldCharType="begin"/>
      </w:r>
      <w:r>
        <w:instrText xml:space="preserve"> PAGEREF _Toc28849 \h </w:instrText>
      </w:r>
      <w:r>
        <w:fldChar w:fldCharType="separate"/>
      </w:r>
      <w:r>
        <w:t>123</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_Toc15813 </w:instrText>
      </w:r>
      <w:r>
        <w:rPr>
          <w:szCs w:val="20"/>
          <w:highlight w:val="none"/>
        </w:rPr>
        <w:fldChar w:fldCharType="separate"/>
      </w:r>
      <w:r>
        <w:rPr>
          <w:rFonts w:hint="eastAsia"/>
          <w:highlight w:val="none"/>
        </w:rPr>
        <w:t>5.2.</w:t>
      </w:r>
      <w:r>
        <w:rPr>
          <w:rFonts w:hint="eastAsia"/>
          <w:highlight w:val="none"/>
          <w:lang w:val="en-US" w:eastAsia="zh-CN"/>
        </w:rPr>
        <w:t>4</w:t>
      </w:r>
      <w:r>
        <w:rPr>
          <w:rFonts w:hint="eastAsia"/>
          <w:highlight w:val="none"/>
        </w:rPr>
        <w:t>磋商</w:t>
      </w:r>
      <w:r>
        <w:tab/>
      </w:r>
      <w:r>
        <w:fldChar w:fldCharType="begin"/>
      </w:r>
      <w:r>
        <w:instrText xml:space="preserve"> PAGEREF _Toc15813 \h </w:instrText>
      </w:r>
      <w:r>
        <w:fldChar w:fldCharType="separate"/>
      </w:r>
      <w:r>
        <w:t>125</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_Toc238 </w:instrText>
      </w:r>
      <w:r>
        <w:rPr>
          <w:szCs w:val="20"/>
          <w:highlight w:val="none"/>
        </w:rPr>
        <w:fldChar w:fldCharType="separate"/>
      </w:r>
      <w:r>
        <w:rPr>
          <w:rFonts w:hint="eastAsia"/>
          <w:highlight w:val="none"/>
        </w:rPr>
        <w:t>5.2.</w:t>
      </w:r>
      <w:r>
        <w:rPr>
          <w:rFonts w:hint="eastAsia"/>
          <w:highlight w:val="none"/>
          <w:lang w:val="en-US" w:eastAsia="zh-CN"/>
        </w:rPr>
        <w:t>5</w:t>
      </w:r>
      <w:r>
        <w:rPr>
          <w:rFonts w:hint="eastAsia"/>
          <w:highlight w:val="none"/>
        </w:rPr>
        <w:t>最后报价审查</w:t>
      </w:r>
      <w:r>
        <w:tab/>
      </w:r>
      <w:r>
        <w:fldChar w:fldCharType="begin"/>
      </w:r>
      <w:r>
        <w:instrText xml:space="preserve"> PAGEREF _Toc238 \h </w:instrText>
      </w:r>
      <w:r>
        <w:fldChar w:fldCharType="separate"/>
      </w:r>
      <w:r>
        <w:t>126</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_Toc22110 </w:instrText>
      </w:r>
      <w:r>
        <w:rPr>
          <w:szCs w:val="20"/>
          <w:highlight w:val="none"/>
        </w:rPr>
        <w:fldChar w:fldCharType="separate"/>
      </w:r>
      <w:r>
        <w:rPr>
          <w:rFonts w:hint="eastAsia"/>
          <w:highlight w:val="none"/>
        </w:rPr>
        <w:t>5.2.</w:t>
      </w:r>
      <w:r>
        <w:rPr>
          <w:rFonts w:hint="eastAsia"/>
          <w:highlight w:val="none"/>
          <w:lang w:val="en-US" w:eastAsia="zh-CN"/>
        </w:rPr>
        <w:t>6</w:t>
      </w:r>
      <w:r>
        <w:rPr>
          <w:rFonts w:hint="eastAsia"/>
          <w:highlight w:val="none"/>
        </w:rPr>
        <w:t>解释、澄清、说明的有关问题</w:t>
      </w:r>
      <w:r>
        <w:tab/>
      </w:r>
      <w:r>
        <w:fldChar w:fldCharType="begin"/>
      </w:r>
      <w:r>
        <w:instrText xml:space="preserve"> PAGEREF _Toc22110 \h </w:instrText>
      </w:r>
      <w:r>
        <w:fldChar w:fldCharType="separate"/>
      </w:r>
      <w:r>
        <w:t>127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_Toc10982 </w:instrText>
      </w:r>
      <w:r>
        <w:rPr>
          <w:szCs w:val="20"/>
          <w:highlight w:val="none"/>
        </w:rPr>
        <w:fldChar w:fldCharType="separate"/>
      </w:r>
      <w:r>
        <w:rPr>
          <w:rFonts w:hint="eastAsia"/>
          <w:highlight w:val="none"/>
        </w:rPr>
        <w:t>5.2.</w:t>
      </w:r>
      <w:r>
        <w:rPr>
          <w:rFonts w:hint="eastAsia"/>
          <w:highlight w:val="none"/>
          <w:lang w:val="en-US" w:eastAsia="zh-CN"/>
        </w:rPr>
        <w:t>7</w:t>
      </w:r>
      <w:r>
        <w:rPr>
          <w:highlight w:val="none"/>
        </w:rPr>
        <w:t>复核</w:t>
      </w:r>
      <w:r>
        <w:tab/>
      </w:r>
      <w:r>
        <w:fldChar w:fldCharType="begin"/>
      </w:r>
      <w:r>
        <w:instrText xml:space="preserve"> PAGEREF _Toc10982 \h </w:instrText>
      </w:r>
      <w:r>
        <w:fldChar w:fldCharType="separate"/>
      </w:r>
      <w:r>
        <w:t>127</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_Toc28503 </w:instrText>
      </w:r>
      <w:r>
        <w:rPr>
          <w:szCs w:val="20"/>
          <w:highlight w:val="none"/>
        </w:rPr>
        <w:fldChar w:fldCharType="separate"/>
      </w:r>
      <w:r>
        <w:rPr>
          <w:rFonts w:hint="eastAsia"/>
          <w:highlight w:val="none"/>
        </w:rPr>
        <w:t>5.2.</w:t>
      </w:r>
      <w:r>
        <w:rPr>
          <w:rFonts w:hint="eastAsia"/>
          <w:highlight w:val="none"/>
          <w:lang w:val="en-US" w:eastAsia="zh-CN"/>
        </w:rPr>
        <w:t>8</w:t>
      </w:r>
      <w:r>
        <w:rPr>
          <w:rFonts w:hint="eastAsia"/>
          <w:highlight w:val="none"/>
        </w:rPr>
        <w:t>推荐成交候选供应商</w:t>
      </w:r>
      <w:r>
        <w:tab/>
      </w:r>
      <w:r>
        <w:fldChar w:fldCharType="begin"/>
      </w:r>
      <w:r>
        <w:instrText xml:space="preserve"> PAGEREF _Toc28503 \h </w:instrText>
      </w:r>
      <w:r>
        <w:fldChar w:fldCharType="separate"/>
      </w:r>
      <w:r>
        <w:t>128</w:t>
      </w:r>
      <w:r>
        <w:fldChar w:fldCharType="end"/>
      </w:r>
      <w:r>
        <w:rPr>
          <w:color w:val="auto"/>
          <w:szCs w:val="20"/>
          <w:highlight w:val="none"/>
        </w:rPr>
        <w:fldChar w:fldCharType="end"/>
      </w:r>
    </w:p>
    <w:p>
      <w:pPr>
        <w:pStyle w:val="9"/>
        <w:tabs>
          <w:tab w:val="right" w:leader="dot" w:pos="9214"/>
        </w:tabs>
      </w:pPr>
      <w:r>
        <w:rPr>
          <w:color w:val="auto"/>
          <w:szCs w:val="20"/>
          <w:highlight w:val="none"/>
        </w:rPr>
        <w:fldChar w:fldCharType="begin"/>
      </w:r>
      <w:r>
        <w:rPr>
          <w:szCs w:val="20"/>
          <w:highlight w:val="none"/>
        </w:rPr>
        <w:instrText xml:space="preserve"> HYPERLINK \l _Toc14091 </w:instrText>
      </w:r>
      <w:r>
        <w:rPr>
          <w:szCs w:val="20"/>
          <w:highlight w:val="none"/>
        </w:rPr>
        <w:fldChar w:fldCharType="separate"/>
      </w:r>
      <w:r>
        <w:rPr>
          <w:rFonts w:hint="eastAsia"/>
          <w:highlight w:val="none"/>
          <w:lang w:val="en-US" w:eastAsia="zh-CN"/>
        </w:rPr>
        <w:t>5.2.9编写评审报告</w:t>
      </w:r>
      <w:r>
        <w:tab/>
      </w:r>
      <w:r>
        <w:fldChar w:fldCharType="begin"/>
      </w:r>
      <w:r>
        <w:instrText xml:space="preserve"> PAGEREF _Toc14091 \h </w:instrText>
      </w:r>
      <w:r>
        <w:fldChar w:fldCharType="separate"/>
      </w:r>
      <w:r>
        <w:t>128</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_Toc14394 </w:instrText>
      </w:r>
      <w:r>
        <w:rPr>
          <w:szCs w:val="20"/>
          <w:highlight w:val="none"/>
        </w:rPr>
        <w:fldChar w:fldCharType="separate"/>
      </w:r>
      <w:r>
        <w:rPr>
          <w:rFonts w:hint="eastAsia"/>
          <w:highlight w:val="none"/>
        </w:rPr>
        <w:t>5.3磋商</w:t>
      </w:r>
      <w:r>
        <w:rPr>
          <w:highlight w:val="none"/>
        </w:rPr>
        <w:t>异议</w:t>
      </w:r>
      <w:r>
        <w:rPr>
          <w:rFonts w:hint="eastAsia"/>
          <w:highlight w:val="none"/>
        </w:rPr>
        <w:t>处理</w:t>
      </w:r>
      <w:r>
        <w:tab/>
      </w:r>
      <w:r>
        <w:fldChar w:fldCharType="begin"/>
      </w:r>
      <w:r>
        <w:instrText xml:space="preserve"> PAGEREF _Toc14394 \h </w:instrText>
      </w:r>
      <w:r>
        <w:fldChar w:fldCharType="separate"/>
      </w:r>
      <w:r>
        <w:t>129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_Toc23944 </w:instrText>
      </w:r>
      <w:r>
        <w:rPr>
          <w:szCs w:val="20"/>
          <w:highlight w:val="none"/>
        </w:rPr>
        <w:fldChar w:fldCharType="separate"/>
      </w:r>
      <w:r>
        <w:rPr>
          <w:rFonts w:hint="eastAsia" w:ascii="宋体" w:hAnsi="宋体" w:cs="Times New Roman"/>
          <w:bCs/>
          <w:highlight w:val="none"/>
          <w:lang w:val="en-US" w:eastAsia="zh-CN"/>
        </w:rPr>
        <w:t>5.</w:t>
      </w:r>
      <w:r>
        <w:rPr>
          <w:rFonts w:hint="eastAsia" w:cs="Times New Roman"/>
          <w:bCs/>
          <w:highlight w:val="none"/>
          <w:lang w:val="en-US" w:eastAsia="zh-CN"/>
        </w:rPr>
        <w:t>4</w:t>
      </w:r>
      <w:r>
        <w:rPr>
          <w:rFonts w:hint="eastAsia" w:ascii="宋体" w:hAnsi="宋体" w:cs="Times New Roman"/>
          <w:bCs/>
          <w:highlight w:val="none"/>
        </w:rPr>
        <w:t>评审办法和标准</w:t>
      </w:r>
      <w:r>
        <w:tab/>
      </w:r>
      <w:r>
        <w:fldChar w:fldCharType="begin"/>
      </w:r>
      <w:r>
        <w:instrText xml:space="preserve"> PAGEREF _Toc23944 \h </w:instrText>
      </w:r>
      <w:r>
        <w:fldChar w:fldCharType="separate"/>
      </w:r>
      <w:r>
        <w:t>129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_Toc24641 </w:instrText>
      </w:r>
      <w:r>
        <w:rPr>
          <w:szCs w:val="20"/>
          <w:highlight w:val="none"/>
        </w:rPr>
        <w:fldChar w:fldCharType="separate"/>
      </w:r>
      <w:r>
        <w:rPr>
          <w:rFonts w:hint="eastAsia" w:ascii="宋体" w:hAnsi="宋体" w:cs="Times New Roman"/>
          <w:bCs/>
          <w:highlight w:val="none"/>
          <w:lang w:val="en-US" w:eastAsia="zh-CN"/>
        </w:rPr>
        <w:t>5.</w:t>
      </w:r>
      <w:r>
        <w:rPr>
          <w:rFonts w:hint="eastAsia" w:cs="Times New Roman"/>
          <w:bCs/>
          <w:highlight w:val="none"/>
          <w:lang w:val="en-US" w:eastAsia="zh-CN"/>
        </w:rPr>
        <w:t>4.1</w:t>
      </w:r>
      <w:r>
        <w:rPr>
          <w:rFonts w:hint="eastAsia" w:ascii="宋体" w:hAnsi="宋体" w:cs="Times New Roman"/>
          <w:bCs/>
          <w:highlight w:val="none"/>
          <w:lang w:val="en-US" w:eastAsia="zh-CN"/>
        </w:rPr>
        <w:t>评分办法</w:t>
      </w:r>
      <w:r>
        <w:tab/>
      </w:r>
      <w:r>
        <w:fldChar w:fldCharType="begin"/>
      </w:r>
      <w:r>
        <w:instrText xml:space="preserve"> PAGEREF _Toc24641 \h </w:instrText>
      </w:r>
      <w:r>
        <w:fldChar w:fldCharType="separate"/>
      </w:r>
      <w:r>
        <w:t>129</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_Toc30876 </w:instrText>
      </w:r>
      <w:r>
        <w:rPr>
          <w:szCs w:val="20"/>
          <w:highlight w:val="none"/>
        </w:rPr>
        <w:fldChar w:fldCharType="separate"/>
      </w:r>
      <w:r>
        <w:rPr>
          <w:rFonts w:hint="eastAsia"/>
          <w:highlight w:val="none"/>
        </w:rPr>
        <w:t>5.5采购失败情形</w:t>
      </w:r>
      <w:r>
        <w:tab/>
      </w:r>
      <w:r>
        <w:fldChar w:fldCharType="begin"/>
      </w:r>
      <w:r>
        <w:instrText xml:space="preserve"> PAGEREF _Toc30876 \h </w:instrText>
      </w:r>
      <w:r>
        <w:fldChar w:fldCharType="separate"/>
      </w:r>
      <w:r>
        <w:t>133</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_Toc9383 </w:instrText>
      </w:r>
      <w:r>
        <w:rPr>
          <w:szCs w:val="20"/>
          <w:highlight w:val="none"/>
        </w:rPr>
        <w:fldChar w:fldCharType="separate"/>
      </w:r>
      <w:r>
        <w:rPr>
          <w:rFonts w:hint="eastAsia"/>
          <w:highlight w:val="none"/>
        </w:rPr>
        <w:t>5.6确定成交供应商</w:t>
      </w:r>
      <w:r>
        <w:tab/>
      </w:r>
      <w:r>
        <w:fldChar w:fldCharType="begin"/>
      </w:r>
      <w:r>
        <w:instrText xml:space="preserve"> PAGEREF _Toc9383 \h </w:instrText>
      </w:r>
      <w:r>
        <w:fldChar w:fldCharType="separate"/>
      </w:r>
      <w:r>
        <w:t>134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_Toc32028 </w:instrText>
      </w:r>
      <w:r>
        <w:rPr>
          <w:szCs w:val="20"/>
          <w:highlight w:val="none"/>
        </w:rPr>
        <w:fldChar w:fldCharType="separate"/>
      </w:r>
      <w:r>
        <w:rPr>
          <w:rFonts w:hint="eastAsia"/>
          <w:highlight w:val="none"/>
          <w:lang w:val="en-US" w:eastAsia="zh-CN"/>
        </w:rPr>
        <w:t>5.7</w:t>
      </w:r>
      <w:r>
        <w:rPr>
          <w:rFonts w:hint="eastAsia"/>
          <w:highlight w:val="none"/>
        </w:rPr>
        <w:t>磋商小组成员义务</w:t>
      </w:r>
      <w:r>
        <w:tab/>
      </w:r>
      <w:r>
        <w:fldChar w:fldCharType="begin"/>
      </w:r>
      <w:r>
        <w:instrText xml:space="preserve"> PAGEREF _Toc32028 \h </w:instrText>
      </w:r>
      <w:r>
        <w:fldChar w:fldCharType="separate"/>
      </w:r>
      <w:r>
        <w:t>134</w:t>
      </w:r>
      <w:r>
        <w:fldChar w:fldCharType="end"/>
      </w:r>
      <w:r>
        <w:rPr>
          <w:color w:val="auto"/>
          <w:szCs w:val="20"/>
          <w:highlight w:val="none"/>
        </w:rPr>
        <w:fldChar w:fldCharType="end"/>
      </w:r>
    </w:p>
    <w:p>
      <w:pPr>
        <w:pStyle w:val="15"/>
        <w:tabs>
          <w:tab w:val="right" w:leader="dot" w:pos="9214"/>
        </w:tabs>
      </w:pPr>
      <w:r>
        <w:rPr>
          <w:color w:val="auto"/>
          <w:szCs w:val="20"/>
          <w:highlight w:val="none"/>
        </w:rPr>
        <w:fldChar w:fldCharType="begin"/>
      </w:r>
      <w:r>
        <w:rPr>
          <w:szCs w:val="20"/>
          <w:highlight w:val="none"/>
        </w:rPr>
        <w:instrText xml:space="preserve"> HYPERLINK \l _Toc27181 </w:instrText>
      </w:r>
      <w:r>
        <w:rPr>
          <w:szCs w:val="20"/>
          <w:highlight w:val="none"/>
        </w:rPr>
        <w:fldChar w:fldCharType="separate"/>
      </w:r>
      <w:r>
        <w:rPr>
          <w:rFonts w:hint="eastAsia"/>
          <w:highlight w:val="none"/>
          <w:lang w:val="en-US" w:eastAsia="zh-CN"/>
        </w:rPr>
        <w:t>5.8</w:t>
      </w:r>
      <w:r>
        <w:rPr>
          <w:rFonts w:hint="eastAsia"/>
          <w:highlight w:val="none"/>
        </w:rPr>
        <w:t>磋商纪律</w:t>
      </w:r>
      <w:r>
        <w:tab/>
      </w:r>
      <w:r>
        <w:fldChar w:fldCharType="begin"/>
      </w:r>
      <w:r>
        <w:instrText xml:space="preserve"> PAGEREF _Toc27181 \h </w:instrText>
      </w:r>
      <w:r>
        <w:fldChar w:fldCharType="separate"/>
      </w:r>
      <w:r>
        <w:t>135</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_Toc23323 </w:instrText>
      </w:r>
      <w:r>
        <w:rPr>
          <w:szCs w:val="20"/>
          <w:highlight w:val="none"/>
        </w:rPr>
        <w:fldChar w:fldCharType="separate"/>
      </w:r>
      <w:r>
        <w:rPr>
          <w:rFonts w:hint="eastAsia" w:ascii="宋体" w:hAnsi="宋体"/>
          <w:bCs/>
          <w:spacing w:val="-20"/>
          <w:kern w:val="44"/>
          <w:szCs w:val="32"/>
          <w:highlight w:val="none"/>
          <w:lang w:eastAsia="zh-CN"/>
        </w:rPr>
        <w:t>第</w:t>
      </w:r>
      <w:r>
        <w:rPr>
          <w:rFonts w:hint="eastAsia" w:ascii="宋体" w:hAnsi="宋体"/>
          <w:bCs/>
          <w:spacing w:val="-20"/>
          <w:kern w:val="44"/>
          <w:szCs w:val="32"/>
          <w:highlight w:val="none"/>
          <w:lang w:val="en-US" w:eastAsia="zh-CN"/>
        </w:rPr>
        <w:t>6章</w:t>
      </w:r>
      <w:r>
        <w:rPr>
          <w:rFonts w:hint="eastAsia" w:ascii="宋体" w:hAnsi="宋体"/>
          <w:bCs/>
          <w:spacing w:val="-20"/>
          <w:kern w:val="44"/>
          <w:szCs w:val="32"/>
          <w:highlight w:val="none"/>
        </w:rPr>
        <w:t>拟签订的合同文本</w:t>
      </w:r>
      <w:r>
        <w:tab/>
      </w:r>
      <w:r>
        <w:fldChar w:fldCharType="begin"/>
      </w:r>
      <w:r>
        <w:instrText xml:space="preserve"> PAGEREF _Toc23323 \h </w:instrText>
      </w:r>
      <w:r>
        <w:fldChar w:fldCharType="separate"/>
      </w:r>
      <w:r>
        <w:t>136</w:t>
      </w:r>
      <w:r>
        <w:fldChar w:fldCharType="end"/>
      </w:r>
      <w:r>
        <w:rPr>
          <w:color w:val="auto"/>
          <w:szCs w:val="20"/>
          <w:highlight w:val="none"/>
        </w:rPr>
        <w:fldChar w:fldCharType="end"/>
      </w:r>
    </w:p>
    <w:p>
      <w:pPr>
        <w:pStyle w:val="14"/>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_Toc19872 </w:instrText>
      </w:r>
      <w:r>
        <w:rPr>
          <w:szCs w:val="20"/>
          <w:highlight w:val="none"/>
        </w:rPr>
        <w:fldChar w:fldCharType="separate"/>
      </w:r>
      <w:r>
        <w:rPr>
          <w:rFonts w:hint="eastAsia"/>
          <w:bCs w:val="0"/>
          <w:szCs w:val="27"/>
          <w:highlight w:val="none"/>
          <w:shd w:val="clear" w:color="auto" w:fill="FFFFFF"/>
        </w:rPr>
        <w:t>成都市温江区财政局关于公布温江区首批支持中小企业政府采购信用融资银行名单的公告</w:t>
      </w:r>
      <w:r>
        <w:tab/>
      </w:r>
      <w:r>
        <w:fldChar w:fldCharType="begin"/>
      </w:r>
      <w:r>
        <w:instrText xml:space="preserve"> PAGEREF _Toc19872 \h </w:instrText>
      </w:r>
      <w:r>
        <w:fldChar w:fldCharType="separate"/>
      </w:r>
      <w:r>
        <w:t>144</w:t>
      </w:r>
      <w:r>
        <w:fldChar w:fldCharType="end"/>
      </w:r>
      <w:r>
        <w:rPr>
          <w:color w:val="auto"/>
          <w:szCs w:val="20"/>
          <w:highlight w:val="none"/>
        </w:rPr>
        <w:fldChar w:fldCharType="end"/>
      </w:r>
    </w:p>
    <w:p>
      <w:pPr>
        <w:pStyle w:val="22"/>
        <w:keepNext w:val="0"/>
        <w:keepLines w:val="0"/>
        <w:pageBreakBefore w:val="0"/>
        <w:kinsoku/>
        <w:wordWrap/>
        <w:overflowPunct/>
        <w:topLinePunct w:val="0"/>
        <w:autoSpaceDE/>
        <w:autoSpaceDN/>
        <w:bidi w:val="0"/>
        <w:adjustRightInd/>
        <w:snapToGrid/>
        <w:spacing w:line="280" w:lineRule="exact"/>
        <w:ind w:firstLine="400"/>
        <w:textAlignment w:val="auto"/>
        <w:rPr>
          <w:color w:val="auto"/>
          <w:highlight w:val="none"/>
        </w:rPr>
      </w:pPr>
      <w:r>
        <w:rPr>
          <w:color w:val="auto"/>
          <w:szCs w:val="20"/>
          <w:highlight w:val="none"/>
        </w:rPr>
        <w:fldChar w:fldCharType="end"/>
      </w:r>
    </w:p>
    <w:p>
      <w:pPr>
        <w:pStyle w:val="4"/>
        <w:rPr>
          <w:color w:val="auto"/>
          <w:highlight w:val="none"/>
        </w:rPr>
      </w:pPr>
      <w:bookmarkStart w:id="2" w:name="_Toc8189"/>
      <w:bookmarkStart w:id="3" w:name="_Toc13772"/>
      <w:r>
        <w:rPr>
          <w:rFonts w:hint="eastAsia"/>
          <w:color w:val="auto"/>
          <w:highlight w:val="none"/>
        </w:rPr>
        <w:t>第1章 竞争性磋商邀请</w:t>
      </w:r>
      <w:bookmarkEnd w:id="2"/>
      <w:bookmarkEnd w:id="3"/>
    </w:p>
    <w:p>
      <w:pPr>
        <w:pStyle w:val="23"/>
        <w:ind w:firstLine="482"/>
        <w:rPr>
          <w:color w:val="auto"/>
          <w:highlight w:val="none"/>
          <w:u w:val="single"/>
        </w:rPr>
      </w:pPr>
      <w:r>
        <w:rPr>
          <w:rStyle w:val="24"/>
          <w:rFonts w:hint="eastAsia"/>
          <w:color w:val="auto"/>
          <w:highlight w:val="none"/>
        </w:rPr>
        <w:t>成都市温江区</w:t>
      </w:r>
      <w:r>
        <w:rPr>
          <w:rFonts w:hint="eastAsia"/>
          <w:b/>
          <w:color w:val="auto"/>
          <w:highlight w:val="none"/>
        </w:rPr>
        <w:t>公共资源交易服务中心</w:t>
      </w:r>
      <w:r>
        <w:rPr>
          <w:rFonts w:hint="eastAsia"/>
          <w:color w:val="auto"/>
          <w:highlight w:val="none"/>
        </w:rPr>
        <w:t>(以下简称“区公资交易中心”)受</w:t>
      </w:r>
      <w:r>
        <w:rPr>
          <w:rFonts w:hint="eastAsia"/>
          <w:b/>
          <w:bCs/>
          <w:color w:val="auto"/>
          <w:highlight w:val="none"/>
          <w:lang w:eastAsia="zh-CN"/>
        </w:rPr>
        <w:t>成都市温江区教育局</w:t>
      </w:r>
      <w:r>
        <w:rPr>
          <w:rFonts w:hint="eastAsia"/>
          <w:color w:val="auto"/>
          <w:highlight w:val="none"/>
        </w:rPr>
        <w:t>的委托，拟对</w:t>
      </w:r>
      <w:r>
        <w:rPr>
          <w:rFonts w:hint="eastAsia"/>
          <w:b/>
          <w:bCs/>
          <w:color w:val="auto"/>
          <w:highlight w:val="none"/>
          <w:lang w:eastAsia="zh-CN"/>
        </w:rPr>
        <w:t>成都市温江区教育局特教学校功能室设备采购项目</w:t>
      </w:r>
      <w:r>
        <w:rPr>
          <w:rFonts w:hint="eastAsia"/>
          <w:color w:val="auto"/>
          <w:highlight w:val="none"/>
        </w:rPr>
        <w:t>采用</w:t>
      </w:r>
      <w:r>
        <w:rPr>
          <w:rFonts w:hint="eastAsia"/>
          <w:b/>
          <w:bCs/>
          <w:color w:val="auto"/>
          <w:highlight w:val="none"/>
        </w:rPr>
        <w:t>竞争性磋商</w:t>
      </w:r>
      <w:r>
        <w:rPr>
          <w:rFonts w:hint="eastAsia"/>
          <w:color w:val="auto"/>
          <w:highlight w:val="none"/>
        </w:rPr>
        <w:t>采购方式进行采购，欢迎供应商参加该项目的竞争性磋商。</w:t>
      </w:r>
    </w:p>
    <w:p>
      <w:pPr>
        <w:pStyle w:val="23"/>
        <w:ind w:firstLine="482"/>
        <w:rPr>
          <w:rFonts w:hint="eastAsia" w:eastAsia="宋体"/>
          <w:b/>
          <w:color w:val="auto"/>
          <w:sz w:val="28"/>
          <w:szCs w:val="28"/>
          <w:highlight w:val="none"/>
          <w:u w:val="single"/>
          <w:lang w:val="en-US" w:eastAsia="zh-CN"/>
        </w:rPr>
      </w:pPr>
      <w:r>
        <w:rPr>
          <w:rFonts w:hint="eastAsia"/>
          <w:b/>
          <w:color w:val="auto"/>
          <w:highlight w:val="none"/>
        </w:rPr>
        <w:t>一、项目编号：</w:t>
      </w:r>
      <w:r>
        <w:rPr>
          <w:rFonts w:hint="eastAsia"/>
          <w:b/>
          <w:color w:val="auto"/>
          <w:highlight w:val="none"/>
          <w:lang w:eastAsia="zh-CN"/>
        </w:rPr>
        <w:t>温江政采（2021）A0047号</w:t>
      </w:r>
    </w:p>
    <w:p>
      <w:pPr>
        <w:pStyle w:val="23"/>
        <w:ind w:firstLine="836" w:firstLineChars="347"/>
        <w:rPr>
          <w:b/>
          <w:color w:val="auto"/>
          <w:highlight w:val="none"/>
        </w:rPr>
      </w:pPr>
      <w:r>
        <w:rPr>
          <w:rFonts w:hint="eastAsia"/>
          <w:b/>
          <w:color w:val="auto"/>
          <w:highlight w:val="none"/>
        </w:rPr>
        <w:t>（采购项目编号：510115202100148</w:t>
      </w:r>
      <w:r>
        <w:rPr>
          <w:rFonts w:hint="eastAsia"/>
          <w:b/>
          <w:color w:val="auto"/>
          <w:highlight w:val="none"/>
          <w:lang w:val="en-US" w:eastAsia="zh-CN"/>
        </w:rPr>
        <w:t xml:space="preserve"> </w:t>
      </w:r>
      <w:r>
        <w:rPr>
          <w:rFonts w:hint="eastAsia"/>
          <w:b/>
          <w:color w:val="auto"/>
          <w:highlight w:val="none"/>
        </w:rPr>
        <w:t>）</w:t>
      </w:r>
    </w:p>
    <w:p>
      <w:pPr>
        <w:pStyle w:val="23"/>
        <w:ind w:firstLine="482" w:firstLineChars="200"/>
        <w:rPr>
          <w:rFonts w:hint="eastAsia"/>
          <w:b/>
          <w:color w:val="auto"/>
          <w:sz w:val="28"/>
          <w:szCs w:val="28"/>
          <w:highlight w:val="none"/>
          <w:u w:val="single"/>
          <w:lang w:eastAsia="zh-CN"/>
        </w:rPr>
      </w:pPr>
      <w:r>
        <w:rPr>
          <w:rFonts w:hint="eastAsia"/>
          <w:b/>
          <w:color w:val="auto"/>
          <w:highlight w:val="none"/>
          <w:lang w:eastAsia="zh-CN"/>
        </w:rPr>
        <w:t>二、</w:t>
      </w:r>
      <w:r>
        <w:rPr>
          <w:rFonts w:hint="eastAsia"/>
          <w:b/>
          <w:color w:val="auto"/>
          <w:highlight w:val="none"/>
        </w:rPr>
        <w:t>项目名称：</w:t>
      </w:r>
      <w:r>
        <w:rPr>
          <w:rFonts w:hint="eastAsia"/>
          <w:b/>
          <w:color w:val="auto"/>
          <w:highlight w:val="none"/>
          <w:lang w:eastAsia="zh-CN"/>
        </w:rPr>
        <w:t>成都市温江区教育局特教学校功能室设备采购项目</w:t>
      </w:r>
    </w:p>
    <w:p>
      <w:pPr>
        <w:pStyle w:val="23"/>
        <w:ind w:firstLine="482"/>
        <w:rPr>
          <w:rFonts w:hint="eastAsia"/>
          <w:color w:val="auto"/>
          <w:highlight w:val="none"/>
          <w:lang w:val="en-US" w:eastAsia="zh-CN"/>
        </w:rPr>
      </w:pPr>
      <w:r>
        <w:rPr>
          <w:rFonts w:hint="eastAsia"/>
          <w:b/>
          <w:color w:val="auto"/>
          <w:highlight w:val="none"/>
          <w:lang w:eastAsia="zh-CN"/>
        </w:rPr>
        <w:t>三、</w:t>
      </w:r>
      <w:r>
        <w:rPr>
          <w:rFonts w:hint="eastAsia"/>
          <w:b/>
          <w:color w:val="auto"/>
          <w:highlight w:val="none"/>
        </w:rPr>
        <w:t>资金来源、预算金额：</w:t>
      </w:r>
      <w:r>
        <w:rPr>
          <w:rFonts w:hint="eastAsia"/>
          <w:color w:val="auto"/>
          <w:highlight w:val="none"/>
        </w:rPr>
        <w:t>财政性资金，预算金额：</w:t>
      </w:r>
      <w:bookmarkStart w:id="4" w:name="EB8cb0824450004d98ba5094f18d4b8c41"/>
      <w:r>
        <w:rPr>
          <w:rFonts w:hint="eastAsia"/>
          <w:color w:val="auto"/>
          <w:highlight w:val="none"/>
        </w:rPr>
        <w:t>238.22万元</w:t>
      </w:r>
      <w:r>
        <w:rPr>
          <w:rFonts w:hint="eastAsia"/>
          <w:color w:val="auto"/>
          <w:highlight w:val="none"/>
          <w:lang w:eastAsia="zh-CN"/>
        </w:rPr>
        <w:t>，最高限价：</w:t>
      </w:r>
      <w:r>
        <w:rPr>
          <w:rFonts w:hint="eastAsia"/>
          <w:color w:val="auto"/>
          <w:highlight w:val="none"/>
          <w:lang w:val="en-US" w:eastAsia="zh-CN"/>
        </w:rPr>
        <w:t>238.22万元；其中包件1预算金额168.5万元，包件2预算金额69.72万元；</w:t>
      </w:r>
      <w:r>
        <w:rPr>
          <w:rFonts w:hint="eastAsia"/>
          <w:color w:val="auto"/>
          <w:highlight w:val="none"/>
        </w:rPr>
        <w:t>预算品目：</w:t>
      </w:r>
      <w:r>
        <w:rPr>
          <w:rFonts w:ascii="宋体" w:hAnsi="宋体" w:eastAsia="宋体" w:cs="宋体"/>
          <w:sz w:val="24"/>
          <w:szCs w:val="24"/>
          <w:highlight w:val="none"/>
        </w:rPr>
        <w:t>A</w:t>
      </w:r>
      <w:r>
        <w:rPr>
          <w:rFonts w:ascii="宋体" w:hAnsi="宋体" w:eastAsia="宋体" w:cs="宋体"/>
          <w:sz w:val="24"/>
          <w:szCs w:val="24"/>
        </w:rPr>
        <w:t>02010104台式计算机</w:t>
      </w:r>
      <w:r>
        <w:rPr>
          <w:rFonts w:hint="eastAsia"/>
          <w:color w:val="auto"/>
          <w:highlight w:val="none"/>
        </w:rPr>
        <w:t>；采购计划文号：</w:t>
      </w:r>
      <w:bookmarkEnd w:id="4"/>
      <w:r>
        <w:rPr>
          <w:rFonts w:hint="eastAsia"/>
          <w:color w:val="auto"/>
          <w:highlight w:val="none"/>
        </w:rPr>
        <w:t>510115-2021-[2021]603号-001</w:t>
      </w:r>
      <w:r>
        <w:rPr>
          <w:rFonts w:hint="eastAsia"/>
          <w:color w:val="auto"/>
          <w:highlight w:val="none"/>
          <w:lang w:val="en-US" w:eastAsia="zh-CN"/>
        </w:rPr>
        <w:t>。</w:t>
      </w:r>
    </w:p>
    <w:p>
      <w:pPr>
        <w:pStyle w:val="23"/>
        <w:ind w:firstLine="482"/>
        <w:rPr>
          <w:b/>
          <w:color w:val="auto"/>
          <w:highlight w:val="none"/>
        </w:rPr>
      </w:pPr>
      <w:r>
        <w:rPr>
          <w:rFonts w:hint="eastAsia"/>
          <w:b/>
          <w:color w:val="auto"/>
          <w:highlight w:val="none"/>
          <w:lang w:eastAsia="zh-CN"/>
        </w:rPr>
        <w:t>四、</w:t>
      </w:r>
      <w:r>
        <w:rPr>
          <w:rFonts w:hint="eastAsia"/>
          <w:b/>
          <w:color w:val="auto"/>
          <w:highlight w:val="none"/>
        </w:rPr>
        <w:t>供应商参加本次政府采购活动应具备的条件</w:t>
      </w:r>
    </w:p>
    <w:p>
      <w:pPr>
        <w:pStyle w:val="23"/>
        <w:ind w:firstLine="480"/>
        <w:rPr>
          <w:color w:val="auto"/>
          <w:highlight w:val="none"/>
          <w:lang w:eastAsia="zh-CN"/>
        </w:rPr>
      </w:pPr>
      <w:bookmarkStart w:id="5" w:name="EBaaacd4918dc94d53a5d0c76b9fa8f5f3"/>
      <w:r>
        <w:rPr>
          <w:rFonts w:hint="eastAsia"/>
          <w:color w:val="auto"/>
          <w:highlight w:val="none"/>
          <w:lang w:eastAsia="zh-CN"/>
        </w:rPr>
        <w:t>（一）符合《中华人民共和国政府采购法》第二十二条第一款的相关规定；</w:t>
      </w:r>
    </w:p>
    <w:p>
      <w:pPr>
        <w:pStyle w:val="23"/>
        <w:ind w:left="0" w:leftChars="0" w:firstLine="480" w:firstLineChars="20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未被列入失信被执行人、重大税收违法案件当事人名单、政府采购严重违法失信行为记录名单；</w:t>
      </w:r>
    </w:p>
    <w:p>
      <w:pPr>
        <w:pStyle w:val="23"/>
        <w:ind w:firstLine="480"/>
        <w:rPr>
          <w:rFonts w:hint="eastAsia"/>
          <w:color w:val="auto"/>
          <w:highlight w:val="none"/>
          <w:lang w:eastAsia="zh-CN"/>
        </w:rPr>
      </w:pPr>
      <w:r>
        <w:rPr>
          <w:rFonts w:hint="eastAsia"/>
          <w:color w:val="auto"/>
          <w:highlight w:val="none"/>
          <w:lang w:eastAsia="zh-CN"/>
        </w:rPr>
        <w:t>（三）在行贿犯罪信息查询期限内，供应商及其现任法定代表人、主要负责人没有行贿犯罪记录；</w:t>
      </w:r>
    </w:p>
    <w:p>
      <w:pPr>
        <w:pStyle w:val="23"/>
        <w:ind w:firstLine="480"/>
        <w:rPr>
          <w:rFonts w:hint="eastAsia"/>
          <w:color w:val="auto"/>
          <w:highlight w:val="none"/>
          <w:lang w:eastAsia="zh-CN"/>
        </w:rPr>
      </w:pPr>
      <w:r>
        <w:rPr>
          <w:rFonts w:hint="eastAsia"/>
          <w:color w:val="auto"/>
          <w:highlight w:val="none"/>
          <w:lang w:eastAsia="zh-CN"/>
        </w:rPr>
        <w:t>（四）未处于被行政部门禁止参与政府采购活动的期限内；</w:t>
      </w:r>
    </w:p>
    <w:p>
      <w:pPr>
        <w:pStyle w:val="23"/>
        <w:ind w:firstLine="480"/>
        <w:rPr>
          <w:rFonts w:hint="eastAsia"/>
          <w:color w:val="auto"/>
          <w:highlight w:val="none"/>
          <w:lang w:eastAsia="zh-CN"/>
        </w:rPr>
      </w:pPr>
      <w:r>
        <w:rPr>
          <w:rFonts w:hint="eastAsia"/>
          <w:color w:val="auto"/>
          <w:highlight w:val="none"/>
          <w:lang w:eastAsia="zh-CN"/>
        </w:rPr>
        <w:t>（五）不属于其他国家相关法律法规规定的禁止参加磋商的供应商；</w:t>
      </w:r>
    </w:p>
    <w:p>
      <w:pPr>
        <w:pStyle w:val="23"/>
        <w:ind w:firstLine="480"/>
        <w:rPr>
          <w:rFonts w:hint="eastAsia"/>
          <w:color w:val="auto"/>
          <w:highlight w:val="none"/>
          <w:lang w:eastAsia="zh-CN"/>
        </w:rPr>
      </w:pPr>
      <w:r>
        <w:rPr>
          <w:rFonts w:hint="eastAsia"/>
          <w:color w:val="auto"/>
          <w:highlight w:val="none"/>
          <w:lang w:eastAsia="zh-CN"/>
        </w:rPr>
        <w:t>（六）在中华人民共和国境内依法登记注册，并有效存续具有独立法人资格的供应商；</w:t>
      </w:r>
    </w:p>
    <w:p>
      <w:pPr>
        <w:pStyle w:val="23"/>
        <w:ind w:firstLine="480"/>
        <w:rPr>
          <w:rFonts w:hint="eastAsia"/>
          <w:color w:val="auto"/>
          <w:highlight w:val="none"/>
          <w:lang w:eastAsia="zh-CN"/>
        </w:rPr>
      </w:pPr>
      <w:r>
        <w:rPr>
          <w:rFonts w:hint="eastAsia"/>
          <w:color w:val="auto"/>
          <w:highlight w:val="none"/>
          <w:lang w:eastAsia="zh-CN"/>
        </w:rPr>
        <w:t>（七）本次政府采购活动</w:t>
      </w:r>
      <w:r>
        <w:rPr>
          <w:rFonts w:hint="eastAsia"/>
          <w:b/>
          <w:bCs/>
          <w:color w:val="auto"/>
          <w:highlight w:val="none"/>
          <w:lang w:eastAsia="zh-CN"/>
        </w:rPr>
        <w:t>不接受</w:t>
      </w:r>
      <w:r>
        <w:rPr>
          <w:rFonts w:hint="eastAsia"/>
          <w:color w:val="auto"/>
          <w:highlight w:val="none"/>
          <w:lang w:eastAsia="zh-CN"/>
        </w:rPr>
        <w:t>供应商以联合体的形式参加磋商。</w:t>
      </w:r>
      <w:bookmarkEnd w:id="5"/>
    </w:p>
    <w:p>
      <w:pPr>
        <w:pStyle w:val="23"/>
        <w:ind w:left="0" w:leftChars="0" w:firstLine="0" w:firstLineChars="0"/>
        <w:rPr>
          <w:rFonts w:hint="eastAsia" w:cs="Times New Roman"/>
          <w:color w:val="auto"/>
          <w:kern w:val="10"/>
          <w:sz w:val="24"/>
          <w:szCs w:val="20"/>
          <w:highlight w:val="none"/>
          <w:lang w:eastAsia="zh-CN"/>
        </w:rPr>
      </w:pPr>
      <w:r>
        <w:rPr>
          <w:rFonts w:hint="eastAsia" w:ascii="宋体" w:hAnsi="宋体"/>
          <w:b/>
          <w:color w:val="auto"/>
          <w:sz w:val="28"/>
          <w:szCs w:val="28"/>
          <w:highlight w:val="none"/>
          <w:lang w:val="en-US" w:eastAsia="zh-CN"/>
        </w:rPr>
        <w:t>五、</w:t>
      </w:r>
      <w:r>
        <w:rPr>
          <w:rFonts w:hint="eastAsia" w:ascii="宋体" w:hAnsi="宋体"/>
          <w:b/>
          <w:color w:val="auto"/>
          <w:sz w:val="28"/>
          <w:szCs w:val="28"/>
          <w:highlight w:val="none"/>
        </w:rPr>
        <w:t>采购项目技术、服务、商务和报价要求</w:t>
      </w:r>
    </w:p>
    <w:p>
      <w:pPr>
        <w:spacing w:line="360" w:lineRule="auto"/>
        <w:ind w:firstLine="480" w:firstLineChars="200"/>
        <w:rPr>
          <w:rFonts w:hint="eastAsia" w:cs="Times New Roman"/>
          <w:color w:val="auto"/>
          <w:kern w:val="10"/>
          <w:sz w:val="24"/>
          <w:szCs w:val="20"/>
          <w:highlight w:val="none"/>
          <w:lang w:eastAsia="zh-CN"/>
        </w:rPr>
      </w:pPr>
      <w:r>
        <w:rPr>
          <w:rFonts w:hint="eastAsia" w:cs="Times New Roman"/>
          <w:color w:val="auto"/>
          <w:kern w:val="10"/>
          <w:sz w:val="24"/>
          <w:szCs w:val="20"/>
          <w:highlight w:val="none"/>
          <w:lang w:eastAsia="zh-CN"/>
        </w:rPr>
        <w:t>（一）</w:t>
      </w:r>
      <w:r>
        <w:rPr>
          <w:rFonts w:hint="eastAsia" w:ascii="宋体" w:hAnsi="宋体" w:cs="Times New Roman"/>
          <w:color w:val="auto"/>
          <w:kern w:val="10"/>
          <w:sz w:val="24"/>
          <w:szCs w:val="20"/>
          <w:highlight w:val="none"/>
        </w:rPr>
        <w:t>采购内容</w:t>
      </w:r>
      <w:r>
        <w:rPr>
          <w:rFonts w:hint="eastAsia" w:cs="Times New Roman"/>
          <w:color w:val="auto"/>
          <w:kern w:val="10"/>
          <w:sz w:val="24"/>
          <w:szCs w:val="20"/>
          <w:highlight w:val="none"/>
          <w:lang w:eastAsia="zh-CN"/>
        </w:rPr>
        <w:t>：</w:t>
      </w:r>
    </w:p>
    <w:p>
      <w:pPr>
        <w:spacing w:line="360" w:lineRule="auto"/>
        <w:ind w:firstLine="420"/>
        <w:rPr>
          <w:rFonts w:hint="default"/>
          <w:b/>
          <w:bCs/>
          <w:sz w:val="24"/>
          <w:szCs w:val="24"/>
          <w:lang w:val="en-US" w:eastAsia="zh-CN"/>
        </w:rPr>
      </w:pPr>
      <w:r>
        <w:rPr>
          <w:rFonts w:hint="eastAsia"/>
          <w:b/>
          <w:bCs/>
          <w:sz w:val="24"/>
          <w:szCs w:val="24"/>
          <w:lang w:eastAsia="zh-CN"/>
        </w:rPr>
        <w:t>包件</w:t>
      </w:r>
      <w:r>
        <w:rPr>
          <w:rFonts w:hint="eastAsia"/>
          <w:b/>
          <w:bCs/>
          <w:sz w:val="24"/>
          <w:szCs w:val="24"/>
          <w:lang w:val="en-US" w:eastAsia="zh-CN"/>
        </w:rPr>
        <w:t>1：资源中心、</w:t>
      </w:r>
      <w:r>
        <w:rPr>
          <w:rFonts w:hint="eastAsia" w:ascii="宋体" w:hAnsi="宋体" w:eastAsia="宋体" w:cs="宋体"/>
          <w:b/>
          <w:bCs/>
          <w:sz w:val="24"/>
          <w:szCs w:val="24"/>
          <w:lang w:val="en-US" w:eastAsia="zh-CN"/>
        </w:rPr>
        <w:t>康复训练室设备采购</w:t>
      </w:r>
    </w:p>
    <w:tbl>
      <w:tblPr>
        <w:tblStyle w:val="18"/>
        <w:tblW w:w="8620"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779"/>
        <w:gridCol w:w="1211"/>
        <w:gridCol w:w="2042"/>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widowControl/>
              <w:spacing w:line="360" w:lineRule="auto"/>
              <w:jc w:val="center"/>
              <w:textAlignment w:val="center"/>
              <w:rPr>
                <w:rFonts w:ascii="宋体" w:hAnsi="宋体" w:eastAsia="宋体" w:cs="宋体"/>
                <w:b/>
                <w:bCs/>
                <w:color w:val="000000"/>
                <w:kern w:val="2"/>
                <w:sz w:val="21"/>
                <w:szCs w:val="21"/>
                <w:lang w:val="en-US" w:eastAsia="zh-CN" w:bidi="ar-SA"/>
              </w:rPr>
            </w:pPr>
            <w:r>
              <w:rPr>
                <w:rFonts w:hint="eastAsia" w:ascii="宋体" w:hAnsi="宋体" w:cs="宋体"/>
                <w:b/>
                <w:bCs/>
                <w:color w:val="000000"/>
                <w:kern w:val="0"/>
                <w:szCs w:val="21"/>
                <w:lang w:bidi="ar"/>
              </w:rPr>
              <w:t>序号</w:t>
            </w:r>
          </w:p>
        </w:tc>
        <w:tc>
          <w:tcPr>
            <w:tcW w:w="2779" w:type="dxa"/>
            <w:vAlign w:val="center"/>
          </w:tcPr>
          <w:p>
            <w:pPr>
              <w:widowControl/>
              <w:spacing w:line="360" w:lineRule="auto"/>
              <w:jc w:val="center"/>
              <w:textAlignment w:val="center"/>
              <w:rPr>
                <w:rFonts w:hint="eastAsia" w:ascii="宋体" w:hAnsi="宋体" w:eastAsia="宋体" w:cs="宋体"/>
                <w:b/>
                <w:bCs/>
                <w:color w:val="000000"/>
                <w:kern w:val="2"/>
                <w:sz w:val="21"/>
                <w:szCs w:val="21"/>
                <w:lang w:val="en-US" w:eastAsia="zh-CN" w:bidi="ar-SA"/>
              </w:rPr>
            </w:pPr>
            <w:r>
              <w:rPr>
                <w:rFonts w:hint="eastAsia" w:ascii="宋体" w:hAnsi="宋体" w:cs="宋体"/>
                <w:b/>
                <w:bCs/>
                <w:color w:val="000000"/>
                <w:kern w:val="0"/>
                <w:szCs w:val="21"/>
                <w:lang w:eastAsia="zh-CN" w:bidi="ar"/>
              </w:rPr>
              <w:t>货物</w:t>
            </w:r>
            <w:r>
              <w:rPr>
                <w:rFonts w:hint="eastAsia" w:ascii="宋体" w:hAnsi="宋体" w:cs="宋体"/>
                <w:b/>
                <w:bCs/>
                <w:color w:val="000000"/>
                <w:kern w:val="0"/>
                <w:szCs w:val="21"/>
                <w:lang w:bidi="ar"/>
              </w:rPr>
              <w:t>名称</w:t>
            </w:r>
            <w:r>
              <w:rPr>
                <w:rFonts w:hint="eastAsia" w:ascii="宋体" w:hAnsi="宋体" w:cs="宋体"/>
                <w:b/>
                <w:bCs/>
                <w:color w:val="000000"/>
                <w:kern w:val="0"/>
                <w:szCs w:val="21"/>
                <w:lang w:eastAsia="zh-CN" w:bidi="ar"/>
              </w:rPr>
              <w:t>（标的名称）</w:t>
            </w:r>
          </w:p>
        </w:tc>
        <w:tc>
          <w:tcPr>
            <w:tcW w:w="1211" w:type="dxa"/>
            <w:vAlign w:val="center"/>
          </w:tcPr>
          <w:p>
            <w:pPr>
              <w:widowControl/>
              <w:spacing w:line="360" w:lineRule="auto"/>
              <w:jc w:val="center"/>
              <w:textAlignment w:val="center"/>
              <w:rPr>
                <w:rFonts w:ascii="宋体" w:hAnsi="宋体" w:eastAsia="宋体" w:cs="宋体"/>
                <w:b/>
                <w:bCs/>
                <w:color w:val="000000"/>
                <w:kern w:val="2"/>
                <w:sz w:val="21"/>
                <w:szCs w:val="21"/>
                <w:lang w:val="en-US" w:eastAsia="zh-CN" w:bidi="ar-SA"/>
              </w:rPr>
            </w:pPr>
            <w:r>
              <w:rPr>
                <w:rFonts w:hint="eastAsia" w:ascii="宋体" w:hAnsi="宋体" w:cs="宋体"/>
                <w:b/>
                <w:bCs/>
                <w:color w:val="000000"/>
                <w:kern w:val="0"/>
                <w:szCs w:val="21"/>
                <w:lang w:bidi="ar"/>
              </w:rPr>
              <w:t>单位</w:t>
            </w:r>
          </w:p>
        </w:tc>
        <w:tc>
          <w:tcPr>
            <w:tcW w:w="2042" w:type="dxa"/>
            <w:vAlign w:val="center"/>
          </w:tcPr>
          <w:p>
            <w:pPr>
              <w:widowControl/>
              <w:spacing w:line="360" w:lineRule="auto"/>
              <w:jc w:val="center"/>
              <w:textAlignment w:val="center"/>
              <w:rPr>
                <w:rFonts w:ascii="宋体" w:hAnsi="宋体" w:eastAsia="宋体" w:cs="宋体"/>
                <w:b/>
                <w:bCs/>
                <w:color w:val="000000"/>
                <w:kern w:val="2"/>
                <w:sz w:val="21"/>
                <w:szCs w:val="21"/>
                <w:lang w:val="en-US" w:eastAsia="zh-CN" w:bidi="ar-SA"/>
              </w:rPr>
            </w:pPr>
            <w:r>
              <w:rPr>
                <w:rFonts w:hint="eastAsia" w:ascii="宋体" w:hAnsi="宋体" w:cs="宋体"/>
                <w:b/>
                <w:bCs/>
                <w:color w:val="000000"/>
                <w:kern w:val="0"/>
                <w:szCs w:val="21"/>
                <w:lang w:bidi="ar"/>
              </w:rPr>
              <w:t>数量</w:t>
            </w:r>
          </w:p>
        </w:tc>
        <w:tc>
          <w:tcPr>
            <w:tcW w:w="1838" w:type="dxa"/>
            <w:vAlign w:val="center"/>
          </w:tcPr>
          <w:p>
            <w:pPr>
              <w:widowControl/>
              <w:spacing w:line="360" w:lineRule="auto"/>
              <w:jc w:val="center"/>
              <w:textAlignment w:val="center"/>
              <w:rPr>
                <w:rFonts w:hint="eastAsia" w:ascii="宋体" w:hAnsi="宋体" w:eastAsia="宋体" w:cs="宋体"/>
                <w:b/>
                <w:bCs/>
                <w:color w:val="000000"/>
                <w:kern w:val="2"/>
                <w:sz w:val="21"/>
                <w:szCs w:val="21"/>
                <w:lang w:val="en-US" w:eastAsia="zh-CN" w:bidi="ar-SA"/>
              </w:rPr>
            </w:pPr>
            <w:r>
              <w:rPr>
                <w:rFonts w:hint="eastAsia" w:ascii="宋体" w:hAnsi="宋体" w:cs="宋体"/>
                <w:b/>
                <w:bCs/>
                <w:color w:val="000000"/>
                <w:kern w:val="0"/>
                <w:szCs w:val="21"/>
                <w:lang w:eastAsia="zh-CN" w:bidi="ar"/>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center"/>
          </w:tcPr>
          <w:p>
            <w:pPr>
              <w:widowControl/>
              <w:spacing w:line="360" w:lineRule="auto"/>
              <w:jc w:val="both"/>
              <w:textAlignment w:val="center"/>
              <w:rPr>
                <w:rFonts w:hint="default" w:ascii="宋体" w:hAnsi="宋体" w:cs="宋体"/>
                <w:b/>
                <w:bCs/>
                <w:color w:val="000000"/>
                <w:kern w:val="0"/>
                <w:szCs w:val="21"/>
                <w:lang w:val="en-US" w:eastAsia="zh-CN" w:bidi="ar"/>
              </w:rPr>
            </w:pPr>
            <w:r>
              <w:rPr>
                <w:rFonts w:hint="eastAsia" w:ascii="宋体" w:hAnsi="宋体" w:cs="宋体"/>
                <w:b/>
                <w:bCs/>
                <w:color w:val="000000"/>
                <w:kern w:val="0"/>
                <w:szCs w:val="21"/>
                <w:lang w:val="en-US" w:eastAsia="zh-CN" w:bidi="ar"/>
              </w:rPr>
              <w:t>资源中心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1</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台式计算机</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tcPr>
          <w:p>
            <w:pPr>
              <w:spacing w:line="360" w:lineRule="auto"/>
              <w:jc w:val="center"/>
              <w:rPr>
                <w:rFonts w:hint="eastAsia" w:eastAsia="宋体"/>
                <w:sz w:val="24"/>
                <w:szCs w:val="24"/>
                <w:vertAlign w:val="baseline"/>
                <w:lang w:eastAsia="zh-CN"/>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2</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双人位办公桌椅</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tcPr>
          <w:p>
            <w:pPr>
              <w:spacing w:line="360" w:lineRule="auto"/>
              <w:jc w:val="center"/>
              <w:rPr>
                <w:sz w:val="24"/>
                <w:szCs w:val="24"/>
                <w:vertAlign w:val="baseline"/>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3</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档案柜</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组</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4</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多功能一体机</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5</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沙发</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6</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茶水柜</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项</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7</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饮水机</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8</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会议桌椅</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9</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触控一体机</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10</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视听读一体机</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pPr>
              <w:spacing w:line="360" w:lineRule="auto"/>
              <w:jc w:val="center"/>
              <w:rPr>
                <w:rFonts w:hint="default" w:eastAsia="宋体"/>
                <w:sz w:val="24"/>
                <w:szCs w:val="24"/>
                <w:vertAlign w:val="baseline"/>
                <w:lang w:val="en-US" w:eastAsia="zh-CN"/>
              </w:rPr>
            </w:pPr>
            <w:r>
              <w:rPr>
                <w:rFonts w:hint="eastAsia" w:ascii="宋体" w:hAnsi="宋体" w:cs="宋体"/>
                <w:color w:val="000000"/>
                <w:kern w:val="0"/>
                <w:szCs w:val="21"/>
                <w:lang w:val="en-US" w:eastAsia="zh-CN" w:bidi="ar"/>
              </w:rPr>
              <w:t>11</w:t>
            </w:r>
          </w:p>
        </w:tc>
        <w:tc>
          <w:tcPr>
            <w:tcW w:w="2779"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4.3寸助视器</w:t>
            </w:r>
          </w:p>
        </w:tc>
        <w:tc>
          <w:tcPr>
            <w:tcW w:w="1211" w:type="dxa"/>
            <w:vAlign w:val="center"/>
          </w:tcPr>
          <w:p>
            <w:pPr>
              <w:widowControl/>
              <w:ind w:firstLine="0" w:firstLineChars="0"/>
              <w:jc w:val="center"/>
              <w:textAlignment w:val="center"/>
              <w:rPr>
                <w:rFonts w:hint="default" w:eastAsia="宋体"/>
                <w:sz w:val="24"/>
                <w:szCs w:val="24"/>
                <w:vertAlign w:val="baseline"/>
                <w:lang w:val="en-US" w:eastAsia="zh-CN"/>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5</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ascii="宋体" w:hAnsi="宋体" w:eastAsia="宋体" w:cs="宋体"/>
                <w:color w:val="000000"/>
                <w:kern w:val="2"/>
                <w:sz w:val="21"/>
                <w:szCs w:val="21"/>
                <w:lang w:val="en-US" w:eastAsia="zh-CN" w:bidi="ar-SA"/>
              </w:rPr>
            </w:pPr>
            <w:r>
              <w:rPr>
                <w:rFonts w:hint="eastAsia" w:ascii="宋体" w:hAnsi="宋体" w:cs="宋体"/>
                <w:color w:val="000000"/>
                <w:kern w:val="0"/>
                <w:szCs w:val="21"/>
                <w:lang w:bidi="ar"/>
              </w:rPr>
              <w:t>12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FM调频语训系统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10</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ascii="宋体" w:hAnsi="宋体" w:eastAsia="宋体" w:cs="宋体"/>
                <w:color w:val="000000"/>
                <w:kern w:val="2"/>
                <w:sz w:val="21"/>
                <w:szCs w:val="21"/>
                <w:lang w:val="en-US" w:eastAsia="zh-CN" w:bidi="ar-SA"/>
              </w:rPr>
            </w:pPr>
            <w:r>
              <w:rPr>
                <w:rFonts w:hint="eastAsia" w:ascii="宋体" w:hAnsi="宋体" w:cs="宋体"/>
                <w:color w:val="000000"/>
                <w:kern w:val="0"/>
                <w:szCs w:val="21"/>
                <w:lang w:bidi="ar"/>
              </w:rPr>
              <w:t>13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平板电脑</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10</w:t>
            </w:r>
          </w:p>
        </w:tc>
        <w:tc>
          <w:tcPr>
            <w:tcW w:w="1838" w:type="dxa"/>
            <w:vAlign w:val="center"/>
          </w:tcPr>
          <w:p>
            <w:pPr>
              <w:widowControl/>
              <w:spacing w:line="360" w:lineRule="auto"/>
              <w:jc w:val="center"/>
              <w:textAlignment w:val="center"/>
              <w:rPr>
                <w:rFonts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ascii="宋体" w:hAnsi="宋体" w:eastAsia="宋体" w:cs="宋体"/>
                <w:color w:val="000000"/>
                <w:kern w:val="2"/>
                <w:sz w:val="21"/>
                <w:szCs w:val="21"/>
                <w:lang w:val="en-US" w:eastAsia="zh-CN" w:bidi="ar-SA"/>
              </w:rPr>
            </w:pPr>
            <w:r>
              <w:rPr>
                <w:rFonts w:hint="eastAsia" w:ascii="宋体" w:hAnsi="宋体" w:cs="宋体"/>
                <w:color w:val="000000"/>
                <w:kern w:val="0"/>
                <w:szCs w:val="21"/>
                <w:lang w:bidi="ar"/>
              </w:rPr>
              <w:t>14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小学数学低年级教具箱</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3</w:t>
            </w:r>
          </w:p>
        </w:tc>
        <w:tc>
          <w:tcPr>
            <w:tcW w:w="1838" w:type="dxa"/>
            <w:vAlign w:val="center"/>
          </w:tcPr>
          <w:p>
            <w:pPr>
              <w:widowControl/>
              <w:spacing w:line="360" w:lineRule="auto"/>
              <w:jc w:val="center"/>
              <w:textAlignment w:val="center"/>
              <w:rPr>
                <w:rFonts w:hint="default"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eastAsia"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5</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小学数学高年级教具箱</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3</w:t>
            </w:r>
          </w:p>
        </w:tc>
        <w:tc>
          <w:tcPr>
            <w:tcW w:w="1838" w:type="dxa"/>
          </w:tcPr>
          <w:p>
            <w:pPr>
              <w:spacing w:line="360" w:lineRule="auto"/>
              <w:jc w:val="center"/>
              <w:rPr>
                <w:rFonts w:hint="eastAsia" w:eastAsia="宋体"/>
                <w:sz w:val="24"/>
                <w:szCs w:val="24"/>
                <w:vertAlign w:val="baseline"/>
                <w:lang w:eastAsia="zh-CN"/>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PEP-3自闭症评估箱</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tcPr>
          <w:p>
            <w:pPr>
              <w:spacing w:line="360" w:lineRule="auto"/>
              <w:jc w:val="center"/>
              <w:rPr>
                <w:sz w:val="24"/>
                <w:szCs w:val="24"/>
                <w:vertAlign w:val="baseline"/>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S-S言语发育迟缓工具箱</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VB-MAPP评估工具包</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19</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儿童智力测试工具箱</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儿童视力环</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21</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手眼平衡协调训练器</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22</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翻翻记忆棋</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数字华容道</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筷子夹珠子游戏</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pPr>
              <w:spacing w:line="360" w:lineRule="auto"/>
              <w:jc w:val="center"/>
              <w:rPr>
                <w:rFonts w:hint="default" w:eastAsia="宋体"/>
                <w:sz w:val="24"/>
                <w:szCs w:val="24"/>
                <w:vertAlign w:val="baseline"/>
                <w:lang w:val="en-US" w:eastAsia="zh-CN"/>
              </w:rPr>
            </w:pPr>
            <w:r>
              <w:rPr>
                <w:rFonts w:hint="eastAsia" w:ascii="宋体" w:hAnsi="宋体" w:eastAsia="宋体" w:cs="宋体"/>
                <w:color w:val="000000"/>
                <w:kern w:val="0"/>
                <w:sz w:val="21"/>
                <w:szCs w:val="21"/>
                <w:lang w:val="en-US" w:eastAsia="zh-CN" w:bidi="ar"/>
              </w:rPr>
              <w:t>25</w:t>
            </w:r>
          </w:p>
        </w:tc>
        <w:tc>
          <w:tcPr>
            <w:tcW w:w="2779"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九宫格数独游戏</w:t>
            </w:r>
          </w:p>
        </w:tc>
        <w:tc>
          <w:tcPr>
            <w:tcW w:w="1211" w:type="dxa"/>
            <w:vAlign w:val="center"/>
          </w:tcPr>
          <w:p>
            <w:pPr>
              <w:widowControl/>
              <w:ind w:firstLine="0" w:firstLineChars="0"/>
              <w:jc w:val="center"/>
              <w:textAlignment w:val="center"/>
              <w:rPr>
                <w:rFonts w:hint="default" w:eastAsia="宋体"/>
                <w:sz w:val="24"/>
                <w:szCs w:val="24"/>
                <w:vertAlign w:val="baseline"/>
                <w:lang w:val="en-US" w:eastAsia="zh-CN"/>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俄罗斯方块之谜拼图</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二合一棋盘</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螺丝拼盘套装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default"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29</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运笔连线卡片</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tcPr>
          <w:p>
            <w:pPr>
              <w:spacing w:line="360" w:lineRule="auto"/>
              <w:jc w:val="center"/>
              <w:rPr>
                <w:rFonts w:hint="eastAsia" w:eastAsia="宋体"/>
                <w:sz w:val="24"/>
                <w:szCs w:val="24"/>
                <w:vertAlign w:val="baseline"/>
                <w:lang w:eastAsia="zh-CN"/>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益智串珠盒</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tcPr>
          <w:p>
            <w:pPr>
              <w:spacing w:line="360" w:lineRule="auto"/>
              <w:jc w:val="center"/>
              <w:rPr>
                <w:sz w:val="24"/>
                <w:szCs w:val="24"/>
                <w:vertAlign w:val="baseline"/>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钓鱼夹珠子游戏套装</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趣味动物数字绘画板</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33</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玩教具柜</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34</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35</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空调机（3P）</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center"/>
          </w:tcPr>
          <w:p>
            <w:pPr>
              <w:widowControl/>
              <w:spacing w:line="360" w:lineRule="auto"/>
              <w:jc w:val="both"/>
              <w:textAlignment w:val="center"/>
              <w:rPr>
                <w:rFonts w:hint="default" w:ascii="宋体" w:hAnsi="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康复训练室-感觉统</w:t>
            </w:r>
            <w:r>
              <w:rPr>
                <w:rFonts w:hint="eastAsia" w:ascii="宋体" w:hAnsi="宋体" w:cs="宋体"/>
                <w:b/>
                <w:bCs/>
                <w:color w:val="000000"/>
                <w:kern w:val="0"/>
                <w:szCs w:val="21"/>
                <w:lang w:val="en-US" w:eastAsia="zh-CN" w:bidi="ar"/>
              </w:rPr>
              <w:t>合训练区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36</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羊角球</w:t>
            </w:r>
          </w:p>
        </w:tc>
        <w:tc>
          <w:tcPr>
            <w:tcW w:w="1211" w:type="dxa"/>
            <w:vAlign w:val="center"/>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spacing w:line="360" w:lineRule="auto"/>
              <w:jc w:val="center"/>
              <w:textAlignment w:val="bottom"/>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4</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37</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平衡旋转器</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38</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大龙球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39</w:t>
            </w:r>
          </w:p>
        </w:tc>
        <w:tc>
          <w:tcPr>
            <w:tcW w:w="2779"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圆形滑车</w:t>
            </w:r>
          </w:p>
        </w:tc>
        <w:tc>
          <w:tcPr>
            <w:tcW w:w="1211" w:type="dxa"/>
            <w:vAlign w:val="center"/>
          </w:tcPr>
          <w:p>
            <w:pPr>
              <w:widowControl/>
              <w:ind w:firstLine="0" w:firstLineChars="0"/>
              <w:jc w:val="center"/>
              <w:textAlignment w:val="center"/>
              <w:rPr>
                <w:rFonts w:hint="default" w:eastAsia="宋体"/>
                <w:sz w:val="24"/>
                <w:szCs w:val="24"/>
                <w:vertAlign w:val="baseline"/>
                <w:lang w:val="en-US" w:eastAsia="zh-CN"/>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8</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太极平衡板</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S型平衡木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悬挂式晃动平衡木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default"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43</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触觉球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4</w:t>
            </w:r>
          </w:p>
        </w:tc>
        <w:tc>
          <w:tcPr>
            <w:tcW w:w="1838" w:type="dxa"/>
          </w:tcPr>
          <w:p>
            <w:pPr>
              <w:spacing w:line="360" w:lineRule="auto"/>
              <w:jc w:val="center"/>
              <w:rPr>
                <w:rFonts w:hint="eastAsia" w:eastAsia="宋体"/>
                <w:sz w:val="24"/>
                <w:szCs w:val="24"/>
                <w:vertAlign w:val="baseline"/>
                <w:lang w:eastAsia="zh-CN"/>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44</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独脚凳</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10</w:t>
            </w:r>
          </w:p>
        </w:tc>
        <w:tc>
          <w:tcPr>
            <w:tcW w:w="1838" w:type="dxa"/>
          </w:tcPr>
          <w:p>
            <w:pPr>
              <w:spacing w:line="360" w:lineRule="auto"/>
              <w:jc w:val="center"/>
              <w:rPr>
                <w:sz w:val="24"/>
                <w:szCs w:val="24"/>
                <w:vertAlign w:val="baseline"/>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45</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花生球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2</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46</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highlight w:val="none"/>
                <w:lang w:bidi="ar"/>
              </w:rPr>
              <w:t>攀岩墙组合</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auto"/>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47</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幻彩子母滚筒套件</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平衡跷跷板</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49</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飞人秋千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50</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鸟窝秋千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悬挂方形布袋秋千</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w:t>
            </w:r>
          </w:p>
        </w:tc>
        <w:tc>
          <w:tcPr>
            <w:tcW w:w="2779"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滚筒滑梯</w:t>
            </w:r>
          </w:p>
        </w:tc>
        <w:tc>
          <w:tcPr>
            <w:tcW w:w="1211"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pPr>
              <w:widowControl/>
              <w:spacing w:line="360" w:lineRule="auto"/>
              <w:jc w:val="center"/>
              <w:textAlignment w:val="bottom"/>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53</w:t>
            </w:r>
          </w:p>
        </w:tc>
        <w:tc>
          <w:tcPr>
            <w:tcW w:w="2779"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儿童室内游戏小屋</w:t>
            </w:r>
          </w:p>
        </w:tc>
        <w:tc>
          <w:tcPr>
            <w:tcW w:w="1211" w:type="dxa"/>
            <w:vAlign w:val="center"/>
          </w:tcPr>
          <w:p>
            <w:pPr>
              <w:widowControl/>
              <w:ind w:firstLine="0" w:firstLineChars="0"/>
              <w:jc w:val="center"/>
              <w:textAlignment w:val="center"/>
              <w:rPr>
                <w:rFonts w:hint="default" w:eastAsia="宋体"/>
                <w:sz w:val="24"/>
                <w:szCs w:val="24"/>
                <w:vertAlign w:val="baseline"/>
                <w:lang w:val="en-US" w:eastAsia="zh-CN"/>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sz w:val="24"/>
                <w:szCs w:val="24"/>
                <w:vertAlign w:val="baseline"/>
              </w:rPr>
            </w:pPr>
            <w:r>
              <w:rPr>
                <w:rFonts w:hint="eastAsia" w:ascii="宋体" w:hAnsi="宋体" w:cs="宋体"/>
                <w:kern w:val="0"/>
                <w:highlight w:val="none"/>
                <w:lang w:bidi="ar"/>
              </w:rPr>
              <w:t>2</w:t>
            </w:r>
          </w:p>
        </w:tc>
        <w:tc>
          <w:tcPr>
            <w:tcW w:w="1838"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鞋柜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张</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top"/>
          </w:tcPr>
          <w:p>
            <w:pPr>
              <w:spacing w:line="360" w:lineRule="auto"/>
              <w:jc w:val="center"/>
              <w:rPr>
                <w:rFonts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地垫</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100</w:t>
            </w:r>
          </w:p>
        </w:tc>
        <w:tc>
          <w:tcPr>
            <w:tcW w:w="1838" w:type="dxa"/>
            <w:vAlign w:val="center"/>
          </w:tcPr>
          <w:p>
            <w:pPr>
              <w:widowControl/>
              <w:spacing w:line="360" w:lineRule="auto"/>
              <w:jc w:val="center"/>
              <w:textAlignment w:val="center"/>
              <w:rPr>
                <w:rFonts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软包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60</w:t>
            </w:r>
          </w:p>
        </w:tc>
        <w:tc>
          <w:tcPr>
            <w:tcW w:w="1838" w:type="dxa"/>
            <w:vAlign w:val="center"/>
          </w:tcPr>
          <w:p>
            <w:pPr>
              <w:widowControl/>
              <w:spacing w:line="360" w:lineRule="auto"/>
              <w:jc w:val="center"/>
              <w:textAlignment w:val="center"/>
              <w:rPr>
                <w:rFonts w:hint="default" w:ascii="宋体" w:hAnsi="宋体" w:eastAsia="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center"/>
          </w:tcPr>
          <w:p>
            <w:pPr>
              <w:widowControl/>
              <w:spacing w:line="360" w:lineRule="auto"/>
              <w:jc w:val="both"/>
              <w:textAlignment w:val="center"/>
              <w:rPr>
                <w:rFonts w:hint="default" w:ascii="宋体" w:hAnsi="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0"/>
                <w:szCs w:val="21"/>
                <w:lang w:val="en-US" w:eastAsia="zh-CN" w:bidi="ar"/>
              </w:rPr>
              <w:t>多感官虚拟互动区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57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多媒体情景互动系统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58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无尽深度灯镜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59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动感彩轮</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四色声乐水柱</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互动嗅觉装置</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嗅觉套装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触觉套装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无线互动地毯组</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聚光面板</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手掌电子游戏箱</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哈哈镜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平衡互动组合训练系统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69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儿童互动声光游戏波波池</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音乐滑坡</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音乐阶梯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幻彩光纤帘</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组</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幻彩光纤灯源</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彩光LED球</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圆环投射灯光音乐跳</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声控闪灯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幻彩镜球</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彩像投射机</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幻彩半球灯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多感官控制系统吧台</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儿童室内游戏小屋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地垫</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100</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软包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60</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顶面造型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项</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1</w:t>
            </w:r>
          </w:p>
        </w:tc>
        <w:tc>
          <w:tcPr>
            <w:tcW w:w="1838" w:type="dxa"/>
            <w:vAlign w:val="center"/>
          </w:tcPr>
          <w:p>
            <w:pPr>
              <w:widowControl/>
              <w:spacing w:line="360" w:lineRule="auto"/>
              <w:jc w:val="center"/>
              <w:textAlignment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墙面改造</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项</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1</w:t>
            </w:r>
          </w:p>
        </w:tc>
        <w:tc>
          <w:tcPr>
            <w:tcW w:w="1838" w:type="dxa"/>
            <w:vAlign w:val="center"/>
          </w:tcPr>
          <w:p>
            <w:pPr>
              <w:widowControl/>
              <w:spacing w:line="360" w:lineRule="auto"/>
              <w:jc w:val="center"/>
              <w:textAlignment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电路改造</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项</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Theme="minorEastAsia" w:hAnsiTheme="minorEastAsia" w:eastAsiaTheme="minorEastAsia" w:cstheme="minorEastAsia"/>
                <w:kern w:val="0"/>
                <w:highlight w:val="none"/>
                <w:lang w:bidi="ar"/>
              </w:rPr>
              <w:t>1</w:t>
            </w:r>
          </w:p>
        </w:tc>
        <w:tc>
          <w:tcPr>
            <w:tcW w:w="1838" w:type="dxa"/>
            <w:vAlign w:val="center"/>
          </w:tcPr>
          <w:p>
            <w:pPr>
              <w:widowControl/>
              <w:spacing w:line="360" w:lineRule="auto"/>
              <w:jc w:val="center"/>
              <w:textAlignment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蒙</w:t>
            </w:r>
            <w:r>
              <w:rPr>
                <w:rFonts w:hint="eastAsia" w:cs="宋体"/>
                <w:b/>
                <w:bCs/>
                <w:color w:val="000000"/>
                <w:kern w:val="2"/>
                <w:sz w:val="21"/>
                <w:szCs w:val="21"/>
                <w:lang w:val="en-US" w:eastAsia="zh-CN" w:bidi="ar-SA"/>
              </w:rPr>
              <w:t>特</w:t>
            </w:r>
            <w:r>
              <w:rPr>
                <w:rFonts w:hint="eastAsia" w:ascii="宋体" w:hAnsi="宋体" w:cs="宋体"/>
                <w:b/>
                <w:bCs/>
                <w:color w:val="000000"/>
                <w:kern w:val="2"/>
                <w:sz w:val="21"/>
                <w:szCs w:val="21"/>
                <w:lang w:val="en-US" w:eastAsia="zh-CN" w:bidi="ar-SA"/>
              </w:rPr>
              <w:t>梭利区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蒙</w:t>
            </w:r>
            <w:r>
              <w:rPr>
                <w:rFonts w:hint="eastAsia" w:cs="宋体"/>
                <w:kern w:val="0"/>
                <w:highlight w:val="none"/>
                <w:lang w:val="en-US" w:eastAsia="zh-CN" w:bidi="ar"/>
              </w:rPr>
              <w:t>特</w:t>
            </w:r>
            <w:r>
              <w:rPr>
                <w:rFonts w:hint="eastAsia" w:ascii="宋体" w:hAnsi="宋体" w:cs="宋体"/>
                <w:kern w:val="0"/>
                <w:highlight w:val="none"/>
                <w:lang w:bidi="ar"/>
              </w:rPr>
              <w:t>梭利教具（132件）</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default"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 xml:space="preserve">7 </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89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六人桌</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张</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 xml:space="preserve">1 </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儿童椅子</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把</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 xml:space="preserve">6 </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蒙氏工作毯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 xml:space="preserve">1 </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地毯架</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 xml:space="preserve">1 </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儿童室内游戏小屋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物理治疗区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双人站立架</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角度尺</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形状轮</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减重步态训练器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跑台</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99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液压踏步器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auto"/>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下肢功率车（立式）</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多功能关节肌力训练器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髋关节训练器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踝关节矫正训练器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弧形腹肌训练器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多功能训练器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儿童沙袋（绑式）</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儿童沙袋（提式）</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系列哑铃</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109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矫正镜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儿童梯椅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摆位椅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张</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平行杠</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训练用阶梯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儿童肋木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PT训练床</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张</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PT凳</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楔形垫</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训练地垫</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60</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作业治疗区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119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重锤式手指肌力训练桌</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张</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手指阶梯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堆杯</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橡皮手指练习器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引导式上肢协调训练器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手功能组合训练箱</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OT训练组合</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手指功能训练器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手平衡协调训练器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腕部功能训练器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129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上肢协调功能练习器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体操棒与抛接球（立式）</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言语语言康复个训区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早期语言评估与训练系统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言语功能评估训练卡片</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语言能力评估训练卡</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智能儿童沟通训练板</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言语训练工具套装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口部构音运动训练器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139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呼吸训练器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10</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吹球游戏</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口腔训练器</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隔断</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项</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认知沟通个训区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儿童认知能力测试与训练仪</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认知互动书</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智能儿童沟通训练板</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149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孤独症干预个训区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孤独症综合评估与干预系统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社会行为干预卡片</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智能儿童沟通训练板</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智能AAC</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沟通辅具图片1</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沟通辅具图片2</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擎天</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大马克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小马克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159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大鼻子</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布里斯Pro</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161</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儿童室内游戏小屋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162</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163</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gridSpan w:val="5"/>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eastAsia="宋体" w:cs="宋体"/>
                <w:b/>
                <w:bCs/>
                <w:color w:val="000000"/>
                <w:kern w:val="0"/>
                <w:szCs w:val="21"/>
                <w:lang w:val="en-US" w:eastAsia="zh-CN" w:bidi="ar"/>
              </w:rPr>
              <w:t>康复训练室-</w:t>
            </w:r>
            <w:r>
              <w:rPr>
                <w:rFonts w:hint="eastAsia" w:ascii="宋体" w:hAnsi="宋体" w:cs="宋体"/>
                <w:b/>
                <w:bCs/>
                <w:color w:val="000000"/>
                <w:kern w:val="2"/>
                <w:sz w:val="21"/>
                <w:szCs w:val="21"/>
                <w:lang w:val="en-US" w:eastAsia="zh-CN" w:bidi="ar-SA"/>
              </w:rPr>
              <w:t>注意力个训区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164</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共同注意力评估与训练系统</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165</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基础能力训练仪</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台</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166</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注意力测评工具箱</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167</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听并做-听觉注意力训练卡片</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168</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儿童室内游戏小屋</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169</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个训桌椅</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套</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1</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bottom"/>
          </w:tcPr>
          <w:p>
            <w:pPr>
              <w:widowControl/>
              <w:spacing w:line="360" w:lineRule="auto"/>
              <w:jc w:val="center"/>
              <w:textAlignment w:val="bottom"/>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170</w:t>
            </w:r>
          </w:p>
        </w:tc>
        <w:tc>
          <w:tcPr>
            <w:tcW w:w="2779"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玩教具柜</w:t>
            </w:r>
          </w:p>
        </w:tc>
        <w:tc>
          <w:tcPr>
            <w:tcW w:w="1211"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个</w:t>
            </w:r>
          </w:p>
        </w:tc>
        <w:tc>
          <w:tcPr>
            <w:tcW w:w="2042" w:type="dxa"/>
            <w:vAlign w:val="center"/>
          </w:tcPr>
          <w:p>
            <w:pPr>
              <w:widowControl/>
              <w:ind w:firstLine="0" w:firstLineChars="0"/>
              <w:jc w:val="center"/>
              <w:textAlignment w:val="center"/>
              <w:rPr>
                <w:rFonts w:ascii="宋体" w:hAnsi="宋体" w:eastAsia="宋体" w:cs="宋体"/>
                <w:color w:val="000000"/>
                <w:kern w:val="2"/>
                <w:sz w:val="21"/>
                <w:szCs w:val="21"/>
                <w:lang w:val="en-US" w:eastAsia="zh-CN" w:bidi="ar-SA"/>
              </w:rPr>
            </w:pPr>
            <w:r>
              <w:rPr>
                <w:rFonts w:hint="eastAsia" w:ascii="宋体" w:hAnsi="宋体" w:cs="宋体"/>
                <w:kern w:val="0"/>
                <w:highlight w:val="none"/>
                <w:lang w:bidi="ar"/>
              </w:rPr>
              <w:t>2</w:t>
            </w:r>
          </w:p>
        </w:tc>
        <w:tc>
          <w:tcPr>
            <w:tcW w:w="1838"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bl>
    <w:p>
      <w:pPr>
        <w:spacing w:line="360" w:lineRule="auto"/>
        <w:ind w:firstLine="420"/>
        <w:rPr>
          <w:rFonts w:hint="eastAsia" w:ascii="宋体" w:hAnsi="宋体" w:eastAsia="宋体" w:cs="宋体"/>
          <w:b/>
          <w:bCs/>
          <w:sz w:val="24"/>
          <w:szCs w:val="24"/>
          <w:lang w:val="en-US" w:eastAsia="zh-CN"/>
        </w:rPr>
      </w:pPr>
      <w:bookmarkStart w:id="6" w:name="_Toc68623156"/>
      <w:bookmarkStart w:id="7" w:name="_Toc27183"/>
    </w:p>
    <w:p>
      <w:pPr>
        <w:spacing w:line="360" w:lineRule="auto"/>
        <w:ind w:firstLine="420"/>
        <w:rPr>
          <w:rFonts w:hint="default" w:asciiTheme="minorEastAsia" w:hAnsiTheme="minorEastAsia" w:eastAsiaTheme="minorEastAsia"/>
          <w:b w:val="0"/>
          <w:bCs w:val="0"/>
          <w:sz w:val="24"/>
          <w:szCs w:val="24"/>
          <w:lang w:val="en-US" w:eastAsia="zh-CN"/>
        </w:rPr>
      </w:pPr>
      <w:r>
        <w:rPr>
          <w:rFonts w:hint="eastAsia" w:ascii="宋体" w:hAnsi="宋体" w:eastAsia="宋体" w:cs="宋体"/>
          <w:b/>
          <w:bCs/>
          <w:sz w:val="24"/>
          <w:szCs w:val="24"/>
          <w:lang w:val="en-US" w:eastAsia="zh-CN"/>
        </w:rPr>
        <w:t>包件2</w:t>
      </w:r>
      <w:bookmarkEnd w:id="6"/>
      <w:r>
        <w:rPr>
          <w:rFonts w:hint="eastAsia" w:ascii="宋体" w:hAnsi="宋体" w:eastAsia="宋体" w:cs="宋体"/>
          <w:b/>
          <w:bCs/>
          <w:sz w:val="24"/>
          <w:szCs w:val="24"/>
          <w:lang w:val="en-US" w:eastAsia="zh-CN"/>
        </w:rPr>
        <w:t>：</w:t>
      </w:r>
      <w:bookmarkEnd w:id="7"/>
      <w:r>
        <w:rPr>
          <w:rFonts w:hint="eastAsia" w:ascii="宋体" w:hAnsi="宋体" w:eastAsia="宋体" w:cs="宋体"/>
          <w:b/>
          <w:bCs/>
          <w:sz w:val="24"/>
          <w:szCs w:val="24"/>
          <w:lang w:val="en-US" w:eastAsia="zh-CN"/>
        </w:rPr>
        <w:t>心理咨询室、艺术治疗室、生活情境体验室设备采购</w:t>
      </w:r>
    </w:p>
    <w:tbl>
      <w:tblPr>
        <w:tblStyle w:val="18"/>
        <w:tblW w:w="8696" w:type="dxa"/>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60"/>
        <w:gridCol w:w="2883"/>
        <w:gridCol w:w="1260"/>
        <w:gridCol w:w="1953"/>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06" w:type="dxa"/>
            <w:gridSpan w:val="2"/>
            <w:vAlign w:val="center"/>
          </w:tcPr>
          <w:p>
            <w:pPr>
              <w:widowControl/>
              <w:spacing w:line="360" w:lineRule="auto"/>
              <w:jc w:val="center"/>
              <w:textAlignment w:val="center"/>
              <w:rPr>
                <w:rFonts w:hint="eastAsia" w:ascii="宋体" w:hAnsi="宋体" w:eastAsia="宋体" w:cs="宋体"/>
                <w:b/>
                <w:color w:val="000000"/>
                <w:kern w:val="2"/>
                <w:sz w:val="22"/>
                <w:szCs w:val="22"/>
                <w:lang w:val="en-US" w:eastAsia="zh-CN" w:bidi="ar-SA"/>
              </w:rPr>
            </w:pPr>
            <w:r>
              <w:rPr>
                <w:rFonts w:hint="eastAsia" w:ascii="宋体" w:hAnsi="宋体" w:cs="宋体"/>
                <w:b/>
                <w:color w:val="000000"/>
                <w:kern w:val="0"/>
                <w:sz w:val="22"/>
                <w:lang w:bidi="ar"/>
              </w:rPr>
              <w:t>序号</w:t>
            </w:r>
          </w:p>
        </w:tc>
        <w:tc>
          <w:tcPr>
            <w:tcW w:w="2883" w:type="dxa"/>
            <w:vAlign w:val="center"/>
          </w:tcPr>
          <w:p>
            <w:pPr>
              <w:widowControl/>
              <w:spacing w:line="360" w:lineRule="auto"/>
              <w:jc w:val="center"/>
              <w:textAlignment w:val="center"/>
              <w:rPr>
                <w:rFonts w:hint="eastAsia" w:ascii="宋体" w:hAnsi="宋体" w:eastAsia="宋体" w:cs="宋体"/>
                <w:b/>
                <w:color w:val="000000"/>
                <w:kern w:val="2"/>
                <w:sz w:val="22"/>
                <w:szCs w:val="22"/>
                <w:lang w:val="en-US" w:eastAsia="zh-CN" w:bidi="ar-SA"/>
              </w:rPr>
            </w:pPr>
            <w:r>
              <w:rPr>
                <w:rFonts w:hint="eastAsia" w:ascii="宋体" w:hAnsi="宋体" w:cs="宋体"/>
                <w:b/>
                <w:color w:val="000000"/>
                <w:kern w:val="0"/>
                <w:sz w:val="22"/>
                <w:lang w:eastAsia="zh-CN" w:bidi="ar"/>
              </w:rPr>
              <w:t>货物</w:t>
            </w:r>
            <w:r>
              <w:rPr>
                <w:rFonts w:hint="eastAsia" w:ascii="宋体" w:hAnsi="宋体" w:cs="宋体"/>
                <w:b/>
                <w:color w:val="000000"/>
                <w:kern w:val="0"/>
                <w:sz w:val="22"/>
                <w:lang w:bidi="ar"/>
              </w:rPr>
              <w:t>名称</w:t>
            </w:r>
            <w:r>
              <w:rPr>
                <w:rFonts w:hint="eastAsia" w:ascii="宋体" w:hAnsi="宋体" w:cs="宋体"/>
                <w:b/>
                <w:color w:val="000000"/>
                <w:kern w:val="0"/>
                <w:sz w:val="22"/>
                <w:lang w:eastAsia="zh-CN" w:bidi="ar"/>
              </w:rPr>
              <w:t>（标的名称）</w:t>
            </w:r>
          </w:p>
        </w:tc>
        <w:tc>
          <w:tcPr>
            <w:tcW w:w="1260" w:type="dxa"/>
            <w:vAlign w:val="center"/>
          </w:tcPr>
          <w:p>
            <w:pPr>
              <w:widowControl/>
              <w:spacing w:line="360" w:lineRule="auto"/>
              <w:jc w:val="center"/>
              <w:textAlignment w:val="center"/>
              <w:rPr>
                <w:rFonts w:hint="eastAsia" w:ascii="宋体" w:hAnsi="宋体" w:cs="宋体"/>
                <w:b/>
                <w:color w:val="000000"/>
                <w:kern w:val="0"/>
                <w:sz w:val="22"/>
                <w:lang w:val="en-US" w:eastAsia="zh-CN" w:bidi="ar"/>
              </w:rPr>
            </w:pPr>
            <w:r>
              <w:rPr>
                <w:rFonts w:hint="eastAsia" w:ascii="宋体" w:hAnsi="宋体" w:cs="宋体"/>
                <w:b/>
                <w:color w:val="000000"/>
                <w:kern w:val="0"/>
                <w:sz w:val="22"/>
                <w:lang w:eastAsia="zh-CN" w:bidi="ar"/>
              </w:rPr>
              <w:t>数量</w:t>
            </w:r>
          </w:p>
        </w:tc>
        <w:tc>
          <w:tcPr>
            <w:tcW w:w="1953" w:type="dxa"/>
            <w:vAlign w:val="bottom"/>
          </w:tcPr>
          <w:p>
            <w:pPr>
              <w:widowControl/>
              <w:spacing w:line="360" w:lineRule="auto"/>
              <w:jc w:val="center"/>
              <w:textAlignment w:val="bottom"/>
              <w:rPr>
                <w:rFonts w:hint="eastAsia" w:ascii="宋体" w:hAnsi="宋体" w:eastAsia="宋体" w:cs="宋体"/>
                <w:b/>
                <w:color w:val="000000"/>
                <w:kern w:val="2"/>
                <w:sz w:val="22"/>
                <w:szCs w:val="22"/>
                <w:lang w:val="en-US" w:eastAsia="zh-CN" w:bidi="ar-SA"/>
              </w:rPr>
            </w:pPr>
            <w:r>
              <w:rPr>
                <w:rFonts w:hint="eastAsia" w:ascii="宋体" w:hAnsi="宋体" w:cs="宋体"/>
                <w:b/>
                <w:color w:val="000000"/>
                <w:kern w:val="0"/>
                <w:sz w:val="22"/>
                <w:lang w:bidi="ar"/>
              </w:rPr>
              <w:t>单位</w:t>
            </w:r>
          </w:p>
        </w:tc>
        <w:tc>
          <w:tcPr>
            <w:tcW w:w="1794" w:type="dxa"/>
            <w:vAlign w:val="bottom"/>
          </w:tcPr>
          <w:p>
            <w:pPr>
              <w:widowControl/>
              <w:spacing w:line="360" w:lineRule="auto"/>
              <w:jc w:val="center"/>
              <w:textAlignment w:val="bottom"/>
              <w:rPr>
                <w:rFonts w:hint="eastAsia" w:ascii="宋体" w:hAnsi="宋体" w:eastAsia="宋体" w:cs="宋体"/>
                <w:b/>
                <w:color w:val="000000"/>
                <w:kern w:val="2"/>
                <w:sz w:val="22"/>
                <w:szCs w:val="22"/>
                <w:lang w:val="en-US" w:eastAsia="zh-CN" w:bidi="ar-SA"/>
              </w:rPr>
            </w:pPr>
            <w:r>
              <w:rPr>
                <w:rFonts w:hint="eastAsia" w:ascii="宋体" w:hAnsi="宋体" w:cs="宋体"/>
                <w:b/>
                <w:color w:val="000000"/>
                <w:kern w:val="0"/>
                <w:sz w:val="22"/>
                <w:lang w:eastAsia="zh-CN" w:bidi="ar"/>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ascii="宋体" w:hAnsi="宋体" w:cs="宋体"/>
                <w:b/>
                <w:bCs/>
                <w:color w:val="000000"/>
                <w:kern w:val="2"/>
                <w:sz w:val="21"/>
                <w:szCs w:val="21"/>
                <w:lang w:val="en-US" w:eastAsia="zh-CN" w:bidi="ar-SA"/>
              </w:rPr>
              <w:t>心理咨询室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1</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台式计算机</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台</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2</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激光打印机</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台</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3</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办公桌椅</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4</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文件柜</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组</w:t>
            </w:r>
          </w:p>
        </w:tc>
        <w:tc>
          <w:tcPr>
            <w:tcW w:w="1794" w:type="dxa"/>
            <w:vAlign w:val="center"/>
          </w:tcPr>
          <w:p>
            <w:pPr>
              <w:widowControl/>
              <w:spacing w:line="360" w:lineRule="auto"/>
              <w:jc w:val="center"/>
              <w:textAlignment w:val="center"/>
              <w:rPr>
                <w:rFonts w:hint="default" w:ascii="宋体" w:hAnsi="宋体" w:eastAsia="宋体" w:cs="宋体"/>
                <w:color w:val="000000"/>
                <w:kern w:val="2"/>
                <w:sz w:val="22"/>
                <w:szCs w:val="22"/>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5</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沙发茶几组</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6</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饮水机</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台</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7</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箱庭设备</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8</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爱心拥抱人</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color w:val="000000"/>
                <w:kern w:val="0"/>
                <w:sz w:val="22"/>
                <w:lang w:bidi="ar"/>
              </w:rPr>
              <w:t>9</w:t>
            </w:r>
          </w:p>
        </w:tc>
        <w:tc>
          <w:tcPr>
            <w:tcW w:w="288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音乐放松椅</w:t>
            </w:r>
          </w:p>
        </w:tc>
        <w:tc>
          <w:tcPr>
            <w:tcW w:w="1260"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eastAsia="宋体" w:cs="宋体"/>
                <w:color w:val="000000"/>
                <w:kern w:val="2"/>
                <w:sz w:val="22"/>
                <w:szCs w:val="22"/>
                <w:lang w:val="en-US" w:eastAsia="zh-CN" w:bidi="ar-SA"/>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智能呐喊宣泄仪</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宣泄器材套装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鞋柜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张</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宣泄区地垫</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m2</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软包宣泄墙垫</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m2</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艺术治疗室-</w:t>
            </w:r>
            <w:r>
              <w:rPr>
                <w:rFonts w:hint="eastAsia" w:ascii="宋体" w:hAnsi="宋体" w:cs="宋体"/>
                <w:b/>
                <w:bCs/>
                <w:color w:val="000000"/>
                <w:kern w:val="2"/>
                <w:sz w:val="21"/>
                <w:szCs w:val="21"/>
                <w:lang w:val="en-US" w:eastAsia="zh-CN" w:bidi="ar-SA"/>
              </w:rPr>
              <w:t>特奥运动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硬地滚球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val="en-US" w:eastAsia="zh-CN" w:bidi="ar"/>
              </w:rPr>
              <w:t>16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地滚球辅助器材</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地滚球赛道</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裁判器材</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曲棍球棒</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曲棍球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曲棍球门</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曲棍球赛道</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轮滑鞋</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双</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百变飞环</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三叶飞镖</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火箭投掷组</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支</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火箭标枪</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彩带飞盘组</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飞镖游戏组</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接接淘淘</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捕捉球手套</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4</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柠檬跳跳球进阶款</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三明治网布橄榄球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虎鲸足球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center"/>
          </w:tcPr>
          <w:p>
            <w:pPr>
              <w:widowControl/>
              <w:spacing w:line="360" w:lineRule="auto"/>
              <w:jc w:val="center"/>
              <w:textAlignment w:val="center"/>
              <w:rPr>
                <w:rFonts w:hint="eastAsia" w:ascii="宋体" w:hAnsi="宋体" w:eastAsia="宋体" w:cs="宋体"/>
                <w:color w:val="000000"/>
                <w:kern w:val="2"/>
                <w:sz w:val="22"/>
                <w:szCs w:val="22"/>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5寸躲避球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少儿排球-红/黄</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彩虹篮球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ascii="Calibri" w:hAnsi="Calibri" w:eastAsia="宋体" w:cs="Times New Roman"/>
                <w:kern w:val="2"/>
                <w:sz w:val="24"/>
                <w:szCs w:val="24"/>
                <w:vertAlign w:val="baseline"/>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彩虹羽毛球组</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儿童多功能板拍</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软式棍球棒</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对</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可调节跳高架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跑跳障碍套装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大号速叠杯</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长杆高跷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手掌标志盘</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脚掌标志盘</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双人齐步走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三人齐步走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PU小骰子</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艺术治疗室-</w:t>
            </w:r>
            <w:r>
              <w:rPr>
                <w:rFonts w:hint="eastAsia" w:ascii="宋体" w:hAnsi="宋体" w:cs="宋体"/>
                <w:b/>
                <w:bCs/>
                <w:color w:val="000000"/>
                <w:kern w:val="2"/>
                <w:sz w:val="21"/>
                <w:szCs w:val="21"/>
                <w:lang w:val="en-US" w:eastAsia="zh-CN" w:bidi="ar-SA"/>
              </w:rPr>
              <w:t>奥尔夫音乐区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奥尔夫音乐（136件）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教具柜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音乐凳</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隔断</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艺术治疗室-</w:t>
            </w:r>
            <w:r>
              <w:rPr>
                <w:rFonts w:hint="eastAsia" w:ascii="宋体" w:hAnsi="宋体" w:cs="宋体"/>
                <w:b/>
                <w:bCs/>
                <w:color w:val="000000"/>
                <w:kern w:val="2"/>
                <w:sz w:val="21"/>
                <w:szCs w:val="21"/>
                <w:lang w:val="en-US" w:eastAsia="zh-CN" w:bidi="ar-SA"/>
              </w:rPr>
              <w:t>律动舞蹈区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触控一体机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钢琴</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音乐魔方</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瑜伽垫</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张</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瑜伽球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瑜伽收纳架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合唱台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4</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把杆</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鞋柜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张</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数字音频功放</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 xml:space="preserve">1 </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阵列话筒</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 xml:space="preserve">1 </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数字音频传输内嵌软件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 xml:space="preserve">1 </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kern w:val="0"/>
                <w:sz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控制面板</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 xml:space="preserve">1 </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木地板</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镜面墙</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面</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艺术治疗室-</w:t>
            </w:r>
            <w:r>
              <w:rPr>
                <w:rFonts w:hint="eastAsia" w:ascii="宋体" w:hAnsi="宋体" w:cs="宋体"/>
                <w:b/>
                <w:bCs/>
                <w:color w:val="000000"/>
                <w:kern w:val="2"/>
                <w:sz w:val="21"/>
                <w:szCs w:val="21"/>
                <w:lang w:val="en-US" w:eastAsia="zh-CN" w:bidi="ar-S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美术教学用品储存柜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作品展示架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美术桌</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张</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写生升降凳</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张</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静物台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衬布</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4</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写生画板</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画架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写生灯</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写生教具1</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写生教具2</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便携式移动油画车</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辆</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泥工工具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云台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美术学具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绘图工具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版画工具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绘画工具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制作工具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篆刻工具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国画工具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拉坯机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炼泥机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电窑</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虚拟绘图板</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生活情境体验室-</w:t>
            </w:r>
            <w:r>
              <w:rPr>
                <w:rFonts w:hint="eastAsia" w:ascii="宋体" w:hAnsi="宋体" w:cs="宋体"/>
                <w:b/>
                <w:bCs/>
                <w:color w:val="000000"/>
                <w:kern w:val="2"/>
                <w:sz w:val="21"/>
                <w:szCs w:val="21"/>
                <w:lang w:val="en-US" w:eastAsia="zh-CN" w:bidi="ar-SA"/>
              </w:rPr>
              <w:t>烹饪区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烟机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电磁灶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冰箱</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蒸烤箱</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微波炉</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电饼铛</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电饭煲</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破壁机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咖啡机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水槽</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组</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消毒柜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咖啡杯</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炊具套装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调味瓶套装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餐具套装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不锈钢菜刀架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不锈钢调味架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不锈钢盆组合装</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分类垃圾桶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和面盆</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面案</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量称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量杯</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电子量勺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烤具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食品制作模具</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打蛋器</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121</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擀面杖</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122</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面粉网筛</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123</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裱花嘴</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124</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裱花台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125</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糕点多层盘</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126</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中西餐厨柜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26</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米</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127</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中西餐吊柜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4</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米</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128</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西餐区吧台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米</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129</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中岛操作台</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米</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gridSpan w:val="2"/>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130</w:t>
            </w:r>
          </w:p>
        </w:tc>
        <w:tc>
          <w:tcPr>
            <w:tcW w:w="2883" w:type="dxa"/>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椅子</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10</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把</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生活情境体验室-</w:t>
            </w:r>
            <w:r>
              <w:rPr>
                <w:rFonts w:hint="eastAsia" w:ascii="宋体" w:hAnsi="宋体" w:cs="宋体"/>
                <w:b/>
                <w:bCs/>
                <w:color w:val="000000"/>
                <w:kern w:val="2"/>
                <w:sz w:val="21"/>
                <w:szCs w:val="21"/>
                <w:lang w:val="en-US" w:eastAsia="zh-CN" w:bidi="ar-SA"/>
              </w:rPr>
              <w:t>家政区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131</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卫浴设备</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132</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color w:val="auto"/>
                <w:kern w:val="0"/>
                <w:highlight w:val="none"/>
                <w:lang w:bidi="ar"/>
              </w:rPr>
              <w:t>洗衣机</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color w:val="auto"/>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color w:val="auto"/>
                <w:kern w:val="0"/>
                <w:highlight w:val="none"/>
                <w:lang w:bidi="ar"/>
              </w:rPr>
              <w:t>台</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133</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双面隔断</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center"/>
          </w:tcPr>
          <w:p>
            <w:pPr>
              <w:widowControl/>
              <w:spacing w:line="360" w:lineRule="auto"/>
              <w:jc w:val="center"/>
              <w:textAlignment w:val="center"/>
              <w:rPr>
                <w:rFonts w:hint="default" w:ascii="宋体" w:hAnsi="宋体" w:cs="宋体" w:eastAsiaTheme="minorEastAsia"/>
                <w:color w:val="000000"/>
                <w:kern w:val="2"/>
                <w:sz w:val="21"/>
                <w:szCs w:val="21"/>
                <w:lang w:val="en-US" w:eastAsia="zh-CN" w:bidi="ar-SA"/>
              </w:rPr>
            </w:pPr>
            <w:r>
              <w:rPr>
                <w:rFonts w:hint="eastAsia" w:ascii="宋体" w:hAnsi="宋体" w:cs="宋体"/>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生活情境体验室-</w:t>
            </w:r>
            <w:r>
              <w:rPr>
                <w:rFonts w:hint="eastAsia" w:ascii="宋体" w:hAnsi="宋体" w:cs="宋体"/>
                <w:b/>
                <w:bCs/>
                <w:color w:val="000000"/>
                <w:kern w:val="2"/>
                <w:sz w:val="21"/>
                <w:szCs w:val="21"/>
                <w:lang w:val="en-US" w:eastAsia="zh-CN" w:bidi="ar-SA"/>
              </w:rPr>
              <w:t>劳技区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134</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家用园林工具箱</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135</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多肉种植工具箱</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136</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铁锹</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把</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137</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十字镐</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把</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138</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浇水壶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个</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139</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铁铲</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把</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140</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修枝剪</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把</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141</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五金工具箱</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3</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142</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营养液</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143</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育种盆</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5</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144</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无土培养盆</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145</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落地花架</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2</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146</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工具收纳架带边柜</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项</w:t>
            </w:r>
          </w:p>
        </w:tc>
        <w:tc>
          <w:tcPr>
            <w:tcW w:w="1794" w:type="dxa"/>
            <w:vAlign w:val="top"/>
          </w:tcPr>
          <w:p>
            <w:pPr>
              <w:spacing w:line="360" w:lineRule="auto"/>
              <w:jc w:val="center"/>
              <w:rPr>
                <w:rFonts w:hint="eastAsia"/>
                <w:sz w:val="24"/>
                <w:szCs w:val="24"/>
                <w:vertAlign w:val="baseline"/>
                <w:lang w:val="en-US" w:eastAsia="zh-CN"/>
              </w:rPr>
            </w:pPr>
            <w:r>
              <w:rPr>
                <w:rFonts w:hint="eastAsia"/>
                <w:sz w:val="24"/>
                <w:szCs w:val="24"/>
                <w:vertAlign w:val="baseli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6" w:type="dxa"/>
            <w:gridSpan w:val="6"/>
            <w:vAlign w:val="bottom"/>
          </w:tcPr>
          <w:p>
            <w:pPr>
              <w:widowControl/>
              <w:spacing w:line="360" w:lineRule="auto"/>
              <w:jc w:val="both"/>
              <w:textAlignment w:val="center"/>
              <w:rPr>
                <w:rFonts w:hint="default" w:ascii="宋体" w:hAnsi="宋体" w:cs="宋体"/>
                <w:b/>
                <w:bCs/>
                <w:color w:val="000000"/>
                <w:kern w:val="2"/>
                <w:sz w:val="21"/>
                <w:szCs w:val="21"/>
                <w:lang w:val="en-US" w:eastAsia="zh-CN" w:bidi="ar-SA"/>
              </w:rPr>
            </w:pPr>
            <w:r>
              <w:rPr>
                <w:rFonts w:hint="eastAsia" w:cs="宋体"/>
                <w:b/>
                <w:bCs/>
                <w:color w:val="000000"/>
                <w:kern w:val="2"/>
                <w:sz w:val="21"/>
                <w:szCs w:val="21"/>
                <w:lang w:val="en-US" w:eastAsia="zh-CN" w:bidi="ar-SA"/>
              </w:rPr>
              <w:t>生活情境体验室-</w:t>
            </w:r>
            <w:r>
              <w:rPr>
                <w:rFonts w:hint="eastAsia" w:ascii="宋体" w:hAnsi="宋体" w:cs="宋体"/>
                <w:b/>
                <w:bCs/>
                <w:color w:val="000000"/>
                <w:kern w:val="2"/>
                <w:sz w:val="21"/>
                <w:szCs w:val="21"/>
                <w:lang w:val="en-US" w:eastAsia="zh-CN" w:bidi="ar-SA"/>
              </w:rPr>
              <w:t>情景教学区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147</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超市情景教室</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148</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医院情景教室</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149</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银行情景教室</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center"/>
          </w:tcPr>
          <w:p>
            <w:pPr>
              <w:widowControl/>
              <w:spacing w:line="360" w:lineRule="auto"/>
              <w:jc w:val="center"/>
              <w:textAlignment w:val="center"/>
              <w:rPr>
                <w:rFonts w:hint="eastAsia" w:ascii="宋体" w:hAnsi="宋体" w:cs="宋体" w:eastAsiaTheme="minorEastAsia"/>
                <w:color w:val="000000"/>
                <w:kern w:val="2"/>
                <w:sz w:val="21"/>
                <w:szCs w:val="21"/>
                <w:lang w:val="en-US" w:eastAsia="zh-CN" w:bidi="ar-SA"/>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widowControl/>
              <w:spacing w:line="360" w:lineRule="auto"/>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150</w:t>
            </w:r>
          </w:p>
        </w:tc>
        <w:tc>
          <w:tcPr>
            <w:tcW w:w="3143" w:type="dxa"/>
            <w:gridSpan w:val="2"/>
            <w:vAlign w:val="center"/>
          </w:tcPr>
          <w:p>
            <w:pPr>
              <w:widowControl/>
              <w:ind w:firstLine="0" w:firstLineChars="0"/>
              <w:jc w:val="center"/>
              <w:textAlignment w:val="center"/>
              <w:rPr>
                <w:rFonts w:hint="eastAsia" w:ascii="宋体" w:hAnsi="宋体" w:cs="宋体"/>
                <w:kern w:val="0"/>
                <w:highlight w:val="none"/>
                <w:lang w:bidi="ar"/>
              </w:rPr>
            </w:pPr>
            <w:r>
              <w:rPr>
                <w:rFonts w:hint="eastAsia" w:ascii="宋体" w:hAnsi="宋体" w:cs="宋体"/>
                <w:kern w:val="0"/>
                <w:highlight w:val="none"/>
                <w:lang w:bidi="ar"/>
              </w:rPr>
              <w:t>交通情景教室</w:t>
            </w:r>
          </w:p>
        </w:tc>
        <w:tc>
          <w:tcPr>
            <w:tcW w:w="1260"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1</w:t>
            </w:r>
          </w:p>
        </w:tc>
        <w:tc>
          <w:tcPr>
            <w:tcW w:w="1953" w:type="dxa"/>
            <w:vAlign w:val="center"/>
          </w:tcPr>
          <w:p>
            <w:pPr>
              <w:widowControl/>
              <w:ind w:firstLine="0" w:firstLineChars="0"/>
              <w:jc w:val="center"/>
              <w:textAlignment w:val="center"/>
              <w:rPr>
                <w:rFonts w:hint="eastAsia" w:ascii="宋体" w:hAnsi="宋体" w:cs="宋体"/>
                <w:color w:val="000000"/>
                <w:kern w:val="0"/>
                <w:sz w:val="22"/>
                <w:lang w:bidi="ar"/>
              </w:rPr>
            </w:pPr>
            <w:r>
              <w:rPr>
                <w:rFonts w:hint="eastAsia" w:ascii="宋体" w:hAnsi="宋体" w:cs="宋体"/>
                <w:kern w:val="0"/>
                <w:highlight w:val="none"/>
                <w:lang w:bidi="ar"/>
              </w:rPr>
              <w:t>套</w:t>
            </w:r>
          </w:p>
        </w:tc>
        <w:tc>
          <w:tcPr>
            <w:tcW w:w="1794" w:type="dxa"/>
            <w:vAlign w:val="top"/>
          </w:tcPr>
          <w:p>
            <w:pPr>
              <w:spacing w:line="360" w:lineRule="auto"/>
              <w:jc w:val="center"/>
              <w:rPr>
                <w:rFonts w:hint="eastAsia"/>
                <w:sz w:val="24"/>
                <w:szCs w:val="24"/>
                <w:vertAlign w:val="baseline"/>
                <w:lang w:val="en-US" w:eastAsia="zh-CN"/>
              </w:rPr>
            </w:pPr>
            <w:r>
              <w:rPr>
                <w:rFonts w:hint="eastAsia"/>
                <w:sz w:val="24"/>
                <w:szCs w:val="24"/>
                <w:vertAlign w:val="baseline"/>
                <w:lang w:val="en-US" w:eastAsia="zh-CN"/>
              </w:rPr>
              <w:t>/</w:t>
            </w:r>
          </w:p>
        </w:tc>
      </w:tr>
    </w:tbl>
    <w:p>
      <w:pPr>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具体采购内容见磋商文件 “第4章项目技术、服务、商务及其他要求”。</w:t>
      </w:r>
    </w:p>
    <w:p>
      <w:pPr>
        <w:spacing w:line="360" w:lineRule="auto"/>
        <w:ind w:firstLine="484" w:firstLineChars="202"/>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（二）</w:t>
      </w:r>
      <w:r>
        <w:rPr>
          <w:rFonts w:hint="eastAsia" w:ascii="宋体" w:hAnsi="宋体" w:cs="Times New Roman"/>
          <w:color w:val="auto"/>
          <w:kern w:val="10"/>
          <w:sz w:val="24"/>
          <w:szCs w:val="20"/>
          <w:highlight w:val="none"/>
        </w:rPr>
        <w:t>技术、服务要求</w:t>
      </w:r>
    </w:p>
    <w:p>
      <w:pPr>
        <w:spacing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见磋商文件 “第4章项目技术、服务、商务及其他要求”。</w:t>
      </w:r>
    </w:p>
    <w:p>
      <w:pPr>
        <w:spacing w:line="360" w:lineRule="auto"/>
        <w:ind w:firstLine="484" w:firstLineChars="202"/>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（三）</w:t>
      </w:r>
      <w:r>
        <w:rPr>
          <w:rFonts w:hint="eastAsia" w:ascii="宋体" w:hAnsi="宋体" w:cs="Times New Roman"/>
          <w:color w:val="auto"/>
          <w:kern w:val="10"/>
          <w:sz w:val="24"/>
          <w:szCs w:val="20"/>
          <w:highlight w:val="none"/>
        </w:rPr>
        <w:t>报价要求</w:t>
      </w:r>
    </w:p>
    <w:p>
      <w:pPr>
        <w:spacing w:line="360" w:lineRule="auto"/>
        <w:ind w:firstLine="484" w:firstLineChars="202"/>
        <w:rPr>
          <w:rFonts w:hint="eastAsia" w:ascii="宋体" w:hAnsi="宋体" w:cs="Times New Roman"/>
          <w:color w:val="auto"/>
          <w:kern w:val="10"/>
          <w:sz w:val="24"/>
          <w:szCs w:val="20"/>
          <w:highlight w:val="none"/>
          <w:lang w:eastAsia="zh-CN"/>
        </w:rPr>
      </w:pPr>
      <w:r>
        <w:rPr>
          <w:rFonts w:hint="eastAsia" w:ascii="宋体" w:hAnsi="宋体" w:cs="Times New Roman"/>
          <w:color w:val="auto"/>
          <w:kern w:val="10"/>
          <w:sz w:val="24"/>
          <w:szCs w:val="20"/>
          <w:highlight w:val="none"/>
        </w:rPr>
        <w:t>供应商按磋商文件要求进行报价。</w:t>
      </w:r>
    </w:p>
    <w:p>
      <w:pPr>
        <w:pStyle w:val="23"/>
        <w:ind w:firstLine="482"/>
        <w:rPr>
          <w:b/>
          <w:color w:val="auto"/>
          <w:highlight w:val="none"/>
        </w:rPr>
      </w:pPr>
      <w:r>
        <w:rPr>
          <w:rFonts w:hint="eastAsia"/>
          <w:b/>
          <w:color w:val="auto"/>
          <w:highlight w:val="none"/>
          <w:lang w:eastAsia="zh-CN"/>
        </w:rPr>
        <w:t>六</w:t>
      </w:r>
      <w:r>
        <w:rPr>
          <w:rFonts w:hint="eastAsia"/>
          <w:b/>
          <w:color w:val="auto"/>
          <w:highlight w:val="none"/>
        </w:rPr>
        <w:t>、磋商文件获取时间</w:t>
      </w:r>
    </w:p>
    <w:p>
      <w:pPr>
        <w:spacing w:line="360" w:lineRule="auto"/>
        <w:ind w:firstLine="487" w:firstLineChars="202"/>
        <w:rPr>
          <w:rFonts w:hint="eastAsia" w:ascii="宋体" w:hAnsi="宋体" w:cs="Times New Roman"/>
          <w:b/>
          <w:bCs/>
          <w:color w:val="auto"/>
          <w:kern w:val="10"/>
          <w:sz w:val="24"/>
          <w:szCs w:val="20"/>
          <w:highlight w:val="none"/>
        </w:rPr>
      </w:pPr>
      <w:r>
        <w:rPr>
          <w:rFonts w:hint="eastAsia" w:ascii="宋体" w:hAnsi="宋体" w:cs="Times New Roman"/>
          <w:b/>
          <w:bCs/>
          <w:color w:val="auto"/>
          <w:kern w:val="10"/>
          <w:sz w:val="24"/>
          <w:szCs w:val="20"/>
          <w:highlight w:val="none"/>
        </w:rPr>
        <w:t>（一）磋商文件获取时间：2021年</w:t>
      </w:r>
      <w:r>
        <w:rPr>
          <w:rFonts w:hint="eastAsia" w:cs="Times New Roman"/>
          <w:b/>
          <w:bCs/>
          <w:color w:val="auto"/>
          <w:kern w:val="10"/>
          <w:sz w:val="24"/>
          <w:szCs w:val="20"/>
          <w:highlight w:val="none"/>
          <w:lang w:val="en-US" w:eastAsia="zh-CN"/>
        </w:rPr>
        <w:t>9</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30</w:t>
      </w:r>
      <w:r>
        <w:rPr>
          <w:rFonts w:hint="eastAsia" w:ascii="宋体" w:hAnsi="宋体" w:cs="Times New Roman"/>
          <w:b/>
          <w:bCs/>
          <w:color w:val="auto"/>
          <w:kern w:val="10"/>
          <w:sz w:val="24"/>
          <w:szCs w:val="20"/>
          <w:highlight w:val="none"/>
        </w:rPr>
        <w:t xml:space="preserve">日至 </w:t>
      </w:r>
      <w:r>
        <w:rPr>
          <w:rFonts w:hint="eastAsia" w:cs="Times New Roman"/>
          <w:b/>
          <w:bCs/>
          <w:color w:val="auto"/>
          <w:kern w:val="10"/>
          <w:sz w:val="24"/>
          <w:szCs w:val="20"/>
          <w:highlight w:val="none"/>
          <w:lang w:val="en-US" w:eastAsia="zh-CN"/>
        </w:rPr>
        <w:t>10</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12</w:t>
      </w:r>
      <w:r>
        <w:rPr>
          <w:rFonts w:hint="eastAsia" w:ascii="宋体" w:hAnsi="宋体" w:cs="Times New Roman"/>
          <w:b/>
          <w:bCs/>
          <w:color w:val="auto"/>
          <w:kern w:val="10"/>
          <w:sz w:val="24"/>
          <w:szCs w:val="20"/>
          <w:highlight w:val="none"/>
        </w:rPr>
        <w:t>日。</w:t>
      </w:r>
    </w:p>
    <w:p>
      <w:pPr>
        <w:spacing w:line="360" w:lineRule="auto"/>
        <w:ind w:firstLine="487" w:firstLineChars="202"/>
        <w:rPr>
          <w:rFonts w:hint="eastAsia" w:ascii="宋体" w:hAnsi="宋体" w:cs="Times New Roman"/>
          <w:b/>
          <w:bCs/>
          <w:color w:val="auto"/>
          <w:kern w:val="10"/>
          <w:sz w:val="24"/>
          <w:szCs w:val="20"/>
          <w:highlight w:val="none"/>
        </w:rPr>
      </w:pPr>
      <w:r>
        <w:rPr>
          <w:rFonts w:hint="eastAsia" w:ascii="宋体" w:hAnsi="宋体" w:cs="Times New Roman"/>
          <w:b/>
          <w:bCs/>
          <w:color w:val="auto"/>
          <w:kern w:val="10"/>
          <w:sz w:val="24"/>
          <w:szCs w:val="20"/>
          <w:highlight w:val="none"/>
        </w:rPr>
        <w:t>（二）公告期限：2021年</w:t>
      </w:r>
      <w:r>
        <w:rPr>
          <w:rFonts w:hint="eastAsia" w:cs="Times New Roman"/>
          <w:b/>
          <w:bCs/>
          <w:color w:val="auto"/>
          <w:kern w:val="10"/>
          <w:sz w:val="24"/>
          <w:szCs w:val="20"/>
          <w:highlight w:val="none"/>
          <w:lang w:val="en-US" w:eastAsia="zh-CN"/>
        </w:rPr>
        <w:t>9</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30</w:t>
      </w:r>
      <w:r>
        <w:rPr>
          <w:rFonts w:hint="eastAsia" w:ascii="宋体" w:hAnsi="宋体" w:cs="Times New Roman"/>
          <w:b/>
          <w:bCs/>
          <w:color w:val="auto"/>
          <w:kern w:val="10"/>
          <w:sz w:val="24"/>
          <w:szCs w:val="20"/>
          <w:highlight w:val="none"/>
        </w:rPr>
        <w:t>日至</w:t>
      </w:r>
      <w:r>
        <w:rPr>
          <w:rFonts w:hint="eastAsia" w:cs="Times New Roman"/>
          <w:b/>
          <w:bCs/>
          <w:color w:val="auto"/>
          <w:kern w:val="10"/>
          <w:sz w:val="24"/>
          <w:szCs w:val="20"/>
          <w:highlight w:val="none"/>
          <w:lang w:val="en-US" w:eastAsia="zh-CN"/>
        </w:rPr>
        <w:t>10</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12</w:t>
      </w:r>
      <w:r>
        <w:rPr>
          <w:rFonts w:hint="eastAsia" w:ascii="宋体" w:hAnsi="宋体" w:cs="Times New Roman"/>
          <w:b/>
          <w:bCs/>
          <w:color w:val="auto"/>
          <w:kern w:val="10"/>
          <w:sz w:val="24"/>
          <w:szCs w:val="20"/>
          <w:highlight w:val="none"/>
        </w:rPr>
        <w:t>日</w:t>
      </w:r>
    </w:p>
    <w:p>
      <w:pPr>
        <w:pStyle w:val="3"/>
        <w:ind w:firstLine="482" w:firstLineChars="200"/>
        <w:rPr>
          <w:b/>
          <w:color w:val="auto"/>
          <w:highlight w:val="none"/>
        </w:rPr>
      </w:pPr>
      <w:r>
        <w:rPr>
          <w:rFonts w:hint="eastAsia"/>
          <w:b/>
          <w:color w:val="auto"/>
          <w:highlight w:val="none"/>
          <w:lang w:eastAsia="zh-CN"/>
        </w:rPr>
        <w:t>七</w:t>
      </w:r>
      <w:r>
        <w:rPr>
          <w:rFonts w:hint="eastAsia"/>
          <w:b/>
          <w:color w:val="auto"/>
          <w:highlight w:val="none"/>
        </w:rPr>
        <w:t>、磋商文</w:t>
      </w:r>
      <w:r>
        <w:rPr>
          <w:rFonts w:hint="eastAsia"/>
          <w:b/>
          <w:color w:val="auto"/>
          <w:highlight w:val="none"/>
          <w:u w:val="none"/>
        </w:rPr>
        <w:t>件</w:t>
      </w:r>
      <w:r>
        <w:rPr>
          <w:rFonts w:hint="eastAsia"/>
          <w:b/>
          <w:color w:val="auto"/>
          <w:highlight w:val="none"/>
        </w:rPr>
        <w:t>获取方式</w:t>
      </w:r>
    </w:p>
    <w:p>
      <w:pPr>
        <w:spacing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供应商有意向参加本项目采购的，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提示：</w:t>
      </w:r>
    </w:p>
    <w:p>
      <w:pPr>
        <w:spacing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（1）本项目</w:t>
      </w:r>
      <w:r>
        <w:rPr>
          <w:rFonts w:hint="eastAsia" w:cs="Times New Roman"/>
          <w:color w:val="auto"/>
          <w:kern w:val="10"/>
          <w:sz w:val="24"/>
          <w:szCs w:val="20"/>
          <w:highlight w:val="none"/>
          <w:lang w:eastAsia="zh-CN"/>
        </w:rPr>
        <w:t>采购</w:t>
      </w:r>
      <w:r>
        <w:rPr>
          <w:rFonts w:hint="eastAsia" w:ascii="宋体" w:hAnsi="宋体" w:cs="Times New Roman"/>
          <w:color w:val="auto"/>
          <w:kern w:val="10"/>
          <w:sz w:val="24"/>
          <w:szCs w:val="20"/>
          <w:highlight w:val="none"/>
        </w:rPr>
        <w:t>文件免费获取。</w:t>
      </w:r>
    </w:p>
    <w:p>
      <w:pPr>
        <w:spacing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2）成都市公共资源交易服务中心门户网站上采购公告附件内的采购文件仅供下载阅览使用，供应商只有在“政府采购云平台”完成获取采购文件申请并下载采购文件后才视作依法获取采购文件。如未在“政府采购云平台”内完成相关流程，导致相关行为无效等后果的责任自负。</w:t>
      </w:r>
    </w:p>
    <w:p>
      <w:pPr>
        <w:spacing w:line="360" w:lineRule="auto"/>
        <w:ind w:firstLine="484" w:firstLineChars="202"/>
        <w:rPr>
          <w:rFonts w:hint="eastAsia" w:ascii="宋体" w:hAnsi="宋体" w:eastAsia="宋体" w:cs="Times New Roman"/>
          <w:color w:val="auto"/>
          <w:kern w:val="10"/>
          <w:sz w:val="24"/>
          <w:szCs w:val="20"/>
          <w:highlight w:val="none"/>
          <w:lang w:val="en-US" w:eastAsia="zh-CN"/>
        </w:rPr>
      </w:pPr>
      <w:r>
        <w:rPr>
          <w:rFonts w:hint="eastAsia" w:ascii="宋体" w:hAnsi="宋体" w:cs="Times New Roman"/>
          <w:color w:val="auto"/>
          <w:kern w:val="10"/>
          <w:sz w:val="24"/>
          <w:szCs w:val="20"/>
          <w:highlight w:val="none"/>
        </w:rPr>
        <w:t>（3）首次登录成都市公共资源交易服务中心门户网站的新用户应先点击“注册新用户”，注册成功后再登录。</w:t>
      </w:r>
      <w:r>
        <w:rPr>
          <w:rFonts w:hint="eastAsia" w:cs="Times New Roman"/>
          <w:color w:val="auto"/>
          <w:kern w:val="10"/>
          <w:sz w:val="24"/>
          <w:szCs w:val="20"/>
          <w:highlight w:val="none"/>
          <w:lang w:val="en-US" w:eastAsia="zh-CN"/>
        </w:rPr>
        <w:t>0</w:t>
      </w:r>
    </w:p>
    <w:p>
      <w:pPr>
        <w:pStyle w:val="23"/>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（4）本项目为电子化采购项目，</w:t>
      </w:r>
      <w:r>
        <w:rPr>
          <w:rFonts w:hint="eastAsia" w:ascii="宋体" w:hAnsi="宋体" w:cs="Times New Roman"/>
          <w:color w:val="auto"/>
          <w:kern w:val="10"/>
          <w:sz w:val="24"/>
          <w:szCs w:val="20"/>
          <w:highlight w:val="none"/>
          <w:lang w:eastAsia="zh-CN"/>
        </w:rPr>
        <w:t>供应商</w:t>
      </w:r>
      <w:r>
        <w:rPr>
          <w:rFonts w:hint="eastAsia" w:ascii="宋体" w:hAnsi="宋体" w:cs="Times New Roman"/>
          <w:color w:val="auto"/>
          <w:kern w:val="10"/>
          <w:sz w:val="24"/>
          <w:szCs w:val="20"/>
          <w:highlight w:val="none"/>
        </w:rPr>
        <w:t>参与本项目全过程中凡涉及系统操作请详见《成都市全流程电子化采购系统操作指南——供应商版》（操作指南请登录政府采购云平台后，点击“前台大厅—操作指南—供应商”处下载查看）。</w:t>
      </w:r>
    </w:p>
    <w:p>
      <w:pPr>
        <w:pStyle w:val="23"/>
        <w:ind w:firstLine="482" w:firstLineChars="200"/>
        <w:rPr>
          <w:rFonts w:hint="eastAsia"/>
          <w:color w:val="auto"/>
          <w:szCs w:val="28"/>
          <w:highlight w:val="none"/>
        </w:rPr>
      </w:pPr>
      <w:r>
        <w:rPr>
          <w:rFonts w:hint="eastAsia"/>
          <w:b/>
          <w:color w:val="auto"/>
          <w:szCs w:val="28"/>
          <w:highlight w:val="none"/>
          <w:lang w:eastAsia="zh-CN"/>
        </w:rPr>
        <w:t>八</w:t>
      </w:r>
      <w:r>
        <w:rPr>
          <w:rFonts w:hint="eastAsia"/>
          <w:b/>
          <w:color w:val="auto"/>
          <w:szCs w:val="28"/>
          <w:highlight w:val="none"/>
        </w:rPr>
        <w:t>、磋商文件获取地点</w:t>
      </w:r>
      <w:r>
        <w:rPr>
          <w:rFonts w:hint="eastAsia"/>
          <w:color w:val="auto"/>
          <w:szCs w:val="28"/>
          <w:highlight w:val="none"/>
        </w:rPr>
        <w:t>：</w:t>
      </w:r>
    </w:p>
    <w:p>
      <w:pPr>
        <w:pStyle w:val="23"/>
        <w:ind w:firstLine="480" w:firstLineChars="200"/>
        <w:rPr>
          <w:color w:val="auto"/>
          <w:szCs w:val="28"/>
          <w:highlight w:val="none"/>
        </w:rPr>
      </w:pPr>
      <w:r>
        <w:rPr>
          <w:rFonts w:hint="eastAsia"/>
          <w:color w:val="auto"/>
          <w:szCs w:val="28"/>
          <w:highlight w:val="none"/>
        </w:rPr>
        <w:t>登录成都市公共资源交易服务中心门户网站（https://www.cdggzy.com/）—用户中心—政府采购云平台获取</w:t>
      </w:r>
      <w:r>
        <w:rPr>
          <w:rFonts w:hint="eastAsia"/>
          <w:color w:val="auto"/>
          <w:highlight w:val="none"/>
        </w:rPr>
        <w:t>。</w:t>
      </w:r>
    </w:p>
    <w:p>
      <w:pPr>
        <w:widowControl/>
        <w:numPr>
          <w:ilvl w:val="0"/>
          <w:numId w:val="0"/>
        </w:numPr>
        <w:spacing w:after="200" w:line="360" w:lineRule="auto"/>
        <w:ind w:leftChars="202"/>
        <w:rPr>
          <w:rFonts w:hint="eastAsia" w:ascii="宋体" w:hAnsi="宋体" w:eastAsia="宋体" w:cs="Times New Roman"/>
          <w:b/>
          <w:color w:val="auto"/>
          <w:kern w:val="10"/>
          <w:sz w:val="24"/>
          <w:szCs w:val="28"/>
          <w:highlight w:val="none"/>
          <w:lang w:val="en-US" w:eastAsia="zh-CN" w:bidi="ar-SA"/>
        </w:rPr>
      </w:pPr>
      <w:r>
        <w:rPr>
          <w:rFonts w:hint="eastAsia" w:cs="Times New Roman"/>
          <w:b/>
          <w:color w:val="auto"/>
          <w:kern w:val="10"/>
          <w:sz w:val="24"/>
          <w:szCs w:val="28"/>
          <w:highlight w:val="none"/>
          <w:lang w:val="en-US" w:eastAsia="zh-CN" w:bidi="ar-SA"/>
        </w:rPr>
        <w:t>九、</w:t>
      </w:r>
      <w:r>
        <w:rPr>
          <w:rFonts w:hint="eastAsia" w:ascii="宋体" w:hAnsi="宋体" w:eastAsia="宋体" w:cs="Times New Roman"/>
          <w:b/>
          <w:color w:val="auto"/>
          <w:kern w:val="10"/>
          <w:sz w:val="24"/>
          <w:szCs w:val="28"/>
          <w:highlight w:val="none"/>
          <w:lang w:val="en-US" w:eastAsia="zh-CN" w:bidi="ar-SA"/>
        </w:rPr>
        <w:t>响应文件提交截止时间、方式及开启时间（北京时间）</w:t>
      </w:r>
    </w:p>
    <w:p>
      <w:pPr>
        <w:spacing w:line="360" w:lineRule="auto"/>
        <w:ind w:firstLine="484" w:firstLineChars="202"/>
        <w:rPr>
          <w:rFonts w:hint="eastAsia" w:ascii="宋体" w:hAnsi="宋体" w:eastAsia="宋体" w:cs="Times New Roman"/>
          <w:b/>
          <w:bCs/>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（一）首次提交响应文件截止时间及开启时间：</w:t>
      </w:r>
      <w:r>
        <w:rPr>
          <w:rFonts w:hint="eastAsia" w:ascii="宋体" w:hAnsi="宋体" w:eastAsia="宋体" w:cs="Times New Roman"/>
          <w:b/>
          <w:bCs/>
          <w:color w:val="auto"/>
          <w:kern w:val="10"/>
          <w:sz w:val="24"/>
          <w:szCs w:val="28"/>
          <w:highlight w:val="none"/>
          <w:lang w:val="en-US" w:eastAsia="zh-CN" w:bidi="ar-SA"/>
        </w:rPr>
        <w:t>2021年</w:t>
      </w:r>
      <w:r>
        <w:rPr>
          <w:rFonts w:hint="eastAsia" w:cs="Times New Roman"/>
          <w:b/>
          <w:bCs/>
          <w:color w:val="auto"/>
          <w:kern w:val="10"/>
          <w:sz w:val="24"/>
          <w:szCs w:val="28"/>
          <w:highlight w:val="none"/>
          <w:lang w:val="en-US" w:eastAsia="zh-CN" w:bidi="ar-SA"/>
        </w:rPr>
        <w:t>10</w:t>
      </w:r>
      <w:r>
        <w:rPr>
          <w:rFonts w:hint="eastAsia" w:ascii="宋体" w:hAnsi="宋体" w:eastAsia="宋体" w:cs="Times New Roman"/>
          <w:b/>
          <w:bCs/>
          <w:color w:val="auto"/>
          <w:kern w:val="10"/>
          <w:sz w:val="24"/>
          <w:szCs w:val="28"/>
          <w:highlight w:val="none"/>
          <w:lang w:val="en-US" w:eastAsia="zh-CN" w:bidi="ar-SA"/>
        </w:rPr>
        <w:t>月</w:t>
      </w:r>
      <w:r>
        <w:rPr>
          <w:rFonts w:hint="eastAsia" w:cs="Times New Roman"/>
          <w:b/>
          <w:bCs/>
          <w:color w:val="auto"/>
          <w:kern w:val="10"/>
          <w:sz w:val="24"/>
          <w:szCs w:val="28"/>
          <w:highlight w:val="none"/>
          <w:lang w:val="en-US" w:eastAsia="zh-CN" w:bidi="ar-SA"/>
        </w:rPr>
        <w:t>13</w:t>
      </w:r>
      <w:r>
        <w:rPr>
          <w:rFonts w:hint="eastAsia" w:ascii="宋体" w:hAnsi="宋体" w:eastAsia="宋体" w:cs="Times New Roman"/>
          <w:b/>
          <w:bCs/>
          <w:color w:val="auto"/>
          <w:kern w:val="10"/>
          <w:sz w:val="24"/>
          <w:szCs w:val="28"/>
          <w:highlight w:val="none"/>
          <w:lang w:val="en-US" w:eastAsia="zh-CN" w:bidi="ar-SA"/>
        </w:rPr>
        <w:t>日上午9:30。</w:t>
      </w:r>
    </w:p>
    <w:p>
      <w:pPr>
        <w:spacing w:line="360" w:lineRule="auto"/>
        <w:ind w:firstLine="480" w:firstLineChars="200"/>
        <w:rPr>
          <w:rFonts w:hint="eastAsia" w:ascii="宋体" w:hAnsi="宋体" w:eastAsia="宋体" w:cs="Times New Roman"/>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（二）响应文件递交方式、地点：响应文件递交截止时间前，供应商应将加密的响应文件递交至“政府采购云平台”对应项目（包件）。</w:t>
      </w:r>
    </w:p>
    <w:p>
      <w:pPr>
        <w:spacing w:line="360" w:lineRule="auto"/>
        <w:ind w:firstLine="480" w:firstLineChars="200"/>
        <w:rPr>
          <w:rFonts w:hint="eastAsia" w:ascii="宋体" w:hAnsi="宋体" w:eastAsia="宋体" w:cs="Times New Roman"/>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本项目只接受供应商加密并递交至“政府采购云平台”的响应文件。</w:t>
      </w:r>
    </w:p>
    <w:p>
      <w:pPr>
        <w:pStyle w:val="23"/>
        <w:ind w:firstLine="482"/>
        <w:rPr>
          <w:b/>
          <w:color w:val="auto"/>
          <w:highlight w:val="none"/>
        </w:rPr>
      </w:pPr>
      <w:r>
        <w:rPr>
          <w:rFonts w:hint="eastAsia"/>
          <w:b/>
          <w:color w:val="auto"/>
          <w:highlight w:val="none"/>
          <w:lang w:eastAsia="zh-CN"/>
        </w:rPr>
        <w:t>十</w:t>
      </w:r>
      <w:r>
        <w:rPr>
          <w:rFonts w:hint="eastAsia"/>
          <w:b/>
          <w:color w:val="auto"/>
          <w:highlight w:val="none"/>
        </w:rPr>
        <w:t xml:space="preserve">、响应文件开启地点及磋商地点 </w:t>
      </w:r>
    </w:p>
    <w:p>
      <w:pPr>
        <w:spacing w:line="360" w:lineRule="auto"/>
        <w:ind w:firstLine="560" w:firstLineChars="200"/>
        <w:rPr>
          <w:rFonts w:hint="eastAsia" w:ascii="宋体" w:hAnsi="宋体" w:eastAsia="宋体"/>
          <w:b w:val="0"/>
          <w:bCs w:val="0"/>
          <w:color w:val="auto"/>
          <w:sz w:val="28"/>
          <w:szCs w:val="28"/>
          <w:highlight w:val="none"/>
        </w:rPr>
      </w:pPr>
      <w:r>
        <w:rPr>
          <w:rFonts w:hint="eastAsia" w:ascii="宋体" w:hAnsi="宋体" w:eastAsia="宋体"/>
          <w:b w:val="0"/>
          <w:bCs w:val="0"/>
          <w:color w:val="auto"/>
          <w:sz w:val="28"/>
          <w:szCs w:val="28"/>
          <w:highlight w:val="none"/>
        </w:rPr>
        <w:t>本项目磋商为不见面开标。</w:t>
      </w:r>
    </w:p>
    <w:p>
      <w:pPr>
        <w:widowControl/>
        <w:spacing w:after="200" w:line="360" w:lineRule="auto"/>
        <w:ind w:left="567"/>
        <w:rPr>
          <w:rFonts w:hint="eastAsia" w:ascii="宋体" w:hAnsi="宋体"/>
          <w:color w:val="auto"/>
          <w:sz w:val="28"/>
          <w:szCs w:val="28"/>
          <w:highlight w:val="none"/>
        </w:rPr>
      </w:pPr>
      <w:r>
        <w:rPr>
          <w:rFonts w:hint="eastAsia" w:ascii="宋体" w:hAnsi="宋体"/>
          <w:color w:val="auto"/>
          <w:sz w:val="28"/>
          <w:szCs w:val="28"/>
          <w:highlight w:val="none"/>
        </w:rPr>
        <w:t>磋商地点：政府采购云平台开标大厅。</w:t>
      </w:r>
    </w:p>
    <w:p>
      <w:pPr>
        <w:widowControl/>
        <w:spacing w:after="200" w:line="360" w:lineRule="auto"/>
        <w:ind w:left="567"/>
        <w:rPr>
          <w:rFonts w:hint="eastAsia" w:ascii="宋体" w:hAnsi="宋体" w:cs="Times New Roman"/>
          <w:b/>
          <w:color w:val="auto"/>
          <w:kern w:val="10"/>
          <w:sz w:val="24"/>
          <w:szCs w:val="20"/>
          <w:highlight w:val="none"/>
          <w:lang w:val="en-US" w:eastAsia="zh-CN" w:bidi="ar-SA"/>
        </w:rPr>
      </w:pPr>
      <w:r>
        <w:rPr>
          <w:rFonts w:hint="eastAsia" w:ascii="宋体" w:hAnsi="宋体" w:cs="Times New Roman"/>
          <w:b/>
          <w:color w:val="auto"/>
          <w:kern w:val="10"/>
          <w:sz w:val="24"/>
          <w:szCs w:val="20"/>
          <w:highlight w:val="none"/>
          <w:lang w:val="en-US" w:eastAsia="zh-CN" w:bidi="ar-SA"/>
        </w:rPr>
        <w:t>十</w:t>
      </w:r>
      <w:r>
        <w:rPr>
          <w:rFonts w:hint="eastAsia" w:cs="Times New Roman"/>
          <w:b/>
          <w:color w:val="auto"/>
          <w:kern w:val="10"/>
          <w:sz w:val="24"/>
          <w:szCs w:val="20"/>
          <w:highlight w:val="none"/>
          <w:lang w:val="en-US" w:eastAsia="zh-CN" w:bidi="ar-SA"/>
        </w:rPr>
        <w:t>一</w:t>
      </w:r>
      <w:r>
        <w:rPr>
          <w:rFonts w:hint="eastAsia" w:ascii="宋体" w:hAnsi="宋体" w:cs="Times New Roman"/>
          <w:b/>
          <w:color w:val="auto"/>
          <w:kern w:val="10"/>
          <w:sz w:val="24"/>
          <w:szCs w:val="20"/>
          <w:highlight w:val="none"/>
          <w:lang w:val="en-US" w:eastAsia="zh-CN" w:bidi="ar-SA"/>
        </w:rPr>
        <w:t>、中小企业政府采购信用融资</w:t>
      </w:r>
    </w:p>
    <w:p>
      <w:pPr>
        <w:snapToGrid w:val="0"/>
        <w:spacing w:line="6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参加本次采购活动成交的中小企业无需提供财产抵押或第三方担保，凭借政府采购合同可向融资机构申请融资。具体内容详见</w:t>
      </w:r>
      <w:r>
        <w:rPr>
          <w:rFonts w:hint="eastAsia" w:ascii="宋体" w:hAnsi="宋体"/>
          <w:color w:val="auto"/>
          <w:sz w:val="24"/>
          <w:szCs w:val="24"/>
          <w:highlight w:val="none"/>
          <w:lang w:eastAsia="zh-CN"/>
        </w:rPr>
        <w:t>附件</w:t>
      </w:r>
      <w:r>
        <w:rPr>
          <w:rFonts w:hint="eastAsia" w:ascii="宋体" w:hAnsi="宋体"/>
          <w:color w:val="auto"/>
          <w:sz w:val="24"/>
          <w:szCs w:val="24"/>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pStyle w:val="23"/>
        <w:ind w:firstLine="482" w:firstLineChars="200"/>
        <w:rPr>
          <w:rFonts w:hint="eastAsia" w:eastAsia="宋体"/>
          <w:b/>
          <w:color w:val="auto"/>
          <w:highlight w:val="none"/>
          <w:lang w:eastAsia="zh-CN"/>
        </w:rPr>
      </w:pPr>
      <w:r>
        <w:rPr>
          <w:rFonts w:hint="eastAsia"/>
          <w:b/>
          <w:color w:val="auto"/>
          <w:highlight w:val="none"/>
          <w:lang w:eastAsia="zh-CN"/>
        </w:rPr>
        <w:t>十二、联系方式</w:t>
      </w:r>
    </w:p>
    <w:p>
      <w:pPr>
        <w:pStyle w:val="23"/>
        <w:ind w:firstLine="482"/>
        <w:rPr>
          <w:rFonts w:hint="eastAsia" w:eastAsia="宋体"/>
          <w:b/>
          <w:bCs/>
          <w:color w:val="auto"/>
          <w:highlight w:val="none"/>
          <w:u w:val="single"/>
          <w:lang w:eastAsia="zh-CN"/>
        </w:rPr>
      </w:pPr>
      <w:r>
        <w:rPr>
          <w:rFonts w:hint="eastAsia"/>
          <w:b/>
          <w:color w:val="auto"/>
          <w:highlight w:val="none"/>
        </w:rPr>
        <w:t>（一）采购人</w:t>
      </w:r>
      <w:r>
        <w:rPr>
          <w:rFonts w:hint="eastAsia"/>
          <w:b/>
          <w:bCs/>
          <w:color w:val="auto"/>
          <w:highlight w:val="none"/>
        </w:rPr>
        <w:t>：</w:t>
      </w:r>
      <w:r>
        <w:rPr>
          <w:rFonts w:hint="eastAsia"/>
          <w:b/>
          <w:bCs/>
          <w:color w:val="auto"/>
          <w:highlight w:val="none"/>
          <w:lang w:eastAsia="zh-CN"/>
        </w:rPr>
        <w:t>成都市温江区教育局</w:t>
      </w:r>
    </w:p>
    <w:p>
      <w:pPr>
        <w:pStyle w:val="23"/>
        <w:ind w:firstLine="480"/>
        <w:rPr>
          <w:rFonts w:hint="eastAsia"/>
          <w:color w:val="auto"/>
          <w:highlight w:val="yellow"/>
        </w:rPr>
      </w:pPr>
      <w:r>
        <w:rPr>
          <w:rFonts w:hint="eastAsia"/>
          <w:color w:val="auto"/>
          <w:highlight w:val="none"/>
        </w:rPr>
        <w:t>地    址：</w:t>
      </w:r>
      <w:r>
        <w:rPr>
          <w:rFonts w:ascii="宋体" w:hAnsi="宋体" w:eastAsia="宋体" w:cs="宋体"/>
          <w:sz w:val="24"/>
          <w:szCs w:val="24"/>
          <w:highlight w:val="none"/>
        </w:rPr>
        <w:t>成都市温江区海科</w:t>
      </w:r>
      <w:r>
        <w:rPr>
          <w:rFonts w:ascii="宋体" w:hAnsi="宋体" w:eastAsia="宋体" w:cs="宋体"/>
          <w:sz w:val="24"/>
          <w:szCs w:val="24"/>
        </w:rPr>
        <w:t>大厦</w:t>
      </w:r>
    </w:p>
    <w:p>
      <w:pPr>
        <w:pStyle w:val="23"/>
        <w:ind w:firstLine="480"/>
        <w:rPr>
          <w:rFonts w:hint="eastAsia"/>
          <w:color w:val="auto"/>
          <w:highlight w:val="none"/>
        </w:rPr>
      </w:pPr>
      <w:r>
        <w:rPr>
          <w:rFonts w:hint="eastAsia"/>
          <w:color w:val="auto"/>
          <w:highlight w:val="none"/>
        </w:rPr>
        <w:t>邮    编：611130</w:t>
      </w:r>
    </w:p>
    <w:p>
      <w:pPr>
        <w:pStyle w:val="23"/>
        <w:ind w:firstLine="482"/>
        <w:rPr>
          <w:rFonts w:hint="eastAsia"/>
          <w:color w:val="auto"/>
          <w:highlight w:val="none"/>
          <w:lang w:val="en-US" w:eastAsia="zh-CN"/>
        </w:rPr>
      </w:pPr>
      <w:r>
        <w:rPr>
          <w:rFonts w:hint="eastAsia"/>
          <w:color w:val="auto"/>
          <w:highlight w:val="none"/>
        </w:rPr>
        <w:t>联 系 人：吴宣颖</w:t>
      </w:r>
      <w:r>
        <w:rPr>
          <w:rFonts w:hint="eastAsia"/>
          <w:color w:val="auto"/>
          <w:highlight w:val="none"/>
          <w:lang w:val="en-US" w:eastAsia="zh-CN"/>
        </w:rPr>
        <w:t xml:space="preserve">  </w:t>
      </w:r>
    </w:p>
    <w:p>
      <w:pPr>
        <w:pStyle w:val="23"/>
        <w:ind w:firstLine="482"/>
        <w:rPr>
          <w:rFonts w:hint="eastAsia"/>
          <w:color w:val="auto"/>
          <w:highlight w:val="none"/>
        </w:rPr>
      </w:pPr>
      <w:r>
        <w:rPr>
          <w:rFonts w:hint="eastAsia"/>
          <w:color w:val="auto"/>
          <w:highlight w:val="none"/>
        </w:rPr>
        <w:t>联系电话：028-82723896</w:t>
      </w:r>
    </w:p>
    <w:p>
      <w:pPr>
        <w:pStyle w:val="23"/>
        <w:ind w:firstLine="482"/>
        <w:rPr>
          <w:b/>
          <w:color w:val="auto"/>
          <w:highlight w:val="none"/>
        </w:rPr>
      </w:pPr>
      <w:r>
        <w:rPr>
          <w:rFonts w:hint="eastAsia"/>
          <w:b/>
          <w:color w:val="auto"/>
          <w:highlight w:val="none"/>
        </w:rPr>
        <w:t>（二）集中采购机构：成都市温江</w:t>
      </w:r>
      <w:r>
        <w:rPr>
          <w:rFonts w:hint="eastAsia"/>
          <w:b/>
          <w:color w:val="auto"/>
          <w:highlight w:val="none"/>
          <w:lang w:eastAsia="zh-CN"/>
        </w:rPr>
        <w:t>区</w:t>
      </w:r>
      <w:r>
        <w:rPr>
          <w:rFonts w:hint="eastAsia"/>
          <w:b/>
          <w:color w:val="auto"/>
          <w:highlight w:val="none"/>
        </w:rPr>
        <w:t>公共资源交易服务中心</w:t>
      </w:r>
    </w:p>
    <w:p>
      <w:pPr>
        <w:pStyle w:val="23"/>
        <w:ind w:firstLine="480"/>
        <w:rPr>
          <w:color w:val="auto"/>
          <w:highlight w:val="none"/>
        </w:rPr>
      </w:pPr>
      <w:r>
        <w:rPr>
          <w:rFonts w:hint="eastAsia"/>
          <w:color w:val="auto"/>
          <w:highlight w:val="none"/>
        </w:rPr>
        <w:t>地    址：成都市温江区锦绣大道南段43号天府智谷C栋3楼</w:t>
      </w:r>
    </w:p>
    <w:p>
      <w:pPr>
        <w:pStyle w:val="23"/>
        <w:ind w:firstLine="480"/>
        <w:rPr>
          <w:color w:val="auto"/>
          <w:highlight w:val="none"/>
        </w:rPr>
      </w:pPr>
      <w:r>
        <w:rPr>
          <w:rFonts w:hint="eastAsia"/>
          <w:color w:val="auto"/>
          <w:highlight w:val="none"/>
        </w:rPr>
        <w:t>邮    编：611130</w:t>
      </w:r>
    </w:p>
    <w:p>
      <w:pPr>
        <w:pStyle w:val="23"/>
        <w:ind w:firstLine="480"/>
        <w:rPr>
          <w:rFonts w:hint="default"/>
          <w:color w:val="auto"/>
          <w:highlight w:val="none"/>
          <w:lang w:val="en-US" w:eastAsia="zh-CN"/>
        </w:rPr>
      </w:pPr>
      <w:r>
        <w:rPr>
          <w:rFonts w:hint="eastAsia"/>
          <w:color w:val="auto"/>
          <w:highlight w:val="none"/>
        </w:rPr>
        <w:t>联 系 人</w:t>
      </w:r>
      <w:r>
        <w:rPr>
          <w:rFonts w:hint="eastAsia"/>
          <w:color w:val="auto"/>
          <w:highlight w:val="none"/>
          <w:lang w:eastAsia="zh-CN"/>
        </w:rPr>
        <w:t>：</w:t>
      </w:r>
      <w:r>
        <w:rPr>
          <w:rFonts w:hint="eastAsia"/>
          <w:color w:val="auto"/>
          <w:highlight w:val="none"/>
          <w:lang w:val="en-US" w:eastAsia="zh-CN"/>
        </w:rPr>
        <w:t>胥怡希</w:t>
      </w:r>
    </w:p>
    <w:p>
      <w:pPr>
        <w:pStyle w:val="23"/>
        <w:ind w:firstLine="480"/>
        <w:rPr>
          <w:rFonts w:hint="default" w:eastAsia="宋体"/>
          <w:color w:val="auto"/>
          <w:highlight w:val="none"/>
          <w:lang w:val="en-US" w:eastAsia="zh-CN"/>
        </w:rPr>
      </w:pPr>
      <w:r>
        <w:rPr>
          <w:rFonts w:hint="eastAsia"/>
          <w:color w:val="auto"/>
          <w:highlight w:val="none"/>
        </w:rPr>
        <w:t>联系电话：</w:t>
      </w:r>
      <w:bookmarkStart w:id="8" w:name="EBeb8d297ecfe64323924dbe33cc2e5752"/>
      <w:r>
        <w:rPr>
          <w:rFonts w:hint="eastAsia"/>
          <w:color w:val="auto"/>
          <w:highlight w:val="none"/>
        </w:rPr>
        <w:t>028-</w:t>
      </w:r>
      <w:bookmarkEnd w:id="8"/>
      <w:r>
        <w:rPr>
          <w:rFonts w:hint="eastAsia"/>
          <w:color w:val="auto"/>
          <w:highlight w:val="none"/>
          <w:lang w:val="en-US" w:eastAsia="zh-CN"/>
        </w:rPr>
        <w:t>82746656</w:t>
      </w:r>
    </w:p>
    <w:p>
      <w:pPr>
        <w:spacing w:line="360" w:lineRule="auto"/>
        <w:ind w:firstLine="568" w:firstLineChars="202"/>
        <w:rPr>
          <w:rFonts w:ascii="宋体" w:hAnsi="宋体"/>
          <w:color w:val="auto"/>
          <w:kern w:val="0"/>
          <w:sz w:val="28"/>
          <w:highlight w:val="none"/>
        </w:rPr>
      </w:pPr>
      <w:r>
        <w:rPr>
          <w:rFonts w:hint="eastAsia" w:ascii="宋体" w:hAnsi="宋体"/>
          <w:b/>
          <w:color w:val="auto"/>
          <w:sz w:val="28"/>
          <w:szCs w:val="28"/>
          <w:highlight w:val="none"/>
        </w:rPr>
        <w:t>技术支持电话：</w:t>
      </w:r>
      <w:r>
        <w:rPr>
          <w:rFonts w:hint="eastAsia" w:ascii="宋体" w:hAnsi="宋体"/>
          <w:color w:val="auto"/>
          <w:sz w:val="28"/>
          <w:szCs w:val="28"/>
          <w:highlight w:val="none"/>
        </w:rPr>
        <w:t>400-881-7190</w:t>
      </w:r>
    </w:p>
    <w:p>
      <w:pPr>
        <w:pStyle w:val="23"/>
        <w:ind w:firstLine="482" w:firstLineChars="200"/>
        <w:rPr>
          <w:b/>
          <w:color w:val="auto"/>
          <w:highlight w:val="none"/>
        </w:rPr>
      </w:pPr>
      <w:r>
        <w:rPr>
          <w:rFonts w:hint="eastAsia"/>
          <w:b/>
          <w:color w:val="auto"/>
          <w:highlight w:val="none"/>
        </w:rPr>
        <w:t>（三）政府采购监督管理部门：成都市温江区财政局</w:t>
      </w:r>
    </w:p>
    <w:p>
      <w:pPr>
        <w:pStyle w:val="23"/>
        <w:ind w:firstLine="600" w:firstLineChars="250"/>
        <w:rPr>
          <w:color w:val="auto"/>
          <w:highlight w:val="none"/>
        </w:rPr>
      </w:pPr>
      <w:r>
        <w:rPr>
          <w:rFonts w:hint="eastAsia"/>
          <w:color w:val="auto"/>
          <w:highlight w:val="none"/>
        </w:rPr>
        <w:t>地    址：成都市温江区海科大厦</w:t>
      </w:r>
    </w:p>
    <w:p>
      <w:pPr>
        <w:pStyle w:val="23"/>
        <w:ind w:firstLine="600" w:firstLineChars="250"/>
        <w:rPr>
          <w:rFonts w:hint="eastAsia"/>
          <w:color w:val="auto"/>
          <w:highlight w:val="none"/>
          <w:lang w:eastAsia="zh-CN"/>
        </w:rPr>
      </w:pPr>
      <w:r>
        <w:rPr>
          <w:rFonts w:hint="eastAsia"/>
          <w:color w:val="auto"/>
          <w:highlight w:val="none"/>
        </w:rPr>
        <w:t>联系电话：028-82727142</w:t>
      </w:r>
    </w:p>
    <w:p>
      <w:pPr>
        <w:rPr>
          <w:rFonts w:hint="eastAsia"/>
          <w:color w:val="auto"/>
          <w:sz w:val="20"/>
          <w:highlight w:val="none"/>
        </w:rPr>
      </w:pPr>
      <w:bookmarkStart w:id="9" w:name="EBa7e00a33df2247fb87c775e3eeb6f68e"/>
      <w:r>
        <w:rPr>
          <w:rFonts w:hint="eastAsia"/>
          <w:color w:val="auto"/>
          <w:sz w:val="20"/>
          <w:highlight w:val="none"/>
        </w:rPr>
        <w:t xml:space="preserve"> </w:t>
      </w:r>
      <w:bookmarkEnd w:id="9"/>
    </w:p>
    <w:p>
      <w:pPr>
        <w:pStyle w:val="3"/>
        <w:jc w:val="center"/>
        <w:rPr>
          <w:rFonts w:hint="default" w:eastAsia="宋体"/>
          <w:color w:val="auto"/>
          <w:highlight w:val="none"/>
          <w:lang w:val="en-US" w:eastAsia="zh-CN"/>
        </w:rPr>
      </w:pPr>
    </w:p>
    <w:p>
      <w:pPr>
        <w:pStyle w:val="4"/>
        <w:jc w:val="center"/>
        <w:rPr>
          <w:color w:val="auto"/>
          <w:highlight w:val="none"/>
        </w:rPr>
      </w:pPr>
      <w:bookmarkStart w:id="10" w:name="_Toc5883"/>
      <w:bookmarkStart w:id="11" w:name="_Toc4977"/>
      <w:r>
        <w:rPr>
          <w:rFonts w:hint="eastAsia"/>
          <w:color w:val="auto"/>
          <w:highlight w:val="none"/>
        </w:rPr>
        <w:t>第2章 供应商须知</w:t>
      </w:r>
      <w:bookmarkEnd w:id="10"/>
      <w:bookmarkEnd w:id="11"/>
    </w:p>
    <w:p>
      <w:pPr>
        <w:pStyle w:val="5"/>
        <w:numPr>
          <w:ilvl w:val="0"/>
          <w:numId w:val="0"/>
        </w:numPr>
        <w:spacing w:before="156" w:after="156"/>
        <w:rPr>
          <w:color w:val="auto"/>
          <w:highlight w:val="none"/>
        </w:rPr>
      </w:pPr>
      <w:bookmarkStart w:id="12" w:name="_Toc17631"/>
      <w:bookmarkStart w:id="13" w:name="_Toc4908"/>
      <w:r>
        <w:rPr>
          <w:rFonts w:hint="eastAsia"/>
          <w:color w:val="auto"/>
          <w:highlight w:val="none"/>
        </w:rPr>
        <w:t>2.1供应商须知前附表</w:t>
      </w:r>
      <w:bookmarkEnd w:id="12"/>
      <w:bookmarkEnd w:id="13"/>
    </w:p>
    <w:tbl>
      <w:tblPr>
        <w:tblStyle w:val="17"/>
        <w:tblW w:w="926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01"/>
        <w:gridCol w:w="1951"/>
        <w:gridCol w:w="650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01" w:type="dxa"/>
            <w:noWrap w:val="0"/>
            <w:vAlign w:val="center"/>
          </w:tcPr>
          <w:p>
            <w:pPr>
              <w:pStyle w:val="23"/>
              <w:ind w:firstLine="103" w:firstLineChars="49"/>
              <w:rPr>
                <w:rFonts w:cs="宋体"/>
                <w:b/>
                <w:color w:val="auto"/>
                <w:sz w:val="21"/>
                <w:highlight w:val="none"/>
                <w:lang w:val="en-US" w:eastAsia="zh-CN"/>
              </w:rPr>
            </w:pPr>
            <w:r>
              <w:rPr>
                <w:rFonts w:hint="eastAsia" w:cs="宋体"/>
                <w:b/>
                <w:color w:val="auto"/>
                <w:sz w:val="21"/>
                <w:highlight w:val="none"/>
                <w:lang w:val="zh-CN" w:eastAsia="zh-CN"/>
              </w:rPr>
              <w:t>序号</w:t>
            </w:r>
          </w:p>
        </w:tc>
        <w:tc>
          <w:tcPr>
            <w:tcW w:w="1951" w:type="dxa"/>
            <w:noWrap w:val="0"/>
            <w:vAlign w:val="center"/>
          </w:tcPr>
          <w:p>
            <w:pPr>
              <w:pStyle w:val="23"/>
              <w:ind w:firstLine="422"/>
              <w:rPr>
                <w:rFonts w:cs="宋体"/>
                <w:b/>
                <w:color w:val="auto"/>
                <w:sz w:val="21"/>
                <w:highlight w:val="none"/>
                <w:lang w:val="zh-CN" w:eastAsia="zh-CN"/>
              </w:rPr>
            </w:pPr>
            <w:r>
              <w:rPr>
                <w:rFonts w:hint="eastAsia" w:cs="宋体"/>
                <w:b/>
                <w:color w:val="auto"/>
                <w:sz w:val="21"/>
                <w:highlight w:val="none"/>
                <w:lang w:val="zh-CN" w:eastAsia="zh-CN"/>
              </w:rPr>
              <w:t>应知事项</w:t>
            </w:r>
          </w:p>
        </w:tc>
        <w:tc>
          <w:tcPr>
            <w:tcW w:w="6508" w:type="dxa"/>
            <w:noWrap w:val="0"/>
            <w:vAlign w:val="center"/>
          </w:tcPr>
          <w:p>
            <w:pPr>
              <w:pStyle w:val="23"/>
              <w:ind w:firstLine="422"/>
              <w:rPr>
                <w:rFonts w:cs="宋体"/>
                <w:b/>
                <w:color w:val="auto"/>
                <w:sz w:val="21"/>
                <w:highlight w:val="none"/>
                <w:lang w:val="zh-CN" w:eastAsia="zh-CN"/>
              </w:rPr>
            </w:pPr>
            <w:r>
              <w:rPr>
                <w:rFonts w:hint="eastAsia" w:cs="宋体"/>
                <w:b/>
                <w:color w:val="auto"/>
                <w:sz w:val="21"/>
                <w:highlight w:val="none"/>
                <w:lang w:val="zh-CN" w:eastAsia="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01" w:type="dxa"/>
            <w:noWrap w:val="0"/>
            <w:vAlign w:val="center"/>
          </w:tcPr>
          <w:p>
            <w:pPr>
              <w:snapToGrid w:val="0"/>
              <w:spacing w:line="360" w:lineRule="auto"/>
              <w:ind w:left="420"/>
              <w:rPr>
                <w:color w:val="auto"/>
                <w:highlight w:val="none"/>
              </w:rPr>
            </w:pPr>
            <w:r>
              <w:rPr>
                <w:rFonts w:hint="eastAsia"/>
                <w:color w:val="auto"/>
                <w:highlight w:val="none"/>
              </w:rPr>
              <w:t>1</w:t>
            </w:r>
          </w:p>
        </w:tc>
        <w:tc>
          <w:tcPr>
            <w:tcW w:w="1951" w:type="dxa"/>
            <w:noWrap w:val="0"/>
            <w:vAlign w:val="center"/>
          </w:tcPr>
          <w:p>
            <w:pPr>
              <w:spacing w:before="152" w:after="160" w:line="360" w:lineRule="auto"/>
              <w:ind w:right="210" w:rightChars="100"/>
              <w:rPr>
                <w:color w:val="auto"/>
                <w:highlight w:val="none"/>
              </w:rPr>
            </w:pPr>
            <w:r>
              <w:rPr>
                <w:rFonts w:hint="eastAsia"/>
                <w:color w:val="auto"/>
                <w:highlight w:val="none"/>
              </w:rPr>
              <w:t>采购预算</w:t>
            </w:r>
          </w:p>
        </w:tc>
        <w:tc>
          <w:tcPr>
            <w:tcW w:w="6508" w:type="dxa"/>
            <w:noWrap w:val="0"/>
            <w:vAlign w:val="center"/>
          </w:tcPr>
          <w:p>
            <w:pPr>
              <w:spacing w:before="152" w:after="160" w:line="360" w:lineRule="auto"/>
              <w:ind w:right="210"/>
              <w:rPr>
                <w:rFonts w:eastAsia="仿宋_GB2312"/>
                <w:b/>
                <w:color w:val="auto"/>
                <w:highlight w:val="none"/>
                <w:lang w:val="zh-CN"/>
              </w:rPr>
            </w:pPr>
            <w:bookmarkStart w:id="14" w:name="EB98e56ed8678a453280c3e0778f77c07e"/>
            <w:r>
              <w:rPr>
                <w:rFonts w:hint="eastAsia" w:eastAsia="仿宋_GB2312"/>
                <w:b/>
                <w:color w:val="auto"/>
                <w:highlight w:val="none"/>
                <w:lang w:val="zh-CN"/>
              </w:rPr>
              <w:t>人民币238.22万元</w:t>
            </w:r>
            <w:bookmarkEnd w:id="14"/>
            <w:r>
              <w:rPr>
                <w:rFonts w:hint="eastAsia" w:eastAsia="仿宋_GB2312"/>
                <w:b/>
                <w:color w:val="auto"/>
                <w:highlight w:val="none"/>
                <w:lang w:val="zh-CN"/>
              </w:rPr>
              <w:t>，其中包件1预算金额168.5万元，包件2预算金额69.72万元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01" w:type="dxa"/>
            <w:noWrap w:val="0"/>
            <w:vAlign w:val="center"/>
          </w:tcPr>
          <w:p>
            <w:pPr>
              <w:snapToGrid w:val="0"/>
              <w:spacing w:line="360" w:lineRule="auto"/>
              <w:ind w:left="420"/>
              <w:rPr>
                <w:color w:val="auto"/>
                <w:highlight w:val="none"/>
              </w:rPr>
            </w:pPr>
            <w:r>
              <w:rPr>
                <w:rFonts w:hint="eastAsia"/>
                <w:color w:val="auto"/>
                <w:highlight w:val="none"/>
              </w:rPr>
              <w:t>2</w:t>
            </w:r>
          </w:p>
        </w:tc>
        <w:tc>
          <w:tcPr>
            <w:tcW w:w="1951" w:type="dxa"/>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最高限价</w:t>
            </w:r>
          </w:p>
        </w:tc>
        <w:tc>
          <w:tcPr>
            <w:tcW w:w="6508" w:type="dxa"/>
            <w:noWrap w:val="0"/>
            <w:vAlign w:val="center"/>
          </w:tcPr>
          <w:p>
            <w:pPr>
              <w:pStyle w:val="25"/>
              <w:spacing w:line="360" w:lineRule="auto"/>
              <w:ind w:right="210" w:rightChars="100"/>
              <w:jc w:val="both"/>
              <w:rPr>
                <w:b/>
                <w:color w:val="auto"/>
                <w:highlight w:val="none"/>
                <w:lang w:val="zh-CN"/>
              </w:rPr>
            </w:pPr>
            <w:r>
              <w:rPr>
                <w:rFonts w:hint="eastAsia" w:eastAsia="仿宋_GB2312"/>
                <w:b/>
                <w:color w:val="auto"/>
                <w:highlight w:val="none"/>
                <w:lang w:val="en-US" w:eastAsia="zh-CN"/>
              </w:rPr>
              <w:t>最高限价</w:t>
            </w:r>
            <w:r>
              <w:rPr>
                <w:rFonts w:hint="eastAsia" w:eastAsia="仿宋_GB2312"/>
                <w:b/>
                <w:color w:val="auto"/>
                <w:highlight w:val="none"/>
                <w:lang w:val="zh-CN"/>
              </w:rPr>
              <w:t>238.22万元，其中包件</w:t>
            </w:r>
            <w:r>
              <w:rPr>
                <w:rFonts w:hint="eastAsia" w:eastAsia="仿宋_GB2312"/>
                <w:b/>
                <w:color w:val="auto"/>
                <w:highlight w:val="none"/>
                <w:lang w:val="en-US" w:eastAsia="zh-CN"/>
              </w:rPr>
              <w:t>1最高限价</w:t>
            </w:r>
            <w:r>
              <w:rPr>
                <w:rFonts w:hint="eastAsia" w:eastAsia="仿宋_GB2312"/>
                <w:b/>
                <w:color w:val="auto"/>
                <w:highlight w:val="none"/>
                <w:lang w:val="zh-CN"/>
              </w:rPr>
              <w:t>168.5万元，包件</w:t>
            </w:r>
            <w:r>
              <w:rPr>
                <w:rFonts w:hint="eastAsia" w:eastAsia="仿宋_GB2312"/>
                <w:b/>
                <w:color w:val="auto"/>
                <w:highlight w:val="none"/>
                <w:lang w:val="en-US" w:eastAsia="zh-CN"/>
              </w:rPr>
              <w:t>2最高限价</w:t>
            </w:r>
            <w:r>
              <w:rPr>
                <w:rFonts w:hint="eastAsia" w:eastAsia="仿宋_GB2312"/>
                <w:b/>
                <w:color w:val="auto"/>
                <w:highlight w:val="none"/>
                <w:lang w:val="zh-CN"/>
              </w:rPr>
              <w:t>69.72万元</w:t>
            </w:r>
            <w:r>
              <w:rPr>
                <w:rFonts w:hint="eastAsia"/>
                <w:b/>
                <w:color w:val="auto"/>
                <w:highlight w:val="none"/>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01" w:type="dxa"/>
            <w:noWrap w:val="0"/>
            <w:vAlign w:val="center"/>
          </w:tcPr>
          <w:p>
            <w:pPr>
              <w:snapToGrid w:val="0"/>
              <w:spacing w:line="360" w:lineRule="auto"/>
              <w:ind w:left="420"/>
              <w:rPr>
                <w:color w:val="auto"/>
                <w:highlight w:val="none"/>
              </w:rPr>
            </w:pPr>
            <w:r>
              <w:rPr>
                <w:rFonts w:hint="eastAsia"/>
                <w:color w:val="auto"/>
                <w:highlight w:val="none"/>
              </w:rPr>
              <w:t>3</w:t>
            </w:r>
          </w:p>
        </w:tc>
        <w:tc>
          <w:tcPr>
            <w:tcW w:w="1951" w:type="dxa"/>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采购方式</w:t>
            </w:r>
          </w:p>
        </w:tc>
        <w:tc>
          <w:tcPr>
            <w:tcW w:w="6508" w:type="dxa"/>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01" w:type="dxa"/>
            <w:noWrap w:val="0"/>
            <w:vAlign w:val="center"/>
          </w:tcPr>
          <w:p>
            <w:pPr>
              <w:snapToGrid w:val="0"/>
              <w:spacing w:line="360" w:lineRule="auto"/>
              <w:ind w:left="420"/>
              <w:rPr>
                <w:color w:val="auto"/>
                <w:highlight w:val="none"/>
              </w:rPr>
            </w:pPr>
            <w:r>
              <w:rPr>
                <w:rFonts w:hint="eastAsia"/>
                <w:color w:val="auto"/>
                <w:highlight w:val="none"/>
              </w:rPr>
              <w:t>4</w:t>
            </w:r>
          </w:p>
        </w:tc>
        <w:tc>
          <w:tcPr>
            <w:tcW w:w="1951" w:type="dxa"/>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评审方法</w:t>
            </w:r>
          </w:p>
        </w:tc>
        <w:tc>
          <w:tcPr>
            <w:tcW w:w="6508" w:type="dxa"/>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综合评分法</w:t>
            </w:r>
            <w:r>
              <w:rPr>
                <w:color w:val="auto"/>
                <w:highlight w:val="none"/>
                <w:lang w:val="zh-CN"/>
              </w:rPr>
              <w:t>(详见第5章)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01" w:type="dxa"/>
            <w:noWrap w:val="0"/>
            <w:vAlign w:val="center"/>
          </w:tcPr>
          <w:p>
            <w:pPr>
              <w:snapToGrid w:val="0"/>
              <w:spacing w:line="360" w:lineRule="auto"/>
              <w:ind w:left="420"/>
              <w:rPr>
                <w:color w:val="auto"/>
                <w:highlight w:val="none"/>
              </w:rPr>
            </w:pPr>
            <w:r>
              <w:rPr>
                <w:rFonts w:hint="eastAsia"/>
                <w:color w:val="auto"/>
                <w:highlight w:val="none"/>
              </w:rPr>
              <w:t>5</w:t>
            </w:r>
          </w:p>
        </w:tc>
        <w:tc>
          <w:tcPr>
            <w:tcW w:w="1951" w:type="dxa"/>
            <w:noWrap w:val="0"/>
            <w:vAlign w:val="center"/>
          </w:tcPr>
          <w:p>
            <w:pPr>
              <w:pStyle w:val="25"/>
              <w:spacing w:before="152" w:after="160" w:line="360" w:lineRule="auto"/>
              <w:ind w:right="210" w:rightChars="100"/>
              <w:jc w:val="both"/>
              <w:rPr>
                <w:rFonts w:eastAsia="仿宋_GB2312"/>
                <w:color w:val="auto"/>
                <w:kern w:val="2"/>
                <w:highlight w:val="none"/>
                <w:lang w:val="zh-CN"/>
              </w:rPr>
            </w:pPr>
            <w:r>
              <w:rPr>
                <w:rFonts w:hint="eastAsia"/>
                <w:color w:val="auto"/>
                <w:highlight w:val="none"/>
                <w:lang w:val="zh-CN"/>
              </w:rPr>
              <w:t>低于成本价不正当竞争预防措施</w:t>
            </w:r>
          </w:p>
        </w:tc>
        <w:tc>
          <w:tcPr>
            <w:tcW w:w="6508" w:type="dxa"/>
            <w:noWrap w:val="0"/>
            <w:vAlign w:val="center"/>
          </w:tcPr>
          <w:p>
            <w:pPr>
              <w:pStyle w:val="25"/>
              <w:spacing w:before="152" w:after="160" w:line="360" w:lineRule="auto"/>
              <w:jc w:val="both"/>
              <w:rPr>
                <w:rFonts w:hint="eastAsia"/>
                <w:color w:val="auto"/>
                <w:highlight w:val="none"/>
                <w:lang w:val="zh-CN"/>
              </w:rPr>
            </w:pPr>
            <w:r>
              <w:rPr>
                <w:rFonts w:hint="eastAsia" w:ascii="宋体" w:hAnsi="宋体" w:cs="宋体"/>
                <w:color w:val="auto"/>
                <w:szCs w:val="21"/>
                <w:highlight w:val="none"/>
                <w:lang w:val="zh-CN"/>
              </w:rPr>
              <w:t>在评审过程中，磋商小组认为供应商最后报价明显低于其他通过符合性审查供应商的最后报价，有可能影响服务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numPr>
                <w:ilvl w:val="0"/>
                <w:numId w:val="0"/>
              </w:numPr>
              <w:snapToGrid w:val="0"/>
              <w:spacing w:line="360" w:lineRule="auto"/>
              <w:ind w:leftChars="0" w:firstLine="210" w:firstLineChars="100"/>
              <w:jc w:val="both"/>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6</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5"/>
              <w:spacing w:line="360" w:lineRule="auto"/>
              <w:ind w:left="96" w:leftChars="0"/>
              <w:rPr>
                <w:rFonts w:hint="eastAsia" w:ascii="宋体" w:hAnsi="宋体" w:cs="宋体"/>
                <w:color w:val="auto"/>
                <w:kern w:val="2"/>
                <w:sz w:val="21"/>
                <w:szCs w:val="22"/>
                <w:highlight w:val="none"/>
                <w:lang w:val="zh-CN" w:eastAsia="zh-CN" w:bidi="ar-SA"/>
              </w:rPr>
            </w:pPr>
            <w:r>
              <w:rPr>
                <w:rFonts w:hint="eastAsia"/>
                <w:color w:val="auto"/>
                <w:kern w:val="2"/>
                <w:highlight w:val="none"/>
                <w:lang w:val="zh-CN"/>
              </w:rPr>
              <w:t>小微企业价格扣除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spacing w:line="360" w:lineRule="auto"/>
              <w:ind w:right="94" w:rightChars="45"/>
              <w:rPr>
                <w:rFonts w:hint="eastAsia"/>
                <w:color w:val="auto"/>
                <w:highlight w:val="none"/>
                <w:lang w:val="zh-CN"/>
              </w:rPr>
            </w:pPr>
            <w:r>
              <w:rPr>
                <w:rFonts w:hint="eastAsia"/>
                <w:color w:val="auto"/>
                <w:highlight w:val="none"/>
                <w:lang w:val="zh-CN"/>
              </w:rPr>
              <w:t>1.根据《政府采购促进中小企业发展管理办法》（财库〔2020〕46号）的规定，对小型和微型企业制造的货物的价格给予10%的价格扣除，用扣除后的价格参与评审。供应商提供的货物既有中小企业制造货物，也有大型企业制造货物的，不享受该办法规定的中小企业扶持政策。</w:t>
            </w:r>
          </w:p>
          <w:p>
            <w:pPr>
              <w:spacing w:line="360" w:lineRule="auto"/>
              <w:ind w:right="94" w:rightChars="45"/>
              <w:rPr>
                <w:rFonts w:hint="eastAsia"/>
                <w:color w:val="auto"/>
                <w:highlight w:val="none"/>
                <w:lang w:val="zh-CN" w:eastAsia="zh-CN"/>
              </w:rPr>
            </w:pPr>
            <w:r>
              <w:rPr>
                <w:rFonts w:hint="eastAsia"/>
                <w:color w:val="auto"/>
                <w:highlight w:val="none"/>
                <w:lang w:val="zh-CN"/>
              </w:rPr>
              <w:t>2.供应商应提供《中小企业声明函》。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numPr>
                <w:ilvl w:val="0"/>
                <w:numId w:val="0"/>
              </w:numPr>
              <w:snapToGrid w:val="0"/>
              <w:spacing w:line="360" w:lineRule="auto"/>
              <w:ind w:leftChars="0"/>
              <w:jc w:val="both"/>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 xml:space="preserve">  7</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5"/>
              <w:spacing w:line="360" w:lineRule="auto"/>
              <w:ind w:left="96" w:leftChars="0"/>
              <w:rPr>
                <w:rFonts w:hint="eastAsia" w:ascii="宋体" w:hAnsi="宋体" w:cs="宋体"/>
                <w:color w:val="auto"/>
                <w:kern w:val="2"/>
                <w:sz w:val="21"/>
                <w:szCs w:val="22"/>
                <w:highlight w:val="none"/>
                <w:lang w:val="zh-CN" w:eastAsia="zh-CN" w:bidi="ar-SA"/>
              </w:rPr>
            </w:pPr>
            <w:r>
              <w:rPr>
                <w:rFonts w:hint="eastAsia"/>
                <w:color w:val="auto"/>
                <w:kern w:val="2"/>
                <w:highlight w:val="none"/>
                <w:lang w:val="zh-CN"/>
              </w:rPr>
              <w:t>监狱企业价格扣除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widowControl/>
              <w:spacing w:line="360" w:lineRule="auto"/>
              <w:jc w:val="left"/>
              <w:rPr>
                <w:rFonts w:hint="eastAsia"/>
                <w:color w:val="auto"/>
                <w:highlight w:val="none"/>
                <w:lang w:val="zh-CN"/>
              </w:rPr>
            </w:pPr>
            <w:r>
              <w:rPr>
                <w:rFonts w:hint="eastAsia"/>
                <w:color w:val="auto"/>
                <w:highlight w:val="none"/>
                <w:lang w:val="zh-CN"/>
              </w:rPr>
              <w:t>１.根据《关于政府采购支持监狱企业发展有关问题的通知》（财库〔2014〕68号）的规定，监狱企业视同小型、微型企业，对监狱企业制造的货物的价格给予10%的价格扣除，用扣除后的价格参与评审。</w:t>
            </w:r>
          </w:p>
          <w:p>
            <w:pPr>
              <w:spacing w:line="360" w:lineRule="auto"/>
              <w:ind w:right="94" w:rightChars="45"/>
              <w:rPr>
                <w:rFonts w:hint="eastAsia"/>
                <w:color w:val="auto"/>
                <w:highlight w:val="none"/>
                <w:lang w:val="zh-CN" w:eastAsia="zh-CN"/>
              </w:rPr>
            </w:pPr>
            <w:r>
              <w:rPr>
                <w:rFonts w:hint="eastAsia"/>
                <w:color w:val="auto"/>
                <w:highlight w:val="none"/>
                <w:lang w:val="en-US" w:eastAsia="zh-CN"/>
              </w:rPr>
              <w:t>2.</w:t>
            </w:r>
            <w:r>
              <w:rPr>
                <w:rFonts w:hint="eastAsia" w:ascii="宋体" w:hAnsi="宋体" w:cs="宋体"/>
                <w:lang w:val="zh-CN"/>
              </w:rPr>
              <w:t>报价产品中为监狱企业制造的货物应提供由省级以上监狱管理局、戒毒管理局（含新疆生产建设兵团）出具的制造商属于监狱企业的证明文件复印件。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numPr>
                <w:ilvl w:val="0"/>
                <w:numId w:val="0"/>
              </w:numPr>
              <w:snapToGrid w:val="0"/>
              <w:spacing w:line="360" w:lineRule="auto"/>
              <w:ind w:leftChars="0"/>
              <w:jc w:val="both"/>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 xml:space="preserve">  8</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5"/>
              <w:spacing w:line="360" w:lineRule="auto"/>
              <w:ind w:left="96" w:leftChars="0"/>
              <w:rPr>
                <w:rFonts w:hint="eastAsia" w:ascii="宋体" w:hAnsi="宋体" w:cs="宋体"/>
                <w:color w:val="auto"/>
                <w:kern w:val="2"/>
                <w:sz w:val="21"/>
                <w:szCs w:val="22"/>
                <w:highlight w:val="none"/>
                <w:lang w:val="zh-CN" w:eastAsia="zh-CN" w:bidi="ar-SA"/>
              </w:rPr>
            </w:pPr>
            <w:r>
              <w:rPr>
                <w:rFonts w:hint="eastAsia"/>
                <w:color w:val="auto"/>
                <w:kern w:val="2"/>
                <w:highlight w:val="none"/>
              </w:rPr>
              <w:t>残疾人福利性单位</w:t>
            </w:r>
            <w:r>
              <w:rPr>
                <w:rFonts w:hint="eastAsia"/>
                <w:color w:val="auto"/>
                <w:kern w:val="2"/>
                <w:highlight w:val="none"/>
                <w:lang w:val="zh-CN"/>
              </w:rPr>
              <w:t>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widowControl/>
              <w:spacing w:line="360" w:lineRule="auto"/>
              <w:jc w:val="left"/>
              <w:rPr>
                <w:rFonts w:hint="eastAsia"/>
                <w:color w:val="auto"/>
                <w:highlight w:val="none"/>
                <w:lang w:val="zh-CN"/>
              </w:rPr>
            </w:pPr>
            <w:r>
              <w:rPr>
                <w:rFonts w:hint="eastAsia"/>
                <w:color w:val="auto"/>
                <w:highlight w:val="none"/>
                <w:lang w:val="zh-CN"/>
              </w:rPr>
              <w:t>1.根据《三部门联合发布关于促进残疾人就业政府采购政策的通知》（财库[2017]141号）的规定，残疾人福利性单位视同小型、微型企业，对残疾人福利性单位制造的货物的价格给予10%的价格扣除，用扣除后的价格参与评审。</w:t>
            </w:r>
          </w:p>
          <w:p>
            <w:pPr>
              <w:widowControl/>
              <w:spacing w:line="360" w:lineRule="auto"/>
              <w:jc w:val="left"/>
              <w:rPr>
                <w:rFonts w:hint="eastAsia"/>
                <w:color w:val="auto"/>
                <w:highlight w:val="none"/>
                <w:lang w:val="zh-CN" w:eastAsia="zh-CN"/>
              </w:rPr>
            </w:pPr>
            <w:r>
              <w:rPr>
                <w:rFonts w:hint="eastAsia"/>
                <w:color w:val="auto"/>
                <w:highlight w:val="none"/>
                <w:lang w:val="zh-CN"/>
              </w:rPr>
              <w:t>2.供应商应提供《残疾人福利性单位声明函》。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eastAsia" w:eastAsia="宋体"/>
                <w:color w:val="auto"/>
                <w:highlight w:val="none"/>
                <w:lang w:eastAsia="zh-CN"/>
              </w:rPr>
            </w:pPr>
            <w:r>
              <w:rPr>
                <w:rFonts w:hint="eastAsia"/>
                <w:color w:val="auto"/>
                <w:highlight w:val="none"/>
                <w:lang w:val="en-US" w:eastAsia="zh-CN"/>
              </w:rPr>
              <w:t>9</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5"/>
              <w:spacing w:before="152" w:after="160" w:line="360" w:lineRule="auto"/>
              <w:jc w:val="both"/>
              <w:rPr>
                <w:color w:val="auto"/>
                <w:highlight w:val="none"/>
                <w:lang w:val="zh-CN"/>
              </w:rPr>
            </w:pPr>
            <w:r>
              <w:rPr>
                <w:rFonts w:hint="eastAsia"/>
                <w:color w:val="auto"/>
                <w:highlight w:val="none"/>
                <w:lang w:val="zh-CN"/>
              </w:rPr>
              <w:t>磋商保证金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spacing w:line="400" w:lineRule="exact"/>
              <w:rPr>
                <w:color w:val="auto"/>
                <w:highlight w:val="none"/>
                <w:u w:val="single"/>
                <w:lang w:val="zh-CN"/>
              </w:rPr>
            </w:pPr>
            <w:bookmarkStart w:id="15" w:name="EB4f8c085a19294a48ac612af789d09175"/>
            <w:r>
              <w:rPr>
                <w:rFonts w:hint="eastAsia"/>
                <w:color w:val="auto"/>
                <w:highlight w:val="none"/>
                <w:lang w:val="zh-CN"/>
              </w:rPr>
              <w:t>本项目不收取磋商保证金</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default" w:eastAsia="宋体"/>
                <w:color w:val="auto"/>
                <w:highlight w:val="none"/>
                <w:lang w:val="en-US" w:eastAsia="zh-CN"/>
              </w:rPr>
            </w:pPr>
            <w:r>
              <w:rPr>
                <w:rFonts w:hint="eastAsia"/>
                <w:color w:val="auto"/>
                <w:highlight w:val="none"/>
                <w:lang w:val="en-US" w:eastAsia="zh-CN"/>
              </w:rPr>
              <w:t>10</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spacing w:before="152" w:after="160" w:line="360" w:lineRule="auto"/>
              <w:rPr>
                <w:color w:val="auto"/>
                <w:highlight w:val="none"/>
                <w:lang w:val="zh-CN"/>
              </w:rPr>
            </w:pPr>
            <w:r>
              <w:rPr>
                <w:rFonts w:hint="eastAsia"/>
                <w:color w:val="auto"/>
                <w:highlight w:val="none"/>
                <w:lang w:val="zh-CN"/>
              </w:rPr>
              <w:t>履约保证金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spacing w:line="360" w:lineRule="auto"/>
              <w:rPr>
                <w:rFonts w:hint="default" w:eastAsia="宋体"/>
                <w:color w:val="auto"/>
                <w:highlight w:val="none"/>
                <w:lang w:val="en-US" w:eastAsia="zh-CN"/>
              </w:rPr>
            </w:pPr>
            <w:r>
              <w:rPr>
                <w:rFonts w:hint="eastAsia"/>
                <w:color w:val="auto"/>
                <w:highlight w:val="none"/>
                <w:lang w:val="zh-CN"/>
              </w:rPr>
              <w:t>详见供应商须知</w:t>
            </w:r>
            <w:r>
              <w:rPr>
                <w:rFonts w:hint="eastAsia"/>
                <w:color w:val="auto"/>
                <w:highlight w:val="none"/>
                <w:lang w:val="en-US" w:eastAsia="zh-CN"/>
              </w:rPr>
              <w:t>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default" w:eastAsia="宋体"/>
                <w:color w:val="auto"/>
                <w:highlight w:val="none"/>
                <w:lang w:val="en-US" w:eastAsia="zh-CN"/>
              </w:rPr>
            </w:pPr>
            <w:r>
              <w:rPr>
                <w:rFonts w:hint="eastAsia"/>
                <w:color w:val="auto"/>
                <w:highlight w:val="none"/>
                <w:lang w:val="en-US" w:eastAsia="zh-CN"/>
              </w:rPr>
              <w:t>11</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tabs>
                <w:tab w:val="left" w:pos="7665"/>
              </w:tabs>
              <w:snapToGrid w:val="0"/>
              <w:spacing w:line="360" w:lineRule="auto"/>
              <w:rPr>
                <w:rFonts w:hint="eastAsia" w:ascii="宋体" w:hAnsi="宋体" w:cs="宋体"/>
                <w:color w:val="auto"/>
                <w:kern w:val="2"/>
                <w:sz w:val="21"/>
                <w:szCs w:val="22"/>
                <w:highlight w:val="none"/>
                <w:lang w:val="en-US" w:eastAsia="zh-CN" w:bidi="ar-SA"/>
              </w:rPr>
            </w:pPr>
            <w:r>
              <w:rPr>
                <w:rFonts w:hint="eastAsia"/>
                <w:color w:val="auto"/>
                <w:highlight w:val="none"/>
              </w:rPr>
              <w:t>响应文件有效期</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tabs>
                <w:tab w:val="left" w:pos="7665"/>
              </w:tabs>
              <w:snapToGrid w:val="0"/>
              <w:spacing w:before="152" w:after="160" w:line="360" w:lineRule="auto"/>
              <w:rPr>
                <w:rFonts w:hint="eastAsia" w:ascii="宋体" w:hAnsi="宋体" w:cs="宋体"/>
                <w:color w:val="auto"/>
                <w:kern w:val="2"/>
                <w:sz w:val="21"/>
                <w:szCs w:val="22"/>
                <w:highlight w:val="none"/>
                <w:lang w:val="en-US" w:eastAsia="zh-CN" w:bidi="ar-SA"/>
              </w:rPr>
            </w:pPr>
            <w:r>
              <w:rPr>
                <w:rFonts w:hint="eastAsia" w:ascii="Helvetica" w:hAnsi="Helvetica" w:cs="Helvetica"/>
                <w:color w:val="auto"/>
                <w:highlight w:val="none"/>
              </w:rPr>
              <w:t>递交响应文件的截止之日起</w:t>
            </w:r>
            <w:r>
              <w:rPr>
                <w:rFonts w:hint="eastAsia" w:ascii="Helvetica" w:hAnsi="Helvetica" w:cs="Helvetica"/>
                <w:color w:val="auto"/>
                <w:highlight w:val="none"/>
                <w:u w:val="single"/>
              </w:rPr>
              <w:t>120</w:t>
            </w:r>
            <w:r>
              <w:rPr>
                <w:rFonts w:hint="eastAsia"/>
                <w:color w:val="auto"/>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default" w:eastAsia="宋体"/>
                <w:color w:val="auto"/>
                <w:highlight w:val="none"/>
                <w:lang w:val="en-US" w:eastAsia="zh-CN"/>
              </w:rPr>
            </w:pPr>
            <w:r>
              <w:rPr>
                <w:rFonts w:hint="eastAsia"/>
                <w:color w:val="auto"/>
                <w:highlight w:val="none"/>
                <w:lang w:val="en-US" w:eastAsia="zh-CN"/>
              </w:rPr>
              <w:t>12</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tabs>
                <w:tab w:val="left" w:pos="7665"/>
              </w:tabs>
              <w:snapToGrid w:val="0"/>
              <w:spacing w:before="152" w:after="160" w:line="360" w:lineRule="auto"/>
              <w:rPr>
                <w:rFonts w:hint="eastAsia" w:ascii="宋体" w:hAnsi="宋体" w:cs="宋体"/>
                <w:color w:val="auto"/>
                <w:kern w:val="2"/>
                <w:sz w:val="21"/>
                <w:szCs w:val="22"/>
                <w:highlight w:val="none"/>
                <w:lang w:val="en-US" w:eastAsia="zh-CN" w:bidi="ar-SA"/>
              </w:rPr>
            </w:pPr>
            <w:r>
              <w:rPr>
                <w:rFonts w:hint="eastAsia" w:ascii="宋体" w:hAnsi="宋体" w:cs="宋体"/>
                <w:color w:val="auto"/>
                <w:kern w:val="2"/>
                <w:sz w:val="21"/>
                <w:szCs w:val="22"/>
                <w:highlight w:val="none"/>
                <w:lang w:val="en-US" w:eastAsia="zh-CN" w:bidi="ar-SA"/>
              </w:rPr>
              <w:t>响应文件的制作、签章和加密</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tabs>
                <w:tab w:val="left" w:pos="7665"/>
              </w:tabs>
              <w:snapToGrid w:val="0"/>
              <w:spacing w:before="152" w:after="160" w:line="360" w:lineRule="auto"/>
              <w:rPr>
                <w:rFonts w:hint="default" w:ascii="宋体" w:hAnsi="宋体" w:eastAsia="宋体" w:cs="宋体"/>
                <w:color w:val="auto"/>
                <w:kern w:val="2"/>
                <w:sz w:val="21"/>
                <w:szCs w:val="22"/>
                <w:highlight w:val="none"/>
                <w:lang w:val="en-US" w:eastAsia="zh-CN" w:bidi="ar-SA"/>
              </w:rPr>
            </w:pPr>
            <w:r>
              <w:rPr>
                <w:rFonts w:hint="eastAsia"/>
                <w:color w:val="auto"/>
                <w:highlight w:val="none"/>
              </w:rPr>
              <w:t>详见供应商须知</w:t>
            </w:r>
            <w:r>
              <w:rPr>
                <w:color w:val="auto"/>
                <w:highlight w:val="none"/>
              </w:rPr>
              <w:t>2.4.</w:t>
            </w:r>
            <w:r>
              <w:rPr>
                <w:rFonts w:hint="eastAsia"/>
                <w:color w:val="auto"/>
                <w:highlight w:val="none"/>
                <w:lang w:val="en-US" w:eastAsia="zh-CN"/>
              </w:rPr>
              <w:t>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66"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default" w:eastAsia="宋体"/>
                <w:color w:val="auto"/>
                <w:highlight w:val="none"/>
                <w:lang w:val="en-US" w:eastAsia="zh-CN"/>
              </w:rPr>
            </w:pPr>
            <w:r>
              <w:rPr>
                <w:rFonts w:hint="eastAsia"/>
                <w:color w:val="auto"/>
                <w:highlight w:val="none"/>
                <w:lang w:val="en-US" w:eastAsia="zh-CN"/>
              </w:rPr>
              <w:t>13</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tabs>
                <w:tab w:val="left" w:pos="7665"/>
              </w:tabs>
              <w:snapToGrid w:val="0"/>
              <w:jc w:val="left"/>
              <w:rPr>
                <w:rFonts w:hint="eastAsia" w:ascii="宋体" w:hAnsi="宋体" w:cs="宋体"/>
                <w:color w:val="auto"/>
                <w:kern w:val="2"/>
                <w:sz w:val="21"/>
                <w:szCs w:val="22"/>
                <w:highlight w:val="none"/>
                <w:lang w:val="en-US" w:eastAsia="zh-CN" w:bidi="ar-SA"/>
              </w:rPr>
            </w:pPr>
            <w:r>
              <w:rPr>
                <w:rFonts w:hint="eastAsia"/>
                <w:color w:val="auto"/>
                <w:highlight w:val="none"/>
                <w:lang w:eastAsia="zh-CN"/>
              </w:rPr>
              <w:t>响应</w:t>
            </w:r>
            <w:r>
              <w:rPr>
                <w:rFonts w:hint="eastAsia" w:ascii="宋体" w:hAnsi="宋体"/>
                <w:color w:val="auto"/>
                <w:highlight w:val="none"/>
              </w:rPr>
              <w:t>文件的递交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tabs>
                <w:tab w:val="left" w:pos="7665"/>
              </w:tabs>
              <w:snapToGrid w:val="0"/>
              <w:jc w:val="left"/>
              <w:rPr>
                <w:rFonts w:hint="eastAsia" w:ascii="宋体" w:hAnsi="宋体" w:eastAsia="宋体"/>
                <w:color w:val="auto"/>
                <w:highlight w:val="none"/>
                <w:lang w:eastAsia="zh-CN"/>
              </w:rPr>
            </w:pPr>
            <w:r>
              <w:rPr>
                <w:rFonts w:hint="eastAsia" w:ascii="宋体" w:hAnsi="宋体"/>
                <w:color w:val="auto"/>
                <w:highlight w:val="none"/>
              </w:rPr>
              <w:t>详见</w:t>
            </w:r>
            <w:r>
              <w:rPr>
                <w:rFonts w:hint="eastAsia"/>
                <w:color w:val="auto"/>
                <w:highlight w:val="none"/>
                <w:lang w:eastAsia="zh-CN"/>
              </w:rPr>
              <w:t>供应商</w:t>
            </w:r>
            <w:r>
              <w:rPr>
                <w:rFonts w:hint="eastAsia" w:ascii="宋体" w:hAnsi="宋体"/>
                <w:color w:val="auto"/>
                <w:highlight w:val="none"/>
              </w:rPr>
              <w:t>须知2.4.1</w:t>
            </w:r>
            <w:r>
              <w:rPr>
                <w:rFonts w:hint="eastAsia"/>
                <w:color w:val="auto"/>
                <w:highlight w:val="none"/>
                <w:lang w:val="en-US" w:eastAsia="zh-CN"/>
              </w:rPr>
              <w:t>1</w:t>
            </w:r>
          </w:p>
          <w:p>
            <w:pPr>
              <w:tabs>
                <w:tab w:val="left" w:pos="7665"/>
              </w:tabs>
              <w:snapToGrid w:val="0"/>
              <w:jc w:val="left"/>
              <w:rPr>
                <w:rFonts w:hint="eastAsia" w:ascii="宋体" w:hAnsi="宋体" w:cs="宋体"/>
                <w:color w:val="auto"/>
                <w:kern w:val="2"/>
                <w:sz w:val="21"/>
                <w:szCs w:val="22"/>
                <w:highlight w:val="none"/>
                <w:lang w:val="en-US" w:eastAsia="zh-CN" w:bidi="ar-SA"/>
              </w:rPr>
            </w:pPr>
            <w:r>
              <w:rPr>
                <w:rFonts w:hint="eastAsia" w:ascii="宋体" w:hAnsi="宋体"/>
                <w:b/>
                <w:bCs/>
                <w:color w:val="auto"/>
                <w:highlight w:val="none"/>
              </w:rPr>
              <w:t>注：</w:t>
            </w:r>
            <w:r>
              <w:rPr>
                <w:rFonts w:ascii="宋体" w:hAnsi="宋体"/>
                <w:b/>
                <w:bCs/>
                <w:color w:val="auto"/>
                <w:szCs w:val="21"/>
                <w:highlight w:val="none"/>
              </w:rPr>
              <w:t>在</w:t>
            </w:r>
            <w:r>
              <w:rPr>
                <w:rFonts w:hint="eastAsia" w:ascii="宋体" w:hAnsi="宋体"/>
                <w:b/>
                <w:bCs/>
                <w:color w:val="auto"/>
                <w:szCs w:val="21"/>
                <w:highlight w:val="none"/>
              </w:rPr>
              <w:t>递交</w:t>
            </w:r>
            <w:r>
              <w:rPr>
                <w:rFonts w:ascii="宋体" w:hAnsi="宋体"/>
                <w:b/>
                <w:bCs/>
                <w:color w:val="auto"/>
                <w:szCs w:val="21"/>
                <w:highlight w:val="none"/>
              </w:rPr>
              <w:t>响应文件</w:t>
            </w:r>
            <w:r>
              <w:rPr>
                <w:rFonts w:hint="eastAsia" w:ascii="宋体" w:hAnsi="宋体"/>
                <w:b/>
                <w:bCs/>
                <w:color w:val="auto"/>
                <w:szCs w:val="21"/>
                <w:highlight w:val="none"/>
              </w:rPr>
              <w:t>截止时间前，供应商使用</w:t>
            </w:r>
            <w:r>
              <w:rPr>
                <w:rFonts w:ascii="宋体" w:hAnsi="宋体"/>
                <w:b/>
                <w:bCs/>
                <w:color w:val="auto"/>
                <w:szCs w:val="21"/>
                <w:highlight w:val="none"/>
              </w:rPr>
              <w:t>CA证书</w:t>
            </w:r>
            <w:r>
              <w:rPr>
                <w:rFonts w:hint="eastAsia" w:ascii="宋体" w:hAnsi="宋体"/>
                <w:b/>
                <w:bCs/>
                <w:color w:val="auto"/>
                <w:szCs w:val="21"/>
                <w:highlight w:val="none"/>
              </w:rPr>
              <w:t>将响应文件上传至政府</w:t>
            </w:r>
            <w:r>
              <w:rPr>
                <w:rFonts w:ascii="宋体" w:hAnsi="宋体"/>
                <w:b/>
                <w:bCs/>
                <w:color w:val="auto"/>
                <w:szCs w:val="21"/>
                <w:highlight w:val="none"/>
              </w:rPr>
              <w:t>采购</w:t>
            </w:r>
            <w:r>
              <w:rPr>
                <w:rFonts w:hint="eastAsia" w:ascii="宋体" w:hAnsi="宋体"/>
                <w:b/>
                <w:bCs/>
                <w:color w:val="auto"/>
                <w:szCs w:val="21"/>
                <w:highlight w:val="none"/>
              </w:rPr>
              <w:t>云平台，上传前须对响应文件是否有电子签章等进行核对</w:t>
            </w:r>
            <w:r>
              <w:rPr>
                <w:rFonts w:hint="eastAsia" w:ascii="宋体" w:hAnsi="宋体"/>
                <w:b/>
                <w:bCs/>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jc w:val="both"/>
              <w:rPr>
                <w:rFonts w:hint="default" w:eastAsia="宋体"/>
                <w:color w:val="auto"/>
                <w:highlight w:val="none"/>
                <w:lang w:val="en-US" w:eastAsia="zh-CN"/>
              </w:rPr>
            </w:pPr>
            <w:r>
              <w:rPr>
                <w:rFonts w:hint="eastAsia"/>
                <w:color w:val="auto"/>
                <w:highlight w:val="none"/>
                <w:lang w:val="en-US" w:eastAsia="zh-CN"/>
              </w:rPr>
              <w:t>14</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tabs>
                <w:tab w:val="left" w:pos="7665"/>
              </w:tabs>
              <w:snapToGrid w:val="0"/>
              <w:jc w:val="left"/>
              <w:rPr>
                <w:rFonts w:hint="eastAsia" w:ascii="宋体" w:hAnsi="宋体" w:cs="宋体"/>
                <w:color w:val="auto"/>
                <w:kern w:val="2"/>
                <w:sz w:val="21"/>
                <w:szCs w:val="22"/>
                <w:highlight w:val="none"/>
                <w:lang w:val="en-US" w:eastAsia="zh-CN" w:bidi="ar-SA"/>
              </w:rPr>
            </w:pPr>
            <w:r>
              <w:rPr>
                <w:rFonts w:hint="eastAsia" w:ascii="宋体" w:hAnsi="宋体" w:cs="宋体"/>
                <w:color w:val="auto"/>
                <w:kern w:val="2"/>
                <w:sz w:val="21"/>
                <w:szCs w:val="22"/>
                <w:highlight w:val="none"/>
                <w:lang w:val="en-US" w:eastAsia="zh-CN" w:bidi="ar-SA"/>
              </w:rPr>
              <w:t>响应文件的补充、修改和撤回</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tabs>
                <w:tab w:val="left" w:pos="7665"/>
              </w:tabs>
              <w:snapToGrid w:val="0"/>
              <w:jc w:val="left"/>
              <w:rPr>
                <w:rFonts w:hint="default" w:ascii="宋体" w:hAnsi="宋体" w:eastAsia="宋体" w:cs="宋体"/>
                <w:color w:val="auto"/>
                <w:kern w:val="2"/>
                <w:sz w:val="21"/>
                <w:szCs w:val="22"/>
                <w:highlight w:val="none"/>
                <w:lang w:val="en-US" w:eastAsia="zh-CN" w:bidi="ar-SA"/>
              </w:rPr>
            </w:pPr>
            <w:r>
              <w:rPr>
                <w:rFonts w:hint="eastAsia" w:ascii="宋体" w:hAnsi="宋体"/>
                <w:color w:val="auto"/>
                <w:highlight w:val="none"/>
              </w:rPr>
              <w:t>详见</w:t>
            </w:r>
            <w:r>
              <w:rPr>
                <w:rFonts w:hint="eastAsia"/>
                <w:color w:val="auto"/>
                <w:highlight w:val="none"/>
                <w:lang w:eastAsia="zh-CN"/>
              </w:rPr>
              <w:t>供应商</w:t>
            </w:r>
            <w:r>
              <w:rPr>
                <w:rFonts w:hint="eastAsia" w:ascii="宋体" w:hAnsi="宋体"/>
                <w:color w:val="auto"/>
                <w:highlight w:val="none"/>
              </w:rPr>
              <w:t>须知2.</w:t>
            </w:r>
            <w:r>
              <w:rPr>
                <w:rFonts w:hint="eastAsia"/>
                <w:color w:val="auto"/>
                <w:highlight w:val="none"/>
                <w:lang w:val="en-US" w:eastAsia="zh-CN"/>
              </w:rPr>
              <w:t>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15</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snapToGrid w:val="0"/>
              <w:spacing w:before="152" w:after="160" w:line="360" w:lineRule="auto"/>
              <w:rPr>
                <w:rFonts w:hint="eastAsia" w:ascii="宋体" w:hAnsi="宋体" w:cs="宋体"/>
                <w:color w:val="auto"/>
                <w:kern w:val="2"/>
                <w:sz w:val="21"/>
                <w:szCs w:val="22"/>
                <w:highlight w:val="none"/>
                <w:lang w:val="en-US" w:eastAsia="zh-CN" w:bidi="ar-SA"/>
              </w:rPr>
            </w:pPr>
            <w:r>
              <w:rPr>
                <w:rFonts w:hint="eastAsia"/>
                <w:color w:val="auto"/>
                <w:szCs w:val="21"/>
                <w:highlight w:val="none"/>
              </w:rPr>
              <w:t>磋商</w:t>
            </w:r>
            <w:r>
              <w:rPr>
                <w:color w:val="auto"/>
                <w:szCs w:val="21"/>
                <w:highlight w:val="none"/>
              </w:rPr>
              <w:t>活动</w:t>
            </w:r>
            <w:r>
              <w:rPr>
                <w:rFonts w:hint="eastAsia"/>
                <w:color w:val="auto"/>
                <w:szCs w:val="21"/>
                <w:highlight w:val="none"/>
              </w:rPr>
              <w:t>开启程序</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snapToGrid w:val="0"/>
              <w:spacing w:line="360" w:lineRule="auto"/>
              <w:rPr>
                <w:rFonts w:ascii="宋体" w:hAnsi="宋体"/>
                <w:b/>
                <w:color w:val="auto"/>
                <w:highlight w:val="none"/>
              </w:rPr>
            </w:pPr>
            <w:r>
              <w:rPr>
                <w:rFonts w:hint="eastAsia" w:ascii="宋体" w:hAnsi="宋体"/>
                <w:b/>
                <w:color w:val="auto"/>
                <w:highlight w:val="none"/>
              </w:rPr>
              <w:t>详见供应商须知2.</w:t>
            </w:r>
            <w:r>
              <w:rPr>
                <w:rFonts w:hint="eastAsia"/>
                <w:b/>
                <w:color w:val="auto"/>
                <w:highlight w:val="none"/>
                <w:lang w:val="en-US" w:eastAsia="zh-CN"/>
              </w:rPr>
              <w:t>5</w:t>
            </w:r>
            <w:r>
              <w:rPr>
                <w:rFonts w:hint="eastAsia" w:ascii="宋体" w:hAnsi="宋体"/>
                <w:b/>
                <w:color w:val="auto"/>
                <w:highlight w:val="none"/>
              </w:rPr>
              <w:t>。</w:t>
            </w:r>
          </w:p>
          <w:p>
            <w:pPr>
              <w:snapToGrid w:val="0"/>
              <w:spacing w:line="360" w:lineRule="auto"/>
              <w:rPr>
                <w:rFonts w:ascii="宋体" w:hAnsi="宋体"/>
                <w:b/>
                <w:color w:val="auto"/>
                <w:szCs w:val="21"/>
                <w:highlight w:val="none"/>
              </w:rPr>
            </w:pPr>
            <w:r>
              <w:rPr>
                <w:rFonts w:hint="eastAsia" w:ascii="宋体" w:hAnsi="宋体"/>
                <w:b/>
                <w:color w:val="auto"/>
                <w:szCs w:val="21"/>
                <w:highlight w:val="none"/>
              </w:rPr>
              <w:t>响应文件解密：开启解密后，供应商应在系统提示的解密开始时间后</w:t>
            </w:r>
            <w:r>
              <w:rPr>
                <w:rFonts w:ascii="宋体" w:hAnsi="宋体"/>
                <w:b/>
                <w:color w:val="auto"/>
                <w:szCs w:val="21"/>
                <w:highlight w:val="none"/>
              </w:rPr>
              <w:t>60</w:t>
            </w:r>
            <w:r>
              <w:rPr>
                <w:rFonts w:hint="eastAsia" w:ascii="宋体" w:hAnsi="宋体"/>
                <w:b/>
                <w:color w:val="auto"/>
                <w:szCs w:val="21"/>
                <w:highlight w:val="none"/>
              </w:rPr>
              <w:t>分钟内，使用对响应文件进行加密的CA证书在线完成对供应商递交至政府采购云平台的响应文件的解密。</w:t>
            </w:r>
          </w:p>
          <w:p>
            <w:pPr>
              <w:snapToGrid w:val="0"/>
              <w:spacing w:line="360" w:lineRule="auto"/>
              <w:rPr>
                <w:rFonts w:ascii="宋体" w:hAnsi="宋体"/>
                <w:b/>
                <w:color w:val="auto"/>
                <w:szCs w:val="21"/>
                <w:highlight w:val="none"/>
              </w:rPr>
            </w:pPr>
            <w:r>
              <w:rPr>
                <w:rFonts w:hint="eastAsia" w:ascii="宋体" w:hAnsi="宋体"/>
                <w:b/>
                <w:color w:val="auto"/>
                <w:szCs w:val="21"/>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hint="eastAsia" w:ascii="宋体" w:hAnsi="宋体" w:cs="宋体"/>
                <w:color w:val="auto"/>
                <w:kern w:val="2"/>
                <w:sz w:val="21"/>
                <w:szCs w:val="22"/>
                <w:highlight w:val="none"/>
                <w:lang w:val="en-US" w:eastAsia="zh-CN" w:bidi="ar-SA"/>
              </w:rPr>
            </w:pPr>
            <w:r>
              <w:rPr>
                <w:rFonts w:hint="eastAsia" w:ascii="宋体" w:hAnsi="宋体"/>
                <w:b/>
                <w:color w:val="auto"/>
                <w:szCs w:val="21"/>
                <w:highlight w:val="none"/>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16</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snapToGrid w:val="0"/>
              <w:spacing w:line="360" w:lineRule="auto"/>
              <w:rPr>
                <w:color w:val="auto"/>
                <w:highlight w:val="none"/>
              </w:rPr>
            </w:pPr>
            <w:r>
              <w:rPr>
                <w:rFonts w:hint="eastAsia"/>
                <w:color w:val="auto"/>
                <w:highlight w:val="none"/>
              </w:rPr>
              <w:t>对磋商文件中供应商参加本次政府采购活动应当具备的条件</w:t>
            </w:r>
            <w:r>
              <w:rPr>
                <w:rFonts w:hint="eastAsia"/>
                <w:color w:val="auto"/>
                <w:highlight w:val="none"/>
                <w:lang w:eastAsia="zh-CN"/>
              </w:rPr>
              <w:t>，项目</w:t>
            </w:r>
            <w:r>
              <w:rPr>
                <w:rFonts w:hint="eastAsia"/>
                <w:color w:val="auto"/>
                <w:highlight w:val="none"/>
              </w:rPr>
              <w:t>技术、服务</w:t>
            </w:r>
            <w:r>
              <w:rPr>
                <w:rFonts w:hint="eastAsia"/>
                <w:color w:val="auto"/>
                <w:highlight w:val="none"/>
                <w:lang w:eastAsia="zh-CN"/>
              </w:rPr>
              <w:t>、商务</w:t>
            </w:r>
            <w:r>
              <w:rPr>
                <w:rFonts w:hint="eastAsia"/>
                <w:color w:val="auto"/>
                <w:highlight w:val="none"/>
              </w:rPr>
              <w:t>及其他要求</w:t>
            </w:r>
            <w:r>
              <w:rPr>
                <w:rFonts w:hint="eastAsia"/>
                <w:color w:val="auto"/>
                <w:highlight w:val="none"/>
                <w:lang w:eastAsia="zh-CN"/>
              </w:rPr>
              <w:t>，</w:t>
            </w:r>
            <w:r>
              <w:rPr>
                <w:rFonts w:hint="eastAsia" w:ascii="宋体" w:hAnsi="宋体"/>
                <w:color w:val="auto"/>
                <w:highlight w:val="none"/>
              </w:rPr>
              <w:t>评标细则及标准的询问、质疑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tabs>
                <w:tab w:val="left" w:pos="7665"/>
              </w:tabs>
              <w:snapToGrid w:val="0"/>
              <w:spacing w:line="360" w:lineRule="auto"/>
              <w:ind w:right="210"/>
              <w:rPr>
                <w:rFonts w:eastAsia="仿宋_GB2312"/>
                <w:color w:val="auto"/>
                <w:highlight w:val="none"/>
              </w:rPr>
            </w:pPr>
            <w:r>
              <w:rPr>
                <w:rFonts w:hint="eastAsia"/>
                <w:color w:val="auto"/>
                <w:highlight w:val="none"/>
              </w:rPr>
              <w:t>向采购人提出，并由采购人按相关规定作出答复（详见供应商须知</w:t>
            </w:r>
            <w:r>
              <w:rPr>
                <w:color w:val="auto"/>
                <w:highlight w:val="none"/>
              </w:rPr>
              <w:t>2.</w:t>
            </w:r>
            <w:r>
              <w:rPr>
                <w:rFonts w:hint="eastAsia"/>
                <w:color w:val="auto"/>
                <w:highlight w:val="none"/>
                <w:lang w:val="en-US" w:eastAsia="zh-CN"/>
              </w:rPr>
              <w:t>10</w:t>
            </w:r>
            <w:r>
              <w:rPr>
                <w:rFonts w:hint="eastAsia"/>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17</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snapToGrid w:val="0"/>
              <w:spacing w:line="360" w:lineRule="auto"/>
              <w:rPr>
                <w:color w:val="auto"/>
                <w:highlight w:val="none"/>
              </w:rPr>
            </w:pPr>
            <w:r>
              <w:rPr>
                <w:rFonts w:hint="eastAsia"/>
                <w:color w:val="auto"/>
                <w:highlight w:val="none"/>
              </w:rPr>
              <w:t>对磋商文件中的其他内容、采购过程及成交结果的询问、质疑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pStyle w:val="23"/>
              <w:ind w:firstLine="0" w:firstLineChars="0"/>
              <w:rPr>
                <w:rFonts w:eastAsia="仿宋_GB2312" w:cs="宋体"/>
                <w:color w:val="auto"/>
                <w:sz w:val="21"/>
                <w:highlight w:val="none"/>
                <w:lang w:val="en-US" w:eastAsia="zh-CN"/>
              </w:rPr>
            </w:pPr>
            <w:r>
              <w:rPr>
                <w:rFonts w:hint="eastAsia" w:cs="宋体"/>
                <w:color w:val="auto"/>
                <w:sz w:val="21"/>
                <w:highlight w:val="none"/>
                <w:lang w:val="en-US" w:eastAsia="zh-CN"/>
              </w:rPr>
              <w:t>向区公资交易中心提出，并由区公资交易中心按相关规定作出答复（详见供应商须知</w:t>
            </w:r>
            <w:r>
              <w:rPr>
                <w:rFonts w:cs="宋体"/>
                <w:color w:val="auto"/>
                <w:sz w:val="21"/>
                <w:highlight w:val="none"/>
                <w:lang w:val="en-US" w:eastAsia="zh-CN"/>
              </w:rPr>
              <w:t>2.</w:t>
            </w:r>
            <w:r>
              <w:rPr>
                <w:rFonts w:hint="eastAsia" w:cs="宋体"/>
                <w:color w:val="auto"/>
                <w:sz w:val="21"/>
                <w:highlight w:val="none"/>
                <w:lang w:val="en-US" w:eastAsia="zh-CN"/>
              </w:rPr>
              <w:t>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18</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snapToGrid w:val="0"/>
              <w:spacing w:line="360" w:lineRule="auto"/>
              <w:ind w:right="210" w:rightChars="100"/>
              <w:rPr>
                <w:color w:val="auto"/>
                <w:highlight w:val="none"/>
              </w:rPr>
            </w:pPr>
            <w:r>
              <w:rPr>
                <w:rFonts w:hint="eastAsia"/>
                <w:color w:val="auto"/>
                <w:highlight w:val="none"/>
              </w:rPr>
              <w:t>供应商投诉</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pStyle w:val="23"/>
              <w:ind w:firstLine="0" w:firstLineChars="0"/>
              <w:rPr>
                <w:rFonts w:eastAsia="仿宋_GB2312" w:cs="宋体"/>
                <w:color w:val="auto"/>
                <w:sz w:val="21"/>
                <w:highlight w:val="none"/>
                <w:lang w:val="en-US" w:eastAsia="zh-CN"/>
              </w:rPr>
            </w:pPr>
            <w:r>
              <w:rPr>
                <w:rFonts w:hint="eastAsia" w:cs="宋体"/>
                <w:color w:val="auto"/>
                <w:sz w:val="21"/>
                <w:highlight w:val="none"/>
                <w:lang w:val="en-US" w:eastAsia="zh-CN"/>
              </w:rPr>
              <w:t>投诉受理单位：本项目同级财政部门，即</w:t>
            </w:r>
            <w:r>
              <w:rPr>
                <w:rFonts w:hint="eastAsia" w:cs="宋体"/>
                <w:color w:val="auto"/>
                <w:kern w:val="2"/>
                <w:sz w:val="21"/>
                <w:szCs w:val="22"/>
                <w:highlight w:val="none"/>
                <w:lang w:val="zh-CN" w:eastAsia="zh-CN"/>
              </w:rPr>
              <w:t>成都市温江区财政局</w:t>
            </w:r>
            <w:r>
              <w:rPr>
                <w:rFonts w:hint="eastAsia" w:cs="宋体"/>
                <w:color w:val="auto"/>
                <w:sz w:val="21"/>
                <w:highlight w:val="none"/>
                <w:lang w:val="en-US" w:eastAsia="zh-CN"/>
              </w:rPr>
              <w:t>。</w:t>
            </w:r>
          </w:p>
          <w:p>
            <w:pPr>
              <w:pStyle w:val="23"/>
              <w:ind w:firstLine="0" w:firstLineChars="0"/>
              <w:rPr>
                <w:rFonts w:cs="宋体"/>
                <w:color w:val="auto"/>
                <w:sz w:val="21"/>
                <w:highlight w:val="none"/>
                <w:lang w:val="en-US" w:eastAsia="zh-CN"/>
              </w:rPr>
            </w:pPr>
            <w:r>
              <w:rPr>
                <w:rFonts w:hint="eastAsia" w:cs="宋体"/>
                <w:color w:val="auto"/>
                <w:sz w:val="21"/>
                <w:highlight w:val="none"/>
                <w:lang w:val="en-US" w:eastAsia="zh-CN"/>
              </w:rPr>
              <w:t>联系电话：</w:t>
            </w:r>
            <w:bookmarkStart w:id="16" w:name="EB91905635386e42c09a9f7b66230bc0eb"/>
            <w:r>
              <w:rPr>
                <w:rFonts w:hint="eastAsia" w:cs="宋体"/>
                <w:color w:val="auto"/>
                <w:sz w:val="21"/>
                <w:highlight w:val="none"/>
                <w:lang w:val="en-US" w:eastAsia="zh-CN"/>
              </w:rPr>
              <w:t>028-82727142</w:t>
            </w:r>
            <w:bookmarkEnd w:id="16"/>
            <w:r>
              <w:rPr>
                <w:rFonts w:hint="eastAsia" w:cs="宋体"/>
                <w:color w:val="auto"/>
                <w:sz w:val="21"/>
                <w:highlight w:val="none"/>
                <w:lang w:val="en-US" w:eastAsia="zh-CN"/>
              </w:rPr>
              <w:t>。</w:t>
            </w:r>
          </w:p>
          <w:p>
            <w:pPr>
              <w:pStyle w:val="23"/>
              <w:ind w:firstLine="0" w:firstLineChars="0"/>
              <w:rPr>
                <w:rFonts w:cs="宋体"/>
                <w:color w:val="auto"/>
                <w:sz w:val="21"/>
                <w:highlight w:val="none"/>
                <w:lang w:val="en-US" w:eastAsia="zh-CN"/>
              </w:rPr>
            </w:pPr>
            <w:r>
              <w:rPr>
                <w:rFonts w:hint="eastAsia" w:cs="宋体"/>
                <w:color w:val="auto"/>
                <w:sz w:val="21"/>
                <w:highlight w:val="none"/>
                <w:lang w:val="en-US" w:eastAsia="zh-CN"/>
              </w:rPr>
              <w:t>地址：</w:t>
            </w:r>
            <w:r>
              <w:rPr>
                <w:rFonts w:hint="eastAsia" w:cs="宋体"/>
                <w:color w:val="auto"/>
                <w:kern w:val="2"/>
                <w:sz w:val="21"/>
                <w:szCs w:val="22"/>
                <w:highlight w:val="none"/>
                <w:lang w:val="zh-CN" w:eastAsia="zh-CN"/>
              </w:rPr>
              <w:t>温江区海科大厦</w:t>
            </w:r>
            <w:r>
              <w:rPr>
                <w:rFonts w:cs="宋体"/>
                <w:color w:val="auto"/>
                <w:sz w:val="21"/>
                <w:highlight w:val="none"/>
                <w:lang w:val="en-US" w:eastAsia="zh-CN"/>
              </w:rPr>
              <w:t>。</w:t>
            </w:r>
          </w:p>
          <w:p>
            <w:pPr>
              <w:pStyle w:val="23"/>
              <w:ind w:firstLine="0" w:firstLineChars="0"/>
              <w:rPr>
                <w:rFonts w:cs="宋体"/>
                <w:color w:val="auto"/>
                <w:sz w:val="21"/>
                <w:highlight w:val="none"/>
                <w:lang w:val="en-US" w:eastAsia="zh-CN"/>
              </w:rPr>
            </w:pPr>
            <w:r>
              <w:rPr>
                <w:rFonts w:hint="eastAsia" w:cs="宋体"/>
                <w:color w:val="auto"/>
                <w:sz w:val="21"/>
                <w:highlight w:val="none"/>
                <w:lang w:val="en-US" w:eastAsia="zh-CN"/>
              </w:rPr>
              <w:t>邮编：611130</w:t>
            </w:r>
            <w:r>
              <w:rPr>
                <w:rFonts w:cs="宋体"/>
                <w:color w:val="auto"/>
                <w:sz w:val="21"/>
                <w:highlight w:val="none"/>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19</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snapToGrid w:val="0"/>
              <w:spacing w:before="152" w:after="160" w:line="360" w:lineRule="auto"/>
              <w:rPr>
                <w:color w:val="auto"/>
                <w:highlight w:val="none"/>
                <w:lang w:val="zh-CN"/>
              </w:rPr>
            </w:pPr>
            <w:r>
              <w:rPr>
                <w:rFonts w:hint="eastAsia"/>
                <w:color w:val="auto"/>
                <w:highlight w:val="none"/>
                <w:lang w:val="zh-CN"/>
              </w:rPr>
              <w:t>评审情况公告</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tabs>
                <w:tab w:val="left" w:pos="7665"/>
              </w:tabs>
              <w:spacing w:line="360" w:lineRule="auto"/>
              <w:rPr>
                <w:color w:val="auto"/>
                <w:highlight w:val="none"/>
                <w:lang w:val="zh-CN"/>
              </w:rPr>
            </w:pPr>
            <w:r>
              <w:rPr>
                <w:rFonts w:hint="eastAsia" w:ascii="宋体" w:hAnsi="宋体" w:cs="宋体"/>
                <w:color w:val="auto"/>
                <w:szCs w:val="21"/>
                <w:highlight w:val="none"/>
                <w:lang w:val="zh-CN"/>
              </w:rPr>
              <w:t>所有</w:t>
            </w:r>
            <w:r>
              <w:rPr>
                <w:rFonts w:hint="eastAsia" w:ascii="宋体" w:hAnsi="宋体"/>
                <w:color w:val="auto"/>
                <w:szCs w:val="21"/>
                <w:highlight w:val="none"/>
              </w:rPr>
              <w:t>供应商</w:t>
            </w:r>
            <w:r>
              <w:rPr>
                <w:rFonts w:hint="eastAsia" w:ascii="宋体" w:hAnsi="宋体" w:cs="宋体"/>
                <w:color w:val="auto"/>
                <w:szCs w:val="21"/>
                <w:highlight w:val="none"/>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20</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snapToGrid w:val="0"/>
              <w:spacing w:line="360" w:lineRule="auto"/>
              <w:rPr>
                <w:color w:val="auto"/>
                <w:highlight w:val="none"/>
              </w:rPr>
            </w:pPr>
            <w:r>
              <w:rPr>
                <w:rFonts w:hint="eastAsia"/>
                <w:color w:val="auto"/>
                <w:highlight w:val="none"/>
                <w:lang w:val="zh-CN"/>
              </w:rPr>
              <w:t>成交通知书领取</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tabs>
                <w:tab w:val="left" w:pos="7665"/>
              </w:tabs>
              <w:spacing w:before="152" w:after="160" w:line="360" w:lineRule="auto"/>
              <w:rPr>
                <w:color w:val="auto"/>
                <w:highlight w:val="none"/>
                <w:lang w:val="zh-CN"/>
              </w:rPr>
            </w:pPr>
            <w:r>
              <w:rPr>
                <w:rFonts w:hint="eastAsia" w:cs="宋体"/>
                <w:color w:val="auto"/>
                <w:highlight w:val="none"/>
                <w:lang w:val="zh-CN"/>
              </w:rPr>
              <w:t>成交</w:t>
            </w:r>
            <w:r>
              <w:rPr>
                <w:rFonts w:hint="eastAsia" w:ascii="宋体" w:hAnsi="宋体" w:cs="宋体"/>
                <w:color w:val="auto"/>
                <w:highlight w:val="none"/>
                <w:lang w:val="zh-CN"/>
              </w:rPr>
              <w:t>公告在四川政府采购网上公告后，</w:t>
            </w:r>
            <w:r>
              <w:rPr>
                <w:rFonts w:hint="eastAsia" w:cs="宋体"/>
                <w:color w:val="auto"/>
                <w:highlight w:val="none"/>
                <w:lang w:val="zh-CN"/>
              </w:rPr>
              <w:t>成交</w:t>
            </w:r>
            <w:r>
              <w:rPr>
                <w:rFonts w:hint="eastAsia" w:ascii="宋体" w:hAnsi="宋体" w:cs="宋体"/>
                <w:color w:val="auto"/>
                <w:highlight w:val="none"/>
                <w:lang w:val="zh-CN"/>
              </w:rPr>
              <w:t>供应商自行登录政府</w:t>
            </w:r>
            <w:r>
              <w:rPr>
                <w:rFonts w:ascii="宋体" w:hAnsi="宋体" w:cs="宋体"/>
                <w:color w:val="auto"/>
                <w:highlight w:val="none"/>
                <w:lang w:val="zh-CN"/>
              </w:rPr>
              <w:t>采购</w:t>
            </w:r>
            <w:r>
              <w:rPr>
                <w:rFonts w:hint="eastAsia" w:ascii="宋体" w:hAnsi="宋体" w:cs="宋体"/>
                <w:color w:val="auto"/>
                <w:highlight w:val="none"/>
                <w:lang w:val="zh-CN"/>
              </w:rPr>
              <w:t>云平台下载</w:t>
            </w:r>
            <w:r>
              <w:rPr>
                <w:rFonts w:hint="eastAsia" w:cs="宋体"/>
                <w:color w:val="auto"/>
                <w:highlight w:val="none"/>
                <w:lang w:val="zh-CN"/>
              </w:rPr>
              <w:t>成交</w:t>
            </w:r>
            <w:r>
              <w:rPr>
                <w:rFonts w:hint="eastAsia" w:ascii="宋体" w:hAnsi="宋体" w:cs="宋体"/>
                <w:color w:val="auto"/>
                <w:highlight w:val="none"/>
                <w:lang w:val="zh-CN"/>
              </w:rPr>
              <w:t>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21</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snapToGrid w:val="0"/>
              <w:spacing w:before="152" w:after="160" w:line="360" w:lineRule="auto"/>
              <w:rPr>
                <w:color w:val="auto"/>
                <w:highlight w:val="none"/>
              </w:rPr>
            </w:pPr>
            <w:r>
              <w:rPr>
                <w:rFonts w:hint="eastAsia"/>
                <w:color w:val="auto"/>
                <w:highlight w:val="none"/>
              </w:rPr>
              <w:t>合同签订地点</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tabs>
                <w:tab w:val="left" w:pos="7665"/>
              </w:tabs>
              <w:snapToGrid w:val="0"/>
              <w:spacing w:before="152" w:after="160" w:line="360" w:lineRule="auto"/>
              <w:rPr>
                <w:color w:val="auto"/>
                <w:highlight w:val="none"/>
              </w:rPr>
            </w:pPr>
            <w:r>
              <w:rPr>
                <w:rFonts w:hint="eastAsia"/>
                <w:color w:val="auto"/>
                <w:highlight w:val="none"/>
              </w:rPr>
              <w:t>四川省成都市温江区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22</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snapToGrid w:val="0"/>
              <w:spacing w:before="152" w:after="160" w:line="360" w:lineRule="auto"/>
              <w:ind w:right="210" w:rightChars="100"/>
              <w:rPr>
                <w:color w:val="auto"/>
                <w:highlight w:val="none"/>
              </w:rPr>
            </w:pPr>
            <w:r>
              <w:rPr>
                <w:rFonts w:hint="eastAsia"/>
                <w:color w:val="auto"/>
                <w:highlight w:val="none"/>
              </w:rPr>
              <w:t>政府采购合同公告、备案</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tabs>
                <w:tab w:val="left" w:pos="7665"/>
              </w:tabs>
              <w:snapToGrid w:val="0"/>
              <w:spacing w:line="360" w:lineRule="auto"/>
              <w:ind w:left="-4" w:leftChars="-2" w:right="210" w:firstLine="12" w:firstLineChars="6"/>
              <w:rPr>
                <w:color w:val="auto"/>
                <w:highlight w:val="none"/>
              </w:rPr>
            </w:pPr>
            <w:r>
              <w:rPr>
                <w:rFonts w:hint="eastAsia" w:ascii="宋体"/>
                <w:color w:val="auto"/>
                <w:highlight w:val="none"/>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color w:val="auto"/>
                <w:highlight w:val="none"/>
                <w:lang w:val="en-US" w:eastAsia="zh-CN"/>
              </w:rPr>
              <w:t>温江区</w:t>
            </w:r>
            <w:r>
              <w:rPr>
                <w:rFonts w:hint="eastAsia" w:ascii="宋体"/>
                <w:color w:val="auto"/>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23</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snapToGrid w:val="0"/>
              <w:spacing w:line="360" w:lineRule="auto"/>
              <w:rPr>
                <w:rFonts w:hint="eastAsia" w:ascii="宋体" w:hAnsi="宋体" w:cs="宋体"/>
                <w:b/>
                <w:color w:val="auto"/>
                <w:kern w:val="2"/>
                <w:sz w:val="21"/>
                <w:szCs w:val="22"/>
                <w:highlight w:val="none"/>
                <w:lang w:val="en-US" w:eastAsia="zh-CN" w:bidi="ar-SA"/>
              </w:rPr>
            </w:pPr>
            <w:r>
              <w:rPr>
                <w:rFonts w:hint="eastAsia" w:ascii="宋体" w:hAnsi="宋体"/>
                <w:color w:val="auto"/>
                <w:highlight w:val="none"/>
              </w:rPr>
              <w:t>中小企业政府采购信用融资</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tabs>
                <w:tab w:val="left" w:pos="7665"/>
              </w:tabs>
              <w:snapToGrid w:val="0"/>
              <w:spacing w:line="360" w:lineRule="auto"/>
              <w:rPr>
                <w:rFonts w:hint="eastAsia" w:ascii="宋体" w:hAnsi="宋体" w:cs="宋体"/>
                <w:color w:val="auto"/>
                <w:kern w:val="2"/>
                <w:sz w:val="21"/>
                <w:szCs w:val="22"/>
                <w:highlight w:val="none"/>
                <w:lang w:val="en-US" w:eastAsia="zh-CN" w:bidi="ar-SA"/>
              </w:rPr>
            </w:pPr>
            <w:r>
              <w:rPr>
                <w:rFonts w:hint="eastAsia" w:ascii="宋体" w:hAnsi="宋体"/>
                <w:color w:val="auto"/>
                <w:highlight w:val="none"/>
              </w:rPr>
              <w:t>参加本次采购活动成交的中小企业无需提供财产抵押或第三方担保，凭借政府采购合同可向融资机构申请融资。具体内容详见附件《成都市温江区财政局关于公布温江区首批支持中小企业政府采购信用融资银行名单的公告》和《成都市财政局关于公布成都市首批在线开展政府采购信用融资业务银行名单的通知》（成财采〔2019〕49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color w:val="auto"/>
                <w:highlight w:val="none"/>
                <w:lang w:val="en-US" w:eastAsia="zh-CN"/>
              </w:rPr>
            </w:pPr>
            <w:r>
              <w:rPr>
                <w:rFonts w:hint="eastAsia"/>
                <w:color w:val="auto"/>
                <w:highlight w:val="none"/>
                <w:lang w:val="en-US" w:eastAsia="zh-CN"/>
              </w:rPr>
              <w:t>24</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snapToGrid w:val="0"/>
              <w:spacing w:line="360" w:lineRule="auto"/>
              <w:rPr>
                <w:rFonts w:hint="eastAsia" w:ascii="宋体" w:hAnsi="宋体" w:eastAsia="宋体" w:cs="宋体"/>
                <w:kern w:val="2"/>
                <w:sz w:val="21"/>
                <w:szCs w:val="22"/>
                <w:highlight w:val="yellow"/>
                <w:lang w:val="en-US" w:eastAsia="zh-CN" w:bidi="ar-SA"/>
              </w:rPr>
            </w:pPr>
            <w:r>
              <w:rPr>
                <w:rFonts w:hint="eastAsia" w:ascii="宋体" w:hAnsi="宋体"/>
              </w:rPr>
              <w:t>进口产品</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tabs>
                <w:tab w:val="left" w:pos="7665"/>
              </w:tabs>
              <w:snapToGrid w:val="0"/>
              <w:spacing w:line="360" w:lineRule="auto"/>
              <w:rPr>
                <w:rFonts w:hint="eastAsia" w:ascii="宋体" w:hAnsi="宋体" w:eastAsia="宋体" w:cs="宋体"/>
                <w:kern w:val="2"/>
                <w:sz w:val="21"/>
                <w:szCs w:val="22"/>
                <w:highlight w:val="yellow"/>
                <w:lang w:val="en-US" w:eastAsia="zh-CN" w:bidi="ar-SA"/>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snapToGrid w:val="0"/>
              <w:spacing w:line="360" w:lineRule="auto"/>
              <w:ind w:left="420"/>
              <w:rPr>
                <w:rFonts w:hint="default" w:eastAsia="宋体"/>
                <w:color w:val="auto"/>
                <w:highlight w:val="none"/>
                <w:lang w:val="en-US" w:eastAsia="zh-CN"/>
              </w:rPr>
            </w:pPr>
            <w:r>
              <w:rPr>
                <w:rFonts w:hint="eastAsia"/>
                <w:color w:val="auto"/>
                <w:highlight w:val="none"/>
                <w:lang w:val="en-US" w:eastAsia="zh-CN"/>
              </w:rPr>
              <w:t>25</w:t>
            </w:r>
          </w:p>
        </w:tc>
        <w:tc>
          <w:tcPr>
            <w:tcW w:w="8459" w:type="dxa"/>
            <w:gridSpan w:val="2"/>
            <w:tcBorders>
              <w:top w:val="single" w:color="auto" w:sz="4" w:space="0"/>
              <w:left w:val="single" w:color="auto" w:sz="8" w:space="0"/>
              <w:bottom w:val="single" w:color="auto" w:sz="4" w:space="0"/>
              <w:right w:val="single" w:color="auto" w:sz="18" w:space="0"/>
            </w:tcBorders>
            <w:noWrap w:val="0"/>
            <w:vAlign w:val="center"/>
          </w:tcPr>
          <w:p>
            <w:pPr>
              <w:tabs>
                <w:tab w:val="left" w:pos="7665"/>
              </w:tabs>
              <w:snapToGrid w:val="0"/>
              <w:spacing w:line="360" w:lineRule="auto"/>
              <w:rPr>
                <w:color w:val="auto"/>
                <w:highlight w:val="none"/>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rPr>
          <w:rFonts w:hint="eastAsia"/>
          <w:color w:val="auto"/>
          <w:highlight w:val="none"/>
        </w:rPr>
      </w:pPr>
      <w:bookmarkStart w:id="17" w:name="EBf488fe2aca9f4b22bcf9ca77b55f433c"/>
      <w:r>
        <w:rPr>
          <w:rFonts w:hint="eastAsia"/>
          <w:color w:val="auto"/>
          <w:sz w:val="20"/>
          <w:highlight w:val="none"/>
        </w:rPr>
        <w:t xml:space="preserve"> </w:t>
      </w:r>
      <w:bookmarkEnd w:id="17"/>
      <w:bookmarkStart w:id="18" w:name="EBbf1257c4c3c543a9a10fee0b0399f11a"/>
      <w:r>
        <w:rPr>
          <w:rFonts w:hint="eastAsia"/>
          <w:color w:val="auto"/>
          <w:sz w:val="20"/>
          <w:highlight w:val="none"/>
        </w:rPr>
        <w:t xml:space="preserve"> </w:t>
      </w:r>
      <w:bookmarkEnd w:id="18"/>
      <w:bookmarkStart w:id="19" w:name="EB76383d92be7144a0ae27ee6bbc7ff87f"/>
      <w:r>
        <w:rPr>
          <w:rFonts w:hint="eastAsia"/>
          <w:color w:val="auto"/>
          <w:sz w:val="20"/>
          <w:highlight w:val="none"/>
        </w:rPr>
        <w:t xml:space="preserve"> </w:t>
      </w:r>
      <w:bookmarkEnd w:id="19"/>
    </w:p>
    <w:p>
      <w:pPr>
        <w:pStyle w:val="5"/>
        <w:numPr>
          <w:ilvl w:val="0"/>
          <w:numId w:val="0"/>
        </w:numPr>
        <w:spacing w:before="156" w:after="156"/>
        <w:rPr>
          <w:color w:val="auto"/>
          <w:highlight w:val="none"/>
        </w:rPr>
      </w:pPr>
      <w:bookmarkStart w:id="20" w:name="_Toc23308"/>
      <w:bookmarkStart w:id="21" w:name="_Toc16489"/>
      <w:r>
        <w:rPr>
          <w:rFonts w:hint="eastAsia"/>
          <w:color w:val="auto"/>
          <w:highlight w:val="none"/>
        </w:rPr>
        <w:t>2.2总则</w:t>
      </w:r>
      <w:bookmarkEnd w:id="20"/>
      <w:bookmarkEnd w:id="21"/>
    </w:p>
    <w:p>
      <w:pPr>
        <w:pStyle w:val="6"/>
        <w:numPr>
          <w:ilvl w:val="0"/>
          <w:numId w:val="0"/>
        </w:numPr>
        <w:rPr>
          <w:color w:val="auto"/>
          <w:highlight w:val="none"/>
        </w:rPr>
      </w:pPr>
      <w:bookmarkStart w:id="22" w:name="_Toc17128"/>
      <w:bookmarkStart w:id="23" w:name="_Toc4117"/>
      <w:r>
        <w:rPr>
          <w:rFonts w:hint="eastAsia"/>
          <w:color w:val="auto"/>
          <w:highlight w:val="none"/>
        </w:rPr>
        <w:t>2.2.1适用范围</w:t>
      </w:r>
      <w:bookmarkEnd w:id="22"/>
      <w:bookmarkEnd w:id="23"/>
    </w:p>
    <w:p>
      <w:pPr>
        <w:pStyle w:val="23"/>
        <w:ind w:firstLine="480"/>
        <w:rPr>
          <w:rFonts w:hint="eastAsia"/>
          <w:color w:val="auto"/>
          <w:highlight w:val="none"/>
        </w:rPr>
      </w:pPr>
      <w:r>
        <w:rPr>
          <w:rFonts w:hint="eastAsia"/>
          <w:color w:val="auto"/>
          <w:highlight w:val="none"/>
        </w:rPr>
        <w:t>一、本磋商文件仅适用于本竞争性磋商邀请中所叙述项目的采购。</w:t>
      </w:r>
    </w:p>
    <w:p>
      <w:pPr>
        <w:pStyle w:val="23"/>
        <w:ind w:firstLine="480"/>
        <w:rPr>
          <w:rFonts w:hint="eastAsia"/>
          <w:color w:val="auto"/>
          <w:highlight w:val="none"/>
        </w:rPr>
      </w:pPr>
      <w:r>
        <w:rPr>
          <w:rFonts w:hint="eastAsia"/>
          <w:color w:val="auto"/>
          <w:highlight w:val="none"/>
        </w:rPr>
        <w:t>二、本磋商文件的最终解释权由采购人或区公资交易中心享有。磋商文件中供应商参加本次政府采购活动应当具备的条件</w:t>
      </w:r>
      <w:r>
        <w:rPr>
          <w:rFonts w:hint="eastAsia"/>
          <w:color w:val="auto"/>
          <w:highlight w:val="none"/>
          <w:lang w:eastAsia="zh-CN"/>
        </w:rPr>
        <w:t>，项目</w:t>
      </w:r>
      <w:r>
        <w:rPr>
          <w:rFonts w:hint="eastAsia"/>
          <w:color w:val="auto"/>
          <w:highlight w:val="none"/>
        </w:rPr>
        <w:t>技术、服务</w:t>
      </w:r>
      <w:r>
        <w:rPr>
          <w:rFonts w:hint="eastAsia"/>
          <w:color w:val="auto"/>
          <w:highlight w:val="none"/>
          <w:lang w:eastAsia="zh-CN"/>
        </w:rPr>
        <w:t>、商务</w:t>
      </w:r>
      <w:r>
        <w:rPr>
          <w:rFonts w:hint="eastAsia"/>
          <w:color w:val="auto"/>
          <w:highlight w:val="none"/>
        </w:rPr>
        <w:t>及其他要求</w:t>
      </w:r>
      <w:r>
        <w:rPr>
          <w:rFonts w:hint="eastAsia"/>
          <w:color w:val="auto"/>
          <w:highlight w:val="none"/>
          <w:lang w:eastAsia="zh-CN"/>
        </w:rPr>
        <w:t>，</w:t>
      </w:r>
      <w:r>
        <w:rPr>
          <w:rFonts w:hint="eastAsia"/>
          <w:color w:val="auto"/>
          <w:highlight w:val="none"/>
        </w:rPr>
        <w:t>评标细则及标准</w:t>
      </w:r>
      <w:r>
        <w:rPr>
          <w:rFonts w:hint="eastAsia"/>
          <w:color w:val="auto"/>
          <w:highlight w:val="none"/>
          <w:lang w:eastAsia="zh-CN"/>
        </w:rPr>
        <w:t>由采购人负责解释</w:t>
      </w:r>
      <w:r>
        <w:rPr>
          <w:rFonts w:hint="eastAsia"/>
          <w:color w:val="auto"/>
          <w:highlight w:val="none"/>
        </w:rPr>
        <w:t>。除上述</w:t>
      </w:r>
      <w:r>
        <w:rPr>
          <w:rFonts w:hint="eastAsia"/>
          <w:color w:val="auto"/>
          <w:highlight w:val="none"/>
          <w:lang w:eastAsia="zh-CN"/>
        </w:rPr>
        <w:t>磋商</w:t>
      </w:r>
      <w:r>
        <w:rPr>
          <w:rFonts w:hint="eastAsia"/>
          <w:color w:val="auto"/>
          <w:highlight w:val="none"/>
        </w:rPr>
        <w:t>文件内容，其他内容由</w:t>
      </w:r>
      <w:r>
        <w:rPr>
          <w:rFonts w:hint="eastAsia"/>
          <w:color w:val="auto"/>
          <w:highlight w:val="none"/>
          <w:lang w:eastAsia="zh-CN"/>
        </w:rPr>
        <w:t>区</w:t>
      </w:r>
      <w:r>
        <w:rPr>
          <w:rFonts w:hint="eastAsia"/>
          <w:color w:val="auto"/>
          <w:highlight w:val="none"/>
        </w:rPr>
        <w:t>公资交易中心负责解释。</w:t>
      </w:r>
    </w:p>
    <w:p>
      <w:pPr>
        <w:pStyle w:val="6"/>
        <w:numPr>
          <w:ilvl w:val="0"/>
          <w:numId w:val="0"/>
        </w:numPr>
        <w:rPr>
          <w:color w:val="auto"/>
          <w:highlight w:val="none"/>
        </w:rPr>
      </w:pPr>
      <w:bookmarkStart w:id="24" w:name="_Toc11866"/>
      <w:bookmarkStart w:id="25" w:name="_Toc17628"/>
      <w:r>
        <w:rPr>
          <w:rFonts w:hint="eastAsia"/>
          <w:color w:val="auto"/>
          <w:highlight w:val="none"/>
        </w:rPr>
        <w:t>2.2.2有关定义</w:t>
      </w:r>
      <w:bookmarkEnd w:id="24"/>
      <w:bookmarkEnd w:id="25"/>
    </w:p>
    <w:p>
      <w:pPr>
        <w:pStyle w:val="23"/>
        <w:ind w:firstLine="480"/>
        <w:rPr>
          <w:rFonts w:hint="eastAsia"/>
          <w:color w:val="auto"/>
          <w:highlight w:val="none"/>
          <w:lang w:eastAsia="zh-CN"/>
        </w:rPr>
      </w:pPr>
      <w:r>
        <w:rPr>
          <w:rFonts w:hint="eastAsia"/>
          <w:color w:val="auto"/>
          <w:highlight w:val="none"/>
        </w:rPr>
        <w:t>一、“采购人”、“甲方”系指依法进行政府采购的成都市</w:t>
      </w:r>
      <w:r>
        <w:rPr>
          <w:rFonts w:hint="eastAsia"/>
          <w:color w:val="auto"/>
          <w:highlight w:val="none"/>
          <w:lang w:val="en-US" w:eastAsia="zh-CN"/>
        </w:rPr>
        <w:t>温江区区</w:t>
      </w:r>
      <w:r>
        <w:rPr>
          <w:rFonts w:hint="eastAsia"/>
          <w:color w:val="auto"/>
          <w:highlight w:val="none"/>
        </w:rPr>
        <w:t>级机关、事业单位、团体组织。本次竞争性磋商项目的采购人是</w:t>
      </w:r>
      <w:r>
        <w:rPr>
          <w:rFonts w:hint="eastAsia"/>
          <w:b/>
          <w:bCs/>
          <w:color w:val="auto"/>
          <w:highlight w:val="none"/>
          <w:lang w:eastAsia="zh-CN"/>
        </w:rPr>
        <w:t>成都市温江区教育局</w:t>
      </w:r>
      <w:r>
        <w:rPr>
          <w:rFonts w:hint="eastAsia"/>
          <w:color w:val="auto"/>
          <w:highlight w:val="none"/>
          <w:lang w:eastAsia="zh-CN"/>
        </w:rPr>
        <w:t>。</w:t>
      </w:r>
    </w:p>
    <w:p>
      <w:pPr>
        <w:pStyle w:val="23"/>
        <w:ind w:firstLine="480"/>
        <w:rPr>
          <w:rFonts w:hint="eastAsia"/>
          <w:color w:val="auto"/>
          <w:highlight w:val="none"/>
        </w:rPr>
      </w:pPr>
      <w:r>
        <w:rPr>
          <w:rFonts w:hint="eastAsia"/>
          <w:color w:val="auto"/>
          <w:highlight w:val="none"/>
        </w:rPr>
        <w:t>二、“供应商”系指按照竞争性磋商文件“竞争性磋商邀请”中第六、七、八条规定获取了采购文件拟参加竞争性磋商和向采购人提供</w:t>
      </w:r>
      <w:r>
        <w:rPr>
          <w:rFonts w:hint="eastAsia"/>
          <w:color w:val="auto"/>
          <w:highlight w:val="none"/>
          <w:lang w:eastAsia="zh-CN"/>
        </w:rPr>
        <w:t>货物或服务</w:t>
      </w:r>
      <w:r>
        <w:rPr>
          <w:rFonts w:hint="eastAsia"/>
          <w:color w:val="auto"/>
          <w:highlight w:val="none"/>
        </w:rPr>
        <w:t>的供应商。“乙方”系指本项目的成交供应商。</w:t>
      </w:r>
    </w:p>
    <w:p>
      <w:pPr>
        <w:pStyle w:val="23"/>
        <w:ind w:firstLine="48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三、本磋商文件各部分规定的期间以时、日、月、年计算。期间开始的时和日，不计算在期间内，从次日开始计算。期间届满的最后一天是法定节假日的，以法定节假日后的第一日为期间届满的日期。</w:t>
      </w:r>
    </w:p>
    <w:p>
      <w:pPr>
        <w:pStyle w:val="23"/>
        <w:ind w:firstLine="48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四、磋商文件中所称的“以上”、“以下”、“内”、“以内”，包括本数；所称的“不足”，不包括本数。</w:t>
      </w:r>
    </w:p>
    <w:p>
      <w:pPr>
        <w:pStyle w:val="23"/>
        <w:ind w:firstLine="48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五、重大违法记录是指供应商因违法经营受到刑事处罚或者责令停产停业、吊销许可证或者执照、较大数额罚款等行政处罚。</w:t>
      </w:r>
    </w:p>
    <w:p>
      <w:pPr>
        <w:pStyle w:val="23"/>
        <w:ind w:firstLine="48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六、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pStyle w:val="23"/>
        <w:ind w:firstLine="48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七、不见面磋商是指</w:t>
      </w:r>
      <w:r>
        <w:rPr>
          <w:rFonts w:hint="eastAsia" w:cs="Times New Roman"/>
          <w:b w:val="0"/>
          <w:bCs w:val="0"/>
          <w:color w:val="auto"/>
          <w:kern w:val="10"/>
          <w:sz w:val="24"/>
          <w:szCs w:val="20"/>
          <w:highlight w:val="none"/>
          <w:lang w:val="en-US" w:eastAsia="zh-CN" w:bidi="ar-SA"/>
        </w:rPr>
        <w:t>区</w:t>
      </w:r>
      <w:r>
        <w:rPr>
          <w:rFonts w:hint="eastAsia" w:ascii="宋体" w:hAnsi="宋体" w:eastAsia="宋体" w:cs="Times New Roman"/>
          <w:b w:val="0"/>
          <w:bCs w:val="0"/>
          <w:color w:val="auto"/>
          <w:kern w:val="10"/>
          <w:sz w:val="24"/>
          <w:szCs w:val="20"/>
          <w:highlight w:val="none"/>
          <w:lang w:val="en-US" w:eastAsia="zh-CN" w:bidi="ar-SA"/>
        </w:rPr>
        <w:t>公资交易中心依托政府采购云平台组织磋商活动，供应商在线参与磋商的一种组织形式。</w:t>
      </w:r>
    </w:p>
    <w:p>
      <w:pPr>
        <w:pStyle w:val="6"/>
        <w:numPr>
          <w:ilvl w:val="0"/>
          <w:numId w:val="0"/>
        </w:numPr>
        <w:rPr>
          <w:color w:val="auto"/>
          <w:highlight w:val="none"/>
        </w:rPr>
      </w:pPr>
      <w:bookmarkStart w:id="26" w:name="_Toc23645"/>
      <w:bookmarkStart w:id="27" w:name="_Toc32087"/>
      <w:r>
        <w:rPr>
          <w:rFonts w:hint="eastAsia"/>
          <w:color w:val="auto"/>
          <w:highlight w:val="none"/>
        </w:rPr>
        <w:t>2.2.3合格的供应商</w:t>
      </w:r>
      <w:bookmarkEnd w:id="26"/>
      <w:bookmarkEnd w:id="27"/>
    </w:p>
    <w:p>
      <w:pPr>
        <w:pStyle w:val="23"/>
        <w:ind w:firstLine="480"/>
        <w:rPr>
          <w:color w:val="auto"/>
          <w:highlight w:val="none"/>
        </w:rPr>
      </w:pPr>
      <w:r>
        <w:rPr>
          <w:rFonts w:hint="eastAsia"/>
          <w:color w:val="auto"/>
          <w:highlight w:val="none"/>
        </w:rPr>
        <w:t>合格的供应商应具备以下条件：</w:t>
      </w:r>
    </w:p>
    <w:p>
      <w:pPr>
        <w:pStyle w:val="23"/>
        <w:ind w:firstLine="480"/>
        <w:rPr>
          <w:color w:val="auto"/>
          <w:spacing w:val="-4"/>
          <w:highlight w:val="none"/>
        </w:rPr>
      </w:pPr>
      <w:r>
        <w:rPr>
          <w:rFonts w:hint="eastAsia"/>
          <w:color w:val="auto"/>
          <w:highlight w:val="none"/>
        </w:rPr>
        <w:t>一、符合竞争性磋商邀请第</w:t>
      </w:r>
      <w:r>
        <w:rPr>
          <w:rFonts w:hint="eastAsia"/>
          <w:color w:val="auto"/>
          <w:highlight w:val="none"/>
          <w:lang w:eastAsia="zh-CN"/>
        </w:rPr>
        <w:t>四</w:t>
      </w:r>
      <w:r>
        <w:rPr>
          <w:rFonts w:hint="eastAsia"/>
          <w:color w:val="auto"/>
          <w:highlight w:val="none"/>
        </w:rPr>
        <w:t>条规定的条件</w:t>
      </w:r>
      <w:r>
        <w:rPr>
          <w:rFonts w:hint="eastAsia"/>
          <w:color w:val="auto"/>
          <w:spacing w:val="-4"/>
          <w:highlight w:val="none"/>
        </w:rPr>
        <w:t>；</w:t>
      </w:r>
    </w:p>
    <w:p>
      <w:pPr>
        <w:numPr>
          <w:ilvl w:val="0"/>
          <w:numId w:val="0"/>
        </w:numPr>
        <w:tabs>
          <w:tab w:val="left" w:pos="1134"/>
        </w:tabs>
        <w:spacing w:line="360" w:lineRule="auto"/>
        <w:ind w:left="0" w:firstLine="480" w:firstLineChars="200"/>
        <w:rPr>
          <w:rFonts w:hint="eastAsia" w:eastAsia="宋体"/>
          <w:color w:val="auto"/>
          <w:highlight w:val="none"/>
          <w:lang w:val="en-US" w:eastAsia="zh-CN"/>
        </w:rPr>
      </w:pPr>
      <w:r>
        <w:rPr>
          <w:rFonts w:hint="eastAsia" w:ascii="宋体" w:hAnsi="宋体" w:eastAsia="宋体" w:cs="Times New Roman"/>
          <w:color w:val="auto"/>
          <w:kern w:val="10"/>
          <w:sz w:val="24"/>
          <w:szCs w:val="20"/>
          <w:highlight w:val="none"/>
          <w:lang w:val="en-US" w:eastAsia="zh-CN" w:bidi="ar-SA"/>
        </w:rPr>
        <w:t>二、按照竞争性磋商文件“竞争性磋商邀请”中第</w:t>
      </w:r>
      <w:r>
        <w:rPr>
          <w:rFonts w:hint="eastAsia" w:eastAsia="宋体" w:cs="Times New Roman"/>
          <w:color w:val="auto"/>
          <w:kern w:val="10"/>
          <w:sz w:val="24"/>
          <w:szCs w:val="20"/>
          <w:highlight w:val="none"/>
          <w:lang w:val="en-US" w:eastAsia="zh-CN" w:bidi="ar-SA"/>
        </w:rPr>
        <w:t>六</w:t>
      </w:r>
      <w:r>
        <w:rPr>
          <w:rFonts w:hint="eastAsia" w:ascii="宋体" w:hAnsi="宋体" w:eastAsia="宋体" w:cs="Times New Roman"/>
          <w:color w:val="auto"/>
          <w:kern w:val="10"/>
          <w:sz w:val="24"/>
          <w:szCs w:val="20"/>
          <w:highlight w:val="none"/>
          <w:lang w:val="en-US" w:eastAsia="zh-CN" w:bidi="ar-SA"/>
        </w:rPr>
        <w:t>、</w:t>
      </w:r>
      <w:r>
        <w:rPr>
          <w:rFonts w:hint="eastAsia" w:eastAsia="宋体" w:cs="Times New Roman"/>
          <w:color w:val="auto"/>
          <w:kern w:val="10"/>
          <w:sz w:val="24"/>
          <w:szCs w:val="20"/>
          <w:highlight w:val="none"/>
          <w:lang w:val="en-US" w:eastAsia="zh-CN" w:bidi="ar-SA"/>
        </w:rPr>
        <w:t>七</w:t>
      </w:r>
      <w:r>
        <w:rPr>
          <w:rFonts w:hint="eastAsia" w:ascii="宋体" w:hAnsi="宋体" w:eastAsia="宋体" w:cs="Times New Roman"/>
          <w:color w:val="auto"/>
          <w:kern w:val="10"/>
          <w:sz w:val="24"/>
          <w:szCs w:val="20"/>
          <w:highlight w:val="none"/>
          <w:lang w:val="en-US" w:eastAsia="zh-CN" w:bidi="ar-SA"/>
        </w:rPr>
        <w:t>、</w:t>
      </w:r>
      <w:r>
        <w:rPr>
          <w:rFonts w:hint="eastAsia" w:eastAsia="宋体" w:cs="Times New Roman"/>
          <w:color w:val="auto"/>
          <w:kern w:val="10"/>
          <w:sz w:val="24"/>
          <w:szCs w:val="20"/>
          <w:highlight w:val="none"/>
          <w:lang w:val="en-US" w:eastAsia="zh-CN" w:bidi="ar-SA"/>
        </w:rPr>
        <w:t>八</w:t>
      </w:r>
      <w:r>
        <w:rPr>
          <w:rFonts w:hint="eastAsia" w:ascii="宋体" w:hAnsi="宋体" w:eastAsia="宋体" w:cs="Times New Roman"/>
          <w:color w:val="auto"/>
          <w:kern w:val="10"/>
          <w:sz w:val="24"/>
          <w:szCs w:val="20"/>
          <w:highlight w:val="none"/>
          <w:lang w:val="en-US" w:eastAsia="zh-CN" w:bidi="ar-SA"/>
        </w:rPr>
        <w:t>条规定获取了磋商文件。</w:t>
      </w:r>
    </w:p>
    <w:p>
      <w:pPr>
        <w:pStyle w:val="6"/>
        <w:numPr>
          <w:ilvl w:val="0"/>
          <w:numId w:val="0"/>
        </w:numPr>
        <w:rPr>
          <w:color w:val="auto"/>
          <w:highlight w:val="none"/>
        </w:rPr>
      </w:pPr>
      <w:bookmarkStart w:id="28" w:name="_Toc13561"/>
      <w:bookmarkStart w:id="29" w:name="_Toc18663"/>
      <w:r>
        <w:rPr>
          <w:rFonts w:hint="eastAsia"/>
          <w:color w:val="auto"/>
          <w:highlight w:val="none"/>
        </w:rPr>
        <w:t>2.2.4参加竞争性磋商的费用</w:t>
      </w:r>
      <w:bookmarkEnd w:id="28"/>
      <w:bookmarkEnd w:id="29"/>
    </w:p>
    <w:p>
      <w:pPr>
        <w:numPr>
          <w:ilvl w:val="0"/>
          <w:numId w:val="0"/>
        </w:numPr>
        <w:tabs>
          <w:tab w:val="left" w:pos="1134"/>
        </w:tabs>
        <w:spacing w:line="360" w:lineRule="auto"/>
        <w:ind w:left="0"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供应商应自行承担参加竞争性磋商采购活动的全部费用。</w:t>
      </w:r>
    </w:p>
    <w:p>
      <w:pPr>
        <w:pStyle w:val="6"/>
        <w:numPr>
          <w:ilvl w:val="0"/>
          <w:numId w:val="0"/>
        </w:numPr>
        <w:rPr>
          <w:color w:val="auto"/>
          <w:highlight w:val="none"/>
        </w:rPr>
      </w:pPr>
      <w:bookmarkStart w:id="30" w:name="_Toc10281"/>
      <w:bookmarkStart w:id="31" w:name="_Toc23267"/>
      <w:r>
        <w:rPr>
          <w:rFonts w:hint="eastAsia"/>
          <w:color w:val="auto"/>
          <w:highlight w:val="none"/>
        </w:rPr>
        <w:t>2.2.5充分、公平竞争保障措施</w:t>
      </w:r>
      <w:bookmarkEnd w:id="30"/>
      <w:bookmarkEnd w:id="31"/>
    </w:p>
    <w:p>
      <w:pPr>
        <w:numPr>
          <w:ilvl w:val="0"/>
          <w:numId w:val="2"/>
        </w:numPr>
        <w:tabs>
          <w:tab w:val="left" w:pos="1134"/>
        </w:tabs>
        <w:adjustRightInd w:val="0"/>
        <w:spacing w:line="560" w:lineRule="exact"/>
        <w:ind w:left="0" w:firstLine="567"/>
        <w:rPr>
          <w:rFonts w:hint="eastAsia" w:ascii="宋体" w:hAnsi="宋体" w:eastAsia="宋体" w:cs="Times New Roman"/>
          <w:b/>
          <w:bCs/>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单位负责人为同一人或者存在直接控股、管理关系的不同供应商，不得参加同一项目的磋商采购活动。</w:t>
      </w:r>
    </w:p>
    <w:p>
      <w:pPr>
        <w:numPr>
          <w:ilvl w:val="0"/>
          <w:numId w:val="2"/>
        </w:numPr>
        <w:tabs>
          <w:tab w:val="left" w:pos="1134"/>
        </w:tabs>
        <w:adjustRightInd w:val="0"/>
        <w:spacing w:line="560" w:lineRule="exact"/>
        <w:ind w:left="0" w:firstLine="567"/>
        <w:rPr>
          <w:rFonts w:hint="eastAsia" w:ascii="宋体" w:hAnsi="宋体" w:eastAsia="宋体" w:cs="Times New Roman"/>
          <w:b/>
          <w:bCs/>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bCs/>
          <w:color w:val="auto"/>
          <w:kern w:val="10"/>
          <w:sz w:val="24"/>
          <w:szCs w:val="20"/>
          <w:highlight w:val="none"/>
          <w:lang w:val="en-US" w:eastAsia="zh-CN" w:bidi="ar-SA"/>
        </w:rPr>
        <w:t>（说明：无供应商为本项目提供整体设计、规范编制或者项目管理、监理、检测等服务。）</w:t>
      </w:r>
    </w:p>
    <w:p>
      <w:pPr>
        <w:numPr>
          <w:ilvl w:val="0"/>
          <w:numId w:val="0"/>
        </w:numPr>
        <w:tabs>
          <w:tab w:val="left" w:pos="1134"/>
        </w:tabs>
        <w:adjustRightInd w:val="0"/>
        <w:spacing w:line="560" w:lineRule="exact"/>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三、</w:t>
      </w:r>
      <w:r>
        <w:rPr>
          <w:rFonts w:hint="eastAsia" w:ascii="宋体" w:hAnsi="宋体" w:eastAsia="宋体" w:cs="Times New Roman"/>
          <w:color w:val="auto"/>
          <w:kern w:val="10"/>
          <w:sz w:val="24"/>
          <w:szCs w:val="20"/>
          <w:highlight w:val="none"/>
          <w:lang w:val="en-US" w:eastAsia="zh-CN" w:bidi="ar-SA"/>
        </w:rPr>
        <w:t>本项目</w:t>
      </w:r>
      <w:r>
        <w:rPr>
          <w:rFonts w:hint="eastAsia" w:ascii="宋体" w:hAnsi="宋体" w:eastAsia="宋体" w:cs="Times New Roman"/>
          <w:b/>
          <w:bCs/>
          <w:color w:val="auto"/>
          <w:kern w:val="10"/>
          <w:sz w:val="24"/>
          <w:szCs w:val="20"/>
          <w:highlight w:val="none"/>
          <w:lang w:val="en-US" w:eastAsia="zh-CN" w:bidi="ar-SA"/>
        </w:rPr>
        <w:t>包一</w:t>
      </w:r>
      <w:r>
        <w:rPr>
          <w:rFonts w:hint="eastAsia" w:cs="Times New Roman"/>
          <w:b/>
          <w:bCs/>
          <w:color w:val="auto"/>
          <w:kern w:val="10"/>
          <w:sz w:val="24"/>
          <w:szCs w:val="20"/>
          <w:highlight w:val="none"/>
          <w:lang w:val="en-US" w:eastAsia="zh-CN" w:bidi="ar-SA"/>
        </w:rPr>
        <w:t>核心产品为</w:t>
      </w:r>
      <w:r>
        <w:rPr>
          <w:rFonts w:hint="eastAsia" w:ascii="宋体" w:hAnsi="宋体" w:eastAsia="宋体" w:cs="Times New Roman"/>
          <w:b/>
          <w:bCs/>
          <w:color w:val="auto"/>
          <w:kern w:val="10"/>
          <w:sz w:val="24"/>
          <w:szCs w:val="20"/>
          <w:highlight w:val="none"/>
          <w:lang w:val="en-US" w:eastAsia="zh-CN" w:bidi="ar-SA"/>
        </w:rPr>
        <w:t>触控一体机</w:t>
      </w:r>
      <w:r>
        <w:rPr>
          <w:rFonts w:hint="eastAsia" w:cs="Times New Roman"/>
          <w:b/>
          <w:bCs/>
          <w:color w:val="auto"/>
          <w:kern w:val="10"/>
          <w:sz w:val="24"/>
          <w:szCs w:val="20"/>
          <w:highlight w:val="none"/>
          <w:lang w:val="en-US" w:eastAsia="zh-CN" w:bidi="ar-SA"/>
        </w:rPr>
        <w:t>，</w:t>
      </w:r>
      <w:r>
        <w:rPr>
          <w:rFonts w:hint="eastAsia" w:ascii="宋体" w:hAnsi="宋体" w:eastAsia="宋体" w:cs="Times New Roman"/>
          <w:b/>
          <w:bCs/>
          <w:color w:val="auto"/>
          <w:kern w:val="10"/>
          <w:sz w:val="24"/>
          <w:szCs w:val="20"/>
          <w:highlight w:val="none"/>
          <w:lang w:val="en-US" w:eastAsia="zh-CN" w:bidi="ar-SA"/>
        </w:rPr>
        <w:t>包二</w:t>
      </w:r>
      <w:r>
        <w:rPr>
          <w:rFonts w:hint="eastAsia" w:cs="Times New Roman"/>
          <w:b/>
          <w:bCs/>
          <w:color w:val="auto"/>
          <w:kern w:val="10"/>
          <w:sz w:val="24"/>
          <w:szCs w:val="20"/>
          <w:highlight w:val="none"/>
          <w:lang w:val="en-US" w:eastAsia="zh-CN" w:bidi="ar-SA"/>
        </w:rPr>
        <w:t>核心产品为</w:t>
      </w:r>
      <w:r>
        <w:rPr>
          <w:rFonts w:hint="eastAsia" w:ascii="宋体" w:hAnsi="宋体" w:eastAsia="宋体" w:cs="Times New Roman"/>
          <w:b/>
          <w:bCs/>
          <w:color w:val="auto"/>
          <w:kern w:val="10"/>
          <w:sz w:val="24"/>
          <w:szCs w:val="20"/>
          <w:highlight w:val="none"/>
          <w:lang w:val="en-US" w:eastAsia="zh-CN" w:bidi="ar-SA"/>
        </w:rPr>
        <w:t>音乐魔方</w:t>
      </w:r>
      <w:r>
        <w:rPr>
          <w:rFonts w:hint="eastAsia" w:ascii="宋体" w:hAnsi="宋体" w:eastAsia="宋体" w:cs="Times New Roman"/>
          <w:color w:val="auto"/>
          <w:kern w:val="10"/>
          <w:sz w:val="24"/>
          <w:szCs w:val="20"/>
          <w:highlight w:val="none"/>
          <w:lang w:val="en-US" w:eastAsia="zh-CN" w:bidi="ar-SA"/>
        </w:rPr>
        <w:t>。提供核心产品品牌相同且通过资格检查和符合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名供应商获得成交候选人推荐资格。</w:t>
      </w:r>
    </w:p>
    <w:p>
      <w:pPr>
        <w:pStyle w:val="5"/>
        <w:numPr>
          <w:ilvl w:val="0"/>
          <w:numId w:val="0"/>
        </w:numPr>
        <w:spacing w:before="156" w:after="156"/>
        <w:rPr>
          <w:color w:val="auto"/>
          <w:highlight w:val="none"/>
        </w:rPr>
      </w:pPr>
      <w:bookmarkStart w:id="32" w:name="_Toc10433"/>
      <w:bookmarkStart w:id="33" w:name="_Toc3032"/>
      <w:r>
        <w:rPr>
          <w:rFonts w:hint="eastAsia"/>
          <w:color w:val="auto"/>
          <w:highlight w:val="none"/>
        </w:rPr>
        <w:t>2.3磋商文件</w:t>
      </w:r>
      <w:bookmarkEnd w:id="32"/>
      <w:bookmarkEnd w:id="33"/>
    </w:p>
    <w:p>
      <w:pPr>
        <w:pStyle w:val="6"/>
        <w:numPr>
          <w:ilvl w:val="0"/>
          <w:numId w:val="0"/>
        </w:numPr>
        <w:rPr>
          <w:color w:val="auto"/>
          <w:highlight w:val="none"/>
        </w:rPr>
      </w:pPr>
      <w:bookmarkStart w:id="34" w:name="_Toc25841"/>
      <w:bookmarkStart w:id="35" w:name="_Toc13675"/>
      <w:r>
        <w:rPr>
          <w:rFonts w:hint="eastAsia"/>
          <w:color w:val="auto"/>
          <w:highlight w:val="none"/>
        </w:rPr>
        <w:t>2.3.1磋商文件的构成</w:t>
      </w:r>
      <w:bookmarkEnd w:id="34"/>
      <w:bookmarkEnd w:id="35"/>
    </w:p>
    <w:p>
      <w:pPr>
        <w:pStyle w:val="23"/>
        <w:ind w:firstLine="48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r>
        <w:rPr>
          <w:rFonts w:hint="eastAsia" w:cs="Times New Roman"/>
          <w:color w:val="auto"/>
          <w:kern w:val="10"/>
          <w:sz w:val="24"/>
          <w:szCs w:val="20"/>
          <w:highlight w:val="none"/>
          <w:lang w:val="en-US" w:eastAsia="zh-CN" w:bidi="ar-SA"/>
        </w:rPr>
        <w:t>：</w:t>
      </w:r>
    </w:p>
    <w:p>
      <w:pPr>
        <w:pStyle w:val="23"/>
        <w:ind w:firstLine="480"/>
        <w:rPr>
          <w:color w:val="auto"/>
          <w:highlight w:val="none"/>
        </w:rPr>
      </w:pPr>
      <w:r>
        <w:rPr>
          <w:rFonts w:hint="eastAsia"/>
          <w:color w:val="auto"/>
          <w:highlight w:val="none"/>
        </w:rPr>
        <w:t>（一）竞争性磋商邀请；</w:t>
      </w:r>
    </w:p>
    <w:p>
      <w:pPr>
        <w:pStyle w:val="23"/>
        <w:ind w:firstLine="480"/>
        <w:rPr>
          <w:color w:val="auto"/>
          <w:highlight w:val="none"/>
        </w:rPr>
      </w:pPr>
      <w:r>
        <w:rPr>
          <w:rFonts w:hint="eastAsia"/>
          <w:color w:val="auto"/>
          <w:highlight w:val="none"/>
        </w:rPr>
        <w:t>（二）供应商须知；</w:t>
      </w:r>
    </w:p>
    <w:p>
      <w:pPr>
        <w:pStyle w:val="23"/>
        <w:ind w:firstLine="480"/>
        <w:rPr>
          <w:color w:val="auto"/>
          <w:highlight w:val="none"/>
        </w:rPr>
      </w:pPr>
      <w:r>
        <w:rPr>
          <w:rFonts w:hint="eastAsia"/>
          <w:color w:val="auto"/>
          <w:highlight w:val="none"/>
        </w:rPr>
        <w:t>（三）响应文件格式；</w:t>
      </w:r>
    </w:p>
    <w:p>
      <w:pPr>
        <w:pStyle w:val="23"/>
        <w:ind w:firstLine="480"/>
        <w:rPr>
          <w:color w:val="auto"/>
          <w:highlight w:val="none"/>
        </w:rPr>
      </w:pPr>
      <w:r>
        <w:rPr>
          <w:rFonts w:hint="eastAsia"/>
          <w:color w:val="auto"/>
          <w:highlight w:val="none"/>
        </w:rPr>
        <w:t>（四）技术、服务、商务及其他要求；</w:t>
      </w:r>
    </w:p>
    <w:p>
      <w:pPr>
        <w:pStyle w:val="23"/>
        <w:ind w:firstLine="480"/>
        <w:rPr>
          <w:color w:val="auto"/>
          <w:highlight w:val="none"/>
        </w:rPr>
      </w:pPr>
      <w:r>
        <w:rPr>
          <w:rFonts w:hint="eastAsia"/>
          <w:color w:val="auto"/>
          <w:highlight w:val="none"/>
          <w:lang w:eastAsia="zh-CN"/>
        </w:rPr>
        <w:t>（五）</w:t>
      </w:r>
      <w:r>
        <w:rPr>
          <w:rFonts w:hint="eastAsia"/>
          <w:color w:val="auto"/>
          <w:highlight w:val="none"/>
        </w:rPr>
        <w:t>磋商办法；</w:t>
      </w:r>
    </w:p>
    <w:p>
      <w:pPr>
        <w:pStyle w:val="23"/>
        <w:ind w:firstLine="480"/>
        <w:rPr>
          <w:rFonts w:hint="eastAsia"/>
          <w:color w:val="auto"/>
          <w:highlight w:val="none"/>
        </w:rPr>
      </w:pPr>
      <w:r>
        <w:rPr>
          <w:rFonts w:hint="eastAsia"/>
          <w:color w:val="auto"/>
          <w:highlight w:val="none"/>
        </w:rPr>
        <w:t>（六）拟签订</w:t>
      </w:r>
      <w:r>
        <w:rPr>
          <w:rFonts w:hint="eastAsia"/>
          <w:color w:val="auto"/>
          <w:highlight w:val="none"/>
          <w:lang w:eastAsia="zh-CN"/>
        </w:rPr>
        <w:t>的</w:t>
      </w:r>
      <w:r>
        <w:rPr>
          <w:rFonts w:hint="eastAsia"/>
          <w:color w:val="auto"/>
          <w:highlight w:val="none"/>
        </w:rPr>
        <w:t>合同文本。</w:t>
      </w:r>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应认真阅读和充分理解竞争性磋商文件中所有的事项、格式条款和规范要求。按照磋商文件的要求提供响应文件，并保证所提供的全部资料的合法性、真实性和有效性，一经发现有虚假行为的，将取消其参加磋商或成交资格，并承担相应的法律责任。供应商没有对竞争性磋商文件全面做出实质性响应所产生的风险由供应商承担。</w:t>
      </w:r>
    </w:p>
    <w:p>
      <w:pPr>
        <w:pStyle w:val="6"/>
        <w:numPr>
          <w:ilvl w:val="0"/>
          <w:numId w:val="0"/>
        </w:numPr>
        <w:rPr>
          <w:color w:val="auto"/>
          <w:highlight w:val="none"/>
        </w:rPr>
      </w:pPr>
      <w:bookmarkStart w:id="36" w:name="_Toc20778"/>
      <w:bookmarkStart w:id="37" w:name="_Toc28624"/>
      <w:r>
        <w:rPr>
          <w:rFonts w:hint="eastAsia"/>
          <w:color w:val="auto"/>
          <w:highlight w:val="none"/>
        </w:rPr>
        <w:t>2.3.2磋商文件的澄清和修改</w:t>
      </w:r>
      <w:bookmarkEnd w:id="36"/>
      <w:bookmarkEnd w:id="37"/>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bookmarkStart w:id="38" w:name="EB605809a429884f1c828f0318ebedb4ab"/>
      <w:r>
        <w:rPr>
          <w:rFonts w:hint="eastAsia" w:cs="Times New Roman"/>
          <w:color w:val="auto"/>
          <w:kern w:val="10"/>
          <w:sz w:val="24"/>
          <w:szCs w:val="20"/>
          <w:highlight w:val="none"/>
          <w:lang w:val="en-US" w:eastAsia="zh-CN" w:bidi="ar-SA"/>
        </w:rPr>
        <w:t>一、</w:t>
      </w:r>
      <w:r>
        <w:rPr>
          <w:rFonts w:hint="eastAsia" w:ascii="宋体" w:hAnsi="宋体" w:eastAsia="宋体" w:cs="Times New Roman"/>
          <w:color w:val="auto"/>
          <w:kern w:val="10"/>
          <w:sz w:val="24"/>
          <w:szCs w:val="20"/>
          <w:highlight w:val="none"/>
          <w:lang w:val="en-US" w:eastAsia="zh-CN" w:bidi="ar-SA"/>
        </w:rPr>
        <w:t>在递交响应文件截止时间前，采购人或者</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公资交易中心可以对已发出的磋商文件进行必要的澄清或者修改。</w:t>
      </w:r>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二、</w:t>
      </w:r>
      <w:r>
        <w:rPr>
          <w:rFonts w:hint="eastAsia" w:ascii="宋体" w:hAnsi="宋体" w:eastAsia="宋体" w:cs="Times New Roman"/>
          <w:color w:val="auto"/>
          <w:kern w:val="10"/>
          <w:sz w:val="24"/>
          <w:szCs w:val="20"/>
          <w:highlight w:val="none"/>
          <w:lang w:val="en-US" w:eastAsia="zh-CN" w:bidi="ar-SA"/>
        </w:rPr>
        <w:t>澄清或者修改的内容，</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将在“四川政府采购网”和“成都市公共资源交易服务中心”网站上发布澄清公告，同时通过政府采购云平台将澄清或者修改的内容告知所有已获取采购文件的潜在供应商（供应商通过账号或CA证书登录云平台查看），该澄清或者修改的内容为磋商文件的组成部分。</w:t>
      </w:r>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三、</w:t>
      </w:r>
      <w:r>
        <w:rPr>
          <w:rFonts w:hint="eastAsia" w:ascii="宋体" w:hAnsi="宋体" w:eastAsia="宋体" w:cs="Times New Roman"/>
          <w:color w:val="auto"/>
          <w:kern w:val="10"/>
          <w:sz w:val="24"/>
          <w:szCs w:val="20"/>
          <w:highlight w:val="none"/>
          <w:lang w:val="en-US" w:eastAsia="zh-CN" w:bidi="ar-SA"/>
        </w:rPr>
        <w:t>澄清或者修改的内容可能影响响应文件编制的，</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公资交易中心应当在提交首次响应文件截止时间至少5日前，通过政府采购云平台通知所有已获取采购文件的潜在供应商；不足5日的，采购人或</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公资交易中心应当顺延提交首次响应文件截止时间。</w:t>
      </w:r>
    </w:p>
    <w:p>
      <w:pPr>
        <w:rPr>
          <w:rFonts w:hint="eastAsia" w:cs="Times New Roman"/>
          <w:b/>
          <w:bCs/>
          <w:color w:val="auto"/>
          <w:sz w:val="24"/>
          <w:szCs w:val="28"/>
          <w:highlight w:val="none"/>
        </w:rPr>
      </w:pPr>
      <w:r>
        <w:rPr>
          <w:rFonts w:hint="eastAsia" w:cs="Times New Roman"/>
          <w:b/>
          <w:bCs/>
          <w:color w:val="auto"/>
          <w:sz w:val="24"/>
          <w:szCs w:val="28"/>
          <w:highlight w:val="none"/>
        </w:rPr>
        <w:t xml:space="preserve"> </w:t>
      </w:r>
      <w:bookmarkEnd w:id="38"/>
      <w:r>
        <w:rPr>
          <w:rFonts w:hint="eastAsia" w:cs="Times New Roman"/>
          <w:b/>
          <w:bCs/>
          <w:color w:val="auto"/>
          <w:sz w:val="24"/>
          <w:szCs w:val="28"/>
          <w:highlight w:val="none"/>
        </w:rPr>
        <w:t>2.4响应文件</w:t>
      </w:r>
    </w:p>
    <w:p>
      <w:pPr>
        <w:pStyle w:val="6"/>
        <w:numPr>
          <w:ilvl w:val="0"/>
          <w:numId w:val="0"/>
        </w:numPr>
        <w:rPr>
          <w:color w:val="auto"/>
          <w:highlight w:val="none"/>
        </w:rPr>
      </w:pPr>
      <w:bookmarkStart w:id="39" w:name="_Toc23055"/>
      <w:bookmarkStart w:id="40" w:name="_Toc5622"/>
      <w:r>
        <w:rPr>
          <w:rFonts w:hint="eastAsia"/>
          <w:color w:val="auto"/>
          <w:highlight w:val="none"/>
        </w:rPr>
        <w:t>2.4.1响应文件的语言</w:t>
      </w:r>
      <w:bookmarkEnd w:id="39"/>
      <w:bookmarkEnd w:id="40"/>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一、供应商提交的响应文件以及供应商与磋商小组在评审过程中的所有来往书面文件均须使用中文。响应文件中如附有外文资料，主要部分要对应翻译成中文并附在相关外文资料后面。</w:t>
      </w:r>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二、翻译的中文资料与外文资料如果出现差异和矛盾时，以中文为准。涉嫌提供虚假材料的按照相关法律法规处理。</w:t>
      </w:r>
    </w:p>
    <w:p>
      <w:pPr>
        <w:tabs>
          <w:tab w:val="left" w:pos="1134"/>
        </w:tabs>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三、如因未翻译而造成对供应商的不利后果，由供应商承担。</w:t>
      </w:r>
    </w:p>
    <w:p>
      <w:pPr>
        <w:pStyle w:val="6"/>
        <w:numPr>
          <w:ilvl w:val="0"/>
          <w:numId w:val="0"/>
        </w:numPr>
        <w:rPr>
          <w:color w:val="auto"/>
          <w:highlight w:val="none"/>
        </w:rPr>
      </w:pPr>
      <w:bookmarkStart w:id="41" w:name="_Toc1766"/>
      <w:bookmarkStart w:id="42" w:name="_Toc29562"/>
      <w:r>
        <w:rPr>
          <w:rFonts w:hint="eastAsia"/>
          <w:color w:val="auto"/>
          <w:highlight w:val="none"/>
        </w:rPr>
        <w:t>2.4.2计量单位</w:t>
      </w:r>
      <w:bookmarkEnd w:id="41"/>
      <w:bookmarkEnd w:id="42"/>
    </w:p>
    <w:p>
      <w:pPr>
        <w:pStyle w:val="23"/>
        <w:ind w:firstLine="480"/>
        <w:rPr>
          <w:color w:val="auto"/>
          <w:highlight w:val="none"/>
        </w:rPr>
      </w:pPr>
      <w:r>
        <w:rPr>
          <w:rFonts w:hint="eastAsia"/>
          <w:color w:val="auto"/>
          <w:highlight w:val="none"/>
        </w:rPr>
        <w:t>除磋商文件中另有规定外，本次采购项目所有合同项下的响应均采用国家法定的计量单位。</w:t>
      </w:r>
    </w:p>
    <w:p>
      <w:pPr>
        <w:pStyle w:val="6"/>
        <w:numPr>
          <w:ilvl w:val="0"/>
          <w:numId w:val="0"/>
        </w:numPr>
        <w:rPr>
          <w:color w:val="auto"/>
          <w:highlight w:val="none"/>
        </w:rPr>
      </w:pPr>
      <w:bookmarkStart w:id="43" w:name="_Toc22848"/>
      <w:bookmarkStart w:id="44" w:name="_Toc15163"/>
      <w:r>
        <w:rPr>
          <w:rFonts w:hint="eastAsia"/>
          <w:color w:val="auto"/>
          <w:highlight w:val="none"/>
        </w:rPr>
        <w:t>2.4.</w:t>
      </w:r>
      <w:r>
        <w:rPr>
          <w:rFonts w:hint="eastAsia"/>
          <w:color w:val="auto"/>
          <w:highlight w:val="none"/>
          <w:lang w:val="en-US" w:eastAsia="zh-CN"/>
        </w:rPr>
        <w:t>3</w:t>
      </w:r>
      <w:r>
        <w:rPr>
          <w:rFonts w:hint="eastAsia"/>
          <w:color w:val="auto"/>
          <w:highlight w:val="none"/>
        </w:rPr>
        <w:t>联合体</w:t>
      </w:r>
      <w:bookmarkEnd w:id="43"/>
      <w:bookmarkEnd w:id="44"/>
    </w:p>
    <w:p>
      <w:pPr>
        <w:pStyle w:val="23"/>
        <w:ind w:firstLine="480"/>
        <w:rPr>
          <w:color w:val="auto"/>
          <w:highlight w:val="none"/>
        </w:rPr>
      </w:pPr>
      <w:r>
        <w:rPr>
          <w:rFonts w:hint="eastAsia"/>
          <w:color w:val="auto"/>
          <w:highlight w:val="none"/>
        </w:rPr>
        <w:t>本次政府采购活动</w:t>
      </w:r>
      <w:bookmarkStart w:id="45" w:name="EBb214d4eddaa9434392123a2accee8c35"/>
      <w:r>
        <w:rPr>
          <w:rFonts w:hint="eastAsia"/>
          <w:b/>
          <w:bCs/>
          <w:color w:val="auto"/>
          <w:highlight w:val="none"/>
        </w:rPr>
        <w:t>不接受</w:t>
      </w:r>
      <w:bookmarkEnd w:id="45"/>
      <w:r>
        <w:rPr>
          <w:rFonts w:hint="eastAsia"/>
          <w:color w:val="auto"/>
          <w:highlight w:val="none"/>
        </w:rPr>
        <w:t>供应商以联合体的形式参加磋商。</w:t>
      </w:r>
    </w:p>
    <w:p>
      <w:pPr>
        <w:pStyle w:val="6"/>
        <w:numPr>
          <w:ilvl w:val="0"/>
          <w:numId w:val="0"/>
        </w:numPr>
        <w:rPr>
          <w:color w:val="auto"/>
          <w:highlight w:val="none"/>
        </w:rPr>
      </w:pPr>
      <w:bookmarkStart w:id="46" w:name="_Toc2368"/>
      <w:bookmarkStart w:id="47" w:name="_Toc4737"/>
      <w:r>
        <w:rPr>
          <w:rFonts w:hint="eastAsia"/>
          <w:color w:val="auto"/>
          <w:highlight w:val="none"/>
        </w:rPr>
        <w:t>2.4.</w:t>
      </w:r>
      <w:r>
        <w:rPr>
          <w:rFonts w:hint="eastAsia"/>
          <w:color w:val="auto"/>
          <w:highlight w:val="none"/>
          <w:lang w:val="en-US" w:eastAsia="zh-CN"/>
        </w:rPr>
        <w:t>4</w:t>
      </w:r>
      <w:r>
        <w:rPr>
          <w:rFonts w:hint="eastAsia"/>
          <w:color w:val="auto"/>
          <w:highlight w:val="none"/>
        </w:rPr>
        <w:t>知识产权</w:t>
      </w:r>
      <w:bookmarkEnd w:id="46"/>
      <w:bookmarkEnd w:id="47"/>
    </w:p>
    <w:p>
      <w:pPr>
        <w:pStyle w:val="25"/>
        <w:spacing w:line="360" w:lineRule="auto"/>
        <w:ind w:firstLine="480" w:firstLineChars="200"/>
        <w:jc w:val="both"/>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应保证在本项目中使用的任何技术、产品和服务（含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25"/>
        <w:spacing w:line="360" w:lineRule="auto"/>
        <w:ind w:firstLine="480" w:firstLineChars="200"/>
        <w:jc w:val="both"/>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134"/>
        </w:tabs>
        <w:spacing w:after="20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三、如采用供应商所不拥有的知识产权，则在报价中必须包括合法获取使用该知识产权的相关费用。</w:t>
      </w:r>
    </w:p>
    <w:p>
      <w:pPr>
        <w:pStyle w:val="6"/>
        <w:numPr>
          <w:ilvl w:val="0"/>
          <w:numId w:val="0"/>
        </w:numPr>
        <w:rPr>
          <w:color w:val="auto"/>
          <w:highlight w:val="none"/>
        </w:rPr>
      </w:pPr>
      <w:bookmarkStart w:id="48" w:name="_Toc12039"/>
      <w:bookmarkStart w:id="49" w:name="_Toc21188"/>
      <w:r>
        <w:rPr>
          <w:rFonts w:hint="eastAsia"/>
          <w:color w:val="auto"/>
          <w:highlight w:val="none"/>
        </w:rPr>
        <w:t>2.4.</w:t>
      </w:r>
      <w:r>
        <w:rPr>
          <w:rFonts w:hint="eastAsia"/>
          <w:color w:val="auto"/>
          <w:highlight w:val="none"/>
          <w:lang w:val="en-US" w:eastAsia="zh-CN"/>
        </w:rPr>
        <w:t>5</w:t>
      </w:r>
      <w:r>
        <w:rPr>
          <w:rFonts w:hint="eastAsia"/>
          <w:color w:val="auto"/>
          <w:highlight w:val="none"/>
        </w:rPr>
        <w:t>响应文件的组成</w:t>
      </w:r>
      <w:bookmarkEnd w:id="48"/>
      <w:bookmarkEnd w:id="49"/>
    </w:p>
    <w:p>
      <w:pPr>
        <w:pStyle w:val="23"/>
        <w:ind w:firstLine="480"/>
        <w:rPr>
          <w:color w:val="auto"/>
          <w:highlight w:val="none"/>
        </w:rPr>
      </w:pPr>
      <w:r>
        <w:rPr>
          <w:rFonts w:hint="eastAsia"/>
          <w:color w:val="auto"/>
          <w:highlight w:val="none"/>
        </w:rPr>
        <w:t>供应商应按照磋商文件的规定和要求编制响应文件。供应商编写的响应文件应包括下列部分：</w:t>
      </w:r>
    </w:p>
    <w:p>
      <w:pPr>
        <w:pStyle w:val="23"/>
        <w:ind w:firstLine="480"/>
        <w:rPr>
          <w:color w:val="auto"/>
          <w:highlight w:val="none"/>
        </w:rPr>
      </w:pPr>
      <w:r>
        <w:rPr>
          <w:rFonts w:hint="eastAsia"/>
          <w:color w:val="auto"/>
          <w:highlight w:val="none"/>
        </w:rPr>
        <w:t>一、资格性响应文件：用于磋商小组资格性审查；</w:t>
      </w:r>
    </w:p>
    <w:p>
      <w:pPr>
        <w:pStyle w:val="23"/>
        <w:ind w:firstLine="480"/>
        <w:rPr>
          <w:color w:val="auto"/>
          <w:highlight w:val="none"/>
        </w:rPr>
      </w:pPr>
      <w:r>
        <w:rPr>
          <w:rFonts w:hint="eastAsia"/>
          <w:color w:val="auto"/>
          <w:highlight w:val="none"/>
        </w:rPr>
        <w:t>二、技术、服务性响应文件：用于供应商与磋商小组磋商；</w:t>
      </w:r>
    </w:p>
    <w:p>
      <w:pPr>
        <w:pStyle w:val="23"/>
        <w:ind w:firstLine="480"/>
        <w:rPr>
          <w:color w:val="auto"/>
          <w:highlight w:val="none"/>
        </w:rPr>
      </w:pPr>
      <w:r>
        <w:rPr>
          <w:rFonts w:hint="eastAsia"/>
          <w:color w:val="auto"/>
          <w:highlight w:val="none"/>
        </w:rPr>
        <w:t>三、最后报价文件（按磋商小组的要求提供最后报价）。</w:t>
      </w:r>
    </w:p>
    <w:p>
      <w:pPr>
        <w:pStyle w:val="23"/>
        <w:ind w:firstLine="482"/>
        <w:rPr>
          <w:rFonts w:hint="eastAsia"/>
          <w:b/>
          <w:color w:val="auto"/>
          <w:highlight w:val="none"/>
        </w:rPr>
      </w:pPr>
      <w:r>
        <w:rPr>
          <w:rFonts w:hint="eastAsia"/>
          <w:b/>
          <w:color w:val="auto"/>
          <w:highlight w:val="none"/>
        </w:rPr>
        <w:t>2.4.</w:t>
      </w:r>
      <w:r>
        <w:rPr>
          <w:rFonts w:hint="eastAsia"/>
          <w:b/>
          <w:color w:val="auto"/>
          <w:highlight w:val="none"/>
          <w:lang w:val="en-US" w:eastAsia="zh-CN"/>
        </w:rPr>
        <w:t>5</w:t>
      </w:r>
      <w:r>
        <w:rPr>
          <w:rFonts w:hint="eastAsia"/>
          <w:b/>
          <w:color w:val="auto"/>
          <w:highlight w:val="none"/>
        </w:rPr>
        <w:t>.1资格性响应文件</w:t>
      </w:r>
    </w:p>
    <w:p>
      <w:pPr>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资格性响应文件由以下部分组成：</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一、供应商</w:t>
      </w:r>
      <w:r>
        <w:rPr>
          <w:rFonts w:hint="eastAsia" w:ascii="宋体" w:hAnsi="宋体"/>
          <w:b w:val="0"/>
          <w:bCs w:val="0"/>
          <w:color w:val="auto"/>
          <w:kern w:val="10"/>
          <w:sz w:val="24"/>
          <w:szCs w:val="20"/>
          <w:highlight w:val="none"/>
        </w:rPr>
        <w:t>资格申明的函；</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声明；</w:t>
      </w:r>
    </w:p>
    <w:p>
      <w:pPr>
        <w:pStyle w:val="23"/>
        <w:ind w:firstLine="480"/>
        <w:rPr>
          <w:rFonts w:hint="eastAsia"/>
          <w:b w:val="0"/>
          <w:bCs w:val="0"/>
          <w:color w:val="auto"/>
          <w:kern w:val="10"/>
          <w:sz w:val="24"/>
          <w:szCs w:val="20"/>
          <w:highlight w:val="none"/>
          <w:lang w:eastAsia="zh-CN"/>
        </w:rPr>
      </w:pPr>
      <w:r>
        <w:rPr>
          <w:rFonts w:hint="eastAsia"/>
          <w:b w:val="0"/>
          <w:bCs w:val="0"/>
          <w:color w:val="auto"/>
          <w:kern w:val="10"/>
          <w:sz w:val="24"/>
          <w:szCs w:val="20"/>
          <w:highlight w:val="none"/>
          <w:lang w:eastAsia="zh-CN"/>
        </w:rPr>
        <w:t>三、法定代表人身份证明书以及法定代表人身份证复印件（身份证两面均应复印）或护照复印件（说明：供应商的法定代表人为外籍人士的，则提供护照复印件）；</w:t>
      </w:r>
    </w:p>
    <w:p>
      <w:pPr>
        <w:pStyle w:val="23"/>
        <w:ind w:firstLine="480"/>
        <w:rPr>
          <w:rFonts w:hint="eastAsia"/>
          <w:b w:val="0"/>
          <w:bCs w:val="0"/>
          <w:color w:val="auto"/>
          <w:kern w:val="10"/>
          <w:sz w:val="24"/>
          <w:szCs w:val="20"/>
          <w:highlight w:val="none"/>
          <w:lang w:eastAsia="zh-CN"/>
        </w:rPr>
      </w:pPr>
      <w:r>
        <w:rPr>
          <w:rFonts w:hint="eastAsia"/>
          <w:b w:val="0"/>
          <w:bCs w:val="0"/>
          <w:color w:val="auto"/>
          <w:kern w:val="10"/>
          <w:sz w:val="24"/>
          <w:szCs w:val="20"/>
          <w:highlight w:val="none"/>
          <w:lang w:eastAsia="zh-CN"/>
        </w:rPr>
        <w:t>四、供应商基本情况表；</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应提交的相关资格证明材料：</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w:t>
      </w:r>
      <w:r>
        <w:rPr>
          <w:rFonts w:hint="eastAsia" w:ascii="宋体" w:hAnsi="宋体"/>
          <w:b w:val="0"/>
          <w:bCs w:val="0"/>
          <w:color w:val="auto"/>
          <w:kern w:val="10"/>
          <w:sz w:val="24"/>
          <w:szCs w:val="20"/>
          <w:highlight w:val="none"/>
        </w:rPr>
        <w:t>营业执照复印件（正本或副本）或法人证书复印件（正本或副本）；</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2019或2020会计年度资产负债表复印件（说明：</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成立时间至递交</w:t>
      </w:r>
      <w:r>
        <w:rPr>
          <w:rFonts w:hint="eastAsia"/>
          <w:b w:val="0"/>
          <w:bCs w:val="0"/>
          <w:color w:val="auto"/>
          <w:kern w:val="10"/>
          <w:sz w:val="24"/>
          <w:szCs w:val="20"/>
          <w:highlight w:val="none"/>
          <w:lang w:eastAsia="zh-CN"/>
        </w:rPr>
        <w:t>响应</w:t>
      </w:r>
      <w:r>
        <w:rPr>
          <w:rFonts w:hint="eastAsia" w:ascii="宋体" w:hAnsi="宋体"/>
          <w:b w:val="0"/>
          <w:bCs w:val="0"/>
          <w:color w:val="auto"/>
          <w:kern w:val="10"/>
          <w:sz w:val="24"/>
          <w:szCs w:val="20"/>
          <w:highlight w:val="none"/>
        </w:rPr>
        <w:t>文件截止时间止不足一年的，提供成立后任意时段的资产负债表复印件）；</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（三）供应商</w:t>
      </w:r>
      <w:r>
        <w:rPr>
          <w:rFonts w:hint="eastAsia" w:ascii="宋体" w:hAnsi="宋体"/>
          <w:b w:val="0"/>
          <w:bCs w:val="0"/>
          <w:color w:val="auto"/>
          <w:kern w:val="10"/>
          <w:sz w:val="24"/>
          <w:szCs w:val="20"/>
          <w:highlight w:val="none"/>
        </w:rPr>
        <w:t>缴纳2020或2021年任意时段的税收的银行电子回单或者行政部门出具的纳税证明或完税证明复印件；</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（四）</w:t>
      </w:r>
      <w:r>
        <w:rPr>
          <w:rFonts w:hint="eastAsia" w:ascii="宋体" w:hAnsi="宋体"/>
          <w:b w:val="0"/>
          <w:bCs w:val="0"/>
          <w:color w:val="auto"/>
          <w:kern w:val="10"/>
          <w:sz w:val="24"/>
          <w:szCs w:val="20"/>
          <w:highlight w:val="none"/>
        </w:rPr>
        <w:t>采购人对</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履行合同所必须的设备和专业技术能力无其他特殊要求，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缴纳2020或2021年任意时段的社保的银行电子回单或行政部门出具的社保缴纳证明材料复印件；</w:t>
      </w:r>
    </w:p>
    <w:p>
      <w:pPr>
        <w:pStyle w:val="23"/>
        <w:ind w:firstLine="480"/>
        <w:rPr>
          <w:rFonts w:hint="eastAsia" w:ascii="宋体" w:hAnsi="宋体" w:eastAsia="宋体"/>
          <w:b w:val="0"/>
          <w:bCs w:val="0"/>
          <w:color w:val="auto"/>
          <w:kern w:val="10"/>
          <w:sz w:val="24"/>
          <w:szCs w:val="20"/>
          <w:highlight w:val="none"/>
          <w:lang w:eastAsia="zh-CN"/>
        </w:rPr>
      </w:pPr>
      <w:r>
        <w:rPr>
          <w:rFonts w:hint="eastAsia"/>
          <w:b w:val="0"/>
          <w:bCs w:val="0"/>
          <w:color w:val="auto"/>
          <w:kern w:val="10"/>
          <w:sz w:val="24"/>
          <w:szCs w:val="20"/>
          <w:highlight w:val="none"/>
          <w:lang w:eastAsia="zh-CN"/>
        </w:rPr>
        <w:t>（六）</w:t>
      </w:r>
      <w:r>
        <w:rPr>
          <w:rFonts w:hint="eastAsia" w:ascii="宋体" w:hAnsi="宋体"/>
          <w:b w:val="0"/>
          <w:bCs w:val="0"/>
          <w:color w:val="auto"/>
          <w:kern w:val="10"/>
          <w:sz w:val="24"/>
          <w:szCs w:val="20"/>
          <w:highlight w:val="none"/>
        </w:rPr>
        <w:t>采购人对法律、行政法规规定的其他条件无其他特殊要求，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r>
        <w:rPr>
          <w:rFonts w:hint="eastAsia"/>
          <w:b w:val="0"/>
          <w:bCs w:val="0"/>
          <w:color w:val="auto"/>
          <w:kern w:val="10"/>
          <w:sz w:val="24"/>
          <w:szCs w:val="20"/>
          <w:highlight w:val="none"/>
          <w:lang w:eastAsia="zh-CN"/>
        </w:rPr>
        <w:t>；</w:t>
      </w:r>
    </w:p>
    <w:p>
      <w:pPr>
        <w:pStyle w:val="23"/>
        <w:ind w:firstLine="480"/>
        <w:rPr>
          <w:rFonts w:hint="eastAsia"/>
          <w:b/>
          <w:color w:val="auto"/>
          <w:highlight w:val="none"/>
          <w:lang w:eastAsia="zh-CN"/>
        </w:rPr>
      </w:pPr>
      <w:r>
        <w:rPr>
          <w:rFonts w:hint="eastAsia" w:ascii="宋体" w:hAnsi="宋体" w:eastAsia="宋体" w:cs="Times New Roman"/>
          <w:b/>
          <w:bCs w:val="0"/>
          <w:color w:val="auto"/>
          <w:kern w:val="10"/>
          <w:sz w:val="24"/>
          <w:szCs w:val="20"/>
          <w:highlight w:val="none"/>
          <w:lang w:val="en-US" w:eastAsia="zh-CN" w:bidi="ar-SA"/>
        </w:rPr>
        <w:t>2.4.</w:t>
      </w:r>
      <w:r>
        <w:rPr>
          <w:rFonts w:hint="eastAsia" w:cs="Times New Roman"/>
          <w:b/>
          <w:bCs w:val="0"/>
          <w:color w:val="auto"/>
          <w:kern w:val="10"/>
          <w:sz w:val="24"/>
          <w:szCs w:val="20"/>
          <w:highlight w:val="none"/>
          <w:lang w:val="en-US" w:eastAsia="zh-CN" w:bidi="ar-SA"/>
        </w:rPr>
        <w:t>5</w:t>
      </w:r>
      <w:r>
        <w:rPr>
          <w:rFonts w:hint="eastAsia" w:ascii="宋体" w:hAnsi="宋体" w:eastAsia="宋体" w:cs="Times New Roman"/>
          <w:b/>
          <w:bCs w:val="0"/>
          <w:color w:val="auto"/>
          <w:kern w:val="10"/>
          <w:sz w:val="24"/>
          <w:szCs w:val="20"/>
          <w:highlight w:val="none"/>
          <w:lang w:val="en-US" w:eastAsia="zh-CN" w:bidi="ar-SA"/>
        </w:rPr>
        <w:t>.2</w:t>
      </w:r>
      <w:bookmarkStart w:id="50" w:name="_Toc320698726"/>
      <w:r>
        <w:rPr>
          <w:rFonts w:hint="eastAsia" w:ascii="宋体" w:hAnsi="宋体" w:eastAsia="宋体" w:cs="Times New Roman"/>
          <w:b/>
          <w:bCs w:val="0"/>
          <w:color w:val="auto"/>
          <w:kern w:val="10"/>
          <w:sz w:val="24"/>
          <w:szCs w:val="20"/>
          <w:highlight w:val="none"/>
          <w:lang w:val="en-US" w:eastAsia="zh-CN" w:bidi="ar-SA"/>
        </w:rPr>
        <w:t>技术、服务性响应文件</w:t>
      </w:r>
      <w:bookmarkEnd w:id="50"/>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eastAsia="zh-CN"/>
        </w:rPr>
        <w:t>报价表；</w:t>
      </w:r>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eastAsia="zh-CN"/>
        </w:rPr>
        <w:t>分项报价表；</w:t>
      </w:r>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eastAsia="zh-CN"/>
        </w:rPr>
        <w:t>中小企业声明函（如未提供中小企业声明函，则不享受磋商文件规定的价格扣除，但不影响供应商响应文件的有效性）；</w:t>
      </w:r>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eastAsia="zh-CN"/>
        </w:rPr>
        <w:t>残疾人福利性单位声明函（如未提供残疾人福利性单位声明函，则不享受磋商文件规定的价格扣除，但不影响供应商响应文件的有效性）；</w:t>
      </w:r>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eastAsia="zh-CN"/>
        </w:rPr>
        <w:t>所投产品技术性能、技术参数和配置的详细描述；</w:t>
      </w:r>
    </w:p>
    <w:p>
      <w:pPr>
        <w:pStyle w:val="23"/>
        <w:numPr>
          <w:ilvl w:val="0"/>
          <w:numId w:val="3"/>
        </w:numPr>
        <w:ind w:left="0" w:leftChars="0" w:firstLine="480" w:firstLineChars="200"/>
        <w:rPr>
          <w:rFonts w:hint="eastAsia"/>
          <w:color w:val="auto"/>
          <w:highlight w:val="none"/>
          <w:lang w:eastAsia="zh-CN"/>
        </w:rPr>
      </w:pPr>
      <w:r>
        <w:rPr>
          <w:rFonts w:hint="eastAsia"/>
          <w:color w:val="auto"/>
          <w:highlight w:val="none"/>
          <w:lang w:val="en-US" w:eastAsia="zh-CN"/>
        </w:rPr>
        <w:t>实施</w:t>
      </w:r>
      <w:r>
        <w:rPr>
          <w:rFonts w:hint="eastAsia"/>
          <w:color w:val="auto"/>
          <w:highlight w:val="none"/>
          <w:lang w:eastAsia="zh-CN"/>
        </w:rPr>
        <w:t>方案；</w:t>
      </w:r>
    </w:p>
    <w:p>
      <w:pPr>
        <w:pStyle w:val="23"/>
        <w:ind w:firstLine="480"/>
        <w:rPr>
          <w:rFonts w:hint="eastAsia"/>
          <w:color w:val="auto"/>
          <w:highlight w:val="none"/>
          <w:lang w:eastAsia="zh-CN"/>
        </w:rPr>
      </w:pPr>
      <w:r>
        <w:rPr>
          <w:rFonts w:hint="eastAsia"/>
          <w:color w:val="auto"/>
          <w:highlight w:val="none"/>
          <w:lang w:eastAsia="zh-CN"/>
        </w:rPr>
        <w:t>七、</w:t>
      </w:r>
      <w:r>
        <w:rPr>
          <w:rFonts w:hint="eastAsia"/>
          <w:color w:val="auto"/>
          <w:highlight w:val="none"/>
          <w:lang w:val="en-US" w:eastAsia="zh-CN"/>
        </w:rPr>
        <w:t>培训</w:t>
      </w:r>
      <w:r>
        <w:rPr>
          <w:rFonts w:hint="eastAsia"/>
          <w:color w:val="auto"/>
          <w:highlight w:val="none"/>
          <w:lang w:eastAsia="zh-CN"/>
        </w:rPr>
        <w:t>方案；</w:t>
      </w:r>
    </w:p>
    <w:p>
      <w:pPr>
        <w:pStyle w:val="23"/>
        <w:ind w:firstLine="480"/>
        <w:rPr>
          <w:rFonts w:hint="default"/>
          <w:color w:val="auto"/>
          <w:highlight w:val="none"/>
          <w:lang w:val="en-US" w:eastAsia="zh-CN"/>
        </w:rPr>
      </w:pPr>
      <w:r>
        <w:rPr>
          <w:rFonts w:hint="eastAsia"/>
          <w:color w:val="auto"/>
          <w:highlight w:val="none"/>
          <w:lang w:eastAsia="zh-CN"/>
        </w:rPr>
        <w:t>八、</w:t>
      </w:r>
      <w:r>
        <w:rPr>
          <w:rFonts w:hint="eastAsia"/>
          <w:color w:val="auto"/>
          <w:highlight w:val="none"/>
          <w:lang w:val="en-US" w:eastAsia="zh-CN"/>
        </w:rPr>
        <w:t>售后服务方案；</w:t>
      </w:r>
    </w:p>
    <w:p>
      <w:pPr>
        <w:pStyle w:val="23"/>
        <w:ind w:firstLine="480"/>
        <w:rPr>
          <w:rFonts w:hint="eastAsia"/>
          <w:color w:val="auto"/>
          <w:highlight w:val="none"/>
          <w:lang w:eastAsia="zh-CN"/>
        </w:rPr>
      </w:pPr>
      <w:r>
        <w:rPr>
          <w:rFonts w:hint="eastAsia"/>
          <w:color w:val="auto"/>
          <w:highlight w:val="none"/>
          <w:lang w:val="en-US" w:eastAsia="zh-CN"/>
        </w:rPr>
        <w:t>九、</w:t>
      </w:r>
      <w:r>
        <w:rPr>
          <w:rFonts w:hint="eastAsia"/>
          <w:color w:val="auto"/>
          <w:highlight w:val="none"/>
          <w:lang w:eastAsia="zh-CN"/>
        </w:rPr>
        <w:t>承诺函。</w:t>
      </w:r>
    </w:p>
    <w:p>
      <w:pPr>
        <w:pStyle w:val="23"/>
        <w:ind w:firstLine="482"/>
        <w:rPr>
          <w:rFonts w:hint="eastAsia"/>
          <w:b/>
          <w:color w:val="auto"/>
          <w:highlight w:val="none"/>
          <w:lang w:eastAsia="zh-CN"/>
        </w:rPr>
      </w:pPr>
      <w:r>
        <w:rPr>
          <w:rFonts w:hint="eastAsia"/>
          <w:b/>
          <w:color w:val="auto"/>
          <w:highlight w:val="none"/>
        </w:rPr>
        <w:t>2.4.</w:t>
      </w:r>
      <w:r>
        <w:rPr>
          <w:rFonts w:hint="eastAsia"/>
          <w:b/>
          <w:color w:val="auto"/>
          <w:highlight w:val="none"/>
          <w:lang w:val="en-US" w:eastAsia="zh-CN"/>
        </w:rPr>
        <w:t>5</w:t>
      </w:r>
      <w:r>
        <w:rPr>
          <w:rFonts w:hint="eastAsia"/>
          <w:b/>
          <w:color w:val="auto"/>
          <w:highlight w:val="none"/>
        </w:rPr>
        <w:t>.3</w:t>
      </w:r>
      <w:r>
        <w:rPr>
          <w:rFonts w:hint="eastAsia"/>
          <w:b/>
          <w:color w:val="auto"/>
          <w:highlight w:val="none"/>
          <w:lang w:eastAsia="zh-CN"/>
        </w:rPr>
        <w:t>最后报价文件</w:t>
      </w:r>
    </w:p>
    <w:p>
      <w:pPr>
        <w:pStyle w:val="26"/>
        <w:ind w:firstLine="551"/>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参加最后报价的供应商按磋商小组的要求在政府采购云平台中提供最后报价，报价应是包括磋商文件规定的全部相应内容的报价。</w:t>
      </w:r>
    </w:p>
    <w:p>
      <w:pPr>
        <w:pStyle w:val="6"/>
        <w:numPr>
          <w:ilvl w:val="0"/>
          <w:numId w:val="0"/>
        </w:numPr>
        <w:rPr>
          <w:color w:val="auto"/>
          <w:highlight w:val="none"/>
        </w:rPr>
      </w:pPr>
      <w:bookmarkStart w:id="51" w:name="_Toc23440"/>
      <w:bookmarkStart w:id="52" w:name="_Toc2728"/>
      <w:r>
        <w:rPr>
          <w:rFonts w:hint="eastAsia"/>
          <w:color w:val="auto"/>
          <w:highlight w:val="none"/>
        </w:rPr>
        <w:t>2.4.</w:t>
      </w:r>
      <w:r>
        <w:rPr>
          <w:rFonts w:hint="eastAsia"/>
          <w:color w:val="auto"/>
          <w:highlight w:val="none"/>
          <w:lang w:val="en-US" w:eastAsia="zh-CN"/>
        </w:rPr>
        <w:t>6</w:t>
      </w:r>
      <w:r>
        <w:rPr>
          <w:rFonts w:hint="eastAsia"/>
          <w:color w:val="auto"/>
          <w:highlight w:val="none"/>
        </w:rPr>
        <w:t>响应文件格式</w:t>
      </w:r>
      <w:bookmarkEnd w:id="51"/>
      <w:bookmarkEnd w:id="52"/>
    </w:p>
    <w:p>
      <w:pPr>
        <w:pStyle w:val="23"/>
        <w:ind w:firstLine="480"/>
        <w:rPr>
          <w:color w:val="auto"/>
          <w:highlight w:val="none"/>
        </w:rPr>
      </w:pPr>
      <w:r>
        <w:rPr>
          <w:rFonts w:hint="eastAsia"/>
          <w:color w:val="auto"/>
          <w:highlight w:val="none"/>
        </w:rPr>
        <w:t>一、供应商应按照竞争性磋商文件第3章中提供的“响应文件格式”填写相关内容。</w:t>
      </w:r>
    </w:p>
    <w:p>
      <w:pPr>
        <w:pStyle w:val="23"/>
        <w:ind w:firstLine="480"/>
        <w:rPr>
          <w:color w:val="auto"/>
          <w:highlight w:val="none"/>
        </w:rPr>
      </w:pPr>
      <w:r>
        <w:rPr>
          <w:rFonts w:hint="eastAsia"/>
          <w:color w:val="auto"/>
          <w:highlight w:val="none"/>
        </w:rPr>
        <w:t>二、对于没有格式要求的响应文件由供应商自行编写。</w:t>
      </w:r>
    </w:p>
    <w:p>
      <w:pPr>
        <w:pStyle w:val="6"/>
        <w:numPr>
          <w:ilvl w:val="0"/>
          <w:numId w:val="0"/>
        </w:numPr>
        <w:rPr>
          <w:color w:val="auto"/>
          <w:highlight w:val="none"/>
        </w:rPr>
      </w:pPr>
      <w:bookmarkStart w:id="53" w:name="_Toc32458"/>
      <w:bookmarkStart w:id="54" w:name="_Toc22562"/>
      <w:r>
        <w:rPr>
          <w:rFonts w:hint="eastAsia"/>
          <w:color w:val="auto"/>
          <w:highlight w:val="none"/>
        </w:rPr>
        <w:t>2.4.</w:t>
      </w:r>
      <w:r>
        <w:rPr>
          <w:rFonts w:hint="eastAsia"/>
          <w:color w:val="auto"/>
          <w:highlight w:val="none"/>
          <w:lang w:val="en-US" w:eastAsia="zh-CN"/>
        </w:rPr>
        <w:t>7</w:t>
      </w:r>
      <w:r>
        <w:rPr>
          <w:rFonts w:hint="eastAsia"/>
          <w:color w:val="auto"/>
          <w:highlight w:val="none"/>
        </w:rPr>
        <w:t>报价</w:t>
      </w:r>
      <w:bookmarkEnd w:id="53"/>
      <w:bookmarkEnd w:id="54"/>
    </w:p>
    <w:p>
      <w:pPr>
        <w:spacing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一、供应商所有报价一律以人民币报价。</w:t>
      </w:r>
    </w:p>
    <w:p>
      <w:pPr>
        <w:tabs>
          <w:tab w:val="left" w:pos="1134"/>
        </w:tabs>
        <w:spacing w:after="20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二、供应商的报价是其响应本项目要求的全部工作内容的价格体现，包括供应商完成本项目所需的一切费用。</w:t>
      </w:r>
    </w:p>
    <w:p>
      <w:pPr>
        <w:pStyle w:val="6"/>
        <w:numPr>
          <w:ilvl w:val="0"/>
          <w:numId w:val="0"/>
        </w:numPr>
        <w:rPr>
          <w:color w:val="auto"/>
          <w:highlight w:val="none"/>
        </w:rPr>
      </w:pPr>
      <w:bookmarkStart w:id="55" w:name="_Toc21321"/>
      <w:bookmarkStart w:id="56" w:name="_Toc12979"/>
      <w:r>
        <w:rPr>
          <w:rFonts w:hint="eastAsia"/>
          <w:color w:val="auto"/>
          <w:highlight w:val="none"/>
        </w:rPr>
        <w:t>2.4.</w:t>
      </w:r>
      <w:r>
        <w:rPr>
          <w:rFonts w:hint="eastAsia"/>
          <w:color w:val="auto"/>
          <w:highlight w:val="none"/>
          <w:lang w:val="en-US" w:eastAsia="zh-CN"/>
        </w:rPr>
        <w:t>8</w:t>
      </w:r>
      <w:r>
        <w:rPr>
          <w:rFonts w:hint="eastAsia"/>
          <w:color w:val="auto"/>
          <w:highlight w:val="none"/>
        </w:rPr>
        <w:t>磋商保证金</w:t>
      </w:r>
      <w:bookmarkEnd w:id="55"/>
      <w:bookmarkEnd w:id="56"/>
    </w:p>
    <w:p>
      <w:pPr>
        <w:pStyle w:val="28"/>
        <w:spacing w:line="360" w:lineRule="auto"/>
        <w:ind w:left="567" w:firstLine="0" w:firstLineChars="0"/>
        <w:rPr>
          <w:rFonts w:ascii="宋体" w:hAnsi="宋体" w:cs="宋体"/>
          <w:color w:val="auto"/>
          <w:sz w:val="28"/>
          <w:szCs w:val="28"/>
          <w:highlight w:val="none"/>
        </w:rPr>
      </w:pPr>
      <w:bookmarkStart w:id="57" w:name="EBdd5395b44bb947409ec49cd6045fcce9"/>
      <w:r>
        <w:rPr>
          <w:rFonts w:hint="eastAsia"/>
          <w:color w:val="auto"/>
          <w:highlight w:val="none"/>
        </w:rPr>
        <w:t>本项目不收取磋商保证金</w:t>
      </w:r>
      <w:bookmarkEnd w:id="57"/>
      <w:r>
        <w:rPr>
          <w:rFonts w:hint="eastAsia" w:ascii="宋体" w:hAnsi="宋体" w:cs="宋体"/>
          <w:color w:val="auto"/>
          <w:sz w:val="28"/>
          <w:szCs w:val="28"/>
          <w:highlight w:val="none"/>
        </w:rPr>
        <w:t>。</w:t>
      </w:r>
    </w:p>
    <w:p>
      <w:pPr>
        <w:pStyle w:val="6"/>
        <w:numPr>
          <w:ilvl w:val="0"/>
          <w:numId w:val="0"/>
        </w:numPr>
        <w:rPr>
          <w:rFonts w:hint="eastAsia"/>
          <w:color w:val="auto"/>
          <w:highlight w:val="none"/>
        </w:rPr>
      </w:pPr>
      <w:bookmarkStart w:id="58" w:name="_Toc12597"/>
      <w:bookmarkStart w:id="59" w:name="_Toc12982"/>
      <w:r>
        <w:rPr>
          <w:rFonts w:hint="eastAsia"/>
          <w:color w:val="auto"/>
          <w:highlight w:val="none"/>
        </w:rPr>
        <w:t>2.4.</w:t>
      </w:r>
      <w:r>
        <w:rPr>
          <w:rFonts w:hint="eastAsia"/>
          <w:color w:val="auto"/>
          <w:highlight w:val="none"/>
          <w:lang w:val="en-US" w:eastAsia="zh-CN"/>
        </w:rPr>
        <w:t>9</w:t>
      </w:r>
      <w:r>
        <w:rPr>
          <w:rFonts w:hint="eastAsia"/>
          <w:color w:val="auto"/>
          <w:highlight w:val="none"/>
        </w:rPr>
        <w:t>响应文件有效期</w:t>
      </w:r>
      <w:bookmarkEnd w:id="58"/>
      <w:bookmarkEnd w:id="59"/>
    </w:p>
    <w:p>
      <w:pPr>
        <w:pStyle w:val="23"/>
        <w:ind w:firstLine="480"/>
        <w:rPr>
          <w:rFonts w:hint="eastAsia"/>
          <w:color w:val="auto"/>
          <w:highlight w:val="none"/>
        </w:rPr>
      </w:pPr>
      <w:r>
        <w:rPr>
          <w:rFonts w:hint="eastAsia"/>
          <w:color w:val="auto"/>
          <w:highlight w:val="none"/>
        </w:rPr>
        <w:t>一、响应文件有效期为递交响应文件截止之日起120天。响应文件有效期短于此规定期限或不作响应的，其响应文件将按无效响应文件处理。</w:t>
      </w:r>
    </w:p>
    <w:p>
      <w:pPr>
        <w:pStyle w:val="23"/>
        <w:ind w:firstLine="480"/>
        <w:rPr>
          <w:rFonts w:hint="eastAsia"/>
          <w:color w:val="auto"/>
          <w:highlight w:val="none"/>
        </w:rPr>
      </w:pPr>
      <w:r>
        <w:rPr>
          <w:rFonts w:hint="eastAsia"/>
          <w:color w:val="auto"/>
          <w:highlight w:val="none"/>
        </w:rPr>
        <w:t>二、特殊情况下，采购人可于响应文件有效期满之前要求供应商同意延长有效期，要求与答复均应为书面形式。供应商可以拒绝上述要求。供应商同意延长响应文件有效期的，不得修改其响应文件。</w:t>
      </w:r>
    </w:p>
    <w:p>
      <w:pPr>
        <w:pStyle w:val="6"/>
        <w:numPr>
          <w:ilvl w:val="0"/>
          <w:numId w:val="0"/>
        </w:numPr>
        <w:rPr>
          <w:rFonts w:hint="eastAsia" w:eastAsia="宋体"/>
          <w:color w:val="auto"/>
          <w:highlight w:val="none"/>
          <w:lang w:eastAsia="zh-CN"/>
        </w:rPr>
      </w:pPr>
      <w:bookmarkStart w:id="60" w:name="_Toc868"/>
      <w:bookmarkStart w:id="61" w:name="_Toc14718"/>
      <w:r>
        <w:rPr>
          <w:rFonts w:hint="eastAsia"/>
          <w:color w:val="auto"/>
          <w:highlight w:val="none"/>
        </w:rPr>
        <w:t>2.4.</w:t>
      </w:r>
      <w:r>
        <w:rPr>
          <w:rFonts w:hint="eastAsia"/>
          <w:color w:val="auto"/>
          <w:highlight w:val="none"/>
          <w:lang w:val="en-US" w:eastAsia="zh-CN"/>
        </w:rPr>
        <w:t>10</w:t>
      </w:r>
      <w:r>
        <w:rPr>
          <w:rFonts w:hint="eastAsia"/>
          <w:color w:val="auto"/>
          <w:highlight w:val="none"/>
        </w:rPr>
        <w:t>响应文件的</w:t>
      </w:r>
      <w:r>
        <w:rPr>
          <w:rFonts w:hint="eastAsia"/>
          <w:color w:val="auto"/>
          <w:highlight w:val="none"/>
          <w:lang w:eastAsia="zh-CN"/>
        </w:rPr>
        <w:t>制作、签章和加密</w:t>
      </w:r>
      <w:bookmarkEnd w:id="60"/>
      <w:bookmarkEnd w:id="61"/>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一、响应文件应根据磋商文件的要求进行制作。（说明：1、响应文件中要求提供复印件证明材料的，包含提供原件的影印件或复印件。2、要求提供复印件的证明材料须清晰可辨。）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二、响应文件制作详情：</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
          <w:color w:val="auto"/>
          <w:sz w:val="24"/>
          <w:szCs w:val="24"/>
          <w:highlight w:val="none"/>
        </w:rPr>
        <w:t>响应文件应加盖有供应商（法定名称）的电子签章，不得使用供应商专用章（如经济合同章、投标专用章等）或下属单位印章代替</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3、磋商文件有修改的，供应商须重新下载修改后的磋商文件（修改后的磋商文件在更正公告中下载），并根据修改后的磋商文件制作、撤回修改，并递交响应文件。</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4、使用“政府采购云平台”（含政采云电子交易客户端）需要提前申领CA数字证书及电子签章，请自行前往四川CA、CFCA、天威CA服务点办理</w:t>
      </w:r>
      <w:r>
        <w:rPr>
          <w:rFonts w:hint="eastAsia" w:ascii="宋体" w:hAnsi="宋体"/>
          <w:color w:val="auto"/>
          <w:sz w:val="24"/>
          <w:szCs w:val="24"/>
          <w:highlight w:val="none"/>
        </w:rPr>
        <w:t>，</w:t>
      </w:r>
      <w:r>
        <w:rPr>
          <w:rFonts w:ascii="宋体" w:hAnsi="宋体"/>
          <w:color w:val="auto"/>
          <w:sz w:val="24"/>
          <w:szCs w:val="24"/>
          <w:highlight w:val="none"/>
        </w:rPr>
        <w:t>以上CA数字证书均</w:t>
      </w:r>
      <w:r>
        <w:rPr>
          <w:rFonts w:hint="eastAsia" w:ascii="宋体" w:hAnsi="宋体"/>
          <w:color w:val="auto"/>
          <w:sz w:val="24"/>
          <w:szCs w:val="24"/>
          <w:highlight w:val="none"/>
        </w:rPr>
        <w:t>可</w:t>
      </w:r>
      <w:r>
        <w:rPr>
          <w:rFonts w:ascii="宋体" w:hAnsi="宋体"/>
          <w:color w:val="auto"/>
          <w:sz w:val="24"/>
          <w:szCs w:val="24"/>
          <w:highlight w:val="none"/>
        </w:rPr>
        <w:t>在成都市公共资源交易服务中心3楼窗口办理</w:t>
      </w:r>
      <w:r>
        <w:rPr>
          <w:rFonts w:hint="eastAsia" w:ascii="宋体" w:hAnsi="宋体"/>
          <w:color w:val="auto"/>
          <w:sz w:val="24"/>
          <w:szCs w:val="24"/>
          <w:highlight w:val="none"/>
        </w:rPr>
        <w:t>，</w:t>
      </w:r>
      <w:r>
        <w:rPr>
          <w:rFonts w:ascii="宋体" w:hAnsi="宋体"/>
          <w:color w:val="auto"/>
          <w:sz w:val="24"/>
          <w:szCs w:val="24"/>
          <w:highlight w:val="none"/>
        </w:rPr>
        <w:t>其他办理服务点</w:t>
      </w:r>
      <w:r>
        <w:rPr>
          <w:rFonts w:hint="eastAsia" w:ascii="宋体" w:hAnsi="宋体"/>
          <w:color w:val="auto"/>
          <w:sz w:val="24"/>
          <w:szCs w:val="24"/>
          <w:highlight w:val="none"/>
        </w:rPr>
        <w:t>及</w:t>
      </w:r>
      <w:r>
        <w:rPr>
          <w:rFonts w:ascii="宋体" w:hAnsi="宋体"/>
          <w:color w:val="auto"/>
          <w:sz w:val="24"/>
          <w:szCs w:val="24"/>
          <w:highlight w:val="none"/>
        </w:rPr>
        <w:t>办理方式可拨打官方</w:t>
      </w:r>
      <w:r>
        <w:rPr>
          <w:rFonts w:hint="eastAsia" w:ascii="宋体" w:hAnsi="宋体"/>
          <w:color w:val="auto"/>
          <w:sz w:val="24"/>
          <w:szCs w:val="24"/>
          <w:highlight w:val="none"/>
        </w:rPr>
        <w:t>服务</w:t>
      </w:r>
      <w:r>
        <w:rPr>
          <w:rFonts w:ascii="宋体" w:hAnsi="宋体"/>
          <w:color w:val="auto"/>
          <w:sz w:val="24"/>
          <w:szCs w:val="24"/>
          <w:highlight w:val="none"/>
        </w:rPr>
        <w:t>电话</w:t>
      </w:r>
      <w:r>
        <w:rPr>
          <w:rFonts w:hint="eastAsia" w:ascii="宋体" w:hAnsi="宋体"/>
          <w:color w:val="auto"/>
          <w:sz w:val="24"/>
          <w:szCs w:val="24"/>
          <w:highlight w:val="none"/>
        </w:rPr>
        <w:t>咨询</w:t>
      </w:r>
      <w:r>
        <w:rPr>
          <w:rFonts w:ascii="宋体" w:hAnsi="宋体"/>
          <w:color w:val="auto"/>
          <w:sz w:val="24"/>
          <w:szCs w:val="24"/>
          <w:highlight w:val="none"/>
        </w:rPr>
        <w:t>400-028-1130(四川CA)</w:t>
      </w:r>
      <w:r>
        <w:rPr>
          <w:rFonts w:hint="eastAsia" w:ascii="宋体" w:hAnsi="宋体"/>
          <w:color w:val="auto"/>
          <w:sz w:val="24"/>
          <w:szCs w:val="24"/>
          <w:highlight w:val="none"/>
        </w:rPr>
        <w:t>；</w:t>
      </w:r>
      <w:r>
        <w:rPr>
          <w:rFonts w:ascii="宋体" w:hAnsi="宋体"/>
          <w:color w:val="auto"/>
          <w:sz w:val="24"/>
          <w:szCs w:val="24"/>
          <w:highlight w:val="none"/>
        </w:rPr>
        <w:t>(028)6578532</w:t>
      </w:r>
      <w:r>
        <w:rPr>
          <w:rFonts w:hint="eastAsia" w:ascii="宋体" w:hAnsi="宋体"/>
          <w:color w:val="auto"/>
          <w:sz w:val="24"/>
          <w:szCs w:val="24"/>
          <w:highlight w:val="none"/>
        </w:rPr>
        <w:t>、</w:t>
      </w:r>
      <w:r>
        <w:rPr>
          <w:rFonts w:ascii="宋体" w:hAnsi="宋体"/>
          <w:color w:val="auto"/>
          <w:sz w:val="24"/>
          <w:szCs w:val="24"/>
          <w:highlight w:val="none"/>
        </w:rPr>
        <w:t>400-8809888(CFCA)；400-819-9995</w:t>
      </w:r>
      <w:r>
        <w:rPr>
          <w:rFonts w:hint="eastAsia" w:ascii="宋体" w:hAnsi="宋体"/>
          <w:color w:val="auto"/>
          <w:sz w:val="24"/>
          <w:szCs w:val="24"/>
          <w:highlight w:val="none"/>
        </w:rPr>
        <w:t>、</w:t>
      </w:r>
      <w:r>
        <w:rPr>
          <w:rFonts w:ascii="宋体" w:hAnsi="宋体"/>
          <w:color w:val="auto"/>
          <w:sz w:val="24"/>
          <w:szCs w:val="24"/>
          <w:highlight w:val="none"/>
        </w:rPr>
        <w:t>15928647082(天威CA)</w:t>
      </w:r>
      <w:r>
        <w:rPr>
          <w:rFonts w:hint="eastAsia" w:ascii="宋体" w:hAnsi="宋体"/>
          <w:color w:val="auto"/>
          <w:sz w:val="24"/>
          <w:szCs w:val="24"/>
          <w:highlight w:val="none"/>
        </w:rPr>
        <w:t>。供应商只需办理其中一家</w:t>
      </w:r>
      <w:r>
        <w:rPr>
          <w:rFonts w:ascii="宋体" w:hAnsi="宋体"/>
          <w:color w:val="auto"/>
          <w:sz w:val="24"/>
          <w:szCs w:val="24"/>
          <w:highlight w:val="none"/>
        </w:rPr>
        <w:t>CA数字证书及签章（提示：办理时请说明参与成都市政府采购项目）。供应商应及时完成在“政府采购云平台”的CA账号绑定，确保顺利参与电子采购。</w:t>
      </w:r>
    </w:p>
    <w:p>
      <w:pPr>
        <w:pStyle w:val="6"/>
        <w:numPr>
          <w:ilvl w:val="0"/>
          <w:numId w:val="0"/>
        </w:numPr>
        <w:rPr>
          <w:rFonts w:hint="eastAsia" w:eastAsia="宋体"/>
          <w:color w:val="auto"/>
          <w:highlight w:val="none"/>
          <w:lang w:eastAsia="zh-CN"/>
        </w:rPr>
      </w:pPr>
      <w:bookmarkStart w:id="62" w:name="_Toc3695"/>
      <w:bookmarkStart w:id="63" w:name="_Toc11999"/>
      <w:r>
        <w:rPr>
          <w:rFonts w:hint="eastAsia"/>
          <w:color w:val="auto"/>
          <w:highlight w:val="none"/>
        </w:rPr>
        <w:t>2.4.</w:t>
      </w:r>
      <w:r>
        <w:rPr>
          <w:rFonts w:hint="eastAsia"/>
          <w:color w:val="auto"/>
          <w:highlight w:val="none"/>
          <w:lang w:val="en-US" w:eastAsia="zh-CN"/>
        </w:rPr>
        <w:t>11</w:t>
      </w:r>
      <w:r>
        <w:rPr>
          <w:rFonts w:hint="eastAsia"/>
          <w:color w:val="auto"/>
          <w:highlight w:val="none"/>
        </w:rPr>
        <w:t>响应文件的</w:t>
      </w:r>
      <w:r>
        <w:rPr>
          <w:rFonts w:hint="eastAsia"/>
          <w:color w:val="auto"/>
          <w:szCs w:val="24"/>
          <w:highlight w:val="none"/>
          <w:lang w:eastAsia="zh-CN"/>
        </w:rPr>
        <w:t>递交</w:t>
      </w:r>
      <w:bookmarkEnd w:id="62"/>
      <w:bookmarkEnd w:id="63"/>
    </w:p>
    <w:p>
      <w:pPr>
        <w:spacing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一、</w:t>
      </w:r>
      <w:r>
        <w:rPr>
          <w:rFonts w:hint="eastAsia" w:ascii="宋体" w:hAnsi="宋体"/>
          <w:color w:val="auto"/>
          <w:sz w:val="24"/>
          <w:szCs w:val="24"/>
          <w:highlight w:val="none"/>
        </w:rPr>
        <w:t>供应商应当在响应文件递交截止时间前，将生成的已加密的响应文件成功递交至“政府采购云平台”。</w:t>
      </w:r>
    </w:p>
    <w:p>
      <w:pPr>
        <w:spacing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二、</w:t>
      </w:r>
      <w:r>
        <w:rPr>
          <w:rFonts w:hint="eastAsia" w:ascii="宋体" w:hAnsi="宋体"/>
          <w:color w:val="auto"/>
          <w:sz w:val="24"/>
          <w:szCs w:val="24"/>
          <w:highlight w:val="none"/>
        </w:rPr>
        <w:t>因磋商文件的修改推迟响应文件递交截止时间的，供应商按</w:t>
      </w:r>
      <w:r>
        <w:rPr>
          <w:rFonts w:hint="eastAsia"/>
          <w:color w:val="auto"/>
          <w:sz w:val="24"/>
          <w:szCs w:val="24"/>
          <w:highlight w:val="none"/>
          <w:lang w:eastAsia="zh-CN"/>
        </w:rPr>
        <w:t>区</w:t>
      </w:r>
      <w:r>
        <w:rPr>
          <w:rFonts w:hint="eastAsia" w:ascii="宋体" w:hAnsi="宋体"/>
          <w:color w:val="auto"/>
          <w:sz w:val="24"/>
          <w:szCs w:val="24"/>
          <w:highlight w:val="none"/>
        </w:rPr>
        <w:t>公资交易中心在“四川政府采购网”和“成都市公共资源交易服务中心”网站上发布的澄清公告中修改的时间递交响应文件。</w:t>
      </w:r>
    </w:p>
    <w:p>
      <w:pPr>
        <w:spacing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三、</w:t>
      </w:r>
      <w:r>
        <w:rPr>
          <w:rFonts w:hint="eastAsia" w:ascii="宋体" w:hAnsi="宋体"/>
          <w:color w:val="auto"/>
          <w:sz w:val="24"/>
          <w:szCs w:val="24"/>
          <w:highlight w:val="none"/>
        </w:rPr>
        <w:t>供应商应充分考虑递交响应文件的不可预见因素，未在递交</w:t>
      </w:r>
      <w:r>
        <w:rPr>
          <w:rFonts w:ascii="宋体" w:hAnsi="宋体"/>
          <w:color w:val="auto"/>
          <w:sz w:val="24"/>
          <w:szCs w:val="24"/>
          <w:highlight w:val="none"/>
        </w:rPr>
        <w:t>响应文件</w:t>
      </w:r>
      <w:r>
        <w:rPr>
          <w:rFonts w:hint="eastAsia" w:ascii="宋体" w:hAnsi="宋体"/>
          <w:color w:val="auto"/>
          <w:sz w:val="24"/>
          <w:szCs w:val="24"/>
          <w:highlight w:val="none"/>
        </w:rPr>
        <w:t>截止时间前完成递交的，在递交</w:t>
      </w:r>
      <w:r>
        <w:rPr>
          <w:rFonts w:ascii="宋体" w:hAnsi="宋体"/>
          <w:color w:val="auto"/>
          <w:sz w:val="24"/>
          <w:szCs w:val="24"/>
          <w:highlight w:val="none"/>
        </w:rPr>
        <w:t>响应文件</w:t>
      </w:r>
      <w:r>
        <w:rPr>
          <w:rFonts w:hint="eastAsia" w:ascii="宋体" w:hAnsi="宋体"/>
          <w:color w:val="auto"/>
          <w:sz w:val="24"/>
          <w:szCs w:val="24"/>
          <w:highlight w:val="none"/>
        </w:rPr>
        <w:t>截止时间后将无法递交。</w:t>
      </w:r>
    </w:p>
    <w:p>
      <w:pPr>
        <w:pStyle w:val="6"/>
        <w:numPr>
          <w:ilvl w:val="0"/>
          <w:numId w:val="0"/>
        </w:numPr>
        <w:rPr>
          <w:rFonts w:hint="eastAsia" w:eastAsia="宋体"/>
          <w:color w:val="auto"/>
          <w:highlight w:val="none"/>
          <w:lang w:eastAsia="zh-CN"/>
        </w:rPr>
      </w:pPr>
      <w:bookmarkStart w:id="64" w:name="_Toc22583"/>
      <w:bookmarkStart w:id="65" w:name="_Toc5885"/>
      <w:r>
        <w:rPr>
          <w:rFonts w:hint="eastAsia"/>
          <w:color w:val="auto"/>
          <w:highlight w:val="none"/>
        </w:rPr>
        <w:t>2.4.1</w:t>
      </w:r>
      <w:r>
        <w:rPr>
          <w:rFonts w:hint="eastAsia"/>
          <w:color w:val="auto"/>
          <w:highlight w:val="none"/>
          <w:lang w:val="en-US" w:eastAsia="zh-CN"/>
        </w:rPr>
        <w:t>2</w:t>
      </w:r>
      <w:r>
        <w:rPr>
          <w:rFonts w:hint="eastAsia"/>
          <w:color w:val="auto"/>
          <w:highlight w:val="none"/>
        </w:rPr>
        <w:t>响应文件的补充、修改和撤回</w:t>
      </w:r>
      <w:bookmarkEnd w:id="64"/>
      <w:bookmarkEnd w:id="65"/>
    </w:p>
    <w:p>
      <w:pPr>
        <w:numPr>
          <w:ilvl w:val="0"/>
          <w:numId w:val="4"/>
        </w:numPr>
        <w:tabs>
          <w:tab w:val="left" w:pos="1134"/>
        </w:tabs>
        <w:spacing w:line="360" w:lineRule="auto"/>
        <w:ind w:left="0" w:firstLine="56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w:t>
      </w:r>
      <w:r>
        <w:rPr>
          <w:rFonts w:ascii="宋体" w:hAnsi="宋体" w:eastAsia="宋体" w:cs="Times New Roman"/>
          <w:color w:val="auto"/>
          <w:sz w:val="24"/>
          <w:szCs w:val="24"/>
          <w:highlight w:val="none"/>
        </w:rPr>
        <w:t>响应文件</w:t>
      </w:r>
      <w:r>
        <w:rPr>
          <w:rFonts w:hint="eastAsia" w:ascii="宋体" w:hAnsi="宋体" w:eastAsia="宋体" w:cs="Times New Roman"/>
          <w:color w:val="auto"/>
          <w:sz w:val="24"/>
          <w:szCs w:val="24"/>
          <w:highlight w:val="none"/>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numPr>
          <w:ilvl w:val="0"/>
          <w:numId w:val="4"/>
        </w:numPr>
        <w:tabs>
          <w:tab w:val="left" w:pos="1134"/>
        </w:tabs>
        <w:spacing w:line="360" w:lineRule="auto"/>
        <w:ind w:left="0" w:firstLine="56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在递交响应文件截止时间之后，供应商不得对其递交的响应文件做任何补充、修改。</w:t>
      </w:r>
    </w:p>
    <w:p>
      <w:pPr>
        <w:numPr>
          <w:ilvl w:val="0"/>
          <w:numId w:val="4"/>
        </w:numPr>
        <w:tabs>
          <w:tab w:val="left" w:pos="1134"/>
        </w:tabs>
        <w:spacing w:line="360" w:lineRule="auto"/>
        <w:ind w:left="0" w:firstLine="56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在递交响应文件截止时间之前，供应商可对已递交的响应文件进行撤回。在递交响应文件截止时间之后，供应商不得撤回响应文件。</w:t>
      </w:r>
    </w:p>
    <w:p>
      <w:pPr>
        <w:pStyle w:val="5"/>
        <w:numPr>
          <w:ilvl w:val="0"/>
          <w:numId w:val="0"/>
        </w:numPr>
        <w:ind w:left="0" w:firstLine="0"/>
        <w:rPr>
          <w:rFonts w:hint="eastAsia"/>
          <w:iCs w:val="0"/>
          <w:color w:val="auto"/>
          <w:kern w:val="2"/>
          <w:sz w:val="24"/>
          <w:highlight w:val="none"/>
          <w:lang w:val="en-US" w:eastAsia="zh-CN"/>
        </w:rPr>
      </w:pPr>
      <w:bookmarkStart w:id="66" w:name="_Toc11031"/>
      <w:bookmarkStart w:id="67" w:name="_Toc5523"/>
      <w:r>
        <w:rPr>
          <w:rFonts w:hint="eastAsia"/>
          <w:iCs w:val="0"/>
          <w:color w:val="auto"/>
          <w:kern w:val="2"/>
          <w:sz w:val="24"/>
          <w:highlight w:val="none"/>
          <w:lang w:val="en-US" w:eastAsia="zh-CN"/>
        </w:rPr>
        <w:t>2.4.13响应文件的解密</w:t>
      </w:r>
      <w:bookmarkEnd w:id="66"/>
      <w:bookmarkEnd w:id="67"/>
    </w:p>
    <w:p>
      <w:pPr>
        <w:tabs>
          <w:tab w:val="left" w:pos="1134"/>
        </w:tabs>
        <w:spacing w:before="120" w:line="360" w:lineRule="auto"/>
        <w:ind w:firstLine="484" w:firstLineChars="202"/>
        <w:rPr>
          <w:rFonts w:ascii="宋体" w:hAnsi="宋体"/>
          <w:bCs/>
          <w:color w:val="auto"/>
          <w:sz w:val="24"/>
          <w:szCs w:val="24"/>
          <w:highlight w:val="none"/>
        </w:rPr>
      </w:pPr>
      <w:r>
        <w:rPr>
          <w:rFonts w:hint="eastAsia" w:ascii="宋体" w:hAnsi="宋体"/>
          <w:bCs/>
          <w:color w:val="auto"/>
          <w:sz w:val="24"/>
          <w:szCs w:val="24"/>
          <w:highlight w:val="none"/>
        </w:rPr>
        <w:t>供应商</w:t>
      </w:r>
      <w:r>
        <w:rPr>
          <w:rFonts w:hint="eastAsia" w:ascii="宋体" w:hAnsi="宋体"/>
          <w:color w:val="auto"/>
          <w:sz w:val="24"/>
          <w:szCs w:val="24"/>
          <w:highlight w:val="none"/>
        </w:rPr>
        <w:t>登录政府采购云平台，点击“项目采购—开标评标”模块，找到对应项目，进入“开标大厅”，</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公资交易中心开启解密后，</w:t>
      </w:r>
      <w:r>
        <w:rPr>
          <w:rFonts w:hint="eastAsia" w:ascii="宋体" w:hAnsi="宋体" w:cs="宋体"/>
          <w:color w:val="auto"/>
          <w:sz w:val="24"/>
          <w:szCs w:val="24"/>
          <w:highlight w:val="none"/>
        </w:rPr>
        <w:t>供应商应在60分钟内，使用加密该响应文件的CA数字证书在线完成响应文件的解密。</w:t>
      </w:r>
      <w:r>
        <w:rPr>
          <w:rFonts w:hint="eastAsia" w:ascii="宋体" w:hAnsi="宋体"/>
          <w:bCs/>
          <w:color w:val="auto"/>
          <w:sz w:val="24"/>
          <w:szCs w:val="24"/>
          <w:highlight w:val="none"/>
        </w:rPr>
        <w:t>除因</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w:t>
      </w:r>
      <w:r>
        <w:rPr>
          <w:rFonts w:hint="eastAsia" w:ascii="宋体" w:hAnsi="宋体"/>
          <w:bCs/>
          <w:color w:val="auto"/>
          <w:sz w:val="24"/>
          <w:szCs w:val="24"/>
          <w:highlight w:val="none"/>
        </w:rPr>
        <w:t>断电、断网、系统故障或其他不可抗力等因素，导致系统无法使用外，供应商在规定的解密时间内，未成功解密的响应文件将视为无效响应文件。</w:t>
      </w:r>
    </w:p>
    <w:p>
      <w:pPr>
        <w:pStyle w:val="5"/>
        <w:numPr>
          <w:ilvl w:val="0"/>
          <w:numId w:val="0"/>
        </w:numPr>
        <w:spacing w:before="156" w:after="156"/>
        <w:rPr>
          <w:rFonts w:hint="eastAsia"/>
          <w:color w:val="auto"/>
          <w:sz w:val="24"/>
          <w:szCs w:val="24"/>
          <w:highlight w:val="none"/>
        </w:rPr>
      </w:pPr>
      <w:bookmarkStart w:id="68" w:name="_Toc3836"/>
      <w:bookmarkStart w:id="69" w:name="_Toc1521"/>
      <w:r>
        <w:rPr>
          <w:rFonts w:hint="eastAsia"/>
          <w:color w:val="auto"/>
          <w:sz w:val="24"/>
          <w:szCs w:val="24"/>
          <w:highlight w:val="none"/>
        </w:rPr>
        <w:t>2.5</w:t>
      </w:r>
      <w:bookmarkStart w:id="70" w:name="_Toc183682369"/>
      <w:bookmarkStart w:id="71" w:name="_Toc183582232"/>
      <w:bookmarkStart w:id="72" w:name="_Toc73447467"/>
      <w:bookmarkStart w:id="73" w:name="_Toc217446057"/>
      <w:bookmarkStart w:id="74" w:name="_Toc77688475"/>
      <w:r>
        <w:rPr>
          <w:rFonts w:hint="eastAsia"/>
          <w:color w:val="auto"/>
          <w:sz w:val="24"/>
          <w:szCs w:val="24"/>
          <w:highlight w:val="none"/>
        </w:rPr>
        <w:t>磋商</w:t>
      </w:r>
      <w:r>
        <w:rPr>
          <w:color w:val="auto"/>
          <w:sz w:val="24"/>
          <w:szCs w:val="24"/>
          <w:highlight w:val="none"/>
        </w:rPr>
        <w:t>开启活动</w:t>
      </w:r>
      <w:r>
        <w:rPr>
          <w:rFonts w:hint="eastAsia"/>
          <w:color w:val="auto"/>
          <w:sz w:val="24"/>
          <w:szCs w:val="24"/>
          <w:highlight w:val="none"/>
        </w:rPr>
        <w:t>程序</w:t>
      </w:r>
      <w:bookmarkEnd w:id="68"/>
      <w:bookmarkEnd w:id="69"/>
      <w:bookmarkEnd w:id="70"/>
      <w:bookmarkEnd w:id="71"/>
      <w:bookmarkEnd w:id="72"/>
      <w:bookmarkEnd w:id="73"/>
      <w:bookmarkEnd w:id="74"/>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递交响应文件的供应商不足三家的，不予继续开展磋商采购</w:t>
      </w:r>
      <w:r>
        <w:rPr>
          <w:rFonts w:ascii="宋体" w:hAnsi="宋体" w:eastAsia="宋体" w:cs="宋体"/>
          <w:b/>
          <w:color w:val="auto"/>
          <w:sz w:val="24"/>
          <w:szCs w:val="24"/>
          <w:highlight w:val="none"/>
        </w:rPr>
        <w:t>活动</w:t>
      </w:r>
      <w:r>
        <w:rPr>
          <w:rFonts w:hint="eastAsia" w:ascii="宋体" w:hAnsi="宋体" w:eastAsia="宋体" w:cs="宋体"/>
          <w:b/>
          <w:color w:val="auto"/>
          <w:sz w:val="24"/>
          <w:szCs w:val="24"/>
          <w:highlight w:val="none"/>
        </w:rPr>
        <w:t>。</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准备工作。供应商需在递交响应</w:t>
      </w:r>
      <w:r>
        <w:rPr>
          <w:rFonts w:ascii="宋体" w:hAnsi="宋体" w:eastAsia="宋体" w:cs="宋体"/>
          <w:b/>
          <w:color w:val="auto"/>
          <w:sz w:val="24"/>
          <w:szCs w:val="24"/>
          <w:highlight w:val="none"/>
        </w:rPr>
        <w:t>文件</w:t>
      </w:r>
      <w:r>
        <w:rPr>
          <w:rFonts w:hint="eastAsia" w:ascii="宋体" w:hAnsi="宋体" w:eastAsia="宋体" w:cs="宋体"/>
          <w:b/>
          <w:color w:val="auto"/>
          <w:sz w:val="24"/>
          <w:szCs w:val="24"/>
          <w:highlight w:val="none"/>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解密响应文件。待</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公资交易中心开启解密后，供应商进行线上解密。除因</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公资交易中心断电、断网、系统故障或其他不可抗力等因素，导致系统无法使用外，供应商在规定的解密时间内，未成功解密的响应文件将视为无效响应文件。</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确认。所有供应商</w:t>
      </w:r>
      <w:r>
        <w:rPr>
          <w:rFonts w:ascii="宋体" w:hAnsi="宋体" w:eastAsia="宋体" w:cs="宋体"/>
          <w:b/>
          <w:color w:val="auto"/>
          <w:sz w:val="24"/>
          <w:szCs w:val="24"/>
          <w:highlight w:val="none"/>
        </w:rPr>
        <w:t>响应文件</w:t>
      </w:r>
      <w:r>
        <w:rPr>
          <w:rFonts w:hint="eastAsia" w:ascii="宋体" w:hAnsi="宋体" w:eastAsia="宋体" w:cs="宋体"/>
          <w:b/>
          <w:color w:val="auto"/>
          <w:sz w:val="24"/>
          <w:szCs w:val="24"/>
          <w:highlight w:val="none"/>
        </w:rPr>
        <w:t>均完成解密或者解密时间截止（以发生在先的时间为准），由“政府采购云平台”系统展示供应商名称、响应文件解密情况等内容。</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供应商对过程和记录有异议，以及认为采购人、</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公资交易中心相关工作人员有需要回避的情形的，及时向工作人员提出询问或者回避申请。采购人、</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公资交易中心对供应商提出的询问或者回避申请应当及时处理。</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29"/>
        <w:numPr>
          <w:ilvl w:val="0"/>
          <w:numId w:val="5"/>
        </w:numPr>
        <w:tabs>
          <w:tab w:val="left" w:pos="1134"/>
        </w:tabs>
        <w:spacing w:before="120" w:after="200" w:line="360" w:lineRule="auto"/>
        <w:ind w:left="0" w:right="210" w:firstLine="567" w:firstLineChars="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因</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公资交易中心断电、断网、系统故障或其他不可抗力等因素导致不见面开标系统无法正常运行的，磋商活动开启中止或延迟，待系统恢复正常后继续进行。</w:t>
      </w:r>
    </w:p>
    <w:p>
      <w:pPr>
        <w:widowControl w:val="0"/>
        <w:numPr>
          <w:ilvl w:val="0"/>
          <w:numId w:val="5"/>
        </w:numPr>
        <w:tabs>
          <w:tab w:val="left" w:pos="1134"/>
        </w:tabs>
        <w:spacing w:before="120" w:after="200" w:line="360" w:lineRule="auto"/>
        <w:ind w:left="0" w:right="210" w:firstLine="567" w:firstLineChars="0"/>
        <w:jc w:val="both"/>
        <w:rPr>
          <w:rFonts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磋商活动开启过程中，各方主体均应遵守互联网有关规定，不得发表与交易活动无关的言论。</w:t>
      </w:r>
    </w:p>
    <w:p>
      <w:pPr>
        <w:pStyle w:val="29"/>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before="120" w:after="200" w:line="360" w:lineRule="auto"/>
        <w:ind w:right="210" w:rightChars="0"/>
        <w:textAlignment w:val="auto"/>
        <w:outlineLvl w:val="1"/>
        <w:rPr>
          <w:rFonts w:hint="eastAsia"/>
          <w:b/>
          <w:bCs/>
          <w:color w:val="auto"/>
          <w:sz w:val="24"/>
          <w:szCs w:val="24"/>
          <w:highlight w:val="none"/>
          <w:lang w:eastAsia="zh-CN"/>
        </w:rPr>
      </w:pPr>
      <w:bookmarkStart w:id="75" w:name="_Toc17969"/>
      <w:bookmarkStart w:id="76" w:name="_Toc32163"/>
      <w:r>
        <w:rPr>
          <w:rFonts w:hint="eastAsia"/>
          <w:b/>
          <w:bCs/>
          <w:color w:val="auto"/>
          <w:sz w:val="24"/>
          <w:szCs w:val="24"/>
          <w:highlight w:val="none"/>
          <w:lang w:val="en-US" w:eastAsia="zh-CN"/>
        </w:rPr>
        <w:t>2.6</w:t>
      </w:r>
      <w:r>
        <w:rPr>
          <w:rFonts w:hint="eastAsia"/>
          <w:b/>
          <w:bCs/>
          <w:color w:val="auto"/>
          <w:sz w:val="24"/>
          <w:szCs w:val="24"/>
          <w:highlight w:val="none"/>
        </w:rPr>
        <w:t>资格审查</w:t>
      </w:r>
      <w:r>
        <w:rPr>
          <w:rFonts w:hint="eastAsia"/>
          <w:b/>
          <w:bCs/>
          <w:color w:val="auto"/>
          <w:sz w:val="24"/>
          <w:szCs w:val="24"/>
          <w:highlight w:val="none"/>
          <w:lang w:eastAsia="zh-CN"/>
        </w:rPr>
        <w:t>和评审</w:t>
      </w:r>
      <w:bookmarkEnd w:id="75"/>
      <w:bookmarkEnd w:id="76"/>
    </w:p>
    <w:p>
      <w:pPr>
        <w:numPr>
          <w:ilvl w:val="0"/>
          <w:numId w:val="6"/>
        </w:numPr>
        <w:tabs>
          <w:tab w:val="left" w:pos="1134"/>
        </w:tabs>
        <w:spacing w:line="600" w:lineRule="exact"/>
        <w:ind w:left="0" w:firstLine="540"/>
        <w:rPr>
          <w:rFonts w:ascii="宋体" w:hAnsi="宋体"/>
          <w:color w:val="auto"/>
          <w:sz w:val="24"/>
          <w:szCs w:val="24"/>
          <w:highlight w:val="none"/>
        </w:rPr>
      </w:pPr>
      <w:r>
        <w:rPr>
          <w:rFonts w:hint="eastAsia" w:ascii="宋体" w:hAnsi="宋体"/>
          <w:color w:val="auto"/>
          <w:sz w:val="24"/>
          <w:szCs w:val="24"/>
          <w:highlight w:val="none"/>
        </w:rPr>
        <w:t>资格审查详见采购文件第五章。</w:t>
      </w:r>
    </w:p>
    <w:p>
      <w:pPr>
        <w:numPr>
          <w:ilvl w:val="0"/>
          <w:numId w:val="6"/>
        </w:numPr>
        <w:tabs>
          <w:tab w:val="left" w:pos="1134"/>
        </w:tabs>
        <w:spacing w:line="600" w:lineRule="exact"/>
        <w:ind w:left="0" w:firstLine="567"/>
        <w:rPr>
          <w:rFonts w:hint="eastAsia"/>
          <w:b/>
          <w:bCs/>
          <w:color w:val="auto"/>
          <w:sz w:val="24"/>
          <w:szCs w:val="24"/>
          <w:highlight w:val="none"/>
          <w:lang w:eastAsia="zh-CN"/>
        </w:rPr>
      </w:pPr>
      <w:r>
        <w:rPr>
          <w:rFonts w:hint="eastAsia" w:ascii="宋体" w:hAnsi="宋体"/>
          <w:color w:val="auto"/>
          <w:sz w:val="24"/>
          <w:szCs w:val="24"/>
          <w:highlight w:val="none"/>
        </w:rPr>
        <w:t>磋商小组的组建及其评审工作按照有关法律制度和本文件第五章的规定进行。</w:t>
      </w:r>
    </w:p>
    <w:p>
      <w:pPr>
        <w:pStyle w:val="5"/>
        <w:numPr>
          <w:ilvl w:val="0"/>
          <w:numId w:val="0"/>
        </w:numPr>
        <w:spacing w:before="156" w:after="156"/>
        <w:rPr>
          <w:color w:val="auto"/>
          <w:sz w:val="24"/>
          <w:szCs w:val="24"/>
          <w:highlight w:val="none"/>
        </w:rPr>
      </w:pPr>
      <w:bookmarkStart w:id="77" w:name="_Toc20114"/>
      <w:bookmarkStart w:id="78" w:name="_Toc21658"/>
      <w:r>
        <w:rPr>
          <w:rFonts w:hint="eastAsia"/>
          <w:color w:val="auto"/>
          <w:sz w:val="24"/>
          <w:szCs w:val="24"/>
          <w:highlight w:val="none"/>
          <w:lang w:val="en-US" w:eastAsia="zh-CN"/>
        </w:rPr>
        <w:t>2.7</w:t>
      </w:r>
      <w:r>
        <w:rPr>
          <w:color w:val="auto"/>
          <w:sz w:val="24"/>
          <w:szCs w:val="24"/>
          <w:highlight w:val="none"/>
        </w:rPr>
        <w:t>成交通知书</w:t>
      </w:r>
      <w:bookmarkEnd w:id="77"/>
      <w:bookmarkEnd w:id="78"/>
    </w:p>
    <w:p>
      <w:pPr>
        <w:spacing w:line="360" w:lineRule="auto"/>
        <w:ind w:right="210"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成交通知书为采购人签订政府采购合同的依据，是合同的有效组成部分。若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二、成交通知书对采购人和成交供应商均具有法律效力。</w:t>
      </w:r>
    </w:p>
    <w:p>
      <w:pPr>
        <w:spacing w:line="360" w:lineRule="auto"/>
        <w:ind w:firstLine="480" w:firstLineChars="200"/>
        <w:rPr>
          <w:rFonts w:ascii="Calibri" w:hAnsi="Calibri" w:eastAsia="宋体" w:cs="Times New Roman"/>
          <w:color w:val="auto"/>
          <w:sz w:val="24"/>
          <w:szCs w:val="24"/>
          <w:highlight w:val="none"/>
        </w:rPr>
      </w:pPr>
      <w:r>
        <w:rPr>
          <w:rFonts w:hint="eastAsia" w:ascii="宋体" w:hAnsi="宋体" w:eastAsia="宋体" w:cs="Times New Roman"/>
          <w:color w:val="auto"/>
          <w:sz w:val="24"/>
          <w:szCs w:val="24"/>
          <w:highlight w:val="none"/>
          <w:lang w:val="zh-CN"/>
        </w:rPr>
        <w:t>三、</w:t>
      </w:r>
      <w:r>
        <w:rPr>
          <w:rFonts w:hint="eastAsia" w:ascii="宋体" w:hAnsi="宋体" w:eastAsia="宋体" w:cs="Times New Roman"/>
          <w:color w:val="auto"/>
          <w:sz w:val="24"/>
          <w:szCs w:val="24"/>
          <w:highlight w:val="none"/>
        </w:rPr>
        <w:t>成交公告在四川政府采购网上公告后，成交供应商自行登录政府采购云平台下载成交通知书。</w:t>
      </w:r>
    </w:p>
    <w:p>
      <w:pPr>
        <w:pStyle w:val="5"/>
        <w:numPr>
          <w:ilvl w:val="0"/>
          <w:numId w:val="0"/>
        </w:numPr>
        <w:spacing w:before="156" w:after="156"/>
        <w:rPr>
          <w:color w:val="auto"/>
          <w:sz w:val="24"/>
          <w:szCs w:val="24"/>
          <w:highlight w:val="none"/>
        </w:rPr>
      </w:pPr>
      <w:bookmarkStart w:id="79" w:name="_Toc26469"/>
      <w:bookmarkStart w:id="80" w:name="_Toc3132"/>
      <w:r>
        <w:rPr>
          <w:rFonts w:hint="eastAsia"/>
          <w:color w:val="auto"/>
          <w:sz w:val="24"/>
          <w:szCs w:val="24"/>
          <w:highlight w:val="none"/>
          <w:lang w:val="en-US" w:eastAsia="zh-CN"/>
        </w:rPr>
        <w:t>2.8</w:t>
      </w:r>
      <w:r>
        <w:rPr>
          <w:rFonts w:hint="eastAsia"/>
          <w:color w:val="auto"/>
          <w:sz w:val="24"/>
          <w:szCs w:val="24"/>
          <w:highlight w:val="none"/>
        </w:rPr>
        <w:t>签订及履行合同和验收</w:t>
      </w:r>
      <w:bookmarkEnd w:id="79"/>
      <w:bookmarkEnd w:id="80"/>
    </w:p>
    <w:p>
      <w:pPr>
        <w:pStyle w:val="6"/>
        <w:numPr>
          <w:ilvl w:val="0"/>
          <w:numId w:val="0"/>
        </w:numPr>
        <w:rPr>
          <w:color w:val="auto"/>
          <w:highlight w:val="none"/>
        </w:rPr>
      </w:pPr>
      <w:bookmarkStart w:id="81" w:name="_Toc4922"/>
      <w:bookmarkStart w:id="82" w:name="_Toc2994"/>
      <w:r>
        <w:rPr>
          <w:rFonts w:hint="eastAsia"/>
          <w:color w:val="auto"/>
          <w:highlight w:val="none"/>
        </w:rPr>
        <w:t>2.</w:t>
      </w:r>
      <w:r>
        <w:rPr>
          <w:rFonts w:hint="eastAsia"/>
          <w:color w:val="auto"/>
          <w:highlight w:val="none"/>
          <w:lang w:val="en-US" w:eastAsia="zh-CN"/>
        </w:rPr>
        <w:t>8</w:t>
      </w:r>
      <w:r>
        <w:rPr>
          <w:rFonts w:hint="eastAsia"/>
          <w:color w:val="auto"/>
          <w:highlight w:val="none"/>
        </w:rPr>
        <w:t>.1签订合同</w:t>
      </w:r>
      <w:bookmarkEnd w:id="81"/>
      <w:bookmarkEnd w:id="82"/>
    </w:p>
    <w:p>
      <w:pPr>
        <w:widowControl/>
        <w:numPr>
          <w:ilvl w:val="0"/>
          <w:numId w:val="7"/>
        </w:numPr>
        <w:tabs>
          <w:tab w:val="left" w:pos="1134"/>
        </w:tabs>
        <w:snapToGrid w:val="0"/>
        <w:spacing w:after="200" w:line="360" w:lineRule="auto"/>
        <w:ind w:left="0" w:firstLine="567"/>
        <w:jc w:val="left"/>
        <w:rPr>
          <w:rFonts w:ascii="宋体" w:hAnsi="宋体" w:cs="宋体"/>
          <w:color w:val="auto"/>
          <w:sz w:val="24"/>
          <w:szCs w:val="24"/>
          <w:highlight w:val="none"/>
        </w:rPr>
      </w:pPr>
      <w:r>
        <w:rPr>
          <w:rFonts w:hint="eastAsia" w:ascii="宋体" w:hAnsi="宋体" w:cs="宋体"/>
          <w:color w:val="auto"/>
          <w:sz w:val="24"/>
          <w:szCs w:val="24"/>
          <w:highlight w:val="none"/>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供应商名单排序，确定下一候选供应商为成交供应商，也可以重新开展政府采购活动</w:t>
      </w:r>
      <w:r>
        <w:rPr>
          <w:rFonts w:hint="eastAsia" w:ascii="宋体" w:hAnsi="宋体"/>
          <w:color w:val="auto"/>
          <w:sz w:val="24"/>
          <w:szCs w:val="24"/>
          <w:highlight w:val="none"/>
        </w:rPr>
        <w:t>。</w:t>
      </w:r>
    </w:p>
    <w:p>
      <w:pPr>
        <w:widowControl/>
        <w:numPr>
          <w:ilvl w:val="0"/>
          <w:numId w:val="7"/>
        </w:numPr>
        <w:tabs>
          <w:tab w:val="left" w:pos="1134"/>
        </w:tabs>
        <w:snapToGrid w:val="0"/>
        <w:spacing w:after="200" w:line="360" w:lineRule="auto"/>
        <w:ind w:left="0" w:firstLine="567"/>
        <w:jc w:val="left"/>
        <w:rPr>
          <w:rFonts w:ascii="宋体" w:hAnsi="宋体" w:cs="宋体"/>
          <w:color w:val="auto"/>
          <w:sz w:val="24"/>
          <w:szCs w:val="24"/>
          <w:highlight w:val="none"/>
        </w:rPr>
      </w:pPr>
      <w:r>
        <w:rPr>
          <w:rFonts w:hint="eastAsia" w:ascii="宋体" w:hAnsi="宋体" w:cs="宋体"/>
          <w:color w:val="auto"/>
          <w:sz w:val="24"/>
          <w:szCs w:val="24"/>
          <w:highlight w:val="none"/>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numPr>
          <w:ilvl w:val="0"/>
          <w:numId w:val="7"/>
        </w:numPr>
        <w:tabs>
          <w:tab w:val="left" w:pos="1134"/>
        </w:tabs>
        <w:snapToGrid w:val="0"/>
        <w:spacing w:after="200" w:line="360" w:lineRule="auto"/>
        <w:ind w:left="0" w:firstLine="567"/>
        <w:jc w:val="left"/>
        <w:rPr>
          <w:rFonts w:ascii="宋体" w:hAnsi="宋体" w:cs="宋体"/>
          <w:i/>
          <w:color w:val="auto"/>
          <w:sz w:val="24"/>
          <w:szCs w:val="24"/>
          <w:highlight w:val="none"/>
        </w:rPr>
      </w:pPr>
      <w:r>
        <w:rPr>
          <w:rFonts w:hint="eastAsia" w:ascii="宋体" w:hAnsi="宋体" w:cs="宋体"/>
          <w:color w:val="auto"/>
          <w:sz w:val="24"/>
          <w:szCs w:val="24"/>
          <w:highlight w:val="none"/>
        </w:rPr>
        <w:t>磋商文件、响应文件、成交通知书等均成为有法律约束力的合同组成内容。</w:t>
      </w:r>
    </w:p>
    <w:p>
      <w:pPr>
        <w:widowControl/>
        <w:numPr>
          <w:ilvl w:val="0"/>
          <w:numId w:val="7"/>
        </w:numPr>
        <w:tabs>
          <w:tab w:val="left" w:pos="1134"/>
        </w:tabs>
        <w:snapToGrid w:val="0"/>
        <w:spacing w:after="200" w:line="360" w:lineRule="auto"/>
        <w:ind w:left="0" w:firstLine="567"/>
        <w:jc w:val="left"/>
        <w:rPr>
          <w:rFonts w:ascii="宋体" w:hAnsi="宋体" w:cs="宋体"/>
          <w:color w:val="auto"/>
          <w:sz w:val="24"/>
          <w:szCs w:val="24"/>
          <w:highlight w:val="none"/>
        </w:rPr>
      </w:pPr>
      <w:r>
        <w:rPr>
          <w:rFonts w:hint="eastAsia" w:ascii="宋体" w:hAnsi="宋体"/>
          <w:color w:val="auto"/>
          <w:sz w:val="24"/>
          <w:szCs w:val="24"/>
          <w:highlight w:val="none"/>
        </w:rPr>
        <w:t>询问或者质疑事项可能影响成交结果的，采购人应当暂停签订合同，已经签订合同的，应当中止履行合同。</w:t>
      </w:r>
    </w:p>
    <w:p>
      <w:pPr>
        <w:pStyle w:val="6"/>
        <w:numPr>
          <w:ilvl w:val="0"/>
          <w:numId w:val="0"/>
        </w:numPr>
        <w:rPr>
          <w:color w:val="auto"/>
          <w:highlight w:val="none"/>
        </w:rPr>
      </w:pPr>
      <w:bookmarkStart w:id="83" w:name="_Toc18491"/>
      <w:bookmarkStart w:id="84" w:name="_Toc18025"/>
      <w:r>
        <w:rPr>
          <w:rFonts w:hint="eastAsia"/>
          <w:color w:val="auto"/>
          <w:highlight w:val="none"/>
        </w:rPr>
        <w:t>2.</w:t>
      </w:r>
      <w:r>
        <w:rPr>
          <w:rFonts w:hint="eastAsia"/>
          <w:color w:val="auto"/>
          <w:highlight w:val="none"/>
          <w:lang w:val="en-US" w:eastAsia="zh-CN"/>
        </w:rPr>
        <w:t>8</w:t>
      </w:r>
      <w:r>
        <w:rPr>
          <w:rFonts w:hint="eastAsia"/>
          <w:color w:val="auto"/>
          <w:highlight w:val="none"/>
        </w:rPr>
        <w:t>.2合同分包和转包</w:t>
      </w:r>
      <w:bookmarkEnd w:id="83"/>
      <w:bookmarkEnd w:id="84"/>
    </w:p>
    <w:p>
      <w:pPr>
        <w:keepNext/>
        <w:keepLines/>
        <w:numPr>
          <w:ilvl w:val="0"/>
          <w:numId w:val="0"/>
        </w:numPr>
        <w:spacing w:line="360" w:lineRule="auto"/>
        <w:ind w:left="0" w:firstLine="0"/>
        <w:outlineLvl w:val="2"/>
        <w:rPr>
          <w:rFonts w:ascii="宋体" w:hAnsi="宋体"/>
          <w:b/>
          <w:bCs/>
          <w:color w:val="auto"/>
          <w:sz w:val="24"/>
          <w:szCs w:val="24"/>
          <w:highlight w:val="none"/>
        </w:rPr>
      </w:pPr>
      <w:bookmarkStart w:id="85" w:name="_Toc28009"/>
      <w:bookmarkStart w:id="86" w:name="_Toc14935"/>
      <w:bookmarkStart w:id="87" w:name="_Toc9837"/>
      <w:r>
        <w:rPr>
          <w:rFonts w:hint="eastAsia" w:ascii="宋体" w:hAnsi="宋体"/>
          <w:b/>
          <w:bCs/>
          <w:color w:val="auto"/>
          <w:sz w:val="24"/>
          <w:szCs w:val="24"/>
          <w:highlight w:val="none"/>
          <w:lang w:val="en-US" w:eastAsia="zh-CN"/>
        </w:rPr>
        <w:t>2.</w:t>
      </w:r>
      <w:r>
        <w:rPr>
          <w:rFonts w:hint="eastAsia"/>
          <w:b/>
          <w:bCs/>
          <w:color w:val="auto"/>
          <w:sz w:val="24"/>
          <w:szCs w:val="24"/>
          <w:highlight w:val="none"/>
          <w:lang w:val="en-US" w:eastAsia="zh-CN"/>
        </w:rPr>
        <w:t>8</w:t>
      </w:r>
      <w:r>
        <w:rPr>
          <w:rFonts w:hint="eastAsia" w:ascii="宋体" w:hAnsi="宋体"/>
          <w:b/>
          <w:bCs/>
          <w:color w:val="auto"/>
          <w:sz w:val="24"/>
          <w:szCs w:val="24"/>
          <w:highlight w:val="none"/>
          <w:lang w:val="en-US" w:eastAsia="zh-CN"/>
        </w:rPr>
        <w:t>.2.1</w:t>
      </w:r>
      <w:r>
        <w:rPr>
          <w:rFonts w:hint="eastAsia" w:ascii="宋体" w:hAnsi="宋体"/>
          <w:b/>
          <w:bCs/>
          <w:color w:val="auto"/>
          <w:sz w:val="24"/>
          <w:szCs w:val="24"/>
          <w:highlight w:val="none"/>
        </w:rPr>
        <w:t>合同分包</w:t>
      </w:r>
      <w:bookmarkEnd w:id="85"/>
      <w:bookmarkEnd w:id="86"/>
      <w:bookmarkEnd w:id="87"/>
    </w:p>
    <w:p>
      <w:pPr>
        <w:pStyle w:val="25"/>
        <w:spacing w:line="360" w:lineRule="auto"/>
        <w:ind w:firstLine="420" w:firstLineChars="200"/>
        <w:rPr>
          <w:rFonts w:hint="eastAsia" w:ascii="宋体" w:hAnsi="宋体" w:cs="宋体"/>
          <w:color w:val="auto"/>
          <w:kern w:val="2"/>
          <w:sz w:val="21"/>
          <w:szCs w:val="22"/>
          <w:highlight w:val="none"/>
          <w:lang w:val="zh-CN" w:eastAsia="zh-CN" w:bidi="ar-SA"/>
        </w:rPr>
      </w:pPr>
      <w:r>
        <w:rPr>
          <w:rFonts w:hint="eastAsia" w:ascii="宋体" w:hAnsi="宋体" w:cs="宋体"/>
          <w:color w:val="auto"/>
          <w:kern w:val="2"/>
          <w:sz w:val="21"/>
          <w:szCs w:val="22"/>
          <w:highlight w:val="none"/>
          <w:lang w:val="zh-CN" w:eastAsia="zh-CN" w:bidi="ar-SA"/>
        </w:rPr>
        <w:t xml:space="preserve">本项目不允许分包 </w:t>
      </w:r>
    </w:p>
    <w:p>
      <w:pPr>
        <w:pStyle w:val="25"/>
        <w:ind w:firstLine="0" w:firstLineChars="0"/>
        <w:rPr>
          <w:rFonts w:ascii="宋体" w:hAnsi="宋体"/>
          <w:b/>
          <w:bCs/>
          <w:color w:val="auto"/>
          <w:sz w:val="24"/>
          <w:szCs w:val="24"/>
          <w:highlight w:val="none"/>
        </w:rPr>
      </w:pPr>
      <w:r>
        <w:rPr>
          <w:rFonts w:hint="eastAsia" w:cs="Times New Roman"/>
          <w:b/>
          <w:bCs/>
          <w:color w:val="auto"/>
          <w:sz w:val="24"/>
          <w:szCs w:val="24"/>
          <w:highlight w:val="none"/>
          <w:lang w:val="en-US" w:eastAsia="zh-CN"/>
        </w:rPr>
        <w:t>2.8.2.2</w:t>
      </w:r>
      <w:r>
        <w:rPr>
          <w:rFonts w:hint="eastAsia" w:ascii="宋体" w:hAnsi="宋体"/>
          <w:b/>
          <w:bCs/>
          <w:color w:val="auto"/>
          <w:sz w:val="24"/>
          <w:szCs w:val="24"/>
          <w:highlight w:val="none"/>
        </w:rPr>
        <w:t>合同转包</w:t>
      </w:r>
    </w:p>
    <w:p>
      <w:pPr>
        <w:spacing w:line="360" w:lineRule="auto"/>
        <w:ind w:firstLine="480" w:firstLineChars="200"/>
        <w:rPr>
          <w:rFonts w:ascii="宋体" w:hAnsi="宋体" w:cs="宋体"/>
          <w:color w:val="auto"/>
          <w:sz w:val="24"/>
          <w:szCs w:val="24"/>
          <w:highlight w:val="none"/>
        </w:rPr>
      </w:pPr>
      <w:r>
        <w:rPr>
          <w:rFonts w:hint="eastAsia" w:ascii="宋体" w:hAnsi="宋体"/>
          <w:color w:val="auto"/>
          <w:sz w:val="24"/>
          <w:szCs w:val="24"/>
          <w:highlight w:val="none"/>
        </w:rPr>
        <w:t>一、严禁成交供应商将本项目转包。本项目所称转包，是指</w:t>
      </w:r>
      <w:r>
        <w:rPr>
          <w:rFonts w:hint="eastAsia" w:ascii="宋体" w:hAnsi="宋体" w:cs="宋体"/>
          <w:color w:val="auto"/>
          <w:sz w:val="24"/>
          <w:szCs w:val="24"/>
          <w:highlight w:val="none"/>
        </w:rPr>
        <w:t>将本项目转给他人或者将本项目全部肢解以后以分包的名义分别转给他人的行为。</w:t>
      </w:r>
    </w:p>
    <w:p>
      <w:pPr>
        <w:spacing w:line="360" w:lineRule="auto"/>
        <w:ind w:firstLine="495"/>
        <w:rPr>
          <w:rFonts w:ascii="宋体" w:hAnsi="宋体"/>
          <w:color w:val="auto"/>
          <w:sz w:val="24"/>
          <w:szCs w:val="24"/>
          <w:highlight w:val="none"/>
        </w:rPr>
      </w:pPr>
      <w:r>
        <w:rPr>
          <w:rFonts w:hint="eastAsia" w:ascii="宋体" w:hAnsi="宋体"/>
          <w:color w:val="auto"/>
          <w:sz w:val="24"/>
          <w:szCs w:val="24"/>
          <w:highlight w:val="none"/>
        </w:rPr>
        <w:t>二、成交供应商转包的，视同拒绝履行政府采购合同，将依法追究法律责任。</w:t>
      </w:r>
    </w:p>
    <w:p>
      <w:pPr>
        <w:pStyle w:val="6"/>
        <w:numPr>
          <w:ilvl w:val="0"/>
          <w:numId w:val="0"/>
        </w:numPr>
        <w:rPr>
          <w:color w:val="auto"/>
          <w:highlight w:val="none"/>
        </w:rPr>
      </w:pPr>
      <w:bookmarkStart w:id="88" w:name="_Toc10300"/>
      <w:bookmarkStart w:id="89" w:name="_Toc25499"/>
      <w:r>
        <w:rPr>
          <w:rFonts w:hint="eastAsia"/>
          <w:color w:val="auto"/>
          <w:highlight w:val="none"/>
        </w:rPr>
        <w:t>2.</w:t>
      </w:r>
      <w:r>
        <w:rPr>
          <w:rFonts w:hint="eastAsia"/>
          <w:color w:val="auto"/>
          <w:highlight w:val="none"/>
          <w:lang w:val="en-US" w:eastAsia="zh-CN"/>
        </w:rPr>
        <w:t>8</w:t>
      </w:r>
      <w:r>
        <w:rPr>
          <w:rFonts w:hint="eastAsia"/>
          <w:color w:val="auto"/>
          <w:highlight w:val="none"/>
        </w:rPr>
        <w:t>.3采购人增加合同标的的权利</w:t>
      </w:r>
      <w:bookmarkEnd w:id="88"/>
      <w:bookmarkEnd w:id="89"/>
    </w:p>
    <w:p>
      <w:pPr>
        <w:pStyle w:val="23"/>
        <w:ind w:firstLine="480"/>
        <w:rPr>
          <w:color w:val="auto"/>
          <w:highlight w:val="none"/>
        </w:rPr>
      </w:pPr>
      <w:r>
        <w:rPr>
          <w:rFonts w:hint="eastAsia"/>
          <w:color w:val="auto"/>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6"/>
        <w:numPr>
          <w:ilvl w:val="0"/>
          <w:numId w:val="0"/>
        </w:numPr>
        <w:rPr>
          <w:color w:val="auto"/>
          <w:highlight w:val="none"/>
        </w:rPr>
      </w:pPr>
      <w:bookmarkStart w:id="90" w:name="_Toc21468"/>
      <w:bookmarkStart w:id="91" w:name="_Toc11093"/>
      <w:r>
        <w:rPr>
          <w:rFonts w:hint="eastAsia"/>
          <w:color w:val="auto"/>
          <w:highlight w:val="none"/>
        </w:rPr>
        <w:t>2.</w:t>
      </w:r>
      <w:r>
        <w:rPr>
          <w:rFonts w:hint="eastAsia"/>
          <w:color w:val="auto"/>
          <w:highlight w:val="none"/>
          <w:lang w:val="en-US" w:eastAsia="zh-CN"/>
        </w:rPr>
        <w:t>8</w:t>
      </w:r>
      <w:r>
        <w:rPr>
          <w:rFonts w:hint="eastAsia"/>
          <w:color w:val="auto"/>
          <w:highlight w:val="none"/>
        </w:rPr>
        <w:t>.4履约保证金</w:t>
      </w:r>
      <w:bookmarkEnd w:id="90"/>
      <w:bookmarkEnd w:id="91"/>
    </w:p>
    <w:p>
      <w:pPr>
        <w:pStyle w:val="6"/>
        <w:numPr>
          <w:ilvl w:val="0"/>
          <w:numId w:val="0"/>
        </w:numPr>
        <w:ind w:firstLine="482" w:firstLineChars="200"/>
        <w:rPr>
          <w:rFonts w:hint="eastAsia" w:ascii="宋体" w:hAnsi="宋体" w:eastAsia="宋体" w:cs="宋体"/>
          <w:b w:val="0"/>
          <w:bCs w:val="0"/>
          <w:color w:val="auto"/>
          <w:kern w:val="2"/>
          <w:sz w:val="24"/>
          <w:szCs w:val="24"/>
          <w:highlight w:val="none"/>
          <w:lang w:val="en-US" w:eastAsia="zh-CN" w:bidi="ar-SA"/>
        </w:rPr>
      </w:pPr>
      <w:bookmarkStart w:id="92" w:name="_Toc27427"/>
      <w:bookmarkStart w:id="93" w:name="_Toc28397"/>
      <w:bookmarkStart w:id="94" w:name="_Toc20870"/>
      <w:r>
        <w:rPr>
          <w:rFonts w:hint="eastAsia" w:ascii="宋体" w:hAnsi="宋体" w:eastAsia="宋体" w:cs="宋体"/>
          <w:b/>
          <w:bCs/>
          <w:color w:val="auto"/>
          <w:kern w:val="2"/>
          <w:sz w:val="24"/>
          <w:szCs w:val="24"/>
          <w:highlight w:val="none"/>
          <w:lang w:val="en-US" w:eastAsia="zh-CN" w:bidi="ar-SA"/>
        </w:rPr>
        <w:t>合同总金额的5%作为履约保证金。</w:t>
      </w:r>
      <w:bookmarkEnd w:id="92"/>
      <w:bookmarkEnd w:id="93"/>
      <w:bookmarkEnd w:id="94"/>
    </w:p>
    <w:p>
      <w:pPr>
        <w:pStyle w:val="6"/>
        <w:numPr>
          <w:ilvl w:val="0"/>
          <w:numId w:val="0"/>
        </w:numPr>
        <w:rPr>
          <w:color w:val="auto"/>
          <w:highlight w:val="none"/>
        </w:rPr>
      </w:pPr>
      <w:bookmarkStart w:id="95" w:name="_Toc2958"/>
      <w:bookmarkStart w:id="96" w:name="_Toc13634"/>
      <w:r>
        <w:rPr>
          <w:rFonts w:hint="eastAsia"/>
          <w:color w:val="auto"/>
          <w:highlight w:val="none"/>
        </w:rPr>
        <w:t>2.</w:t>
      </w:r>
      <w:r>
        <w:rPr>
          <w:rFonts w:hint="eastAsia"/>
          <w:color w:val="auto"/>
          <w:highlight w:val="none"/>
          <w:lang w:val="en-US" w:eastAsia="zh-CN"/>
        </w:rPr>
        <w:t>8</w:t>
      </w:r>
      <w:r>
        <w:rPr>
          <w:rFonts w:hint="eastAsia"/>
          <w:color w:val="auto"/>
          <w:highlight w:val="none"/>
        </w:rPr>
        <w:t>.5</w:t>
      </w:r>
      <w:r>
        <w:rPr>
          <w:color w:val="auto"/>
          <w:highlight w:val="none"/>
        </w:rPr>
        <w:t>合同公告</w:t>
      </w:r>
      <w:bookmarkEnd w:id="95"/>
      <w:bookmarkEnd w:id="96"/>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采购人应当自政府采购合同签订之日起2个工作日内，将政府采购合同在四川政府采购网公告，但政府采购合同中涉及国家秘密、商业秘密的内容除外。</w:t>
      </w:r>
    </w:p>
    <w:p>
      <w:pPr>
        <w:pStyle w:val="6"/>
        <w:numPr>
          <w:ilvl w:val="0"/>
          <w:numId w:val="0"/>
        </w:numPr>
        <w:rPr>
          <w:color w:val="auto"/>
          <w:highlight w:val="none"/>
        </w:rPr>
      </w:pPr>
      <w:bookmarkStart w:id="97" w:name="_Toc6524"/>
      <w:bookmarkStart w:id="98" w:name="_Toc23510"/>
      <w:r>
        <w:rPr>
          <w:rFonts w:hint="eastAsia"/>
          <w:color w:val="auto"/>
          <w:highlight w:val="none"/>
        </w:rPr>
        <w:t>2.</w:t>
      </w:r>
      <w:r>
        <w:rPr>
          <w:rFonts w:hint="eastAsia"/>
          <w:color w:val="auto"/>
          <w:highlight w:val="none"/>
          <w:lang w:val="en-US" w:eastAsia="zh-CN"/>
        </w:rPr>
        <w:t>8</w:t>
      </w:r>
      <w:r>
        <w:rPr>
          <w:rFonts w:hint="eastAsia"/>
          <w:color w:val="auto"/>
          <w:highlight w:val="none"/>
        </w:rPr>
        <w:t>.6</w:t>
      </w:r>
      <w:r>
        <w:rPr>
          <w:color w:val="auto"/>
          <w:highlight w:val="none"/>
        </w:rPr>
        <w:t>合同备案</w:t>
      </w:r>
      <w:bookmarkEnd w:id="97"/>
      <w:bookmarkEnd w:id="98"/>
    </w:p>
    <w:p>
      <w:pPr>
        <w:spacing w:line="600" w:lineRule="exact"/>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疫情防控期间，采购人原则上在5个工作日内与供应商签订政府采购合同及按成都市</w:t>
      </w:r>
      <w:r>
        <w:rPr>
          <w:rFonts w:hint="eastAsia" w:cs="Times New Roman"/>
          <w:color w:val="auto"/>
          <w:kern w:val="10"/>
          <w:sz w:val="24"/>
          <w:szCs w:val="20"/>
          <w:highlight w:val="none"/>
          <w:lang w:eastAsia="zh-CN"/>
        </w:rPr>
        <w:t>温江区</w:t>
      </w:r>
      <w:r>
        <w:rPr>
          <w:rFonts w:hint="eastAsia" w:ascii="宋体" w:hAnsi="宋体" w:cs="Times New Roman"/>
          <w:color w:val="auto"/>
          <w:kern w:val="10"/>
          <w:sz w:val="24"/>
          <w:szCs w:val="20"/>
          <w:highlight w:val="none"/>
        </w:rPr>
        <w:t>财政局的要求完成合同备案工作。</w:t>
      </w:r>
    </w:p>
    <w:p>
      <w:pPr>
        <w:pStyle w:val="6"/>
        <w:numPr>
          <w:ilvl w:val="0"/>
          <w:numId w:val="0"/>
        </w:numPr>
        <w:rPr>
          <w:color w:val="auto"/>
          <w:highlight w:val="none"/>
        </w:rPr>
      </w:pPr>
      <w:bookmarkStart w:id="99" w:name="_Toc31824"/>
      <w:bookmarkStart w:id="100" w:name="_Toc13491"/>
      <w:r>
        <w:rPr>
          <w:rFonts w:hint="eastAsia" w:cs="宋体"/>
          <w:color w:val="auto"/>
          <w:highlight w:val="none"/>
        </w:rPr>
        <w:t>2.</w:t>
      </w:r>
      <w:r>
        <w:rPr>
          <w:rFonts w:hint="eastAsia" w:cs="宋体"/>
          <w:color w:val="auto"/>
          <w:highlight w:val="none"/>
          <w:lang w:val="en-US" w:eastAsia="zh-CN"/>
        </w:rPr>
        <w:t>8</w:t>
      </w:r>
      <w:r>
        <w:rPr>
          <w:rFonts w:hint="eastAsia" w:cs="宋体"/>
          <w:color w:val="auto"/>
          <w:highlight w:val="none"/>
        </w:rPr>
        <w:t>.7履行</w:t>
      </w:r>
      <w:r>
        <w:rPr>
          <w:rFonts w:hint="eastAsia"/>
          <w:color w:val="auto"/>
          <w:highlight w:val="none"/>
        </w:rPr>
        <w:t>合同</w:t>
      </w:r>
      <w:bookmarkEnd w:id="99"/>
      <w:bookmarkEnd w:id="100"/>
    </w:p>
    <w:p>
      <w:pPr>
        <w:pStyle w:val="23"/>
        <w:ind w:firstLine="480"/>
        <w:rPr>
          <w:color w:val="auto"/>
          <w:highlight w:val="none"/>
        </w:rPr>
      </w:pPr>
      <w:r>
        <w:rPr>
          <w:rFonts w:hint="eastAsia"/>
          <w:color w:val="auto"/>
          <w:highlight w:val="none"/>
        </w:rPr>
        <w:t>一、合同一经签订，双方应严格履行合同规定的义务。</w:t>
      </w:r>
    </w:p>
    <w:p>
      <w:pPr>
        <w:pStyle w:val="23"/>
        <w:ind w:firstLine="480"/>
        <w:rPr>
          <w:color w:val="auto"/>
          <w:highlight w:val="none"/>
        </w:rPr>
      </w:pPr>
      <w:r>
        <w:rPr>
          <w:rFonts w:hint="eastAsia"/>
          <w:color w:val="auto"/>
          <w:highlight w:val="none"/>
        </w:rPr>
        <w:t>二、在合同履行过程中，如发生合同纠纷，合同双方应按照《中华人民共和国民法典》及合同条款的有关规定进行处理。</w:t>
      </w:r>
    </w:p>
    <w:p>
      <w:pPr>
        <w:pStyle w:val="6"/>
        <w:numPr>
          <w:ilvl w:val="0"/>
          <w:numId w:val="0"/>
        </w:numPr>
        <w:rPr>
          <w:color w:val="auto"/>
          <w:highlight w:val="none"/>
        </w:rPr>
      </w:pPr>
      <w:bookmarkStart w:id="101" w:name="_Toc24428"/>
      <w:bookmarkStart w:id="102" w:name="_Toc16001"/>
      <w:r>
        <w:rPr>
          <w:rFonts w:hint="eastAsia"/>
          <w:color w:val="auto"/>
          <w:highlight w:val="none"/>
        </w:rPr>
        <w:t>2.</w:t>
      </w:r>
      <w:r>
        <w:rPr>
          <w:rFonts w:hint="eastAsia"/>
          <w:color w:val="auto"/>
          <w:highlight w:val="none"/>
          <w:lang w:val="en-US" w:eastAsia="zh-CN"/>
        </w:rPr>
        <w:t>8</w:t>
      </w:r>
      <w:r>
        <w:rPr>
          <w:rFonts w:hint="eastAsia"/>
          <w:color w:val="auto"/>
          <w:highlight w:val="none"/>
        </w:rPr>
        <w:t>.8验收</w:t>
      </w:r>
      <w:bookmarkEnd w:id="101"/>
      <w:bookmarkEnd w:id="102"/>
    </w:p>
    <w:p>
      <w:pPr>
        <w:pStyle w:val="23"/>
        <w:ind w:firstLine="480"/>
        <w:rPr>
          <w:rFonts w:hint="eastAsia"/>
          <w:color w:val="auto"/>
          <w:highlight w:val="none"/>
        </w:rPr>
      </w:pPr>
      <w:r>
        <w:rPr>
          <w:rFonts w:hint="eastAsia"/>
          <w:color w:val="auto"/>
          <w:highlight w:val="none"/>
        </w:rPr>
        <w:t>采购人严格按照国家相关法律法规的要求组织验收或考核。</w:t>
      </w:r>
    </w:p>
    <w:p>
      <w:pPr>
        <w:pStyle w:val="6"/>
        <w:numPr>
          <w:ilvl w:val="0"/>
          <w:numId w:val="0"/>
        </w:numPr>
        <w:rPr>
          <w:color w:val="auto"/>
          <w:highlight w:val="none"/>
        </w:rPr>
      </w:pPr>
      <w:bookmarkStart w:id="103" w:name="_Toc16131"/>
      <w:bookmarkStart w:id="104" w:name="_Toc13655"/>
      <w:r>
        <w:rPr>
          <w:rFonts w:hint="eastAsia"/>
          <w:color w:val="auto"/>
          <w:highlight w:val="none"/>
        </w:rPr>
        <w:t>2.</w:t>
      </w:r>
      <w:r>
        <w:rPr>
          <w:rFonts w:hint="eastAsia"/>
          <w:color w:val="auto"/>
          <w:highlight w:val="none"/>
          <w:lang w:val="en-US" w:eastAsia="zh-CN"/>
        </w:rPr>
        <w:t>8</w:t>
      </w:r>
      <w:r>
        <w:rPr>
          <w:rFonts w:hint="eastAsia"/>
          <w:color w:val="auto"/>
          <w:highlight w:val="none"/>
        </w:rPr>
        <w:t>.9资金支付</w:t>
      </w:r>
      <w:bookmarkEnd w:id="103"/>
      <w:bookmarkEnd w:id="104"/>
    </w:p>
    <w:p>
      <w:pPr>
        <w:pStyle w:val="23"/>
        <w:ind w:firstLine="480"/>
        <w:rPr>
          <w:color w:val="auto"/>
          <w:highlight w:val="none"/>
        </w:rPr>
      </w:pPr>
      <w:r>
        <w:rPr>
          <w:rFonts w:hint="eastAsia"/>
          <w:color w:val="auto"/>
          <w:highlight w:val="none"/>
        </w:rPr>
        <w:t>采购人按财政部门</w:t>
      </w:r>
      <w:r>
        <w:rPr>
          <w:rFonts w:hint="eastAsia"/>
          <w:color w:val="auto"/>
          <w:highlight w:val="none"/>
          <w:lang w:eastAsia="zh-CN"/>
        </w:rPr>
        <w:t>的</w:t>
      </w:r>
      <w:r>
        <w:rPr>
          <w:rFonts w:hint="eastAsia"/>
          <w:color w:val="auto"/>
          <w:highlight w:val="none"/>
        </w:rPr>
        <w:t>有关规定及采购合同的约定进行支付。</w:t>
      </w:r>
    </w:p>
    <w:p>
      <w:pPr>
        <w:pStyle w:val="5"/>
        <w:numPr>
          <w:ilvl w:val="0"/>
          <w:numId w:val="0"/>
        </w:numPr>
        <w:spacing w:before="156" w:after="156"/>
        <w:rPr>
          <w:color w:val="auto"/>
          <w:sz w:val="24"/>
          <w:szCs w:val="24"/>
          <w:highlight w:val="none"/>
        </w:rPr>
      </w:pPr>
      <w:bookmarkStart w:id="105" w:name="_Toc17007"/>
      <w:bookmarkStart w:id="106" w:name="_Toc4237"/>
      <w:r>
        <w:rPr>
          <w:rFonts w:hint="eastAsia"/>
          <w:color w:val="auto"/>
          <w:sz w:val="24"/>
          <w:szCs w:val="24"/>
          <w:highlight w:val="none"/>
        </w:rPr>
        <w:t>2.</w:t>
      </w:r>
      <w:r>
        <w:rPr>
          <w:rFonts w:hint="eastAsia"/>
          <w:color w:val="auto"/>
          <w:sz w:val="24"/>
          <w:szCs w:val="24"/>
          <w:highlight w:val="none"/>
          <w:lang w:val="en-US" w:eastAsia="zh-CN"/>
        </w:rPr>
        <w:t>9</w:t>
      </w:r>
      <w:r>
        <w:rPr>
          <w:rFonts w:hint="eastAsia"/>
          <w:color w:val="auto"/>
          <w:sz w:val="24"/>
          <w:szCs w:val="24"/>
          <w:highlight w:val="none"/>
        </w:rPr>
        <w:t>竞争性磋商工作纪律及要求</w:t>
      </w:r>
      <w:bookmarkEnd w:id="105"/>
      <w:bookmarkEnd w:id="106"/>
    </w:p>
    <w:p>
      <w:pPr>
        <w:pStyle w:val="6"/>
        <w:numPr>
          <w:ilvl w:val="0"/>
          <w:numId w:val="0"/>
        </w:numPr>
        <w:rPr>
          <w:color w:val="auto"/>
          <w:highlight w:val="none"/>
        </w:rPr>
      </w:pPr>
      <w:bookmarkStart w:id="107" w:name="_Toc23241"/>
      <w:bookmarkStart w:id="108" w:name="_Toc5924"/>
      <w:r>
        <w:rPr>
          <w:rFonts w:hint="eastAsia"/>
          <w:color w:val="auto"/>
          <w:highlight w:val="none"/>
        </w:rPr>
        <w:t>2.</w:t>
      </w:r>
      <w:r>
        <w:rPr>
          <w:rFonts w:hint="eastAsia"/>
          <w:color w:val="auto"/>
          <w:highlight w:val="none"/>
          <w:lang w:val="en-US" w:eastAsia="zh-CN"/>
        </w:rPr>
        <w:t>9</w:t>
      </w:r>
      <w:r>
        <w:rPr>
          <w:rFonts w:hint="eastAsia"/>
          <w:color w:val="auto"/>
          <w:highlight w:val="none"/>
        </w:rPr>
        <w:t>.1供应商不得具有的情形</w:t>
      </w:r>
      <w:bookmarkEnd w:id="107"/>
      <w:bookmarkEnd w:id="108"/>
    </w:p>
    <w:p>
      <w:pPr>
        <w:pStyle w:val="23"/>
        <w:ind w:firstLine="480"/>
        <w:rPr>
          <w:color w:val="auto"/>
          <w:highlight w:val="none"/>
        </w:rPr>
      </w:pPr>
      <w:r>
        <w:rPr>
          <w:rFonts w:hint="eastAsia"/>
          <w:color w:val="auto"/>
          <w:highlight w:val="none"/>
        </w:rPr>
        <w:t>供应商参加磋商不得有下列情形：</w:t>
      </w:r>
    </w:p>
    <w:p>
      <w:pPr>
        <w:pStyle w:val="23"/>
        <w:ind w:firstLine="480"/>
        <w:rPr>
          <w:color w:val="auto"/>
          <w:highlight w:val="none"/>
        </w:rPr>
      </w:pPr>
      <w:r>
        <w:rPr>
          <w:rFonts w:hint="eastAsia"/>
          <w:color w:val="auto"/>
          <w:highlight w:val="none"/>
        </w:rPr>
        <w:t>一、有下列情形之一的，视为供应商串通参加本次竞争性磋商采购活动：</w:t>
      </w:r>
    </w:p>
    <w:p>
      <w:pPr>
        <w:pStyle w:val="23"/>
        <w:ind w:firstLine="480"/>
        <w:rPr>
          <w:color w:val="auto"/>
          <w:highlight w:val="none"/>
        </w:rPr>
      </w:pPr>
      <w:r>
        <w:rPr>
          <w:rFonts w:hint="eastAsia"/>
          <w:color w:val="auto"/>
          <w:highlight w:val="none"/>
        </w:rPr>
        <w:t>（一）不同供应商的响应文件由同一单位或者个人编制；</w:t>
      </w:r>
    </w:p>
    <w:p>
      <w:pPr>
        <w:pStyle w:val="23"/>
        <w:ind w:firstLine="480"/>
        <w:rPr>
          <w:color w:val="auto"/>
          <w:highlight w:val="none"/>
        </w:rPr>
      </w:pPr>
      <w:r>
        <w:rPr>
          <w:rFonts w:hint="eastAsia"/>
          <w:color w:val="auto"/>
          <w:highlight w:val="none"/>
        </w:rPr>
        <w:t>（二）不同供应商委托同一单位或者个人办理磋商事宜；</w:t>
      </w:r>
    </w:p>
    <w:p>
      <w:pPr>
        <w:pStyle w:val="23"/>
        <w:ind w:firstLine="480"/>
        <w:rPr>
          <w:color w:val="auto"/>
          <w:highlight w:val="none"/>
        </w:rPr>
      </w:pPr>
      <w:r>
        <w:rPr>
          <w:rFonts w:hint="eastAsia"/>
          <w:color w:val="auto"/>
          <w:highlight w:val="none"/>
        </w:rPr>
        <w:t>（三）不同供应商的响应文件载明的项目管理成员或者联系人员为同一人；</w:t>
      </w:r>
    </w:p>
    <w:p>
      <w:pPr>
        <w:pStyle w:val="23"/>
        <w:ind w:firstLine="480"/>
        <w:rPr>
          <w:color w:val="auto"/>
          <w:highlight w:val="none"/>
        </w:rPr>
      </w:pPr>
      <w:r>
        <w:rPr>
          <w:rFonts w:hint="eastAsia"/>
          <w:color w:val="auto"/>
          <w:highlight w:val="none"/>
        </w:rPr>
        <w:t>（四）不同供应商的响应文件异常一致或者最后报价呈规律性差异；</w:t>
      </w:r>
    </w:p>
    <w:p>
      <w:pPr>
        <w:pStyle w:val="23"/>
        <w:ind w:firstLine="480"/>
        <w:rPr>
          <w:color w:val="auto"/>
          <w:highlight w:val="none"/>
        </w:rPr>
      </w:pPr>
      <w:r>
        <w:rPr>
          <w:rFonts w:hint="eastAsia"/>
          <w:color w:val="auto"/>
          <w:highlight w:val="none"/>
        </w:rPr>
        <w:t>（五）不同供应商的响应文件相互混装；</w:t>
      </w:r>
    </w:p>
    <w:p>
      <w:pPr>
        <w:pStyle w:val="23"/>
        <w:ind w:firstLine="480"/>
        <w:rPr>
          <w:color w:val="auto"/>
          <w:highlight w:val="none"/>
          <w:lang w:eastAsia="zh-CN"/>
        </w:rPr>
      </w:pPr>
      <w:r>
        <w:rPr>
          <w:rFonts w:hint="eastAsia"/>
          <w:color w:val="auto"/>
          <w:highlight w:val="none"/>
        </w:rPr>
        <w:t>（六）不同供应商的磋商保证金从同一单位或者个人的账户转出；</w:t>
      </w:r>
    </w:p>
    <w:p>
      <w:pPr>
        <w:pStyle w:val="23"/>
        <w:ind w:firstLine="480"/>
        <w:rPr>
          <w:color w:val="auto"/>
          <w:highlight w:val="none"/>
        </w:rPr>
      </w:pPr>
      <w:r>
        <w:rPr>
          <w:rFonts w:hint="eastAsia"/>
          <w:color w:val="auto"/>
          <w:highlight w:val="none"/>
        </w:rPr>
        <w:t>二、提供虚假材料谋取成交；</w:t>
      </w:r>
    </w:p>
    <w:p>
      <w:pPr>
        <w:pStyle w:val="23"/>
        <w:ind w:firstLine="480"/>
        <w:rPr>
          <w:color w:val="auto"/>
          <w:highlight w:val="none"/>
        </w:rPr>
      </w:pPr>
      <w:r>
        <w:rPr>
          <w:rFonts w:hint="eastAsia"/>
          <w:color w:val="auto"/>
          <w:highlight w:val="none"/>
        </w:rPr>
        <w:t>三、采取不正当手段诋毁、排挤其他供应商；</w:t>
      </w:r>
    </w:p>
    <w:p>
      <w:pPr>
        <w:pStyle w:val="23"/>
        <w:ind w:firstLine="480"/>
        <w:rPr>
          <w:color w:val="auto"/>
          <w:highlight w:val="none"/>
        </w:rPr>
      </w:pPr>
      <w:r>
        <w:rPr>
          <w:rFonts w:hint="eastAsia"/>
          <w:color w:val="auto"/>
          <w:highlight w:val="none"/>
        </w:rPr>
        <w:t>四、与采购人或区公资交易中心、其他供应商恶意串通；</w:t>
      </w:r>
    </w:p>
    <w:p>
      <w:pPr>
        <w:pStyle w:val="23"/>
        <w:ind w:firstLine="480"/>
        <w:rPr>
          <w:color w:val="auto"/>
          <w:highlight w:val="none"/>
        </w:rPr>
      </w:pPr>
      <w:r>
        <w:rPr>
          <w:rFonts w:hint="eastAsia"/>
          <w:color w:val="auto"/>
          <w:highlight w:val="none"/>
        </w:rPr>
        <w:t>五、向采购人或区公资交易中心、磋商小组成员行贿或者提供其他不正当利益；</w:t>
      </w:r>
    </w:p>
    <w:p>
      <w:pPr>
        <w:numPr>
          <w:ilvl w:val="0"/>
          <w:numId w:val="0"/>
        </w:numPr>
        <w:tabs>
          <w:tab w:val="left" w:pos="1134"/>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六、</w:t>
      </w:r>
      <w:r>
        <w:rPr>
          <w:rFonts w:hint="eastAsia" w:ascii="宋体" w:hAnsi="宋体" w:cs="Times New Roman"/>
          <w:color w:val="auto"/>
          <w:kern w:val="10"/>
          <w:sz w:val="24"/>
          <w:szCs w:val="20"/>
          <w:highlight w:val="none"/>
        </w:rPr>
        <w:t>在</w:t>
      </w:r>
      <w:r>
        <w:rPr>
          <w:rFonts w:hint="eastAsia" w:cs="Times New Roman"/>
          <w:color w:val="auto"/>
          <w:kern w:val="10"/>
          <w:sz w:val="24"/>
          <w:szCs w:val="20"/>
          <w:highlight w:val="none"/>
          <w:lang w:eastAsia="zh-CN"/>
        </w:rPr>
        <w:t>磋商</w:t>
      </w:r>
      <w:r>
        <w:rPr>
          <w:rFonts w:hint="eastAsia" w:ascii="宋体" w:hAnsi="宋体" w:cs="Times New Roman"/>
          <w:color w:val="auto"/>
          <w:kern w:val="10"/>
          <w:sz w:val="24"/>
          <w:szCs w:val="20"/>
          <w:highlight w:val="none"/>
        </w:rPr>
        <w:t>过程中与采购人或</w:t>
      </w:r>
      <w:r>
        <w:rPr>
          <w:rFonts w:hint="eastAsia" w:cs="Times New Roman"/>
          <w:color w:val="auto"/>
          <w:kern w:val="10"/>
          <w:sz w:val="24"/>
          <w:szCs w:val="20"/>
          <w:highlight w:val="none"/>
          <w:lang w:eastAsia="zh-CN"/>
        </w:rPr>
        <w:t>区</w:t>
      </w:r>
      <w:r>
        <w:rPr>
          <w:rFonts w:hint="eastAsia" w:cs="Times New Roman"/>
          <w:color w:val="auto"/>
          <w:kern w:val="10"/>
          <w:sz w:val="24"/>
          <w:szCs w:val="20"/>
          <w:highlight w:val="none"/>
        </w:rPr>
        <w:t>公资交易中心</w:t>
      </w:r>
      <w:r>
        <w:rPr>
          <w:rFonts w:hint="eastAsia" w:ascii="宋体" w:hAnsi="宋体" w:cs="Times New Roman"/>
          <w:color w:val="auto"/>
          <w:kern w:val="10"/>
          <w:sz w:val="24"/>
          <w:szCs w:val="20"/>
          <w:highlight w:val="none"/>
        </w:rPr>
        <w:t>进行协商谈判；</w:t>
      </w:r>
    </w:p>
    <w:p>
      <w:pPr>
        <w:numPr>
          <w:ilvl w:val="0"/>
          <w:numId w:val="0"/>
        </w:numPr>
        <w:tabs>
          <w:tab w:val="left" w:pos="1134"/>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七、成交</w:t>
      </w:r>
      <w:r>
        <w:rPr>
          <w:rFonts w:hint="eastAsia" w:ascii="宋体" w:hAnsi="宋体" w:cs="Times New Roman"/>
          <w:color w:val="auto"/>
          <w:kern w:val="10"/>
          <w:sz w:val="24"/>
          <w:szCs w:val="20"/>
          <w:highlight w:val="none"/>
        </w:rPr>
        <w:t>后无正当理由拒不与采购人签订政府采购合同；</w:t>
      </w:r>
    </w:p>
    <w:p>
      <w:pPr>
        <w:numPr>
          <w:ilvl w:val="0"/>
          <w:numId w:val="0"/>
        </w:numPr>
        <w:tabs>
          <w:tab w:val="left" w:pos="1134"/>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八、</w:t>
      </w:r>
      <w:r>
        <w:rPr>
          <w:rFonts w:hint="eastAsia" w:ascii="宋体" w:hAnsi="宋体" w:cs="Times New Roman"/>
          <w:color w:val="auto"/>
          <w:kern w:val="10"/>
          <w:sz w:val="24"/>
          <w:szCs w:val="20"/>
          <w:highlight w:val="none"/>
        </w:rPr>
        <w:t>未按照采购文件确定的事项签订政府采购合同；</w:t>
      </w:r>
    </w:p>
    <w:p>
      <w:pPr>
        <w:numPr>
          <w:ilvl w:val="0"/>
          <w:numId w:val="0"/>
        </w:numPr>
        <w:tabs>
          <w:tab w:val="left" w:pos="1134"/>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九、</w:t>
      </w:r>
      <w:r>
        <w:rPr>
          <w:rFonts w:hint="eastAsia" w:ascii="宋体" w:hAnsi="宋体" w:cs="Times New Roman"/>
          <w:color w:val="auto"/>
          <w:kern w:val="10"/>
          <w:sz w:val="24"/>
          <w:szCs w:val="20"/>
          <w:highlight w:val="none"/>
        </w:rPr>
        <w:t>将政府采购合同转包或者违规分包；</w:t>
      </w:r>
    </w:p>
    <w:p>
      <w:pPr>
        <w:numPr>
          <w:ilvl w:val="0"/>
          <w:numId w:val="0"/>
        </w:numPr>
        <w:tabs>
          <w:tab w:val="left" w:pos="1134"/>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十、</w:t>
      </w:r>
      <w:r>
        <w:rPr>
          <w:rFonts w:hint="eastAsia" w:ascii="宋体" w:hAnsi="宋体" w:cs="Times New Roman"/>
          <w:color w:val="auto"/>
          <w:kern w:val="10"/>
          <w:sz w:val="24"/>
          <w:szCs w:val="20"/>
          <w:highlight w:val="none"/>
        </w:rPr>
        <w:t>提供假冒伪劣产品；</w:t>
      </w:r>
    </w:p>
    <w:p>
      <w:pPr>
        <w:numPr>
          <w:ilvl w:val="0"/>
          <w:numId w:val="0"/>
        </w:numPr>
        <w:tabs>
          <w:tab w:val="left" w:pos="1134"/>
          <w:tab w:val="left" w:pos="1418"/>
        </w:tabs>
        <w:spacing w:line="360" w:lineRule="auto"/>
        <w:ind w:left="567" w:firstLine="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十一、</w:t>
      </w:r>
      <w:r>
        <w:rPr>
          <w:rFonts w:hint="eastAsia" w:ascii="宋体" w:hAnsi="宋体" w:cs="Times New Roman"/>
          <w:color w:val="auto"/>
          <w:kern w:val="10"/>
          <w:sz w:val="24"/>
          <w:szCs w:val="20"/>
          <w:highlight w:val="none"/>
        </w:rPr>
        <w:t>擅自变更、中止或者终止政府采购合同；</w:t>
      </w:r>
    </w:p>
    <w:p>
      <w:pPr>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十四、处于被行政部门禁止参与政府采购活动的期限内；</w:t>
      </w:r>
    </w:p>
    <w:p>
      <w:pPr>
        <w:tabs>
          <w:tab w:val="left" w:pos="1134"/>
        </w:tabs>
        <w:spacing w:line="360" w:lineRule="auto"/>
        <w:ind w:left="567"/>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十五、拒绝有关部门的监督检查或者向监督检查部门提供虚假情况；</w:t>
      </w:r>
    </w:p>
    <w:p>
      <w:pPr>
        <w:spacing w:after="180" w:line="360" w:lineRule="auto"/>
        <w:ind w:firstLine="484" w:firstLineChars="202"/>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十六、法律法规规定的其他情形。</w:t>
      </w:r>
    </w:p>
    <w:p>
      <w:pPr>
        <w:pStyle w:val="8"/>
        <w:spacing w:line="600" w:lineRule="exact"/>
        <w:ind w:firstLine="484" w:firstLineChars="202"/>
        <w:rPr>
          <w:rFonts w:hint="eastAsia" w:ascii="宋体" w:hAnsi="宋体" w:cs="Times New Roman"/>
          <w:color w:val="auto"/>
          <w:kern w:val="10"/>
          <w:sz w:val="24"/>
          <w:szCs w:val="20"/>
          <w:highlight w:val="none"/>
          <w:lang w:val="en-US" w:eastAsia="zh-CN" w:bidi="ar-SA"/>
        </w:rPr>
      </w:pPr>
      <w:r>
        <w:rPr>
          <w:rFonts w:hint="eastAsia" w:ascii="宋体" w:hAnsi="宋体" w:cs="Times New Roman"/>
          <w:color w:val="auto"/>
          <w:kern w:val="10"/>
          <w:sz w:val="24"/>
          <w:szCs w:val="20"/>
          <w:highlight w:val="none"/>
          <w:lang w:val="en-US" w:eastAsia="zh-CN" w:bidi="ar-SA"/>
        </w:rPr>
        <w:t>供应商有上述情形的，按照规定追究法律责任，具备一至十四条情形之一的，同时将认定供应商响应文件无效或不确定其为成交供应商，或者取消成交资格或认定成交无效。</w:t>
      </w:r>
    </w:p>
    <w:p>
      <w:pPr>
        <w:pStyle w:val="6"/>
        <w:numPr>
          <w:ilvl w:val="0"/>
          <w:numId w:val="0"/>
        </w:numPr>
        <w:rPr>
          <w:color w:val="auto"/>
          <w:highlight w:val="none"/>
        </w:rPr>
      </w:pPr>
      <w:bookmarkStart w:id="109" w:name="_Toc20047"/>
      <w:bookmarkStart w:id="110" w:name="_Toc32027"/>
      <w:r>
        <w:rPr>
          <w:rFonts w:hint="eastAsia"/>
          <w:color w:val="auto"/>
          <w:highlight w:val="none"/>
        </w:rPr>
        <w:t>2.</w:t>
      </w: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2</w:t>
      </w:r>
      <w:r>
        <w:rPr>
          <w:rFonts w:hint="eastAsia"/>
          <w:color w:val="auto"/>
          <w:highlight w:val="none"/>
        </w:rPr>
        <w:t>回避</w:t>
      </w:r>
      <w:bookmarkEnd w:id="109"/>
      <w:bookmarkEnd w:id="110"/>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在政府采购活动中，采购人员</w:t>
      </w:r>
      <w:r>
        <w:rPr>
          <w:rFonts w:hint="eastAsia" w:cs="Times New Roman"/>
          <w:color w:val="auto"/>
          <w:kern w:val="10"/>
          <w:sz w:val="24"/>
          <w:szCs w:val="20"/>
          <w:highlight w:val="none"/>
        </w:rPr>
        <w:t>（如采购人内部负责采购项目的具体经办工作人员或直接分管采购项目的负责人、</w:t>
      </w:r>
      <w:r>
        <w:rPr>
          <w:rFonts w:hint="eastAsia" w:cs="Times New Roman"/>
          <w:color w:val="auto"/>
          <w:kern w:val="10"/>
          <w:sz w:val="24"/>
          <w:szCs w:val="20"/>
          <w:highlight w:val="none"/>
          <w:lang w:eastAsia="zh-CN"/>
        </w:rPr>
        <w:t>区</w:t>
      </w:r>
      <w:r>
        <w:rPr>
          <w:rFonts w:hint="eastAsia" w:cs="Times New Roman"/>
          <w:color w:val="auto"/>
          <w:kern w:val="10"/>
          <w:sz w:val="24"/>
          <w:szCs w:val="20"/>
          <w:highlight w:val="none"/>
        </w:rPr>
        <w:t>公资交易中心负责采购项目的具体经办工作人员或直接分管采购活动的负责人等）</w:t>
      </w:r>
      <w:r>
        <w:rPr>
          <w:rFonts w:hint="eastAsia" w:ascii="宋体" w:hAnsi="宋体" w:cs="Times New Roman"/>
          <w:color w:val="auto"/>
          <w:kern w:val="10"/>
          <w:sz w:val="24"/>
          <w:szCs w:val="20"/>
          <w:highlight w:val="none"/>
        </w:rPr>
        <w:t>及相关人员与供应商有下列利害关系之一的，应当回避：</w:t>
      </w:r>
    </w:p>
    <w:p>
      <w:pPr>
        <w:shd w:val="clear" w:color="auto" w:fill="auto"/>
        <w:tabs>
          <w:tab w:val="left" w:pos="1134"/>
        </w:tabs>
        <w:spacing w:line="360" w:lineRule="auto"/>
        <w:ind w:left="0"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（一）参加采购活动前3年内与供应商存在劳动关系；</w:t>
      </w:r>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（二）参加采购活动前3年内担任供应商的董事、监事；</w:t>
      </w:r>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（三）参加采购活动前3年内是供应商的控股股东或者实际控制人；</w:t>
      </w:r>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（四）与供应商的法定代表人或者负责人有夫妻、直系血亲、三代以内旁系血亲或者近姻亲关系；</w:t>
      </w:r>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（五）与供应商有其他可能影响政府采购活动公平、公正进行的关系。</w:t>
      </w:r>
    </w:p>
    <w:p>
      <w:pPr>
        <w:shd w:val="clear" w:color="auto" w:fill="auto"/>
        <w:tabs>
          <w:tab w:val="left" w:pos="1134"/>
        </w:tabs>
        <w:spacing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numPr>
          <w:ilvl w:val="0"/>
          <w:numId w:val="0"/>
        </w:numPr>
        <w:spacing w:before="156" w:after="156"/>
        <w:rPr>
          <w:color w:val="auto"/>
          <w:highlight w:val="none"/>
        </w:rPr>
      </w:pPr>
      <w:bookmarkStart w:id="111" w:name="_Toc4271"/>
      <w:bookmarkStart w:id="112" w:name="_Toc20657"/>
      <w:r>
        <w:rPr>
          <w:rFonts w:hint="eastAsia"/>
          <w:color w:val="auto"/>
          <w:highlight w:val="none"/>
        </w:rPr>
        <w:t>2.</w:t>
      </w:r>
      <w:r>
        <w:rPr>
          <w:rFonts w:hint="eastAsia"/>
          <w:color w:val="auto"/>
          <w:highlight w:val="none"/>
          <w:lang w:val="en-US" w:eastAsia="zh-CN"/>
        </w:rPr>
        <w:t>10</w:t>
      </w:r>
      <w:r>
        <w:rPr>
          <w:rFonts w:hint="eastAsia"/>
          <w:color w:val="auto"/>
          <w:highlight w:val="none"/>
        </w:rPr>
        <w:t>询问、质疑和投诉</w:t>
      </w:r>
      <w:bookmarkEnd w:id="111"/>
      <w:bookmarkEnd w:id="112"/>
    </w:p>
    <w:p>
      <w:pPr>
        <w:pStyle w:val="11"/>
        <w:numPr>
          <w:ilvl w:val="0"/>
          <w:numId w:val="8"/>
        </w:numPr>
        <w:tabs>
          <w:tab w:val="left" w:pos="1134"/>
        </w:tabs>
        <w:spacing w:after="0" w:line="600" w:lineRule="exact"/>
        <w:ind w:left="0" w:leftChars="0" w:firstLine="567"/>
        <w:rPr>
          <w:rFonts w:ascii="宋体" w:hAnsi="宋体" w:cs="宋体"/>
          <w:color w:val="auto"/>
          <w:sz w:val="24"/>
          <w:szCs w:val="24"/>
          <w:highlight w:val="none"/>
        </w:rPr>
      </w:pPr>
      <w:r>
        <w:rPr>
          <w:rFonts w:hint="eastAsia" w:ascii="宋体" w:hAnsi="宋体" w:cs="宋体"/>
          <w:color w:val="auto"/>
          <w:sz w:val="24"/>
          <w:szCs w:val="24"/>
          <w:highlight w:val="none"/>
        </w:rPr>
        <w:t>供应商认为磋商文件、磋商过程和成交结果使自己的合法权益受到损害的，可以依法进行质疑。</w:t>
      </w:r>
    </w:p>
    <w:p>
      <w:pPr>
        <w:pStyle w:val="29"/>
        <w:widowControl/>
        <w:numPr>
          <w:ilvl w:val="0"/>
          <w:numId w:val="8"/>
        </w:numPr>
        <w:tabs>
          <w:tab w:val="left" w:pos="1134"/>
        </w:tabs>
        <w:spacing w:before="156"/>
        <w:ind w:left="0" w:firstLine="484" w:firstLineChars="202"/>
        <w:jc w:val="left"/>
        <w:rPr>
          <w:rFonts w:ascii="宋体" w:hAnsi="宋体" w:eastAsia="宋体"/>
          <w:color w:val="auto"/>
          <w:sz w:val="24"/>
          <w:szCs w:val="24"/>
          <w:highlight w:val="none"/>
        </w:rPr>
      </w:pPr>
      <w:r>
        <w:rPr>
          <w:rFonts w:hint="eastAsia" w:ascii="宋体" w:hAnsi="宋体" w:eastAsia="宋体"/>
          <w:color w:val="auto"/>
          <w:sz w:val="24"/>
          <w:szCs w:val="24"/>
          <w:highlight w:val="none"/>
        </w:rPr>
        <w:t>询问、质疑、投诉的接收和处理严格按照《中华人民共和国政府采购法》《中华人民共和国政府采购法实施条例》和《政府采购质疑和投诉办法》（财政部94号令）的规定办理。</w:t>
      </w:r>
    </w:p>
    <w:p>
      <w:pPr>
        <w:pStyle w:val="11"/>
        <w:numPr>
          <w:ilvl w:val="0"/>
          <w:numId w:val="8"/>
        </w:numPr>
        <w:tabs>
          <w:tab w:val="left" w:pos="1134"/>
        </w:tabs>
        <w:spacing w:after="0"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供应商询问、质疑的对象</w:t>
      </w:r>
    </w:p>
    <w:p>
      <w:pPr>
        <w:pStyle w:val="11"/>
        <w:numPr>
          <w:ilvl w:val="1"/>
          <w:numId w:val="9"/>
        </w:numPr>
        <w:tabs>
          <w:tab w:val="left" w:pos="1134"/>
        </w:tabs>
        <w:spacing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供应商对磋商文件中供应商参加本次政府采购活动应当具备的条件，项目技术、服务、商务及其他要求，评审办法</w:t>
      </w:r>
      <w:r>
        <w:rPr>
          <w:rFonts w:ascii="宋体" w:hAnsi="宋体"/>
          <w:color w:val="auto"/>
          <w:sz w:val="24"/>
          <w:szCs w:val="24"/>
          <w:highlight w:val="none"/>
        </w:rPr>
        <w:t>和</w:t>
      </w:r>
      <w:r>
        <w:rPr>
          <w:rFonts w:hint="eastAsia" w:ascii="宋体" w:hAnsi="宋体"/>
          <w:color w:val="auto"/>
          <w:sz w:val="24"/>
          <w:szCs w:val="24"/>
          <w:highlight w:val="none"/>
        </w:rPr>
        <w:t>标准提出询问或质疑的，应通过</w:t>
      </w:r>
      <w:r>
        <w:rPr>
          <w:rFonts w:ascii="宋体" w:hAnsi="宋体"/>
          <w:color w:val="auto"/>
          <w:sz w:val="24"/>
          <w:szCs w:val="24"/>
          <w:highlight w:val="none"/>
        </w:rPr>
        <w:t>政府采购云平台</w:t>
      </w:r>
      <w:r>
        <w:rPr>
          <w:rFonts w:hint="eastAsia" w:ascii="宋体" w:hAnsi="宋体"/>
          <w:color w:val="auto"/>
          <w:sz w:val="24"/>
          <w:szCs w:val="24"/>
          <w:highlight w:val="none"/>
        </w:rPr>
        <w:t>向采购人提出；</w:t>
      </w:r>
    </w:p>
    <w:p>
      <w:pPr>
        <w:pStyle w:val="11"/>
        <w:numPr>
          <w:ilvl w:val="1"/>
          <w:numId w:val="9"/>
        </w:numPr>
        <w:tabs>
          <w:tab w:val="left" w:pos="1134"/>
        </w:tabs>
        <w:spacing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供应商对除上述磋商文件中的其他内容、采购过程及成交结果提出询问、质疑的，应通过</w:t>
      </w:r>
      <w:r>
        <w:rPr>
          <w:rFonts w:ascii="宋体" w:hAnsi="宋体"/>
          <w:color w:val="auto"/>
          <w:sz w:val="24"/>
          <w:szCs w:val="24"/>
          <w:highlight w:val="none"/>
        </w:rPr>
        <w:t>政府采购云平台</w:t>
      </w:r>
      <w:r>
        <w:rPr>
          <w:rFonts w:hint="eastAsia" w:ascii="宋体" w:hAnsi="宋体"/>
          <w:color w:val="auto"/>
          <w:sz w:val="24"/>
          <w:szCs w:val="24"/>
          <w:highlight w:val="none"/>
        </w:rPr>
        <w:t>向</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公资交易中心提出。</w:t>
      </w:r>
    </w:p>
    <w:p>
      <w:pPr>
        <w:pStyle w:val="11"/>
        <w:numPr>
          <w:ilvl w:val="0"/>
          <w:numId w:val="8"/>
        </w:numPr>
        <w:tabs>
          <w:tab w:val="left" w:pos="1134"/>
        </w:tabs>
        <w:spacing w:after="0"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供应商提出的询问，应当明确询问事项，如以书面形式提出的，应由供应商法定代表人签字并加盖公章。</w:t>
      </w:r>
    </w:p>
    <w:p>
      <w:pPr>
        <w:pStyle w:val="11"/>
        <w:numPr>
          <w:ilvl w:val="0"/>
          <w:numId w:val="8"/>
        </w:numPr>
        <w:tabs>
          <w:tab w:val="left" w:pos="1134"/>
        </w:tabs>
        <w:spacing w:after="0"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供应商应在法定质疑期内一次性提出针对同一采购程序环节的质疑。</w:t>
      </w:r>
    </w:p>
    <w:p>
      <w:pPr>
        <w:pStyle w:val="11"/>
        <w:numPr>
          <w:ilvl w:val="0"/>
          <w:numId w:val="8"/>
        </w:numPr>
        <w:tabs>
          <w:tab w:val="left" w:pos="1134"/>
        </w:tabs>
        <w:spacing w:after="0" w:line="600" w:lineRule="exact"/>
        <w:ind w:left="0" w:leftChars="0" w:firstLine="567"/>
        <w:rPr>
          <w:rFonts w:ascii="宋体" w:hAnsi="宋体"/>
          <w:color w:val="auto"/>
          <w:sz w:val="24"/>
          <w:szCs w:val="24"/>
          <w:highlight w:val="none"/>
        </w:rPr>
      </w:pPr>
      <w:r>
        <w:rPr>
          <w:rFonts w:hint="eastAsia" w:ascii="宋体" w:hAnsi="宋体"/>
          <w:color w:val="auto"/>
          <w:sz w:val="24"/>
          <w:szCs w:val="24"/>
          <w:highlight w:val="none"/>
        </w:rPr>
        <w:t>供应商提出质疑时应当准备的资料</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ascii="宋体" w:hAnsi="宋体" w:eastAsia="宋体"/>
          <w:color w:val="auto"/>
          <w:sz w:val="24"/>
          <w:szCs w:val="24"/>
          <w:highlight w:val="none"/>
        </w:rPr>
        <w:t>质疑书</w:t>
      </w:r>
      <w:r>
        <w:rPr>
          <w:rFonts w:hint="eastAsia" w:ascii="宋体" w:hAnsi="宋体" w:eastAsia="宋体"/>
          <w:color w:val="auto"/>
          <w:sz w:val="24"/>
          <w:szCs w:val="24"/>
          <w:highlight w:val="none"/>
        </w:rPr>
        <w:t>1</w:t>
      </w:r>
      <w:r>
        <w:rPr>
          <w:rFonts w:ascii="宋体" w:hAnsi="宋体" w:eastAsia="宋体"/>
          <w:color w:val="auto"/>
          <w:sz w:val="24"/>
          <w:szCs w:val="24"/>
          <w:highlight w:val="none"/>
        </w:rPr>
        <w:t>份</w:t>
      </w:r>
      <w:r>
        <w:rPr>
          <w:rFonts w:hint="eastAsia" w:ascii="宋体" w:hAnsi="宋体" w:eastAsia="宋体"/>
          <w:color w:val="auto"/>
          <w:sz w:val="24"/>
          <w:szCs w:val="24"/>
          <w:highlight w:val="none"/>
        </w:rPr>
        <w:t>（加盖公章）；</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委托代理人办理质疑事宜的，需提供法定代表人授权委托书1份（加盖公章）；</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营业执照或法人证书复印件1份；</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法定代表人身份证复印件1份；</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委托代理人身份证复印件1份（委托代理人办理质疑事宜的需提供）；</w:t>
      </w:r>
    </w:p>
    <w:p>
      <w:pPr>
        <w:pStyle w:val="29"/>
        <w:numPr>
          <w:ilvl w:val="1"/>
          <w:numId w:val="10"/>
        </w:numPr>
        <w:tabs>
          <w:tab w:val="left" w:pos="1134"/>
        </w:tabs>
        <w:spacing w:before="156" w:after="200" w:line="60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针对质疑事项必要的证明材料。</w:t>
      </w:r>
    </w:p>
    <w:p>
      <w:pPr>
        <w:pStyle w:val="11"/>
        <w:tabs>
          <w:tab w:val="left" w:pos="1134"/>
        </w:tabs>
        <w:spacing w:after="200" w:line="360" w:lineRule="auto"/>
        <w:ind w:left="0" w:leftChars="0" w:firstLine="600" w:firstLineChars="250"/>
        <w:rPr>
          <w:color w:val="auto"/>
          <w:sz w:val="24"/>
          <w:szCs w:val="24"/>
          <w:highlight w:val="none"/>
        </w:rPr>
      </w:pPr>
      <w:r>
        <w:rPr>
          <w:rFonts w:hint="eastAsia" w:ascii="宋体" w:hAnsi="宋体"/>
          <w:color w:val="auto"/>
          <w:sz w:val="24"/>
          <w:szCs w:val="24"/>
          <w:highlight w:val="none"/>
        </w:rPr>
        <w:t>供应商对采购人、集中采购机构的质疑答复不满意，或者采购人、集中采购机构未在规定期限内作出答复的，供应商可以在答复期满后15个工作日内向同级财政部门提起投诉。</w:t>
      </w:r>
      <w:bookmarkStart w:id="113" w:name="_Toc77688481"/>
      <w:bookmarkEnd w:id="113"/>
      <w:bookmarkStart w:id="114" w:name="_Toc77688482"/>
      <w:bookmarkEnd w:id="114"/>
      <w:bookmarkStart w:id="115" w:name="_Toc77688483"/>
      <w:bookmarkEnd w:id="115"/>
      <w:bookmarkStart w:id="116" w:name="_Toc376425021"/>
      <w:bookmarkEnd w:id="116"/>
    </w:p>
    <w:p>
      <w:pPr>
        <w:pStyle w:val="5"/>
        <w:numPr>
          <w:ilvl w:val="0"/>
          <w:numId w:val="0"/>
        </w:numPr>
        <w:spacing w:before="156" w:after="156"/>
        <w:rPr>
          <w:color w:val="auto"/>
          <w:highlight w:val="none"/>
        </w:rPr>
      </w:pPr>
      <w:bookmarkStart w:id="117" w:name="_Toc15019"/>
      <w:bookmarkStart w:id="118" w:name="_Toc11634"/>
      <w:r>
        <w:rPr>
          <w:rFonts w:hint="eastAsia"/>
          <w:color w:val="auto"/>
          <w:highlight w:val="none"/>
        </w:rPr>
        <w:t>2.</w:t>
      </w:r>
      <w:bookmarkStart w:id="119" w:name="_Toc74926772"/>
      <w:r>
        <w:rPr>
          <w:rFonts w:hint="eastAsia"/>
          <w:color w:val="auto"/>
          <w:highlight w:val="none"/>
          <w:lang w:val="en-US" w:eastAsia="zh-CN"/>
        </w:rPr>
        <w:t>11</w:t>
      </w:r>
      <w:r>
        <w:rPr>
          <w:rFonts w:hint="eastAsia" w:ascii="宋体" w:hAnsi="宋体"/>
          <w:b/>
          <w:bCs/>
          <w:color w:val="auto"/>
          <w:sz w:val="28"/>
          <w:szCs w:val="28"/>
          <w:highlight w:val="none"/>
        </w:rPr>
        <w:t>中小企业政府采购信用融资</w:t>
      </w:r>
      <w:bookmarkEnd w:id="117"/>
      <w:bookmarkEnd w:id="118"/>
      <w:bookmarkEnd w:id="119"/>
    </w:p>
    <w:p>
      <w:pPr>
        <w:pStyle w:val="23"/>
        <w:ind w:firstLine="480"/>
        <w:rPr>
          <w:rFonts w:hint="eastAsia"/>
          <w:color w:val="auto"/>
          <w:highlight w:val="none"/>
          <w:lang w:eastAsia="zh-CN"/>
        </w:rPr>
      </w:pPr>
      <w:r>
        <w:rPr>
          <w:rFonts w:hint="eastAsia" w:ascii="宋体" w:hAnsi="宋体"/>
          <w:color w:val="auto"/>
          <w:highlight w:val="none"/>
        </w:rPr>
        <w:t>参加本次采购活动成交的中小企业无需提供财产抵押或第三方担保，凭借政府采购合同可向融资机构申请融资。具体内容详见附件《成都市温江区财政局关于公布温江区首批支持中小企业政府采购信用融资银行名单的公告》和《成都市财政局关于公布成都市首批在线开展政府采购信用融资业务银行名单的通知》（成财采〔2019〕49号）。</w:t>
      </w:r>
    </w:p>
    <w:p>
      <w:pPr>
        <w:rPr>
          <w:color w:val="auto"/>
          <w:highlight w:val="none"/>
        </w:rPr>
      </w:pPr>
      <w:bookmarkStart w:id="120" w:name="EB779828d01d25400aa2feafedf89f74b6"/>
      <w:r>
        <w:rPr>
          <w:rFonts w:hint="eastAsia"/>
          <w:color w:val="auto"/>
          <w:sz w:val="20"/>
          <w:highlight w:val="none"/>
        </w:rPr>
        <w:t xml:space="preserve"> </w:t>
      </w:r>
      <w:bookmarkEnd w:id="120"/>
    </w:p>
    <w:p>
      <w:pPr>
        <w:numPr>
          <w:ilvl w:val="0"/>
          <w:numId w:val="11"/>
        </w:numPr>
        <w:tabs>
          <w:tab w:val="left" w:pos="1200"/>
        </w:tabs>
        <w:spacing w:line="360" w:lineRule="auto"/>
        <w:rPr>
          <w:color w:val="auto"/>
          <w:sz w:val="28"/>
          <w:szCs w:val="28"/>
          <w:highlight w:val="none"/>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p>
    <w:p>
      <w:pPr>
        <w:pStyle w:val="4"/>
        <w:numPr>
          <w:ilvl w:val="0"/>
          <w:numId w:val="12"/>
        </w:numPr>
        <w:rPr>
          <w:rFonts w:hint="eastAsia"/>
          <w:color w:val="auto"/>
          <w:highlight w:val="none"/>
        </w:rPr>
      </w:pPr>
      <w:bookmarkStart w:id="121" w:name="_Toc20882"/>
      <w:bookmarkStart w:id="122" w:name="_Toc6355"/>
      <w:bookmarkStart w:id="123" w:name="EB20b4495b86c340da89ed6c67e8d127ac"/>
      <w:r>
        <w:rPr>
          <w:rFonts w:hint="eastAsia"/>
          <w:color w:val="auto"/>
          <w:highlight w:val="none"/>
        </w:rPr>
        <w:t>响应文件格式</w:t>
      </w:r>
      <w:bookmarkEnd w:id="121"/>
      <w:bookmarkEnd w:id="122"/>
      <w:bookmarkStart w:id="124" w:name="EBc1203400a70d472a80973f17e2d4383e"/>
    </w:p>
    <w:p>
      <w:pPr>
        <w:pStyle w:val="5"/>
        <w:numPr>
          <w:ilvl w:val="1"/>
          <w:numId w:val="0"/>
        </w:numPr>
        <w:spacing w:before="0" w:after="200"/>
        <w:ind w:leftChars="0"/>
        <w:jc w:val="both"/>
        <w:rPr>
          <w:color w:val="auto"/>
          <w:highlight w:val="none"/>
        </w:rPr>
      </w:pPr>
      <w:bookmarkStart w:id="125" w:name="_Toc58943336"/>
      <w:bookmarkStart w:id="126" w:name="_Toc77688486"/>
      <w:bookmarkStart w:id="127" w:name="_Toc21946"/>
      <w:bookmarkStart w:id="128" w:name="_Toc31029"/>
      <w:r>
        <w:rPr>
          <w:rFonts w:hint="eastAsia"/>
          <w:color w:val="auto"/>
          <w:highlight w:val="none"/>
          <w:lang w:val="en-US" w:eastAsia="zh-CN"/>
        </w:rPr>
        <w:t>3.1</w:t>
      </w:r>
      <w:r>
        <w:rPr>
          <w:rFonts w:hint="eastAsia"/>
          <w:color w:val="auto"/>
          <w:highlight w:val="none"/>
        </w:rPr>
        <w:t>资格性响应文件格式</w:t>
      </w:r>
      <w:bookmarkEnd w:id="125"/>
      <w:bookmarkEnd w:id="126"/>
      <w:bookmarkEnd w:id="127"/>
      <w:bookmarkEnd w:id="128"/>
    </w:p>
    <w:p>
      <w:pPr>
        <w:pStyle w:val="6"/>
        <w:numPr>
          <w:ilvl w:val="2"/>
          <w:numId w:val="0"/>
        </w:numPr>
        <w:tabs>
          <w:tab w:val="left" w:pos="709"/>
        </w:tabs>
        <w:spacing w:after="200"/>
        <w:ind w:leftChars="0"/>
        <w:rPr>
          <w:color w:val="auto"/>
          <w:highlight w:val="none"/>
        </w:rPr>
      </w:pPr>
      <w:bookmarkStart w:id="129" w:name="_Toc320698761"/>
      <w:bookmarkStart w:id="130" w:name="_Toc6229"/>
      <w:bookmarkStart w:id="131" w:name="_Toc14892"/>
      <w:r>
        <w:rPr>
          <w:rFonts w:hint="eastAsia"/>
          <w:color w:val="auto"/>
          <w:highlight w:val="none"/>
          <w:lang w:val="en-US" w:eastAsia="zh-CN"/>
        </w:rPr>
        <w:t>3.1.1.</w:t>
      </w:r>
      <w:r>
        <w:rPr>
          <w:rFonts w:hint="eastAsia"/>
          <w:color w:val="auto"/>
          <w:highlight w:val="none"/>
        </w:rPr>
        <w:t>资格性响应文件封面格式</w:t>
      </w:r>
      <w:bookmarkEnd w:id="129"/>
      <w:bookmarkEnd w:id="130"/>
      <w:bookmarkEnd w:id="131"/>
    </w:p>
    <w:p>
      <w:pPr>
        <w:pStyle w:val="30"/>
        <w:spacing w:line="360" w:lineRule="auto"/>
        <w:jc w:val="both"/>
        <w:rPr>
          <w:rFonts w:hint="eastAsia" w:ascii="宋体" w:hAnsi="宋体"/>
          <w:color w:val="auto"/>
          <w:spacing w:val="78"/>
          <w:sz w:val="96"/>
          <w:szCs w:val="120"/>
          <w:highlight w:val="none"/>
        </w:rPr>
      </w:pPr>
    </w:p>
    <w:p>
      <w:pPr>
        <w:pStyle w:val="30"/>
        <w:spacing w:line="360" w:lineRule="auto"/>
        <w:jc w:val="center"/>
        <w:rPr>
          <w:rFonts w:hint="eastAsia" w:ascii="宋体" w:hAnsi="宋体"/>
          <w:color w:val="auto"/>
          <w:spacing w:val="78"/>
          <w:sz w:val="96"/>
          <w:szCs w:val="120"/>
          <w:highlight w:val="none"/>
        </w:rPr>
      </w:pPr>
    </w:p>
    <w:p>
      <w:pPr>
        <w:jc w:val="center"/>
        <w:rPr>
          <w:rFonts w:ascii="宋体" w:hAnsi="宋体"/>
          <w:color w:val="auto"/>
          <w:sz w:val="84"/>
          <w:szCs w:val="84"/>
          <w:highlight w:val="none"/>
        </w:rPr>
      </w:pPr>
      <w:r>
        <w:rPr>
          <w:rFonts w:hint="eastAsia" w:ascii="宋体" w:hAnsi="宋体"/>
          <w:color w:val="auto"/>
          <w:sz w:val="84"/>
          <w:szCs w:val="84"/>
          <w:highlight w:val="none"/>
        </w:rPr>
        <w:t>资格性响应文件</w:t>
      </w:r>
    </w:p>
    <w:p>
      <w:pPr>
        <w:pStyle w:val="30"/>
        <w:spacing w:line="360" w:lineRule="auto"/>
        <w:ind w:firstLine="600" w:firstLineChars="200"/>
        <w:jc w:val="center"/>
        <w:rPr>
          <w:rFonts w:hint="eastAsia" w:ascii="宋体" w:hAnsi="宋体"/>
          <w:bCs/>
          <w:color w:val="auto"/>
          <w:sz w:val="30"/>
          <w:szCs w:val="30"/>
          <w:highlight w:val="none"/>
        </w:rPr>
      </w:pPr>
    </w:p>
    <w:p>
      <w:pPr>
        <w:pStyle w:val="30"/>
        <w:spacing w:line="360" w:lineRule="auto"/>
        <w:ind w:firstLine="600" w:firstLineChars="200"/>
        <w:jc w:val="center"/>
        <w:rPr>
          <w:rFonts w:hint="eastAsia" w:ascii="宋体" w:hAnsi="宋体"/>
          <w:bCs/>
          <w:color w:val="auto"/>
          <w:sz w:val="30"/>
          <w:szCs w:val="30"/>
          <w:highlight w:val="none"/>
        </w:rPr>
      </w:pPr>
    </w:p>
    <w:p>
      <w:pPr>
        <w:snapToGrid w:val="0"/>
        <w:spacing w:line="360" w:lineRule="auto"/>
        <w:ind w:left="1405" w:right="-624" w:rightChars="-297" w:hanging="1405" w:hangingChars="500"/>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项目名称：</w:t>
      </w:r>
      <w:r>
        <w:rPr>
          <w:rFonts w:hint="eastAsia" w:ascii="宋体" w:hAnsi="宋体" w:eastAsia="宋体" w:cs="宋体"/>
          <w:b/>
          <w:color w:val="auto"/>
          <w:sz w:val="28"/>
          <w:highlight w:val="none"/>
          <w:lang w:eastAsia="zh-CN"/>
        </w:rPr>
        <w:t>成都市温江区教育局特教学校功能室设备采购项目</w:t>
      </w:r>
    </w:p>
    <w:p>
      <w:pPr>
        <w:snapToGrid w:val="0"/>
        <w:spacing w:line="360" w:lineRule="auto"/>
        <w:ind w:left="1405" w:right="-624" w:rightChars="-297" w:hanging="1405" w:hangingChars="500"/>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项目编号：</w:t>
      </w:r>
      <w:r>
        <w:rPr>
          <w:rFonts w:hint="eastAsia" w:cs="宋体"/>
          <w:b/>
          <w:color w:val="auto"/>
          <w:sz w:val="28"/>
          <w:highlight w:val="none"/>
          <w:lang w:eastAsia="zh-CN"/>
        </w:rPr>
        <w:t>温江政采（2021）A0047号</w:t>
      </w:r>
    </w:p>
    <w:p>
      <w:pPr>
        <w:pStyle w:val="30"/>
        <w:spacing w:line="360" w:lineRule="auto"/>
        <w:rPr>
          <w:rFonts w:hint="eastAsia" w:ascii="宋体" w:hAnsi="宋体" w:eastAsia="宋体"/>
          <w:b/>
          <w:bCs/>
          <w:color w:val="auto"/>
          <w:sz w:val="30"/>
          <w:szCs w:val="30"/>
          <w:highlight w:val="none"/>
          <w:lang w:val="en-US" w:eastAsia="zh-CN"/>
        </w:rPr>
      </w:pPr>
    </w:p>
    <w:p>
      <w:pPr>
        <w:pStyle w:val="30"/>
        <w:spacing w:line="360" w:lineRule="auto"/>
        <w:rPr>
          <w:rFonts w:hint="eastAsia" w:ascii="宋体" w:hAnsi="宋体"/>
          <w:b/>
          <w:bCs/>
          <w:color w:val="auto"/>
          <w:sz w:val="30"/>
          <w:szCs w:val="30"/>
          <w:highlight w:val="none"/>
        </w:rPr>
      </w:pPr>
    </w:p>
    <w:p>
      <w:pPr>
        <w:pStyle w:val="30"/>
        <w:spacing w:line="360" w:lineRule="auto"/>
        <w:ind w:firstLine="1205" w:firstLineChars="400"/>
        <w:rPr>
          <w:rFonts w:hint="eastAsia" w:ascii="宋体" w:hAnsi="宋体"/>
          <w:b/>
          <w:bCs/>
          <w:color w:val="auto"/>
          <w:sz w:val="30"/>
          <w:szCs w:val="30"/>
          <w:highlight w:val="none"/>
          <w:u w:val="single"/>
        </w:rPr>
      </w:pPr>
      <w:r>
        <w:rPr>
          <w:rFonts w:hint="eastAsia" w:ascii="宋体" w:hAnsi="宋体"/>
          <w:b/>
          <w:bCs/>
          <w:color w:val="auto"/>
          <w:sz w:val="30"/>
          <w:szCs w:val="30"/>
          <w:highlight w:val="none"/>
        </w:rPr>
        <w:t>供应商名称：</w:t>
      </w:r>
      <w:r>
        <w:rPr>
          <w:rFonts w:hint="eastAsia" w:ascii="宋体" w:hAnsi="宋体" w:cs="宋体"/>
          <w:color w:val="auto"/>
          <w:sz w:val="30"/>
          <w:szCs w:val="30"/>
          <w:highlight w:val="none"/>
          <w:u w:val="single"/>
          <w:lang w:val="zh-CN"/>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zh-CN"/>
        </w:rPr>
        <w:t xml:space="preserve">  </w:t>
      </w:r>
      <w:r>
        <w:rPr>
          <w:rFonts w:hint="eastAsia" w:ascii="宋体" w:hAnsi="宋体" w:cs="宋体"/>
          <w:color w:val="auto"/>
          <w:sz w:val="30"/>
          <w:szCs w:val="30"/>
          <w:highlight w:val="none"/>
          <w:u w:val="single"/>
        </w:rPr>
        <w:t xml:space="preserve">    </w:t>
      </w:r>
      <w:r>
        <w:rPr>
          <w:rFonts w:hint="eastAsia" w:ascii="宋体" w:hAnsi="宋体"/>
          <w:b/>
          <w:bCs/>
          <w:color w:val="auto"/>
          <w:sz w:val="30"/>
          <w:szCs w:val="30"/>
          <w:highlight w:val="none"/>
          <w:u w:val="single"/>
        </w:rPr>
        <w:t xml:space="preserve"> </w:t>
      </w:r>
    </w:p>
    <w:p>
      <w:pPr>
        <w:pStyle w:val="30"/>
        <w:spacing w:line="360" w:lineRule="auto"/>
        <w:ind w:firstLine="602" w:firstLineChars="200"/>
        <w:rPr>
          <w:rFonts w:hint="eastAsia" w:ascii="宋体" w:hAnsi="宋体"/>
          <w:b/>
          <w:bCs/>
          <w:color w:val="auto"/>
          <w:sz w:val="30"/>
          <w:szCs w:val="30"/>
          <w:highlight w:val="none"/>
          <w:u w:val="single"/>
        </w:rPr>
      </w:pPr>
    </w:p>
    <w:p>
      <w:pPr>
        <w:pStyle w:val="30"/>
        <w:spacing w:line="360" w:lineRule="auto"/>
        <w:ind w:firstLine="1205" w:firstLineChars="400"/>
        <w:rPr>
          <w:rFonts w:hint="eastAsia"/>
          <w:color w:val="auto"/>
          <w:highlight w:val="none"/>
        </w:rPr>
      </w:pPr>
      <w:r>
        <w:rPr>
          <w:rFonts w:hint="eastAsia" w:ascii="宋体" w:hAnsi="宋体"/>
          <w:b/>
          <w:bCs/>
          <w:color w:val="auto"/>
          <w:sz w:val="30"/>
          <w:szCs w:val="30"/>
          <w:highlight w:val="none"/>
        </w:rPr>
        <w:t>日      期：</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年</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月</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日</w:t>
      </w:r>
    </w:p>
    <w:p>
      <w:pPr>
        <w:pStyle w:val="31"/>
        <w:outlineLvl w:val="1"/>
        <w:rPr>
          <w:rFonts w:hint="eastAsia"/>
          <w:color w:val="auto"/>
          <w:highlight w:val="none"/>
          <w:lang w:val="en-US" w:eastAsia="zh-CN"/>
        </w:rPr>
      </w:pPr>
      <w:r>
        <w:rPr>
          <w:color w:val="auto"/>
          <w:highlight w:val="none"/>
        </w:rPr>
        <w:br w:type="page"/>
      </w:r>
    </w:p>
    <w:p>
      <w:pPr>
        <w:pStyle w:val="6"/>
        <w:numPr>
          <w:ilvl w:val="2"/>
          <w:numId w:val="0"/>
        </w:numPr>
        <w:tabs>
          <w:tab w:val="left" w:pos="709"/>
        </w:tabs>
        <w:spacing w:after="200"/>
        <w:ind w:leftChars="0"/>
        <w:rPr>
          <w:rFonts w:hint="eastAsia" w:ascii="宋体" w:hAnsi="宋体" w:eastAsia="宋体"/>
          <w:color w:val="auto"/>
          <w:highlight w:val="none"/>
          <w:lang w:val="en-US" w:eastAsia="zh-CN"/>
        </w:rPr>
      </w:pPr>
      <w:bookmarkStart w:id="132" w:name="_Toc9785"/>
      <w:bookmarkStart w:id="133" w:name="_Toc13282"/>
      <w:r>
        <w:rPr>
          <w:rFonts w:hint="eastAsia" w:ascii="宋体" w:hAnsi="宋体" w:eastAsia="宋体"/>
          <w:color w:val="auto"/>
          <w:highlight w:val="none"/>
          <w:lang w:val="en-US" w:eastAsia="zh-CN"/>
        </w:rPr>
        <w:t>3.1.2供应商资格申明的函</w:t>
      </w:r>
      <w:bookmarkEnd w:id="132"/>
      <w:bookmarkEnd w:id="133"/>
    </w:p>
    <w:p>
      <w:pPr>
        <w:pStyle w:val="32"/>
        <w:rPr>
          <w:color w:val="auto"/>
          <w:highlight w:val="none"/>
        </w:rPr>
      </w:pPr>
      <w:r>
        <w:rPr>
          <w:rFonts w:hint="eastAsia"/>
          <w:color w:val="auto"/>
          <w:highlight w:val="none"/>
          <w:lang w:eastAsia="zh-CN"/>
        </w:rPr>
        <w:t>致：</w:t>
      </w:r>
      <w:r>
        <w:rPr>
          <w:rFonts w:hint="eastAsia"/>
          <w:color w:val="auto"/>
          <w:highlight w:val="none"/>
        </w:rPr>
        <w:t>成都市温江区公共资源交易服务中心：</w:t>
      </w:r>
    </w:p>
    <w:p>
      <w:pPr>
        <w:pStyle w:val="32"/>
        <w:ind w:firstLine="480"/>
        <w:rPr>
          <w:color w:val="auto"/>
          <w:highlight w:val="none"/>
        </w:rPr>
      </w:pPr>
      <w:r>
        <w:rPr>
          <w:rFonts w:hint="eastAsia"/>
          <w:color w:val="auto"/>
          <w:highlight w:val="none"/>
        </w:rPr>
        <w:t>我方全面研究了</w:t>
      </w:r>
      <w:r>
        <w:rPr>
          <w:rFonts w:hint="eastAsia"/>
          <w:b/>
          <w:bCs/>
          <w:color w:val="auto"/>
          <w:highlight w:val="none"/>
          <w:u w:val="single"/>
        </w:rPr>
        <w:t>“</w:t>
      </w:r>
      <w:r>
        <w:rPr>
          <w:rFonts w:hint="eastAsia"/>
          <w:b/>
          <w:bCs/>
          <w:color w:val="auto"/>
          <w:highlight w:val="none"/>
          <w:u w:val="single"/>
          <w:lang w:eastAsia="zh-CN"/>
        </w:rPr>
        <w:t>成都市温江区教育局特教学校功能室设备采购项目</w:t>
      </w:r>
      <w:r>
        <w:rPr>
          <w:rFonts w:hint="eastAsia"/>
          <w:b/>
          <w:bCs/>
          <w:color w:val="auto"/>
          <w:highlight w:val="none"/>
          <w:u w:val="single"/>
        </w:rPr>
        <w:t>”（</w:t>
      </w:r>
      <w:r>
        <w:rPr>
          <w:rFonts w:hint="eastAsia"/>
          <w:b/>
          <w:color w:val="auto"/>
          <w:highlight w:val="none"/>
          <w:u w:val="single"/>
        </w:rPr>
        <w:t>项目编号：</w:t>
      </w:r>
      <w:r>
        <w:rPr>
          <w:rFonts w:hint="eastAsia"/>
          <w:b/>
          <w:color w:val="auto"/>
          <w:highlight w:val="none"/>
          <w:u w:val="single"/>
          <w:lang w:eastAsia="zh-CN"/>
        </w:rPr>
        <w:t>温江政采（2021）A0047号</w:t>
      </w:r>
      <w:r>
        <w:rPr>
          <w:rFonts w:hint="eastAsia"/>
          <w:b/>
          <w:color w:val="auto"/>
          <w:highlight w:val="none"/>
          <w:u w:val="single"/>
        </w:rPr>
        <w:t>）</w:t>
      </w:r>
      <w:r>
        <w:rPr>
          <w:rFonts w:hint="eastAsia"/>
          <w:color w:val="auto"/>
          <w:highlight w:val="none"/>
        </w:rPr>
        <w:t>的磋商文件，决定参加贵单位组织的本项目的磋商。我方郑重承诺：</w:t>
      </w:r>
    </w:p>
    <w:p>
      <w:pPr>
        <w:pStyle w:val="32"/>
        <w:numPr>
          <w:ilvl w:val="0"/>
          <w:numId w:val="13"/>
        </w:numPr>
        <w:ind w:firstLine="480"/>
        <w:rPr>
          <w:rFonts w:hint="eastAsia"/>
          <w:b/>
          <w:bCs/>
          <w:color w:val="auto"/>
          <w:highlight w:val="none"/>
        </w:rPr>
      </w:pPr>
      <w:r>
        <w:rPr>
          <w:rFonts w:hint="eastAsia"/>
          <w:color w:val="auto"/>
          <w:highlight w:val="none"/>
        </w:rPr>
        <w:t>我方自愿按照磋商文件规定的各项要求向采购人提供所需</w:t>
      </w:r>
      <w:r>
        <w:rPr>
          <w:rFonts w:hint="eastAsia"/>
          <w:color w:val="auto"/>
          <w:highlight w:val="none"/>
          <w:lang w:eastAsia="zh-CN"/>
        </w:rPr>
        <w:t>货物或</w:t>
      </w:r>
      <w:r>
        <w:rPr>
          <w:rFonts w:hint="eastAsia"/>
          <w:color w:val="auto"/>
          <w:highlight w:val="none"/>
        </w:rPr>
        <w:t>服务，</w:t>
      </w:r>
      <w:r>
        <w:rPr>
          <w:rFonts w:hint="eastAsia"/>
          <w:b/>
          <w:bCs/>
          <w:color w:val="auto"/>
          <w:highlight w:val="none"/>
        </w:rPr>
        <w:t>最后报价以政府采购云平台中递交的最后报价为准。</w:t>
      </w:r>
    </w:p>
    <w:p>
      <w:pPr>
        <w:pStyle w:val="32"/>
        <w:numPr>
          <w:ilvl w:val="0"/>
          <w:numId w:val="13"/>
        </w:numPr>
        <w:ind w:firstLine="480"/>
        <w:rPr>
          <w:color w:val="auto"/>
          <w:highlight w:val="none"/>
        </w:rPr>
      </w:pPr>
      <w:r>
        <w:rPr>
          <w:rFonts w:hint="eastAsia"/>
          <w:color w:val="auto"/>
          <w:highlight w:val="none"/>
        </w:rPr>
        <w:t>如果我方成为本项目的成交供应商，我方将严格履行合同规定的责任和义务，否则将承担由此产生的一切责任。</w:t>
      </w:r>
    </w:p>
    <w:p>
      <w:pPr>
        <w:pStyle w:val="32"/>
        <w:ind w:firstLine="480"/>
        <w:rPr>
          <w:color w:val="auto"/>
          <w:highlight w:val="none"/>
        </w:rPr>
      </w:pPr>
      <w:r>
        <w:rPr>
          <w:rFonts w:hint="eastAsia"/>
          <w:color w:val="auto"/>
          <w:highlight w:val="none"/>
        </w:rPr>
        <w:t>三、我方已知晓全部磋商文件的内容，包括修改文件（如有）以及全部相关资料和有关附件，并对上述文件均无异议。</w:t>
      </w:r>
    </w:p>
    <w:p>
      <w:pPr>
        <w:pStyle w:val="32"/>
        <w:ind w:firstLine="480"/>
        <w:rPr>
          <w:color w:val="auto"/>
          <w:highlight w:val="none"/>
        </w:rPr>
      </w:pPr>
      <w:r>
        <w:rPr>
          <w:rFonts w:hint="eastAsia"/>
          <w:color w:val="auto"/>
          <w:highlight w:val="none"/>
        </w:rPr>
        <w:t>四、响应文件有效期为从递交响应文件截止之日起</w:t>
      </w:r>
      <w:r>
        <w:rPr>
          <w:color w:val="auto"/>
          <w:highlight w:val="none"/>
        </w:rPr>
        <w:t>120天。</w:t>
      </w:r>
    </w:p>
    <w:p>
      <w:pPr>
        <w:pStyle w:val="32"/>
        <w:ind w:firstLine="480"/>
        <w:rPr>
          <w:color w:val="auto"/>
          <w:highlight w:val="none"/>
        </w:rPr>
      </w:pPr>
      <w:r>
        <w:rPr>
          <w:rFonts w:hint="eastAsia"/>
          <w:color w:val="auto"/>
          <w:highlight w:val="none"/>
        </w:rPr>
        <w:t>五、我方愿意提供贵中心可能另外要求的，与本项目有关的文件资料，并保证我方已提供和将要提供的文件资料是真实、准确的，并对此承担一切法律后果。</w:t>
      </w:r>
    </w:p>
    <w:p>
      <w:pPr>
        <w:pStyle w:val="32"/>
        <w:ind w:left="0" w:leftChars="0" w:firstLine="480" w:firstLineChars="200"/>
        <w:rPr>
          <w:rFonts w:hint="eastAsia"/>
          <w:color w:val="auto"/>
          <w:highlight w:val="none"/>
          <w:lang w:val="en-US" w:eastAsia="zh-CN"/>
        </w:rPr>
      </w:pPr>
      <w:r>
        <w:rPr>
          <w:rFonts w:hint="eastAsia"/>
          <w:color w:val="auto"/>
          <w:highlight w:val="none"/>
          <w:lang w:val="en-US" w:eastAsia="zh-CN"/>
        </w:rPr>
        <w:t>六、我单位联系方式：</w:t>
      </w:r>
    </w:p>
    <w:p>
      <w:pPr>
        <w:pStyle w:val="32"/>
        <w:ind w:left="0" w:leftChars="0" w:firstLine="480" w:firstLineChars="200"/>
        <w:rPr>
          <w:rFonts w:hint="eastAsia"/>
          <w:color w:val="auto"/>
          <w:highlight w:val="none"/>
          <w:lang w:val="en-US" w:eastAsia="zh-CN"/>
        </w:rPr>
      </w:pPr>
      <w:r>
        <w:rPr>
          <w:rFonts w:hint="eastAsia"/>
          <w:color w:val="auto"/>
          <w:highlight w:val="none"/>
          <w:lang w:val="en-US" w:eastAsia="zh-CN"/>
        </w:rPr>
        <w:t>地    址：XXXX</w:t>
      </w:r>
    </w:p>
    <w:p>
      <w:pPr>
        <w:pStyle w:val="32"/>
        <w:ind w:left="0" w:leftChars="0" w:firstLine="480" w:firstLineChars="200"/>
        <w:rPr>
          <w:rFonts w:hint="eastAsia"/>
          <w:color w:val="auto"/>
          <w:highlight w:val="none"/>
          <w:lang w:val="en-US" w:eastAsia="zh-CN"/>
        </w:rPr>
      </w:pPr>
      <w:r>
        <w:rPr>
          <w:rFonts w:hint="eastAsia"/>
          <w:color w:val="auto"/>
          <w:highlight w:val="none"/>
          <w:lang w:val="en-US" w:eastAsia="zh-CN"/>
        </w:rPr>
        <w:t>传    真：XXXX</w:t>
      </w:r>
    </w:p>
    <w:p>
      <w:pPr>
        <w:pStyle w:val="32"/>
        <w:ind w:left="0" w:leftChars="0" w:firstLine="480" w:firstLineChars="200"/>
        <w:rPr>
          <w:rFonts w:hint="eastAsia"/>
          <w:color w:val="auto"/>
          <w:highlight w:val="none"/>
          <w:lang w:val="en-US" w:eastAsia="zh-CN"/>
        </w:rPr>
      </w:pPr>
      <w:r>
        <w:rPr>
          <w:rFonts w:hint="eastAsia"/>
          <w:color w:val="auto"/>
          <w:highlight w:val="none"/>
          <w:lang w:val="en-US" w:eastAsia="zh-CN"/>
        </w:rPr>
        <w:t>邮政编码：XXXX</w:t>
      </w:r>
    </w:p>
    <w:p>
      <w:pPr>
        <w:pStyle w:val="32"/>
        <w:rPr>
          <w:rFonts w:hint="eastAsia"/>
          <w:color w:val="auto"/>
          <w:highlight w:val="none"/>
          <w:lang w:val="en-US" w:eastAsia="zh-CN"/>
        </w:rPr>
      </w:pPr>
      <w:r>
        <w:rPr>
          <w:rFonts w:hint="eastAsia"/>
          <w:color w:val="auto"/>
          <w:highlight w:val="none"/>
          <w:lang w:val="en-US" w:eastAsia="zh-CN"/>
        </w:rPr>
        <w:t>供应商名称：XXXXXXXXXX</w:t>
      </w:r>
    </w:p>
    <w:p>
      <w:pPr>
        <w:pStyle w:val="32"/>
        <w:rPr>
          <w:rFonts w:hint="eastAsia"/>
          <w:color w:val="auto"/>
          <w:highlight w:val="none"/>
          <w:lang w:val="en-US" w:eastAsia="zh-CN"/>
        </w:rPr>
      </w:pPr>
      <w:r>
        <w:rPr>
          <w:rFonts w:hint="eastAsia"/>
          <w:color w:val="auto"/>
          <w:highlight w:val="none"/>
          <w:lang w:val="en-US" w:eastAsia="zh-CN"/>
        </w:rPr>
        <w:t>日      期：XX年XX月XX日</w:t>
      </w: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32"/>
        <w:ind w:left="0" w:leftChars="0" w:firstLine="0" w:firstLineChars="0"/>
        <w:rPr>
          <w:rFonts w:hint="eastAsia"/>
          <w:color w:val="auto"/>
          <w:highlight w:val="none"/>
          <w:lang w:val="en-US" w:eastAsia="zh-CN"/>
        </w:rPr>
      </w:pPr>
    </w:p>
    <w:p>
      <w:pPr>
        <w:pStyle w:val="6"/>
        <w:numPr>
          <w:ilvl w:val="2"/>
          <w:numId w:val="0"/>
        </w:numPr>
        <w:tabs>
          <w:tab w:val="left" w:pos="709"/>
        </w:tabs>
        <w:spacing w:after="200"/>
        <w:ind w:leftChars="0"/>
        <w:rPr>
          <w:color w:val="auto"/>
          <w:highlight w:val="none"/>
        </w:rPr>
      </w:pPr>
      <w:bookmarkStart w:id="134" w:name="_Toc29347"/>
      <w:bookmarkStart w:id="135" w:name="_Toc10269"/>
      <w:r>
        <w:rPr>
          <w:rFonts w:hint="eastAsia" w:ascii="宋体" w:hAnsi="宋体" w:eastAsia="宋体"/>
          <w:color w:val="auto"/>
          <w:highlight w:val="none"/>
          <w:lang w:val="en-US" w:eastAsia="zh-CN"/>
        </w:rPr>
        <w:t>3.1.3声明</w:t>
      </w:r>
      <w:bookmarkEnd w:id="134"/>
      <w:bookmarkEnd w:id="135"/>
    </w:p>
    <w:p>
      <w:pPr>
        <w:pStyle w:val="35"/>
        <w:spacing w:after="200"/>
        <w:ind w:firstLine="482"/>
        <w:rPr>
          <w:b/>
          <w:color w:val="auto"/>
          <w:highlight w:val="none"/>
        </w:rPr>
      </w:pPr>
      <w:r>
        <w:rPr>
          <w:rFonts w:hint="eastAsia"/>
          <w:b/>
          <w:color w:val="auto"/>
          <w:highlight w:val="none"/>
        </w:rPr>
        <w:t>致：成都市温江区公共资源交易服务中心</w:t>
      </w:r>
    </w:p>
    <w:p>
      <w:pPr>
        <w:pStyle w:val="38"/>
        <w:spacing w:after="200" w:line="600" w:lineRule="exact"/>
        <w:ind w:firstLine="560" w:firstLineChars="200"/>
        <w:rPr>
          <w:color w:val="auto"/>
          <w:highlight w:val="none"/>
        </w:rPr>
      </w:pPr>
      <w:r>
        <w:rPr>
          <w:rFonts w:hint="eastAsia" w:ascii="宋体" w:hAnsi="宋体"/>
          <w:color w:val="auto"/>
          <w:sz w:val="28"/>
          <w:highlight w:val="none"/>
        </w:rPr>
        <w:t>我单位作为</w:t>
      </w:r>
      <w:r>
        <w:rPr>
          <w:rFonts w:hint="eastAsia" w:ascii="宋体" w:hAnsi="宋体"/>
          <w:b/>
          <w:bCs/>
          <w:color w:val="auto"/>
          <w:sz w:val="28"/>
          <w:highlight w:val="none"/>
          <w:u w:val="single"/>
          <w:lang w:eastAsia="zh-CN"/>
        </w:rPr>
        <w:t>成都市温江区教育局特教学校功能室设备采购项目</w:t>
      </w:r>
      <w:r>
        <w:rPr>
          <w:rFonts w:hint="eastAsia" w:ascii="宋体" w:hAnsi="宋体"/>
          <w:b/>
          <w:bCs/>
          <w:color w:val="auto"/>
          <w:sz w:val="28"/>
          <w:highlight w:val="none"/>
          <w:u w:val="single"/>
        </w:rPr>
        <w:t>”（项目编号：</w:t>
      </w:r>
      <w:r>
        <w:rPr>
          <w:rFonts w:hint="eastAsia" w:ascii="宋体" w:hAnsi="宋体"/>
          <w:b/>
          <w:bCs/>
          <w:color w:val="auto"/>
          <w:sz w:val="28"/>
          <w:highlight w:val="none"/>
          <w:u w:val="single"/>
          <w:lang w:eastAsia="zh-CN"/>
        </w:rPr>
        <w:t>温江政采（2021）A0047号</w:t>
      </w:r>
      <w:r>
        <w:rPr>
          <w:rFonts w:hint="eastAsia" w:ascii="宋体" w:hAnsi="宋体"/>
          <w:b/>
          <w:bCs/>
          <w:color w:val="auto"/>
          <w:sz w:val="28"/>
          <w:highlight w:val="none"/>
          <w:u w:val="single"/>
        </w:rPr>
        <w:t>）</w:t>
      </w:r>
      <w:r>
        <w:rPr>
          <w:rFonts w:hint="eastAsia" w:ascii="宋体" w:hAnsi="宋体"/>
          <w:color w:val="auto"/>
          <w:sz w:val="28"/>
          <w:highlight w:val="none"/>
        </w:rPr>
        <w:t>的竞争性磋商的供应商，在此郑重声明：</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一、我</w:t>
      </w:r>
      <w:r>
        <w:rPr>
          <w:rFonts w:hint="eastAsia" w:ascii="宋体" w:hAnsi="宋体"/>
          <w:color w:val="auto"/>
          <w:sz w:val="28"/>
          <w:highlight w:val="none"/>
        </w:rPr>
        <w:t>单位</w:t>
      </w:r>
      <w:r>
        <w:rPr>
          <w:rFonts w:hint="eastAsia" w:ascii="宋体" w:hAnsi="宋体"/>
          <w:color w:val="auto"/>
          <w:sz w:val="28"/>
          <w:szCs w:val="28"/>
          <w:highlight w:val="none"/>
        </w:rPr>
        <w:t>参加政府采购活动前三年内，在经营活动中</w:t>
      </w:r>
      <w:r>
        <w:rPr>
          <w:rFonts w:hint="eastAsia" w:ascii="宋体" w:hAnsi="宋体"/>
          <w:b/>
          <w:color w:val="auto"/>
          <w:sz w:val="28"/>
          <w:szCs w:val="28"/>
          <w:highlight w:val="none"/>
          <w:u w:val="single"/>
        </w:rPr>
        <w:t>（说明：填写“无”或“有”</w:t>
      </w:r>
      <w:r>
        <w:rPr>
          <w:rFonts w:hint="eastAsia" w:ascii="宋体" w:hAnsi="宋体"/>
          <w:color w:val="auto"/>
          <w:sz w:val="28"/>
          <w:szCs w:val="28"/>
          <w:highlight w:val="none"/>
          <w:u w:val="single"/>
        </w:rPr>
        <w:t>）</w:t>
      </w:r>
      <w:r>
        <w:rPr>
          <w:rFonts w:hint="eastAsia" w:ascii="宋体" w:hAnsi="宋体"/>
          <w:color w:val="auto"/>
          <w:sz w:val="28"/>
          <w:szCs w:val="28"/>
          <w:highlight w:val="none"/>
        </w:rPr>
        <w:t>重大违法记录。</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二、我</w:t>
      </w:r>
      <w:r>
        <w:rPr>
          <w:rFonts w:hint="eastAsia" w:ascii="宋体" w:hAnsi="宋体"/>
          <w:color w:val="auto"/>
          <w:sz w:val="28"/>
          <w:highlight w:val="none"/>
        </w:rPr>
        <w:t>单位</w:t>
      </w:r>
      <w:r>
        <w:rPr>
          <w:rFonts w:hint="eastAsia" w:ascii="宋体" w:hAnsi="宋体"/>
          <w:b/>
          <w:color w:val="auto"/>
          <w:sz w:val="28"/>
          <w:szCs w:val="28"/>
          <w:highlight w:val="none"/>
          <w:u w:val="single"/>
        </w:rPr>
        <w:t>（说明：填写“具有”或“不具有”</w:t>
      </w:r>
      <w:r>
        <w:rPr>
          <w:rFonts w:hint="eastAsia" w:ascii="宋体" w:hAnsi="宋体"/>
          <w:color w:val="auto"/>
          <w:sz w:val="28"/>
          <w:szCs w:val="28"/>
          <w:highlight w:val="none"/>
          <w:u w:val="single"/>
        </w:rPr>
        <w:t>）</w:t>
      </w:r>
      <w:r>
        <w:rPr>
          <w:rFonts w:hint="eastAsia" w:ascii="宋体" w:hAnsi="宋体"/>
          <w:color w:val="auto"/>
          <w:sz w:val="28"/>
          <w:szCs w:val="28"/>
          <w:highlight w:val="none"/>
        </w:rPr>
        <w:t>良好的商业信誉。</w:t>
      </w:r>
    </w:p>
    <w:p>
      <w:pPr>
        <w:pStyle w:val="38"/>
        <w:spacing w:after="200" w:line="360" w:lineRule="auto"/>
        <w:ind w:firstLine="560" w:firstLineChars="200"/>
        <w:rPr>
          <w:rFonts w:ascii="宋体" w:hAnsi="宋体"/>
          <w:b/>
          <w:color w:val="auto"/>
          <w:sz w:val="28"/>
          <w:szCs w:val="28"/>
          <w:highlight w:val="none"/>
        </w:rPr>
      </w:pPr>
      <w:r>
        <w:rPr>
          <w:rFonts w:hint="eastAsia" w:ascii="宋体" w:hAnsi="宋体"/>
          <w:color w:val="auto"/>
          <w:sz w:val="28"/>
          <w:szCs w:val="28"/>
          <w:highlight w:val="none"/>
        </w:rPr>
        <w:t>三、与我</w:t>
      </w:r>
      <w:r>
        <w:rPr>
          <w:rFonts w:hint="eastAsia" w:ascii="宋体" w:hAnsi="宋体"/>
          <w:color w:val="auto"/>
          <w:sz w:val="28"/>
          <w:highlight w:val="none"/>
        </w:rPr>
        <w:t>单位</w:t>
      </w:r>
      <w:r>
        <w:rPr>
          <w:rFonts w:hint="eastAsia" w:ascii="宋体" w:hAnsi="宋体"/>
          <w:color w:val="auto"/>
          <w:sz w:val="28"/>
          <w:szCs w:val="28"/>
          <w:highlight w:val="none"/>
        </w:rPr>
        <w:t>存在</w:t>
      </w:r>
      <w:r>
        <w:rPr>
          <w:rFonts w:hint="eastAsia" w:hAnsi="宋体"/>
          <w:color w:val="auto"/>
          <w:sz w:val="28"/>
          <w:szCs w:val="28"/>
          <w:highlight w:val="none"/>
        </w:rPr>
        <w:t>单位</w:t>
      </w:r>
      <w:r>
        <w:rPr>
          <w:rFonts w:hint="eastAsia" w:ascii="宋体" w:hAnsi="宋体"/>
          <w:color w:val="auto"/>
          <w:sz w:val="28"/>
          <w:highlight w:val="none"/>
        </w:rPr>
        <w:t>负责人</w:t>
      </w:r>
      <w:r>
        <w:rPr>
          <w:rFonts w:hint="eastAsia" w:hAnsi="宋体"/>
          <w:color w:val="auto"/>
          <w:sz w:val="28"/>
          <w:szCs w:val="28"/>
          <w:highlight w:val="none"/>
        </w:rPr>
        <w:t>为同一人、</w:t>
      </w:r>
      <w:r>
        <w:rPr>
          <w:rFonts w:hint="eastAsia" w:ascii="宋体" w:hAnsi="宋体"/>
          <w:color w:val="auto"/>
          <w:sz w:val="28"/>
          <w:szCs w:val="28"/>
          <w:highlight w:val="none"/>
        </w:rPr>
        <w:t>直接控股、管理关系的相关供应商：</w:t>
      </w:r>
      <w:r>
        <w:rPr>
          <w:rFonts w:hint="eastAsia" w:ascii="宋体" w:hAnsi="宋体"/>
          <w:b/>
          <w:color w:val="auto"/>
          <w:sz w:val="28"/>
          <w:szCs w:val="28"/>
          <w:highlight w:val="none"/>
          <w:u w:val="single"/>
        </w:rPr>
        <w:t>（说明：填写“无”或“（一）供应商名称１；（二）供应商名称２ ；（三）……”）</w:t>
      </w:r>
      <w:r>
        <w:rPr>
          <w:rFonts w:hint="eastAsia" w:ascii="宋体" w:hAnsi="宋体"/>
          <w:b/>
          <w:color w:val="auto"/>
          <w:sz w:val="28"/>
          <w:szCs w:val="28"/>
          <w:highlight w:val="none"/>
        </w:rPr>
        <w:t>。</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四、在行贿犯罪信息查询期限内，我单位及我单位现任</w:t>
      </w:r>
      <w:r>
        <w:rPr>
          <w:rFonts w:hint="eastAsia" w:ascii="宋体" w:hAnsi="宋体"/>
          <w:color w:val="auto"/>
          <w:sz w:val="28"/>
          <w:highlight w:val="none"/>
        </w:rPr>
        <w:t>法定代表人、主要负责人</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行贿犯罪记录。</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五、我单位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u w:val="single"/>
        </w:rPr>
        <w:t>）</w:t>
      </w:r>
      <w:r>
        <w:rPr>
          <w:rFonts w:hint="eastAsia" w:ascii="宋体" w:hAnsi="宋体"/>
          <w:color w:val="auto"/>
          <w:sz w:val="28"/>
          <w:szCs w:val="28"/>
          <w:highlight w:val="none"/>
        </w:rPr>
        <w:t>失信被执行人、重大税收违法案件当事人名单。</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u w:val="single"/>
        </w:rPr>
        <w:t>）</w:t>
      </w:r>
      <w:r>
        <w:rPr>
          <w:rFonts w:hint="eastAsia" w:ascii="宋体" w:hAnsi="宋体"/>
          <w:color w:val="auto"/>
          <w:sz w:val="28"/>
          <w:szCs w:val="28"/>
          <w:highlight w:val="none"/>
        </w:rPr>
        <w:t>政府采购严重违法失信行为记录名单。</w:t>
      </w:r>
    </w:p>
    <w:p>
      <w:pPr>
        <w:pStyle w:val="38"/>
        <w:spacing w:after="20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六、我单位</w:t>
      </w:r>
      <w:r>
        <w:rPr>
          <w:rFonts w:hint="eastAsia" w:ascii="宋体" w:hAnsi="宋体"/>
          <w:b/>
          <w:color w:val="auto"/>
          <w:sz w:val="28"/>
          <w:szCs w:val="28"/>
          <w:highlight w:val="none"/>
          <w:u w:val="single"/>
        </w:rPr>
        <w:t>（说明：填写“未处于”或“处于”）</w:t>
      </w:r>
      <w:r>
        <w:rPr>
          <w:rFonts w:hint="eastAsia" w:ascii="宋体" w:hAnsi="宋体"/>
          <w:bCs/>
          <w:color w:val="auto"/>
          <w:sz w:val="28"/>
          <w:szCs w:val="28"/>
          <w:highlight w:val="none"/>
        </w:rPr>
        <w:t>被行政部门禁止参与政府采购活动的期限内</w:t>
      </w:r>
      <w:r>
        <w:rPr>
          <w:rFonts w:hint="eastAsia" w:ascii="宋体" w:hAnsi="宋体"/>
          <w:color w:val="auto"/>
          <w:sz w:val="28"/>
          <w:szCs w:val="28"/>
          <w:highlight w:val="none"/>
        </w:rPr>
        <w:t>。</w:t>
      </w:r>
    </w:p>
    <w:p>
      <w:pPr>
        <w:pStyle w:val="38"/>
        <w:spacing w:after="200" w:line="600" w:lineRule="exact"/>
        <w:ind w:firstLine="537" w:firstLineChars="192"/>
        <w:rPr>
          <w:rFonts w:ascii="宋体" w:hAnsi="宋体"/>
          <w:color w:val="auto"/>
          <w:sz w:val="28"/>
          <w:szCs w:val="28"/>
          <w:highlight w:val="none"/>
        </w:rPr>
      </w:pPr>
      <w:r>
        <w:rPr>
          <w:rFonts w:hint="eastAsia" w:ascii="宋体" w:hAnsi="宋体"/>
          <w:color w:val="auto"/>
          <w:sz w:val="28"/>
          <w:szCs w:val="28"/>
          <w:highlight w:val="none"/>
        </w:rPr>
        <w:t>特此声明。</w:t>
      </w: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38"/>
        <w:spacing w:after="200" w:line="560" w:lineRule="exact"/>
        <w:ind w:firstLine="525"/>
        <w:rPr>
          <w:rFonts w:ascii="宋体" w:hAnsi="宋体"/>
          <w:color w:val="auto"/>
          <w:sz w:val="28"/>
          <w:szCs w:val="28"/>
          <w:highlight w:val="none"/>
        </w:rPr>
      </w:pPr>
      <w:r>
        <w:rPr>
          <w:rFonts w:hint="eastAsia" w:ascii="宋体" w:hAnsi="宋体"/>
          <w:bCs/>
          <w:color w:val="auto"/>
          <w:sz w:val="28"/>
          <w:szCs w:val="28"/>
          <w:highlight w:val="none"/>
        </w:rPr>
        <w:t>说明：</w:t>
      </w:r>
    </w:p>
    <w:p>
      <w:pPr>
        <w:pStyle w:val="38"/>
        <w:spacing w:after="200" w:line="360" w:lineRule="auto"/>
        <w:ind w:left="283" w:leftChars="135" w:firstLine="470" w:firstLineChars="196"/>
        <w:rPr>
          <w:rFonts w:ascii="宋体" w:hAnsi="宋体"/>
          <w:color w:val="auto"/>
          <w:sz w:val="24"/>
          <w:szCs w:val="24"/>
          <w:highlight w:val="none"/>
        </w:rPr>
      </w:pPr>
      <w:r>
        <w:rPr>
          <w:rFonts w:hint="eastAsia" w:ascii="宋体" w:hAnsi="宋体"/>
          <w:color w:val="auto"/>
          <w:sz w:val="24"/>
          <w:szCs w:val="24"/>
          <w:highlight w:val="none"/>
        </w:rPr>
        <w:t>1、对声明中第一条的说明：如供应商在参加政府采购活动前三年内，在经营活动中有重大违法记录的，应填写“有”，供应商</w:t>
      </w:r>
      <w:r>
        <w:rPr>
          <w:rFonts w:hint="eastAsia"/>
          <w:color w:val="auto"/>
          <w:sz w:val="24"/>
          <w:szCs w:val="24"/>
          <w:highlight w:val="none"/>
        </w:rPr>
        <w:t>将被认定为磋商无效或被取消成交资格；</w:t>
      </w:r>
    </w:p>
    <w:p>
      <w:pPr>
        <w:pStyle w:val="38"/>
        <w:spacing w:after="200" w:line="360" w:lineRule="auto"/>
        <w:ind w:left="283" w:leftChars="135" w:firstLine="470" w:firstLineChars="196"/>
        <w:rPr>
          <w:rFonts w:hAnsi="宋体"/>
          <w:color w:val="auto"/>
          <w:sz w:val="24"/>
          <w:szCs w:val="24"/>
          <w:highlight w:val="none"/>
        </w:rPr>
      </w:pPr>
      <w:r>
        <w:rPr>
          <w:rFonts w:hint="eastAsia" w:ascii="宋体" w:hAnsi="宋体"/>
          <w:color w:val="auto"/>
          <w:sz w:val="24"/>
          <w:szCs w:val="24"/>
          <w:highlight w:val="none"/>
        </w:rPr>
        <w:t>2、对声明中第三条的说明：单位负责人为同一人或者存在直接控股、管理关系的不同供应商，不得参加同一合同项下的政府采购活动</w:t>
      </w:r>
      <w:r>
        <w:rPr>
          <w:rFonts w:hint="eastAsia" w:hAnsi="宋体"/>
          <w:color w:val="auto"/>
          <w:sz w:val="24"/>
          <w:szCs w:val="24"/>
          <w:highlight w:val="none"/>
        </w:rPr>
        <w:t>；</w:t>
      </w:r>
    </w:p>
    <w:p>
      <w:pPr>
        <w:pStyle w:val="38"/>
        <w:spacing w:after="200" w:line="360" w:lineRule="auto"/>
        <w:ind w:left="283" w:leftChars="135" w:firstLine="470" w:firstLineChars="196"/>
        <w:rPr>
          <w:color w:val="auto"/>
          <w:sz w:val="24"/>
          <w:szCs w:val="24"/>
          <w:highlight w:val="none"/>
        </w:rPr>
      </w:pPr>
      <w:r>
        <w:rPr>
          <w:rFonts w:hint="eastAsia" w:ascii="宋体" w:hAnsi="宋体"/>
          <w:color w:val="auto"/>
          <w:sz w:val="24"/>
          <w:szCs w:val="24"/>
          <w:highlight w:val="none"/>
        </w:rPr>
        <w:t>3、对声明中第四条的说明：在行贿犯罪信息查询期限内，供应商根据中国裁判文书网（https://wenshu.court.gov.cn）查询结果，如果供应商</w:t>
      </w:r>
      <w:r>
        <w:rPr>
          <w:rFonts w:hint="eastAsia"/>
          <w:color w:val="auto"/>
          <w:sz w:val="24"/>
          <w:szCs w:val="24"/>
          <w:highlight w:val="none"/>
        </w:rPr>
        <w:t>及其现任法定代表人、主要负责人有行贿犯罪记录的，</w:t>
      </w:r>
      <w:r>
        <w:rPr>
          <w:rFonts w:hint="eastAsia" w:ascii="宋体" w:hAnsi="宋体"/>
          <w:color w:val="auto"/>
          <w:sz w:val="24"/>
          <w:szCs w:val="24"/>
          <w:highlight w:val="none"/>
        </w:rPr>
        <w:t>供应商</w:t>
      </w:r>
      <w:r>
        <w:rPr>
          <w:rFonts w:hint="eastAsia"/>
          <w:color w:val="auto"/>
          <w:sz w:val="24"/>
          <w:szCs w:val="24"/>
          <w:highlight w:val="none"/>
        </w:rPr>
        <w:t>应填写“有”，</w:t>
      </w:r>
      <w:r>
        <w:rPr>
          <w:rFonts w:hint="eastAsia" w:ascii="宋体" w:hAnsi="宋体"/>
          <w:color w:val="auto"/>
          <w:sz w:val="24"/>
          <w:szCs w:val="24"/>
          <w:highlight w:val="none"/>
        </w:rPr>
        <w:t>供应商</w:t>
      </w:r>
      <w:r>
        <w:rPr>
          <w:rFonts w:hint="eastAsia"/>
          <w:color w:val="auto"/>
          <w:sz w:val="24"/>
          <w:szCs w:val="24"/>
          <w:highlight w:val="none"/>
        </w:rPr>
        <w:t>将被认定为磋商无效或被取消成交资格。</w:t>
      </w:r>
    </w:p>
    <w:p>
      <w:pPr>
        <w:pStyle w:val="38"/>
        <w:spacing w:after="200" w:line="360" w:lineRule="auto"/>
        <w:ind w:left="283" w:leftChars="135" w:firstLine="470" w:firstLineChars="196"/>
        <w:rPr>
          <w:rFonts w:ascii="宋体" w:hAnsi="宋体"/>
          <w:color w:val="auto"/>
          <w:sz w:val="24"/>
          <w:szCs w:val="24"/>
          <w:highlight w:val="none"/>
        </w:rPr>
      </w:pPr>
      <w:r>
        <w:rPr>
          <w:rFonts w:hint="eastAsia" w:ascii="宋体" w:hAnsi="宋体"/>
          <w:color w:val="auto"/>
          <w:sz w:val="24"/>
          <w:szCs w:val="24"/>
          <w:highlight w:val="none"/>
        </w:rPr>
        <w:t>4、对声明中第五条的说明：供应商</w:t>
      </w:r>
      <w:r>
        <w:rPr>
          <w:rFonts w:ascii="宋体" w:hAnsi="宋体"/>
          <w:color w:val="auto"/>
          <w:sz w:val="24"/>
          <w:szCs w:val="24"/>
          <w:highlight w:val="none"/>
        </w:rPr>
        <w:t>如被列入失信被执行人、重大税收违法案件当事人名单，应填写“被列入”，</w:t>
      </w:r>
      <w:r>
        <w:rPr>
          <w:rFonts w:hint="eastAsia" w:ascii="宋体" w:hAnsi="宋体"/>
          <w:color w:val="auto"/>
          <w:sz w:val="24"/>
          <w:szCs w:val="24"/>
          <w:highlight w:val="none"/>
        </w:rPr>
        <w:t xml:space="preserve"> 供应商</w:t>
      </w:r>
      <w:r>
        <w:rPr>
          <w:rFonts w:ascii="宋体" w:hAnsi="宋体"/>
          <w:color w:val="auto"/>
          <w:sz w:val="24"/>
          <w:szCs w:val="24"/>
          <w:highlight w:val="none"/>
        </w:rPr>
        <w:t>将被认定</w:t>
      </w:r>
      <w:r>
        <w:rPr>
          <w:rFonts w:hint="eastAsia" w:ascii="宋体" w:hAnsi="宋体"/>
          <w:color w:val="auto"/>
          <w:sz w:val="24"/>
          <w:szCs w:val="24"/>
          <w:highlight w:val="none"/>
        </w:rPr>
        <w:t>磋商</w:t>
      </w:r>
      <w:r>
        <w:rPr>
          <w:rFonts w:ascii="宋体" w:hAnsi="宋体"/>
          <w:color w:val="auto"/>
          <w:sz w:val="24"/>
          <w:szCs w:val="24"/>
          <w:highlight w:val="none"/>
        </w:rPr>
        <w:t>无效或被取消</w:t>
      </w:r>
      <w:r>
        <w:rPr>
          <w:rFonts w:hint="eastAsia" w:ascii="宋体" w:hAnsi="宋体"/>
          <w:color w:val="auto"/>
          <w:sz w:val="24"/>
          <w:szCs w:val="24"/>
          <w:highlight w:val="none"/>
        </w:rPr>
        <w:t>成交</w:t>
      </w:r>
      <w:r>
        <w:rPr>
          <w:rFonts w:ascii="宋体" w:hAnsi="宋体"/>
          <w:color w:val="auto"/>
          <w:sz w:val="24"/>
          <w:szCs w:val="24"/>
          <w:highlight w:val="none"/>
        </w:rPr>
        <w:t>资格；</w:t>
      </w:r>
      <w:r>
        <w:rPr>
          <w:rFonts w:hint="eastAsia" w:ascii="宋体" w:hAnsi="宋体"/>
          <w:color w:val="auto"/>
          <w:sz w:val="24"/>
          <w:szCs w:val="24"/>
          <w:highlight w:val="none"/>
        </w:rPr>
        <w:t>供应商</w:t>
      </w:r>
      <w:r>
        <w:rPr>
          <w:rFonts w:ascii="宋体" w:hAnsi="宋体"/>
          <w:color w:val="auto"/>
          <w:sz w:val="24"/>
          <w:szCs w:val="24"/>
          <w:highlight w:val="none"/>
        </w:rPr>
        <w:t>如被列入政府采购严重违法失信行为记录名单，应填写“被列入”，</w:t>
      </w:r>
      <w:r>
        <w:rPr>
          <w:rFonts w:hint="eastAsia" w:ascii="宋体" w:hAnsi="宋体"/>
          <w:color w:val="auto"/>
          <w:sz w:val="24"/>
          <w:szCs w:val="24"/>
          <w:highlight w:val="none"/>
        </w:rPr>
        <w:t xml:space="preserve"> 供应商</w:t>
      </w:r>
      <w:r>
        <w:rPr>
          <w:rFonts w:ascii="宋体" w:hAnsi="宋体"/>
          <w:color w:val="auto"/>
          <w:sz w:val="24"/>
          <w:szCs w:val="24"/>
          <w:highlight w:val="none"/>
        </w:rPr>
        <w:t>将被认定</w:t>
      </w:r>
      <w:r>
        <w:rPr>
          <w:rFonts w:hint="eastAsia" w:ascii="宋体" w:hAnsi="宋体"/>
          <w:color w:val="auto"/>
          <w:sz w:val="24"/>
          <w:szCs w:val="24"/>
          <w:highlight w:val="none"/>
        </w:rPr>
        <w:t>磋商</w:t>
      </w:r>
      <w:r>
        <w:rPr>
          <w:rFonts w:ascii="宋体" w:hAnsi="宋体"/>
          <w:color w:val="auto"/>
          <w:sz w:val="24"/>
          <w:szCs w:val="24"/>
          <w:highlight w:val="none"/>
        </w:rPr>
        <w:t>无效或被取消</w:t>
      </w:r>
      <w:r>
        <w:rPr>
          <w:rFonts w:hint="eastAsia" w:ascii="宋体" w:hAnsi="宋体"/>
          <w:color w:val="auto"/>
          <w:sz w:val="24"/>
          <w:szCs w:val="24"/>
          <w:highlight w:val="none"/>
        </w:rPr>
        <w:t>成交</w:t>
      </w:r>
      <w:r>
        <w:rPr>
          <w:rFonts w:ascii="宋体" w:hAnsi="宋体"/>
          <w:color w:val="auto"/>
          <w:sz w:val="24"/>
          <w:szCs w:val="24"/>
          <w:highlight w:val="none"/>
        </w:rPr>
        <w:t>资格</w:t>
      </w:r>
      <w:r>
        <w:rPr>
          <w:rFonts w:hint="eastAsia" w:ascii="宋体" w:hAnsi="宋体"/>
          <w:color w:val="auto"/>
          <w:sz w:val="24"/>
          <w:szCs w:val="24"/>
          <w:highlight w:val="none"/>
        </w:rPr>
        <w:t>。</w:t>
      </w:r>
    </w:p>
    <w:p>
      <w:pPr>
        <w:pStyle w:val="38"/>
        <w:spacing w:after="200" w:line="360" w:lineRule="auto"/>
        <w:ind w:left="283" w:leftChars="135" w:firstLine="470" w:firstLineChars="196"/>
        <w:rPr>
          <w:color w:val="auto"/>
          <w:highlight w:val="none"/>
        </w:rPr>
      </w:pPr>
      <w:r>
        <w:rPr>
          <w:rFonts w:hint="eastAsia" w:ascii="宋体" w:hAnsi="宋体"/>
          <w:color w:val="auto"/>
          <w:sz w:val="24"/>
          <w:szCs w:val="24"/>
          <w:highlight w:val="none"/>
        </w:rPr>
        <w:t>5、对声明中第六条的说明：如供应商处于被行政部门禁止参加政府采购活动期限内的，该声明填“处于”，供应商将被认定磋商无效或被取消成交资格。</w:t>
      </w:r>
    </w:p>
    <w:p>
      <w:pPr>
        <w:pStyle w:val="6"/>
        <w:numPr>
          <w:ilvl w:val="2"/>
          <w:numId w:val="0"/>
        </w:numPr>
        <w:tabs>
          <w:tab w:val="left" w:pos="709"/>
        </w:tabs>
        <w:spacing w:after="200"/>
        <w:ind w:leftChars="0"/>
        <w:rPr>
          <w:rFonts w:hint="eastAsia" w:ascii="宋体" w:hAnsi="宋体" w:eastAsia="宋体" w:cs="Times New Roman"/>
          <w:b/>
          <w:bCs/>
          <w:color w:val="auto"/>
          <w:kern w:val="2"/>
          <w:sz w:val="24"/>
          <w:szCs w:val="28"/>
          <w:highlight w:val="none"/>
          <w:lang w:val="en-US" w:eastAsia="zh-CN" w:bidi="ar-SA"/>
        </w:rPr>
      </w:pPr>
      <w:r>
        <w:rPr>
          <w:color w:val="auto"/>
          <w:highlight w:val="none"/>
        </w:rPr>
        <w:br w:type="page"/>
      </w:r>
      <w:bookmarkStart w:id="136" w:name="_Toc1434"/>
      <w:bookmarkStart w:id="137" w:name="_Toc8648"/>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4</w:t>
      </w:r>
      <w:r>
        <w:rPr>
          <w:rFonts w:hint="eastAsia" w:ascii="宋体" w:hAnsi="宋体" w:eastAsia="宋体" w:cs="Times New Roman"/>
          <w:b/>
          <w:bCs/>
          <w:color w:val="auto"/>
          <w:kern w:val="2"/>
          <w:sz w:val="24"/>
          <w:szCs w:val="28"/>
          <w:highlight w:val="none"/>
          <w:lang w:val="en-US" w:eastAsia="zh-CN" w:bidi="ar-SA"/>
        </w:rPr>
        <w:t>法定代表人身份证明书</w:t>
      </w:r>
      <w:bookmarkEnd w:id="136"/>
      <w:bookmarkEnd w:id="137"/>
    </w:p>
    <w:p>
      <w:pPr>
        <w:pStyle w:val="53"/>
        <w:outlineLvl w:val="1"/>
        <w:rPr>
          <w:rFonts w:hint="default" w:ascii="宋体" w:hAnsi="宋体" w:eastAsia="宋体" w:cs="Times New Roman"/>
          <w:b/>
          <w:bCs/>
          <w:color w:val="auto"/>
          <w:kern w:val="44"/>
          <w:sz w:val="28"/>
          <w:szCs w:val="28"/>
          <w:highlight w:val="none"/>
          <w:lang w:val="en-US" w:eastAsia="zh-CN" w:bidi="ar-SA"/>
        </w:rPr>
      </w:pP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u w:val="single"/>
          <w:lang w:val="zh-CN"/>
        </w:rPr>
        <w:t xml:space="preserve">  （</w:t>
      </w:r>
      <w:r>
        <w:rPr>
          <w:rFonts w:hint="eastAsia" w:ascii="宋体" w:hAnsi="宋体"/>
          <w:color w:val="auto"/>
          <w:sz w:val="28"/>
          <w:szCs w:val="28"/>
          <w:highlight w:val="none"/>
          <w:u w:val="single"/>
        </w:rPr>
        <w:t>法定代表人</w:t>
      </w:r>
      <w:r>
        <w:rPr>
          <w:rFonts w:hint="eastAsia" w:ascii="宋体" w:hAnsi="宋体"/>
          <w:color w:val="auto"/>
          <w:sz w:val="28"/>
          <w:szCs w:val="28"/>
          <w:highlight w:val="none"/>
          <w:u w:val="single"/>
          <w:lang w:val="zh-CN"/>
        </w:rPr>
        <w:t xml:space="preserve">姓名）       </w:t>
      </w:r>
      <w:r>
        <w:rPr>
          <w:rFonts w:hint="eastAsia" w:ascii="宋体" w:hAnsi="宋体"/>
          <w:color w:val="auto"/>
          <w:sz w:val="28"/>
          <w:szCs w:val="28"/>
          <w:highlight w:val="none"/>
          <w:lang w:val="zh-CN"/>
        </w:rPr>
        <w:t>在</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处任</w:t>
      </w:r>
      <w:r>
        <w:rPr>
          <w:rFonts w:hint="eastAsia" w:ascii="宋体" w:hAnsi="宋体"/>
          <w:color w:val="auto"/>
          <w:sz w:val="28"/>
          <w:szCs w:val="28"/>
          <w:highlight w:val="none"/>
          <w:u w:val="single"/>
          <w:lang w:val="zh-CN"/>
        </w:rPr>
        <w:t xml:space="preserve">       （职务名称）       </w:t>
      </w:r>
      <w:r>
        <w:rPr>
          <w:rFonts w:hint="eastAsia" w:ascii="宋体" w:hAnsi="宋体"/>
          <w:color w:val="auto"/>
          <w:sz w:val="28"/>
          <w:szCs w:val="28"/>
          <w:highlight w:val="none"/>
          <w:lang w:val="zh-CN"/>
        </w:rPr>
        <w:t>职务，是</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的</w:t>
      </w:r>
      <w:r>
        <w:rPr>
          <w:rFonts w:hint="eastAsia" w:ascii="宋体" w:hAnsi="宋体"/>
          <w:color w:val="auto"/>
          <w:sz w:val="28"/>
          <w:szCs w:val="28"/>
          <w:highlight w:val="none"/>
        </w:rPr>
        <w:t>法定代表人</w:t>
      </w:r>
      <w:r>
        <w:rPr>
          <w:rFonts w:hint="eastAsia" w:ascii="宋体" w:hAnsi="宋体"/>
          <w:color w:val="auto"/>
          <w:sz w:val="28"/>
          <w:szCs w:val="28"/>
          <w:highlight w:val="none"/>
          <w:lang w:val="zh-CN"/>
        </w:rPr>
        <w:t>。</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lang w:val="zh-CN"/>
        </w:rPr>
        <w:t>特此证明。</w:t>
      </w: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ind w:firstLine="573"/>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tabs>
          <w:tab w:val="left" w:pos="6300"/>
        </w:tabs>
        <w:spacing w:line="360" w:lineRule="auto"/>
        <w:rPr>
          <w:rFonts w:hint="eastAsia" w:ascii="宋体" w:hAnsi="宋体" w:eastAsia="宋体" w:cs="宋体"/>
          <w:color w:val="auto"/>
          <w:kern w:val="2"/>
          <w:sz w:val="28"/>
          <w:szCs w:val="22"/>
          <w:highlight w:val="none"/>
          <w:u w:val="single"/>
          <w:lang w:val="zh-CN" w:eastAsia="zh-CN" w:bidi="ar-SA"/>
        </w:rPr>
      </w:pPr>
    </w:p>
    <w:p>
      <w:pPr>
        <w:tabs>
          <w:tab w:val="left" w:pos="6300"/>
        </w:tabs>
        <w:spacing w:line="360" w:lineRule="auto"/>
        <w:rPr>
          <w:rFonts w:ascii="宋体" w:hAnsi="宋体"/>
          <w:color w:val="auto"/>
          <w:sz w:val="28"/>
          <w:highlight w:val="none"/>
          <w:lang w:val="zh-CN"/>
        </w:rPr>
      </w:pPr>
    </w:p>
    <w:p>
      <w:pPr>
        <w:pStyle w:val="51"/>
        <w:rPr>
          <w:rFonts w:hint="eastAsia"/>
          <w:color w:val="auto"/>
          <w:highlight w:val="none"/>
          <w:lang w:val="en-US" w:eastAsia="zh-CN"/>
        </w:rPr>
      </w:pPr>
    </w:p>
    <w:p>
      <w:pPr>
        <w:pStyle w:val="52"/>
        <w:rPr>
          <w:color w:val="auto"/>
          <w:highlight w:val="none"/>
        </w:rPr>
      </w:pPr>
    </w:p>
    <w:p>
      <w:pPr>
        <w:spacing w:after="180"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说明：上述证明文件在</w:t>
      </w:r>
      <w:r>
        <w:rPr>
          <w:rFonts w:hint="eastAsia" w:ascii="宋体" w:hAnsi="宋体"/>
          <w:b/>
          <w:color w:val="auto"/>
          <w:sz w:val="28"/>
          <w:szCs w:val="28"/>
          <w:highlight w:val="none"/>
          <w:lang w:val="en-US" w:eastAsia="zh-CN"/>
        </w:rPr>
        <w:t>响应</w:t>
      </w:r>
      <w:r>
        <w:rPr>
          <w:rFonts w:hint="eastAsia" w:ascii="宋体" w:hAnsi="宋体"/>
          <w:b/>
          <w:color w:val="auto"/>
          <w:sz w:val="28"/>
          <w:szCs w:val="28"/>
          <w:highlight w:val="none"/>
        </w:rPr>
        <w:t>文件中附有法定代表人身份证复印件（身份证两面均应复印）或护照复印件（供应商的法定代表人为外籍人士的，则提供护照复印件）时才能生效。</w:t>
      </w:r>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6"/>
        <w:numPr>
          <w:ilvl w:val="2"/>
          <w:numId w:val="0"/>
        </w:numPr>
        <w:tabs>
          <w:tab w:val="left" w:pos="709"/>
        </w:tabs>
        <w:spacing w:after="200"/>
        <w:ind w:leftChars="0"/>
        <w:rPr>
          <w:rFonts w:hint="eastAsia" w:ascii="宋体" w:hAnsi="宋体" w:eastAsia="宋体" w:cs="Times New Roman"/>
          <w:b/>
          <w:bCs/>
          <w:color w:val="auto"/>
          <w:kern w:val="2"/>
          <w:sz w:val="24"/>
          <w:szCs w:val="28"/>
          <w:highlight w:val="none"/>
          <w:lang w:val="en-US" w:eastAsia="zh-CN" w:bidi="ar-SA"/>
        </w:rPr>
      </w:pPr>
      <w:bookmarkStart w:id="138" w:name="_Toc5319"/>
      <w:bookmarkStart w:id="139" w:name="_Toc610"/>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5</w:t>
      </w:r>
      <w:r>
        <w:rPr>
          <w:rFonts w:hint="eastAsia" w:ascii="宋体" w:hAnsi="宋体" w:eastAsia="宋体" w:cs="Times New Roman"/>
          <w:b/>
          <w:bCs/>
          <w:color w:val="auto"/>
          <w:kern w:val="2"/>
          <w:sz w:val="24"/>
          <w:szCs w:val="28"/>
          <w:highlight w:val="none"/>
          <w:lang w:val="en-US" w:eastAsia="zh-CN" w:bidi="ar-SA"/>
        </w:rPr>
        <w:t>供应商基本情况表</w:t>
      </w:r>
      <w:bookmarkEnd w:id="138"/>
      <w:bookmarkEnd w:id="139"/>
    </w:p>
    <w:tbl>
      <w:tblPr>
        <w:tblStyle w:val="17"/>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供应商名称</w:t>
            </w:r>
          </w:p>
        </w:tc>
        <w:tc>
          <w:tcPr>
            <w:tcW w:w="7006" w:type="dxa"/>
            <w:gridSpan w:val="8"/>
            <w:noWrap w:val="0"/>
            <w:vAlign w:val="center"/>
          </w:tcPr>
          <w:p>
            <w:pPr>
              <w:pStyle w:val="54"/>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注册地址</w:t>
            </w:r>
          </w:p>
        </w:tc>
        <w:tc>
          <w:tcPr>
            <w:tcW w:w="3449" w:type="dxa"/>
            <w:gridSpan w:val="4"/>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318"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邮政编码</w:t>
            </w:r>
          </w:p>
        </w:tc>
        <w:tc>
          <w:tcPr>
            <w:tcW w:w="2239"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vMerge w:val="restart"/>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联系方式</w:t>
            </w:r>
          </w:p>
        </w:tc>
        <w:tc>
          <w:tcPr>
            <w:tcW w:w="978"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联系人</w:t>
            </w:r>
          </w:p>
        </w:tc>
        <w:tc>
          <w:tcPr>
            <w:tcW w:w="246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326"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2239"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16" w:type="dxa"/>
            <w:vMerge w:val="continue"/>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978"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传真</w:t>
            </w:r>
          </w:p>
        </w:tc>
        <w:tc>
          <w:tcPr>
            <w:tcW w:w="246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326"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网址</w:t>
            </w:r>
          </w:p>
        </w:tc>
        <w:tc>
          <w:tcPr>
            <w:tcW w:w="2239"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单位性质</w:t>
            </w:r>
          </w:p>
        </w:tc>
        <w:tc>
          <w:tcPr>
            <w:tcW w:w="7006" w:type="dxa"/>
            <w:gridSpan w:val="8"/>
            <w:noWrap w:val="0"/>
            <w:vAlign w:val="center"/>
          </w:tcPr>
          <w:p>
            <w:pPr>
              <w:pStyle w:val="54"/>
              <w:autoSpaceDE w:val="0"/>
              <w:autoSpaceDN w:val="0"/>
              <w:adjustRightInd w:val="0"/>
              <w:spacing w:line="400" w:lineRule="exact"/>
              <w:jc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法定代表人</w:t>
            </w:r>
          </w:p>
        </w:tc>
        <w:tc>
          <w:tcPr>
            <w:tcW w:w="978"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172"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1516" w:type="dxa"/>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技术负责人</w:t>
            </w:r>
          </w:p>
        </w:tc>
        <w:tc>
          <w:tcPr>
            <w:tcW w:w="978" w:type="dxa"/>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172" w:type="dxa"/>
            <w:gridSpan w:val="2"/>
            <w:tcBorders>
              <w:bottom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bottom w:val="single" w:color="auto" w:sz="4" w:space="0"/>
            </w:tcBorders>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1516" w:type="dxa"/>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财务负责人</w:t>
            </w:r>
          </w:p>
        </w:tc>
        <w:tc>
          <w:tcPr>
            <w:tcW w:w="978" w:type="dxa"/>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172" w:type="dxa"/>
            <w:gridSpan w:val="2"/>
            <w:tcBorders>
              <w:top w:val="single" w:color="auto" w:sz="4" w:space="0"/>
            </w:tcBorders>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top w:val="single" w:color="auto" w:sz="4" w:space="0"/>
            </w:tcBorders>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成立时间</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4813" w:type="dxa"/>
            <w:gridSpan w:val="6"/>
            <w:noWrap w:val="0"/>
            <w:vAlign w:val="center"/>
          </w:tcPr>
          <w:p>
            <w:pPr>
              <w:pStyle w:val="54"/>
              <w:autoSpaceDE w:val="0"/>
              <w:autoSpaceDN w:val="0"/>
              <w:adjustRightInd w:val="0"/>
              <w:spacing w:line="400" w:lineRule="exact"/>
              <w:ind w:firstLine="1470" w:firstLineChars="700"/>
              <w:rPr>
                <w:rFonts w:ascii="宋体" w:hAnsi="宋体"/>
                <w:color w:val="auto"/>
                <w:szCs w:val="21"/>
                <w:highlight w:val="none"/>
              </w:rPr>
            </w:pPr>
            <w:r>
              <w:rPr>
                <w:rFonts w:hint="eastAsia" w:ascii="宋体" w:hAnsi="宋体"/>
                <w:color w:val="auto"/>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企业资质等级</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vMerge w:val="restart"/>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其中</w:t>
            </w:r>
          </w:p>
        </w:tc>
        <w:tc>
          <w:tcPr>
            <w:tcW w:w="1486"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项目经理</w:t>
            </w:r>
          </w:p>
        </w:tc>
        <w:tc>
          <w:tcPr>
            <w:tcW w:w="2079" w:type="dxa"/>
            <w:gridSpan w:val="2"/>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营业执照号</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vMerge w:val="continue"/>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486"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高级职称人员</w:t>
            </w:r>
          </w:p>
        </w:tc>
        <w:tc>
          <w:tcPr>
            <w:tcW w:w="2079" w:type="dxa"/>
            <w:gridSpan w:val="2"/>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注册资金</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vMerge w:val="continue"/>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486"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中级职称人员</w:t>
            </w:r>
          </w:p>
        </w:tc>
        <w:tc>
          <w:tcPr>
            <w:tcW w:w="2079" w:type="dxa"/>
            <w:gridSpan w:val="2"/>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开户银行</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vMerge w:val="continue"/>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486"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初级职称人员</w:t>
            </w:r>
          </w:p>
        </w:tc>
        <w:tc>
          <w:tcPr>
            <w:tcW w:w="2079" w:type="dxa"/>
            <w:gridSpan w:val="2"/>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账号</w:t>
            </w:r>
          </w:p>
        </w:tc>
        <w:tc>
          <w:tcPr>
            <w:tcW w:w="2193" w:type="dxa"/>
            <w:gridSpan w:val="2"/>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248" w:type="dxa"/>
            <w:vMerge w:val="continue"/>
            <w:noWrap w:val="0"/>
            <w:vAlign w:val="center"/>
          </w:tcPr>
          <w:p>
            <w:pPr>
              <w:pStyle w:val="54"/>
              <w:autoSpaceDE w:val="0"/>
              <w:autoSpaceDN w:val="0"/>
              <w:adjustRightInd w:val="0"/>
              <w:spacing w:line="400" w:lineRule="exact"/>
              <w:jc w:val="center"/>
              <w:rPr>
                <w:rFonts w:ascii="宋体" w:hAnsi="宋体"/>
                <w:color w:val="auto"/>
                <w:szCs w:val="21"/>
                <w:highlight w:val="none"/>
              </w:rPr>
            </w:pPr>
          </w:p>
        </w:tc>
        <w:tc>
          <w:tcPr>
            <w:tcW w:w="1486" w:type="dxa"/>
            <w:gridSpan w:val="3"/>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技工</w:t>
            </w:r>
          </w:p>
        </w:tc>
        <w:tc>
          <w:tcPr>
            <w:tcW w:w="2079" w:type="dxa"/>
            <w:gridSpan w:val="2"/>
            <w:noWrap w:val="0"/>
            <w:vAlign w:val="center"/>
          </w:tcPr>
          <w:p>
            <w:pPr>
              <w:pStyle w:val="54"/>
              <w:autoSpaceDE w:val="0"/>
              <w:autoSpaceDN w:val="0"/>
              <w:adjustRightInd w:val="0"/>
              <w:spacing w:line="400" w:lineRule="exact"/>
              <w:jc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16" w:type="dxa"/>
            <w:noWrap w:val="0"/>
            <w:vAlign w:val="center"/>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经营范围</w:t>
            </w:r>
          </w:p>
        </w:tc>
        <w:tc>
          <w:tcPr>
            <w:tcW w:w="7006" w:type="dxa"/>
            <w:gridSpan w:val="8"/>
            <w:noWrap w:val="0"/>
            <w:vAlign w:val="center"/>
          </w:tcPr>
          <w:p>
            <w:pPr>
              <w:pStyle w:val="54"/>
              <w:autoSpaceDE w:val="0"/>
              <w:autoSpaceDN w:val="0"/>
              <w:adjustRightInd w:val="0"/>
              <w:spacing w:line="400" w:lineRule="exact"/>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16" w:type="dxa"/>
            <w:noWrap w:val="0"/>
            <w:vAlign w:val="top"/>
          </w:tcPr>
          <w:p>
            <w:pPr>
              <w:pStyle w:val="54"/>
              <w:autoSpaceDE w:val="0"/>
              <w:autoSpaceDN w:val="0"/>
              <w:adjustRightInd w:val="0"/>
              <w:spacing w:line="400" w:lineRule="exact"/>
              <w:jc w:val="center"/>
              <w:rPr>
                <w:rFonts w:ascii="宋体" w:hAnsi="宋体"/>
                <w:color w:val="auto"/>
                <w:szCs w:val="21"/>
                <w:highlight w:val="none"/>
              </w:rPr>
            </w:pPr>
            <w:r>
              <w:rPr>
                <w:rFonts w:hint="eastAsia" w:ascii="宋体" w:hAnsi="宋体"/>
                <w:color w:val="auto"/>
                <w:szCs w:val="21"/>
                <w:highlight w:val="none"/>
              </w:rPr>
              <w:t>备注</w:t>
            </w:r>
          </w:p>
        </w:tc>
        <w:tc>
          <w:tcPr>
            <w:tcW w:w="7006" w:type="dxa"/>
            <w:gridSpan w:val="8"/>
            <w:noWrap w:val="0"/>
            <w:vAlign w:val="top"/>
          </w:tcPr>
          <w:p>
            <w:pPr>
              <w:pStyle w:val="54"/>
              <w:autoSpaceDE w:val="0"/>
              <w:autoSpaceDN w:val="0"/>
              <w:adjustRightInd w:val="0"/>
              <w:spacing w:line="400" w:lineRule="exact"/>
              <w:rPr>
                <w:rFonts w:ascii="宋体" w:hAnsi="宋体"/>
                <w:color w:val="auto"/>
                <w:szCs w:val="21"/>
                <w:highlight w:val="none"/>
              </w:rPr>
            </w:pPr>
          </w:p>
        </w:tc>
      </w:tr>
    </w:tbl>
    <w:p>
      <w:pPr>
        <w:pStyle w:val="54"/>
        <w:adjustRightInd w:val="0"/>
        <w:spacing w:line="400" w:lineRule="exact"/>
        <w:rPr>
          <w:rFonts w:ascii="宋体" w:hAnsi="宋体"/>
          <w:bCs/>
          <w:color w:val="auto"/>
          <w:sz w:val="28"/>
          <w:szCs w:val="28"/>
          <w:highlight w:val="none"/>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53"/>
        <w:ind w:firstLine="3920" w:firstLineChars="1400"/>
        <w:outlineLvl w:val="1"/>
        <w:rPr>
          <w:rFonts w:hint="default" w:ascii="宋体" w:hAnsi="宋体" w:eastAsia="宋体" w:cs="Times New Roman"/>
          <w:b w:val="0"/>
          <w:bCs/>
          <w:color w:val="auto"/>
          <w:kern w:val="44"/>
          <w:sz w:val="28"/>
          <w:szCs w:val="28"/>
          <w:highlight w:val="none"/>
          <w:lang w:val="en-US" w:eastAsia="zh-CN" w:bidi="ar-SA"/>
        </w:rPr>
      </w:pPr>
      <w:bookmarkStart w:id="140" w:name="_Toc15606"/>
      <w:bookmarkStart w:id="141" w:name="_Toc22953"/>
      <w:bookmarkStart w:id="142" w:name="_Toc15117"/>
      <w:bookmarkStart w:id="143" w:name="_Toc3511"/>
      <w:bookmarkStart w:id="144" w:name="_Toc1858"/>
      <w:bookmarkStart w:id="145" w:name="_Toc18064"/>
      <w:bookmarkStart w:id="146" w:name="_Toc21996"/>
      <w:bookmarkStart w:id="147" w:name="_Toc519"/>
      <w:bookmarkStart w:id="148" w:name="_Toc17843"/>
      <w:r>
        <w:rPr>
          <w:rFonts w:hint="eastAsia" w:ascii="宋体" w:hAnsi="宋体" w:eastAsia="宋体" w:cs="宋体"/>
          <w:b w:val="0"/>
          <w:bCs/>
          <w:color w:val="auto"/>
          <w:kern w:val="2"/>
          <w:sz w:val="28"/>
          <w:szCs w:val="22"/>
          <w:highlight w:val="none"/>
          <w:u w:val="none"/>
          <w:lang w:val="zh-CN" w:eastAsia="zh-CN" w:bidi="ar-SA"/>
        </w:rPr>
        <w:t>日      期：</w:t>
      </w:r>
      <w:r>
        <w:rPr>
          <w:rFonts w:hint="eastAsia" w:ascii="宋体" w:hAnsi="宋体" w:eastAsia="宋体" w:cs="宋体"/>
          <w:b w:val="0"/>
          <w:bCs/>
          <w:color w:val="auto"/>
          <w:kern w:val="2"/>
          <w:sz w:val="28"/>
          <w:szCs w:val="22"/>
          <w:highlight w:val="none"/>
          <w:u w:val="single"/>
          <w:lang w:val="zh-CN" w:eastAsia="zh-CN" w:bidi="ar-SA"/>
        </w:rPr>
        <w:t>　　年　　月　　日</w:t>
      </w:r>
      <w:bookmarkEnd w:id="140"/>
      <w:bookmarkEnd w:id="141"/>
      <w:bookmarkEnd w:id="142"/>
      <w:bookmarkEnd w:id="143"/>
      <w:bookmarkEnd w:id="144"/>
      <w:bookmarkEnd w:id="145"/>
      <w:bookmarkEnd w:id="146"/>
      <w:bookmarkEnd w:id="147"/>
      <w:bookmarkEnd w:id="148"/>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6"/>
        <w:numPr>
          <w:ilvl w:val="2"/>
          <w:numId w:val="0"/>
        </w:numPr>
        <w:tabs>
          <w:tab w:val="left" w:pos="709"/>
        </w:tabs>
        <w:spacing w:after="200"/>
        <w:ind w:leftChars="0"/>
        <w:rPr>
          <w:rFonts w:hint="eastAsia" w:ascii="宋体" w:hAnsi="宋体" w:eastAsia="宋体" w:cs="Times New Roman"/>
          <w:b/>
          <w:bCs/>
          <w:color w:val="auto"/>
          <w:kern w:val="2"/>
          <w:sz w:val="24"/>
          <w:szCs w:val="28"/>
          <w:highlight w:val="none"/>
          <w:lang w:val="en-US" w:eastAsia="zh-CN" w:bidi="ar-SA"/>
        </w:rPr>
      </w:pPr>
      <w:bookmarkStart w:id="149" w:name="_Toc31090"/>
      <w:bookmarkStart w:id="150" w:name="_Toc8849"/>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6</w:t>
      </w:r>
      <w:r>
        <w:rPr>
          <w:rFonts w:hint="eastAsia" w:ascii="宋体" w:hAnsi="宋体" w:eastAsia="宋体" w:cs="Times New Roman"/>
          <w:b/>
          <w:bCs/>
          <w:color w:val="auto"/>
          <w:kern w:val="2"/>
          <w:sz w:val="24"/>
          <w:szCs w:val="28"/>
          <w:highlight w:val="none"/>
          <w:lang w:val="en-US" w:eastAsia="zh-CN" w:bidi="ar-SA"/>
        </w:rPr>
        <w:t>供应商应提供的相关资格证明材料</w:t>
      </w:r>
      <w:bookmarkEnd w:id="149"/>
      <w:bookmarkEnd w:id="150"/>
    </w:p>
    <w:p>
      <w:pPr>
        <w:pStyle w:val="23"/>
        <w:ind w:firstLine="480"/>
        <w:rPr>
          <w:rFonts w:hint="eastAsia"/>
          <w:b w:val="0"/>
          <w:bCs w:val="0"/>
          <w:color w:val="auto"/>
          <w:kern w:val="10"/>
          <w:sz w:val="24"/>
          <w:szCs w:val="20"/>
          <w:highlight w:val="none"/>
          <w:lang w:eastAsia="zh-CN"/>
        </w:rPr>
      </w:pP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w:t>
      </w:r>
      <w:r>
        <w:rPr>
          <w:rFonts w:hint="eastAsia" w:ascii="宋体" w:hAnsi="宋体"/>
          <w:b w:val="0"/>
          <w:bCs w:val="0"/>
          <w:color w:val="auto"/>
          <w:kern w:val="10"/>
          <w:sz w:val="24"/>
          <w:szCs w:val="20"/>
          <w:highlight w:val="none"/>
        </w:rPr>
        <w:t>营业执照复印件（正本或副本）或法人证书复印件（正本或副本）；</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2019或2020会计年度资产负债表复印件（说明：</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成立时间至递交</w:t>
      </w:r>
      <w:r>
        <w:rPr>
          <w:rFonts w:hint="eastAsia"/>
          <w:b w:val="0"/>
          <w:bCs w:val="0"/>
          <w:color w:val="auto"/>
          <w:kern w:val="10"/>
          <w:sz w:val="24"/>
          <w:szCs w:val="20"/>
          <w:highlight w:val="none"/>
          <w:lang w:eastAsia="zh-CN"/>
        </w:rPr>
        <w:t>响应</w:t>
      </w:r>
      <w:r>
        <w:rPr>
          <w:rFonts w:hint="eastAsia" w:ascii="宋体" w:hAnsi="宋体"/>
          <w:b w:val="0"/>
          <w:bCs w:val="0"/>
          <w:color w:val="auto"/>
          <w:kern w:val="10"/>
          <w:sz w:val="24"/>
          <w:szCs w:val="20"/>
          <w:highlight w:val="none"/>
        </w:rPr>
        <w:t>文件截止时间止不足一年的，提供成立后任意时段的资产负债表复印件）；</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（三）供应商</w:t>
      </w:r>
      <w:r>
        <w:rPr>
          <w:rFonts w:hint="eastAsia" w:ascii="宋体" w:hAnsi="宋体"/>
          <w:b w:val="0"/>
          <w:bCs w:val="0"/>
          <w:color w:val="auto"/>
          <w:kern w:val="10"/>
          <w:sz w:val="24"/>
          <w:szCs w:val="20"/>
          <w:highlight w:val="none"/>
        </w:rPr>
        <w:t>缴纳2020或2021年任意时段的税收的银行电子回单或者行政部门出具的纳税证明或完税证明复印件；</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（四）</w:t>
      </w:r>
      <w:r>
        <w:rPr>
          <w:rFonts w:hint="eastAsia" w:ascii="宋体" w:hAnsi="宋体"/>
          <w:b w:val="0"/>
          <w:bCs w:val="0"/>
          <w:color w:val="auto"/>
          <w:kern w:val="10"/>
          <w:sz w:val="24"/>
          <w:szCs w:val="20"/>
          <w:highlight w:val="none"/>
        </w:rPr>
        <w:t>采购人对</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履行合同所必须的设备和专业技术能力无其他特殊要求，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p>
    <w:p>
      <w:pPr>
        <w:pStyle w:val="23"/>
        <w:ind w:firstLine="48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缴纳2020或2021年任意时段的社保的银行电子回单或行政部门出具的社保缴纳证明材料复印件；</w:t>
      </w:r>
    </w:p>
    <w:p>
      <w:pPr>
        <w:pStyle w:val="23"/>
        <w:ind w:firstLine="480"/>
        <w:rPr>
          <w:rFonts w:hint="eastAsia" w:ascii="宋体" w:hAnsi="宋体" w:eastAsia="宋体"/>
          <w:b w:val="0"/>
          <w:bCs w:val="0"/>
          <w:color w:val="auto"/>
          <w:kern w:val="10"/>
          <w:sz w:val="24"/>
          <w:szCs w:val="20"/>
          <w:highlight w:val="none"/>
          <w:lang w:eastAsia="zh-CN"/>
        </w:rPr>
      </w:pPr>
      <w:r>
        <w:rPr>
          <w:rFonts w:hint="eastAsia"/>
          <w:b w:val="0"/>
          <w:bCs w:val="0"/>
          <w:color w:val="auto"/>
          <w:kern w:val="10"/>
          <w:sz w:val="24"/>
          <w:szCs w:val="20"/>
          <w:highlight w:val="none"/>
          <w:lang w:eastAsia="zh-CN"/>
        </w:rPr>
        <w:t>（六）</w:t>
      </w:r>
      <w:r>
        <w:rPr>
          <w:rFonts w:hint="eastAsia" w:ascii="宋体" w:hAnsi="宋体"/>
          <w:b w:val="0"/>
          <w:bCs w:val="0"/>
          <w:color w:val="auto"/>
          <w:kern w:val="10"/>
          <w:sz w:val="24"/>
          <w:szCs w:val="20"/>
          <w:highlight w:val="none"/>
        </w:rPr>
        <w:t>采购人对法律、行政法规规定的其他条件无其他特殊要求，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r>
        <w:rPr>
          <w:rFonts w:hint="eastAsia"/>
          <w:b w:val="0"/>
          <w:bCs w:val="0"/>
          <w:color w:val="auto"/>
          <w:kern w:val="10"/>
          <w:sz w:val="24"/>
          <w:szCs w:val="20"/>
          <w:highlight w:val="none"/>
          <w:lang w:eastAsia="zh-CN"/>
        </w:rPr>
        <w:t>；</w:t>
      </w: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2"/>
        <w:rPr>
          <w:rFonts w:hint="eastAsia" w:ascii="宋体" w:hAnsi="宋体" w:eastAsia="宋体" w:cs="Times New Roman"/>
          <w:b/>
          <w:bCs/>
          <w:color w:val="auto"/>
          <w:kern w:val="2"/>
          <w:sz w:val="28"/>
          <w:szCs w:val="28"/>
          <w:highlight w:val="none"/>
          <w:lang w:val="en-US" w:eastAsia="zh-CN" w:bidi="ar-SA"/>
        </w:rPr>
      </w:pPr>
    </w:p>
    <w:p>
      <w:pPr>
        <w:pStyle w:val="51"/>
        <w:rPr>
          <w:rFonts w:hint="eastAsia" w:ascii="宋体" w:hAnsi="宋体" w:eastAsia="宋体" w:cs="Times New Roman"/>
          <w:b/>
          <w:bCs/>
          <w:color w:val="auto"/>
          <w:kern w:val="2"/>
          <w:sz w:val="28"/>
          <w:szCs w:val="28"/>
          <w:highlight w:val="none"/>
          <w:lang w:val="en-US" w:eastAsia="zh-CN" w:bidi="ar-SA"/>
        </w:rPr>
      </w:pPr>
    </w:p>
    <w:p>
      <w:pPr>
        <w:pStyle w:val="52"/>
        <w:rPr>
          <w:rFonts w:hint="eastAsia"/>
          <w:color w:val="auto"/>
          <w:highlight w:val="none"/>
          <w:lang w:val="en-US" w:eastAsia="zh-CN"/>
        </w:rPr>
      </w:pPr>
    </w:p>
    <w:p>
      <w:pPr>
        <w:pStyle w:val="51"/>
        <w:rPr>
          <w:rFonts w:hint="eastAsia"/>
          <w:color w:val="auto"/>
          <w:highlight w:val="none"/>
          <w:lang w:val="en-US" w:eastAsia="zh-CN"/>
        </w:rPr>
      </w:pPr>
    </w:p>
    <w:p>
      <w:pPr>
        <w:pStyle w:val="52"/>
        <w:rPr>
          <w:rFonts w:hint="eastAsia" w:ascii="宋体" w:hAnsi="宋体" w:cs="Times New Roman"/>
          <w:b/>
          <w:bCs/>
          <w:color w:val="auto"/>
          <w:kern w:val="2"/>
          <w:sz w:val="28"/>
          <w:szCs w:val="28"/>
          <w:highlight w:val="none"/>
          <w:lang w:val="en-US" w:eastAsia="zh-CN" w:bidi="ar-SA"/>
        </w:rPr>
      </w:pPr>
      <w:r>
        <w:rPr>
          <w:rFonts w:hint="eastAsia" w:ascii="宋体" w:hAnsi="宋体" w:eastAsia="宋体" w:cs="Times New Roman"/>
          <w:b/>
          <w:bCs/>
          <w:color w:val="auto"/>
          <w:kern w:val="2"/>
          <w:sz w:val="28"/>
          <w:szCs w:val="28"/>
          <w:highlight w:val="none"/>
          <w:lang w:val="en-US" w:eastAsia="zh-CN" w:bidi="ar-SA"/>
        </w:rPr>
        <w:t>3.</w:t>
      </w:r>
      <w:r>
        <w:rPr>
          <w:rFonts w:hint="eastAsia" w:ascii="宋体" w:hAnsi="宋体" w:cs="Times New Roman"/>
          <w:b/>
          <w:bCs/>
          <w:color w:val="auto"/>
          <w:kern w:val="2"/>
          <w:sz w:val="28"/>
          <w:szCs w:val="28"/>
          <w:highlight w:val="none"/>
          <w:lang w:val="en-US" w:eastAsia="zh-CN" w:bidi="ar-SA"/>
        </w:rPr>
        <w:t>2技术、服务性响应文件格式</w:t>
      </w:r>
    </w:p>
    <w:p>
      <w:pPr>
        <w:pStyle w:val="6"/>
        <w:numPr>
          <w:ilvl w:val="2"/>
          <w:numId w:val="0"/>
        </w:numPr>
        <w:tabs>
          <w:tab w:val="left" w:pos="709"/>
        </w:tabs>
        <w:spacing w:after="200"/>
        <w:ind w:leftChars="0"/>
        <w:jc w:val="left"/>
        <w:rPr>
          <w:color w:val="auto"/>
          <w:highlight w:val="none"/>
        </w:rPr>
      </w:pPr>
      <w:bookmarkStart w:id="151" w:name="_Toc16982"/>
      <w:bookmarkStart w:id="152" w:name="_Toc21749"/>
      <w:r>
        <w:rPr>
          <w:rFonts w:hint="eastAsia"/>
          <w:color w:val="auto"/>
          <w:highlight w:val="none"/>
          <w:lang w:val="en-US" w:eastAsia="zh-CN"/>
        </w:rPr>
        <w:t>3.2.1</w:t>
      </w:r>
      <w:r>
        <w:rPr>
          <w:rFonts w:hint="eastAsia"/>
          <w:color w:val="auto"/>
          <w:highlight w:val="none"/>
        </w:rPr>
        <w:t>技术、服务性响应文件封面格式</w:t>
      </w:r>
      <w:bookmarkEnd w:id="151"/>
      <w:bookmarkEnd w:id="152"/>
    </w:p>
    <w:p>
      <w:pPr>
        <w:spacing w:line="360" w:lineRule="auto"/>
        <w:jc w:val="center"/>
        <w:rPr>
          <w:rFonts w:ascii="宋体" w:hAnsi="宋体"/>
          <w:color w:val="auto"/>
          <w:spacing w:val="78"/>
          <w:sz w:val="96"/>
          <w:szCs w:val="120"/>
          <w:highlight w:val="none"/>
        </w:rPr>
      </w:pPr>
    </w:p>
    <w:p>
      <w:pPr>
        <w:spacing w:line="360" w:lineRule="auto"/>
        <w:jc w:val="center"/>
        <w:rPr>
          <w:rFonts w:ascii="宋体" w:hAnsi="宋体"/>
          <w:color w:val="auto"/>
          <w:spacing w:val="78"/>
          <w:sz w:val="96"/>
          <w:szCs w:val="120"/>
          <w:highlight w:val="none"/>
        </w:rPr>
      </w:pPr>
    </w:p>
    <w:p>
      <w:pPr>
        <w:spacing w:line="360" w:lineRule="auto"/>
        <w:jc w:val="center"/>
        <w:rPr>
          <w:rFonts w:ascii="宋体" w:hAnsi="宋体"/>
          <w:color w:val="auto"/>
          <w:spacing w:val="78"/>
          <w:sz w:val="96"/>
          <w:szCs w:val="120"/>
          <w:highlight w:val="none"/>
        </w:rPr>
      </w:pPr>
      <w:r>
        <w:rPr>
          <w:rFonts w:hint="eastAsia" w:ascii="宋体" w:hAnsi="宋体"/>
          <w:color w:val="auto"/>
          <w:spacing w:val="78"/>
          <w:sz w:val="56"/>
          <w:szCs w:val="120"/>
          <w:highlight w:val="none"/>
        </w:rPr>
        <w:t>技术、服务性响应文件</w:t>
      </w:r>
    </w:p>
    <w:p>
      <w:pPr>
        <w:rPr>
          <w:color w:val="auto"/>
          <w:highlight w:val="none"/>
        </w:rPr>
      </w:pPr>
    </w:p>
    <w:p>
      <w:pPr>
        <w:rPr>
          <w:color w:val="auto"/>
          <w:highlight w:val="none"/>
        </w:rPr>
      </w:pPr>
    </w:p>
    <w:p>
      <w:pPr>
        <w:rPr>
          <w:color w:val="auto"/>
          <w:highlight w:val="none"/>
        </w:rPr>
      </w:pPr>
    </w:p>
    <w:p>
      <w:pPr>
        <w:spacing w:line="360" w:lineRule="auto"/>
        <w:jc w:val="center"/>
        <w:rPr>
          <w:rFonts w:ascii="宋体" w:hAnsi="宋体"/>
          <w:bCs/>
          <w:color w:val="auto"/>
          <w:sz w:val="36"/>
          <w:highlight w:val="none"/>
        </w:rPr>
      </w:pPr>
    </w:p>
    <w:p>
      <w:pPr>
        <w:snapToGrid w:val="0"/>
        <w:spacing w:line="360" w:lineRule="auto"/>
        <w:ind w:left="1405" w:right="-624" w:rightChars="-297" w:hanging="1405" w:hangingChars="500"/>
        <w:rPr>
          <w:rFonts w:hint="eastAsia" w:ascii="宋体" w:hAnsi="宋体" w:eastAsia="宋体" w:cs="宋体"/>
          <w:b/>
          <w:color w:val="auto"/>
          <w:sz w:val="28"/>
          <w:highlight w:val="none"/>
        </w:rPr>
      </w:pPr>
    </w:p>
    <w:p>
      <w:pPr>
        <w:snapToGrid w:val="0"/>
        <w:spacing w:line="360" w:lineRule="auto"/>
        <w:ind w:left="1405" w:right="-624" w:rightChars="-297" w:hanging="1405" w:hangingChars="500"/>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项目名称：</w:t>
      </w:r>
      <w:r>
        <w:rPr>
          <w:rFonts w:hint="eastAsia" w:ascii="宋体" w:hAnsi="宋体" w:eastAsia="宋体" w:cs="宋体"/>
          <w:b/>
          <w:color w:val="auto"/>
          <w:sz w:val="28"/>
          <w:highlight w:val="none"/>
          <w:u w:val="single"/>
          <w:lang w:eastAsia="zh-CN"/>
        </w:rPr>
        <w:t>成都市温江区教育局特教学校功能室设备采购项目</w:t>
      </w:r>
    </w:p>
    <w:p>
      <w:pPr>
        <w:snapToGrid w:val="0"/>
        <w:spacing w:line="360" w:lineRule="auto"/>
        <w:ind w:left="1405" w:right="-624" w:rightChars="-297" w:hanging="1405" w:hangingChars="500"/>
        <w:rPr>
          <w:rFonts w:hint="eastAsia" w:ascii="宋体" w:hAnsi="宋体" w:eastAsia="宋体" w:cs="宋体"/>
          <w:b/>
          <w:color w:val="auto"/>
          <w:sz w:val="28"/>
          <w:highlight w:val="none"/>
          <w:lang w:eastAsia="zh-CN"/>
        </w:rPr>
      </w:pPr>
      <w:r>
        <w:rPr>
          <w:rFonts w:hint="eastAsia" w:ascii="宋体" w:hAnsi="宋体" w:eastAsia="宋体" w:cs="宋体"/>
          <w:b/>
          <w:color w:val="auto"/>
          <w:sz w:val="28"/>
          <w:highlight w:val="none"/>
        </w:rPr>
        <w:t>项目编号：</w:t>
      </w:r>
      <w:r>
        <w:rPr>
          <w:rFonts w:hint="eastAsia" w:cs="宋体"/>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55"/>
        <w:outlineLvl w:val="1"/>
        <w:rPr>
          <w:color w:val="auto"/>
          <w:highlight w:val="none"/>
        </w:rPr>
      </w:pPr>
    </w:p>
    <w:p>
      <w:pPr>
        <w:pStyle w:val="55"/>
        <w:outlineLvl w:val="1"/>
        <w:rPr>
          <w:color w:val="auto"/>
          <w:highlight w:val="none"/>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5"/>
        <w:numPr>
          <w:ilvl w:val="1"/>
          <w:numId w:val="0"/>
        </w:numPr>
        <w:ind w:leftChars="0"/>
        <w:rPr>
          <w:color w:val="auto"/>
          <w:highlight w:val="none"/>
        </w:rPr>
      </w:pPr>
    </w:p>
    <w:p>
      <w:pPr>
        <w:pStyle w:val="56"/>
        <w:outlineLvl w:val="1"/>
        <w:rPr>
          <w:rFonts w:hint="eastAsia" w:ascii="宋体" w:hAnsi="宋体" w:eastAsia="宋体" w:cs="Times New Roman"/>
          <w:b/>
          <w:bCs/>
          <w:color w:val="auto"/>
          <w:kern w:val="2"/>
          <w:sz w:val="28"/>
          <w:szCs w:val="28"/>
          <w:highlight w:val="none"/>
          <w:lang w:val="en-US" w:eastAsia="zh-CN" w:bidi="ar-SA"/>
        </w:rPr>
      </w:pPr>
    </w:p>
    <w:p>
      <w:pPr>
        <w:pStyle w:val="6"/>
        <w:numPr>
          <w:ilvl w:val="2"/>
          <w:numId w:val="0"/>
        </w:numPr>
        <w:tabs>
          <w:tab w:val="left" w:pos="709"/>
        </w:tabs>
        <w:spacing w:after="200"/>
        <w:ind w:leftChars="0"/>
        <w:jc w:val="left"/>
        <w:rPr>
          <w:rFonts w:hint="eastAsia" w:ascii="宋体" w:hAnsi="宋体" w:eastAsia="宋体"/>
          <w:color w:val="auto"/>
          <w:highlight w:val="none"/>
          <w:lang w:val="en-US" w:eastAsia="zh-CN"/>
        </w:rPr>
      </w:pPr>
      <w:bookmarkStart w:id="153" w:name="_Toc21591"/>
      <w:bookmarkStart w:id="154" w:name="_Toc27262"/>
      <w:r>
        <w:rPr>
          <w:rFonts w:hint="eastAsia" w:ascii="宋体" w:hAnsi="宋体" w:eastAsia="宋体"/>
          <w:color w:val="auto"/>
          <w:highlight w:val="none"/>
          <w:lang w:val="en-US" w:eastAsia="zh-CN"/>
        </w:rPr>
        <w:t>3.2.2报价表</w:t>
      </w:r>
      <w:bookmarkEnd w:id="153"/>
      <w:bookmarkEnd w:id="154"/>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pStyle w:val="42"/>
        <w:ind w:left="0" w:leftChars="0" w:firstLine="0" w:firstLineChars="0"/>
        <w:rPr>
          <w:rFonts w:hint="eastAsia" w:ascii="宋体" w:hAnsi="宋体"/>
          <w:b/>
          <w:color w:val="auto"/>
          <w:sz w:val="28"/>
          <w:highlight w:val="none"/>
          <w:u w:val="single"/>
          <w:lang w:val="en-US" w:eastAsia="zh-CN"/>
        </w:rPr>
      </w:pPr>
    </w:p>
    <w:tbl>
      <w:tblPr>
        <w:tblStyle w:val="1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highlight w:val="none"/>
              </w:rPr>
            </w:pPr>
            <w:r>
              <w:rPr>
                <w:rFonts w:hint="eastAsia"/>
                <w:color w:val="auto"/>
                <w:kern w:val="0"/>
                <w:sz w:val="28"/>
                <w:szCs w:val="28"/>
                <w:highlight w:val="none"/>
                <w:lang w:val="en-US" w:eastAsia="zh-CN"/>
              </w:rPr>
              <w:t>报价（总价、</w:t>
            </w:r>
            <w:r>
              <w:rPr>
                <w:rFonts w:hint="eastAsia" w:ascii="宋体" w:hAnsi="宋体"/>
                <w:color w:val="auto"/>
                <w:kern w:val="0"/>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highlight w:val="none"/>
              </w:rPr>
            </w:pPr>
          </w:p>
        </w:tc>
      </w:tr>
    </w:tbl>
    <w:p>
      <w:pPr>
        <w:pStyle w:val="42"/>
        <w:ind w:left="0" w:leftChars="0" w:firstLine="0" w:firstLineChars="0"/>
        <w:rPr>
          <w:rFonts w:hint="eastAsia" w:ascii="宋体" w:hAnsi="宋体"/>
          <w:b/>
          <w:color w:val="auto"/>
          <w:sz w:val="28"/>
          <w:highlight w:val="none"/>
          <w:u w:val="single"/>
          <w:lang w:val="zh-CN" w:eastAsia="zh-CN"/>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26"/>
        <w:ind w:firstLine="562" w:firstLineChars="200"/>
        <w:rPr>
          <w:b/>
          <w:color w:val="auto"/>
          <w:sz w:val="28"/>
          <w:highlight w:val="none"/>
        </w:rPr>
      </w:pPr>
      <w:r>
        <w:rPr>
          <w:rFonts w:hint="eastAsia"/>
          <w:b/>
          <w:color w:val="auto"/>
          <w:sz w:val="28"/>
          <w:highlight w:val="none"/>
        </w:rPr>
        <w:t>说明：1、报价应是包括磋商文件规定的全部响应内容的报价。</w:t>
      </w:r>
    </w:p>
    <w:p>
      <w:pPr>
        <w:tabs>
          <w:tab w:val="left" w:pos="1134"/>
        </w:tabs>
        <w:spacing w:line="560" w:lineRule="exact"/>
        <w:ind w:firstLine="427" w:firstLineChars="152"/>
        <w:rPr>
          <w:rFonts w:ascii="宋体" w:hAnsi="宋体"/>
          <w:b/>
          <w:bCs/>
          <w:color w:val="auto"/>
          <w:sz w:val="28"/>
          <w:highlight w:val="none"/>
        </w:rPr>
      </w:pPr>
      <w:r>
        <w:rPr>
          <w:rFonts w:hint="eastAsia" w:ascii="宋体" w:hAnsi="宋体"/>
          <w:b/>
          <w:color w:val="auto"/>
          <w:sz w:val="28"/>
          <w:szCs w:val="28"/>
          <w:highlight w:val="none"/>
        </w:rPr>
        <w:t>2、报价以供应商在政府采购云平台开标一览表中填写的报价为准。</w:t>
      </w:r>
    </w:p>
    <w:p>
      <w:pPr>
        <w:pStyle w:val="26"/>
        <w:ind w:firstLine="562" w:firstLineChars="200"/>
        <w:rPr>
          <w:b/>
          <w:color w:val="auto"/>
          <w:sz w:val="28"/>
          <w:highlight w:val="none"/>
        </w:rPr>
      </w:pPr>
    </w:p>
    <w:p>
      <w:pPr>
        <w:pStyle w:val="55"/>
        <w:outlineLvl w:val="1"/>
        <w:rPr>
          <w:color w:val="auto"/>
          <w:highlight w:val="none"/>
        </w:rPr>
      </w:pPr>
      <w:r>
        <w:rPr>
          <w:color w:val="auto"/>
          <w:highlight w:val="none"/>
        </w:rPr>
        <w:br w:type="page"/>
      </w:r>
      <w:bookmarkStart w:id="155" w:name="_Toc24890"/>
      <w:bookmarkStart w:id="156" w:name="_Toc19636"/>
      <w:r>
        <w:rPr>
          <w:rFonts w:hint="eastAsia" w:ascii="宋体" w:hAnsi="宋体" w:eastAsia="宋体" w:cs="Times New Roman"/>
          <w:b/>
          <w:bCs/>
          <w:color w:val="auto"/>
          <w:kern w:val="2"/>
          <w:sz w:val="24"/>
          <w:szCs w:val="28"/>
          <w:highlight w:val="none"/>
          <w:lang w:val="en-US" w:eastAsia="zh-CN" w:bidi="ar-SA"/>
        </w:rPr>
        <w:t>3.2.3分项报价表</w:t>
      </w:r>
      <w:bookmarkEnd w:id="155"/>
      <w:bookmarkEnd w:id="156"/>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numPr>
          <w:ilvl w:val="0"/>
          <w:numId w:val="0"/>
        </w:numPr>
        <w:tabs>
          <w:tab w:val="left" w:pos="630"/>
          <w:tab w:val="left" w:pos="7560"/>
        </w:tabs>
        <w:spacing w:after="200" w:line="360" w:lineRule="auto"/>
        <w:ind w:leftChars="0" w:firstLine="562" w:firstLineChars="200"/>
        <w:rPr>
          <w:rFonts w:ascii="宋体" w:hAnsi="宋体"/>
          <w:b/>
          <w:color w:val="auto"/>
          <w:sz w:val="28"/>
          <w:highlight w:val="none"/>
        </w:rPr>
      </w:pPr>
      <w:r>
        <w:rPr>
          <w:rFonts w:hint="eastAsia"/>
          <w:b/>
          <w:color w:val="auto"/>
          <w:sz w:val="28"/>
          <w:highlight w:val="none"/>
          <w:lang w:val="en-US" w:eastAsia="zh-CN"/>
        </w:rPr>
        <w:t>一、</w:t>
      </w:r>
      <w:r>
        <w:rPr>
          <w:rFonts w:hint="eastAsia" w:ascii="宋体" w:hAnsi="宋体"/>
          <w:b/>
          <w:color w:val="auto"/>
          <w:sz w:val="28"/>
          <w:highlight w:val="none"/>
        </w:rPr>
        <w:t>分项报价明细表（说明：</w:t>
      </w:r>
      <w:r>
        <w:rPr>
          <w:rFonts w:hint="eastAsia" w:ascii="宋体" w:hAnsi="宋体"/>
          <w:b/>
          <w:color w:val="auto"/>
          <w:sz w:val="28"/>
          <w:szCs w:val="28"/>
          <w:highlight w:val="none"/>
          <w:lang w:eastAsia="zh-CN"/>
        </w:rPr>
        <w:t>供应商</w:t>
      </w:r>
      <w:r>
        <w:rPr>
          <w:rFonts w:hint="eastAsia" w:ascii="宋体" w:hAnsi="宋体"/>
          <w:b/>
          <w:color w:val="auto"/>
          <w:sz w:val="28"/>
          <w:highlight w:val="none"/>
        </w:rPr>
        <w:t>应根据其报价的构成提供详细的分项价格明细表。）</w:t>
      </w:r>
    </w:p>
    <w:tbl>
      <w:tblPr>
        <w:tblStyle w:val="17"/>
        <w:tblW w:w="54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119"/>
        <w:gridCol w:w="779"/>
        <w:gridCol w:w="779"/>
        <w:gridCol w:w="927"/>
        <w:gridCol w:w="1132"/>
        <w:gridCol w:w="1107"/>
        <w:gridCol w:w="988"/>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6"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序号</w:t>
            </w:r>
          </w:p>
        </w:tc>
        <w:tc>
          <w:tcPr>
            <w:tcW w:w="2119"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货物名称</w:t>
            </w:r>
          </w:p>
        </w:tc>
        <w:tc>
          <w:tcPr>
            <w:tcW w:w="779"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品牌</w:t>
            </w:r>
          </w:p>
        </w:tc>
        <w:tc>
          <w:tcPr>
            <w:tcW w:w="779"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规格型号</w:t>
            </w:r>
          </w:p>
        </w:tc>
        <w:tc>
          <w:tcPr>
            <w:tcW w:w="927"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制造商</w:t>
            </w:r>
          </w:p>
        </w:tc>
        <w:tc>
          <w:tcPr>
            <w:tcW w:w="1132"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进口或国产</w:t>
            </w:r>
          </w:p>
        </w:tc>
        <w:tc>
          <w:tcPr>
            <w:tcW w:w="1107"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
                <w:bCs/>
                <w:color w:val="auto"/>
                <w:szCs w:val="21"/>
                <w:highlight w:val="none"/>
              </w:rPr>
            </w:pPr>
            <w:r>
              <w:rPr>
                <w:rFonts w:ascii="宋体" w:hAnsi="宋体"/>
                <w:b/>
                <w:bCs/>
                <w:color w:val="auto"/>
                <w:szCs w:val="21"/>
                <w:highlight w:val="none"/>
              </w:rPr>
              <w:t>数量</w:t>
            </w:r>
          </w:p>
        </w:tc>
        <w:tc>
          <w:tcPr>
            <w:tcW w:w="988"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ascii="宋体" w:hAnsi="宋体"/>
                <w:bCs/>
                <w:color w:val="auto"/>
                <w:szCs w:val="21"/>
                <w:highlight w:val="none"/>
              </w:rPr>
            </w:pPr>
            <w:r>
              <w:rPr>
                <w:rFonts w:ascii="宋体" w:hAnsi="宋体"/>
                <w:b/>
                <w:bCs/>
                <w:color w:val="auto"/>
                <w:szCs w:val="21"/>
                <w:highlight w:val="none"/>
              </w:rPr>
              <w:t>单价</w:t>
            </w:r>
          </w:p>
        </w:tc>
        <w:tc>
          <w:tcPr>
            <w:tcW w:w="1571" w:type="dxa"/>
            <w:tcBorders>
              <w:top w:val="single" w:color="auto" w:sz="2" w:space="0"/>
              <w:left w:val="single" w:color="auto" w:sz="2" w:space="0"/>
              <w:bottom w:val="single" w:color="auto" w:sz="2" w:space="0"/>
              <w:right w:val="single" w:color="auto" w:sz="2" w:space="0"/>
            </w:tcBorders>
            <w:vAlign w:val="center"/>
          </w:tcPr>
          <w:p>
            <w:pPr>
              <w:pStyle w:val="11"/>
              <w:ind w:left="0" w:leftChars="0"/>
              <w:jc w:val="center"/>
              <w:rPr>
                <w:rFonts w:hint="eastAsia" w:ascii="宋体" w:hAnsi="宋体"/>
                <w:b/>
                <w:color w:val="000000"/>
                <w:shd w:val="clear" w:color="auto" w:fill="FFFFFF"/>
                <w:lang w:eastAsia="zh-CN"/>
              </w:rPr>
            </w:pPr>
            <w:r>
              <w:rPr>
                <w:rFonts w:hint="eastAsia" w:ascii="宋体" w:hAnsi="宋体"/>
                <w:b/>
                <w:color w:val="000000"/>
                <w:szCs w:val="28"/>
                <w:shd w:val="clear" w:color="auto" w:fill="FFFFFF"/>
              </w:rPr>
              <w:t>总价</w:t>
            </w: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单价x数量</w:t>
            </w:r>
            <w:r>
              <w:rPr>
                <w:rFonts w:hint="eastAsia" w:ascii="宋体" w:hAnsi="宋体"/>
                <w:b/>
                <w:color w:val="000000"/>
                <w:shd w:val="clear" w:color="auto" w:fill="FFFFFF"/>
                <w:lang w:eastAsia="zh-CN"/>
              </w:rPr>
              <w:t>）</w:t>
            </w:r>
          </w:p>
          <w:p>
            <w:pPr>
              <w:pStyle w:val="11"/>
              <w:ind w:left="0" w:leftChars="0"/>
              <w:jc w:val="center"/>
              <w:rPr>
                <w:rFonts w:ascii="宋体" w:hAnsi="宋体"/>
                <w:b/>
                <w:bCs/>
                <w:color w:val="auto"/>
                <w:szCs w:val="21"/>
                <w:highlight w:val="none"/>
              </w:rPr>
            </w:pP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单位：</w:t>
            </w:r>
            <w:r>
              <w:rPr>
                <w:rFonts w:hint="eastAsia" w:ascii="宋体" w:hAnsi="宋体"/>
                <w:b/>
                <w:bCs/>
                <w:color w:val="000000"/>
                <w:u w:val="none"/>
                <w:shd w:val="clear" w:color="auto" w:fill="FFFFFF"/>
                <w:lang w:val="en-US" w:eastAsia="zh-CN"/>
              </w:rPr>
              <w:t>元</w:t>
            </w:r>
            <w:r>
              <w:rPr>
                <w:rFonts w:hint="eastAsia" w:ascii="宋体" w:hAnsi="宋体"/>
                <w:b/>
                <w:color w:val="00000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76"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2119" w:type="dxa"/>
            <w:tcBorders>
              <w:top w:val="single" w:color="auto" w:sz="2" w:space="0"/>
              <w:left w:val="single" w:color="auto" w:sz="2" w:space="0"/>
              <w:bottom w:val="single" w:color="auto" w:sz="4" w:space="0"/>
              <w:right w:val="single" w:color="auto" w:sz="2" w:space="0"/>
            </w:tcBorders>
            <w:vAlign w:val="center"/>
          </w:tcPr>
          <w:p>
            <w:pPr>
              <w:pStyle w:val="11"/>
              <w:ind w:left="0" w:leftChars="0"/>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2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32"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0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88"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571"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76"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2119" w:type="dxa"/>
            <w:tcBorders>
              <w:top w:val="single" w:color="auto" w:sz="2" w:space="0"/>
              <w:left w:val="single" w:color="auto" w:sz="2" w:space="0"/>
              <w:bottom w:val="single" w:color="auto" w:sz="4" w:space="0"/>
              <w:right w:val="single" w:color="auto" w:sz="2" w:space="0"/>
            </w:tcBorders>
            <w:vAlign w:val="center"/>
          </w:tcPr>
          <w:p>
            <w:pPr>
              <w:pStyle w:val="11"/>
              <w:ind w:left="0" w:leftChars="0"/>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2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32"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0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88"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571"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76"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2119" w:type="dxa"/>
            <w:tcBorders>
              <w:top w:val="single" w:color="auto" w:sz="2" w:space="0"/>
              <w:left w:val="single" w:color="auto" w:sz="2" w:space="0"/>
              <w:bottom w:val="single" w:color="auto" w:sz="4" w:space="0"/>
              <w:right w:val="single" w:color="auto" w:sz="2" w:space="0"/>
            </w:tcBorders>
            <w:vAlign w:val="center"/>
          </w:tcPr>
          <w:p>
            <w:pPr>
              <w:pStyle w:val="11"/>
              <w:ind w:left="0" w:leftChars="0"/>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2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32"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0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88"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571"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76"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hint="eastAsia" w:ascii="宋体" w:hAnsi="宋体" w:eastAsia="宋体"/>
                <w:bCs/>
                <w:color w:val="auto"/>
                <w:szCs w:val="21"/>
                <w:highlight w:val="none"/>
                <w:lang w:eastAsia="zh-CN"/>
              </w:rPr>
            </w:pPr>
            <w:r>
              <w:rPr>
                <w:rFonts w:hint="eastAsia"/>
                <w:bCs/>
                <w:color w:val="auto"/>
                <w:szCs w:val="21"/>
                <w:highlight w:val="none"/>
                <w:lang w:eastAsia="zh-CN"/>
              </w:rPr>
              <w:t>……</w:t>
            </w:r>
          </w:p>
        </w:tc>
        <w:tc>
          <w:tcPr>
            <w:tcW w:w="2119" w:type="dxa"/>
            <w:tcBorders>
              <w:top w:val="single" w:color="auto" w:sz="2" w:space="0"/>
              <w:left w:val="single" w:color="auto" w:sz="2" w:space="0"/>
              <w:bottom w:val="single" w:color="auto" w:sz="4" w:space="0"/>
              <w:right w:val="single" w:color="auto" w:sz="2" w:space="0"/>
            </w:tcBorders>
            <w:vAlign w:val="center"/>
          </w:tcPr>
          <w:p>
            <w:pPr>
              <w:pStyle w:val="11"/>
              <w:ind w:left="0" w:leftChars="0"/>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779"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2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32"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107"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988"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c>
          <w:tcPr>
            <w:tcW w:w="1571" w:type="dxa"/>
            <w:tcBorders>
              <w:top w:val="single" w:color="auto" w:sz="2" w:space="0"/>
              <w:left w:val="single" w:color="auto" w:sz="2" w:space="0"/>
              <w:bottom w:val="single" w:color="auto" w:sz="4" w:space="0"/>
              <w:right w:val="single" w:color="auto" w:sz="2" w:space="0"/>
            </w:tcBorders>
            <w:vAlign w:val="center"/>
          </w:tcPr>
          <w:p>
            <w:pPr>
              <w:pStyle w:val="11"/>
              <w:ind w:left="0" w:leftChars="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8607" w:type="dxa"/>
            <w:gridSpan w:val="8"/>
            <w:tcBorders>
              <w:top w:val="single" w:color="auto" w:sz="4" w:space="0"/>
              <w:left w:val="single" w:color="auto" w:sz="2" w:space="0"/>
              <w:bottom w:val="single" w:color="auto" w:sz="2" w:space="0"/>
              <w:right w:val="single" w:color="auto" w:sz="2" w:space="0"/>
            </w:tcBorders>
            <w:vAlign w:val="center"/>
          </w:tcPr>
          <w:p>
            <w:pPr>
              <w:pStyle w:val="11"/>
              <w:jc w:val="center"/>
              <w:rPr>
                <w:rFonts w:ascii="宋体" w:hAnsi="宋体"/>
                <w:b/>
                <w:bCs/>
                <w:color w:val="auto"/>
                <w:szCs w:val="21"/>
                <w:highlight w:val="none"/>
                <w:u w:val="single"/>
              </w:rPr>
            </w:pPr>
            <w:r>
              <w:rPr>
                <w:rFonts w:ascii="宋体" w:hAnsi="宋体"/>
                <w:b/>
                <w:bCs/>
                <w:color w:val="auto"/>
                <w:szCs w:val="21"/>
                <w:highlight w:val="none"/>
              </w:rPr>
              <w:t>报价</w:t>
            </w:r>
            <w:r>
              <w:rPr>
                <w:rFonts w:hint="eastAsia" w:ascii="宋体" w:hAnsi="宋体"/>
                <w:b/>
                <w:bCs/>
                <w:color w:val="auto"/>
                <w:szCs w:val="21"/>
                <w:highlight w:val="none"/>
              </w:rPr>
              <w:t>（</w:t>
            </w:r>
            <w:r>
              <w:rPr>
                <w:rFonts w:hint="eastAsia"/>
                <w:b/>
                <w:bCs/>
                <w:color w:val="auto"/>
                <w:szCs w:val="21"/>
                <w:highlight w:val="none"/>
                <w:lang w:val="en-US" w:eastAsia="zh-CN"/>
              </w:rPr>
              <w:t>总价</w:t>
            </w:r>
            <w:r>
              <w:rPr>
                <w:rFonts w:ascii="宋体" w:hAnsi="宋体"/>
                <w:b/>
                <w:bCs/>
                <w:color w:val="auto"/>
                <w:szCs w:val="21"/>
                <w:highlight w:val="none"/>
              </w:rPr>
              <w:t>合计</w:t>
            </w:r>
            <w:r>
              <w:rPr>
                <w:rFonts w:hint="eastAsia" w:ascii="宋体" w:hAnsi="宋体"/>
                <w:b/>
                <w:bCs/>
                <w:color w:val="auto"/>
                <w:szCs w:val="21"/>
                <w:highlight w:val="none"/>
              </w:rPr>
              <w:t>）</w:t>
            </w:r>
          </w:p>
        </w:tc>
        <w:tc>
          <w:tcPr>
            <w:tcW w:w="1571" w:type="dxa"/>
            <w:tcBorders>
              <w:top w:val="single" w:color="auto" w:sz="4" w:space="0"/>
              <w:left w:val="single" w:color="auto" w:sz="2" w:space="0"/>
              <w:bottom w:val="single" w:color="auto" w:sz="2" w:space="0"/>
              <w:right w:val="single" w:color="auto" w:sz="2" w:space="0"/>
            </w:tcBorders>
            <w:vAlign w:val="center"/>
          </w:tcPr>
          <w:p>
            <w:pPr>
              <w:pStyle w:val="11"/>
              <w:ind w:left="0" w:leftChars="0"/>
              <w:jc w:val="center"/>
              <w:rPr>
                <w:rFonts w:hint="default" w:ascii="宋体" w:hAnsi="宋体" w:eastAsia="宋体"/>
                <w:b/>
                <w:bCs/>
                <w:color w:val="auto"/>
                <w:szCs w:val="21"/>
                <w:highlight w:val="none"/>
                <w:u w:val="single"/>
                <w:lang w:val="en-US" w:eastAsia="zh-CN"/>
              </w:rPr>
            </w:pPr>
            <w:r>
              <w:rPr>
                <w:rFonts w:hint="eastAsia" w:ascii="宋体" w:hAnsi="宋体"/>
                <w:color w:val="000000"/>
                <w:shd w:val="clear" w:color="auto" w:fill="FFFFFF"/>
              </w:rPr>
              <w:t>￥</w:t>
            </w:r>
            <w:r>
              <w:rPr>
                <w:rFonts w:hint="eastAsia" w:ascii="宋体" w:hAnsi="宋体"/>
                <w:color w:val="000000"/>
                <w:u w:val="single"/>
                <w:shd w:val="clear" w:color="auto" w:fill="FFFFFF"/>
                <w:lang w:val="en-US" w:eastAsia="zh-CN"/>
              </w:rPr>
              <w:t xml:space="preserve">  </w:t>
            </w:r>
          </w:p>
        </w:tc>
      </w:tr>
    </w:tbl>
    <w:p>
      <w:pPr>
        <w:spacing w:line="440" w:lineRule="atLeast"/>
        <w:ind w:firstLine="419" w:firstLineChars="149"/>
        <w:rPr>
          <w:rFonts w:hint="eastAsia" w:ascii="宋体" w:hAnsi="宋体"/>
          <w:b/>
          <w:color w:val="auto"/>
          <w:sz w:val="28"/>
          <w:szCs w:val="28"/>
          <w:highlight w:val="none"/>
        </w:rPr>
      </w:pPr>
      <w:r>
        <w:rPr>
          <w:rFonts w:hint="eastAsia" w:ascii="宋体" w:hAnsi="宋体"/>
          <w:b/>
          <w:color w:val="auto"/>
          <w:sz w:val="28"/>
          <w:szCs w:val="28"/>
          <w:highlight w:val="none"/>
        </w:rPr>
        <w:t>说明：1、进口产品是指通过中国海关报关验放进入中国境内且产自关境外的产品。</w:t>
      </w:r>
    </w:p>
    <w:p>
      <w:pPr>
        <w:spacing w:line="440" w:lineRule="atLeast"/>
        <w:ind w:firstLine="419" w:firstLineChars="149"/>
        <w:rPr>
          <w:rFonts w:ascii="宋体" w:hAnsi="宋体"/>
          <w:b/>
          <w:color w:val="auto"/>
          <w:sz w:val="28"/>
          <w:szCs w:val="28"/>
          <w:highlight w:val="none"/>
        </w:rPr>
      </w:pPr>
      <w:r>
        <w:rPr>
          <w:rFonts w:hint="eastAsia" w:ascii="宋体" w:hAnsi="宋体"/>
          <w:b/>
          <w:color w:val="auto"/>
          <w:sz w:val="28"/>
          <w:szCs w:val="28"/>
          <w:highlight w:val="none"/>
        </w:rPr>
        <w:t>2、分项报价明细表格式中要求填写品牌、规格型号、制造商、进口或国产的，</w:t>
      </w: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必须载明其</w:t>
      </w:r>
      <w:r>
        <w:rPr>
          <w:rFonts w:hint="eastAsia" w:ascii="宋体" w:hAnsi="宋体"/>
          <w:b/>
          <w:color w:val="auto"/>
          <w:sz w:val="28"/>
          <w:szCs w:val="28"/>
          <w:highlight w:val="none"/>
          <w:lang w:eastAsia="zh-CN"/>
        </w:rPr>
        <w:t>所</w:t>
      </w:r>
      <w:r>
        <w:rPr>
          <w:rFonts w:hint="eastAsia"/>
          <w:b/>
          <w:color w:val="auto"/>
          <w:sz w:val="28"/>
          <w:szCs w:val="28"/>
          <w:highlight w:val="none"/>
          <w:lang w:eastAsia="zh-CN"/>
        </w:rPr>
        <w:t>投</w:t>
      </w:r>
      <w:r>
        <w:rPr>
          <w:rFonts w:hint="eastAsia" w:ascii="宋体" w:hAnsi="宋体"/>
          <w:b/>
          <w:color w:val="auto"/>
          <w:sz w:val="28"/>
          <w:szCs w:val="28"/>
          <w:highlight w:val="none"/>
        </w:rPr>
        <w:t>产品的品牌、规格型号、制造商、进口或国产。</w:t>
      </w:r>
    </w:p>
    <w:p>
      <w:pPr>
        <w:numPr>
          <w:ilvl w:val="0"/>
          <w:numId w:val="0"/>
        </w:numPr>
        <w:tabs>
          <w:tab w:val="left" w:pos="630"/>
          <w:tab w:val="left" w:pos="3414"/>
          <w:tab w:val="left" w:pos="7560"/>
        </w:tabs>
        <w:spacing w:after="200" w:line="360" w:lineRule="auto"/>
        <w:ind w:leftChars="0" w:firstLine="562" w:firstLineChars="200"/>
        <w:rPr>
          <w:rFonts w:ascii="宋体" w:hAnsi="宋体"/>
          <w:b/>
          <w:color w:val="auto"/>
          <w:sz w:val="28"/>
          <w:highlight w:val="none"/>
        </w:rPr>
      </w:pPr>
      <w:r>
        <w:rPr>
          <w:rFonts w:hint="eastAsia"/>
          <w:b/>
          <w:color w:val="auto"/>
          <w:sz w:val="28"/>
          <w:szCs w:val="28"/>
          <w:highlight w:val="none"/>
          <w:lang w:val="en-US" w:eastAsia="zh-CN"/>
        </w:rPr>
        <w:t>二、</w:t>
      </w:r>
      <w:r>
        <w:rPr>
          <w:rFonts w:hint="eastAsia" w:ascii="宋体" w:hAnsi="宋体"/>
          <w:b/>
          <w:color w:val="auto"/>
          <w:sz w:val="28"/>
          <w:szCs w:val="28"/>
          <w:highlight w:val="none"/>
          <w:lang w:eastAsia="zh-CN"/>
        </w:rPr>
        <w:t>供应商所</w:t>
      </w:r>
      <w:r>
        <w:rPr>
          <w:rFonts w:hint="eastAsia" w:ascii="宋体" w:hAnsi="宋体"/>
          <w:b/>
          <w:color w:val="auto"/>
          <w:sz w:val="28"/>
          <w:highlight w:val="none"/>
        </w:rPr>
        <w:t>投产品中为监狱企业制造的货物清单及价格（说明：</w:t>
      </w:r>
      <w:r>
        <w:rPr>
          <w:rFonts w:ascii="宋体" w:hAnsi="宋体"/>
          <w:b/>
          <w:color w:val="auto"/>
          <w:sz w:val="28"/>
          <w:highlight w:val="none"/>
        </w:rPr>
        <w:t>1、提供由省级以上监狱管理局、戒毒管理局（含新疆生产建设兵团）出具的</w:t>
      </w:r>
      <w:r>
        <w:rPr>
          <w:rFonts w:hint="eastAsia" w:ascii="宋体" w:hAnsi="宋体"/>
          <w:b/>
          <w:color w:val="auto"/>
          <w:sz w:val="28"/>
          <w:highlight w:val="none"/>
        </w:rPr>
        <w:t>制造</w:t>
      </w:r>
      <w:r>
        <w:rPr>
          <w:rFonts w:ascii="宋体" w:hAnsi="宋体"/>
          <w:b/>
          <w:color w:val="auto"/>
          <w:sz w:val="28"/>
          <w:highlight w:val="none"/>
        </w:rPr>
        <w:t>商属于监狱企业的证明文件复印件；2、如未提供</w:t>
      </w:r>
      <w:r>
        <w:rPr>
          <w:rFonts w:hint="eastAsia" w:ascii="宋体" w:hAnsi="宋体"/>
          <w:b/>
          <w:color w:val="auto"/>
          <w:sz w:val="28"/>
          <w:highlight w:val="none"/>
        </w:rPr>
        <w:t>货物</w:t>
      </w:r>
      <w:r>
        <w:rPr>
          <w:rFonts w:ascii="宋体" w:hAnsi="宋体"/>
          <w:b/>
          <w:color w:val="auto"/>
          <w:sz w:val="28"/>
          <w:highlight w:val="none"/>
        </w:rPr>
        <w:t>清单及价格以及相关证明材料复印件，则不能享受对监狱企业</w:t>
      </w:r>
      <w:r>
        <w:rPr>
          <w:rFonts w:hint="eastAsia" w:ascii="宋体" w:hAnsi="宋体"/>
          <w:b/>
          <w:color w:val="auto"/>
          <w:sz w:val="28"/>
          <w:highlight w:val="none"/>
        </w:rPr>
        <w:t>制造的货物</w:t>
      </w:r>
      <w:r>
        <w:rPr>
          <w:rFonts w:ascii="宋体" w:hAnsi="宋体"/>
          <w:b/>
          <w:color w:val="auto"/>
          <w:sz w:val="28"/>
          <w:highlight w:val="none"/>
        </w:rPr>
        <w:t>的价格扣除，但不影响</w:t>
      </w:r>
      <w:r>
        <w:rPr>
          <w:rFonts w:hint="eastAsia" w:ascii="宋体" w:hAnsi="宋体"/>
          <w:b/>
          <w:color w:val="auto"/>
          <w:sz w:val="28"/>
          <w:highlight w:val="none"/>
          <w:lang w:eastAsia="zh-CN"/>
        </w:rPr>
        <w:t>响应</w:t>
      </w:r>
      <w:r>
        <w:rPr>
          <w:rFonts w:ascii="宋体" w:hAnsi="宋体"/>
          <w:b/>
          <w:color w:val="auto"/>
          <w:sz w:val="28"/>
          <w:highlight w:val="none"/>
        </w:rPr>
        <w:t>文件的有效性。）</w:t>
      </w:r>
    </w:p>
    <w:tbl>
      <w:tblPr>
        <w:tblStyle w:val="17"/>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62"/>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序号</w:t>
            </w:r>
          </w:p>
        </w:tc>
        <w:tc>
          <w:tcPr>
            <w:tcW w:w="172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货物名称</w:t>
            </w:r>
          </w:p>
        </w:tc>
        <w:tc>
          <w:tcPr>
            <w:tcW w:w="694"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品牌</w:t>
            </w:r>
          </w:p>
        </w:tc>
        <w:tc>
          <w:tcPr>
            <w:tcW w:w="1253"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规格型号</w:t>
            </w:r>
          </w:p>
        </w:tc>
        <w:tc>
          <w:tcPr>
            <w:tcW w:w="1417"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制造商</w:t>
            </w:r>
          </w:p>
        </w:tc>
        <w:tc>
          <w:tcPr>
            <w:tcW w:w="851"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数量</w:t>
            </w:r>
          </w:p>
        </w:tc>
        <w:tc>
          <w:tcPr>
            <w:tcW w:w="862"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单价</w:t>
            </w:r>
          </w:p>
        </w:tc>
        <w:tc>
          <w:tcPr>
            <w:tcW w:w="1929" w:type="dxa"/>
            <w:vAlign w:val="center"/>
          </w:tcPr>
          <w:p>
            <w:pPr>
              <w:pStyle w:val="11"/>
              <w:ind w:left="0" w:leftChars="0"/>
              <w:jc w:val="center"/>
              <w:rPr>
                <w:rFonts w:hint="eastAsia" w:ascii="宋体" w:hAnsi="宋体"/>
                <w:b/>
                <w:color w:val="000000"/>
                <w:shd w:val="clear" w:color="auto" w:fill="FFFFFF"/>
                <w:lang w:eastAsia="zh-CN"/>
              </w:rPr>
            </w:pPr>
            <w:r>
              <w:rPr>
                <w:rFonts w:hint="eastAsia" w:ascii="宋体" w:hAnsi="宋体"/>
                <w:b/>
                <w:color w:val="000000"/>
                <w:szCs w:val="28"/>
                <w:shd w:val="clear" w:color="auto" w:fill="FFFFFF"/>
              </w:rPr>
              <w:t>总价</w:t>
            </w: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单价x数量</w:t>
            </w:r>
            <w:r>
              <w:rPr>
                <w:rFonts w:hint="eastAsia" w:ascii="宋体" w:hAnsi="宋体"/>
                <w:b/>
                <w:color w:val="000000"/>
                <w:shd w:val="clear" w:color="auto" w:fill="FFFFFF"/>
                <w:lang w:eastAsia="zh-CN"/>
              </w:rPr>
              <w:t>）</w:t>
            </w:r>
          </w:p>
          <w:p>
            <w:pPr>
              <w:spacing w:before="156" w:beforeLines="50" w:line="360" w:lineRule="auto"/>
              <w:jc w:val="center"/>
              <w:rPr>
                <w:rFonts w:hint="eastAsia" w:ascii="宋体" w:hAnsi="宋体"/>
                <w:b/>
                <w:color w:val="auto"/>
                <w:highlight w:val="none"/>
              </w:rPr>
            </w:pP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单位：</w:t>
            </w:r>
            <w:r>
              <w:rPr>
                <w:rFonts w:hint="eastAsia" w:ascii="宋体" w:hAnsi="宋体"/>
                <w:b/>
                <w:bCs/>
                <w:color w:val="000000"/>
                <w:u w:val="none"/>
                <w:shd w:val="clear" w:color="auto" w:fill="FFFFFF"/>
                <w:lang w:val="en-US" w:eastAsia="zh-CN"/>
              </w:rPr>
              <w:t>元</w:t>
            </w:r>
            <w:r>
              <w:rPr>
                <w:rFonts w:hint="eastAsia" w:ascii="宋体" w:hAnsi="宋体"/>
                <w:b/>
                <w:color w:val="00000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694" w:type="dxa"/>
            <w:vAlign w:val="center"/>
          </w:tcPr>
          <w:p>
            <w:pPr>
              <w:spacing w:line="360" w:lineRule="auto"/>
              <w:jc w:val="center"/>
              <w:rPr>
                <w:rFonts w:ascii="宋体" w:hAnsi="宋体"/>
                <w:color w:val="auto"/>
                <w:highlight w:val="none"/>
              </w:rPr>
            </w:pPr>
          </w:p>
        </w:tc>
        <w:tc>
          <w:tcPr>
            <w:tcW w:w="1253" w:type="dxa"/>
            <w:vAlign w:val="center"/>
          </w:tcPr>
          <w:p>
            <w:pPr>
              <w:spacing w:line="360" w:lineRule="auto"/>
              <w:jc w:val="center"/>
              <w:rPr>
                <w:rFonts w:ascii="宋体" w:hAnsi="宋体"/>
                <w:color w:val="auto"/>
                <w:highlight w:val="none"/>
              </w:rPr>
            </w:pPr>
          </w:p>
        </w:tc>
        <w:tc>
          <w:tcPr>
            <w:tcW w:w="1417" w:type="dxa"/>
            <w:vAlign w:val="center"/>
          </w:tcPr>
          <w:p>
            <w:pPr>
              <w:spacing w:line="360" w:lineRule="auto"/>
              <w:jc w:val="center"/>
              <w:rPr>
                <w:rFonts w:ascii="宋体" w:hAnsi="宋体"/>
                <w:color w:val="auto"/>
                <w:highlight w:val="none"/>
              </w:rPr>
            </w:pPr>
          </w:p>
        </w:tc>
        <w:tc>
          <w:tcPr>
            <w:tcW w:w="851" w:type="dxa"/>
            <w:vAlign w:val="center"/>
          </w:tcPr>
          <w:p>
            <w:pPr>
              <w:spacing w:line="360" w:lineRule="auto"/>
              <w:jc w:val="center"/>
              <w:rPr>
                <w:rFonts w:ascii="宋体" w:hAnsi="宋体"/>
                <w:color w:val="auto"/>
                <w:highlight w:val="none"/>
              </w:rPr>
            </w:pPr>
          </w:p>
        </w:tc>
        <w:tc>
          <w:tcPr>
            <w:tcW w:w="862" w:type="dxa"/>
            <w:vAlign w:val="center"/>
          </w:tcPr>
          <w:p>
            <w:pPr>
              <w:spacing w:line="360" w:lineRule="auto"/>
              <w:jc w:val="center"/>
              <w:rPr>
                <w:rFonts w:ascii="宋体" w:hAnsi="宋体"/>
                <w:color w:val="auto"/>
                <w:highlight w:val="none"/>
              </w:rPr>
            </w:pPr>
          </w:p>
        </w:tc>
        <w:tc>
          <w:tcPr>
            <w:tcW w:w="192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hint="eastAsia" w:ascii="宋体" w:hAnsi="宋体" w:eastAsia="宋体"/>
                <w:color w:val="auto"/>
                <w:highlight w:val="none"/>
                <w:lang w:eastAsia="zh-CN"/>
              </w:rPr>
            </w:pPr>
            <w:r>
              <w:rPr>
                <w:rFonts w:hint="eastAsia"/>
                <w:color w:val="auto"/>
                <w:highlight w:val="none"/>
                <w:lang w:eastAsia="zh-CN"/>
              </w:rPr>
              <w:t>……</w:t>
            </w:r>
          </w:p>
        </w:tc>
        <w:tc>
          <w:tcPr>
            <w:tcW w:w="1720" w:type="dxa"/>
            <w:vAlign w:val="center"/>
          </w:tcPr>
          <w:p>
            <w:pPr>
              <w:spacing w:line="360" w:lineRule="auto"/>
              <w:jc w:val="center"/>
              <w:rPr>
                <w:rFonts w:ascii="宋体" w:hAnsi="宋体"/>
                <w:color w:val="auto"/>
                <w:highlight w:val="none"/>
              </w:rPr>
            </w:pPr>
          </w:p>
        </w:tc>
        <w:tc>
          <w:tcPr>
            <w:tcW w:w="694" w:type="dxa"/>
            <w:vAlign w:val="center"/>
          </w:tcPr>
          <w:p>
            <w:pPr>
              <w:spacing w:line="360" w:lineRule="auto"/>
              <w:jc w:val="center"/>
              <w:rPr>
                <w:rFonts w:ascii="宋体" w:hAnsi="宋体"/>
                <w:color w:val="auto"/>
                <w:highlight w:val="none"/>
              </w:rPr>
            </w:pPr>
          </w:p>
        </w:tc>
        <w:tc>
          <w:tcPr>
            <w:tcW w:w="1253" w:type="dxa"/>
            <w:vAlign w:val="center"/>
          </w:tcPr>
          <w:p>
            <w:pPr>
              <w:spacing w:line="360" w:lineRule="auto"/>
              <w:jc w:val="center"/>
              <w:rPr>
                <w:rFonts w:ascii="宋体" w:hAnsi="宋体"/>
                <w:color w:val="auto"/>
                <w:highlight w:val="none"/>
              </w:rPr>
            </w:pPr>
          </w:p>
        </w:tc>
        <w:tc>
          <w:tcPr>
            <w:tcW w:w="1417" w:type="dxa"/>
            <w:vAlign w:val="center"/>
          </w:tcPr>
          <w:p>
            <w:pPr>
              <w:spacing w:line="360" w:lineRule="auto"/>
              <w:jc w:val="center"/>
              <w:rPr>
                <w:rFonts w:ascii="宋体" w:hAnsi="宋体"/>
                <w:color w:val="auto"/>
                <w:highlight w:val="none"/>
              </w:rPr>
            </w:pPr>
          </w:p>
        </w:tc>
        <w:tc>
          <w:tcPr>
            <w:tcW w:w="851" w:type="dxa"/>
            <w:vAlign w:val="center"/>
          </w:tcPr>
          <w:p>
            <w:pPr>
              <w:spacing w:line="360" w:lineRule="auto"/>
              <w:jc w:val="center"/>
              <w:rPr>
                <w:rFonts w:ascii="宋体" w:hAnsi="宋体"/>
                <w:color w:val="auto"/>
                <w:highlight w:val="none"/>
              </w:rPr>
            </w:pPr>
          </w:p>
        </w:tc>
        <w:tc>
          <w:tcPr>
            <w:tcW w:w="862" w:type="dxa"/>
            <w:vAlign w:val="center"/>
          </w:tcPr>
          <w:p>
            <w:pPr>
              <w:spacing w:line="360" w:lineRule="auto"/>
              <w:jc w:val="center"/>
              <w:rPr>
                <w:rFonts w:ascii="宋体" w:hAnsi="宋体"/>
                <w:color w:val="auto"/>
                <w:highlight w:val="none"/>
              </w:rPr>
            </w:pPr>
          </w:p>
        </w:tc>
        <w:tc>
          <w:tcPr>
            <w:tcW w:w="1929"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757" w:type="dxa"/>
            <w:gridSpan w:val="7"/>
            <w:vAlign w:val="center"/>
          </w:tcPr>
          <w:p>
            <w:pPr>
              <w:spacing w:line="360" w:lineRule="auto"/>
              <w:jc w:val="center"/>
              <w:rPr>
                <w:rFonts w:ascii="宋体" w:hAnsi="宋体"/>
                <w:color w:val="auto"/>
                <w:highlight w:val="none"/>
              </w:rPr>
            </w:pPr>
            <w:r>
              <w:rPr>
                <w:rFonts w:hint="eastAsia" w:ascii="宋体" w:hAnsi="宋体" w:cs="宋体"/>
                <w:b/>
                <w:color w:val="auto"/>
                <w:highlight w:val="none"/>
              </w:rPr>
              <w:t>监狱企业制造的货物</w:t>
            </w:r>
            <w:r>
              <w:rPr>
                <w:rFonts w:ascii="宋体" w:hAnsi="宋体"/>
                <w:b/>
                <w:bCs/>
                <w:color w:val="auto"/>
                <w:szCs w:val="21"/>
                <w:highlight w:val="none"/>
              </w:rPr>
              <w:t>报价</w:t>
            </w:r>
            <w:r>
              <w:rPr>
                <w:rFonts w:hint="eastAsia" w:ascii="宋体" w:hAnsi="宋体"/>
                <w:b/>
                <w:bCs/>
                <w:color w:val="auto"/>
                <w:szCs w:val="21"/>
                <w:highlight w:val="none"/>
                <w:lang w:eastAsia="zh-CN"/>
              </w:rPr>
              <w:t>（</w:t>
            </w:r>
            <w:r>
              <w:rPr>
                <w:rFonts w:hint="eastAsia"/>
                <w:b/>
                <w:bCs/>
                <w:color w:val="auto"/>
                <w:szCs w:val="21"/>
                <w:highlight w:val="none"/>
                <w:lang w:val="en-US" w:eastAsia="zh-CN"/>
              </w:rPr>
              <w:t>总价</w:t>
            </w:r>
            <w:r>
              <w:rPr>
                <w:rFonts w:ascii="宋体" w:hAnsi="宋体"/>
                <w:b/>
                <w:bCs/>
                <w:color w:val="auto"/>
                <w:szCs w:val="21"/>
                <w:highlight w:val="none"/>
              </w:rPr>
              <w:t>合计</w:t>
            </w:r>
            <w:r>
              <w:rPr>
                <w:rFonts w:hint="eastAsia" w:ascii="宋体" w:hAnsi="宋体"/>
                <w:b/>
                <w:bCs/>
                <w:color w:val="auto"/>
                <w:szCs w:val="21"/>
                <w:highlight w:val="none"/>
              </w:rPr>
              <w:t>）</w:t>
            </w:r>
          </w:p>
        </w:tc>
        <w:tc>
          <w:tcPr>
            <w:tcW w:w="1929" w:type="dxa"/>
            <w:vAlign w:val="center"/>
          </w:tcPr>
          <w:p>
            <w:pPr>
              <w:spacing w:line="360" w:lineRule="auto"/>
              <w:rPr>
                <w:rFonts w:hint="eastAsia" w:ascii="宋体" w:hAnsi="宋体"/>
                <w:color w:val="auto"/>
                <w:highlight w:val="none"/>
              </w:rPr>
            </w:pPr>
            <w:r>
              <w:rPr>
                <w:rFonts w:hint="eastAsia" w:ascii="宋体" w:hAnsi="宋体"/>
                <w:color w:val="auto"/>
                <w:highlight w:val="none"/>
              </w:rPr>
              <w:t>￥</w:t>
            </w:r>
          </w:p>
        </w:tc>
      </w:tr>
    </w:tbl>
    <w:p>
      <w:pPr>
        <w:numPr>
          <w:ilvl w:val="0"/>
          <w:numId w:val="0"/>
        </w:numPr>
        <w:tabs>
          <w:tab w:val="left" w:pos="630"/>
          <w:tab w:val="left" w:pos="7560"/>
        </w:tabs>
        <w:spacing w:after="200" w:line="360" w:lineRule="auto"/>
        <w:ind w:leftChars="0"/>
        <w:rPr>
          <w:rFonts w:ascii="宋体" w:hAnsi="宋体"/>
          <w:b/>
          <w:color w:val="auto"/>
          <w:sz w:val="28"/>
          <w:highlight w:val="none"/>
        </w:rPr>
      </w:pPr>
      <w:r>
        <w:rPr>
          <w:rFonts w:hint="eastAsia"/>
          <w:b/>
          <w:color w:val="auto"/>
          <w:sz w:val="28"/>
          <w:szCs w:val="28"/>
          <w:highlight w:val="none"/>
          <w:lang w:val="en-US" w:eastAsia="zh-CN"/>
        </w:rPr>
        <w:t>三、</w:t>
      </w:r>
      <w:r>
        <w:rPr>
          <w:rFonts w:hint="eastAsia" w:ascii="宋体" w:hAnsi="宋体"/>
          <w:b/>
          <w:color w:val="auto"/>
          <w:sz w:val="28"/>
          <w:szCs w:val="28"/>
          <w:highlight w:val="none"/>
          <w:lang w:eastAsia="zh-CN"/>
        </w:rPr>
        <w:t>供应商所</w:t>
      </w:r>
      <w:r>
        <w:rPr>
          <w:rFonts w:hint="eastAsia" w:ascii="宋体" w:hAnsi="宋体"/>
          <w:b/>
          <w:color w:val="auto"/>
          <w:sz w:val="28"/>
          <w:highlight w:val="none"/>
        </w:rPr>
        <w:t>投产品中为残疾人福利性单位制造的货物清单及价格（说明：如未提供则不能享受对残疾人福利性单位制造的货物的价格扣除）</w:t>
      </w:r>
    </w:p>
    <w:tbl>
      <w:tblPr>
        <w:tblStyle w:val="17"/>
        <w:tblW w:w="9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334"/>
        <w:gridCol w:w="880"/>
        <w:gridCol w:w="1060"/>
        <w:gridCol w:w="1510"/>
        <w:gridCol w:w="1020"/>
        <w:gridCol w:w="1130"/>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序号</w:t>
            </w:r>
          </w:p>
        </w:tc>
        <w:tc>
          <w:tcPr>
            <w:tcW w:w="1334"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货物名称</w:t>
            </w:r>
          </w:p>
        </w:tc>
        <w:tc>
          <w:tcPr>
            <w:tcW w:w="880" w:type="dxa"/>
          </w:tcPr>
          <w:p>
            <w:pPr>
              <w:spacing w:before="156" w:beforeLines="50" w:line="360" w:lineRule="auto"/>
              <w:jc w:val="center"/>
              <w:rPr>
                <w:rFonts w:ascii="宋体" w:hAnsi="宋体"/>
                <w:b/>
                <w:color w:val="auto"/>
                <w:highlight w:val="none"/>
              </w:rPr>
            </w:pPr>
            <w:r>
              <w:rPr>
                <w:rFonts w:hint="eastAsia" w:ascii="宋体" w:hAnsi="宋体"/>
                <w:b/>
                <w:color w:val="auto"/>
                <w:highlight w:val="none"/>
              </w:rPr>
              <w:t>品牌</w:t>
            </w:r>
          </w:p>
        </w:tc>
        <w:tc>
          <w:tcPr>
            <w:tcW w:w="106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规格型号</w:t>
            </w:r>
          </w:p>
        </w:tc>
        <w:tc>
          <w:tcPr>
            <w:tcW w:w="151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制造商</w:t>
            </w:r>
          </w:p>
        </w:tc>
        <w:tc>
          <w:tcPr>
            <w:tcW w:w="102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数量</w:t>
            </w:r>
          </w:p>
        </w:tc>
        <w:tc>
          <w:tcPr>
            <w:tcW w:w="113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单价</w:t>
            </w:r>
          </w:p>
        </w:tc>
        <w:tc>
          <w:tcPr>
            <w:tcW w:w="1974" w:type="dxa"/>
            <w:vAlign w:val="center"/>
          </w:tcPr>
          <w:p>
            <w:pPr>
              <w:pStyle w:val="11"/>
              <w:ind w:left="0" w:leftChars="0"/>
              <w:jc w:val="center"/>
              <w:rPr>
                <w:rFonts w:hint="eastAsia" w:ascii="宋体" w:hAnsi="宋体"/>
                <w:b/>
                <w:color w:val="000000"/>
                <w:shd w:val="clear" w:color="auto" w:fill="FFFFFF"/>
                <w:lang w:eastAsia="zh-CN"/>
              </w:rPr>
            </w:pPr>
            <w:r>
              <w:rPr>
                <w:rFonts w:hint="eastAsia" w:ascii="宋体" w:hAnsi="宋体"/>
                <w:b/>
                <w:color w:val="000000"/>
                <w:szCs w:val="28"/>
                <w:shd w:val="clear" w:color="auto" w:fill="FFFFFF"/>
              </w:rPr>
              <w:t>总价</w:t>
            </w: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单价x数量</w:t>
            </w:r>
            <w:r>
              <w:rPr>
                <w:rFonts w:hint="eastAsia" w:ascii="宋体" w:hAnsi="宋体"/>
                <w:b/>
                <w:color w:val="000000"/>
                <w:shd w:val="clear" w:color="auto" w:fill="FFFFFF"/>
                <w:lang w:eastAsia="zh-CN"/>
              </w:rPr>
              <w:t>）</w:t>
            </w:r>
          </w:p>
          <w:p>
            <w:pPr>
              <w:spacing w:before="156" w:beforeLines="50" w:line="360" w:lineRule="auto"/>
              <w:jc w:val="center"/>
              <w:rPr>
                <w:rFonts w:hint="eastAsia" w:ascii="宋体" w:hAnsi="宋体"/>
                <w:b/>
                <w:color w:val="auto"/>
                <w:highlight w:val="none"/>
              </w:rPr>
            </w:pPr>
            <w:r>
              <w:rPr>
                <w:rFonts w:hint="eastAsia" w:ascii="宋体" w:hAnsi="宋体"/>
                <w:b/>
                <w:color w:val="000000"/>
                <w:shd w:val="clear" w:color="auto" w:fill="FFFFFF"/>
                <w:lang w:eastAsia="zh-CN"/>
              </w:rPr>
              <w:t>（</w:t>
            </w:r>
            <w:r>
              <w:rPr>
                <w:rFonts w:hint="eastAsia" w:ascii="宋体" w:hAnsi="宋体"/>
                <w:b/>
                <w:color w:val="000000"/>
                <w:shd w:val="clear" w:color="auto" w:fill="FFFFFF"/>
                <w:lang w:val="en-US" w:eastAsia="zh-CN"/>
              </w:rPr>
              <w:t>单位：</w:t>
            </w:r>
            <w:r>
              <w:rPr>
                <w:rFonts w:hint="eastAsia" w:ascii="宋体" w:hAnsi="宋体"/>
                <w:b/>
                <w:bCs/>
                <w:color w:val="000000"/>
                <w:u w:val="none"/>
                <w:shd w:val="clear" w:color="auto" w:fill="FFFFFF"/>
                <w:lang w:val="en-US" w:eastAsia="zh-CN"/>
              </w:rPr>
              <w:t>元</w:t>
            </w:r>
            <w:r>
              <w:rPr>
                <w:rFonts w:hint="eastAsia" w:ascii="宋体" w:hAnsi="宋体"/>
                <w:b/>
                <w:color w:val="000000"/>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highlight w:val="none"/>
              </w:rPr>
            </w:pPr>
          </w:p>
        </w:tc>
        <w:tc>
          <w:tcPr>
            <w:tcW w:w="1334" w:type="dxa"/>
            <w:vAlign w:val="center"/>
          </w:tcPr>
          <w:p>
            <w:pPr>
              <w:spacing w:line="360" w:lineRule="auto"/>
              <w:jc w:val="center"/>
              <w:rPr>
                <w:rFonts w:ascii="宋体" w:hAnsi="宋体"/>
                <w:color w:val="auto"/>
                <w:highlight w:val="none"/>
              </w:rPr>
            </w:pPr>
          </w:p>
        </w:tc>
        <w:tc>
          <w:tcPr>
            <w:tcW w:w="880" w:type="dxa"/>
          </w:tcPr>
          <w:p>
            <w:pPr>
              <w:spacing w:line="360" w:lineRule="auto"/>
              <w:jc w:val="center"/>
              <w:rPr>
                <w:rFonts w:ascii="宋体" w:hAnsi="宋体"/>
                <w:color w:val="auto"/>
                <w:highlight w:val="none"/>
              </w:rPr>
            </w:pPr>
          </w:p>
        </w:tc>
        <w:tc>
          <w:tcPr>
            <w:tcW w:w="1060" w:type="dxa"/>
            <w:vAlign w:val="center"/>
          </w:tcPr>
          <w:p>
            <w:pPr>
              <w:spacing w:line="360" w:lineRule="auto"/>
              <w:jc w:val="center"/>
              <w:rPr>
                <w:rFonts w:ascii="宋体" w:hAnsi="宋体"/>
                <w:color w:val="auto"/>
                <w:highlight w:val="none"/>
              </w:rPr>
            </w:pPr>
          </w:p>
        </w:tc>
        <w:tc>
          <w:tcPr>
            <w:tcW w:w="1510" w:type="dxa"/>
            <w:vAlign w:val="center"/>
          </w:tcPr>
          <w:p>
            <w:pPr>
              <w:spacing w:line="360" w:lineRule="auto"/>
              <w:jc w:val="center"/>
              <w:rPr>
                <w:rFonts w:ascii="宋体" w:hAnsi="宋体"/>
                <w:color w:val="auto"/>
                <w:highlight w:val="none"/>
              </w:rPr>
            </w:pPr>
          </w:p>
        </w:tc>
        <w:tc>
          <w:tcPr>
            <w:tcW w:w="1020" w:type="dxa"/>
            <w:vAlign w:val="center"/>
          </w:tcPr>
          <w:p>
            <w:pPr>
              <w:spacing w:line="360" w:lineRule="auto"/>
              <w:jc w:val="center"/>
              <w:rPr>
                <w:rFonts w:ascii="宋体" w:hAnsi="宋体"/>
                <w:color w:val="auto"/>
                <w:highlight w:val="none"/>
              </w:rPr>
            </w:pPr>
          </w:p>
        </w:tc>
        <w:tc>
          <w:tcPr>
            <w:tcW w:w="1130" w:type="dxa"/>
            <w:vAlign w:val="center"/>
          </w:tcPr>
          <w:p>
            <w:pPr>
              <w:spacing w:line="360" w:lineRule="auto"/>
              <w:jc w:val="center"/>
              <w:rPr>
                <w:rFonts w:ascii="宋体" w:hAnsi="宋体"/>
                <w:color w:val="auto"/>
                <w:highlight w:val="none"/>
              </w:rPr>
            </w:pPr>
          </w:p>
        </w:tc>
        <w:tc>
          <w:tcPr>
            <w:tcW w:w="1974"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hint="eastAsia" w:ascii="宋体" w:hAnsi="宋体" w:eastAsia="宋体"/>
                <w:color w:val="auto"/>
                <w:highlight w:val="none"/>
                <w:lang w:eastAsia="zh-CN"/>
              </w:rPr>
            </w:pPr>
            <w:r>
              <w:rPr>
                <w:rFonts w:hint="eastAsia"/>
                <w:color w:val="auto"/>
                <w:highlight w:val="none"/>
                <w:lang w:eastAsia="zh-CN"/>
              </w:rPr>
              <w:t>……</w:t>
            </w:r>
          </w:p>
        </w:tc>
        <w:tc>
          <w:tcPr>
            <w:tcW w:w="1334" w:type="dxa"/>
            <w:vAlign w:val="center"/>
          </w:tcPr>
          <w:p>
            <w:pPr>
              <w:spacing w:line="360" w:lineRule="auto"/>
              <w:jc w:val="center"/>
              <w:rPr>
                <w:rFonts w:ascii="宋体" w:hAnsi="宋体"/>
                <w:color w:val="auto"/>
                <w:highlight w:val="none"/>
              </w:rPr>
            </w:pPr>
          </w:p>
        </w:tc>
        <w:tc>
          <w:tcPr>
            <w:tcW w:w="880" w:type="dxa"/>
          </w:tcPr>
          <w:p>
            <w:pPr>
              <w:spacing w:line="360" w:lineRule="auto"/>
              <w:jc w:val="center"/>
              <w:rPr>
                <w:rFonts w:ascii="宋体" w:hAnsi="宋体"/>
                <w:color w:val="auto"/>
                <w:highlight w:val="none"/>
              </w:rPr>
            </w:pPr>
          </w:p>
        </w:tc>
        <w:tc>
          <w:tcPr>
            <w:tcW w:w="1060" w:type="dxa"/>
            <w:vAlign w:val="center"/>
          </w:tcPr>
          <w:p>
            <w:pPr>
              <w:spacing w:line="360" w:lineRule="auto"/>
              <w:jc w:val="center"/>
              <w:rPr>
                <w:rFonts w:ascii="宋体" w:hAnsi="宋体"/>
                <w:color w:val="auto"/>
                <w:highlight w:val="none"/>
              </w:rPr>
            </w:pPr>
          </w:p>
        </w:tc>
        <w:tc>
          <w:tcPr>
            <w:tcW w:w="1510" w:type="dxa"/>
            <w:vAlign w:val="center"/>
          </w:tcPr>
          <w:p>
            <w:pPr>
              <w:spacing w:line="360" w:lineRule="auto"/>
              <w:jc w:val="center"/>
              <w:rPr>
                <w:rFonts w:ascii="宋体" w:hAnsi="宋体"/>
                <w:color w:val="auto"/>
                <w:highlight w:val="none"/>
              </w:rPr>
            </w:pPr>
          </w:p>
        </w:tc>
        <w:tc>
          <w:tcPr>
            <w:tcW w:w="1020" w:type="dxa"/>
            <w:vAlign w:val="center"/>
          </w:tcPr>
          <w:p>
            <w:pPr>
              <w:spacing w:line="360" w:lineRule="auto"/>
              <w:jc w:val="center"/>
              <w:rPr>
                <w:rFonts w:ascii="宋体" w:hAnsi="宋体"/>
                <w:color w:val="auto"/>
                <w:highlight w:val="none"/>
              </w:rPr>
            </w:pPr>
          </w:p>
        </w:tc>
        <w:tc>
          <w:tcPr>
            <w:tcW w:w="1130" w:type="dxa"/>
            <w:vAlign w:val="center"/>
          </w:tcPr>
          <w:p>
            <w:pPr>
              <w:spacing w:line="360" w:lineRule="auto"/>
              <w:jc w:val="center"/>
              <w:rPr>
                <w:rFonts w:ascii="宋体" w:hAnsi="宋体"/>
                <w:color w:val="auto"/>
                <w:highlight w:val="none"/>
              </w:rPr>
            </w:pPr>
          </w:p>
        </w:tc>
        <w:tc>
          <w:tcPr>
            <w:tcW w:w="1974"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94" w:type="dxa"/>
            <w:gridSpan w:val="7"/>
          </w:tcPr>
          <w:p>
            <w:pPr>
              <w:spacing w:line="360" w:lineRule="auto"/>
              <w:jc w:val="center"/>
              <w:rPr>
                <w:rFonts w:ascii="宋体" w:hAnsi="宋体"/>
                <w:color w:val="auto"/>
                <w:highlight w:val="none"/>
              </w:rPr>
            </w:pPr>
            <w:r>
              <w:rPr>
                <w:rFonts w:hint="eastAsia" w:ascii="宋体" w:hAnsi="宋体" w:cs="宋体"/>
                <w:b/>
                <w:color w:val="auto"/>
                <w:highlight w:val="none"/>
              </w:rPr>
              <w:t>残疾人福利性单位制造的货物</w:t>
            </w:r>
            <w:r>
              <w:rPr>
                <w:rFonts w:ascii="宋体" w:hAnsi="宋体"/>
                <w:b/>
                <w:bCs/>
                <w:color w:val="auto"/>
                <w:szCs w:val="21"/>
                <w:highlight w:val="none"/>
              </w:rPr>
              <w:t>报价</w:t>
            </w:r>
            <w:r>
              <w:rPr>
                <w:rFonts w:hint="eastAsia" w:ascii="宋体" w:hAnsi="宋体"/>
                <w:b/>
                <w:bCs/>
                <w:color w:val="auto"/>
                <w:szCs w:val="21"/>
                <w:highlight w:val="none"/>
              </w:rPr>
              <w:t>（</w:t>
            </w:r>
            <w:r>
              <w:rPr>
                <w:rFonts w:hint="eastAsia"/>
                <w:b/>
                <w:bCs/>
                <w:color w:val="auto"/>
                <w:szCs w:val="21"/>
                <w:highlight w:val="none"/>
                <w:lang w:val="en-US" w:eastAsia="zh-CN"/>
              </w:rPr>
              <w:t>总价</w:t>
            </w:r>
            <w:r>
              <w:rPr>
                <w:rFonts w:ascii="宋体" w:hAnsi="宋体"/>
                <w:b/>
                <w:bCs/>
                <w:color w:val="auto"/>
                <w:szCs w:val="21"/>
                <w:highlight w:val="none"/>
              </w:rPr>
              <w:t>合计</w:t>
            </w:r>
            <w:r>
              <w:rPr>
                <w:rFonts w:hint="eastAsia" w:ascii="宋体" w:hAnsi="宋体"/>
                <w:b/>
                <w:bCs/>
                <w:color w:val="auto"/>
                <w:szCs w:val="21"/>
                <w:highlight w:val="none"/>
              </w:rPr>
              <w:t>）</w:t>
            </w:r>
          </w:p>
        </w:tc>
        <w:tc>
          <w:tcPr>
            <w:tcW w:w="1974" w:type="dxa"/>
            <w:vAlign w:val="center"/>
          </w:tcPr>
          <w:p>
            <w:pPr>
              <w:spacing w:line="360" w:lineRule="auto"/>
              <w:rPr>
                <w:rFonts w:hint="eastAsia" w:ascii="宋体" w:hAnsi="宋体"/>
                <w:color w:val="auto"/>
                <w:highlight w:val="none"/>
              </w:rPr>
            </w:pPr>
            <w:r>
              <w:rPr>
                <w:rFonts w:hint="eastAsia" w:ascii="宋体" w:hAnsi="宋体"/>
                <w:color w:val="auto"/>
                <w:highlight w:val="none"/>
              </w:rPr>
              <w:t>￥</w:t>
            </w:r>
          </w:p>
        </w:tc>
      </w:tr>
    </w:tbl>
    <w:p>
      <w:pPr>
        <w:pStyle w:val="40"/>
        <w:ind w:firstLine="4200" w:firstLineChars="1500"/>
        <w:rPr>
          <w:rFonts w:hint="eastAsia" w:ascii="宋体" w:hAnsi="宋体" w:eastAsia="宋体" w:cs="宋体"/>
          <w:color w:val="auto"/>
          <w:kern w:val="2"/>
          <w:sz w:val="28"/>
          <w:szCs w:val="22"/>
          <w:highlight w:val="none"/>
          <w:u w:val="none"/>
          <w:lang w:val="zh-CN" w:eastAsia="zh-CN" w:bidi="ar-SA"/>
        </w:rPr>
      </w:pPr>
    </w:p>
    <w:p>
      <w:pPr>
        <w:pStyle w:val="40"/>
        <w:ind w:firstLine="4200" w:firstLineChars="1500"/>
        <w:rPr>
          <w:rFonts w:hint="eastAsia" w:ascii="宋体" w:hAnsi="宋体" w:eastAsia="宋体" w:cs="宋体"/>
          <w:color w:val="auto"/>
          <w:kern w:val="2"/>
          <w:sz w:val="28"/>
          <w:szCs w:val="22"/>
          <w:highlight w:val="none"/>
          <w:u w:val="none"/>
          <w:lang w:val="zh-CN" w:eastAsia="zh-CN" w:bidi="ar-SA"/>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8"/>
        <w:spacing w:after="0" w:line="240" w:lineRule="auto"/>
        <w:ind w:firstLine="0"/>
        <w:rPr>
          <w:rFonts w:ascii="宋体" w:hAnsi="宋体"/>
          <w:bCs/>
          <w:color w:val="auto"/>
          <w:sz w:val="28"/>
          <w:highlight w:val="none"/>
        </w:rPr>
      </w:pPr>
    </w:p>
    <w:p>
      <w:pPr>
        <w:spacing w:line="440" w:lineRule="atLeast"/>
        <w:ind w:firstLine="419" w:firstLineChars="149"/>
        <w:rPr>
          <w:rFonts w:hint="eastAsia" w:ascii="宋体" w:hAnsi="宋体"/>
          <w:b/>
          <w:color w:val="auto"/>
          <w:sz w:val="28"/>
          <w:szCs w:val="28"/>
          <w:highlight w:val="none"/>
        </w:rPr>
      </w:pPr>
    </w:p>
    <w:p>
      <w:pPr>
        <w:spacing w:line="440" w:lineRule="atLeast"/>
        <w:ind w:firstLine="419" w:firstLineChars="149"/>
        <w:rPr>
          <w:rFonts w:hint="eastAsia" w:ascii="宋体" w:hAnsi="宋体"/>
          <w:b/>
          <w:color w:val="auto"/>
          <w:sz w:val="28"/>
          <w:szCs w:val="28"/>
          <w:highlight w:val="none"/>
        </w:rPr>
      </w:pPr>
    </w:p>
    <w:p>
      <w:pPr>
        <w:pStyle w:val="59"/>
        <w:ind w:left="0" w:leftChars="0" w:firstLine="0" w:firstLineChars="0"/>
        <w:rPr>
          <w:rFonts w:hint="eastAsia"/>
          <w:color w:val="auto"/>
          <w:highlight w:val="none"/>
        </w:rPr>
      </w:pPr>
    </w:p>
    <w:p>
      <w:pPr>
        <w:pStyle w:val="59"/>
        <w:ind w:left="0" w:leftChars="0" w:firstLine="0" w:firstLineChars="0"/>
        <w:rPr>
          <w:rFonts w:hint="eastAsia"/>
          <w:color w:val="auto"/>
          <w:highlight w:val="none"/>
        </w:rPr>
      </w:pPr>
    </w:p>
    <w:p>
      <w:pPr>
        <w:pStyle w:val="55"/>
        <w:outlineLvl w:val="1"/>
        <w:rPr>
          <w:rFonts w:hint="eastAsia" w:ascii="宋体" w:hAnsi="宋体"/>
          <w:b/>
          <w:color w:val="auto"/>
          <w:spacing w:val="6"/>
          <w:sz w:val="28"/>
          <w:szCs w:val="28"/>
          <w:highlight w:val="none"/>
        </w:rPr>
      </w:pPr>
      <w:bookmarkStart w:id="157" w:name="_Toc5899"/>
      <w:bookmarkStart w:id="158" w:name="_Toc723"/>
      <w:r>
        <w:rPr>
          <w:rFonts w:hint="eastAsia" w:ascii="宋体" w:hAnsi="宋体" w:eastAsia="宋体" w:cs="Times New Roman"/>
          <w:b/>
          <w:bCs/>
          <w:color w:val="auto"/>
          <w:kern w:val="2"/>
          <w:sz w:val="24"/>
          <w:szCs w:val="28"/>
          <w:highlight w:val="none"/>
          <w:lang w:val="en-US" w:eastAsia="zh-CN" w:bidi="ar-SA"/>
        </w:rPr>
        <w:t>3.2.4中小企业声明函</w:t>
      </w:r>
      <w:bookmarkEnd w:id="157"/>
      <w:bookmarkEnd w:id="158"/>
    </w:p>
    <w:p>
      <w:pPr>
        <w:spacing w:line="440" w:lineRule="exact"/>
        <w:ind w:firstLine="574" w:firstLineChars="196"/>
        <w:jc w:val="center"/>
        <w:rPr>
          <w:rFonts w:hint="eastAsia"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pStyle w:val="2"/>
        <w:rPr>
          <w:rFonts w:hint="eastAsia"/>
          <w:lang w:val="en-US" w:eastAsia="zh-CN"/>
        </w:rPr>
      </w:pPr>
    </w:p>
    <w:p>
      <w:pPr>
        <w:snapToGrid w:val="0"/>
        <w:spacing w:line="360" w:lineRule="auto"/>
        <w:ind w:right="-624" w:rightChars="-297" w:firstLine="560" w:firstLineChars="200"/>
        <w:rPr>
          <w:rFonts w:hint="default" w:ascii="宋体" w:hAnsi="宋体" w:eastAsia="宋体" w:cs="宋体"/>
          <w:b/>
          <w:color w:val="auto"/>
          <w:sz w:val="28"/>
          <w:highlight w:val="none"/>
          <w:u w:val="single"/>
          <w:lang w:val="en-US" w:eastAsia="zh-CN"/>
        </w:rPr>
      </w:pPr>
      <w:r>
        <w:rPr>
          <w:rFonts w:hint="eastAsia" w:ascii="宋体" w:hAnsi="宋体"/>
          <w:color w:val="auto"/>
          <w:sz w:val="28"/>
          <w:szCs w:val="28"/>
          <w:highlight w:val="none"/>
        </w:rPr>
        <w:t>本公司郑重声明，根据《政府采购促进中小企业发展管理办法》（财库﹝2020﹞46 号）的规定，本公司参加</w:t>
      </w:r>
      <w:r>
        <w:rPr>
          <w:rFonts w:hint="eastAsia"/>
          <w:b/>
          <w:color w:val="auto"/>
          <w:sz w:val="28"/>
          <w:szCs w:val="28"/>
          <w:highlight w:val="none"/>
          <w:u w:val="single"/>
          <w:lang w:eastAsia="zh-CN"/>
        </w:rPr>
        <w:t>成都市温江区教育局</w:t>
      </w:r>
      <w:r>
        <w:rPr>
          <w:rFonts w:hint="eastAsia" w:ascii="宋体" w:hAnsi="宋体"/>
          <w:color w:val="auto"/>
          <w:sz w:val="28"/>
          <w:szCs w:val="28"/>
          <w:highlight w:val="none"/>
        </w:rPr>
        <w:t>的</w:t>
      </w:r>
      <w:r>
        <w:rPr>
          <w:rFonts w:hint="eastAsia"/>
          <w:b/>
          <w:bCs/>
          <w:color w:val="auto"/>
          <w:sz w:val="28"/>
          <w:szCs w:val="28"/>
          <w:highlight w:val="none"/>
          <w:u w:val="single"/>
          <w:lang w:eastAsia="zh-CN"/>
        </w:rPr>
        <w:t>特教学校功能室设备采购项目</w:t>
      </w:r>
      <w:r>
        <w:rPr>
          <w:rFonts w:hint="eastAsia" w:ascii="宋体" w:hAnsi="宋体"/>
          <w:b/>
          <w:bCs/>
          <w:color w:val="auto"/>
          <w:sz w:val="28"/>
          <w:szCs w:val="28"/>
          <w:highlight w:val="none"/>
          <w:u w:val="single"/>
        </w:rPr>
        <w:t>”（项目编号：</w:t>
      </w:r>
      <w:r>
        <w:rPr>
          <w:rFonts w:hint="eastAsia"/>
          <w:b/>
          <w:bCs/>
          <w:color w:val="auto"/>
          <w:sz w:val="28"/>
          <w:szCs w:val="28"/>
          <w:highlight w:val="none"/>
          <w:u w:val="single"/>
          <w:lang w:eastAsia="zh-CN"/>
        </w:rPr>
        <w:t>温江政采（2021）A0047号</w:t>
      </w:r>
      <w:r>
        <w:rPr>
          <w:rFonts w:hint="eastAsia" w:ascii="宋体" w:hAnsi="宋体"/>
          <w:b/>
          <w:bCs/>
          <w:color w:val="auto"/>
          <w:sz w:val="28"/>
          <w:szCs w:val="28"/>
          <w:highlight w:val="none"/>
          <w:u w:val="single"/>
        </w:rPr>
        <w:t>）</w:t>
      </w: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spacing w:line="48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采购活动，</w:t>
      </w:r>
      <w:r>
        <w:rPr>
          <w:rFonts w:hint="eastAsia" w:ascii="宋体" w:hAnsi="宋体"/>
          <w:b/>
          <w:color w:val="auto"/>
          <w:sz w:val="28"/>
          <w:szCs w:val="28"/>
          <w:highlight w:val="none"/>
        </w:rPr>
        <w:t>提供的货物全部由符合政策要求的中小企业制造。</w:t>
      </w:r>
      <w:r>
        <w:rPr>
          <w:rFonts w:hint="eastAsia" w:ascii="宋体" w:hAnsi="宋体"/>
          <w:color w:val="auto"/>
          <w:sz w:val="28"/>
          <w:szCs w:val="28"/>
          <w:highlight w:val="none"/>
        </w:rPr>
        <w:t>相关企业的具体情况如下：</w:t>
      </w:r>
    </w:p>
    <w:p>
      <w:pPr>
        <w:spacing w:line="480" w:lineRule="exact"/>
        <w:ind w:firstLine="561"/>
        <w:rPr>
          <w:rFonts w:ascii="宋体" w:hAnsi="宋体"/>
          <w:color w:val="auto"/>
          <w:sz w:val="28"/>
          <w:szCs w:val="28"/>
          <w:highlight w:val="none"/>
        </w:rPr>
      </w:pPr>
      <w:r>
        <w:rPr>
          <w:rFonts w:hint="eastAsia" w:ascii="宋体" w:hAnsi="宋体"/>
          <w:color w:val="auto"/>
          <w:sz w:val="28"/>
          <w:szCs w:val="28"/>
          <w:highlight w:val="none"/>
        </w:rPr>
        <w:t xml:space="preserve"> 1. </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（标的名称），属于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（采购文件中明确的所属行业）行业；制造商为</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万元，属于</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（中型企业、小型企业、微型企业）。</w:t>
      </w:r>
    </w:p>
    <w:p>
      <w:pPr>
        <w:spacing w:line="480" w:lineRule="exact"/>
        <w:ind w:firstLine="561"/>
        <w:rPr>
          <w:rFonts w:ascii="宋体" w:hAnsi="宋体"/>
          <w:color w:val="auto"/>
          <w:sz w:val="28"/>
          <w:szCs w:val="28"/>
          <w:highlight w:val="none"/>
        </w:rPr>
      </w:pPr>
      <w:r>
        <w:rPr>
          <w:rFonts w:hint="eastAsia" w:ascii="宋体" w:hAnsi="宋体"/>
          <w:color w:val="auto"/>
          <w:sz w:val="28"/>
          <w:szCs w:val="28"/>
          <w:highlight w:val="none"/>
        </w:rPr>
        <w:t xml:space="preserve">2. </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（标的名称），属于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（采购文件中明确的所属行业）行业；制造商为</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万元</w:t>
      </w:r>
      <w:bookmarkStart w:id="560" w:name="_GoBack"/>
      <w:bookmarkEnd w:id="560"/>
      <w:r>
        <w:rPr>
          <w:rFonts w:hint="eastAsia" w:ascii="宋体" w:hAnsi="宋体"/>
          <w:color w:val="auto"/>
          <w:sz w:val="28"/>
          <w:szCs w:val="28"/>
          <w:highlight w:val="none"/>
        </w:rPr>
        <w:t>，属于</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（中型企业、小型企业、微型企业）。</w:t>
      </w:r>
    </w:p>
    <w:p>
      <w:pPr>
        <w:spacing w:line="480" w:lineRule="exact"/>
        <w:ind w:firstLine="561"/>
        <w:rPr>
          <w:rFonts w:ascii="宋体" w:hAnsi="宋体"/>
          <w:color w:val="auto"/>
          <w:sz w:val="28"/>
          <w:szCs w:val="28"/>
          <w:highlight w:val="none"/>
        </w:rPr>
      </w:pPr>
      <w:r>
        <w:rPr>
          <w:rFonts w:hint="eastAsia" w:ascii="宋体" w:hAnsi="宋体"/>
          <w:color w:val="auto"/>
          <w:sz w:val="28"/>
          <w:szCs w:val="28"/>
          <w:highlight w:val="none"/>
        </w:rPr>
        <w:t>…………</w:t>
      </w:r>
    </w:p>
    <w:p>
      <w:pPr>
        <w:spacing w:line="480" w:lineRule="exact"/>
        <w:ind w:firstLine="561"/>
        <w:rPr>
          <w:rFonts w:ascii="宋体" w:hAnsi="宋体"/>
          <w:color w:val="auto"/>
          <w:sz w:val="28"/>
          <w:szCs w:val="28"/>
          <w:highlight w:val="none"/>
        </w:rPr>
      </w:pPr>
      <w:r>
        <w:rPr>
          <w:rFonts w:hint="eastAsia" w:ascii="宋体" w:hAnsi="宋体"/>
          <w:color w:val="auto"/>
          <w:sz w:val="28"/>
          <w:szCs w:val="28"/>
          <w:highlight w:val="none"/>
        </w:rPr>
        <w:t>以上企业，不属于大企业的分支机构，不存在控股股东 为大企业的情形，也不存在与大企业的负责人为同一人的情形。</w:t>
      </w:r>
    </w:p>
    <w:p>
      <w:pPr>
        <w:spacing w:line="480" w:lineRule="exact"/>
        <w:ind w:firstLine="561"/>
        <w:rPr>
          <w:rFonts w:hint="eastAsia"/>
          <w:color w:val="auto"/>
          <w:szCs w:val="24"/>
          <w:highlight w:val="none"/>
        </w:rPr>
      </w:pPr>
      <w:r>
        <w:rPr>
          <w:rFonts w:hint="eastAsia" w:ascii="宋体" w:hAnsi="宋体"/>
          <w:color w:val="auto"/>
          <w:sz w:val="28"/>
          <w:szCs w:val="28"/>
          <w:highlight w:val="none"/>
        </w:rPr>
        <w:t>本企业对上述声明内容的真实性负责。如有虚假，将依法承担相应责任。</w:t>
      </w: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44"/>
        <w:spacing w:after="200"/>
        <w:rPr>
          <w:rFonts w:hint="eastAsia"/>
          <w:b/>
          <w:bCs/>
          <w:color w:val="auto"/>
          <w:sz w:val="24"/>
          <w:szCs w:val="24"/>
          <w:highlight w:val="none"/>
        </w:rPr>
      </w:pPr>
      <w:r>
        <w:rPr>
          <w:rFonts w:hint="eastAsia"/>
          <w:b/>
          <w:bCs/>
          <w:color w:val="auto"/>
          <w:sz w:val="24"/>
          <w:szCs w:val="24"/>
          <w:highlight w:val="none"/>
        </w:rPr>
        <w:t>说明：1. 如未提供中小企业声明函的</w:t>
      </w:r>
      <w:r>
        <w:rPr>
          <w:rFonts w:hint="eastAsia"/>
          <w:b/>
          <w:bCs/>
          <w:color w:val="auto"/>
          <w:sz w:val="24"/>
          <w:szCs w:val="24"/>
          <w:highlight w:val="none"/>
          <w:lang w:eastAsia="zh-CN"/>
        </w:rPr>
        <w:t>，</w:t>
      </w:r>
      <w:r>
        <w:rPr>
          <w:rFonts w:hint="eastAsia"/>
          <w:b/>
          <w:bCs/>
          <w:color w:val="auto"/>
          <w:sz w:val="24"/>
          <w:szCs w:val="24"/>
          <w:highlight w:val="none"/>
        </w:rPr>
        <w:t>不能享受</w:t>
      </w:r>
      <w:r>
        <w:rPr>
          <w:rFonts w:hint="eastAsia"/>
          <w:b/>
          <w:bCs/>
          <w:color w:val="auto"/>
          <w:sz w:val="24"/>
          <w:szCs w:val="24"/>
          <w:highlight w:val="none"/>
          <w:lang w:eastAsia="zh-CN"/>
        </w:rPr>
        <w:t>磋商</w:t>
      </w:r>
      <w:r>
        <w:rPr>
          <w:rFonts w:hint="eastAsia"/>
          <w:b/>
          <w:bCs/>
          <w:color w:val="auto"/>
          <w:sz w:val="24"/>
          <w:szCs w:val="24"/>
          <w:highlight w:val="none"/>
        </w:rPr>
        <w:t>文件规定的价格扣除，但不影响供应商响应文件的有效性;</w:t>
      </w:r>
    </w:p>
    <w:p>
      <w:pPr>
        <w:pStyle w:val="44"/>
        <w:spacing w:after="200"/>
        <w:ind w:firstLine="482" w:firstLineChars="200"/>
        <w:rPr>
          <w:rFonts w:hint="eastAsia"/>
          <w:color w:val="auto"/>
          <w:highlight w:val="none"/>
          <w:lang w:eastAsia="zh-CN"/>
        </w:rPr>
      </w:pPr>
      <w:r>
        <w:rPr>
          <w:rFonts w:hint="eastAsia"/>
          <w:b/>
          <w:bCs/>
          <w:color w:val="auto"/>
          <w:sz w:val="24"/>
          <w:szCs w:val="24"/>
          <w:highlight w:val="none"/>
        </w:rPr>
        <w:t>2.从业人员、营业收入、资产总额填报上一年度数据，无上一年度数据的新成立企业可不填报</w:t>
      </w:r>
      <w:r>
        <w:rPr>
          <w:rFonts w:hint="eastAsia"/>
          <w:color w:val="auto"/>
          <w:sz w:val="24"/>
          <w:szCs w:val="24"/>
          <w:highlight w:val="none"/>
        </w:rPr>
        <w:t>。</w:t>
      </w:r>
    </w:p>
    <w:p>
      <w:pPr>
        <w:pStyle w:val="47"/>
        <w:outlineLvl w:val="1"/>
        <w:rPr>
          <w:color w:val="auto"/>
          <w:highlight w:val="none"/>
        </w:rPr>
      </w:pPr>
      <w:r>
        <w:rPr>
          <w:color w:val="auto"/>
          <w:highlight w:val="none"/>
        </w:rPr>
        <w:br w:type="page"/>
      </w:r>
      <w:bookmarkStart w:id="159" w:name="_Toc12443"/>
      <w:bookmarkStart w:id="160" w:name="_Toc15010"/>
      <w:r>
        <w:rPr>
          <w:rFonts w:hint="eastAsia" w:ascii="宋体" w:hAnsi="宋体" w:eastAsia="宋体" w:cs="Times New Roman"/>
          <w:b/>
          <w:bCs/>
          <w:color w:val="auto"/>
          <w:kern w:val="2"/>
          <w:sz w:val="24"/>
          <w:szCs w:val="28"/>
          <w:highlight w:val="none"/>
          <w:lang w:val="en-US" w:eastAsia="zh-CN" w:bidi="ar-SA"/>
        </w:rPr>
        <w:t>3.2.5残疾人福利性单位声明函</w:t>
      </w:r>
      <w:bookmarkEnd w:id="159"/>
      <w:bookmarkEnd w:id="160"/>
    </w:p>
    <w:p>
      <w:pPr>
        <w:pStyle w:val="48"/>
        <w:spacing w:after="200" w:line="588" w:lineRule="exact"/>
        <w:rPr>
          <w:rFonts w:ascii="仿宋_GB2312" w:eastAsia="仿宋_GB2312"/>
          <w:b/>
          <w:color w:val="auto"/>
          <w:spacing w:val="6"/>
          <w:sz w:val="30"/>
          <w:szCs w:val="30"/>
          <w:highlight w:val="none"/>
        </w:rPr>
      </w:pPr>
    </w:p>
    <w:p>
      <w:pPr>
        <w:spacing w:line="588" w:lineRule="exact"/>
        <w:ind w:firstLine="562" w:firstLineChars="200"/>
        <w:jc w:val="center"/>
        <w:rPr>
          <w:b/>
          <w:color w:val="auto"/>
          <w:sz w:val="28"/>
          <w:szCs w:val="28"/>
          <w:highlight w:val="none"/>
        </w:rPr>
      </w:pPr>
      <w:r>
        <w:rPr>
          <w:rFonts w:hint="eastAsia"/>
          <w:b/>
          <w:color w:val="auto"/>
          <w:sz w:val="28"/>
          <w:szCs w:val="28"/>
          <w:highlight w:val="none"/>
        </w:rPr>
        <w:t>残疾人福利性单位声明函</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color w:val="auto"/>
          <w:sz w:val="28"/>
          <w:szCs w:val="28"/>
          <w:highlight w:val="none"/>
          <w:u w:val="single"/>
          <w:lang w:val="en-US" w:eastAsia="zh-CN"/>
        </w:rPr>
        <w:t>xxxx</w:t>
      </w:r>
      <w:r>
        <w:rPr>
          <w:rFonts w:hint="eastAsia" w:ascii="宋体" w:hAnsi="宋体"/>
          <w:color w:val="auto"/>
          <w:spacing w:val="6"/>
          <w:sz w:val="28"/>
          <w:szCs w:val="28"/>
          <w:highlight w:val="none"/>
          <w:u w:val="none"/>
        </w:rPr>
        <w:t>的</w:t>
      </w:r>
      <w:r>
        <w:rPr>
          <w:rFonts w:hint="eastAsia" w:ascii="宋体" w:hAnsi="宋体"/>
          <w:b/>
          <w:bCs/>
          <w:color w:val="auto"/>
          <w:sz w:val="28"/>
          <w:szCs w:val="28"/>
          <w:highlight w:val="none"/>
          <w:u w:val="single"/>
          <w:lang w:val="en-US" w:eastAsia="zh-CN"/>
        </w:rPr>
        <w:t>xxxxx</w:t>
      </w:r>
      <w:r>
        <w:rPr>
          <w:rFonts w:hint="eastAsia" w:ascii="宋体" w:hAnsi="宋体"/>
          <w:color w:val="auto"/>
          <w:spacing w:val="6"/>
          <w:sz w:val="28"/>
          <w:szCs w:val="28"/>
          <w:highlight w:val="none"/>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spacing w:line="588" w:lineRule="exact"/>
        <w:ind w:firstLine="584" w:firstLineChars="200"/>
        <w:rPr>
          <w:rFonts w:ascii="宋体" w:hAnsi="宋体"/>
          <w:color w:val="auto"/>
          <w:spacing w:val="6"/>
          <w:sz w:val="28"/>
          <w:szCs w:val="28"/>
          <w:highlight w:val="none"/>
        </w:rPr>
      </w:pPr>
    </w:p>
    <w:p>
      <w:pPr>
        <w:spacing w:line="588" w:lineRule="exact"/>
        <w:ind w:firstLine="584" w:firstLineChars="200"/>
        <w:rPr>
          <w:rFonts w:ascii="宋体" w:hAnsi="宋体"/>
          <w:color w:val="auto"/>
          <w:spacing w:val="6"/>
          <w:sz w:val="28"/>
          <w:szCs w:val="28"/>
          <w:highlight w:val="none"/>
        </w:rPr>
      </w:pPr>
    </w:p>
    <w:p>
      <w:pPr>
        <w:spacing w:line="588" w:lineRule="exact"/>
        <w:jc w:val="right"/>
        <w:rPr>
          <w:rFonts w:ascii="宋体" w:hAnsi="宋体"/>
          <w:color w:val="auto"/>
          <w:spacing w:val="6"/>
          <w:sz w:val="28"/>
          <w:szCs w:val="28"/>
          <w:highlight w:val="none"/>
        </w:rPr>
      </w:pPr>
    </w:p>
    <w:p>
      <w:pPr>
        <w:rPr>
          <w:color w:val="auto"/>
          <w:highlight w:val="none"/>
        </w:rPr>
      </w:pPr>
    </w:p>
    <w:p>
      <w:pPr>
        <w:rPr>
          <w:color w:val="auto"/>
          <w:highlight w:val="none"/>
        </w:rPr>
      </w:pPr>
    </w:p>
    <w:p>
      <w:pPr>
        <w:pStyle w:val="49"/>
        <w:ind w:left="0" w:leftChars="0" w:right="63" w:firstLine="0" w:firstLineChars="0"/>
        <w:jc w:val="both"/>
        <w:rPr>
          <w:rFonts w:ascii="仿宋_GB2312" w:eastAsia="仿宋_GB2312"/>
          <w:color w:val="auto"/>
          <w:spacing w:val="6"/>
          <w:sz w:val="30"/>
          <w:szCs w:val="30"/>
          <w:highlight w:val="none"/>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48"/>
        <w:spacing w:after="200" w:line="440" w:lineRule="exact"/>
        <w:ind w:firstLine="586" w:firstLineChars="200"/>
        <w:rPr>
          <w:rFonts w:ascii="宋体" w:hAnsi="宋体"/>
          <w:b/>
          <w:color w:val="auto"/>
          <w:spacing w:val="6"/>
          <w:sz w:val="28"/>
          <w:szCs w:val="28"/>
          <w:highlight w:val="none"/>
        </w:rPr>
      </w:pPr>
    </w:p>
    <w:p>
      <w:pPr>
        <w:spacing w:line="588" w:lineRule="exact"/>
        <w:ind w:firstLine="563"/>
        <w:rPr>
          <w:rFonts w:ascii="宋体" w:hAnsi="宋体"/>
          <w:b/>
          <w:color w:val="auto"/>
          <w:sz w:val="28"/>
          <w:szCs w:val="28"/>
          <w:highlight w:val="none"/>
        </w:rPr>
      </w:pPr>
      <w:r>
        <w:rPr>
          <w:rFonts w:hint="eastAsia" w:ascii="宋体" w:hAnsi="宋体"/>
          <w:b/>
          <w:color w:val="auto"/>
          <w:sz w:val="28"/>
          <w:szCs w:val="28"/>
          <w:highlight w:val="none"/>
        </w:rPr>
        <w:t>说明</w:t>
      </w:r>
      <w:r>
        <w:rPr>
          <w:rFonts w:ascii="宋体" w:hAnsi="宋体"/>
          <w:b/>
          <w:color w:val="auto"/>
          <w:sz w:val="28"/>
          <w:szCs w:val="28"/>
          <w:highlight w:val="none"/>
        </w:rPr>
        <w:t>：</w:t>
      </w:r>
      <w:r>
        <w:rPr>
          <w:rFonts w:hint="eastAsia" w:ascii="宋体" w:hAnsi="宋体"/>
          <w:b/>
          <w:color w:val="auto"/>
          <w:sz w:val="28"/>
          <w:szCs w:val="28"/>
          <w:highlight w:val="none"/>
        </w:rPr>
        <w:t>如未提供残疾人福利性单位声明函的，不能享受</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文件规定的价格扣除，但不影响</w:t>
      </w:r>
      <w:r>
        <w:rPr>
          <w:rFonts w:hint="eastAsia" w:ascii="宋体" w:hAnsi="宋体"/>
          <w:b/>
          <w:color w:val="auto"/>
          <w:sz w:val="28"/>
          <w:szCs w:val="28"/>
          <w:highlight w:val="none"/>
          <w:lang w:eastAsia="zh-CN"/>
        </w:rPr>
        <w:t>供应商响应</w:t>
      </w:r>
      <w:r>
        <w:rPr>
          <w:rFonts w:hint="eastAsia" w:ascii="宋体" w:hAnsi="宋体"/>
          <w:b/>
          <w:color w:val="auto"/>
          <w:sz w:val="28"/>
          <w:szCs w:val="28"/>
          <w:highlight w:val="none"/>
        </w:rPr>
        <w:t>文件的有效性。</w:t>
      </w:r>
    </w:p>
    <w:p>
      <w:pPr>
        <w:pStyle w:val="51"/>
        <w:spacing w:after="200" w:line="276" w:lineRule="auto"/>
        <w:rPr>
          <w:rFonts w:hint="eastAsia" w:ascii="宋体" w:hAnsi="宋体"/>
          <w:b/>
          <w:color w:val="auto"/>
          <w:sz w:val="28"/>
          <w:szCs w:val="28"/>
          <w:highlight w:val="none"/>
        </w:rPr>
      </w:pPr>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53"/>
        <w:outlineLvl w:val="1"/>
        <w:rPr>
          <w:rFonts w:hint="eastAsia" w:ascii="宋体" w:hAnsi="宋体" w:eastAsia="宋体" w:cs="Times New Roman"/>
          <w:b/>
          <w:bCs/>
          <w:color w:val="auto"/>
          <w:kern w:val="44"/>
          <w:sz w:val="28"/>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bookmarkStart w:id="161" w:name="_Toc399"/>
      <w:bookmarkStart w:id="162" w:name="_Toc29537"/>
      <w:r>
        <w:rPr>
          <w:rFonts w:hint="eastAsia" w:ascii="宋体" w:hAnsi="宋体" w:eastAsia="宋体" w:cs="Times New Roman"/>
          <w:b/>
          <w:bCs/>
          <w:color w:val="auto"/>
          <w:kern w:val="2"/>
          <w:sz w:val="24"/>
          <w:szCs w:val="28"/>
          <w:highlight w:val="none"/>
          <w:lang w:val="en-US" w:eastAsia="zh-CN" w:bidi="ar-SA"/>
        </w:rPr>
        <w:t>3.2.6所投产品技术性能、技术参数和配置的详细描述</w:t>
      </w:r>
      <w:bookmarkEnd w:id="161"/>
      <w:bookmarkEnd w:id="162"/>
    </w:p>
    <w:p>
      <w:pPr>
        <w:snapToGrid w:val="0"/>
        <w:spacing w:line="360" w:lineRule="auto"/>
        <w:ind w:right="-624" w:rightChars="-297"/>
        <w:rPr>
          <w:rFonts w:hint="eastAsia" w:ascii="宋体" w:hAnsi="宋体"/>
          <w:b/>
          <w:color w:val="auto"/>
          <w:sz w:val="28"/>
          <w:highlight w:val="none"/>
        </w:rPr>
      </w:pPr>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pStyle w:val="55"/>
        <w:outlineLvl w:val="1"/>
        <w:rPr>
          <w:rFonts w:hint="eastAsia" w:ascii="宋体" w:hAnsi="宋体" w:eastAsia="宋体" w:cs="Times New Roman"/>
          <w:b/>
          <w:bCs/>
          <w:color w:val="auto"/>
          <w:kern w:val="2"/>
          <w:sz w:val="28"/>
          <w:szCs w:val="28"/>
          <w:highlight w:val="none"/>
          <w:lang w:val="en-US" w:eastAsia="zh-CN" w:bidi="ar-SA"/>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rFonts w:hint="default" w:ascii="宋体" w:hAnsi="宋体" w:eastAsia="宋体" w:cs="Times New Roman"/>
          <w:b/>
          <w:bCs/>
          <w:color w:val="auto"/>
          <w:kern w:val="2"/>
          <w:sz w:val="24"/>
          <w:szCs w:val="28"/>
          <w:highlight w:val="none"/>
          <w:lang w:val="en-US" w:eastAsia="zh-CN" w:bidi="ar-SA"/>
        </w:rPr>
      </w:pPr>
      <w:bookmarkStart w:id="163" w:name="_Toc2488"/>
      <w:bookmarkStart w:id="164" w:name="_Toc7313"/>
      <w:r>
        <w:rPr>
          <w:rFonts w:hint="eastAsia" w:ascii="宋体" w:hAnsi="宋体" w:eastAsia="宋体" w:cs="Times New Roman"/>
          <w:b/>
          <w:bCs/>
          <w:color w:val="auto"/>
          <w:kern w:val="2"/>
          <w:sz w:val="24"/>
          <w:szCs w:val="28"/>
          <w:highlight w:val="none"/>
          <w:lang w:val="en-US" w:eastAsia="zh-CN" w:bidi="ar-SA"/>
        </w:rPr>
        <w:t>3.2.7实施方案</w:t>
      </w:r>
      <w:bookmarkEnd w:id="163"/>
      <w:bookmarkEnd w:id="164"/>
    </w:p>
    <w:p>
      <w:pPr>
        <w:snapToGrid w:val="0"/>
        <w:spacing w:line="360" w:lineRule="auto"/>
        <w:ind w:right="-624" w:rightChars="-297"/>
        <w:rPr>
          <w:rFonts w:hint="eastAsia" w:ascii="宋体" w:hAnsi="宋体"/>
          <w:b/>
          <w:color w:val="auto"/>
          <w:sz w:val="28"/>
          <w:highlight w:val="none"/>
        </w:rPr>
      </w:pPr>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color w:val="auto"/>
          <w:sz w:val="28"/>
          <w:szCs w:val="28"/>
          <w:highlight w:val="none"/>
        </w:rPr>
      </w:pPr>
    </w:p>
    <w:p>
      <w:pPr>
        <w:pStyle w:val="29"/>
        <w:widowControl w:val="0"/>
        <w:numPr>
          <w:ilvl w:val="0"/>
          <w:numId w:val="0"/>
        </w:numPr>
        <w:tabs>
          <w:tab w:val="left" w:pos="1134"/>
        </w:tabs>
        <w:snapToGrid w:val="0"/>
        <w:spacing w:before="60" w:after="200" w:line="560" w:lineRule="exact"/>
        <w:ind w:right="210" w:rightChars="0"/>
        <w:jc w:val="both"/>
        <w:rPr>
          <w:rFonts w:hint="eastAsia" w:ascii="宋体" w:hAnsi="宋体" w:eastAsia="宋体"/>
          <w:color w:val="auto"/>
          <w:sz w:val="28"/>
          <w:szCs w:val="28"/>
          <w:highlight w:val="none"/>
          <w:lang w:eastAsia="zh-CN"/>
        </w:rPr>
      </w:pPr>
    </w:p>
    <w:p>
      <w:pPr>
        <w:pStyle w:val="40"/>
        <w:ind w:left="0" w:leftChars="0"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p>
    <w:p>
      <w:pPr>
        <w:pStyle w:val="42"/>
        <w:ind w:left="0" w:leftChars="0" w:firstLine="0" w:firstLineChars="0"/>
        <w:rPr>
          <w:rFonts w:hint="eastAsia" w:ascii="宋体" w:hAnsi="宋体" w:eastAsia="宋体" w:cs="宋体"/>
          <w:color w:val="auto"/>
          <w:kern w:val="2"/>
          <w:sz w:val="28"/>
          <w:szCs w:val="22"/>
          <w:highlight w:val="none"/>
          <w:u w:val="single"/>
          <w:lang w:val="zh-CN" w:eastAsia="zh-CN" w:bidi="ar-SA"/>
        </w:rPr>
      </w:pPr>
    </w:p>
    <w:p>
      <w:pPr>
        <w:pStyle w:val="42"/>
        <w:ind w:left="0" w:leftChars="0" w:firstLine="0" w:firstLineChars="0"/>
        <w:rPr>
          <w:rFonts w:hint="eastAsia" w:ascii="宋体" w:hAnsi="宋体" w:eastAsia="宋体" w:cs="宋体"/>
          <w:color w:val="auto"/>
          <w:kern w:val="2"/>
          <w:sz w:val="28"/>
          <w:szCs w:val="22"/>
          <w:highlight w:val="none"/>
          <w:u w:val="single"/>
          <w:lang w:val="zh-CN"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bookmarkStart w:id="165" w:name="_Toc17507"/>
      <w:bookmarkStart w:id="166" w:name="_Toc2799"/>
      <w:r>
        <w:rPr>
          <w:rFonts w:hint="eastAsia" w:ascii="宋体" w:hAnsi="宋体" w:eastAsia="宋体" w:cs="Times New Roman"/>
          <w:b/>
          <w:bCs/>
          <w:color w:val="auto"/>
          <w:kern w:val="2"/>
          <w:sz w:val="24"/>
          <w:szCs w:val="28"/>
          <w:highlight w:val="none"/>
          <w:lang w:val="en-US" w:eastAsia="zh-CN" w:bidi="ar-SA"/>
        </w:rPr>
        <w:t>3.2.8培训方案</w:t>
      </w:r>
      <w:bookmarkEnd w:id="165"/>
      <w:bookmarkEnd w:id="166"/>
    </w:p>
    <w:p>
      <w:pPr>
        <w:snapToGrid w:val="0"/>
        <w:spacing w:line="360" w:lineRule="auto"/>
        <w:ind w:right="-624" w:rightChars="-297"/>
        <w:rPr>
          <w:rFonts w:hint="eastAsia" w:ascii="宋体" w:hAnsi="宋体"/>
          <w:b/>
          <w:color w:val="auto"/>
          <w:sz w:val="28"/>
          <w:highlight w:val="none"/>
        </w:rPr>
      </w:pPr>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pStyle w:val="55"/>
        <w:outlineLvl w:val="1"/>
        <w:rPr>
          <w:rFonts w:hint="eastAsia" w:ascii="宋体" w:hAnsi="宋体" w:eastAsia="宋体" w:cs="Times New Roman"/>
          <w:b/>
          <w:bCs/>
          <w:color w:val="auto"/>
          <w:kern w:val="2"/>
          <w:sz w:val="28"/>
          <w:szCs w:val="28"/>
          <w:highlight w:val="none"/>
          <w:lang w:val="en-US" w:eastAsia="zh-CN" w:bidi="ar-SA"/>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55"/>
        <w:outlineLvl w:val="1"/>
        <w:rPr>
          <w:color w:val="auto"/>
          <w:highlight w:val="none"/>
        </w:rPr>
      </w:pPr>
    </w:p>
    <w:p>
      <w:pPr>
        <w:pStyle w:val="40"/>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ind w:firstLine="4200" w:firstLineChars="1500"/>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bookmarkEnd w:id="124"/>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bookmarkStart w:id="167" w:name="_Toc3679"/>
      <w:bookmarkStart w:id="168" w:name="_Toc5498"/>
      <w:r>
        <w:rPr>
          <w:rFonts w:hint="eastAsia" w:ascii="宋体" w:hAnsi="宋体" w:eastAsia="宋体" w:cs="Times New Roman"/>
          <w:b/>
          <w:bCs/>
          <w:color w:val="auto"/>
          <w:kern w:val="2"/>
          <w:sz w:val="24"/>
          <w:szCs w:val="28"/>
          <w:highlight w:val="none"/>
          <w:lang w:val="en-US" w:eastAsia="zh-CN" w:bidi="ar-SA"/>
        </w:rPr>
        <w:t>3.2.9售后服务方案</w:t>
      </w:r>
      <w:bookmarkEnd w:id="167"/>
      <w:bookmarkEnd w:id="168"/>
    </w:p>
    <w:p>
      <w:pPr>
        <w:snapToGrid w:val="0"/>
        <w:spacing w:line="360" w:lineRule="auto"/>
        <w:ind w:right="-624" w:rightChars="-297"/>
        <w:rPr>
          <w:rFonts w:hint="eastAsia" w:ascii="宋体" w:hAnsi="宋体"/>
          <w:b/>
          <w:color w:val="auto"/>
          <w:sz w:val="28"/>
          <w:highlight w:val="none"/>
        </w:rPr>
      </w:pPr>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p>
    <w:p>
      <w:pPr>
        <w:pStyle w:val="55"/>
        <w:outlineLvl w:val="1"/>
        <w:rPr>
          <w:rFonts w:hint="eastAsia" w:ascii="宋体" w:hAnsi="宋体" w:eastAsia="宋体" w:cs="Times New Roman"/>
          <w:b/>
          <w:bCs/>
          <w:color w:val="auto"/>
          <w:kern w:val="2"/>
          <w:sz w:val="24"/>
          <w:szCs w:val="28"/>
          <w:highlight w:val="none"/>
          <w:lang w:val="en-US" w:eastAsia="zh-CN" w:bidi="ar-SA"/>
        </w:rPr>
      </w:pPr>
      <w:bookmarkStart w:id="169" w:name="_Toc10274"/>
      <w:bookmarkStart w:id="170" w:name="_Toc31382"/>
      <w:r>
        <w:rPr>
          <w:rFonts w:hint="eastAsia" w:ascii="宋体" w:hAnsi="宋体" w:eastAsia="宋体" w:cs="Times New Roman"/>
          <w:b/>
          <w:bCs/>
          <w:color w:val="auto"/>
          <w:kern w:val="2"/>
          <w:sz w:val="24"/>
          <w:szCs w:val="28"/>
          <w:highlight w:val="none"/>
          <w:lang w:val="en-US" w:eastAsia="zh-CN" w:bidi="ar-SA"/>
        </w:rPr>
        <w:t>3.2.10承诺函</w:t>
      </w:r>
      <w:bookmarkEnd w:id="169"/>
      <w:bookmarkEnd w:id="170"/>
    </w:p>
    <w:p>
      <w:pPr>
        <w:snapToGrid w:val="0"/>
        <w:spacing w:line="360" w:lineRule="auto"/>
        <w:ind w:right="-624" w:rightChars="-297"/>
        <w:rPr>
          <w:rFonts w:hint="eastAsia" w:ascii="宋体" w:hAnsi="宋体"/>
          <w:b/>
          <w:color w:val="auto"/>
          <w:sz w:val="28"/>
          <w:highlight w:val="none"/>
        </w:rPr>
      </w:pPr>
    </w:p>
    <w:p>
      <w:pPr>
        <w:snapToGrid w:val="0"/>
        <w:spacing w:line="360" w:lineRule="auto"/>
        <w:ind w:left="1405" w:right="-624" w:rightChars="-297" w:hanging="1405" w:hangingChars="5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成都市温江区教育局特教学校功能室设备采购项目</w:t>
      </w:r>
    </w:p>
    <w:p>
      <w:pPr>
        <w:snapToGrid w:val="0"/>
        <w:spacing w:line="360" w:lineRule="auto"/>
        <w:ind w:right="-624" w:rightChars="-297"/>
        <w:rPr>
          <w:rFonts w:hint="eastAsia"/>
          <w:b/>
          <w:color w:val="auto"/>
          <w:sz w:val="28"/>
          <w:highlight w:val="none"/>
          <w:u w:val="single"/>
          <w:lang w:eastAsia="zh-CN"/>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温江政采（2021）A0047号</w:t>
      </w:r>
    </w:p>
    <w:p>
      <w:pPr>
        <w:snapToGrid w:val="0"/>
        <w:spacing w:line="360" w:lineRule="auto"/>
        <w:ind w:left="1405" w:right="-624" w:rightChars="-297" w:hanging="1405" w:hangingChars="500"/>
        <w:rPr>
          <w:rFonts w:hint="default" w:ascii="宋体" w:hAnsi="宋体" w:eastAsia="宋体" w:cs="宋体"/>
          <w:b/>
          <w:color w:val="auto"/>
          <w:sz w:val="28"/>
          <w:highlight w:val="none"/>
          <w:u w:val="single"/>
          <w:lang w:val="en-US" w:eastAsia="zh-CN"/>
        </w:rPr>
      </w:pPr>
      <w:r>
        <w:rPr>
          <w:rFonts w:hint="eastAsia" w:ascii="宋体" w:hAnsi="宋体" w:eastAsia="宋体" w:cs="宋体"/>
          <w:b/>
          <w:color w:val="auto"/>
          <w:sz w:val="28"/>
          <w:highlight w:val="none"/>
          <w:lang w:val="en-US" w:eastAsia="zh-CN"/>
        </w:rPr>
        <w:t>包件：</w:t>
      </w:r>
      <w:r>
        <w:rPr>
          <w:rFonts w:hint="eastAsia" w:ascii="宋体" w:hAnsi="宋体" w:eastAsia="宋体" w:cs="宋体"/>
          <w:b/>
          <w:color w:val="auto"/>
          <w:sz w:val="28"/>
          <w:highlight w:val="none"/>
          <w:u w:val="single"/>
          <w:lang w:val="en-US" w:eastAsia="zh-CN"/>
        </w:rPr>
        <w:t>XXX</w:t>
      </w: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val="0"/>
        <w:spacing w:line="420" w:lineRule="exact"/>
        <w:ind w:firstLine="560" w:firstLineChars="200"/>
        <w:textAlignment w:val="auto"/>
        <w:rPr>
          <w:rFonts w:ascii="宋体" w:hAnsi="宋体"/>
          <w:color w:val="auto"/>
          <w:sz w:val="28"/>
          <w:highlight w:val="none"/>
        </w:rPr>
      </w:pPr>
      <w:r>
        <w:rPr>
          <w:rFonts w:hint="eastAsia" w:ascii="宋体" w:hAnsi="宋体"/>
          <w:color w:val="auto"/>
          <w:sz w:val="28"/>
          <w:highlight w:val="none"/>
        </w:rPr>
        <w:t>我公司作为参加本项目的</w:t>
      </w:r>
      <w:r>
        <w:rPr>
          <w:rFonts w:hint="eastAsia"/>
          <w:color w:val="auto"/>
          <w:sz w:val="28"/>
          <w:highlight w:val="none"/>
          <w:lang w:eastAsia="zh-CN"/>
        </w:rPr>
        <w:t>供应商</w:t>
      </w:r>
      <w:r>
        <w:rPr>
          <w:rFonts w:hint="eastAsia" w:ascii="宋体" w:hAnsi="宋体"/>
          <w:color w:val="auto"/>
          <w:sz w:val="28"/>
          <w:highlight w:val="none"/>
        </w:rPr>
        <w:t>，在此郑重承诺：</w:t>
      </w:r>
    </w:p>
    <w:p>
      <w:pPr>
        <w:pStyle w:val="28"/>
        <w:keepNext w:val="0"/>
        <w:keepLines w:val="0"/>
        <w:pageBreakBefore w:val="0"/>
        <w:numPr>
          <w:ilvl w:val="0"/>
          <w:numId w:val="0"/>
        </w:numPr>
        <w:tabs>
          <w:tab w:val="left" w:pos="1134"/>
        </w:tabs>
        <w:kinsoku/>
        <w:wordWrap/>
        <w:overflowPunct/>
        <w:topLinePunct w:val="0"/>
        <w:autoSpaceDE/>
        <w:autoSpaceDN/>
        <w:bidi w:val="0"/>
        <w:adjustRightInd/>
        <w:snapToGrid w:val="0"/>
        <w:spacing w:line="420" w:lineRule="exact"/>
        <w:ind w:left="562" w:leftChars="0"/>
        <w:textAlignment w:val="auto"/>
        <w:rPr>
          <w:rFonts w:ascii="宋体" w:hAnsi="宋体"/>
          <w:color w:val="auto"/>
          <w:sz w:val="28"/>
          <w:szCs w:val="28"/>
          <w:highlight w:val="none"/>
        </w:rPr>
      </w:pP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rPr>
      </w:pP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为本项目提供的所有产品、辅材中属于《国家强制性产品认证目录》范围内产品的，均通过国家强制性产品认证并取得认证证书。</w:t>
      </w: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rPr>
      </w:pP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为本项目提供的所有产品、辅材符合现行的强制性国家相关标准、行业标准。</w:t>
      </w: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rPr>
      </w:pP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为本项目提供的所有产品中属于节能产品政府采购品目清单中的政府强制采购产品的，均应具有国家确定的认证机构出具的有效期内的节能产品认证证书。</w:t>
      </w: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rPr>
      </w:pP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为本项目提供的所有产品、辅材</w:t>
      </w:r>
      <w:r>
        <w:rPr>
          <w:rFonts w:hint="eastAsia" w:ascii="宋体" w:hAnsi="宋体" w:eastAsia="宋体" w:cs="宋体"/>
          <w:b w:val="0"/>
          <w:bCs/>
          <w:color w:val="auto"/>
          <w:sz w:val="24"/>
          <w:szCs w:val="24"/>
          <w:highlight w:val="none"/>
          <w:lang w:val="en-US" w:eastAsia="zh-CN"/>
        </w:rPr>
        <w:t>中</w:t>
      </w:r>
      <w:r>
        <w:rPr>
          <w:rFonts w:hint="eastAsia" w:ascii="宋体" w:hAnsi="宋体" w:eastAsia="宋体" w:cs="宋体"/>
          <w:b w:val="0"/>
          <w:bCs/>
          <w:color w:val="auto"/>
          <w:sz w:val="24"/>
          <w:szCs w:val="24"/>
          <w:highlight w:val="none"/>
        </w:rPr>
        <w:t>属于3C认证的产品</w:t>
      </w:r>
      <w:r>
        <w:rPr>
          <w:rFonts w:hint="eastAsia"/>
          <w:sz w:val="24"/>
          <w:szCs w:val="24"/>
          <w:lang w:bidi="ar"/>
        </w:rPr>
        <w:t>的，均具有3C产品认证证书，并在中标后签订合同之前提供证书复印件加盖公章。</w:t>
      </w: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售后服务要求</w:t>
      </w:r>
    </w:p>
    <w:p>
      <w:pPr>
        <w:pStyle w:val="29"/>
        <w:numPr>
          <w:ilvl w:val="0"/>
          <w:numId w:val="0"/>
        </w:numPr>
        <w:tabs>
          <w:tab w:val="left" w:pos="1134"/>
        </w:tabs>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w:t>
      </w:r>
      <w:r>
        <w:rPr>
          <w:rFonts w:hint="eastAsia" w:cs="宋体"/>
          <w:b w:val="0"/>
          <w:bCs/>
          <w:color w:val="auto"/>
          <w:sz w:val="24"/>
          <w:szCs w:val="24"/>
          <w:highlight w:val="none"/>
          <w:lang w:val="en-US" w:eastAsia="zh-CN"/>
        </w:rPr>
        <w:t>、我公司承诺本项目</w:t>
      </w:r>
      <w:r>
        <w:rPr>
          <w:rFonts w:hint="eastAsia" w:ascii="宋体" w:hAnsi="宋体" w:eastAsia="宋体" w:cs="宋体"/>
          <w:b w:val="0"/>
          <w:bCs/>
          <w:color w:val="auto"/>
          <w:sz w:val="24"/>
          <w:szCs w:val="24"/>
          <w:highlight w:val="none"/>
          <w:lang w:val="en-US" w:eastAsia="zh-CN"/>
        </w:rPr>
        <w:t>质保期</w:t>
      </w:r>
      <w:r>
        <w:rPr>
          <w:rFonts w:hint="eastAsia" w:cs="宋体"/>
          <w:b w:val="0"/>
          <w:bCs/>
          <w:color w:val="auto"/>
          <w:sz w:val="24"/>
          <w:szCs w:val="24"/>
          <w:highlight w:val="none"/>
          <w:lang w:val="en-US" w:eastAsia="zh-CN"/>
        </w:rPr>
        <w:t>为</w:t>
      </w:r>
      <w:r>
        <w:rPr>
          <w:rFonts w:hint="eastAsia" w:ascii="宋体" w:hAnsi="宋体" w:eastAsia="宋体" w:cs="宋体"/>
          <w:b w:val="0"/>
          <w:bCs/>
          <w:color w:val="auto"/>
          <w:sz w:val="24"/>
          <w:szCs w:val="24"/>
          <w:highlight w:val="none"/>
          <w:lang w:val="en-US" w:eastAsia="zh-CN"/>
        </w:rPr>
        <w:t>验收合格后三年。</w:t>
      </w:r>
    </w:p>
    <w:p>
      <w:pPr>
        <w:pStyle w:val="29"/>
        <w:numPr>
          <w:ilvl w:val="0"/>
          <w:numId w:val="0"/>
        </w:numPr>
        <w:tabs>
          <w:tab w:val="left" w:pos="1134"/>
        </w:tabs>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cs="宋体"/>
          <w:b w:val="0"/>
          <w:bCs/>
          <w:color w:val="auto"/>
          <w:sz w:val="24"/>
          <w:szCs w:val="24"/>
          <w:highlight w:val="none"/>
          <w:lang w:val="en-US" w:eastAsia="zh-CN"/>
        </w:rPr>
        <w:t>我公司承诺</w:t>
      </w:r>
      <w:r>
        <w:rPr>
          <w:rFonts w:hint="eastAsia" w:ascii="宋体" w:hAnsi="宋体" w:eastAsia="宋体" w:cs="宋体"/>
          <w:b w:val="0"/>
          <w:bCs/>
          <w:color w:val="auto"/>
          <w:sz w:val="24"/>
          <w:szCs w:val="24"/>
          <w:highlight w:val="none"/>
          <w:lang w:val="en-US" w:eastAsia="zh-CN"/>
        </w:rPr>
        <w:t>质保期内，提供产品正常使用情况下的维修及维护服务。维修、维护应在10分钟内响应、2小时内到场、4小时内解决。同一产品、同一质量问题连续两次维修仍无法正常使用的须更换同品牌、同型号的新产品，并对产品质量实行“三包”。</w:t>
      </w:r>
    </w:p>
    <w:p>
      <w:pPr>
        <w:pStyle w:val="29"/>
        <w:numPr>
          <w:ilvl w:val="0"/>
          <w:numId w:val="0"/>
        </w:numPr>
        <w:tabs>
          <w:tab w:val="left" w:pos="1134"/>
        </w:tabs>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r>
        <w:rPr>
          <w:rFonts w:hint="eastAsia" w:cs="宋体"/>
          <w:b w:val="0"/>
          <w:bCs/>
          <w:color w:val="auto"/>
          <w:sz w:val="24"/>
          <w:szCs w:val="24"/>
          <w:highlight w:val="none"/>
          <w:lang w:val="en-US" w:eastAsia="zh-CN"/>
        </w:rPr>
        <w:t>我公司承诺</w:t>
      </w:r>
      <w:r>
        <w:rPr>
          <w:rFonts w:hint="eastAsia" w:ascii="宋体" w:hAnsi="宋体" w:eastAsia="宋体" w:cs="宋体"/>
          <w:b w:val="0"/>
          <w:bCs/>
          <w:color w:val="auto"/>
          <w:sz w:val="24"/>
          <w:szCs w:val="24"/>
          <w:highlight w:val="none"/>
          <w:lang w:val="en-US" w:eastAsia="zh-CN"/>
        </w:rPr>
        <w:t>质保期外，提供产品的更换、维修只收取配件成本费用，不再收取人工技术费用。</w:t>
      </w:r>
    </w:p>
    <w:p>
      <w:pPr>
        <w:pStyle w:val="29"/>
        <w:numPr>
          <w:ilvl w:val="0"/>
          <w:numId w:val="14"/>
        </w:numPr>
        <w:tabs>
          <w:tab w:val="left" w:pos="1134"/>
        </w:tabs>
        <w:spacing w:line="360" w:lineRule="auto"/>
        <w:ind w:left="148" w:leftChars="0" w:firstLine="482"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履约验收要求</w:t>
      </w:r>
    </w:p>
    <w:p>
      <w:pPr>
        <w:pStyle w:val="29"/>
        <w:numPr>
          <w:ilvl w:val="0"/>
          <w:numId w:val="0"/>
        </w:numPr>
        <w:tabs>
          <w:tab w:val="left" w:pos="1134"/>
        </w:tabs>
        <w:spacing w:line="360" w:lineRule="auto"/>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w:t>
      </w:r>
      <w:r>
        <w:rPr>
          <w:rFonts w:hint="eastAsia" w:cs="宋体"/>
          <w:b w:val="0"/>
          <w:bCs/>
          <w:color w:val="auto"/>
          <w:sz w:val="24"/>
          <w:szCs w:val="24"/>
          <w:highlight w:val="none"/>
          <w:lang w:val="en-US" w:eastAsia="zh-CN"/>
        </w:rPr>
        <w:t>我公司承诺</w:t>
      </w:r>
      <w:r>
        <w:rPr>
          <w:rFonts w:hint="default" w:ascii="宋体" w:hAnsi="宋体" w:eastAsia="宋体" w:cs="宋体"/>
          <w:b w:val="0"/>
          <w:bCs/>
          <w:color w:val="auto"/>
          <w:sz w:val="24"/>
          <w:szCs w:val="24"/>
          <w:highlight w:val="none"/>
          <w:lang w:val="en-US" w:eastAsia="zh-CN"/>
        </w:rPr>
        <w:t>涉及实施、安装、环境打造的项目，设计图（效果图）由用户确认后实施。</w:t>
      </w:r>
    </w:p>
    <w:p>
      <w:pPr>
        <w:pStyle w:val="29"/>
        <w:numPr>
          <w:ilvl w:val="0"/>
          <w:numId w:val="0"/>
        </w:numPr>
        <w:tabs>
          <w:tab w:val="left" w:pos="1134"/>
        </w:tabs>
        <w:spacing w:line="360" w:lineRule="auto"/>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2、</w:t>
      </w:r>
      <w:r>
        <w:rPr>
          <w:rFonts w:hint="eastAsia" w:cs="宋体"/>
          <w:b w:val="0"/>
          <w:bCs/>
          <w:color w:val="auto"/>
          <w:sz w:val="24"/>
          <w:szCs w:val="24"/>
          <w:highlight w:val="none"/>
          <w:lang w:val="en-US" w:eastAsia="zh-CN"/>
        </w:rPr>
        <w:t>我公司承诺</w:t>
      </w:r>
      <w:r>
        <w:rPr>
          <w:rFonts w:hint="default" w:ascii="宋体" w:hAnsi="宋体" w:eastAsia="宋体" w:cs="宋体"/>
          <w:b w:val="0"/>
          <w:bCs/>
          <w:color w:val="auto"/>
          <w:sz w:val="24"/>
          <w:szCs w:val="24"/>
          <w:highlight w:val="none"/>
          <w:lang w:val="en-US" w:eastAsia="zh-CN"/>
        </w:rPr>
        <w:t>实施前，到学校确认货物的颜色和样式，在规定时间内按学校确认的颜色、样式送货到校，与学校一起确认货物的品牌、规格、型号、参数、数量、外观等，进行验货、签收。</w:t>
      </w:r>
    </w:p>
    <w:p>
      <w:pPr>
        <w:pStyle w:val="29"/>
        <w:numPr>
          <w:ilvl w:val="0"/>
          <w:numId w:val="0"/>
        </w:numPr>
        <w:tabs>
          <w:tab w:val="left" w:pos="1134"/>
        </w:tabs>
        <w:spacing w:line="360" w:lineRule="auto"/>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3、</w:t>
      </w:r>
      <w:r>
        <w:rPr>
          <w:rFonts w:hint="eastAsia" w:cs="宋体"/>
          <w:b w:val="0"/>
          <w:bCs/>
          <w:color w:val="auto"/>
          <w:sz w:val="24"/>
          <w:szCs w:val="24"/>
          <w:highlight w:val="none"/>
          <w:lang w:val="en-US" w:eastAsia="zh-CN"/>
        </w:rPr>
        <w:t>我公司承诺</w:t>
      </w:r>
      <w:r>
        <w:rPr>
          <w:rFonts w:hint="default" w:ascii="宋体" w:hAnsi="宋体" w:eastAsia="宋体" w:cs="宋体"/>
          <w:b w:val="0"/>
          <w:bCs/>
          <w:color w:val="auto"/>
          <w:sz w:val="24"/>
          <w:szCs w:val="24"/>
          <w:highlight w:val="none"/>
          <w:lang w:val="en-US" w:eastAsia="zh-CN"/>
        </w:rPr>
        <w:t>货物验收前，聘请具有法定资格的第三方检测机构按照国家标准 GB/18883-2001，对心理咨询室、多感官虚拟互动区、感觉统合训练区实施空气质量检测，检测合格的同时出具书面检测报告，作为验收条件。</w:t>
      </w:r>
    </w:p>
    <w:p>
      <w:pPr>
        <w:pStyle w:val="29"/>
        <w:numPr>
          <w:ilvl w:val="0"/>
          <w:numId w:val="0"/>
        </w:numPr>
        <w:tabs>
          <w:tab w:val="left" w:pos="1134"/>
        </w:tabs>
        <w:spacing w:line="360" w:lineRule="auto"/>
        <w:ind w:firstLine="480" w:firstLineChars="200"/>
        <w:rPr>
          <w:rFonts w:hint="eastAsia" w:ascii="宋体" w:hAnsi="宋体" w:eastAsia="宋体" w:cs="宋体"/>
          <w:b w:val="0"/>
          <w:bCs/>
          <w:color w:val="auto"/>
          <w:sz w:val="24"/>
          <w:szCs w:val="24"/>
          <w:highlight w:val="none"/>
          <w:lang w:val="en-US" w:eastAsia="zh-CN"/>
        </w:rPr>
      </w:pPr>
    </w:p>
    <w:p>
      <w:pPr>
        <w:pStyle w:val="29"/>
        <w:numPr>
          <w:ilvl w:val="0"/>
          <w:numId w:val="0"/>
        </w:numPr>
        <w:tabs>
          <w:tab w:val="left" w:pos="1134"/>
        </w:tabs>
        <w:spacing w:line="360" w:lineRule="auto"/>
        <w:ind w:left="630" w:left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特此承诺。</w:t>
      </w:r>
    </w:p>
    <w:p>
      <w:pPr>
        <w:keepNext w:val="0"/>
        <w:keepLines w:val="0"/>
        <w:pageBreakBefore w:val="0"/>
        <w:kinsoku/>
        <w:wordWrap/>
        <w:overflowPunct/>
        <w:topLinePunct w:val="0"/>
        <w:autoSpaceDE/>
        <w:autoSpaceDN/>
        <w:bidi w:val="0"/>
        <w:adjustRightInd/>
        <w:snapToGrid w:val="0"/>
        <w:spacing w:line="420" w:lineRule="exact"/>
        <w:ind w:firstLine="560" w:firstLineChars="200"/>
        <w:textAlignment w:val="auto"/>
        <w:rPr>
          <w:rFonts w:ascii="宋体" w:hAnsi="宋体"/>
          <w:color w:val="auto"/>
          <w:sz w:val="28"/>
          <w:szCs w:val="28"/>
          <w:highlight w:val="yellow"/>
        </w:rPr>
      </w:pPr>
    </w:p>
    <w:p>
      <w:pPr>
        <w:pStyle w:val="40"/>
        <w:keepNext w:val="0"/>
        <w:keepLines w:val="0"/>
        <w:pageBreakBefore w:val="0"/>
        <w:kinsoku/>
        <w:wordWrap/>
        <w:overflowPunct/>
        <w:topLinePunct w:val="0"/>
        <w:autoSpaceDE/>
        <w:autoSpaceDN/>
        <w:bidi w:val="0"/>
        <w:adjustRightInd/>
        <w:spacing w:line="420" w:lineRule="exact"/>
        <w:ind w:left="0" w:leftChars="0" w:firstLine="4200" w:firstLineChars="1500"/>
        <w:textAlignment w:val="auto"/>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2"/>
        <w:keepNext w:val="0"/>
        <w:keepLines w:val="0"/>
        <w:pageBreakBefore w:val="0"/>
        <w:kinsoku/>
        <w:wordWrap/>
        <w:overflowPunct/>
        <w:topLinePunct w:val="0"/>
        <w:autoSpaceDE/>
        <w:autoSpaceDN/>
        <w:bidi w:val="0"/>
        <w:adjustRightInd/>
        <w:spacing w:line="420" w:lineRule="exact"/>
        <w:ind w:firstLine="4200" w:firstLineChars="1500"/>
        <w:textAlignment w:val="auto"/>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p>
    <w:p>
      <w:pPr>
        <w:pStyle w:val="42"/>
        <w:keepNext w:val="0"/>
        <w:keepLines w:val="0"/>
        <w:pageBreakBefore w:val="0"/>
        <w:kinsoku/>
        <w:wordWrap/>
        <w:overflowPunct/>
        <w:topLinePunct w:val="0"/>
        <w:autoSpaceDE/>
        <w:autoSpaceDN/>
        <w:bidi w:val="0"/>
        <w:adjustRightInd/>
        <w:spacing w:line="420" w:lineRule="exact"/>
        <w:ind w:firstLine="4200" w:firstLineChars="1500"/>
        <w:textAlignment w:val="auto"/>
        <w:rPr>
          <w:rFonts w:hint="eastAsia" w:ascii="宋体" w:hAnsi="宋体" w:eastAsia="宋体" w:cs="宋体"/>
          <w:color w:val="auto"/>
          <w:kern w:val="2"/>
          <w:sz w:val="28"/>
          <w:szCs w:val="22"/>
          <w:highlight w:val="none"/>
          <w:u w:val="single"/>
          <w:lang w:val="en-US" w:eastAsia="zh-CN" w:bidi="ar-SA"/>
        </w:rPr>
      </w:pPr>
    </w:p>
    <w:p>
      <w:pPr>
        <w:pStyle w:val="42"/>
        <w:keepNext w:val="0"/>
        <w:keepLines w:val="0"/>
        <w:pageBreakBefore w:val="0"/>
        <w:kinsoku/>
        <w:wordWrap/>
        <w:overflowPunct/>
        <w:topLinePunct w:val="0"/>
        <w:autoSpaceDE/>
        <w:autoSpaceDN/>
        <w:bidi w:val="0"/>
        <w:adjustRightInd/>
        <w:spacing w:line="420" w:lineRule="exact"/>
        <w:ind w:firstLine="4200" w:firstLineChars="1500"/>
        <w:textAlignment w:val="auto"/>
        <w:rPr>
          <w:rFonts w:hint="eastAsia" w:ascii="宋体" w:hAnsi="宋体" w:eastAsia="宋体" w:cs="宋体"/>
          <w:color w:val="auto"/>
          <w:kern w:val="2"/>
          <w:sz w:val="28"/>
          <w:szCs w:val="22"/>
          <w:highlight w:val="none"/>
          <w:u w:val="single"/>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ind w:firstLine="2108" w:firstLineChars="700"/>
        <w:jc w:val="left"/>
        <w:rPr>
          <w:rFonts w:hint="eastAsia" w:ascii="宋体" w:hAnsi="宋体" w:eastAsia="宋体" w:cs="Times New Roman"/>
          <w:b/>
          <w:bCs/>
          <w:color w:val="auto"/>
          <w:kern w:val="44"/>
          <w:sz w:val="30"/>
          <w:szCs w:val="32"/>
          <w:highlight w:val="none"/>
          <w:u w:val="none"/>
          <w:shd w:val="clear"/>
          <w:lang w:val="en-US" w:eastAsia="zh-CN" w:bidi="ar-SA"/>
        </w:rPr>
      </w:pPr>
    </w:p>
    <w:p>
      <w:pPr>
        <w:pStyle w:val="60"/>
        <w:spacing w:after="200" w:line="540" w:lineRule="exact"/>
        <w:jc w:val="center"/>
        <w:rPr>
          <w:rFonts w:hint="eastAsia" w:ascii="宋体" w:hAnsi="宋体" w:eastAsia="宋体" w:cs="Times New Roman"/>
          <w:b/>
          <w:bCs/>
          <w:color w:val="auto"/>
          <w:kern w:val="44"/>
          <w:sz w:val="30"/>
          <w:szCs w:val="32"/>
          <w:highlight w:val="none"/>
          <w:u w:val="none"/>
          <w:shd w:val="clear"/>
          <w:lang w:val="en-US" w:eastAsia="zh-CN" w:bidi="ar-SA"/>
        </w:rPr>
      </w:pPr>
      <w:r>
        <w:rPr>
          <w:rFonts w:hint="eastAsia" w:ascii="宋体" w:hAnsi="宋体" w:eastAsia="宋体" w:cs="Times New Roman"/>
          <w:b/>
          <w:bCs/>
          <w:color w:val="auto"/>
          <w:kern w:val="44"/>
          <w:sz w:val="30"/>
          <w:szCs w:val="32"/>
          <w:highlight w:val="none"/>
          <w:u w:val="none"/>
          <w:shd w:val="clear"/>
          <w:lang w:val="en-US" w:eastAsia="zh-CN" w:bidi="ar-SA"/>
        </w:rPr>
        <w:t>第四章技术、服务、商务及其他要求</w:t>
      </w:r>
      <w:bookmarkEnd w:id="123"/>
    </w:p>
    <w:p>
      <w:pPr>
        <w:pStyle w:val="60"/>
        <w:spacing w:after="200" w:line="540" w:lineRule="exact"/>
        <w:jc w:val="left"/>
        <w:rPr>
          <w:rFonts w:hint="default" w:ascii="宋体" w:hAnsi="宋体" w:eastAsia="宋体" w:cs="Times New Roman"/>
          <w:b/>
          <w:bCs/>
          <w:color w:val="auto"/>
          <w:kern w:val="44"/>
          <w:sz w:val="32"/>
          <w:szCs w:val="36"/>
          <w:highlight w:val="none"/>
          <w:u w:val="none"/>
          <w:shd w:val="clear"/>
          <w:lang w:val="en-US" w:eastAsia="zh-CN" w:bidi="ar-SA"/>
        </w:rPr>
      </w:pPr>
      <w:r>
        <w:rPr>
          <w:rFonts w:hint="eastAsia" w:cs="Times New Roman"/>
          <w:b/>
          <w:bCs/>
          <w:color w:val="auto"/>
          <w:kern w:val="44"/>
          <w:sz w:val="32"/>
          <w:szCs w:val="36"/>
          <w:highlight w:val="none"/>
          <w:u w:val="none"/>
          <w:shd w:val="clear"/>
          <w:lang w:val="en-US" w:eastAsia="zh-CN" w:bidi="ar-SA"/>
        </w:rPr>
        <w:t>包件1资源中心、康复训练室设备采购</w:t>
      </w:r>
    </w:p>
    <w:p>
      <w:pPr>
        <w:pStyle w:val="5"/>
        <w:keepNext/>
        <w:keepLines/>
        <w:pageBreakBefore w:val="0"/>
        <w:widowControl w:val="0"/>
        <w:numPr>
          <w:ilvl w:val="1"/>
          <w:numId w:val="0"/>
        </w:numPr>
        <w:kinsoku/>
        <w:wordWrap/>
        <w:overflowPunct/>
        <w:topLinePunct w:val="0"/>
        <w:autoSpaceDE/>
        <w:autoSpaceDN/>
        <w:bidi w:val="0"/>
        <w:adjustRightInd/>
        <w:snapToGrid/>
        <w:spacing w:before="0" w:after="200"/>
        <w:ind w:leftChars="0"/>
        <w:jc w:val="both"/>
        <w:textAlignment w:val="auto"/>
        <w:rPr>
          <w:rFonts w:hint="eastAsia"/>
          <w:color w:val="auto"/>
          <w:highlight w:val="none"/>
          <w:lang w:val="en-US" w:eastAsia="zh-CN"/>
        </w:rPr>
      </w:pPr>
      <w:bookmarkStart w:id="171" w:name="_Toc75528705"/>
      <w:bookmarkStart w:id="172" w:name="_Toc677"/>
      <w:bookmarkStart w:id="173" w:name="_Toc27638"/>
      <w:r>
        <w:rPr>
          <w:rFonts w:hint="eastAsia"/>
          <w:color w:val="auto"/>
          <w:highlight w:val="none"/>
          <w:lang w:val="en-US" w:eastAsia="zh-CN"/>
        </w:rPr>
        <w:t>4.1项目</w:t>
      </w:r>
      <w:bookmarkEnd w:id="171"/>
      <w:r>
        <w:rPr>
          <w:rFonts w:hint="eastAsia"/>
          <w:color w:val="auto"/>
          <w:highlight w:val="none"/>
          <w:lang w:val="en-US" w:eastAsia="zh-CN"/>
        </w:rPr>
        <w:t>概况</w:t>
      </w:r>
      <w:bookmarkEnd w:id="172"/>
      <w:bookmarkEnd w:id="173"/>
    </w:p>
    <w:p>
      <w:pPr>
        <w:pStyle w:val="29"/>
        <w:numPr>
          <w:ilvl w:val="0"/>
          <w:numId w:val="0"/>
        </w:numPr>
        <w:tabs>
          <w:tab w:val="left" w:pos="1134"/>
        </w:tabs>
        <w:spacing w:line="360" w:lineRule="auto"/>
        <w:ind w:firstLine="280" w:firstLineChars="100"/>
        <w:rPr>
          <w:rFonts w:hint="default" w:ascii="宋体" w:hAnsi="宋体" w:eastAsia="宋体" w:cs="宋体"/>
          <w:b w:val="0"/>
          <w:bCs/>
          <w:color w:val="auto"/>
          <w:sz w:val="28"/>
          <w:szCs w:val="28"/>
          <w:highlight w:val="none"/>
          <w:lang w:val="en-US" w:eastAsia="zh-CN"/>
        </w:rPr>
      </w:pPr>
      <w:bookmarkStart w:id="174" w:name="_Toc1457"/>
      <w:bookmarkStart w:id="175" w:name="_Toc7116"/>
      <w:bookmarkStart w:id="176" w:name="_Toc32021"/>
      <w:bookmarkStart w:id="177" w:name="_Toc24520"/>
      <w:bookmarkStart w:id="178" w:name="_Toc8181"/>
      <w:bookmarkStart w:id="179" w:name="_Toc17869"/>
      <w:bookmarkStart w:id="180" w:name="_Toc24786"/>
      <w:r>
        <w:rPr>
          <w:rFonts w:hint="eastAsia" w:ascii="宋体" w:hAnsi="宋体" w:eastAsia="宋体" w:cs="宋体"/>
          <w:b w:val="0"/>
          <w:bCs/>
          <w:color w:val="auto"/>
          <w:sz w:val="28"/>
          <w:szCs w:val="28"/>
          <w:highlight w:val="none"/>
          <w:lang w:val="en-US" w:eastAsia="zh-CN"/>
        </w:rPr>
        <w:t>（一）名称：</w:t>
      </w:r>
      <w:bookmarkEnd w:id="174"/>
      <w:bookmarkEnd w:id="175"/>
      <w:bookmarkEnd w:id="176"/>
      <w:bookmarkEnd w:id="177"/>
      <w:bookmarkEnd w:id="178"/>
      <w:bookmarkEnd w:id="179"/>
      <w:bookmarkEnd w:id="180"/>
      <w:r>
        <w:rPr>
          <w:rFonts w:hint="eastAsia" w:ascii="宋体" w:hAnsi="宋体" w:eastAsia="宋体" w:cs="宋体"/>
          <w:b w:val="0"/>
          <w:bCs/>
          <w:color w:val="auto"/>
          <w:sz w:val="28"/>
          <w:szCs w:val="28"/>
          <w:highlight w:val="none"/>
          <w:lang w:val="en-US" w:eastAsia="zh-CN"/>
        </w:rPr>
        <w:t>成都市温江区教育局特教学校功能室设备采购项目（包件1：资源中心、康复训练室设备采购）</w:t>
      </w:r>
    </w:p>
    <w:p>
      <w:pPr>
        <w:pStyle w:val="29"/>
        <w:numPr>
          <w:ilvl w:val="0"/>
          <w:numId w:val="0"/>
        </w:numPr>
        <w:tabs>
          <w:tab w:val="left" w:pos="1134"/>
        </w:tabs>
        <w:spacing w:line="360" w:lineRule="auto"/>
        <w:ind w:firstLine="280" w:firstLineChars="100"/>
        <w:rPr>
          <w:rFonts w:hint="eastAsia" w:ascii="宋体" w:hAnsi="宋体" w:eastAsia="宋体" w:cs="宋体"/>
          <w:b w:val="0"/>
          <w:bCs/>
          <w:color w:val="auto"/>
          <w:sz w:val="28"/>
          <w:szCs w:val="28"/>
          <w:highlight w:val="none"/>
          <w:lang w:val="en-US" w:eastAsia="zh-CN"/>
        </w:rPr>
      </w:pPr>
      <w:bookmarkStart w:id="181" w:name="_Toc27511"/>
      <w:bookmarkStart w:id="182" w:name="_Toc6493"/>
      <w:bookmarkStart w:id="183" w:name="_Toc9271"/>
      <w:bookmarkStart w:id="184" w:name="_Toc9678"/>
      <w:bookmarkStart w:id="185" w:name="_Toc5711"/>
      <w:bookmarkStart w:id="186" w:name="_Toc10952"/>
      <w:bookmarkStart w:id="187" w:name="_Toc5570"/>
      <w:r>
        <w:rPr>
          <w:rFonts w:hint="eastAsia" w:ascii="宋体" w:hAnsi="宋体" w:eastAsia="宋体" w:cs="宋体"/>
          <w:b w:val="0"/>
          <w:bCs/>
          <w:color w:val="auto"/>
          <w:sz w:val="28"/>
          <w:szCs w:val="28"/>
          <w:highlight w:val="none"/>
          <w:lang w:val="en-US" w:eastAsia="zh-CN"/>
        </w:rPr>
        <w:t>（二）数量：一批</w:t>
      </w:r>
      <w:bookmarkEnd w:id="181"/>
      <w:bookmarkEnd w:id="182"/>
      <w:bookmarkEnd w:id="183"/>
      <w:bookmarkEnd w:id="184"/>
      <w:bookmarkEnd w:id="185"/>
      <w:bookmarkEnd w:id="186"/>
      <w:bookmarkEnd w:id="187"/>
      <w:r>
        <w:rPr>
          <w:rFonts w:hint="eastAsia" w:ascii="宋体" w:hAnsi="宋体" w:eastAsia="宋体" w:cs="宋体"/>
          <w:b w:val="0"/>
          <w:bCs/>
          <w:color w:val="auto"/>
          <w:sz w:val="28"/>
          <w:szCs w:val="28"/>
          <w:highlight w:val="none"/>
          <w:lang w:val="en-US" w:eastAsia="zh-CN"/>
        </w:rPr>
        <w:t xml:space="preserve"> </w:t>
      </w:r>
    </w:p>
    <w:p>
      <w:pPr>
        <w:pStyle w:val="29"/>
        <w:numPr>
          <w:ilvl w:val="0"/>
          <w:numId w:val="0"/>
        </w:numPr>
        <w:tabs>
          <w:tab w:val="left" w:pos="1134"/>
        </w:tabs>
        <w:spacing w:line="360" w:lineRule="auto"/>
        <w:ind w:firstLine="280" w:firstLineChars="100"/>
        <w:rPr>
          <w:rFonts w:hint="default" w:ascii="宋体" w:hAnsi="宋体" w:eastAsia="宋体" w:cs="宋体"/>
          <w:b w:val="0"/>
          <w:bCs/>
          <w:color w:val="auto"/>
          <w:sz w:val="28"/>
          <w:szCs w:val="28"/>
          <w:highlight w:val="none"/>
          <w:lang w:val="en-US" w:eastAsia="zh-CN"/>
        </w:rPr>
      </w:pPr>
      <w:bookmarkStart w:id="188" w:name="_Toc15698"/>
      <w:bookmarkStart w:id="189" w:name="_Toc17651"/>
      <w:r>
        <w:rPr>
          <w:rFonts w:hint="eastAsia" w:ascii="宋体" w:hAnsi="宋体" w:eastAsia="宋体" w:cs="宋体"/>
          <w:b w:val="0"/>
          <w:bCs/>
          <w:color w:val="auto"/>
          <w:sz w:val="28"/>
          <w:szCs w:val="28"/>
          <w:highlight w:val="none"/>
          <w:lang w:val="en-US" w:eastAsia="zh-CN"/>
        </w:rPr>
        <w:t>（三）用途的简要说明：</w:t>
      </w:r>
      <w:bookmarkEnd w:id="188"/>
      <w:bookmarkEnd w:id="189"/>
      <w:bookmarkStart w:id="190" w:name="_Toc75528706"/>
      <w:r>
        <w:rPr>
          <w:rFonts w:hint="eastAsia" w:ascii="宋体" w:hAnsi="宋体" w:eastAsia="宋体" w:cs="宋体"/>
          <w:b w:val="0"/>
          <w:bCs/>
          <w:color w:val="auto"/>
          <w:sz w:val="28"/>
          <w:szCs w:val="28"/>
          <w:highlight w:val="none"/>
          <w:lang w:val="en-US" w:eastAsia="zh-CN"/>
        </w:rPr>
        <w:t>特殊教育学校资源中心、康复训练室教育教学专用设备。</w:t>
      </w:r>
    </w:p>
    <w:p>
      <w:pPr>
        <w:pStyle w:val="5"/>
        <w:numPr>
          <w:ilvl w:val="1"/>
          <w:numId w:val="0"/>
        </w:numPr>
        <w:spacing w:before="0" w:after="200"/>
        <w:ind w:leftChars="0"/>
        <w:jc w:val="both"/>
        <w:rPr>
          <w:rFonts w:hint="eastAsia"/>
          <w:color w:val="auto"/>
          <w:sz w:val="32"/>
          <w:szCs w:val="32"/>
          <w:highlight w:val="none"/>
          <w:lang w:val="en-US" w:eastAsia="zh-CN"/>
        </w:rPr>
      </w:pPr>
      <w:bookmarkStart w:id="191" w:name="_Toc3817"/>
      <w:bookmarkStart w:id="192" w:name="_Toc26860"/>
      <w:r>
        <w:rPr>
          <w:rFonts w:hint="eastAsia"/>
          <w:color w:val="auto"/>
          <w:sz w:val="32"/>
          <w:szCs w:val="32"/>
          <w:highlight w:val="none"/>
          <w:lang w:val="en-US" w:eastAsia="zh-CN"/>
        </w:rPr>
        <w:t>4.2</w:t>
      </w:r>
      <w:bookmarkEnd w:id="190"/>
      <w:r>
        <w:rPr>
          <w:rFonts w:hint="eastAsia"/>
          <w:color w:val="auto"/>
          <w:sz w:val="32"/>
          <w:szCs w:val="32"/>
          <w:highlight w:val="none"/>
          <w:lang w:val="en-US" w:eastAsia="zh-CN"/>
        </w:rPr>
        <w:t>技术参数及要求</w:t>
      </w:r>
      <w:bookmarkEnd w:id="191"/>
      <w:bookmarkEnd w:id="192"/>
      <w:bookmarkStart w:id="193" w:name="_Toc32420"/>
      <w:bookmarkStart w:id="194" w:name="_Toc30578"/>
      <w:bookmarkStart w:id="195" w:name="_Toc32037"/>
      <w:bookmarkStart w:id="196" w:name="_Toc14821"/>
      <w:bookmarkStart w:id="197" w:name="_Toc600"/>
      <w:bookmarkStart w:id="198" w:name="_Toc22906"/>
      <w:bookmarkStart w:id="199" w:name="_Toc10904"/>
    </w:p>
    <w:bookmarkEnd w:id="193"/>
    <w:bookmarkEnd w:id="194"/>
    <w:bookmarkEnd w:id="195"/>
    <w:bookmarkEnd w:id="196"/>
    <w:bookmarkEnd w:id="197"/>
    <w:bookmarkEnd w:id="198"/>
    <w:bookmarkEnd w:id="199"/>
    <w:p>
      <w:pPr>
        <w:pStyle w:val="29"/>
        <w:numPr>
          <w:ilvl w:val="0"/>
          <w:numId w:val="0"/>
        </w:numPr>
        <w:tabs>
          <w:tab w:val="left" w:pos="1134"/>
        </w:tabs>
        <w:spacing w:line="360" w:lineRule="auto"/>
        <w:ind w:firstLine="562" w:firstLineChars="200"/>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1.核心产品：触控一体机。</w:t>
      </w:r>
    </w:p>
    <w:p>
      <w:pPr>
        <w:pStyle w:val="29"/>
        <w:numPr>
          <w:ilvl w:val="0"/>
          <w:numId w:val="0"/>
        </w:numPr>
        <w:tabs>
          <w:tab w:val="left" w:pos="1134"/>
        </w:tabs>
        <w:spacing w:line="360" w:lineRule="auto"/>
        <w:ind w:firstLine="560" w:firstLineChars="200"/>
        <w:rPr>
          <w:rFonts w:hint="default" w:ascii="宋体" w:hAnsi="宋体" w:eastAsia="宋体" w:cs="宋体"/>
          <w:b w:val="0"/>
          <w:bCs/>
          <w:color w:val="auto"/>
          <w:sz w:val="28"/>
          <w:szCs w:val="28"/>
          <w:highlight w:val="none"/>
          <w:lang w:val="en-US" w:eastAsia="zh-CN"/>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558" w:bottom="1440" w:left="1276" w:header="851" w:footer="992" w:gutter="0"/>
          <w:cols w:space="720" w:num="1"/>
          <w:docGrid w:type="lines" w:linePitch="312" w:charSpace="0"/>
        </w:sectPr>
      </w:pPr>
      <w:r>
        <w:rPr>
          <w:rFonts w:hint="eastAsia" w:ascii="宋体" w:hAnsi="宋体" w:eastAsia="宋体" w:cs="宋体"/>
          <w:b w:val="0"/>
          <w:bCs/>
          <w:color w:val="auto"/>
          <w:sz w:val="28"/>
          <w:szCs w:val="28"/>
          <w:highlight w:val="none"/>
          <w:lang w:val="en-US" w:eastAsia="zh-CN"/>
        </w:rPr>
        <w:t>2.详见附件《成都市温江区教育局特教学校功能室设备采购技术方案》</w:t>
      </w:r>
      <w:r>
        <w:rPr>
          <w:rFonts w:hint="eastAsia" w:cs="宋体"/>
          <w:b w:val="0"/>
          <w:bCs/>
          <w:color w:val="auto"/>
          <w:sz w:val="28"/>
          <w:szCs w:val="28"/>
          <w:highlight w:val="none"/>
          <w:lang w:val="en-US" w:eastAsia="zh-CN"/>
        </w:rPr>
        <w:t>中包件1的设备清单。</w:t>
      </w:r>
    </w:p>
    <w:p>
      <w:pPr>
        <w:pStyle w:val="6"/>
        <w:numPr>
          <w:ilvl w:val="2"/>
          <w:numId w:val="0"/>
        </w:numPr>
        <w:ind w:leftChars="0"/>
        <w:rPr>
          <w:rFonts w:hint="eastAsia" w:ascii="宋体" w:hAnsi="宋体" w:eastAsia="宋体" w:cs="Times New Roman"/>
          <w:b/>
          <w:bCs/>
          <w:iCs/>
          <w:color w:val="auto"/>
          <w:kern w:val="0"/>
          <w:sz w:val="28"/>
          <w:szCs w:val="28"/>
          <w:highlight w:val="none"/>
          <w:lang w:val="en-US" w:eastAsia="zh-CN" w:bidi="ar-SA"/>
        </w:rPr>
      </w:pPr>
      <w:bookmarkStart w:id="200" w:name="_Toc7456"/>
      <w:bookmarkStart w:id="201" w:name="_Toc9525"/>
      <w:r>
        <w:rPr>
          <w:rFonts w:hint="eastAsia" w:ascii="宋体" w:hAnsi="宋体" w:eastAsia="宋体" w:cs="Times New Roman"/>
          <w:b/>
          <w:bCs/>
          <w:iCs/>
          <w:color w:val="auto"/>
          <w:kern w:val="0"/>
          <w:sz w:val="28"/>
          <w:szCs w:val="28"/>
          <w:highlight w:val="none"/>
          <w:lang w:val="en-US" w:eastAsia="zh-CN" w:bidi="ar-SA"/>
        </w:rPr>
        <w:t>4.3</w:t>
      </w:r>
      <w:bookmarkEnd w:id="200"/>
      <w:r>
        <w:rPr>
          <w:rFonts w:hint="eastAsia" w:ascii="宋体" w:hAnsi="宋体" w:eastAsia="宋体" w:cs="Times New Roman"/>
          <w:b/>
          <w:bCs/>
          <w:iCs/>
          <w:color w:val="auto"/>
          <w:kern w:val="0"/>
          <w:sz w:val="28"/>
          <w:szCs w:val="28"/>
          <w:highlight w:val="none"/>
          <w:lang w:val="en-US" w:eastAsia="zh-CN" w:bidi="ar-SA"/>
        </w:rPr>
        <w:t>建设周期</w:t>
      </w:r>
      <w:bookmarkEnd w:id="201"/>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乙方在签订合同</w:t>
      </w:r>
      <w:r>
        <w:rPr>
          <w:rFonts w:hint="eastAsia" w:ascii="宋体" w:hAnsi="宋体" w:eastAsia="宋体" w:cs="Times New Roman"/>
          <w:b/>
          <w:bCs/>
          <w:iCs/>
          <w:color w:val="auto"/>
          <w:kern w:val="0"/>
          <w:sz w:val="28"/>
          <w:szCs w:val="28"/>
          <w:highlight w:val="none"/>
          <w:lang w:val="en-US" w:eastAsia="zh-CN" w:bidi="ar-SA"/>
        </w:rPr>
        <w:t>30个日历日</w:t>
      </w:r>
      <w:r>
        <w:rPr>
          <w:rFonts w:hint="eastAsia" w:ascii="宋体" w:hAnsi="宋体" w:eastAsia="宋体" w:cs="Times New Roman"/>
          <w:b w:val="0"/>
          <w:bCs w:val="0"/>
          <w:iCs/>
          <w:color w:val="auto"/>
          <w:kern w:val="0"/>
          <w:sz w:val="28"/>
          <w:szCs w:val="28"/>
          <w:highlight w:val="none"/>
          <w:lang w:val="en-US" w:eastAsia="zh-CN" w:bidi="ar-SA"/>
        </w:rPr>
        <w:t>内按甲方指定的方式将货物送到温江区特殊教育学校，交付时附详细的设备签收单，并按照学校要求安装、调试好设备，使设备达到正常使用状态。</w:t>
      </w:r>
    </w:p>
    <w:p>
      <w:pPr>
        <w:pStyle w:val="5"/>
        <w:numPr>
          <w:ilvl w:val="1"/>
          <w:numId w:val="0"/>
        </w:numPr>
        <w:spacing w:before="0" w:after="200"/>
        <w:ind w:leftChars="0"/>
        <w:jc w:val="both"/>
        <w:rPr>
          <w:rFonts w:hint="eastAsia" w:ascii="宋体" w:hAnsi="宋体" w:eastAsia="宋体" w:cs="Times New Roman"/>
          <w:color w:val="auto"/>
          <w:highlight w:val="none"/>
          <w:lang w:val="en-US" w:eastAsia="zh-CN"/>
        </w:rPr>
      </w:pPr>
      <w:bookmarkStart w:id="202" w:name="_Toc9096"/>
      <w:bookmarkStart w:id="203" w:name="_Toc1569"/>
      <w:r>
        <w:rPr>
          <w:rFonts w:hint="eastAsia"/>
          <w:color w:val="auto"/>
          <w:highlight w:val="none"/>
          <w:lang w:val="en-US" w:eastAsia="zh-CN"/>
        </w:rPr>
        <w:t>4.4</w:t>
      </w:r>
      <w:r>
        <w:rPr>
          <w:rFonts w:hint="eastAsia" w:ascii="宋体" w:hAnsi="宋体" w:eastAsia="宋体" w:cs="Times New Roman"/>
          <w:color w:val="auto"/>
          <w:highlight w:val="none"/>
          <w:lang w:val="en-US" w:eastAsia="zh-CN"/>
        </w:rPr>
        <w:t>履约验收要求</w:t>
      </w:r>
      <w:bookmarkEnd w:id="202"/>
    </w:p>
    <w:p>
      <w:pPr>
        <w:ind w:firstLine="560" w:firstLineChars="200"/>
        <w:rPr>
          <w:rFonts w:hint="eastAsia" w:ascii="宋体" w:hAnsi="宋体" w:eastAsia="宋体" w:cs="Times New Roman"/>
          <w:b/>
          <w:bCs/>
          <w:iCs/>
          <w:color w:val="auto"/>
          <w:kern w:val="0"/>
          <w:sz w:val="28"/>
          <w:szCs w:val="28"/>
          <w:highlight w:val="none"/>
          <w:lang w:val="zh-CN" w:eastAsia="zh-CN" w:bidi="ar-SA"/>
        </w:rPr>
      </w:pPr>
      <w:r>
        <w:rPr>
          <w:rFonts w:hint="default" w:ascii="宋体" w:hAnsi="宋体" w:eastAsia="宋体" w:cs="Times New Roman"/>
          <w:b w:val="0"/>
          <w:bCs w:val="0"/>
          <w:iCs/>
          <w:color w:val="auto"/>
          <w:kern w:val="0"/>
          <w:sz w:val="28"/>
          <w:szCs w:val="28"/>
          <w:highlight w:val="none"/>
          <w:lang w:val="en-US" w:eastAsia="zh-CN" w:bidi="ar-SA"/>
        </w:rPr>
        <w:t>★1、涉及实施、安装、环境打造的项目，设计图（效果图）由</w:t>
      </w:r>
      <w:r>
        <w:rPr>
          <w:rFonts w:hint="eastAsia" w:ascii="宋体" w:hAnsi="宋体" w:eastAsia="宋体" w:cs="Times New Roman"/>
          <w:b w:val="0"/>
          <w:bCs w:val="0"/>
          <w:iCs/>
          <w:color w:val="auto"/>
          <w:kern w:val="0"/>
          <w:sz w:val="28"/>
          <w:szCs w:val="28"/>
          <w:highlight w:val="none"/>
          <w:lang w:val="en-US" w:eastAsia="zh-CN" w:bidi="ar-SA"/>
        </w:rPr>
        <w:t>甲方</w:t>
      </w:r>
      <w:r>
        <w:rPr>
          <w:rFonts w:hint="default" w:ascii="宋体" w:hAnsi="宋体" w:eastAsia="宋体" w:cs="Times New Roman"/>
          <w:b w:val="0"/>
          <w:bCs w:val="0"/>
          <w:iCs/>
          <w:color w:val="auto"/>
          <w:kern w:val="0"/>
          <w:sz w:val="28"/>
          <w:szCs w:val="28"/>
          <w:highlight w:val="none"/>
          <w:lang w:val="en-US" w:eastAsia="zh-CN" w:bidi="ar-SA"/>
        </w:rPr>
        <w:t>确认后实施。</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ind w:firstLine="560" w:firstLineChars="200"/>
        <w:rPr>
          <w:rFonts w:hint="eastAsia" w:ascii="宋体" w:hAnsi="宋体" w:eastAsia="宋体" w:cs="Times New Roman"/>
          <w:b/>
          <w:bCs/>
          <w:iCs/>
          <w:color w:val="auto"/>
          <w:kern w:val="0"/>
          <w:sz w:val="28"/>
          <w:szCs w:val="28"/>
          <w:highlight w:val="none"/>
          <w:lang w:val="zh-CN" w:eastAsia="zh-CN" w:bidi="ar-SA"/>
        </w:rPr>
      </w:pPr>
      <w:r>
        <w:rPr>
          <w:rFonts w:hint="default" w:ascii="宋体" w:hAnsi="宋体" w:eastAsia="宋体" w:cs="Times New Roman"/>
          <w:b w:val="0"/>
          <w:bCs w:val="0"/>
          <w:iCs/>
          <w:color w:val="auto"/>
          <w:kern w:val="0"/>
          <w:sz w:val="28"/>
          <w:szCs w:val="28"/>
          <w:highlight w:val="none"/>
          <w:lang w:val="en-US" w:eastAsia="zh-CN" w:bidi="ar-SA"/>
        </w:rPr>
        <w:t>★2、实施前，供应商到学校确认货物的颜色和样式，在规定时间内按学校确认的颜色、样式送货到校，与学校一起确认货物的品牌、规格、型号、参数、数量、外观等，进行验货、签收。</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ind w:firstLine="560" w:firstLineChars="200"/>
        <w:rPr>
          <w:rFonts w:hint="default" w:ascii="宋体" w:hAnsi="宋体" w:eastAsia="宋体" w:cs="Times New Roman"/>
          <w:b/>
          <w:bCs/>
          <w:iCs/>
          <w:color w:val="auto"/>
          <w:kern w:val="0"/>
          <w:sz w:val="28"/>
          <w:szCs w:val="28"/>
          <w:highlight w:val="none"/>
          <w:lang w:val="en-US" w:eastAsia="zh-CN" w:bidi="ar-SA"/>
        </w:rPr>
      </w:pPr>
      <w:r>
        <w:rPr>
          <w:rFonts w:hint="default" w:ascii="宋体" w:hAnsi="宋体" w:eastAsia="宋体" w:cs="Times New Roman"/>
          <w:b w:val="0"/>
          <w:bCs w:val="0"/>
          <w:iCs/>
          <w:color w:val="auto"/>
          <w:kern w:val="0"/>
          <w:sz w:val="28"/>
          <w:szCs w:val="28"/>
          <w:highlight w:val="none"/>
          <w:lang w:val="en-US" w:eastAsia="zh-CN" w:bidi="ar-SA"/>
        </w:rPr>
        <w:t>★3、货物验收前，供应商聘请具有法定资格的第三方检测机构按照国家标准 GB/18883-2001，对心理咨询室、多感官虚拟互动区、感觉统合训练区实施空气质量检测，检测合格的同时出具书面检测报告，作为验收条件。</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pStyle w:val="5"/>
        <w:numPr>
          <w:ilvl w:val="1"/>
          <w:numId w:val="0"/>
        </w:numPr>
        <w:spacing w:before="0" w:after="200"/>
        <w:ind w:left="-142" w:leftChars="0" w:firstLine="560" w:firstLineChars="200"/>
        <w:jc w:val="both"/>
        <w:rPr>
          <w:rFonts w:hint="default" w:ascii="宋体" w:hAnsi="宋体" w:eastAsia="宋体" w:cs="Times New Roman"/>
          <w:b w:val="0"/>
          <w:bCs w:val="0"/>
          <w:iCs/>
          <w:color w:val="auto"/>
          <w:kern w:val="0"/>
          <w:sz w:val="28"/>
          <w:szCs w:val="28"/>
          <w:highlight w:val="none"/>
          <w:lang w:val="en-US" w:eastAsia="zh-CN" w:bidi="ar-SA"/>
        </w:rPr>
      </w:pPr>
      <w:bookmarkStart w:id="204" w:name="_Toc26871"/>
      <w:r>
        <w:rPr>
          <w:rFonts w:hint="eastAsia" w:ascii="宋体" w:hAnsi="宋体" w:eastAsia="宋体" w:cs="Times New Roman"/>
          <w:b w:val="0"/>
          <w:bCs w:val="0"/>
          <w:iCs/>
          <w:color w:val="auto"/>
          <w:kern w:val="0"/>
          <w:sz w:val="28"/>
          <w:szCs w:val="28"/>
          <w:highlight w:val="none"/>
          <w:lang w:val="en-US" w:eastAsia="zh-CN" w:bidi="ar-SA"/>
        </w:rPr>
        <w:t>4、</w:t>
      </w:r>
      <w:r>
        <w:rPr>
          <w:rFonts w:hint="default" w:ascii="宋体" w:hAnsi="宋体" w:eastAsia="宋体" w:cs="Times New Roman"/>
          <w:b w:val="0"/>
          <w:bCs w:val="0"/>
          <w:iCs/>
          <w:color w:val="auto"/>
          <w:kern w:val="0"/>
          <w:sz w:val="28"/>
          <w:szCs w:val="28"/>
          <w:highlight w:val="none"/>
          <w:lang w:val="en-US" w:eastAsia="zh-CN" w:bidi="ar-SA"/>
        </w:rPr>
        <w:t>安装完成后对使用方进行操作培训，未发现任何问题，按照《关于进一步加强政府采购需求和履约验收管理的指导意见》（财库〔2016〕205号）的要求进行最终验收。</w:t>
      </w:r>
      <w:bookmarkEnd w:id="204"/>
    </w:p>
    <w:bookmarkEnd w:id="203"/>
    <w:p>
      <w:pPr>
        <w:pStyle w:val="5"/>
        <w:numPr>
          <w:ilvl w:val="1"/>
          <w:numId w:val="0"/>
        </w:numPr>
        <w:spacing w:before="0" w:after="200"/>
        <w:ind w:leftChars="0"/>
        <w:jc w:val="both"/>
        <w:rPr>
          <w:rFonts w:hint="default" w:ascii="宋体" w:hAnsi="宋体" w:eastAsia="宋体" w:cs="Times New Roman"/>
          <w:color w:val="auto"/>
          <w:highlight w:val="none"/>
          <w:lang w:val="en-US" w:eastAsia="zh-CN"/>
        </w:rPr>
      </w:pPr>
      <w:bookmarkStart w:id="205" w:name="_Toc2469"/>
      <w:r>
        <w:rPr>
          <w:rFonts w:hint="eastAsia" w:ascii="宋体" w:hAnsi="宋体" w:eastAsia="宋体" w:cs="Times New Roman"/>
          <w:color w:val="auto"/>
          <w:highlight w:val="none"/>
          <w:lang w:val="en-US" w:eastAsia="zh-CN"/>
        </w:rPr>
        <w:t>★4.5售后服务要求</w:t>
      </w:r>
      <w:bookmarkEnd w:id="205"/>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1、验收合格后</w:t>
      </w:r>
      <w:r>
        <w:rPr>
          <w:rFonts w:hint="eastAsia" w:ascii="宋体" w:hAnsi="宋体" w:eastAsia="宋体" w:cs="Times New Roman"/>
          <w:b/>
          <w:bCs/>
          <w:iCs/>
          <w:color w:val="auto"/>
          <w:kern w:val="0"/>
          <w:sz w:val="28"/>
          <w:szCs w:val="28"/>
          <w:highlight w:val="none"/>
          <w:lang w:val="en-US" w:eastAsia="zh-CN" w:bidi="ar-SA"/>
        </w:rPr>
        <w:t>三年</w:t>
      </w:r>
      <w:r>
        <w:rPr>
          <w:rFonts w:hint="eastAsia" w:ascii="宋体" w:hAnsi="宋体" w:eastAsia="宋体" w:cs="Times New Roman"/>
          <w:b w:val="0"/>
          <w:bCs w:val="0"/>
          <w:iCs/>
          <w:color w:val="auto"/>
          <w:kern w:val="0"/>
          <w:sz w:val="28"/>
          <w:szCs w:val="28"/>
          <w:highlight w:val="none"/>
          <w:lang w:val="en-US" w:eastAsia="zh-CN" w:bidi="ar-SA"/>
        </w:rPr>
        <w:t>为质保期。</w:t>
      </w:r>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2、质保期内，供应商提供产品正常使用情况下的维修及维护服务。维修、维护应在10分钟内响应、2小时内到场、4小时内解决。同一产品、同一质量问题连续两次维修仍无法正常使用的须更换同品牌、同型号的新产品，并对产品质量实行“三包”。</w:t>
      </w:r>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3、质保期外，提供产品的更换、维修只收取配件成本费用，不再收取人工技术费用。</w:t>
      </w:r>
    </w:p>
    <w:p>
      <w:pPr>
        <w:ind w:firstLine="562" w:firstLineChars="200"/>
        <w:rPr>
          <w:rFonts w:hint="eastAsia" w:ascii="宋体" w:hAnsi="宋体" w:eastAsia="宋体" w:cs="Times New Roman"/>
          <w:b/>
          <w:bCs/>
          <w:iCs/>
          <w:color w:val="auto"/>
          <w:kern w:val="0"/>
          <w:sz w:val="28"/>
          <w:szCs w:val="28"/>
          <w:highlight w:val="none"/>
          <w:lang w:val="en-US" w:eastAsia="zh-CN" w:bidi="ar-SA"/>
        </w:rPr>
      </w:pPr>
      <w:r>
        <w:rPr>
          <w:rFonts w:hint="eastAsia" w:ascii="宋体" w:hAnsi="宋体" w:eastAsia="宋体" w:cs="Times New Roman"/>
          <w:b/>
          <w:bCs/>
          <w:iCs/>
          <w:color w:val="auto"/>
          <w:kern w:val="0"/>
          <w:sz w:val="28"/>
          <w:szCs w:val="28"/>
          <w:highlight w:val="none"/>
          <w:lang w:val="zh-CN" w:eastAsia="zh-CN" w:bidi="ar-SA"/>
        </w:rPr>
        <w:t>（说明：</w:t>
      </w:r>
      <w:r>
        <w:rPr>
          <w:rFonts w:hint="eastAsia" w:ascii="宋体" w:hAnsi="宋体" w:eastAsia="宋体" w:cs="Times New Roman"/>
          <w:b/>
          <w:bCs/>
          <w:iCs/>
          <w:color w:val="auto"/>
          <w:kern w:val="0"/>
          <w:sz w:val="28"/>
          <w:szCs w:val="28"/>
          <w:highlight w:val="none"/>
          <w:lang w:val="en-US" w:eastAsia="zh-CN" w:bidi="ar-SA"/>
        </w:rPr>
        <w:t>以上1-3条</w:t>
      </w:r>
      <w:r>
        <w:rPr>
          <w:rFonts w:hint="eastAsia" w:ascii="宋体" w:hAnsi="宋体" w:eastAsia="宋体" w:cs="Times New Roman"/>
          <w:b/>
          <w:bCs/>
          <w:iCs/>
          <w:color w:val="auto"/>
          <w:kern w:val="0"/>
          <w:sz w:val="28"/>
          <w:szCs w:val="28"/>
          <w:highlight w:val="none"/>
          <w:lang w:val="zh-CN" w:eastAsia="zh-CN" w:bidi="ar-SA"/>
        </w:rPr>
        <w:t>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pStyle w:val="5"/>
        <w:pageBreakBefore w:val="0"/>
        <w:widowControl w:val="0"/>
        <w:numPr>
          <w:ilvl w:val="1"/>
          <w:numId w:val="0"/>
        </w:numPr>
        <w:kinsoku/>
        <w:wordWrap/>
        <w:overflowPunct/>
        <w:topLinePunct w:val="0"/>
        <w:autoSpaceDE/>
        <w:autoSpaceDN/>
        <w:bidi w:val="0"/>
        <w:adjustRightInd/>
        <w:snapToGrid/>
        <w:spacing w:before="0" w:beforeLines="0" w:after="0" w:afterLines="0"/>
        <w:ind w:leftChars="0"/>
        <w:jc w:val="both"/>
        <w:textAlignment w:val="auto"/>
        <w:rPr>
          <w:rFonts w:hint="eastAsia"/>
          <w:color w:val="auto"/>
          <w:highlight w:val="none"/>
          <w:lang w:val="en-US" w:eastAsia="zh-CN"/>
        </w:rPr>
      </w:pPr>
      <w:bookmarkStart w:id="206" w:name="_Toc4959"/>
      <w:bookmarkStart w:id="207" w:name="_Toc32282"/>
      <w:r>
        <w:rPr>
          <w:rFonts w:hint="eastAsia"/>
          <w:color w:val="auto"/>
          <w:highlight w:val="none"/>
          <w:lang w:val="en-US" w:eastAsia="zh-CN"/>
        </w:rPr>
        <w:t>4.6商务要求</w:t>
      </w:r>
      <w:bookmarkEnd w:id="206"/>
      <w:bookmarkEnd w:id="207"/>
    </w:p>
    <w:p>
      <w:pPr>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bookmarkStart w:id="208" w:name="_Toc28334880"/>
      <w:r>
        <w:rPr>
          <w:rFonts w:hint="default" w:ascii="宋体" w:hAnsi="宋体" w:eastAsia="宋体" w:cs="Times New Roman"/>
          <w:b w:val="0"/>
          <w:bCs w:val="0"/>
          <w:iCs/>
          <w:color w:val="auto"/>
          <w:kern w:val="0"/>
          <w:sz w:val="28"/>
          <w:szCs w:val="28"/>
          <w:highlight w:val="none"/>
          <w:lang w:val="en-US" w:eastAsia="zh-CN" w:bidi="ar-SA"/>
        </w:rPr>
        <w:t>合同价款支付方式和条件：投标报价含运输、送货、安装、售后服务、抽样送检、放置场所空气质量检测、治理等所有费用。签订合同</w:t>
      </w:r>
      <w:r>
        <w:rPr>
          <w:rFonts w:hint="eastAsia" w:cs="Times New Roman"/>
          <w:b w:val="0"/>
          <w:bCs w:val="0"/>
          <w:iCs/>
          <w:color w:val="auto"/>
          <w:kern w:val="0"/>
          <w:sz w:val="28"/>
          <w:szCs w:val="28"/>
          <w:highlight w:val="none"/>
          <w:lang w:val="en-US" w:eastAsia="zh-CN" w:bidi="ar-SA"/>
        </w:rPr>
        <w:t>后</w:t>
      </w:r>
      <w:r>
        <w:rPr>
          <w:rFonts w:hint="default" w:ascii="宋体" w:hAnsi="宋体" w:eastAsia="宋体" w:cs="Times New Roman"/>
          <w:b w:val="0"/>
          <w:bCs w:val="0"/>
          <w:iCs/>
          <w:color w:val="auto"/>
          <w:kern w:val="0"/>
          <w:sz w:val="28"/>
          <w:szCs w:val="28"/>
          <w:highlight w:val="none"/>
          <w:lang w:val="en-US" w:eastAsia="zh-CN" w:bidi="ar-SA"/>
        </w:rPr>
        <w:t>交纳合同总金额的5%作为履约保证金，合同签订生效后，乙方根据甲方工程进度，将货物送到学校，</w:t>
      </w:r>
      <w:r>
        <w:rPr>
          <w:rFonts w:hint="eastAsia" w:ascii="宋体" w:hAnsi="宋体" w:eastAsia="宋体" w:cs="Times New Roman"/>
          <w:b w:val="0"/>
          <w:bCs w:val="0"/>
          <w:iCs/>
          <w:color w:val="auto"/>
          <w:kern w:val="0"/>
          <w:sz w:val="28"/>
          <w:szCs w:val="28"/>
          <w:highlight w:val="none"/>
          <w:lang w:val="en-US" w:eastAsia="zh-CN" w:bidi="ar-SA"/>
        </w:rPr>
        <w:t>甲方</w:t>
      </w:r>
      <w:r>
        <w:rPr>
          <w:rFonts w:hint="default" w:ascii="宋体" w:hAnsi="宋体" w:eastAsia="宋体" w:cs="Times New Roman"/>
          <w:b w:val="0"/>
          <w:bCs w:val="0"/>
          <w:iCs/>
          <w:color w:val="auto"/>
          <w:kern w:val="0"/>
          <w:sz w:val="28"/>
          <w:szCs w:val="28"/>
          <w:highlight w:val="none"/>
          <w:lang w:val="en-US" w:eastAsia="zh-CN" w:bidi="ar-SA"/>
        </w:rPr>
        <w:t>签收完毕</w:t>
      </w:r>
      <w:r>
        <w:rPr>
          <w:rFonts w:hint="eastAsia" w:ascii="宋体" w:hAnsi="宋体" w:eastAsia="宋体" w:cs="Times New Roman"/>
          <w:b w:val="0"/>
          <w:bCs w:val="0"/>
          <w:iCs/>
          <w:color w:val="auto"/>
          <w:kern w:val="0"/>
          <w:sz w:val="28"/>
          <w:szCs w:val="28"/>
          <w:highlight w:val="none"/>
          <w:lang w:val="en-US" w:eastAsia="zh-CN" w:bidi="ar-SA"/>
        </w:rPr>
        <w:t>后</w:t>
      </w:r>
      <w:r>
        <w:rPr>
          <w:rFonts w:hint="default" w:ascii="宋体" w:hAnsi="宋体" w:eastAsia="宋体" w:cs="Times New Roman"/>
          <w:b w:val="0"/>
          <w:bCs w:val="0"/>
          <w:iCs/>
          <w:color w:val="auto"/>
          <w:kern w:val="0"/>
          <w:sz w:val="28"/>
          <w:szCs w:val="28"/>
          <w:highlight w:val="none"/>
          <w:lang w:val="en-US" w:eastAsia="zh-CN" w:bidi="ar-SA"/>
        </w:rPr>
        <w:t>，支付不低于中标金额的30%</w:t>
      </w:r>
      <w:r>
        <w:rPr>
          <w:rFonts w:hint="eastAsia" w:ascii="宋体" w:hAnsi="宋体" w:eastAsia="宋体" w:cs="Times New Roman"/>
          <w:b w:val="0"/>
          <w:bCs w:val="0"/>
          <w:iCs/>
          <w:color w:val="auto"/>
          <w:kern w:val="0"/>
          <w:sz w:val="28"/>
          <w:szCs w:val="28"/>
          <w:highlight w:val="none"/>
          <w:lang w:val="en-US" w:eastAsia="zh-CN" w:bidi="ar-SA"/>
        </w:rPr>
        <w:t>给乙方。</w:t>
      </w:r>
      <w:r>
        <w:rPr>
          <w:rFonts w:hint="default" w:ascii="宋体" w:hAnsi="宋体" w:eastAsia="宋体" w:cs="Times New Roman"/>
          <w:b w:val="0"/>
          <w:bCs w:val="0"/>
          <w:iCs/>
          <w:color w:val="auto"/>
          <w:kern w:val="0"/>
          <w:sz w:val="28"/>
          <w:szCs w:val="28"/>
          <w:highlight w:val="none"/>
          <w:lang w:val="en-US" w:eastAsia="zh-CN" w:bidi="ar-SA"/>
        </w:rPr>
        <w:t>2021年度最高不超过人民币200万元（其中，包件1最高支付140万元</w:t>
      </w:r>
      <w:r>
        <w:rPr>
          <w:rFonts w:hint="eastAsia" w:ascii="宋体" w:hAnsi="宋体" w:eastAsia="宋体" w:cs="Times New Roman"/>
          <w:b w:val="0"/>
          <w:bCs w:val="0"/>
          <w:iCs/>
          <w:color w:val="auto"/>
          <w:kern w:val="0"/>
          <w:sz w:val="28"/>
          <w:szCs w:val="28"/>
          <w:highlight w:val="none"/>
          <w:lang w:val="en-US" w:eastAsia="zh-CN" w:bidi="ar-SA"/>
        </w:rPr>
        <w:t>，包件2最高支付60万元</w:t>
      </w:r>
      <w:r>
        <w:rPr>
          <w:rFonts w:hint="default" w:ascii="宋体" w:hAnsi="宋体" w:eastAsia="宋体" w:cs="Times New Roman"/>
          <w:b w:val="0"/>
          <w:bCs w:val="0"/>
          <w:iCs/>
          <w:color w:val="auto"/>
          <w:kern w:val="0"/>
          <w:sz w:val="28"/>
          <w:szCs w:val="28"/>
          <w:highlight w:val="none"/>
          <w:lang w:val="en-US" w:eastAsia="zh-CN" w:bidi="ar-SA"/>
        </w:rPr>
        <w:t>），验收合格后2022年支付余款。验收合格12个月后无质量问题，30个日历日内通过原渠道无息退还履约保证金。</w:t>
      </w:r>
    </w:p>
    <w:bookmarkEnd w:id="208"/>
    <w:p>
      <w:pPr>
        <w:pStyle w:val="5"/>
        <w:pageBreakBefore w:val="0"/>
        <w:widowControl w:val="0"/>
        <w:numPr>
          <w:ilvl w:val="1"/>
          <w:numId w:val="0"/>
        </w:numPr>
        <w:kinsoku/>
        <w:wordWrap/>
        <w:overflowPunct/>
        <w:topLinePunct w:val="0"/>
        <w:autoSpaceDE/>
        <w:autoSpaceDN/>
        <w:bidi w:val="0"/>
        <w:adjustRightInd/>
        <w:snapToGrid/>
        <w:spacing w:before="0" w:beforeLines="0" w:after="0" w:afterLines="0"/>
        <w:ind w:leftChars="0"/>
        <w:jc w:val="both"/>
        <w:textAlignment w:val="auto"/>
        <w:rPr>
          <w:color w:val="auto"/>
          <w:highlight w:val="none"/>
        </w:rPr>
      </w:pPr>
      <w:bookmarkStart w:id="209" w:name="_Toc32114"/>
      <w:bookmarkStart w:id="210" w:name="_Toc77688492"/>
      <w:bookmarkStart w:id="211" w:name="_Toc58943342"/>
      <w:bookmarkStart w:id="212" w:name="_Toc24818"/>
      <w:r>
        <w:rPr>
          <w:rFonts w:hint="eastAsia"/>
          <w:color w:val="auto"/>
          <w:highlight w:val="none"/>
          <w:lang w:val="en-US" w:eastAsia="zh-CN"/>
        </w:rPr>
        <w:t>4.7</w:t>
      </w:r>
      <w:r>
        <w:rPr>
          <w:rFonts w:hint="eastAsia"/>
          <w:color w:val="auto"/>
          <w:highlight w:val="none"/>
        </w:rPr>
        <w:t>其他要求</w:t>
      </w:r>
      <w:bookmarkEnd w:id="209"/>
      <w:bookmarkEnd w:id="210"/>
      <w:bookmarkEnd w:id="211"/>
      <w:bookmarkEnd w:id="212"/>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一、★在评审过程中，磋商小组认为供应商最后报价明显低于其他通过符合性审查供应商的最后报价，有可能影响服务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二、★供应商为本项目提供的所有产品、辅材中属于《国家强制性产品认证目录》范围内产品的，均通过国家强制性产品认证并取得认证证书。</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三、★供应商为本项目提供的所有产品、辅材符合现行的强制性国家相关标准、行业标准。</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四、★供应商为本项目提供的所有产品中属于节能产品政府采购品目清单中的政府强制采购产品的，均应具有国家确定的认证机构出具的有效期内的节能产品认证证书。</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五、★供应商为本项目提供的所有产品、辅材中属于3C认证的产品的，均具有3C产品认证证书，并在中标后签订合同之前提供证书复印件加盖公章。</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六、供应商针对本项目拟定的实施方案内容包含：（1）施工质量；（2）布局设计；（3）验收方案；（4）实施流程。</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七、供应商针对本项目制定的培训方案，内容包含：①培训内容、②培训师资配备、③培训计划、④培训</w:t>
      </w:r>
      <w:r>
        <w:rPr>
          <w:rFonts w:hint="eastAsia" w:cs="Times New Roman"/>
          <w:b w:val="0"/>
          <w:bCs w:val="0"/>
          <w:iCs/>
          <w:color w:val="auto"/>
          <w:kern w:val="0"/>
          <w:sz w:val="28"/>
          <w:szCs w:val="28"/>
          <w:highlight w:val="none"/>
          <w:lang w:val="en-US" w:eastAsia="zh-CN" w:bidi="ar-SA"/>
        </w:rPr>
        <w:t>目标</w:t>
      </w:r>
      <w:r>
        <w:rPr>
          <w:rFonts w:hint="eastAsia" w:ascii="宋体" w:hAnsi="宋体" w:eastAsia="宋体" w:cs="Times New Roman"/>
          <w:b w:val="0"/>
          <w:bCs w:val="0"/>
          <w:iCs/>
          <w:color w:val="auto"/>
          <w:kern w:val="0"/>
          <w:sz w:val="28"/>
          <w:szCs w:val="28"/>
          <w:highlight w:val="none"/>
          <w:lang w:val="en-US" w:eastAsia="zh-CN" w:bidi="ar-SA"/>
        </w:rPr>
        <w:t>等。</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八、供应商所投触控一体机提供备授课教学软件的主要功能截图：①主界面、②备课功能、③授课功能；供应商承诺中标后提供所投FM调频语训系统生产厂家的售后服务承诺</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九、供应商针对本项目制定的售后服务方案，内容包括：①服务内容及范围、②服务流程、③售后巡检、④响应时间等。</w:t>
      </w:r>
    </w:p>
    <w:p>
      <w:pPr>
        <w:pStyle w:val="29"/>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十、供应商自2018年1月1日（含1日）以后，具有类似项目业绩。</w:t>
      </w:r>
    </w:p>
    <w:p>
      <w:pPr>
        <w:pStyle w:val="29"/>
        <w:numPr>
          <w:ilvl w:val="0"/>
          <w:numId w:val="0"/>
        </w:numPr>
        <w:tabs>
          <w:tab w:val="left" w:pos="1134"/>
        </w:tabs>
        <w:spacing w:line="360" w:lineRule="auto"/>
        <w:ind w:firstLine="400" w:firstLineChars="200"/>
        <w:rPr>
          <w:rFonts w:hint="eastAsia" w:ascii="宋体" w:hAnsi="宋体" w:eastAsia="宋体" w:cs="宋体"/>
          <w:color w:val="000000"/>
          <w:kern w:val="0"/>
          <w:sz w:val="20"/>
          <w:szCs w:val="20"/>
          <w:lang w:val="en-US" w:eastAsia="zh-CN" w:bidi="ar"/>
        </w:rPr>
      </w:pPr>
    </w:p>
    <w:p>
      <w:pPr>
        <w:pStyle w:val="5"/>
        <w:numPr>
          <w:ilvl w:val="1"/>
          <w:numId w:val="0"/>
        </w:numPr>
        <w:spacing w:before="0" w:after="200"/>
        <w:ind w:leftChars="0"/>
        <w:jc w:val="both"/>
        <w:rPr>
          <w:color w:val="auto"/>
          <w:highlight w:val="none"/>
        </w:rPr>
      </w:pPr>
      <w:bookmarkStart w:id="213" w:name="_Toc58943343"/>
      <w:bookmarkStart w:id="214" w:name="_Toc3010"/>
      <w:bookmarkStart w:id="215" w:name="_Toc77688493"/>
      <w:bookmarkStart w:id="216" w:name="_Toc27824"/>
      <w:r>
        <w:rPr>
          <w:rFonts w:hint="eastAsia"/>
          <w:color w:val="auto"/>
          <w:highlight w:val="none"/>
          <w:lang w:val="en-US" w:eastAsia="zh-CN"/>
        </w:rPr>
        <w:t>4.8</w:t>
      </w:r>
      <w:r>
        <w:rPr>
          <w:rFonts w:hint="eastAsia"/>
          <w:color w:val="auto"/>
          <w:highlight w:val="none"/>
        </w:rPr>
        <w:t>满足采购需求的实质性要求</w:t>
      </w:r>
      <w:bookmarkEnd w:id="213"/>
      <w:bookmarkEnd w:id="214"/>
      <w:bookmarkEnd w:id="215"/>
      <w:bookmarkEnd w:id="216"/>
    </w:p>
    <w:p>
      <w:pPr>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技术、服务、商务及其他要求中加★号的要求为满足采购需求的</w:t>
      </w:r>
      <w:r>
        <w:rPr>
          <w:rFonts w:ascii="宋体" w:hAnsi="宋体"/>
          <w:b/>
          <w:color w:val="auto"/>
          <w:sz w:val="28"/>
          <w:szCs w:val="28"/>
          <w:highlight w:val="none"/>
        </w:rPr>
        <w:t>的</w:t>
      </w:r>
      <w:r>
        <w:rPr>
          <w:rFonts w:hint="eastAsia" w:ascii="宋体" w:hAnsi="宋体"/>
          <w:b/>
          <w:color w:val="auto"/>
          <w:sz w:val="28"/>
          <w:szCs w:val="28"/>
          <w:highlight w:val="none"/>
        </w:rPr>
        <w:t>实质性要求，不允许作</w:t>
      </w:r>
      <w:r>
        <w:rPr>
          <w:rFonts w:ascii="宋体" w:hAnsi="宋体"/>
          <w:b/>
          <w:color w:val="auto"/>
          <w:sz w:val="28"/>
          <w:szCs w:val="28"/>
          <w:highlight w:val="none"/>
        </w:rPr>
        <w:t>实质性变动</w:t>
      </w:r>
      <w:r>
        <w:rPr>
          <w:rFonts w:hint="eastAsia" w:ascii="宋体" w:hAnsi="宋体"/>
          <w:b/>
          <w:color w:val="auto"/>
          <w:sz w:val="28"/>
          <w:szCs w:val="28"/>
          <w:highlight w:val="none"/>
        </w:rPr>
        <w:t>，若未响应或者负偏离，响应文件无效。</w:t>
      </w:r>
    </w:p>
    <w:p>
      <w:pPr>
        <w:pStyle w:val="22"/>
        <w:ind w:firstLine="640"/>
        <w:jc w:val="both"/>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注：1、中小企业政府采购信用融资参加本次招标活动的中小企业投标人无需提供财产抵押或第三方担保，凭借政府采购合同可向融资机构申请融资。具体内容详见招标文件附件中《成都市温江区财政局关于公布温江区首批支持中小企业政府采购信用融资银行名单的公告》和《成都市财政局关于公布成都市首批在线开展政府采购信用融资业务银行名单的通知》（成财采[2019]49号）。</w:t>
      </w:r>
    </w:p>
    <w:p>
      <w:pPr>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2、采购项目资金首付比例原则上不低于政府采购合同</w:t>
      </w:r>
    </w:p>
    <w:p>
      <w:pPr>
        <w:spacing w:line="360" w:lineRule="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总金额的30%。</w:t>
      </w:r>
    </w:p>
    <w:p>
      <w:pPr>
        <w:widowControl/>
        <w:spacing w:line="360" w:lineRule="auto"/>
        <w:ind w:firstLine="480" w:firstLineChars="200"/>
        <w:jc w:val="left"/>
        <w:rPr>
          <w:rFonts w:hint="eastAsia"/>
          <w:color w:val="auto"/>
          <w:highlight w:val="none"/>
          <w:lang w:val="en-US" w:eastAsia="zh-CN"/>
        </w:rPr>
      </w:pPr>
      <w:r>
        <w:rPr>
          <w:rFonts w:hint="eastAsia" w:ascii="宋体" w:hAnsi="宋体" w:eastAsia="宋体" w:cs="宋体"/>
          <w:color w:val="000000"/>
          <w:sz w:val="24"/>
          <w:szCs w:val="24"/>
          <w:highlight w:val="none"/>
          <w:shd w:val="clear" w:color="auto" w:fill="FFFFFF"/>
        </w:rPr>
        <w:t>3、采购单位应当自收到发票后20日内将资金支付到合同约定的投标人账户。</w:t>
      </w:r>
    </w:p>
    <w:p>
      <w:pPr>
        <w:pStyle w:val="5"/>
        <w:keepNext/>
        <w:keepLines/>
        <w:pageBreakBefore w:val="0"/>
        <w:widowControl w:val="0"/>
        <w:numPr>
          <w:ilvl w:val="1"/>
          <w:numId w:val="0"/>
        </w:numPr>
        <w:kinsoku/>
        <w:wordWrap/>
        <w:overflowPunct/>
        <w:topLinePunct w:val="0"/>
        <w:autoSpaceDE/>
        <w:autoSpaceDN/>
        <w:bidi w:val="0"/>
        <w:adjustRightInd/>
        <w:snapToGrid/>
        <w:spacing w:before="0" w:after="200"/>
        <w:ind w:leftChars="0"/>
        <w:jc w:val="both"/>
        <w:textAlignment w:val="auto"/>
        <w:rPr>
          <w:rFonts w:hint="eastAsia"/>
          <w:color w:val="auto"/>
          <w:sz w:val="32"/>
          <w:szCs w:val="32"/>
          <w:highlight w:val="none"/>
          <w:lang w:val="en-US" w:eastAsia="zh-CN"/>
        </w:rPr>
      </w:pPr>
      <w:bookmarkStart w:id="217" w:name="_Toc6888"/>
      <w:bookmarkStart w:id="218" w:name="_Toc26929"/>
    </w:p>
    <w:p>
      <w:pPr>
        <w:pStyle w:val="5"/>
        <w:keepNext/>
        <w:keepLines/>
        <w:pageBreakBefore w:val="0"/>
        <w:widowControl w:val="0"/>
        <w:numPr>
          <w:ilvl w:val="1"/>
          <w:numId w:val="0"/>
        </w:numPr>
        <w:kinsoku/>
        <w:wordWrap/>
        <w:overflowPunct/>
        <w:topLinePunct w:val="0"/>
        <w:autoSpaceDE/>
        <w:autoSpaceDN/>
        <w:bidi w:val="0"/>
        <w:adjustRightInd/>
        <w:snapToGrid/>
        <w:spacing w:before="0" w:after="200"/>
        <w:ind w:leftChars="0"/>
        <w:jc w:val="both"/>
        <w:textAlignment w:val="auto"/>
        <w:rPr>
          <w:rFonts w:hint="default"/>
          <w:color w:val="auto"/>
          <w:sz w:val="32"/>
          <w:szCs w:val="32"/>
          <w:highlight w:val="none"/>
          <w:lang w:val="en-US" w:eastAsia="zh-CN"/>
        </w:rPr>
      </w:pPr>
      <w:bookmarkStart w:id="219" w:name="_Toc3540"/>
      <w:r>
        <w:rPr>
          <w:rFonts w:hint="eastAsia"/>
          <w:color w:val="auto"/>
          <w:sz w:val="32"/>
          <w:szCs w:val="32"/>
          <w:highlight w:val="none"/>
          <w:lang w:val="en-US" w:eastAsia="zh-CN"/>
        </w:rPr>
        <w:t>包件2 心理咨询室、艺术治疗室和生活情景体验室设备采购</w:t>
      </w:r>
      <w:bookmarkEnd w:id="217"/>
      <w:bookmarkEnd w:id="218"/>
      <w:bookmarkEnd w:id="219"/>
    </w:p>
    <w:p>
      <w:pPr>
        <w:pStyle w:val="5"/>
        <w:keepNext/>
        <w:keepLines/>
        <w:pageBreakBefore w:val="0"/>
        <w:widowControl w:val="0"/>
        <w:numPr>
          <w:ilvl w:val="1"/>
          <w:numId w:val="0"/>
        </w:numPr>
        <w:kinsoku/>
        <w:wordWrap/>
        <w:overflowPunct/>
        <w:topLinePunct w:val="0"/>
        <w:autoSpaceDE/>
        <w:autoSpaceDN/>
        <w:bidi w:val="0"/>
        <w:adjustRightInd/>
        <w:snapToGrid/>
        <w:spacing w:before="0" w:after="200"/>
        <w:ind w:leftChars="0"/>
        <w:jc w:val="both"/>
        <w:textAlignment w:val="auto"/>
        <w:rPr>
          <w:rFonts w:hint="eastAsia"/>
          <w:color w:val="auto"/>
          <w:highlight w:val="none"/>
          <w:lang w:val="en-US" w:eastAsia="zh-CN"/>
        </w:rPr>
      </w:pPr>
      <w:bookmarkStart w:id="220" w:name="_Toc15272"/>
      <w:bookmarkStart w:id="221" w:name="_Toc31170"/>
      <w:r>
        <w:rPr>
          <w:rFonts w:hint="eastAsia"/>
          <w:color w:val="auto"/>
          <w:highlight w:val="none"/>
          <w:lang w:val="en-US" w:eastAsia="zh-CN"/>
        </w:rPr>
        <w:t>4.1项目概况</w:t>
      </w:r>
      <w:bookmarkEnd w:id="220"/>
      <w:bookmarkEnd w:id="221"/>
    </w:p>
    <w:p>
      <w:pPr>
        <w:pStyle w:val="5"/>
        <w:numPr>
          <w:ilvl w:val="1"/>
          <w:numId w:val="0"/>
        </w:numPr>
        <w:ind w:leftChars="0"/>
        <w:rPr>
          <w:rFonts w:hint="default"/>
          <w:b w:val="0"/>
          <w:bCs w:val="0"/>
          <w:color w:val="auto"/>
          <w:sz w:val="28"/>
          <w:szCs w:val="28"/>
          <w:highlight w:val="none"/>
          <w:lang w:val="en-US" w:eastAsia="zh-CN"/>
        </w:rPr>
      </w:pPr>
      <w:r>
        <w:rPr>
          <w:rFonts w:hint="eastAsia"/>
          <w:b/>
          <w:bCs/>
          <w:color w:val="auto"/>
          <w:sz w:val="32"/>
          <w:szCs w:val="32"/>
          <w:highlight w:val="none"/>
          <w:lang w:val="en-US" w:eastAsia="zh-CN"/>
        </w:rPr>
        <w:t xml:space="preserve">  </w:t>
      </w:r>
      <w:bookmarkStart w:id="222" w:name="_Toc11481"/>
      <w:bookmarkStart w:id="223" w:name="_Toc14719"/>
      <w:bookmarkStart w:id="224" w:name="_Toc12952"/>
      <w:r>
        <w:rPr>
          <w:rFonts w:hint="eastAsia"/>
          <w:b w:val="0"/>
          <w:bCs w:val="0"/>
          <w:color w:val="auto"/>
          <w:sz w:val="28"/>
          <w:szCs w:val="28"/>
          <w:highlight w:val="none"/>
          <w:lang w:val="en-US" w:eastAsia="zh-CN"/>
        </w:rPr>
        <w:t>（一）名称：成都市温江区教育局特教学校功能室设备采购项目（包件2：心理咨询室、艺术治疗室和生活情景体验室设备采购）</w:t>
      </w:r>
      <w:bookmarkEnd w:id="222"/>
      <w:bookmarkEnd w:id="223"/>
      <w:bookmarkEnd w:id="224"/>
    </w:p>
    <w:p>
      <w:pPr>
        <w:pStyle w:val="5"/>
        <w:numPr>
          <w:ilvl w:val="1"/>
          <w:numId w:val="0"/>
        </w:numPr>
        <w:ind w:firstLine="280" w:firstLineChars="100"/>
        <w:rPr>
          <w:rFonts w:hint="eastAsia"/>
          <w:b w:val="0"/>
          <w:bCs w:val="0"/>
          <w:color w:val="auto"/>
          <w:sz w:val="28"/>
          <w:szCs w:val="28"/>
          <w:highlight w:val="none"/>
          <w:lang w:val="en-US" w:eastAsia="zh-CN"/>
        </w:rPr>
      </w:pPr>
      <w:bookmarkStart w:id="225" w:name="_Toc14840"/>
      <w:bookmarkStart w:id="226" w:name="_Toc32678"/>
      <w:bookmarkStart w:id="227" w:name="_Toc4648"/>
      <w:r>
        <w:rPr>
          <w:rFonts w:hint="eastAsia"/>
          <w:b w:val="0"/>
          <w:bCs w:val="0"/>
          <w:color w:val="auto"/>
          <w:sz w:val="28"/>
          <w:szCs w:val="28"/>
          <w:highlight w:val="none"/>
          <w:lang w:val="en-US" w:eastAsia="zh-CN"/>
        </w:rPr>
        <w:t>（二）数量：一批</w:t>
      </w:r>
      <w:bookmarkEnd w:id="225"/>
      <w:bookmarkEnd w:id="226"/>
      <w:bookmarkEnd w:id="227"/>
      <w:r>
        <w:rPr>
          <w:rFonts w:hint="eastAsia"/>
          <w:b w:val="0"/>
          <w:bCs w:val="0"/>
          <w:color w:val="auto"/>
          <w:sz w:val="28"/>
          <w:szCs w:val="28"/>
          <w:highlight w:val="none"/>
          <w:lang w:val="en-US" w:eastAsia="zh-CN"/>
        </w:rPr>
        <w:t xml:space="preserve"> </w:t>
      </w:r>
    </w:p>
    <w:p>
      <w:pPr>
        <w:pStyle w:val="5"/>
        <w:numPr>
          <w:ilvl w:val="1"/>
          <w:numId w:val="0"/>
        </w:numPr>
        <w:spacing w:before="0" w:after="200"/>
        <w:ind w:leftChars="0" w:firstLine="280" w:firstLineChars="100"/>
        <w:jc w:val="both"/>
        <w:rPr>
          <w:rFonts w:hint="eastAsia"/>
          <w:b w:val="0"/>
          <w:bCs w:val="0"/>
          <w:color w:val="auto"/>
          <w:sz w:val="28"/>
          <w:szCs w:val="28"/>
          <w:highlight w:val="none"/>
          <w:lang w:val="en-US" w:eastAsia="zh-CN"/>
        </w:rPr>
      </w:pPr>
      <w:bookmarkStart w:id="228" w:name="_Toc3682"/>
      <w:bookmarkStart w:id="229" w:name="_Toc24867"/>
      <w:bookmarkStart w:id="230" w:name="_Toc5488"/>
      <w:r>
        <w:rPr>
          <w:rFonts w:hint="eastAsia"/>
          <w:b w:val="0"/>
          <w:bCs w:val="0"/>
          <w:color w:val="auto"/>
          <w:sz w:val="28"/>
          <w:szCs w:val="28"/>
          <w:highlight w:val="none"/>
          <w:lang w:val="en-US" w:eastAsia="zh-CN"/>
        </w:rPr>
        <w:t>（三）用途的简要说明：特殊教育学校心理咨询室、艺术治疗室和生活情景体验室教育教学专用设备。</w:t>
      </w:r>
      <w:bookmarkEnd w:id="228"/>
      <w:bookmarkEnd w:id="229"/>
      <w:bookmarkEnd w:id="230"/>
    </w:p>
    <w:p>
      <w:pPr>
        <w:pStyle w:val="5"/>
        <w:numPr>
          <w:ilvl w:val="1"/>
          <w:numId w:val="0"/>
        </w:numPr>
        <w:spacing w:before="0" w:after="200"/>
        <w:ind w:leftChars="0"/>
        <w:jc w:val="both"/>
        <w:rPr>
          <w:rFonts w:hint="eastAsia"/>
          <w:color w:val="auto"/>
          <w:highlight w:val="none"/>
          <w:lang w:val="en-US" w:eastAsia="zh-CN"/>
        </w:rPr>
      </w:pPr>
      <w:bookmarkStart w:id="231" w:name="_Toc7690"/>
      <w:bookmarkStart w:id="232" w:name="_Toc9502"/>
      <w:r>
        <w:rPr>
          <w:rFonts w:hint="eastAsia"/>
          <w:color w:val="auto"/>
          <w:highlight w:val="none"/>
          <w:lang w:val="en-US" w:eastAsia="zh-CN"/>
        </w:rPr>
        <w:t>4.2技术参数及要求</w:t>
      </w:r>
      <w:bookmarkEnd w:id="231"/>
      <w:bookmarkEnd w:id="232"/>
    </w:p>
    <w:p>
      <w:pPr>
        <w:pStyle w:val="5"/>
        <w:numPr>
          <w:ilvl w:val="1"/>
          <w:numId w:val="0"/>
        </w:numPr>
        <w:spacing w:before="0" w:after="200"/>
        <w:ind w:leftChars="0" w:firstLine="562" w:firstLineChars="200"/>
        <w:jc w:val="both"/>
        <w:rPr>
          <w:rFonts w:hint="eastAsia" w:ascii="宋体" w:hAnsi="宋体" w:eastAsia="宋体" w:cs="宋体"/>
          <w:b/>
          <w:bCs/>
          <w:color w:val="auto"/>
          <w:sz w:val="28"/>
          <w:szCs w:val="28"/>
          <w:highlight w:val="none"/>
          <w:lang w:val="en-US" w:eastAsia="zh-CN"/>
        </w:rPr>
      </w:pPr>
      <w:bookmarkStart w:id="233" w:name="_Toc23851"/>
      <w:bookmarkStart w:id="234" w:name="_Toc1695"/>
      <w:bookmarkStart w:id="235" w:name="_Toc27445"/>
      <w:r>
        <w:rPr>
          <w:rFonts w:hint="eastAsia" w:ascii="宋体" w:hAnsi="宋体" w:eastAsia="宋体" w:cs="宋体"/>
          <w:b/>
          <w:bCs/>
          <w:color w:val="auto"/>
          <w:sz w:val="28"/>
          <w:szCs w:val="28"/>
          <w:highlight w:val="none"/>
          <w:lang w:val="en-US" w:eastAsia="zh-CN"/>
        </w:rPr>
        <w:t>1.</w:t>
      </w:r>
      <w:r>
        <w:rPr>
          <w:rFonts w:hint="eastAsia"/>
          <w:b/>
          <w:bCs/>
          <w:color w:val="auto"/>
          <w:sz w:val="28"/>
          <w:szCs w:val="28"/>
          <w:highlight w:val="none"/>
          <w:lang w:val="en-US" w:eastAsia="zh-CN"/>
        </w:rPr>
        <w:t>核心产品</w:t>
      </w:r>
      <w:r>
        <w:rPr>
          <w:rFonts w:hint="eastAsia" w:ascii="宋体" w:hAnsi="宋体" w:eastAsia="宋体" w:cs="宋体"/>
          <w:b/>
          <w:bCs/>
          <w:color w:val="auto"/>
          <w:sz w:val="28"/>
          <w:szCs w:val="28"/>
          <w:highlight w:val="none"/>
          <w:lang w:val="en-US" w:eastAsia="zh-CN"/>
        </w:rPr>
        <w:t>：音乐魔方。</w:t>
      </w:r>
      <w:bookmarkEnd w:id="233"/>
      <w:bookmarkEnd w:id="234"/>
      <w:bookmarkEnd w:id="235"/>
    </w:p>
    <w:p>
      <w:pPr>
        <w:pStyle w:val="5"/>
        <w:numPr>
          <w:ilvl w:val="1"/>
          <w:numId w:val="0"/>
        </w:numPr>
        <w:spacing w:before="0" w:after="200"/>
        <w:ind w:leftChars="0" w:firstLine="560" w:firstLineChars="200"/>
        <w:jc w:val="both"/>
        <w:rPr>
          <w:rFonts w:hint="default" w:ascii="Times New Roman" w:hAnsi="Times New Roman" w:cs="Times New Roman"/>
          <w:sz w:val="20"/>
          <w:szCs w:val="18"/>
          <w:lang w:val="en-US"/>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558" w:bottom="1440" w:left="1276" w:header="851" w:footer="992" w:gutter="0"/>
          <w:cols w:space="720" w:num="1"/>
          <w:docGrid w:type="lines" w:linePitch="312" w:charSpace="0"/>
        </w:sectPr>
      </w:pPr>
      <w:bookmarkStart w:id="236" w:name="_Toc8355"/>
      <w:bookmarkStart w:id="237" w:name="_Toc12395"/>
      <w:bookmarkStart w:id="238" w:name="_Toc13436"/>
      <w:r>
        <w:rPr>
          <w:rFonts w:hint="eastAsia"/>
          <w:b w:val="0"/>
          <w:bCs w:val="0"/>
          <w:color w:val="auto"/>
          <w:sz w:val="28"/>
          <w:szCs w:val="28"/>
          <w:highlight w:val="none"/>
          <w:lang w:val="en-US" w:eastAsia="zh-CN"/>
        </w:rPr>
        <w:t>2.详见附件《成都市温江区教育局特教学校功能室设备采购技术方案》</w:t>
      </w:r>
      <w:bookmarkEnd w:id="236"/>
      <w:bookmarkEnd w:id="237"/>
      <w:r>
        <w:rPr>
          <w:rFonts w:hint="eastAsia" w:cs="宋体"/>
          <w:b w:val="0"/>
          <w:bCs/>
          <w:color w:val="auto"/>
          <w:sz w:val="28"/>
          <w:szCs w:val="28"/>
          <w:highlight w:val="none"/>
          <w:lang w:val="en-US" w:eastAsia="zh-CN"/>
        </w:rPr>
        <w:t>中包件2的设备清单。</w:t>
      </w:r>
      <w:bookmarkEnd w:id="238"/>
    </w:p>
    <w:p>
      <w:pPr>
        <w:pStyle w:val="6"/>
        <w:numPr>
          <w:ilvl w:val="2"/>
          <w:numId w:val="0"/>
        </w:numPr>
        <w:ind w:leftChars="0"/>
        <w:rPr>
          <w:rFonts w:hint="eastAsia" w:ascii="宋体" w:hAnsi="宋体" w:eastAsia="宋体" w:cs="Times New Roman"/>
          <w:b/>
          <w:bCs/>
          <w:iCs/>
          <w:color w:val="auto"/>
          <w:kern w:val="0"/>
          <w:sz w:val="28"/>
          <w:szCs w:val="28"/>
          <w:highlight w:val="none"/>
          <w:lang w:val="en-US" w:eastAsia="zh-CN" w:bidi="ar-SA"/>
        </w:rPr>
      </w:pPr>
      <w:bookmarkStart w:id="239" w:name="_Toc21817"/>
      <w:bookmarkStart w:id="240" w:name="_Toc27089"/>
      <w:r>
        <w:rPr>
          <w:rFonts w:hint="eastAsia" w:ascii="宋体" w:hAnsi="宋体" w:eastAsia="宋体" w:cs="Times New Roman"/>
          <w:b/>
          <w:bCs/>
          <w:iCs/>
          <w:color w:val="auto"/>
          <w:kern w:val="0"/>
          <w:sz w:val="28"/>
          <w:szCs w:val="28"/>
          <w:highlight w:val="none"/>
          <w:lang w:val="en-US" w:eastAsia="zh-CN" w:bidi="ar-SA"/>
        </w:rPr>
        <w:t>4.3建设周期</w:t>
      </w:r>
      <w:bookmarkEnd w:id="239"/>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乙方在签订合同</w:t>
      </w:r>
      <w:r>
        <w:rPr>
          <w:rFonts w:hint="eastAsia" w:ascii="宋体" w:hAnsi="宋体" w:eastAsia="宋体" w:cs="Times New Roman"/>
          <w:b/>
          <w:bCs/>
          <w:iCs/>
          <w:color w:val="auto"/>
          <w:kern w:val="0"/>
          <w:sz w:val="28"/>
          <w:szCs w:val="28"/>
          <w:highlight w:val="none"/>
          <w:lang w:val="en-US" w:eastAsia="zh-CN" w:bidi="ar-SA"/>
        </w:rPr>
        <w:t>30个日历日</w:t>
      </w:r>
      <w:r>
        <w:rPr>
          <w:rFonts w:hint="eastAsia" w:ascii="宋体" w:hAnsi="宋体" w:eastAsia="宋体" w:cs="Times New Roman"/>
          <w:b w:val="0"/>
          <w:bCs w:val="0"/>
          <w:iCs/>
          <w:color w:val="auto"/>
          <w:kern w:val="0"/>
          <w:sz w:val="28"/>
          <w:szCs w:val="28"/>
          <w:highlight w:val="none"/>
          <w:lang w:val="en-US" w:eastAsia="zh-CN" w:bidi="ar-SA"/>
        </w:rPr>
        <w:t>内按甲方指定的方式将货物送到温江区特殊教育学校，交付时附详细的设备签收单，并按照学校要求安装、调试好设备，使设备达到正常使用状态。</w:t>
      </w:r>
    </w:p>
    <w:p>
      <w:pPr>
        <w:pStyle w:val="5"/>
        <w:numPr>
          <w:ilvl w:val="1"/>
          <w:numId w:val="0"/>
        </w:numPr>
        <w:spacing w:before="0" w:after="200"/>
        <w:ind w:leftChars="0"/>
        <w:jc w:val="both"/>
        <w:rPr>
          <w:rFonts w:hint="eastAsia" w:ascii="宋体" w:hAnsi="宋体" w:eastAsia="宋体" w:cs="Times New Roman"/>
          <w:color w:val="auto"/>
          <w:highlight w:val="none"/>
          <w:lang w:val="en-US" w:eastAsia="zh-CN"/>
        </w:rPr>
      </w:pPr>
      <w:bookmarkStart w:id="241" w:name="_Toc20412"/>
      <w:r>
        <w:rPr>
          <w:rFonts w:hint="eastAsia"/>
          <w:color w:val="auto"/>
          <w:highlight w:val="none"/>
          <w:lang w:val="en-US" w:eastAsia="zh-CN"/>
        </w:rPr>
        <w:t>4.4</w:t>
      </w:r>
      <w:r>
        <w:rPr>
          <w:rFonts w:hint="eastAsia" w:ascii="宋体" w:hAnsi="宋体" w:eastAsia="宋体" w:cs="Times New Roman"/>
          <w:color w:val="auto"/>
          <w:highlight w:val="none"/>
          <w:lang w:val="en-US" w:eastAsia="zh-CN"/>
        </w:rPr>
        <w:t>履约验收要求</w:t>
      </w:r>
      <w:bookmarkEnd w:id="241"/>
    </w:p>
    <w:p>
      <w:pPr>
        <w:ind w:firstLine="560" w:firstLineChars="200"/>
        <w:rPr>
          <w:rFonts w:hint="eastAsia" w:ascii="宋体" w:hAnsi="宋体" w:eastAsia="宋体" w:cs="Times New Roman"/>
          <w:b/>
          <w:bCs/>
          <w:iCs/>
          <w:color w:val="auto"/>
          <w:kern w:val="0"/>
          <w:sz w:val="28"/>
          <w:szCs w:val="28"/>
          <w:highlight w:val="none"/>
          <w:lang w:val="zh-CN" w:eastAsia="zh-CN" w:bidi="ar-SA"/>
        </w:rPr>
      </w:pPr>
      <w:r>
        <w:rPr>
          <w:rFonts w:hint="default" w:ascii="宋体" w:hAnsi="宋体" w:eastAsia="宋体" w:cs="Times New Roman"/>
          <w:b w:val="0"/>
          <w:bCs w:val="0"/>
          <w:iCs/>
          <w:color w:val="auto"/>
          <w:kern w:val="0"/>
          <w:sz w:val="28"/>
          <w:szCs w:val="28"/>
          <w:highlight w:val="none"/>
          <w:lang w:val="en-US" w:eastAsia="zh-CN" w:bidi="ar-SA"/>
        </w:rPr>
        <w:t>★1、涉及实施、安装、环境打造的项目，设计图（效果图）由</w:t>
      </w:r>
      <w:r>
        <w:rPr>
          <w:rFonts w:hint="eastAsia" w:ascii="宋体" w:hAnsi="宋体" w:eastAsia="宋体" w:cs="Times New Roman"/>
          <w:b w:val="0"/>
          <w:bCs w:val="0"/>
          <w:iCs/>
          <w:color w:val="auto"/>
          <w:kern w:val="0"/>
          <w:sz w:val="28"/>
          <w:szCs w:val="28"/>
          <w:highlight w:val="none"/>
          <w:lang w:val="en-US" w:eastAsia="zh-CN" w:bidi="ar-SA"/>
        </w:rPr>
        <w:t>甲方</w:t>
      </w:r>
      <w:r>
        <w:rPr>
          <w:rFonts w:hint="default" w:ascii="宋体" w:hAnsi="宋体" w:eastAsia="宋体" w:cs="Times New Roman"/>
          <w:b w:val="0"/>
          <w:bCs w:val="0"/>
          <w:iCs/>
          <w:color w:val="auto"/>
          <w:kern w:val="0"/>
          <w:sz w:val="28"/>
          <w:szCs w:val="28"/>
          <w:highlight w:val="none"/>
          <w:lang w:val="en-US" w:eastAsia="zh-CN" w:bidi="ar-SA"/>
        </w:rPr>
        <w:t>确认后实施。</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ind w:firstLine="560" w:firstLineChars="200"/>
        <w:rPr>
          <w:rFonts w:hint="eastAsia" w:ascii="宋体" w:hAnsi="宋体" w:eastAsia="宋体" w:cs="Times New Roman"/>
          <w:b/>
          <w:bCs/>
          <w:iCs/>
          <w:color w:val="auto"/>
          <w:kern w:val="0"/>
          <w:sz w:val="28"/>
          <w:szCs w:val="28"/>
          <w:highlight w:val="none"/>
          <w:lang w:val="zh-CN" w:eastAsia="zh-CN" w:bidi="ar-SA"/>
        </w:rPr>
      </w:pPr>
      <w:r>
        <w:rPr>
          <w:rFonts w:hint="default" w:ascii="宋体" w:hAnsi="宋体" w:eastAsia="宋体" w:cs="Times New Roman"/>
          <w:b w:val="0"/>
          <w:bCs w:val="0"/>
          <w:iCs/>
          <w:color w:val="auto"/>
          <w:kern w:val="0"/>
          <w:sz w:val="28"/>
          <w:szCs w:val="28"/>
          <w:highlight w:val="none"/>
          <w:lang w:val="en-US" w:eastAsia="zh-CN" w:bidi="ar-SA"/>
        </w:rPr>
        <w:t>★2、实施前，供应商到学校确认货物的颜色和样式，在规定时间内按学校确认的颜色、样式送货到校，与学校一起确认货物的品牌、规格、型号、参数、数量、外观等，进行验货、签收。</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ind w:firstLine="560" w:firstLineChars="200"/>
        <w:rPr>
          <w:rFonts w:hint="default" w:ascii="宋体" w:hAnsi="宋体" w:eastAsia="宋体" w:cs="Times New Roman"/>
          <w:b/>
          <w:bCs/>
          <w:iCs/>
          <w:color w:val="auto"/>
          <w:kern w:val="0"/>
          <w:sz w:val="28"/>
          <w:szCs w:val="28"/>
          <w:highlight w:val="none"/>
          <w:lang w:val="en-US" w:eastAsia="zh-CN" w:bidi="ar-SA"/>
        </w:rPr>
      </w:pPr>
      <w:r>
        <w:rPr>
          <w:rFonts w:hint="default" w:ascii="宋体" w:hAnsi="宋体" w:eastAsia="宋体" w:cs="Times New Roman"/>
          <w:b w:val="0"/>
          <w:bCs w:val="0"/>
          <w:iCs/>
          <w:color w:val="auto"/>
          <w:kern w:val="0"/>
          <w:sz w:val="28"/>
          <w:szCs w:val="28"/>
          <w:highlight w:val="none"/>
          <w:lang w:val="en-US" w:eastAsia="zh-CN" w:bidi="ar-SA"/>
        </w:rPr>
        <w:t>★3、货物验收前，供应商聘请具有法定资格的第三方检测机构按照国家标准 GB/18883-2001，对心理咨询室、多感官虚拟互动区、感觉统合训练区实施空气质量检测，检测合格的同时出具书面检测报告，作为验收条件。</w:t>
      </w:r>
      <w:r>
        <w:rPr>
          <w:rFonts w:hint="eastAsia" w:ascii="宋体" w:hAnsi="宋体" w:eastAsia="宋体" w:cs="Times New Roman"/>
          <w:b/>
          <w:bCs/>
          <w:iCs/>
          <w:color w:val="auto"/>
          <w:kern w:val="0"/>
          <w:sz w:val="28"/>
          <w:szCs w:val="28"/>
          <w:highlight w:val="none"/>
          <w:lang w:val="zh-CN" w:eastAsia="zh-CN" w:bidi="ar-SA"/>
        </w:rPr>
        <w:t>（说明：供应商应按竞争性磋商文件3.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pStyle w:val="5"/>
        <w:numPr>
          <w:ilvl w:val="1"/>
          <w:numId w:val="0"/>
        </w:numPr>
        <w:spacing w:before="0" w:after="200"/>
        <w:ind w:left="-142" w:leftChars="0" w:firstLine="560" w:firstLineChars="200"/>
        <w:jc w:val="both"/>
        <w:rPr>
          <w:rFonts w:hint="default" w:ascii="宋体" w:hAnsi="宋体" w:eastAsia="宋体" w:cs="Times New Roman"/>
          <w:b w:val="0"/>
          <w:bCs w:val="0"/>
          <w:iCs/>
          <w:color w:val="auto"/>
          <w:kern w:val="0"/>
          <w:sz w:val="28"/>
          <w:szCs w:val="28"/>
          <w:highlight w:val="none"/>
          <w:lang w:val="en-US" w:eastAsia="zh-CN" w:bidi="ar-SA"/>
        </w:rPr>
      </w:pPr>
      <w:bookmarkStart w:id="242" w:name="_Toc4788"/>
      <w:r>
        <w:rPr>
          <w:rFonts w:hint="eastAsia" w:ascii="宋体" w:hAnsi="宋体" w:eastAsia="宋体" w:cs="Times New Roman"/>
          <w:b w:val="0"/>
          <w:bCs w:val="0"/>
          <w:iCs/>
          <w:color w:val="auto"/>
          <w:kern w:val="0"/>
          <w:sz w:val="28"/>
          <w:szCs w:val="28"/>
          <w:highlight w:val="none"/>
          <w:lang w:val="en-US" w:eastAsia="zh-CN" w:bidi="ar-SA"/>
        </w:rPr>
        <w:t>4、</w:t>
      </w:r>
      <w:r>
        <w:rPr>
          <w:rFonts w:hint="default" w:ascii="宋体" w:hAnsi="宋体" w:eastAsia="宋体" w:cs="Times New Roman"/>
          <w:b w:val="0"/>
          <w:bCs w:val="0"/>
          <w:iCs/>
          <w:color w:val="auto"/>
          <w:kern w:val="0"/>
          <w:sz w:val="28"/>
          <w:szCs w:val="28"/>
          <w:highlight w:val="none"/>
          <w:lang w:val="en-US" w:eastAsia="zh-CN" w:bidi="ar-SA"/>
        </w:rPr>
        <w:t>安装完成后对使用方进行操作培训，未发现任何问题，按照《关于进一步加强政府采购需求和履约验收管理的指导意见》（财库〔2016〕205号）的要求进行最终验收。</w:t>
      </w:r>
      <w:bookmarkEnd w:id="242"/>
    </w:p>
    <w:p>
      <w:pPr>
        <w:pStyle w:val="5"/>
        <w:numPr>
          <w:ilvl w:val="1"/>
          <w:numId w:val="0"/>
        </w:numPr>
        <w:spacing w:before="0" w:after="200"/>
        <w:ind w:leftChars="0"/>
        <w:jc w:val="both"/>
        <w:rPr>
          <w:rFonts w:hint="default" w:ascii="宋体" w:hAnsi="宋体" w:eastAsia="宋体" w:cs="Times New Roman"/>
          <w:color w:val="auto"/>
          <w:highlight w:val="none"/>
          <w:lang w:val="en-US" w:eastAsia="zh-CN"/>
        </w:rPr>
      </w:pPr>
      <w:bookmarkStart w:id="243" w:name="_Toc6201"/>
      <w:r>
        <w:rPr>
          <w:rFonts w:hint="eastAsia" w:ascii="宋体" w:hAnsi="宋体" w:eastAsia="宋体" w:cs="Times New Roman"/>
          <w:color w:val="auto"/>
          <w:highlight w:val="none"/>
          <w:lang w:val="en-US" w:eastAsia="zh-CN"/>
        </w:rPr>
        <w:t>★4.5售后服务要求</w:t>
      </w:r>
      <w:bookmarkEnd w:id="243"/>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1、验收合格后</w:t>
      </w:r>
      <w:r>
        <w:rPr>
          <w:rFonts w:hint="eastAsia" w:ascii="宋体" w:hAnsi="宋体" w:eastAsia="宋体" w:cs="Times New Roman"/>
          <w:b/>
          <w:bCs/>
          <w:iCs/>
          <w:color w:val="auto"/>
          <w:kern w:val="0"/>
          <w:sz w:val="28"/>
          <w:szCs w:val="28"/>
          <w:highlight w:val="none"/>
          <w:lang w:val="en-US" w:eastAsia="zh-CN" w:bidi="ar-SA"/>
        </w:rPr>
        <w:t>三年</w:t>
      </w:r>
      <w:r>
        <w:rPr>
          <w:rFonts w:hint="eastAsia" w:ascii="宋体" w:hAnsi="宋体" w:eastAsia="宋体" w:cs="Times New Roman"/>
          <w:b w:val="0"/>
          <w:bCs w:val="0"/>
          <w:iCs/>
          <w:color w:val="auto"/>
          <w:kern w:val="0"/>
          <w:sz w:val="28"/>
          <w:szCs w:val="28"/>
          <w:highlight w:val="none"/>
          <w:lang w:val="en-US" w:eastAsia="zh-CN" w:bidi="ar-SA"/>
        </w:rPr>
        <w:t>为质保期。</w:t>
      </w:r>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2、质保期内，供应商提供产品正常使用情况下的维修及维护服务。维修、维护应在10分钟内响应、2小时内到场、4小时内解决。同一产品、同一质量问题连续两次维修仍无法正常使用的须更换同品牌、同型号的新产品，并对产品质量实行“三包”。</w:t>
      </w:r>
    </w:p>
    <w:p>
      <w:pPr>
        <w:ind w:firstLine="560" w:firstLineChars="200"/>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3、质保期外，提供产品的更换、维修只收取配件成本费用，不再收取人工技术费用。</w:t>
      </w:r>
    </w:p>
    <w:p>
      <w:pPr>
        <w:ind w:firstLine="562" w:firstLineChars="200"/>
        <w:rPr>
          <w:rFonts w:hint="eastAsia" w:ascii="宋体" w:hAnsi="宋体" w:eastAsia="宋体" w:cs="Times New Roman"/>
          <w:b/>
          <w:bCs/>
          <w:iCs/>
          <w:color w:val="auto"/>
          <w:kern w:val="0"/>
          <w:sz w:val="28"/>
          <w:szCs w:val="28"/>
          <w:highlight w:val="none"/>
          <w:lang w:val="en-US" w:eastAsia="zh-CN" w:bidi="ar-SA"/>
        </w:rPr>
      </w:pPr>
      <w:r>
        <w:rPr>
          <w:rFonts w:hint="eastAsia" w:ascii="宋体" w:hAnsi="宋体" w:eastAsia="宋体" w:cs="Times New Roman"/>
          <w:b/>
          <w:bCs/>
          <w:iCs/>
          <w:color w:val="auto"/>
          <w:kern w:val="0"/>
          <w:sz w:val="28"/>
          <w:szCs w:val="28"/>
          <w:highlight w:val="none"/>
          <w:lang w:val="zh-CN" w:eastAsia="zh-CN" w:bidi="ar-SA"/>
        </w:rPr>
        <w:t>（说明：</w:t>
      </w:r>
      <w:r>
        <w:rPr>
          <w:rFonts w:hint="eastAsia" w:ascii="宋体" w:hAnsi="宋体" w:eastAsia="宋体" w:cs="Times New Roman"/>
          <w:b/>
          <w:bCs/>
          <w:iCs/>
          <w:color w:val="auto"/>
          <w:kern w:val="0"/>
          <w:sz w:val="28"/>
          <w:szCs w:val="28"/>
          <w:highlight w:val="none"/>
          <w:lang w:val="en-US" w:eastAsia="zh-CN" w:bidi="ar-SA"/>
        </w:rPr>
        <w:t>以上1-3条</w:t>
      </w:r>
      <w:r>
        <w:rPr>
          <w:rFonts w:hint="eastAsia" w:ascii="宋体" w:hAnsi="宋体" w:eastAsia="宋体" w:cs="Times New Roman"/>
          <w:b/>
          <w:bCs/>
          <w:iCs/>
          <w:color w:val="auto"/>
          <w:kern w:val="0"/>
          <w:sz w:val="28"/>
          <w:szCs w:val="28"/>
          <w:highlight w:val="none"/>
          <w:lang w:val="zh-CN" w:eastAsia="zh-CN" w:bidi="ar-SA"/>
        </w:rPr>
        <w:t>供应商应按竞争性磋商文件3.</w:t>
      </w:r>
      <w:r>
        <w:rPr>
          <w:rFonts w:hint="eastAsia" w:ascii="宋体" w:hAnsi="宋体" w:eastAsia="宋体" w:cs="Times New Roman"/>
          <w:b/>
          <w:bCs/>
          <w:iCs/>
          <w:color w:val="auto"/>
          <w:kern w:val="0"/>
          <w:sz w:val="28"/>
          <w:szCs w:val="28"/>
          <w:highlight w:val="none"/>
          <w:lang w:val="en-US" w:eastAsia="zh-CN" w:bidi="ar-SA"/>
        </w:rPr>
        <w:t>2</w:t>
      </w:r>
      <w:r>
        <w:rPr>
          <w:rFonts w:hint="eastAsia" w:ascii="宋体" w:hAnsi="宋体" w:eastAsia="宋体" w:cs="Times New Roman"/>
          <w:b/>
          <w:bCs/>
          <w:iCs/>
          <w:color w:val="auto"/>
          <w:kern w:val="0"/>
          <w:sz w:val="28"/>
          <w:szCs w:val="28"/>
          <w:highlight w:val="none"/>
          <w:lang w:val="zh-CN" w:eastAsia="zh-CN" w:bidi="ar-SA"/>
        </w:rPr>
        <w:t>.</w:t>
      </w:r>
      <w:r>
        <w:rPr>
          <w:rFonts w:hint="eastAsia" w:ascii="宋体" w:hAnsi="宋体" w:eastAsia="宋体" w:cs="Times New Roman"/>
          <w:b/>
          <w:bCs/>
          <w:iCs/>
          <w:color w:val="auto"/>
          <w:kern w:val="0"/>
          <w:sz w:val="28"/>
          <w:szCs w:val="28"/>
          <w:highlight w:val="none"/>
          <w:lang w:val="en-US" w:eastAsia="zh-CN" w:bidi="ar-SA"/>
        </w:rPr>
        <w:t>10</w:t>
      </w:r>
      <w:r>
        <w:rPr>
          <w:rFonts w:hint="eastAsia" w:ascii="宋体" w:hAnsi="宋体" w:eastAsia="宋体" w:cs="Times New Roman"/>
          <w:b/>
          <w:bCs/>
          <w:iCs/>
          <w:color w:val="auto"/>
          <w:kern w:val="0"/>
          <w:sz w:val="28"/>
          <w:szCs w:val="28"/>
          <w:highlight w:val="none"/>
          <w:lang w:val="zh-CN" w:eastAsia="zh-CN" w:bidi="ar-SA"/>
        </w:rPr>
        <w:t>承诺函的格式及要求提供承诺函。）</w:t>
      </w:r>
    </w:p>
    <w:p>
      <w:pPr>
        <w:pStyle w:val="5"/>
        <w:pageBreakBefore w:val="0"/>
        <w:widowControl w:val="0"/>
        <w:numPr>
          <w:ilvl w:val="1"/>
          <w:numId w:val="0"/>
        </w:numPr>
        <w:kinsoku/>
        <w:wordWrap/>
        <w:overflowPunct/>
        <w:topLinePunct w:val="0"/>
        <w:autoSpaceDE/>
        <w:autoSpaceDN/>
        <w:bidi w:val="0"/>
        <w:adjustRightInd/>
        <w:snapToGrid/>
        <w:spacing w:before="0" w:beforeLines="0" w:after="0" w:afterLines="0"/>
        <w:ind w:leftChars="0"/>
        <w:jc w:val="both"/>
        <w:textAlignment w:val="auto"/>
        <w:rPr>
          <w:rFonts w:hint="eastAsia"/>
          <w:color w:val="auto"/>
          <w:highlight w:val="none"/>
          <w:lang w:val="en-US" w:eastAsia="zh-CN"/>
        </w:rPr>
      </w:pPr>
      <w:bookmarkStart w:id="244" w:name="_Toc10897"/>
      <w:r>
        <w:rPr>
          <w:rFonts w:hint="eastAsia"/>
          <w:color w:val="auto"/>
          <w:highlight w:val="none"/>
          <w:lang w:val="en-US" w:eastAsia="zh-CN"/>
        </w:rPr>
        <w:t>4.6商务要求</w:t>
      </w:r>
      <w:bookmarkEnd w:id="244"/>
    </w:p>
    <w:p>
      <w:pPr>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eastAsia="宋体" w:cs="Times New Roman"/>
          <w:b w:val="0"/>
          <w:bCs w:val="0"/>
          <w:iCs/>
          <w:color w:val="auto"/>
          <w:kern w:val="0"/>
          <w:sz w:val="28"/>
          <w:szCs w:val="28"/>
          <w:highlight w:val="none"/>
          <w:lang w:val="en-US" w:eastAsia="zh-CN" w:bidi="ar-SA"/>
        </w:rPr>
      </w:pPr>
      <w:r>
        <w:rPr>
          <w:rFonts w:hint="default" w:ascii="宋体" w:hAnsi="宋体" w:eastAsia="宋体" w:cs="Times New Roman"/>
          <w:b w:val="0"/>
          <w:bCs w:val="0"/>
          <w:iCs/>
          <w:color w:val="auto"/>
          <w:kern w:val="0"/>
          <w:sz w:val="28"/>
          <w:szCs w:val="28"/>
          <w:highlight w:val="none"/>
          <w:lang w:val="en-US" w:eastAsia="zh-CN" w:bidi="ar-SA"/>
        </w:rPr>
        <w:t>合同价款支付方式和条件：投标报价含运输、送货、安装、售后服务、抽样送检、放置场所空气质量检测、治理等所有费用。签订合同</w:t>
      </w:r>
      <w:r>
        <w:rPr>
          <w:rFonts w:hint="eastAsia" w:cs="Times New Roman"/>
          <w:b w:val="0"/>
          <w:bCs w:val="0"/>
          <w:iCs/>
          <w:color w:val="auto"/>
          <w:kern w:val="0"/>
          <w:sz w:val="28"/>
          <w:szCs w:val="28"/>
          <w:highlight w:val="none"/>
          <w:lang w:val="en-US" w:eastAsia="zh-CN" w:bidi="ar-SA"/>
        </w:rPr>
        <w:t>后</w:t>
      </w:r>
      <w:r>
        <w:rPr>
          <w:rFonts w:hint="default" w:ascii="宋体" w:hAnsi="宋体" w:eastAsia="宋体" w:cs="Times New Roman"/>
          <w:b w:val="0"/>
          <w:bCs w:val="0"/>
          <w:iCs/>
          <w:color w:val="auto"/>
          <w:kern w:val="0"/>
          <w:sz w:val="28"/>
          <w:szCs w:val="28"/>
          <w:highlight w:val="none"/>
          <w:lang w:val="en-US" w:eastAsia="zh-CN" w:bidi="ar-SA"/>
        </w:rPr>
        <w:t>交纳合同总金额的5%作为履约保证金，合同签订生效后，乙方根据甲方工程进度，将货物送到学校，</w:t>
      </w:r>
      <w:r>
        <w:rPr>
          <w:rFonts w:hint="eastAsia" w:ascii="宋体" w:hAnsi="宋体" w:eastAsia="宋体" w:cs="Times New Roman"/>
          <w:b w:val="0"/>
          <w:bCs w:val="0"/>
          <w:iCs/>
          <w:color w:val="auto"/>
          <w:kern w:val="0"/>
          <w:sz w:val="28"/>
          <w:szCs w:val="28"/>
          <w:highlight w:val="none"/>
          <w:lang w:val="en-US" w:eastAsia="zh-CN" w:bidi="ar-SA"/>
        </w:rPr>
        <w:t>甲方</w:t>
      </w:r>
      <w:r>
        <w:rPr>
          <w:rFonts w:hint="default" w:ascii="宋体" w:hAnsi="宋体" w:eastAsia="宋体" w:cs="Times New Roman"/>
          <w:b w:val="0"/>
          <w:bCs w:val="0"/>
          <w:iCs/>
          <w:color w:val="auto"/>
          <w:kern w:val="0"/>
          <w:sz w:val="28"/>
          <w:szCs w:val="28"/>
          <w:highlight w:val="none"/>
          <w:lang w:val="en-US" w:eastAsia="zh-CN" w:bidi="ar-SA"/>
        </w:rPr>
        <w:t>签收完毕</w:t>
      </w:r>
      <w:r>
        <w:rPr>
          <w:rFonts w:hint="eastAsia" w:ascii="宋体" w:hAnsi="宋体" w:eastAsia="宋体" w:cs="Times New Roman"/>
          <w:b w:val="0"/>
          <w:bCs w:val="0"/>
          <w:iCs/>
          <w:color w:val="auto"/>
          <w:kern w:val="0"/>
          <w:sz w:val="28"/>
          <w:szCs w:val="28"/>
          <w:highlight w:val="none"/>
          <w:lang w:val="en-US" w:eastAsia="zh-CN" w:bidi="ar-SA"/>
        </w:rPr>
        <w:t>后</w:t>
      </w:r>
      <w:r>
        <w:rPr>
          <w:rFonts w:hint="default" w:ascii="宋体" w:hAnsi="宋体" w:eastAsia="宋体" w:cs="Times New Roman"/>
          <w:b w:val="0"/>
          <w:bCs w:val="0"/>
          <w:iCs/>
          <w:color w:val="auto"/>
          <w:kern w:val="0"/>
          <w:sz w:val="28"/>
          <w:szCs w:val="28"/>
          <w:highlight w:val="none"/>
          <w:lang w:val="en-US" w:eastAsia="zh-CN" w:bidi="ar-SA"/>
        </w:rPr>
        <w:t>，支付不低于中标金额的30%</w:t>
      </w:r>
      <w:r>
        <w:rPr>
          <w:rFonts w:hint="eastAsia" w:ascii="宋体" w:hAnsi="宋体" w:eastAsia="宋体" w:cs="Times New Roman"/>
          <w:b w:val="0"/>
          <w:bCs w:val="0"/>
          <w:iCs/>
          <w:color w:val="auto"/>
          <w:kern w:val="0"/>
          <w:sz w:val="28"/>
          <w:szCs w:val="28"/>
          <w:highlight w:val="none"/>
          <w:lang w:val="en-US" w:eastAsia="zh-CN" w:bidi="ar-SA"/>
        </w:rPr>
        <w:t>给乙方。</w:t>
      </w:r>
      <w:r>
        <w:rPr>
          <w:rFonts w:hint="default" w:ascii="宋体" w:hAnsi="宋体" w:eastAsia="宋体" w:cs="Times New Roman"/>
          <w:b w:val="0"/>
          <w:bCs w:val="0"/>
          <w:iCs/>
          <w:color w:val="auto"/>
          <w:kern w:val="0"/>
          <w:sz w:val="28"/>
          <w:szCs w:val="28"/>
          <w:highlight w:val="none"/>
          <w:lang w:val="en-US" w:eastAsia="zh-CN" w:bidi="ar-SA"/>
        </w:rPr>
        <w:t>2021年度最高不超过人民币200万元（其中，包件1最高支付140万元</w:t>
      </w:r>
      <w:r>
        <w:rPr>
          <w:rFonts w:hint="eastAsia" w:ascii="宋体" w:hAnsi="宋体" w:eastAsia="宋体" w:cs="Times New Roman"/>
          <w:b w:val="0"/>
          <w:bCs w:val="0"/>
          <w:iCs/>
          <w:color w:val="auto"/>
          <w:kern w:val="0"/>
          <w:sz w:val="28"/>
          <w:szCs w:val="28"/>
          <w:highlight w:val="none"/>
          <w:lang w:val="en-US" w:eastAsia="zh-CN" w:bidi="ar-SA"/>
        </w:rPr>
        <w:t>，包件2最高支付60万元</w:t>
      </w:r>
      <w:r>
        <w:rPr>
          <w:rFonts w:hint="default" w:ascii="宋体" w:hAnsi="宋体" w:eastAsia="宋体" w:cs="Times New Roman"/>
          <w:b w:val="0"/>
          <w:bCs w:val="0"/>
          <w:iCs/>
          <w:color w:val="auto"/>
          <w:kern w:val="0"/>
          <w:sz w:val="28"/>
          <w:szCs w:val="28"/>
          <w:highlight w:val="none"/>
          <w:lang w:val="en-US" w:eastAsia="zh-CN" w:bidi="ar-SA"/>
        </w:rPr>
        <w:t>），验收合格后2022年支付余款。验收合格12个月后无质量问题，30个日历日内通过原渠道无息退还履约保证金。</w:t>
      </w:r>
    </w:p>
    <w:p>
      <w:pPr>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宋体" w:eastAsia="宋体" w:cs="Times New Roman"/>
          <w:b/>
          <w:bCs/>
          <w:iCs/>
          <w:color w:val="auto"/>
          <w:kern w:val="0"/>
          <w:sz w:val="28"/>
          <w:szCs w:val="28"/>
          <w:highlight w:val="none"/>
          <w:lang w:val="en-US" w:eastAsia="zh-CN" w:bidi="ar-SA"/>
        </w:rPr>
      </w:pPr>
      <w:r>
        <w:rPr>
          <w:rFonts w:hint="eastAsia" w:ascii="宋体" w:hAnsi="宋体" w:eastAsia="宋体" w:cs="Times New Roman"/>
          <w:b/>
          <w:bCs/>
          <w:iCs/>
          <w:color w:val="auto"/>
          <w:kern w:val="0"/>
          <w:sz w:val="28"/>
          <w:szCs w:val="28"/>
          <w:highlight w:val="none"/>
          <w:lang w:val="en-US" w:eastAsia="zh-CN" w:bidi="ar-SA"/>
        </w:rPr>
        <w:t>4.</w:t>
      </w:r>
      <w:r>
        <w:rPr>
          <w:rFonts w:hint="eastAsia" w:cs="Times New Roman"/>
          <w:b/>
          <w:bCs/>
          <w:iCs/>
          <w:color w:val="auto"/>
          <w:kern w:val="0"/>
          <w:sz w:val="28"/>
          <w:szCs w:val="28"/>
          <w:highlight w:val="none"/>
          <w:lang w:val="en-US" w:eastAsia="zh-CN" w:bidi="ar-SA"/>
        </w:rPr>
        <w:t>7</w:t>
      </w:r>
      <w:r>
        <w:rPr>
          <w:rFonts w:hint="eastAsia" w:ascii="宋体" w:hAnsi="宋体" w:eastAsia="宋体" w:cs="Times New Roman"/>
          <w:b/>
          <w:bCs/>
          <w:iCs/>
          <w:color w:val="auto"/>
          <w:kern w:val="0"/>
          <w:sz w:val="28"/>
          <w:szCs w:val="28"/>
          <w:highlight w:val="none"/>
          <w:lang w:val="en-US" w:eastAsia="zh-CN" w:bidi="ar-SA"/>
        </w:rPr>
        <w:t>其他要求</w:t>
      </w:r>
      <w:bookmarkEnd w:id="240"/>
      <w:bookmarkStart w:id="245" w:name="_Toc29073"/>
      <w:bookmarkStart w:id="246" w:name="_Toc26511"/>
    </w:p>
    <w:p>
      <w:pPr>
        <w:pageBreakBefore w:val="0"/>
        <w:widowControl w:val="0"/>
        <w:numPr>
          <w:ilvl w:val="0"/>
          <w:numId w:val="15"/>
        </w:numPr>
        <w:kinsoku/>
        <w:wordWrap/>
        <w:overflowPunct/>
        <w:topLinePunct w:val="0"/>
        <w:autoSpaceDE/>
        <w:autoSpaceDN/>
        <w:bidi w:val="0"/>
        <w:adjustRightInd/>
        <w:snapToGrid/>
        <w:ind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在评审过程中，磋商小组认为供应商最后报价明显低于其他通过符合性审查供应商的最后报价，有可能影响服务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bookmarkEnd w:id="245"/>
      <w:bookmarkEnd w:id="246"/>
      <w:bookmarkStart w:id="247" w:name="_Toc22828"/>
      <w:bookmarkStart w:id="248" w:name="_Toc22980"/>
    </w:p>
    <w:p>
      <w:pPr>
        <w:pageBreakBefore w:val="0"/>
        <w:widowControl w:val="0"/>
        <w:numPr>
          <w:ilvl w:val="0"/>
          <w:numId w:val="15"/>
        </w:numPr>
        <w:kinsoku/>
        <w:wordWrap/>
        <w:overflowPunct/>
        <w:topLinePunct w:val="0"/>
        <w:autoSpaceDE/>
        <w:autoSpaceDN/>
        <w:bidi w:val="0"/>
        <w:adjustRightInd/>
        <w:snapToGrid/>
        <w:ind w:left="0" w:leftChars="0"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★供应商为本项目提供的所有产品、辅材中属于《国家强制性产品认证目录》范围内产品的，均通过国家强制性产品认证并取得认证证书。</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bookmarkEnd w:id="247"/>
      <w:bookmarkEnd w:id="248"/>
      <w:bookmarkStart w:id="249" w:name="_Toc26950"/>
      <w:bookmarkStart w:id="250" w:name="_Toc15152"/>
    </w:p>
    <w:p>
      <w:pPr>
        <w:pageBreakBefore w:val="0"/>
        <w:widowControl w:val="0"/>
        <w:numPr>
          <w:ilvl w:val="0"/>
          <w:numId w:val="15"/>
        </w:numPr>
        <w:kinsoku/>
        <w:wordWrap/>
        <w:overflowPunct/>
        <w:topLinePunct w:val="0"/>
        <w:autoSpaceDE/>
        <w:autoSpaceDN/>
        <w:bidi w:val="0"/>
        <w:adjustRightInd/>
        <w:snapToGrid/>
        <w:ind w:left="0" w:leftChars="0" w:firstLine="560" w:firstLineChars="200"/>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★供应商为本项目提供的所有产品、辅材符合现行的强制性国家相关标准、行业标准。</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bookmarkEnd w:id="249"/>
      <w:bookmarkEnd w:id="250"/>
      <w:bookmarkStart w:id="251" w:name="_Toc20235"/>
      <w:bookmarkStart w:id="252" w:name="_Toc12183"/>
    </w:p>
    <w:p>
      <w:pPr>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Times New Roman"/>
          <w:b/>
          <w:bCs/>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四、★供应商为本项目提供的所有产品中属于节能产品政府采购品目清单中的政府强制采购产品的，均应具有国家确定的认证机构出具的有效期内的节能产品认证证书。</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bookmarkEnd w:id="251"/>
      <w:bookmarkEnd w:id="252"/>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Times New Roman"/>
          <w:b w:val="0"/>
          <w:bCs w:val="0"/>
          <w:iCs/>
          <w:color w:val="auto"/>
          <w:kern w:val="0"/>
          <w:sz w:val="28"/>
          <w:szCs w:val="28"/>
          <w:highlight w:val="none"/>
          <w:lang w:val="en-US" w:eastAsia="zh-CN" w:bidi="ar-SA"/>
        </w:rPr>
      </w:pPr>
      <w:bookmarkStart w:id="253" w:name="_Toc5180"/>
      <w:bookmarkStart w:id="254" w:name="_Toc19661"/>
      <w:bookmarkStart w:id="255" w:name="_Toc8261"/>
      <w:r>
        <w:rPr>
          <w:rFonts w:hint="eastAsia" w:ascii="宋体" w:hAnsi="宋体" w:eastAsia="宋体" w:cs="Times New Roman"/>
          <w:b w:val="0"/>
          <w:bCs w:val="0"/>
          <w:iCs/>
          <w:color w:val="auto"/>
          <w:kern w:val="0"/>
          <w:sz w:val="28"/>
          <w:szCs w:val="28"/>
          <w:highlight w:val="none"/>
          <w:lang w:val="en-US" w:eastAsia="zh-CN" w:bidi="ar-SA"/>
        </w:rPr>
        <w:t>五、★供应商为本项目提供的所有产品、辅材中属于3C认证的产品的，均具有3C产品认证证书，并在中标后签订合同之前提供证书复印件加盖公章。</w:t>
      </w:r>
      <w:r>
        <w:rPr>
          <w:rFonts w:hint="eastAsia" w:ascii="宋体" w:hAnsi="宋体" w:eastAsia="宋体" w:cs="Times New Roman"/>
          <w:b/>
          <w:bCs/>
          <w:iCs/>
          <w:color w:val="auto"/>
          <w:kern w:val="0"/>
          <w:sz w:val="28"/>
          <w:szCs w:val="28"/>
          <w:highlight w:val="none"/>
          <w:lang w:val="en-US" w:eastAsia="zh-CN" w:bidi="ar-SA"/>
        </w:rPr>
        <w:t>（说明：供应商应按竞争性磋商文件3.2.10承诺函的格式及要求提供承诺函。）</w:t>
      </w:r>
      <w:bookmarkEnd w:id="253"/>
      <w:bookmarkEnd w:id="254"/>
      <w:bookmarkEnd w:id="255"/>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Times New Roman"/>
          <w:b w:val="0"/>
          <w:bCs w:val="0"/>
          <w:iCs/>
          <w:color w:val="auto"/>
          <w:kern w:val="0"/>
          <w:sz w:val="28"/>
          <w:szCs w:val="28"/>
          <w:highlight w:val="none"/>
          <w:lang w:val="en-US" w:eastAsia="zh-CN" w:bidi="ar-SA"/>
        </w:rPr>
      </w:pPr>
      <w:bookmarkStart w:id="256" w:name="_Toc17027"/>
      <w:bookmarkStart w:id="257" w:name="_Toc11572"/>
      <w:bookmarkStart w:id="258" w:name="_Toc14498"/>
      <w:r>
        <w:rPr>
          <w:rFonts w:hint="eastAsia" w:ascii="宋体" w:hAnsi="宋体" w:eastAsia="宋体" w:cs="Times New Roman"/>
          <w:b w:val="0"/>
          <w:bCs w:val="0"/>
          <w:iCs/>
          <w:color w:val="auto"/>
          <w:kern w:val="0"/>
          <w:sz w:val="28"/>
          <w:szCs w:val="28"/>
          <w:highlight w:val="none"/>
          <w:lang w:val="en-US" w:eastAsia="zh-CN" w:bidi="ar-SA"/>
        </w:rPr>
        <w:t>六、供应商针对本项目提供的实施方案，内容包含：（1）施工质量；（2）布局设计；（3）验收方案；（4）实施流程。</w:t>
      </w:r>
      <w:bookmarkEnd w:id="256"/>
      <w:bookmarkEnd w:id="257"/>
      <w:bookmarkEnd w:id="258"/>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Times New Roman"/>
          <w:b w:val="0"/>
          <w:bCs w:val="0"/>
          <w:iCs/>
          <w:color w:val="auto"/>
          <w:kern w:val="0"/>
          <w:sz w:val="28"/>
          <w:szCs w:val="28"/>
          <w:highlight w:val="none"/>
          <w:lang w:val="en-US" w:eastAsia="zh-CN" w:bidi="ar-SA"/>
        </w:rPr>
      </w:pPr>
      <w:bookmarkStart w:id="259" w:name="_Toc10310"/>
      <w:bookmarkStart w:id="260" w:name="_Toc24540"/>
      <w:bookmarkStart w:id="261" w:name="_Toc17417"/>
      <w:r>
        <w:rPr>
          <w:rFonts w:hint="eastAsia" w:ascii="宋体" w:hAnsi="宋体" w:eastAsia="宋体" w:cs="Times New Roman"/>
          <w:b w:val="0"/>
          <w:bCs w:val="0"/>
          <w:iCs/>
          <w:color w:val="auto"/>
          <w:kern w:val="0"/>
          <w:sz w:val="28"/>
          <w:szCs w:val="28"/>
          <w:highlight w:val="none"/>
          <w:lang w:val="en-US" w:eastAsia="zh-CN" w:bidi="ar-SA"/>
        </w:rPr>
        <w:t>七、供应商针对本项目提供的培训方案，内容包含①培训内容、②培训师资配备、③培训计划、④培训</w:t>
      </w:r>
      <w:r>
        <w:rPr>
          <w:rFonts w:hint="eastAsia" w:cs="Times New Roman"/>
          <w:b w:val="0"/>
          <w:bCs w:val="0"/>
          <w:iCs/>
          <w:color w:val="auto"/>
          <w:kern w:val="0"/>
          <w:sz w:val="28"/>
          <w:szCs w:val="28"/>
          <w:highlight w:val="none"/>
          <w:lang w:val="en-US" w:eastAsia="zh-CN" w:bidi="ar-SA"/>
        </w:rPr>
        <w:t>目标</w:t>
      </w:r>
      <w:r>
        <w:rPr>
          <w:rFonts w:hint="eastAsia" w:ascii="宋体" w:hAnsi="宋体" w:eastAsia="宋体" w:cs="Times New Roman"/>
          <w:b w:val="0"/>
          <w:bCs w:val="0"/>
          <w:iCs/>
          <w:color w:val="auto"/>
          <w:kern w:val="0"/>
          <w:sz w:val="28"/>
          <w:szCs w:val="28"/>
          <w:highlight w:val="none"/>
          <w:lang w:val="en-US" w:eastAsia="zh-CN" w:bidi="ar-SA"/>
        </w:rPr>
        <w:t>等。</w:t>
      </w:r>
      <w:bookmarkEnd w:id="259"/>
      <w:bookmarkEnd w:id="260"/>
      <w:bookmarkEnd w:id="261"/>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Times New Roman"/>
          <w:b w:val="0"/>
          <w:bCs w:val="0"/>
          <w:iCs/>
          <w:color w:val="auto"/>
          <w:kern w:val="0"/>
          <w:sz w:val="28"/>
          <w:szCs w:val="28"/>
          <w:highlight w:val="none"/>
          <w:lang w:val="en-US" w:eastAsia="zh-CN" w:bidi="ar-SA"/>
        </w:rPr>
      </w:pPr>
      <w:bookmarkStart w:id="262" w:name="_Toc27150"/>
      <w:bookmarkStart w:id="263" w:name="_Toc21774"/>
      <w:bookmarkStart w:id="264" w:name="_Toc8589"/>
      <w:r>
        <w:rPr>
          <w:rFonts w:hint="eastAsia" w:ascii="宋体" w:hAnsi="宋体" w:eastAsia="宋体" w:cs="Times New Roman"/>
          <w:b w:val="0"/>
          <w:bCs w:val="0"/>
          <w:iCs/>
          <w:color w:val="auto"/>
          <w:kern w:val="0"/>
          <w:sz w:val="28"/>
          <w:szCs w:val="28"/>
          <w:highlight w:val="none"/>
          <w:lang w:val="en-US" w:eastAsia="zh-CN" w:bidi="ar-SA"/>
        </w:rPr>
        <w:t>八、供应商所投数字音频功放生产厂家具有：（1）知识产权管理体系认证证书(证书含音视频系统产品字样)（2）服务认证证书（证书含公共广播及专业音响系统字样）。</w:t>
      </w:r>
      <w:bookmarkEnd w:id="262"/>
      <w:bookmarkEnd w:id="263"/>
      <w:bookmarkEnd w:id="264"/>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Times New Roman"/>
          <w:b w:val="0"/>
          <w:bCs w:val="0"/>
          <w:iCs/>
          <w:color w:val="auto"/>
          <w:kern w:val="0"/>
          <w:sz w:val="28"/>
          <w:szCs w:val="28"/>
          <w:highlight w:val="none"/>
          <w:lang w:val="en-US" w:eastAsia="zh-CN" w:bidi="ar-SA"/>
        </w:rPr>
      </w:pPr>
      <w:r>
        <w:rPr>
          <w:rFonts w:hint="eastAsia" w:ascii="宋体" w:hAnsi="宋体" w:eastAsia="宋体" w:cs="Times New Roman"/>
          <w:b w:val="0"/>
          <w:bCs w:val="0"/>
          <w:iCs/>
          <w:color w:val="auto"/>
          <w:kern w:val="0"/>
          <w:sz w:val="28"/>
          <w:szCs w:val="28"/>
          <w:highlight w:val="none"/>
          <w:lang w:val="en-US" w:eastAsia="zh-CN" w:bidi="ar-SA"/>
        </w:rPr>
        <w:t xml:space="preserve">  </w:t>
      </w:r>
      <w:bookmarkStart w:id="265" w:name="_Toc19378"/>
      <w:bookmarkStart w:id="266" w:name="_Toc25834"/>
      <w:bookmarkStart w:id="267" w:name="_Toc21067"/>
      <w:r>
        <w:rPr>
          <w:rFonts w:hint="eastAsia" w:ascii="宋体" w:hAnsi="宋体" w:eastAsia="宋体" w:cs="Times New Roman"/>
          <w:b w:val="0"/>
          <w:bCs w:val="0"/>
          <w:iCs/>
          <w:color w:val="auto"/>
          <w:kern w:val="0"/>
          <w:sz w:val="28"/>
          <w:szCs w:val="28"/>
          <w:highlight w:val="none"/>
          <w:lang w:val="en-US" w:eastAsia="zh-CN" w:bidi="ar-SA"/>
        </w:rPr>
        <w:t>九、供应商针对本项目提供的售后服务方案，内容包括：①服务内容及范围、②服务流程、③售后巡检、④响应时间等。</w:t>
      </w:r>
      <w:bookmarkEnd w:id="265"/>
      <w:bookmarkEnd w:id="266"/>
      <w:bookmarkEnd w:id="267"/>
      <w:r>
        <w:rPr>
          <w:rFonts w:hint="eastAsia" w:ascii="宋体" w:hAnsi="宋体" w:eastAsia="宋体" w:cs="Times New Roman"/>
          <w:b w:val="0"/>
          <w:bCs w:val="0"/>
          <w:iCs/>
          <w:color w:val="auto"/>
          <w:kern w:val="0"/>
          <w:sz w:val="28"/>
          <w:szCs w:val="28"/>
          <w:highlight w:val="none"/>
          <w:lang w:val="en-US" w:eastAsia="zh-CN" w:bidi="ar-SA"/>
        </w:rPr>
        <w:t xml:space="preserve"> </w:t>
      </w:r>
    </w:p>
    <w:p>
      <w:pPr>
        <w:pStyle w:val="5"/>
        <w:keepNext/>
        <w:keepLines/>
        <w:pageBreakBefore w:val="0"/>
        <w:widowControl w:val="0"/>
        <w:numPr>
          <w:ilvl w:val="1"/>
          <w:numId w:val="0"/>
        </w:numPr>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宋体" w:hAnsi="宋体" w:eastAsia="宋体" w:cs="宋体"/>
          <w:color w:val="000000"/>
          <w:kern w:val="0"/>
          <w:sz w:val="20"/>
          <w:szCs w:val="20"/>
          <w:lang w:val="en-US" w:eastAsia="zh-CN" w:bidi="ar"/>
        </w:rPr>
      </w:pPr>
      <w:bookmarkStart w:id="268" w:name="_Toc25128"/>
      <w:bookmarkStart w:id="269" w:name="_Toc29004"/>
      <w:bookmarkStart w:id="270" w:name="_Toc19172"/>
      <w:r>
        <w:rPr>
          <w:rFonts w:hint="eastAsia" w:ascii="宋体" w:hAnsi="宋体" w:eastAsia="宋体" w:cs="Times New Roman"/>
          <w:b w:val="0"/>
          <w:bCs w:val="0"/>
          <w:iCs/>
          <w:color w:val="auto"/>
          <w:kern w:val="0"/>
          <w:sz w:val="28"/>
          <w:szCs w:val="28"/>
          <w:highlight w:val="none"/>
          <w:lang w:val="en-US" w:eastAsia="zh-CN" w:bidi="ar-SA"/>
        </w:rPr>
        <w:t>十、供应商自2018年1月1日（含1日）以后，具有类似项目业绩。</w:t>
      </w:r>
      <w:bookmarkEnd w:id="268"/>
      <w:bookmarkEnd w:id="269"/>
      <w:bookmarkEnd w:id="270"/>
    </w:p>
    <w:p>
      <w:pPr>
        <w:pStyle w:val="5"/>
        <w:numPr>
          <w:ilvl w:val="1"/>
          <w:numId w:val="0"/>
        </w:numPr>
        <w:spacing w:before="0" w:after="200"/>
        <w:ind w:leftChars="0"/>
        <w:jc w:val="both"/>
        <w:rPr>
          <w:color w:val="auto"/>
          <w:highlight w:val="none"/>
        </w:rPr>
      </w:pPr>
      <w:bookmarkStart w:id="271" w:name="_Toc32608"/>
      <w:bookmarkStart w:id="272" w:name="_Toc19602"/>
      <w:r>
        <w:rPr>
          <w:rFonts w:hint="eastAsia"/>
          <w:color w:val="auto"/>
          <w:highlight w:val="none"/>
          <w:lang w:val="en-US" w:eastAsia="zh-CN"/>
        </w:rPr>
        <w:t>4.8</w:t>
      </w:r>
      <w:r>
        <w:rPr>
          <w:rFonts w:hint="eastAsia"/>
          <w:color w:val="auto"/>
          <w:highlight w:val="none"/>
        </w:rPr>
        <w:t>满足采购需求的实质性要求</w:t>
      </w:r>
      <w:bookmarkEnd w:id="271"/>
      <w:bookmarkEnd w:id="272"/>
    </w:p>
    <w:p>
      <w:pPr>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技术、服务、商务及其他要求中加★号的要求为满足采购需求的</w:t>
      </w:r>
      <w:r>
        <w:rPr>
          <w:rFonts w:ascii="宋体" w:hAnsi="宋体"/>
          <w:b/>
          <w:color w:val="auto"/>
          <w:sz w:val="28"/>
          <w:szCs w:val="28"/>
          <w:highlight w:val="none"/>
        </w:rPr>
        <w:t>的</w:t>
      </w:r>
      <w:r>
        <w:rPr>
          <w:rFonts w:hint="eastAsia" w:ascii="宋体" w:hAnsi="宋体"/>
          <w:b/>
          <w:color w:val="auto"/>
          <w:sz w:val="28"/>
          <w:szCs w:val="28"/>
          <w:highlight w:val="none"/>
        </w:rPr>
        <w:t>实质性要求，不允许作</w:t>
      </w:r>
      <w:r>
        <w:rPr>
          <w:rFonts w:ascii="宋体" w:hAnsi="宋体"/>
          <w:b/>
          <w:color w:val="auto"/>
          <w:sz w:val="28"/>
          <w:szCs w:val="28"/>
          <w:highlight w:val="none"/>
        </w:rPr>
        <w:t>实质性变动</w:t>
      </w:r>
      <w:r>
        <w:rPr>
          <w:rFonts w:hint="eastAsia" w:ascii="宋体" w:hAnsi="宋体"/>
          <w:b/>
          <w:color w:val="auto"/>
          <w:sz w:val="28"/>
          <w:szCs w:val="28"/>
          <w:highlight w:val="none"/>
        </w:rPr>
        <w:t>，若未响应或者负偏离，响应文件无效。</w:t>
      </w:r>
    </w:p>
    <w:p>
      <w:pPr>
        <w:pStyle w:val="22"/>
        <w:ind w:firstLine="640"/>
        <w:jc w:val="both"/>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注：1、中小企业政府采购信用融资参加本次招标活动的中小企业投标人无需提供财产抵押或第三方担保，凭借政府采购合同可向融资机构申请融资。具体内容详见招标文件附件中《成都市温江区财政局关于公布温江区首批支持中小企业政府采购信用融资银行名单的公告》和《成都市财政局关于公布成都市首批在线开展政府采购信用融资业务银行名单的通知》（成财采[2019]49号）。</w:t>
      </w:r>
    </w:p>
    <w:p>
      <w:pPr>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2、采购项目资金首付比例原则上不低于政府采购合同总金额的30%。</w:t>
      </w:r>
    </w:p>
    <w:p>
      <w:pPr>
        <w:widowControl/>
        <w:spacing w:line="360" w:lineRule="auto"/>
        <w:ind w:firstLine="480" w:firstLineChars="200"/>
        <w:jc w:val="left"/>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3、采购单位应当自收到发票后20日内将资金支付到合同约定的投标人账户。</w:t>
      </w:r>
    </w:p>
    <w:p>
      <w:pPr>
        <w:pStyle w:val="2"/>
        <w:rPr>
          <w:rFonts w:hint="eastAsia"/>
        </w:rPr>
      </w:pPr>
    </w:p>
    <w:p>
      <w:pPr>
        <w:pStyle w:val="3"/>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ind w:left="0" w:leftChars="0" w:firstLine="0" w:firstLineChars="0"/>
        <w:rPr>
          <w:rFonts w:hint="default"/>
          <w:color w:val="auto"/>
          <w:sz w:val="24"/>
          <w:szCs w:val="32"/>
          <w:highlight w:val="none"/>
          <w:lang w:val="en-US" w:eastAsia="zh-CN"/>
        </w:rPr>
      </w:pPr>
      <w:r>
        <w:rPr>
          <w:rFonts w:hint="eastAsia"/>
          <w:color w:val="auto"/>
          <w:sz w:val="24"/>
          <w:szCs w:val="32"/>
          <w:highlight w:val="none"/>
          <w:lang w:val="en-US" w:eastAsia="zh-CN"/>
        </w:rPr>
        <w:t>附件：</w:t>
      </w:r>
    </w:p>
    <w:p>
      <w:pPr>
        <w:pStyle w:val="2"/>
        <w:ind w:left="0" w:leftChars="0" w:firstLine="0" w:firstLineChars="0"/>
        <w:rPr>
          <w:rFonts w:hint="eastAsia"/>
          <w:color w:val="auto"/>
          <w:highlight w:val="none"/>
          <w:lang w:val="en-US" w:eastAsia="zh-CN"/>
        </w:rPr>
      </w:pPr>
    </w:p>
    <w:p>
      <w:pPr>
        <w:ind w:firstLine="0" w:firstLineChars="0"/>
        <w:jc w:val="center"/>
        <w:rPr>
          <w:rFonts w:ascii="微软雅黑" w:hAnsi="微软雅黑" w:eastAsia="微软雅黑" w:cs="微软雅黑"/>
          <w:sz w:val="72"/>
          <w:szCs w:val="52"/>
        </w:rPr>
      </w:pPr>
      <w:bookmarkStart w:id="273" w:name="_Toc68029866"/>
      <w:bookmarkStart w:id="274" w:name="_Ref22834"/>
      <w:r>
        <w:rPr>
          <w:rFonts w:hint="eastAsia" w:ascii="微软雅黑" w:hAnsi="微软雅黑" w:eastAsia="微软雅黑" w:cs="微软雅黑"/>
          <w:sz w:val="72"/>
          <w:szCs w:val="52"/>
        </w:rPr>
        <w:t>成都市温江区教育局</w:t>
      </w:r>
    </w:p>
    <w:p>
      <w:pPr>
        <w:ind w:firstLine="0" w:firstLineChars="0"/>
        <w:jc w:val="center"/>
        <w:rPr>
          <w:rFonts w:ascii="微软雅黑" w:hAnsi="微软雅黑" w:eastAsia="微软雅黑" w:cs="微软雅黑"/>
          <w:sz w:val="72"/>
          <w:szCs w:val="52"/>
        </w:rPr>
      </w:pPr>
      <w:r>
        <w:rPr>
          <w:rFonts w:hint="eastAsia" w:ascii="微软雅黑" w:hAnsi="微软雅黑" w:eastAsia="微软雅黑" w:cs="微软雅黑"/>
          <w:sz w:val="72"/>
          <w:szCs w:val="52"/>
        </w:rPr>
        <w:t>特教学校功能室设备采购</w:t>
      </w:r>
    </w:p>
    <w:p>
      <w:pPr>
        <w:ind w:firstLine="0" w:firstLineChars="0"/>
        <w:jc w:val="center"/>
        <w:rPr>
          <w:rFonts w:ascii="黑体" w:hAnsi="黑体" w:eastAsia="黑体" w:cs="黑体"/>
          <w:sz w:val="84"/>
          <w:szCs w:val="84"/>
        </w:rPr>
      </w:pPr>
    </w:p>
    <w:p>
      <w:pPr>
        <w:ind w:firstLine="0" w:firstLineChars="0"/>
        <w:jc w:val="center"/>
        <w:rPr>
          <w:rFonts w:ascii="黑体" w:hAnsi="黑体" w:eastAsia="黑体" w:cs="黑体"/>
          <w:sz w:val="84"/>
          <w:szCs w:val="84"/>
        </w:rPr>
      </w:pPr>
      <w:r>
        <w:rPr>
          <w:rFonts w:hint="eastAsia" w:ascii="黑体" w:hAnsi="黑体" w:eastAsia="黑体" w:cs="黑体"/>
          <w:sz w:val="84"/>
          <w:szCs w:val="84"/>
        </w:rPr>
        <w:t>技</w:t>
      </w:r>
    </w:p>
    <w:p>
      <w:pPr>
        <w:ind w:firstLine="0" w:firstLineChars="0"/>
        <w:jc w:val="center"/>
        <w:rPr>
          <w:rFonts w:ascii="黑体" w:hAnsi="黑体" w:eastAsia="黑体" w:cs="黑体"/>
          <w:sz w:val="84"/>
          <w:szCs w:val="84"/>
        </w:rPr>
      </w:pPr>
      <w:r>
        <w:rPr>
          <w:rFonts w:hint="eastAsia" w:ascii="黑体" w:hAnsi="黑体" w:eastAsia="黑体" w:cs="黑体"/>
          <w:sz w:val="84"/>
          <w:szCs w:val="84"/>
        </w:rPr>
        <w:t>术</w:t>
      </w:r>
    </w:p>
    <w:p>
      <w:pPr>
        <w:ind w:firstLine="0" w:firstLineChars="0"/>
        <w:jc w:val="center"/>
        <w:rPr>
          <w:rFonts w:ascii="黑体" w:hAnsi="黑体" w:eastAsia="黑体" w:cs="黑体"/>
          <w:sz w:val="84"/>
          <w:szCs w:val="84"/>
        </w:rPr>
      </w:pPr>
      <w:r>
        <w:rPr>
          <w:rFonts w:hint="eastAsia" w:ascii="黑体" w:hAnsi="黑体" w:eastAsia="黑体" w:cs="黑体"/>
          <w:sz w:val="84"/>
          <w:szCs w:val="84"/>
        </w:rPr>
        <w:t>方</w:t>
      </w:r>
    </w:p>
    <w:p>
      <w:pPr>
        <w:ind w:firstLine="0" w:firstLineChars="0"/>
        <w:jc w:val="center"/>
        <w:rPr>
          <w:rFonts w:ascii="黑体" w:hAnsi="黑体" w:eastAsia="黑体" w:cs="黑体"/>
          <w:sz w:val="84"/>
          <w:szCs w:val="84"/>
        </w:rPr>
      </w:pPr>
      <w:r>
        <w:rPr>
          <w:rFonts w:hint="eastAsia" w:ascii="黑体" w:hAnsi="黑体" w:eastAsia="黑体" w:cs="黑体"/>
          <w:sz w:val="84"/>
          <w:szCs w:val="84"/>
        </w:rPr>
        <w:t>案</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编制单位：成都市温江区教育局</w:t>
      </w:r>
    </w:p>
    <w:p>
      <w:pPr>
        <w:ind w:firstLine="0" w:firstLineChars="0"/>
        <w:jc w:val="center"/>
        <w:rPr>
          <w:rFonts w:asciiTheme="minorEastAsia" w:hAnsiTheme="minorEastAsia" w:eastAsiaTheme="minorEastAsia" w:cstheme="minorEastAsia"/>
          <w:sz w:val="28"/>
          <w:szCs w:val="28"/>
        </w:rPr>
      </w:pPr>
    </w:p>
    <w:p>
      <w:pPr>
        <w:ind w:firstLine="560"/>
        <w:rPr>
          <w:rFonts w:asciiTheme="minorEastAsia" w:hAnsiTheme="minorEastAsia" w:eastAsiaTheme="minorEastAsia" w:cstheme="minorEastAsia"/>
          <w:sz w:val="28"/>
          <w:szCs w:val="28"/>
        </w:rPr>
        <w:sectPr>
          <w:headerReference r:id="rId20" w:type="first"/>
          <w:footerReference r:id="rId22" w:type="first"/>
          <w:headerReference r:id="rId19" w:type="default"/>
          <w:footerReference r:id="rId21" w:type="default"/>
          <w:pgSz w:w="11906" w:h="16838"/>
          <w:pgMar w:top="1440" w:right="1800" w:bottom="1440" w:left="1800" w:header="851" w:footer="992" w:gutter="0"/>
          <w:pgNumType w:start="1"/>
          <w:cols w:space="425" w:num="1"/>
          <w:titlePg/>
          <w:docGrid w:type="lines" w:linePitch="326" w:charSpace="0"/>
        </w:sectPr>
      </w:pPr>
      <w:r>
        <w:rPr>
          <w:rFonts w:hint="eastAsia" w:asciiTheme="minorEastAsia" w:hAnsiTheme="minorEastAsia" w:eastAsiaTheme="minorEastAsia" w:cstheme="minorEastAsia"/>
          <w:sz w:val="28"/>
          <w:szCs w:val="28"/>
        </w:rPr>
        <w:br w:type="page"/>
      </w:r>
    </w:p>
    <w:p>
      <w:pPr>
        <w:ind w:firstLine="0" w:firstLineChars="0"/>
      </w:pPr>
    </w:p>
    <w:p>
      <w:pPr>
        <w:pStyle w:val="4"/>
        <w:ind w:firstLine="723"/>
      </w:pPr>
      <w:bookmarkStart w:id="275" w:name="_Toc31989"/>
      <w:bookmarkStart w:id="276" w:name="_Toc32046"/>
      <w:bookmarkStart w:id="277" w:name="_Toc9298"/>
      <w:bookmarkStart w:id="278" w:name="_Toc8524"/>
      <w:r>
        <w:rPr>
          <w:rFonts w:hint="eastAsia"/>
        </w:rPr>
        <w:t>第一章 项目简介</w:t>
      </w:r>
      <w:bookmarkEnd w:id="275"/>
      <w:bookmarkEnd w:id="276"/>
      <w:bookmarkEnd w:id="277"/>
      <w:bookmarkEnd w:id="278"/>
    </w:p>
    <w:p>
      <w:pPr>
        <w:pStyle w:val="5"/>
        <w:numPr>
          <w:ilvl w:val="1"/>
          <w:numId w:val="16"/>
        </w:numPr>
      </w:pPr>
      <w:bookmarkStart w:id="279" w:name="_Toc30146"/>
      <w:bookmarkStart w:id="280" w:name="_Toc15346"/>
      <w:bookmarkStart w:id="281" w:name="_Toc23954"/>
      <w:bookmarkStart w:id="282" w:name="_Toc321"/>
      <w:r>
        <w:rPr>
          <w:rFonts w:hint="eastAsia"/>
        </w:rPr>
        <w:t>项目名称</w:t>
      </w:r>
      <w:bookmarkEnd w:id="279"/>
      <w:bookmarkEnd w:id="280"/>
      <w:bookmarkEnd w:id="281"/>
      <w:bookmarkEnd w:id="282"/>
    </w:p>
    <w:p>
      <w:pPr>
        <w:ind w:firstLine="480"/>
      </w:pPr>
      <w:r>
        <w:rPr>
          <w:rFonts w:hint="eastAsia"/>
        </w:rPr>
        <w:t>成都市温江区教育局特教学校功能室设备采购项目</w:t>
      </w:r>
    </w:p>
    <w:p>
      <w:pPr>
        <w:pStyle w:val="5"/>
        <w:numPr>
          <w:ilvl w:val="1"/>
          <w:numId w:val="16"/>
        </w:numPr>
      </w:pPr>
      <w:bookmarkStart w:id="283" w:name="_Toc12572"/>
      <w:bookmarkStart w:id="284" w:name="_Toc11479"/>
      <w:bookmarkStart w:id="285" w:name="_Toc31023"/>
      <w:bookmarkStart w:id="286" w:name="_Toc17573"/>
      <w:r>
        <w:rPr>
          <w:rFonts w:hint="eastAsia"/>
        </w:rPr>
        <w:t>项目建设单位</w:t>
      </w:r>
      <w:bookmarkEnd w:id="283"/>
      <w:bookmarkEnd w:id="284"/>
      <w:bookmarkEnd w:id="285"/>
      <w:bookmarkEnd w:id="286"/>
    </w:p>
    <w:p>
      <w:pPr>
        <w:pStyle w:val="28"/>
        <w:numPr>
          <w:ilvl w:val="0"/>
          <w:numId w:val="17"/>
        </w:numPr>
        <w:ind w:firstLineChars="0"/>
      </w:pPr>
      <w:r>
        <w:rPr>
          <w:rFonts w:hint="eastAsia"/>
        </w:rPr>
        <w:t>单位名称：</w:t>
      </w:r>
    </w:p>
    <w:p>
      <w:pPr>
        <w:ind w:left="480" w:firstLine="0" w:firstLineChars="0"/>
      </w:pPr>
      <w:r>
        <w:rPr>
          <w:rFonts w:hint="eastAsia"/>
        </w:rPr>
        <w:t>成都市温江区教育局</w:t>
      </w:r>
    </w:p>
    <w:p>
      <w:pPr>
        <w:pStyle w:val="28"/>
        <w:numPr>
          <w:ilvl w:val="0"/>
          <w:numId w:val="17"/>
        </w:numPr>
        <w:ind w:firstLineChars="0"/>
      </w:pPr>
      <w:r>
        <w:rPr>
          <w:rFonts w:hint="eastAsia"/>
        </w:rPr>
        <w:t>单位职能：</w:t>
      </w:r>
    </w:p>
    <w:p>
      <w:pPr>
        <w:ind w:firstLine="480"/>
      </w:pPr>
      <w:r>
        <w:rPr>
          <w:rFonts w:hint="eastAsia"/>
        </w:rPr>
        <w:t>成都市温江区教育局是温江区人民政府下设的行政职能部门，主管全区教育工作。</w:t>
      </w:r>
    </w:p>
    <w:p>
      <w:pPr>
        <w:pStyle w:val="5"/>
        <w:numPr>
          <w:ilvl w:val="1"/>
          <w:numId w:val="16"/>
        </w:numPr>
      </w:pPr>
      <w:bookmarkStart w:id="287" w:name="_Toc20842"/>
      <w:bookmarkStart w:id="288" w:name="_Toc11141"/>
      <w:bookmarkStart w:id="289" w:name="_Toc4863"/>
      <w:bookmarkStart w:id="290" w:name="_Toc6043"/>
      <w:r>
        <w:rPr>
          <w:rFonts w:hint="eastAsia"/>
        </w:rPr>
        <w:t>方案编制单位</w:t>
      </w:r>
      <w:bookmarkEnd w:id="287"/>
      <w:bookmarkEnd w:id="288"/>
      <w:bookmarkEnd w:id="289"/>
      <w:bookmarkEnd w:id="290"/>
    </w:p>
    <w:p>
      <w:pPr>
        <w:pStyle w:val="28"/>
        <w:numPr>
          <w:ilvl w:val="0"/>
          <w:numId w:val="18"/>
        </w:numPr>
        <w:ind w:firstLineChars="0"/>
      </w:pPr>
      <w:r>
        <w:rPr>
          <w:rFonts w:hint="eastAsia"/>
        </w:rPr>
        <w:t>单位名称：</w:t>
      </w:r>
    </w:p>
    <w:p>
      <w:pPr>
        <w:ind w:left="480" w:firstLine="0" w:firstLineChars="0"/>
      </w:pPr>
      <w:r>
        <w:rPr>
          <w:rFonts w:hint="eastAsia"/>
        </w:rPr>
        <w:t>成都市温江区教育局</w:t>
      </w:r>
    </w:p>
    <w:p>
      <w:pPr>
        <w:pStyle w:val="5"/>
        <w:numPr>
          <w:ilvl w:val="1"/>
          <w:numId w:val="16"/>
        </w:numPr>
      </w:pPr>
      <w:bookmarkStart w:id="291" w:name="_Toc25074"/>
      <w:bookmarkStart w:id="292" w:name="_Toc25392"/>
      <w:bookmarkStart w:id="293" w:name="_Toc4437"/>
      <w:bookmarkStart w:id="294" w:name="_Toc12935"/>
      <w:r>
        <w:rPr>
          <w:rFonts w:hint="eastAsia"/>
        </w:rPr>
        <w:t>项目</w:t>
      </w:r>
      <w:bookmarkEnd w:id="291"/>
      <w:r>
        <w:rPr>
          <w:rFonts w:hint="eastAsia"/>
        </w:rPr>
        <w:t>建设相关依据文件</w:t>
      </w:r>
      <w:bookmarkEnd w:id="292"/>
      <w:bookmarkEnd w:id="293"/>
      <w:bookmarkEnd w:id="294"/>
    </w:p>
    <w:p>
      <w:pPr>
        <w:pStyle w:val="6"/>
        <w:numPr>
          <w:ilvl w:val="2"/>
          <w:numId w:val="16"/>
        </w:numPr>
      </w:pPr>
      <w:bookmarkStart w:id="295" w:name="_Toc19307"/>
      <w:bookmarkStart w:id="296" w:name="_Toc30858"/>
      <w:bookmarkStart w:id="297" w:name="_Toc17908"/>
      <w:bookmarkStart w:id="298" w:name="_Toc9419"/>
      <w:r>
        <w:rPr>
          <w:rFonts w:hint="eastAsia"/>
        </w:rPr>
        <w:t>法律依据</w:t>
      </w:r>
      <w:bookmarkEnd w:id="295"/>
      <w:bookmarkEnd w:id="296"/>
      <w:bookmarkEnd w:id="297"/>
      <w:bookmarkEnd w:id="298"/>
    </w:p>
    <w:p>
      <w:pPr>
        <w:ind w:firstLine="480"/>
      </w:pPr>
      <w:r>
        <w:rPr>
          <w:rFonts w:hint="eastAsia"/>
        </w:rPr>
        <w:t>《中华人民共和国残疾人保障法》</w:t>
      </w:r>
    </w:p>
    <w:p>
      <w:pPr>
        <w:ind w:firstLine="480"/>
      </w:pPr>
      <w:r>
        <w:rPr>
          <w:rFonts w:hint="eastAsia"/>
        </w:rPr>
        <w:t>《中华人民共和国残疾人教育条例》</w:t>
      </w:r>
    </w:p>
    <w:p>
      <w:pPr>
        <w:ind w:firstLine="480"/>
      </w:pPr>
      <w:r>
        <w:rPr>
          <w:rFonts w:hint="eastAsia"/>
        </w:rPr>
        <w:t>《中华人民共和国义务教育法》</w:t>
      </w:r>
    </w:p>
    <w:p>
      <w:pPr>
        <w:ind w:firstLine="480"/>
      </w:pPr>
      <w:r>
        <w:rPr>
          <w:rFonts w:hint="eastAsia"/>
        </w:rPr>
        <w:t>《中华人民共和国职业教育法》</w:t>
      </w:r>
    </w:p>
    <w:p>
      <w:pPr>
        <w:ind w:firstLine="480"/>
      </w:pPr>
      <w:r>
        <w:rPr>
          <w:rFonts w:hint="eastAsia"/>
        </w:rPr>
        <w:t>《中华人民共和国教师法》</w:t>
      </w:r>
    </w:p>
    <w:p>
      <w:pPr>
        <w:ind w:firstLine="480"/>
      </w:pPr>
      <w:r>
        <w:rPr>
          <w:rFonts w:hint="eastAsia"/>
        </w:rPr>
        <w:t>《中华人民共和国残疾人康复条例》</w:t>
      </w:r>
    </w:p>
    <w:p>
      <w:pPr>
        <w:pStyle w:val="6"/>
      </w:pPr>
      <w:bookmarkStart w:id="299" w:name="_Toc32371"/>
      <w:bookmarkStart w:id="300" w:name="_Toc23371"/>
      <w:bookmarkStart w:id="301" w:name="_Toc13125"/>
      <w:bookmarkStart w:id="302" w:name="_Toc18835"/>
      <w:r>
        <w:rPr>
          <w:rFonts w:hint="eastAsia"/>
        </w:rPr>
        <w:t>1.4.2 政策文件</w:t>
      </w:r>
      <w:bookmarkEnd w:id="299"/>
      <w:bookmarkEnd w:id="300"/>
      <w:bookmarkEnd w:id="301"/>
      <w:bookmarkEnd w:id="302"/>
    </w:p>
    <w:p>
      <w:pPr>
        <w:ind w:firstLine="480"/>
      </w:pPr>
      <w:r>
        <w:rPr>
          <w:rFonts w:hint="eastAsia"/>
        </w:rPr>
        <w:t>《国家教育事业发展“十三五”规划》</w:t>
      </w:r>
    </w:p>
    <w:p>
      <w:pPr>
        <w:ind w:firstLine="480"/>
      </w:pPr>
      <w:r>
        <w:rPr>
          <w:rFonts w:hint="eastAsia"/>
        </w:rPr>
        <w:t>《“十三五”加快残疾人小康进程规划纲要》</w:t>
      </w:r>
    </w:p>
    <w:p>
      <w:pPr>
        <w:ind w:firstLine="480"/>
      </w:pPr>
      <w:r>
        <w:rPr>
          <w:rFonts w:hint="eastAsia"/>
        </w:rPr>
        <w:t>教育部等七部门关于印发《第二期特殊教育提升计划（2017-2020年）》的通知（教基〔2017〕6 号）</w:t>
      </w:r>
    </w:p>
    <w:p>
      <w:pPr>
        <w:ind w:firstLine="480"/>
      </w:pPr>
      <w:r>
        <w:rPr>
          <w:rFonts w:hint="eastAsia"/>
        </w:rPr>
        <w:t>《四川省人民政府办公厅转发教育厅等部门关于特殊教育提升计划（2017—2020 年）实施意见的通知》（川办发〔2017〕号）</w:t>
      </w:r>
    </w:p>
    <w:p>
      <w:pPr>
        <w:ind w:firstLine="480"/>
      </w:pPr>
      <w:r>
        <w:rPr>
          <w:rFonts w:hint="eastAsia"/>
        </w:rPr>
        <w:t>《成都市教育事业发展“十三五”规划》（成府函〔2016〕205 号）</w:t>
      </w:r>
    </w:p>
    <w:p>
      <w:pPr>
        <w:ind w:firstLine="480"/>
      </w:pPr>
      <w:r>
        <w:rPr>
          <w:rFonts w:hint="eastAsia"/>
        </w:rPr>
        <w:t>《成都市残疾人事业发展“十三五”规划》</w:t>
      </w:r>
    </w:p>
    <w:p>
      <w:pPr>
        <w:ind w:firstLine="480"/>
      </w:pPr>
      <w:r>
        <w:rPr>
          <w:rFonts w:hint="eastAsia"/>
        </w:rPr>
        <w:t>《成都市中小学心理健康教育发展规划（2019-2022年）》</w:t>
      </w:r>
    </w:p>
    <w:p>
      <w:pPr>
        <w:pStyle w:val="6"/>
        <w:numPr>
          <w:ilvl w:val="2"/>
          <w:numId w:val="16"/>
        </w:numPr>
      </w:pPr>
      <w:bookmarkStart w:id="303" w:name="_Toc27087"/>
      <w:bookmarkStart w:id="304" w:name="_Toc31586"/>
      <w:bookmarkStart w:id="305" w:name="_Toc28294"/>
      <w:bookmarkStart w:id="306" w:name="_Toc23152"/>
      <w:r>
        <w:rPr>
          <w:rFonts w:hint="eastAsia"/>
        </w:rPr>
        <w:t>标准规范</w:t>
      </w:r>
      <w:bookmarkEnd w:id="303"/>
      <w:bookmarkEnd w:id="304"/>
      <w:bookmarkEnd w:id="305"/>
      <w:bookmarkEnd w:id="306"/>
    </w:p>
    <w:p>
      <w:pPr>
        <w:ind w:firstLine="480"/>
      </w:pPr>
      <w:r>
        <w:t xml:space="preserve">JY/T 0405-2009 </w:t>
      </w:r>
      <w:r>
        <w:rPr>
          <w:rFonts w:hint="eastAsia"/>
        </w:rPr>
        <w:t>《义务教育阶段培智学校教学与医疗康复仪器设备配备标准》</w:t>
      </w:r>
    </w:p>
    <w:p>
      <w:pPr>
        <w:ind w:firstLine="480"/>
      </w:pPr>
      <w:r>
        <w:rPr>
          <w:rFonts w:hint="eastAsia"/>
        </w:rPr>
        <w:t>《成都市培智学校教学与康复设施设备装备标准（试行）》</w:t>
      </w:r>
    </w:p>
    <w:p>
      <w:pPr>
        <w:ind w:firstLine="480"/>
      </w:pPr>
      <w:r>
        <w:rPr>
          <w:rFonts w:hint="eastAsia"/>
        </w:rPr>
        <w:t>成教函</w:t>
      </w:r>
      <w:r>
        <w:t>[2018]105</w:t>
      </w:r>
      <w:r>
        <w:rPr>
          <w:rFonts w:hint="eastAsia"/>
        </w:rPr>
        <w:t>号《成都市区（市）县特殊教育资源中心建设标准（试行）》</w:t>
      </w:r>
    </w:p>
    <w:p>
      <w:pPr>
        <w:ind w:firstLine="480"/>
      </w:pPr>
      <w:r>
        <w:t>DB51/T 1957-2015</w:t>
      </w:r>
      <w:r>
        <w:rPr>
          <w:rFonts w:hint="eastAsia"/>
        </w:rPr>
        <w:t>《中小学心理辅导室建设规范》</w:t>
      </w:r>
    </w:p>
    <w:p>
      <w:pPr>
        <w:ind w:firstLine="480"/>
      </w:pPr>
      <w:r>
        <w:t>GB 6675-2014</w:t>
      </w:r>
      <w:r>
        <w:rPr>
          <w:rFonts w:hint="eastAsia"/>
        </w:rPr>
        <w:t>《中国玩具安全标准》</w:t>
      </w:r>
    </w:p>
    <w:p>
      <w:pPr>
        <w:ind w:firstLine="480"/>
      </w:pPr>
      <w:r>
        <w:t>GB 50118</w:t>
      </w:r>
      <w:r>
        <w:rPr>
          <w:rFonts w:hint="eastAsia"/>
        </w:rPr>
        <w:t>《民用建筑隔声设计规范》</w:t>
      </w:r>
    </w:p>
    <w:p>
      <w:pPr>
        <w:ind w:firstLine="480"/>
      </w:pPr>
      <w:r>
        <w:t>GB</w:t>
      </w:r>
      <w:r>
        <w:rPr>
          <w:rFonts w:hint="eastAsia"/>
        </w:rPr>
        <w:t>／</w:t>
      </w:r>
      <w:r>
        <w:t>T 17249.1-1998</w:t>
      </w:r>
      <w:r>
        <w:rPr>
          <w:rFonts w:hint="eastAsia"/>
        </w:rPr>
        <w:t>《噪声控制规划》</w:t>
      </w:r>
    </w:p>
    <w:p>
      <w:pPr>
        <w:ind w:firstLine="480"/>
      </w:pPr>
      <w:r>
        <w:t>GB 9706</w:t>
      </w:r>
      <w:r>
        <w:rPr>
          <w:rFonts w:hint="eastAsia"/>
        </w:rPr>
        <w:t>《医用电气设备标准》</w:t>
      </w:r>
    </w:p>
    <w:p>
      <w:pPr>
        <w:ind w:firstLine="480"/>
      </w:pPr>
      <w:r>
        <w:t>GB /T 9813.1-2016</w:t>
      </w:r>
      <w:r>
        <w:rPr>
          <w:rFonts w:hint="eastAsia"/>
        </w:rPr>
        <w:t>《计算机通用规范》</w:t>
      </w:r>
    </w:p>
    <w:p>
      <w:pPr>
        <w:ind w:firstLine="480"/>
      </w:pPr>
      <w:r>
        <w:t>GB 21746-2008</w:t>
      </w:r>
      <w:r>
        <w:rPr>
          <w:rFonts w:hint="eastAsia"/>
        </w:rPr>
        <w:t>《教学仪器设备安全要求》</w:t>
      </w:r>
    </w:p>
    <w:p>
      <w:pPr>
        <w:ind w:firstLine="480"/>
      </w:pPr>
      <w:r>
        <w:t>GB/T 14710</w:t>
      </w:r>
      <w:r>
        <w:rPr>
          <w:rFonts w:hint="eastAsia"/>
        </w:rPr>
        <w:t>《医用电器环境要求及实验方法》</w:t>
      </w:r>
    </w:p>
    <w:p>
      <w:pPr>
        <w:ind w:firstLine="480"/>
      </w:pPr>
      <w:r>
        <w:t>GB 24436-2009</w:t>
      </w:r>
      <w:r>
        <w:rPr>
          <w:rFonts w:hint="eastAsia"/>
        </w:rPr>
        <w:t>《康复训练器械安全通用要求》</w:t>
      </w:r>
    </w:p>
    <w:p>
      <w:pPr>
        <w:ind w:firstLine="480"/>
      </w:pPr>
      <w:r>
        <w:t>GB/T 16432</w:t>
      </w:r>
      <w:r>
        <w:rPr>
          <w:rFonts w:hint="eastAsia"/>
        </w:rPr>
        <w:t>《康复辅助器具分类和术语》</w:t>
      </w:r>
    </w:p>
    <w:p>
      <w:pPr>
        <w:ind w:firstLine="480"/>
      </w:pPr>
      <w:r>
        <w:t>GB/T 3324-2017</w:t>
      </w:r>
      <w:r>
        <w:rPr>
          <w:rFonts w:hint="eastAsia"/>
        </w:rPr>
        <w:t>《木家具通用技术条件》</w:t>
      </w:r>
    </w:p>
    <w:p>
      <w:pPr>
        <w:ind w:firstLine="480"/>
      </w:pPr>
      <w:r>
        <w:t>QB/T 1952.1-2012</w:t>
      </w:r>
      <w:r>
        <w:rPr>
          <w:rFonts w:hint="eastAsia"/>
        </w:rPr>
        <w:t>《软体家具沙发》</w:t>
      </w:r>
    </w:p>
    <w:p>
      <w:pPr>
        <w:pStyle w:val="5"/>
        <w:numPr>
          <w:ilvl w:val="1"/>
          <w:numId w:val="0"/>
        </w:numPr>
        <w:ind w:leftChars="0"/>
      </w:pPr>
      <w:bookmarkStart w:id="307" w:name="_Toc24932"/>
      <w:bookmarkStart w:id="308" w:name="_Toc20020"/>
      <w:bookmarkStart w:id="309" w:name="_Toc9986"/>
      <w:bookmarkStart w:id="310" w:name="_Toc5226"/>
      <w:r>
        <w:rPr>
          <w:rFonts w:hint="eastAsia"/>
        </w:rPr>
        <w:t>1.5 项目概述</w:t>
      </w:r>
      <w:bookmarkEnd w:id="307"/>
      <w:bookmarkEnd w:id="308"/>
      <w:bookmarkEnd w:id="309"/>
      <w:bookmarkEnd w:id="310"/>
    </w:p>
    <w:p>
      <w:pPr>
        <w:pStyle w:val="6"/>
        <w:numPr>
          <w:ilvl w:val="2"/>
          <w:numId w:val="0"/>
        </w:numPr>
        <w:ind w:leftChars="0"/>
      </w:pPr>
      <w:bookmarkStart w:id="311" w:name="_Toc31450"/>
      <w:bookmarkStart w:id="312" w:name="_Toc557"/>
      <w:bookmarkStart w:id="313" w:name="_Toc14023"/>
      <w:bookmarkStart w:id="314" w:name="_Toc8761"/>
      <w:r>
        <w:rPr>
          <w:rFonts w:hint="eastAsia"/>
        </w:rPr>
        <w:t>1.5.1 项目背景</w:t>
      </w:r>
      <w:bookmarkEnd w:id="311"/>
      <w:bookmarkEnd w:id="312"/>
      <w:bookmarkEnd w:id="313"/>
      <w:bookmarkEnd w:id="314"/>
    </w:p>
    <w:p>
      <w:pPr>
        <w:ind w:firstLine="480"/>
      </w:pPr>
      <w:r>
        <w:rPr>
          <w:rFonts w:hint="eastAsia"/>
        </w:rPr>
        <w:t>为全面贯彻落实党中央、国务院关于办好特殊教育的要求，进一步提升特殊教育水平，保障更多残疾人享有受教育的权利，加强我区特殊教育学校建设，成都市温江区特殊教育学校将于2021年底搬至成都市温江区涌泉街办凤凰街新址。新校按照12个特教班规模建设，为满足温江区特殊儿童教育康复需求，切实落实“教康结合”发展路线，按照特殊教育学校发展规划和装备标准，制定本方案。</w:t>
      </w:r>
    </w:p>
    <w:p>
      <w:pPr>
        <w:pStyle w:val="6"/>
        <w:numPr>
          <w:ilvl w:val="2"/>
          <w:numId w:val="0"/>
        </w:numPr>
        <w:ind w:leftChars="0"/>
      </w:pPr>
      <w:bookmarkStart w:id="315" w:name="_Toc13309"/>
      <w:bookmarkStart w:id="316" w:name="_Toc26189"/>
      <w:bookmarkStart w:id="317" w:name="_Toc20453"/>
      <w:bookmarkStart w:id="318" w:name="_Toc331"/>
      <w:r>
        <w:rPr>
          <w:rFonts w:hint="eastAsia"/>
        </w:rPr>
        <w:t>1.5.2 建设目标</w:t>
      </w:r>
      <w:bookmarkEnd w:id="315"/>
      <w:bookmarkEnd w:id="316"/>
      <w:bookmarkEnd w:id="317"/>
      <w:bookmarkEnd w:id="318"/>
    </w:p>
    <w:p>
      <w:pPr>
        <w:ind w:firstLine="480"/>
      </w:pPr>
      <w:r>
        <w:rPr>
          <w:rFonts w:hint="eastAsia"/>
        </w:rPr>
        <w:t>按照省、市关于特殊教育学校功能室建设标准要求，建设资源中心、心理咨询室、康复训练室、艺术治疗室以及生活情景体验室，配备相应的教育康复设施设备，保障温江区特殊教育学校正常开展教育教学及康复训练，满足区域内特殊儿童教育康复需求。</w:t>
      </w:r>
    </w:p>
    <w:p>
      <w:pPr>
        <w:pStyle w:val="6"/>
        <w:numPr>
          <w:ilvl w:val="2"/>
          <w:numId w:val="0"/>
        </w:numPr>
        <w:ind w:leftChars="0"/>
      </w:pPr>
      <w:bookmarkStart w:id="319" w:name="_Toc28215"/>
      <w:bookmarkStart w:id="320" w:name="_Toc4898"/>
      <w:bookmarkStart w:id="321" w:name="_Toc7428"/>
      <w:bookmarkStart w:id="322" w:name="_Toc22408"/>
      <w:r>
        <w:rPr>
          <w:rFonts w:hint="eastAsia"/>
        </w:rPr>
        <w:t>1.5.3 建设内容</w:t>
      </w:r>
      <w:bookmarkEnd w:id="319"/>
      <w:bookmarkEnd w:id="320"/>
      <w:bookmarkEnd w:id="321"/>
      <w:bookmarkEnd w:id="322"/>
    </w:p>
    <w:tbl>
      <w:tblPr>
        <w:tblStyle w:val="17"/>
        <w:tblW w:w="6856" w:type="dxa"/>
        <w:jc w:val="center"/>
        <w:tblLayout w:type="fixed"/>
        <w:tblCellMar>
          <w:top w:w="0" w:type="dxa"/>
          <w:left w:w="108" w:type="dxa"/>
          <w:bottom w:w="0" w:type="dxa"/>
          <w:right w:w="108" w:type="dxa"/>
        </w:tblCellMar>
      </w:tblPr>
      <w:tblGrid>
        <w:gridCol w:w="976"/>
        <w:gridCol w:w="2835"/>
        <w:gridCol w:w="3045"/>
      </w:tblGrid>
      <w:tr>
        <w:tblPrEx>
          <w:tblCellMar>
            <w:top w:w="0" w:type="dxa"/>
            <w:left w:w="108" w:type="dxa"/>
            <w:bottom w:w="0" w:type="dxa"/>
            <w:right w:w="108" w:type="dxa"/>
          </w:tblCellMar>
        </w:tblPrEx>
        <w:trPr>
          <w:trHeight w:val="460" w:hRule="atLeast"/>
          <w:jc w:val="center"/>
        </w:trPr>
        <w:tc>
          <w:tcPr>
            <w:tcW w:w="9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8"/>
                <w:szCs w:val="22"/>
              </w:rPr>
            </w:pPr>
            <w:r>
              <w:rPr>
                <w:rFonts w:hint="eastAsia" w:ascii="宋体" w:hAnsi="宋体" w:cs="宋体"/>
                <w:kern w:val="0"/>
                <w:sz w:val="28"/>
                <w:szCs w:val="22"/>
              </w:rPr>
              <w:t>序号</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8"/>
                <w:szCs w:val="22"/>
              </w:rPr>
            </w:pPr>
            <w:r>
              <w:rPr>
                <w:rFonts w:hint="eastAsia" w:ascii="宋体" w:hAnsi="宋体" w:cs="宋体"/>
                <w:kern w:val="0"/>
                <w:sz w:val="28"/>
                <w:szCs w:val="22"/>
              </w:rPr>
              <w:t>功能名称</w:t>
            </w:r>
          </w:p>
        </w:tc>
        <w:tc>
          <w:tcPr>
            <w:tcW w:w="304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8"/>
                <w:szCs w:val="22"/>
              </w:rPr>
            </w:pPr>
            <w:r>
              <w:rPr>
                <w:rFonts w:hint="eastAsia" w:ascii="宋体" w:hAnsi="宋体" w:cs="宋体"/>
                <w:kern w:val="0"/>
                <w:sz w:val="28"/>
                <w:szCs w:val="22"/>
              </w:rPr>
              <w:t>预算（万）</w:t>
            </w:r>
          </w:p>
        </w:tc>
      </w:tr>
      <w:tr>
        <w:tblPrEx>
          <w:tblCellMar>
            <w:top w:w="0" w:type="dxa"/>
            <w:left w:w="108" w:type="dxa"/>
            <w:bottom w:w="0" w:type="dxa"/>
            <w:right w:w="108" w:type="dxa"/>
          </w:tblCellMar>
        </w:tblPrEx>
        <w:trPr>
          <w:trHeight w:val="510" w:hRule="atLeast"/>
          <w:jc w:val="center"/>
        </w:trPr>
        <w:tc>
          <w:tcPr>
            <w:tcW w:w="97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1</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资源中心</w:t>
            </w:r>
          </w:p>
        </w:tc>
        <w:tc>
          <w:tcPr>
            <w:tcW w:w="3045" w:type="dxa"/>
            <w:vMerge w:val="restart"/>
            <w:tcBorders>
              <w:top w:val="nil"/>
              <w:left w:val="nil"/>
              <w:right w:val="single" w:color="auto" w:sz="4" w:space="0"/>
            </w:tcBorders>
            <w:shd w:val="clear" w:color="auto" w:fill="auto"/>
            <w:noWrap/>
            <w:vAlign w:val="center"/>
          </w:tcPr>
          <w:p>
            <w:pPr>
              <w:widowControl/>
              <w:spacing w:line="240" w:lineRule="auto"/>
              <w:ind w:firstLine="0" w:firstLineChars="0"/>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168.5</w:t>
            </w:r>
          </w:p>
        </w:tc>
      </w:tr>
      <w:tr>
        <w:tblPrEx>
          <w:tblCellMar>
            <w:top w:w="0" w:type="dxa"/>
            <w:left w:w="108" w:type="dxa"/>
            <w:bottom w:w="0" w:type="dxa"/>
            <w:right w:w="108" w:type="dxa"/>
          </w:tblCellMar>
        </w:tblPrEx>
        <w:trPr>
          <w:trHeight w:val="510" w:hRule="atLeast"/>
          <w:jc w:val="center"/>
        </w:trPr>
        <w:tc>
          <w:tcPr>
            <w:tcW w:w="97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2</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康复训练室</w:t>
            </w:r>
          </w:p>
        </w:tc>
        <w:tc>
          <w:tcPr>
            <w:tcW w:w="304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p>
        </w:tc>
      </w:tr>
      <w:tr>
        <w:tblPrEx>
          <w:tblCellMar>
            <w:top w:w="0" w:type="dxa"/>
            <w:left w:w="108" w:type="dxa"/>
            <w:bottom w:w="0" w:type="dxa"/>
            <w:right w:w="108" w:type="dxa"/>
          </w:tblCellMar>
        </w:tblPrEx>
        <w:trPr>
          <w:trHeight w:val="510" w:hRule="atLeast"/>
          <w:jc w:val="center"/>
        </w:trPr>
        <w:tc>
          <w:tcPr>
            <w:tcW w:w="97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3</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心理咨询室</w:t>
            </w:r>
          </w:p>
        </w:tc>
        <w:tc>
          <w:tcPr>
            <w:tcW w:w="3045" w:type="dxa"/>
            <w:vMerge w:val="restart"/>
            <w:tcBorders>
              <w:top w:val="nil"/>
              <w:left w:val="nil"/>
              <w:right w:val="single" w:color="auto" w:sz="4" w:space="0"/>
            </w:tcBorders>
            <w:shd w:val="clear" w:color="auto" w:fill="auto"/>
            <w:noWrap/>
            <w:vAlign w:val="center"/>
          </w:tcPr>
          <w:p>
            <w:pPr>
              <w:widowControl/>
              <w:spacing w:line="240" w:lineRule="auto"/>
              <w:ind w:firstLine="0" w:firstLineChars="0"/>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69.72</w:t>
            </w:r>
          </w:p>
        </w:tc>
      </w:tr>
      <w:tr>
        <w:tblPrEx>
          <w:tblCellMar>
            <w:top w:w="0" w:type="dxa"/>
            <w:left w:w="108" w:type="dxa"/>
            <w:bottom w:w="0" w:type="dxa"/>
            <w:right w:w="108" w:type="dxa"/>
          </w:tblCellMar>
        </w:tblPrEx>
        <w:trPr>
          <w:trHeight w:val="510" w:hRule="atLeast"/>
          <w:jc w:val="center"/>
        </w:trPr>
        <w:tc>
          <w:tcPr>
            <w:tcW w:w="97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4</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艺术治疗室</w:t>
            </w:r>
          </w:p>
        </w:tc>
        <w:tc>
          <w:tcPr>
            <w:tcW w:w="3045"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p>
        </w:tc>
      </w:tr>
      <w:tr>
        <w:tblPrEx>
          <w:tblCellMar>
            <w:top w:w="0" w:type="dxa"/>
            <w:left w:w="108" w:type="dxa"/>
            <w:bottom w:w="0" w:type="dxa"/>
            <w:right w:w="108" w:type="dxa"/>
          </w:tblCellMar>
        </w:tblPrEx>
        <w:trPr>
          <w:trHeight w:val="510" w:hRule="atLeast"/>
          <w:jc w:val="center"/>
        </w:trPr>
        <w:tc>
          <w:tcPr>
            <w:tcW w:w="97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5</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生活情景体验室</w:t>
            </w:r>
          </w:p>
        </w:tc>
        <w:tc>
          <w:tcPr>
            <w:tcW w:w="304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p>
        </w:tc>
      </w:tr>
      <w:tr>
        <w:tblPrEx>
          <w:tblCellMar>
            <w:top w:w="0" w:type="dxa"/>
            <w:left w:w="108" w:type="dxa"/>
            <w:bottom w:w="0" w:type="dxa"/>
            <w:right w:w="108" w:type="dxa"/>
          </w:tblCellMar>
        </w:tblPrEx>
        <w:trPr>
          <w:trHeight w:val="510" w:hRule="atLeast"/>
          <w:jc w:val="center"/>
        </w:trPr>
        <w:tc>
          <w:tcPr>
            <w:tcW w:w="3811"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合计</w:t>
            </w:r>
          </w:p>
        </w:tc>
        <w:tc>
          <w:tcPr>
            <w:tcW w:w="30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kern w:val="0"/>
                <w:sz w:val="22"/>
                <w:szCs w:val="22"/>
              </w:rPr>
            </w:pPr>
            <w:r>
              <w:rPr>
                <w:rFonts w:hint="eastAsia" w:ascii="宋体" w:hAnsi="宋体" w:cs="宋体"/>
                <w:kern w:val="0"/>
                <w:sz w:val="22"/>
                <w:szCs w:val="22"/>
              </w:rPr>
              <w:t>238.22</w:t>
            </w:r>
          </w:p>
        </w:tc>
      </w:tr>
    </w:tbl>
    <w:p>
      <w:pPr>
        <w:spacing w:line="400" w:lineRule="exact"/>
        <w:rPr>
          <w:rFonts w:ascii="宋体" w:hAnsi="宋体" w:cs="Times New Roman"/>
          <w:szCs w:val="21"/>
        </w:rPr>
      </w:pPr>
    </w:p>
    <w:p>
      <w:pPr>
        <w:pStyle w:val="4"/>
        <w:numPr>
          <w:ilvl w:val="0"/>
          <w:numId w:val="19"/>
        </w:numPr>
        <w:ind w:firstLine="723"/>
      </w:pPr>
      <w:bookmarkStart w:id="323" w:name="_Toc28575"/>
      <w:bookmarkStart w:id="324" w:name="_Toc6204"/>
      <w:bookmarkStart w:id="325" w:name="_Toc20291"/>
      <w:bookmarkStart w:id="326" w:name="_Toc5026"/>
      <w:r>
        <w:rPr>
          <w:rFonts w:hint="eastAsia"/>
        </w:rPr>
        <w:t>方案设计</w:t>
      </w:r>
      <w:bookmarkEnd w:id="323"/>
      <w:bookmarkEnd w:id="324"/>
      <w:bookmarkEnd w:id="325"/>
      <w:bookmarkEnd w:id="326"/>
      <w:bookmarkStart w:id="327" w:name="_Toc22981"/>
    </w:p>
    <w:p>
      <w:pPr>
        <w:pStyle w:val="4"/>
        <w:numPr>
          <w:ilvl w:val="0"/>
          <w:numId w:val="0"/>
        </w:numPr>
        <w:jc w:val="both"/>
      </w:pPr>
      <w:bookmarkStart w:id="328" w:name="_Toc27951"/>
      <w:bookmarkStart w:id="329" w:name="_Toc8314"/>
      <w:bookmarkStart w:id="330" w:name="_Toc5965"/>
      <w:r>
        <w:rPr>
          <w:rFonts w:hint="eastAsia"/>
          <w:lang w:val="en-US" w:eastAsia="zh-CN"/>
        </w:rPr>
        <w:t>2</w:t>
      </w:r>
      <w:r>
        <w:rPr>
          <w:rFonts w:hint="eastAsia"/>
        </w:rPr>
        <w:t xml:space="preserve"> 总体</w:t>
      </w:r>
      <w:bookmarkEnd w:id="327"/>
      <w:r>
        <w:rPr>
          <w:rFonts w:hint="eastAsia"/>
        </w:rPr>
        <w:t>要求</w:t>
      </w:r>
      <w:bookmarkEnd w:id="328"/>
      <w:bookmarkEnd w:id="329"/>
      <w:bookmarkEnd w:id="330"/>
    </w:p>
    <w:p>
      <w:pPr>
        <w:ind w:firstLine="480"/>
      </w:pPr>
      <w:r>
        <w:rPr>
          <w:rFonts w:hint="eastAsia"/>
        </w:rPr>
        <w:t>按照特殊教育学校建设标准，配备特殊教育学校功能室装备，为特教学生提供适应性、个性化的康复训练，推进区域特殊教育和融合教育发展。</w:t>
      </w:r>
    </w:p>
    <w:p>
      <w:pPr>
        <w:pStyle w:val="6"/>
        <w:numPr>
          <w:ilvl w:val="2"/>
          <w:numId w:val="0"/>
        </w:numPr>
        <w:ind w:leftChars="0"/>
      </w:pPr>
      <w:bookmarkStart w:id="331" w:name="_Toc29256"/>
      <w:bookmarkStart w:id="332" w:name="_Toc29459"/>
      <w:bookmarkStart w:id="333" w:name="_Toc18193"/>
      <w:bookmarkStart w:id="334" w:name="_Toc21355"/>
      <w:r>
        <w:rPr>
          <w:rFonts w:hint="eastAsia"/>
        </w:rPr>
        <w:t>2.1.1 资源中心</w:t>
      </w:r>
      <w:bookmarkEnd w:id="331"/>
      <w:bookmarkEnd w:id="332"/>
      <w:bookmarkEnd w:id="333"/>
    </w:p>
    <w:p>
      <w:pPr>
        <w:ind w:firstLine="480"/>
      </w:pPr>
      <w:r>
        <w:t>根据《成都市区（市）县级特殊教育资源中心</w:t>
      </w:r>
      <w:r>
        <w:rPr>
          <w:rFonts w:ascii="方正小标宋_GBK" w:hAnsi="方正小标宋_GBK" w:cs="方正小标宋_GBK"/>
          <w:kern w:val="0"/>
        </w:rPr>
        <w:t>建设标准（试行）》</w:t>
      </w:r>
      <w:r>
        <w:rPr>
          <w:rFonts w:hint="eastAsia" w:ascii="方正小标宋_GBK" w:hAnsi="方正小标宋_GBK" w:cs="方正小标宋_GBK"/>
          <w:kern w:val="0"/>
        </w:rPr>
        <w:t>，</w:t>
      </w:r>
      <w:r>
        <w:rPr>
          <w:rFonts w:ascii="方正小标宋_GBK" w:hAnsi="方正小标宋_GBK" w:cs="方正小标宋_GBK"/>
          <w:kern w:val="0"/>
        </w:rPr>
        <w:t>建立温江区特殊教育资源中心</w:t>
      </w:r>
      <w:r>
        <w:rPr>
          <w:rFonts w:hint="eastAsia" w:ascii="方正小标宋_GBK" w:hAnsi="方正小标宋_GBK" w:cs="方正小标宋_GBK"/>
          <w:kern w:val="0"/>
        </w:rPr>
        <w:t>，</w:t>
      </w:r>
      <w:r>
        <w:rPr>
          <w:rFonts w:ascii="方正小标宋_GBK" w:hAnsi="方正小标宋_GBK" w:cs="方正小标宋_GBK"/>
          <w:kern w:val="0"/>
        </w:rPr>
        <w:t>优化资源配置、推进全纳教育、提升特殊教育质</w:t>
      </w:r>
      <w:r>
        <w:t>量</w:t>
      </w:r>
      <w:r>
        <w:rPr>
          <w:rFonts w:hint="eastAsia"/>
        </w:rPr>
        <w:t>。建设集管理、咨询、研究、评估、指导、服务于一体，</w:t>
      </w:r>
      <w:r>
        <w:t>以“整合资源、搭建平台、提供支持”为宗旨的特殊教育</w:t>
      </w:r>
      <w:r>
        <w:rPr>
          <w:rFonts w:hint="eastAsia"/>
        </w:rPr>
        <w:t>资源中心，为我区域内特殊教育学校、普通学校资源教室、师生和家长提供特殊教育专业化服务。</w:t>
      </w:r>
    </w:p>
    <w:p>
      <w:pPr>
        <w:pStyle w:val="3"/>
        <w:ind w:firstLine="480"/>
        <w:jc w:val="left"/>
        <w:rPr>
          <w:rFonts w:hAnsiTheme="minorHAnsi"/>
          <w:sz w:val="24"/>
        </w:rPr>
      </w:pPr>
      <w:r>
        <w:rPr>
          <w:rFonts w:hint="eastAsia" w:hAnsiTheme="minorHAnsi"/>
          <w:sz w:val="24"/>
        </w:rPr>
        <w:t>技术要求：</w:t>
      </w:r>
    </w:p>
    <w:p>
      <w:pPr>
        <w:pStyle w:val="3"/>
        <w:ind w:firstLine="480"/>
        <w:jc w:val="left"/>
        <w:rPr>
          <w:rFonts w:hAnsiTheme="minorHAnsi"/>
          <w:sz w:val="24"/>
        </w:rPr>
      </w:pPr>
      <w:r>
        <w:rPr>
          <w:rFonts w:hAnsiTheme="minorHAnsi"/>
          <w:sz w:val="24"/>
        </w:rPr>
        <w:t>1.</w:t>
      </w:r>
      <w:r>
        <w:rPr>
          <w:rFonts w:hint="eastAsia" w:hAnsiTheme="minorHAnsi"/>
          <w:sz w:val="24"/>
        </w:rPr>
        <w:t>负责区（市）县域内随班就读、送教上门工作的管理及考核，巡回指导随班就读及送教上门工作。</w:t>
      </w:r>
    </w:p>
    <w:p>
      <w:pPr>
        <w:pStyle w:val="3"/>
        <w:ind w:firstLine="480"/>
        <w:jc w:val="left"/>
        <w:rPr>
          <w:rFonts w:hAnsiTheme="minorHAnsi"/>
          <w:sz w:val="24"/>
        </w:rPr>
      </w:pPr>
      <w:r>
        <w:rPr>
          <w:rFonts w:hAnsiTheme="minorHAnsi"/>
          <w:sz w:val="24"/>
        </w:rPr>
        <w:t>2.</w:t>
      </w:r>
      <w:r>
        <w:rPr>
          <w:rFonts w:hint="eastAsia" w:hAnsiTheme="minorHAnsi"/>
          <w:sz w:val="24"/>
        </w:rPr>
        <w:t>指导普通学校资源教室的建设与运作，统筹配置、协调安排资源教室专用设备。</w:t>
      </w:r>
    </w:p>
    <w:p>
      <w:pPr>
        <w:pStyle w:val="3"/>
        <w:ind w:firstLine="480"/>
        <w:jc w:val="left"/>
        <w:rPr>
          <w:rFonts w:hAnsiTheme="minorHAnsi"/>
          <w:sz w:val="24"/>
        </w:rPr>
      </w:pPr>
      <w:r>
        <w:rPr>
          <w:rFonts w:hAnsiTheme="minorHAnsi"/>
          <w:sz w:val="24"/>
        </w:rPr>
        <w:t>3.</w:t>
      </w:r>
      <w:r>
        <w:rPr>
          <w:rFonts w:hint="eastAsia" w:hAnsiTheme="minorHAnsi"/>
          <w:sz w:val="24"/>
        </w:rPr>
        <w:t>负责区（市）县域内随班就读、送教上门对象的评估审核与备案，与普通学校教师共同为</w:t>
      </w:r>
      <w:r>
        <w:rPr>
          <w:rFonts w:hAnsiTheme="minorHAnsi"/>
          <w:sz w:val="24"/>
        </w:rPr>
        <w:t>“送教上门”</w:t>
      </w:r>
      <w:r>
        <w:rPr>
          <w:rFonts w:hint="eastAsia" w:hAnsiTheme="minorHAnsi"/>
          <w:sz w:val="24"/>
        </w:rPr>
        <w:t>学生开展教育</w:t>
      </w:r>
      <w:r>
        <w:rPr>
          <w:rFonts w:hAnsiTheme="minorHAnsi"/>
          <w:sz w:val="24"/>
        </w:rPr>
        <w:t>服务</w:t>
      </w:r>
      <w:r>
        <w:rPr>
          <w:rFonts w:hint="eastAsia" w:hAnsiTheme="minorHAnsi"/>
          <w:sz w:val="24"/>
        </w:rPr>
        <w:t>，配合卫生、残联等部门为随班就读、送教上门学生开展康复训练。</w:t>
      </w:r>
    </w:p>
    <w:p>
      <w:pPr>
        <w:pStyle w:val="3"/>
        <w:ind w:firstLine="480"/>
        <w:jc w:val="left"/>
        <w:rPr>
          <w:rFonts w:hAnsiTheme="minorHAnsi"/>
          <w:sz w:val="24"/>
        </w:rPr>
      </w:pPr>
      <w:r>
        <w:rPr>
          <w:rFonts w:hAnsiTheme="minorHAnsi"/>
          <w:sz w:val="24"/>
        </w:rPr>
        <w:t>4.</w:t>
      </w:r>
      <w:r>
        <w:rPr>
          <w:rFonts w:hint="eastAsia" w:hAnsiTheme="minorHAnsi"/>
          <w:sz w:val="24"/>
        </w:rPr>
        <w:t>开展特殊教育教研科研。深入研究特殊教育热点问题和突出问题，研发随班就读、送教上门教具、学具及相关辅具。</w:t>
      </w:r>
    </w:p>
    <w:p>
      <w:pPr>
        <w:pStyle w:val="3"/>
        <w:ind w:firstLine="480"/>
        <w:jc w:val="left"/>
        <w:rPr>
          <w:rFonts w:hAnsiTheme="minorHAnsi"/>
          <w:sz w:val="24"/>
        </w:rPr>
      </w:pPr>
      <w:r>
        <w:rPr>
          <w:rFonts w:hAnsiTheme="minorHAnsi"/>
          <w:sz w:val="24"/>
        </w:rPr>
        <w:t>5.</w:t>
      </w:r>
      <w:r>
        <w:rPr>
          <w:rFonts w:hint="eastAsia" w:hAnsiTheme="minorHAnsi"/>
          <w:sz w:val="24"/>
        </w:rPr>
        <w:t>开展特殊教育专业培训及咨询服务。组织开展区域特殊教育学校（机构）教师、随班就读教师、资源教师、送教上门教师的专业培训，为普校教师、家长、学生开展咨询服务。</w:t>
      </w:r>
    </w:p>
    <w:p>
      <w:pPr>
        <w:pStyle w:val="3"/>
        <w:ind w:firstLine="480"/>
        <w:rPr>
          <w:rFonts w:hAnsiTheme="minorHAnsi"/>
          <w:sz w:val="24"/>
        </w:rPr>
      </w:pPr>
      <w:r>
        <w:rPr>
          <w:rFonts w:hint="eastAsia" w:hAnsiTheme="minorHAnsi"/>
          <w:sz w:val="24"/>
        </w:rPr>
        <w:t>6.标准规范：</w:t>
      </w:r>
    </w:p>
    <w:p>
      <w:pPr>
        <w:pStyle w:val="3"/>
        <w:ind w:firstLine="480"/>
        <w:rPr>
          <w:rFonts w:hAnsiTheme="minorHAnsi"/>
          <w:sz w:val="24"/>
        </w:rPr>
      </w:pPr>
      <w:r>
        <w:rPr>
          <w:rFonts w:hAnsiTheme="minorHAnsi"/>
          <w:sz w:val="24"/>
        </w:rPr>
        <w:t>《居室空气中甲醛的卫生标准》GB/T18883-2002</w:t>
      </w:r>
    </w:p>
    <w:p>
      <w:pPr>
        <w:pStyle w:val="3"/>
        <w:ind w:firstLine="480"/>
        <w:rPr>
          <w:rFonts w:hAnsiTheme="minorHAnsi"/>
          <w:sz w:val="24"/>
        </w:rPr>
      </w:pPr>
      <w:r>
        <w:rPr>
          <w:rFonts w:hint="eastAsia" w:hAnsiTheme="minorHAnsi"/>
          <w:sz w:val="24"/>
        </w:rPr>
        <w:t>《消费品使用说明第6部分：家具》G</w:t>
      </w:r>
      <w:r>
        <w:rPr>
          <w:rFonts w:hAnsiTheme="minorHAnsi"/>
          <w:sz w:val="24"/>
        </w:rPr>
        <w:t>B5296.6-2004</w:t>
      </w:r>
    </w:p>
    <w:p>
      <w:pPr>
        <w:pStyle w:val="6"/>
        <w:numPr>
          <w:ilvl w:val="2"/>
          <w:numId w:val="0"/>
        </w:numPr>
        <w:ind w:leftChars="0"/>
      </w:pPr>
      <w:bookmarkStart w:id="335" w:name="_Toc22545"/>
      <w:bookmarkStart w:id="336" w:name="_Toc24445"/>
      <w:bookmarkStart w:id="337" w:name="_Toc8038"/>
      <w:r>
        <w:rPr>
          <w:rFonts w:hint="eastAsia"/>
        </w:rPr>
        <w:t>2.1.2 心理咨询室</w:t>
      </w:r>
      <w:bookmarkEnd w:id="335"/>
      <w:bookmarkEnd w:id="336"/>
      <w:bookmarkEnd w:id="337"/>
    </w:p>
    <w:p>
      <w:pPr>
        <w:ind w:firstLine="480"/>
      </w:pPr>
      <w:r>
        <w:t>着眼于心理教育发展内涵</w:t>
      </w:r>
      <w:r>
        <w:rPr>
          <w:rFonts w:hint="eastAsia"/>
        </w:rPr>
        <w:t>，</w:t>
      </w:r>
      <w:r>
        <w:t>根据成都市颁发</w:t>
      </w:r>
      <w:r>
        <w:rPr>
          <w:rFonts w:hint="eastAsia"/>
        </w:rPr>
        <w:t>《中小学校心理咨询室建设规范》，加强师生心理健康服务，健全心理健康服务体系。建设一间符合特殊学生实际需求的心理咨询室，配备符合标准的、科学的心理设施设备，为学校师生提供温馨、安全、舒适的心理咨询、心理疗愈、心理放松和情绪宣泄场所，搭建心灵交流、沟通平台，提供优质的心理咨询、心理疏导、情感宣泄等优质服务，关心关爱学校学生、教师心理健康问题，推动心理健康教育事业发展。</w:t>
      </w:r>
    </w:p>
    <w:p>
      <w:pPr>
        <w:pStyle w:val="3"/>
        <w:ind w:firstLine="480"/>
        <w:rPr>
          <w:rFonts w:hAnsiTheme="minorHAnsi"/>
          <w:sz w:val="24"/>
        </w:rPr>
      </w:pPr>
      <w:r>
        <w:rPr>
          <w:rFonts w:hint="eastAsia" w:hAnsiTheme="minorHAnsi"/>
          <w:sz w:val="24"/>
        </w:rPr>
        <w:t>功能室要求：</w:t>
      </w:r>
    </w:p>
    <w:p>
      <w:pPr>
        <w:pStyle w:val="3"/>
        <w:ind w:firstLine="480"/>
        <w:rPr>
          <w:rFonts w:hAnsiTheme="minorHAnsi"/>
          <w:sz w:val="24"/>
        </w:rPr>
      </w:pPr>
      <w:r>
        <w:rPr>
          <w:rFonts w:hAnsiTheme="minorHAnsi"/>
          <w:sz w:val="24"/>
        </w:rPr>
        <w:t>1.</w:t>
      </w:r>
      <w:r>
        <w:rPr>
          <w:rFonts w:hint="eastAsia" w:hAnsiTheme="minorHAnsi"/>
          <w:sz w:val="24"/>
        </w:rPr>
        <w:t>心理室选址：</w:t>
      </w:r>
    </w:p>
    <w:p>
      <w:pPr>
        <w:pStyle w:val="3"/>
        <w:ind w:firstLine="480"/>
        <w:rPr>
          <w:rFonts w:hAnsiTheme="minorHAnsi"/>
          <w:sz w:val="24"/>
        </w:rPr>
      </w:pPr>
      <w:r>
        <w:rPr>
          <w:rFonts w:hint="eastAsia" w:hAnsiTheme="minorHAnsi"/>
          <w:sz w:val="24"/>
        </w:rPr>
        <w:t>心理室选址一般要求安静隔音、明亮舒适、便于来访，但出入不明显。</w:t>
      </w:r>
    </w:p>
    <w:p>
      <w:pPr>
        <w:pStyle w:val="3"/>
        <w:ind w:firstLine="480"/>
        <w:rPr>
          <w:rFonts w:hAnsiTheme="minorHAnsi"/>
          <w:sz w:val="24"/>
        </w:rPr>
      </w:pPr>
      <w:r>
        <w:rPr>
          <w:rFonts w:hAnsiTheme="minorHAnsi"/>
          <w:sz w:val="24"/>
        </w:rPr>
        <w:t>2.</w:t>
      </w:r>
      <w:r>
        <w:rPr>
          <w:rFonts w:hint="eastAsia" w:hAnsiTheme="minorHAnsi"/>
          <w:sz w:val="24"/>
        </w:rPr>
        <w:t>心理咨询室布置：</w:t>
      </w:r>
    </w:p>
    <w:p>
      <w:pPr>
        <w:pStyle w:val="3"/>
        <w:ind w:firstLine="480"/>
        <w:rPr>
          <w:rFonts w:hAnsiTheme="minorHAnsi"/>
          <w:sz w:val="24"/>
        </w:rPr>
      </w:pPr>
      <w:r>
        <w:rPr>
          <w:rFonts w:hint="eastAsia" w:hAnsiTheme="minorHAnsi"/>
          <w:sz w:val="24"/>
        </w:rPr>
        <w:t>心理咨询室的布置以简洁、温馨、舒适、安全，符合特殊人群特点为原则。</w:t>
      </w:r>
    </w:p>
    <w:p>
      <w:pPr>
        <w:pStyle w:val="3"/>
        <w:ind w:firstLine="480"/>
        <w:jc w:val="left"/>
        <w:rPr>
          <w:rFonts w:hAnsiTheme="minorHAnsi"/>
          <w:sz w:val="24"/>
        </w:rPr>
      </w:pPr>
      <w:r>
        <w:rPr>
          <w:rFonts w:hint="eastAsia" w:hAnsiTheme="minorHAnsi"/>
          <w:sz w:val="24"/>
        </w:rPr>
        <w:t>1）温馨性：整体氛围要宁静，不应该布置分散来访者注意力的物件。咨询室的采光、通风条件要好，温度适宜，屋内布置要以浅色调为主，来访者以明朗、愉快的感觉。可适当地用鲜花、绿树、盆栽和画图等装饰环境。</w:t>
      </w:r>
    </w:p>
    <w:p>
      <w:pPr>
        <w:pStyle w:val="3"/>
        <w:ind w:firstLine="480"/>
        <w:jc w:val="left"/>
        <w:rPr>
          <w:rFonts w:hAnsiTheme="minorHAnsi"/>
          <w:sz w:val="24"/>
        </w:rPr>
      </w:pPr>
      <w:r>
        <w:rPr>
          <w:rFonts w:hint="eastAsia" w:hAnsiTheme="minorHAnsi"/>
          <w:sz w:val="24"/>
        </w:rPr>
        <w:t>2）宣传性：对于首次来访的人员来说还很陌生，可在墙上挂有咨询室工作制度等宣传材料。</w:t>
      </w:r>
    </w:p>
    <w:p>
      <w:pPr>
        <w:pStyle w:val="3"/>
        <w:ind w:firstLine="480"/>
        <w:jc w:val="left"/>
        <w:rPr>
          <w:rFonts w:hAnsiTheme="minorHAnsi"/>
          <w:sz w:val="24"/>
        </w:rPr>
      </w:pPr>
      <w:r>
        <w:rPr>
          <w:rFonts w:hint="eastAsia" w:hAnsiTheme="minorHAnsi"/>
          <w:sz w:val="24"/>
        </w:rPr>
        <w:t>3）隐密性：来访者在做心理咨询时，要让他们感觉到一种安全感和信任感，咨询室的布置要体现出隐密性。来访者所坐的位置应避免门窗方向，不应该让来访者与突然来访者照面。</w:t>
      </w:r>
    </w:p>
    <w:p>
      <w:pPr>
        <w:pStyle w:val="3"/>
        <w:ind w:firstLine="480"/>
        <w:jc w:val="left"/>
        <w:rPr>
          <w:rFonts w:hAnsiTheme="minorHAnsi"/>
          <w:sz w:val="24"/>
        </w:rPr>
      </w:pPr>
      <w:r>
        <w:rPr>
          <w:rFonts w:hint="eastAsia" w:hAnsiTheme="minorHAnsi"/>
          <w:sz w:val="24"/>
        </w:rPr>
        <w:t>4）安静性：嘈杂声会影响来访者乃至咨询师的情绪，会严重影响咨询的效果。</w:t>
      </w:r>
    </w:p>
    <w:p>
      <w:pPr>
        <w:pStyle w:val="3"/>
        <w:ind w:firstLine="480"/>
        <w:jc w:val="left"/>
        <w:rPr>
          <w:rFonts w:hAnsiTheme="minorHAnsi"/>
          <w:sz w:val="24"/>
        </w:rPr>
      </w:pPr>
      <w:r>
        <w:rPr>
          <w:rFonts w:hint="eastAsia" w:hAnsiTheme="minorHAnsi"/>
          <w:sz w:val="24"/>
        </w:rPr>
        <w:t>3</w:t>
      </w:r>
      <w:r>
        <w:rPr>
          <w:rFonts w:hAnsiTheme="minorHAnsi"/>
          <w:sz w:val="24"/>
        </w:rPr>
        <w:t>.</w:t>
      </w:r>
      <w:r>
        <w:rPr>
          <w:rFonts w:hint="eastAsia" w:hAnsiTheme="minorHAnsi"/>
          <w:sz w:val="24"/>
        </w:rPr>
        <w:t>标准规范</w:t>
      </w:r>
    </w:p>
    <w:p>
      <w:pPr>
        <w:pStyle w:val="3"/>
        <w:ind w:firstLine="480"/>
        <w:jc w:val="left"/>
        <w:rPr>
          <w:rFonts w:hAnsiTheme="minorHAnsi"/>
          <w:sz w:val="24"/>
        </w:rPr>
      </w:pPr>
      <w:r>
        <w:rPr>
          <w:rFonts w:hAnsiTheme="minorHAnsi"/>
          <w:sz w:val="24"/>
        </w:rPr>
        <w:t>《室内装饰装修材料人造板及其制品中甲醛释放限量》GB18580—2001</w:t>
      </w:r>
    </w:p>
    <w:p>
      <w:pPr>
        <w:pStyle w:val="3"/>
        <w:ind w:firstLine="480"/>
        <w:jc w:val="left"/>
        <w:rPr>
          <w:rFonts w:hAnsiTheme="minorHAnsi"/>
          <w:sz w:val="24"/>
        </w:rPr>
      </w:pPr>
      <w:r>
        <w:rPr>
          <w:rFonts w:hAnsiTheme="minorHAnsi"/>
          <w:sz w:val="24"/>
        </w:rPr>
        <w:t>《居室空气中甲醛的卫生标准》GB/T18883-2002</w:t>
      </w:r>
    </w:p>
    <w:p>
      <w:pPr>
        <w:pStyle w:val="3"/>
        <w:ind w:firstLine="480"/>
        <w:jc w:val="left"/>
        <w:rPr>
          <w:rFonts w:hAnsiTheme="minorHAnsi"/>
          <w:sz w:val="24"/>
        </w:rPr>
      </w:pPr>
      <w:r>
        <w:rPr>
          <w:rFonts w:hint="eastAsia" w:hAnsiTheme="minorHAnsi"/>
          <w:sz w:val="24"/>
        </w:rPr>
        <w:t>《中小学校心理咨询室建设规范》</w:t>
      </w:r>
    </w:p>
    <w:p>
      <w:pPr>
        <w:pStyle w:val="6"/>
        <w:numPr>
          <w:ilvl w:val="2"/>
          <w:numId w:val="0"/>
        </w:numPr>
        <w:ind w:leftChars="0"/>
      </w:pPr>
      <w:bookmarkStart w:id="338" w:name="_Toc15121"/>
      <w:bookmarkStart w:id="339" w:name="_Toc15399"/>
      <w:bookmarkStart w:id="340" w:name="_Toc22456"/>
      <w:r>
        <w:rPr>
          <w:rFonts w:hint="eastAsia"/>
        </w:rPr>
        <w:t>2.1.3 康复训练室</w:t>
      </w:r>
      <w:bookmarkEnd w:id="338"/>
      <w:bookmarkEnd w:id="339"/>
      <w:bookmarkEnd w:id="340"/>
    </w:p>
    <w:p>
      <w:pPr>
        <w:ind w:firstLine="480"/>
      </w:pPr>
      <w:r>
        <w:rPr>
          <w:rFonts w:hint="eastAsia"/>
        </w:rPr>
        <w:t>根据《义务教育阶段培智学校教学与医疗康复仪器设备配备标准》、《成都市培智学校教学与康复设施设备装备标准（试行）》以及《成都市区（市）县特殊教育资源中心建设标准（试行）》，坚持“教康结合”发展之路，</w:t>
      </w:r>
      <w:r>
        <w:t>完善特殊教育教育康复功能室配置</w:t>
      </w:r>
      <w:r>
        <w:rPr>
          <w:rFonts w:hint="eastAsia"/>
        </w:rPr>
        <w:t>，建设康复训练室，配备符合标准的专业化康复设施设备，进行感觉统合、多感官、物理治疗、作业治疗、言语康复等康复训练，满足特殊儿童康复训练需求。</w:t>
      </w:r>
    </w:p>
    <w:p>
      <w:pPr>
        <w:ind w:firstLine="480"/>
      </w:pPr>
      <w:r>
        <w:t>1</w:t>
      </w:r>
      <w:r>
        <w:rPr>
          <w:rFonts w:hint="eastAsia"/>
        </w:rPr>
        <w:t>.感觉统合：</w:t>
      </w:r>
    </w:p>
    <w:p>
      <w:pPr>
        <w:ind w:firstLine="480"/>
      </w:pPr>
      <w:r>
        <w:rPr>
          <w:rFonts w:hint="eastAsia"/>
        </w:rPr>
        <w:t>1）背景：感觉统合指脑对各种感觉信息进行选择、解释、联系和统一的神经心理过程。研究证实：感觉统合功能对儿童的生活、学习、心理健康状态和人际交往等方面均有影响，是儿童健康正常的重要方面，然而，不同的时代患感觉统合失调障碍的儿童数量不断增加（尤其是依靠学步车学习行走的儿童），据统计3-</w:t>
      </w:r>
      <w:r>
        <w:t>13</w:t>
      </w:r>
      <w:r>
        <w:rPr>
          <w:rFonts w:hint="eastAsia"/>
        </w:rPr>
        <w:t>岁儿童感觉统合失调率可能在1</w:t>
      </w:r>
      <w:r>
        <w:t>0</w:t>
      </w:r>
      <w:r>
        <w:rPr>
          <w:rFonts w:hint="eastAsia"/>
        </w:rPr>
        <w:t>%-</w:t>
      </w:r>
      <w:r>
        <w:t>30</w:t>
      </w:r>
      <w:r>
        <w:rPr>
          <w:rFonts w:hint="eastAsia"/>
        </w:rPr>
        <w:t>%之间，这引起家庭、幼儿园和社区的关注。目前，各大幼儿园顺应社会需求相继购买感统训练器材，尤其需要精通感觉统合理论，掌握感觉统合训练的专业教师。因此，为提高学生的特殊只是技能，提高学生的素质，使其更好的满足特殊教育要求，有必要建设感觉统合教室。</w:t>
      </w:r>
    </w:p>
    <w:p>
      <w:pPr>
        <w:ind w:firstLine="480"/>
      </w:pPr>
      <w:r>
        <w:rPr>
          <w:rFonts w:hint="eastAsia"/>
        </w:rPr>
        <w:t>2）感觉统合建设要求：感觉统合是指脑对个体从视、听、触、嗅、前庭等不同感觉通路输入的感觉信息进行选择、解释、联系和抑制的神经心理过程是个体进行日常生活、学习和工作的基础。感觉统合是一个信息加工过程。在这个过程中，脑必须以灵活的、不断变换的方式对各种感觉信息进行比较、选择、练习、增加或抑制，做出综合判断，形成可执行的指令，所以，感觉统合不只是感觉器官“感受刺激”的过程，而是脑对感觉信息的整合加工过程。环境要求室内有窗，保证通风良好，墙面软包和无障碍设施，避免碰撞等危险。墙面颜色根据装修风格而定，给人温暖舒适安静的环境。</w:t>
      </w:r>
    </w:p>
    <w:p>
      <w:pPr>
        <w:ind w:firstLine="480"/>
      </w:pPr>
      <w:r>
        <w:t>2</w:t>
      </w:r>
      <w:r>
        <w:rPr>
          <w:rFonts w:hint="eastAsia"/>
        </w:rPr>
        <w:t>.多感官：</w:t>
      </w:r>
      <w:r>
        <w:t>多感官综合训练是促进脑发育的最佳治疗方式。通过这种多感官刺激的治疗训练活动，可以让学生主动参与，依兴趣探索环境及因接触、操控各类触控装置而获得独特和印象深刻的奇趣感官体验，这种交互式的回馈对于诱发及培养孩子在主动探索环境、尝试适应环境的变化及积极参与，体验身边的转变等各方面皆有正面而深远的影响，从而协助孩子培养更有自信、更自主及更有乐趣的学习活动。令孩子在学习动机、与环境的互动关系及应用生活技能方面趋向更成熟的发展。</w:t>
      </w:r>
    </w:p>
    <w:p>
      <w:pPr>
        <w:ind w:firstLine="480"/>
      </w:pPr>
      <w:r>
        <w:rPr>
          <w:rFonts w:hint="eastAsia"/>
        </w:rPr>
        <w:t>3.物理治疗区（PT）：配备下肢训练器、股四头肌训练器等相应康复设施设备，用于协助康复师对有肢体康复需求的特殊儿童进行有效的康复训练，改善肌力和肌张力、关节受限和关节灵活度等问题。</w:t>
      </w:r>
    </w:p>
    <w:p>
      <w:pPr>
        <w:ind w:firstLine="480"/>
      </w:pPr>
      <w:r>
        <w:rPr>
          <w:rFonts w:hint="eastAsia"/>
        </w:rPr>
        <w:t>4. 作业治疗区（OT）：配备引导式上肢协调器、手功能训练器等设施设备，便于康复师对特殊儿童进行有目的的作业活动，对于手功能较弱、手部肌力和肌张力受限的特殊儿童进行治疗和训练，使其恢复、改善和增强生活、学习和劳动能力，正常参与家庭和社会生活。</w:t>
      </w:r>
    </w:p>
    <w:p>
      <w:pPr>
        <w:ind w:firstLine="480"/>
      </w:pPr>
      <w:r>
        <w:rPr>
          <w:rFonts w:hint="eastAsia"/>
        </w:rPr>
        <w:t>5. 蒙特梭利区：打造适宜儿童自由活动的场地和教具，信任儿童内在的、潜在的力量，为儿童提供一个适当的环境，让儿童自由活动。配备小型的家具、玻璃、陶瓷、木质教具等小物件，供儿童进行操作练习，儿童通过自主的操作教具，从中主动的获得大量感官经验及掌握不容易被理解的数理知识。</w:t>
      </w:r>
    </w:p>
    <w:p>
      <w:pPr>
        <w:ind w:firstLine="480"/>
      </w:pPr>
      <w:r>
        <w:rPr>
          <w:rFonts w:hint="eastAsia"/>
        </w:rPr>
        <w:t>6. 个训区：配备早期言语评估与训练系统和语言训练工具；儿童认知能力测试与训练仪和沟通辅具；孤独症儿童综合评估与干预系统和认知沟通辅具；共同注意力评估与训练系统和训练辅具。为儿童提供早期语言能力的评估，词语、词组、句子、短文各方面的评估及训练；感知能力、注意能力、记忆能力、数的能力、思维想象能力等认知能力认知能力的评估与训练；提供以应用性行为分析作为理论基础，结合孤独症儿童的临床特征及矫正模式，利用计算机辅助干预语音信号处理和多媒体动画技术，为孤独症谱系障碍儿童提供一种兼具科学性和趣味性的评估、干预及训练；通过各种任务及训练模式提高儿童的共同注意力、社会交往技能等。达到康复的目标。</w:t>
      </w:r>
    </w:p>
    <w:p>
      <w:pPr>
        <w:pStyle w:val="3"/>
        <w:ind w:firstLine="480"/>
        <w:rPr>
          <w:rFonts w:hAnsiTheme="minorHAnsi"/>
          <w:sz w:val="24"/>
        </w:rPr>
      </w:pPr>
      <w:r>
        <w:rPr>
          <w:rFonts w:hint="eastAsia" w:hAnsiTheme="minorHAnsi"/>
          <w:sz w:val="24"/>
        </w:rPr>
        <w:t>7</w:t>
      </w:r>
      <w:r>
        <w:rPr>
          <w:rFonts w:hAnsiTheme="minorHAnsi"/>
          <w:sz w:val="24"/>
        </w:rPr>
        <w:t>.</w:t>
      </w:r>
      <w:r>
        <w:rPr>
          <w:rFonts w:hint="eastAsia" w:hAnsiTheme="minorHAnsi"/>
          <w:sz w:val="24"/>
        </w:rPr>
        <w:t>技术规范</w:t>
      </w:r>
    </w:p>
    <w:p>
      <w:pPr>
        <w:pStyle w:val="3"/>
        <w:ind w:firstLine="480"/>
        <w:rPr>
          <w:rFonts w:hAnsiTheme="minorHAnsi"/>
          <w:sz w:val="24"/>
        </w:rPr>
      </w:pPr>
      <w:r>
        <w:rPr>
          <w:rFonts w:hint="eastAsia" w:hAnsiTheme="minorHAnsi"/>
          <w:sz w:val="24"/>
        </w:rPr>
        <w:t>《医用电器设备》G</w:t>
      </w:r>
      <w:r>
        <w:rPr>
          <w:rFonts w:hAnsiTheme="minorHAnsi"/>
          <w:sz w:val="24"/>
        </w:rPr>
        <w:t>B9706.1-2007</w:t>
      </w:r>
    </w:p>
    <w:p>
      <w:pPr>
        <w:pStyle w:val="3"/>
        <w:ind w:firstLine="480"/>
        <w:rPr>
          <w:rFonts w:hAnsiTheme="minorHAnsi"/>
          <w:sz w:val="24"/>
        </w:rPr>
      </w:pPr>
      <w:r>
        <w:rPr>
          <w:rFonts w:hint="eastAsia" w:hAnsiTheme="minorHAnsi"/>
          <w:sz w:val="24"/>
        </w:rPr>
        <w:t>《医用电器设备环境要求和试验方法》G</w:t>
      </w:r>
      <w:r>
        <w:rPr>
          <w:rFonts w:hAnsiTheme="minorHAnsi"/>
          <w:sz w:val="24"/>
        </w:rPr>
        <w:t>B/T14710</w:t>
      </w:r>
    </w:p>
    <w:p>
      <w:pPr>
        <w:pStyle w:val="3"/>
        <w:ind w:firstLine="480"/>
        <w:rPr>
          <w:rFonts w:hAnsiTheme="minorHAnsi"/>
          <w:sz w:val="24"/>
        </w:rPr>
      </w:pPr>
      <w:r>
        <w:rPr>
          <w:rFonts w:hint="eastAsia" w:hAnsiTheme="minorHAnsi"/>
          <w:sz w:val="24"/>
        </w:rPr>
        <w:t>《教学实验室设备试验台（桌）的安全要求及实验方法》G</w:t>
      </w:r>
      <w:r>
        <w:rPr>
          <w:rFonts w:hAnsiTheme="minorHAnsi"/>
          <w:sz w:val="24"/>
        </w:rPr>
        <w:t>B/T21747</w:t>
      </w:r>
    </w:p>
    <w:p>
      <w:pPr>
        <w:pStyle w:val="3"/>
        <w:ind w:firstLine="480"/>
        <w:rPr>
          <w:rFonts w:hAnsiTheme="minorHAnsi"/>
          <w:sz w:val="24"/>
        </w:rPr>
      </w:pPr>
      <w:r>
        <w:rPr>
          <w:rFonts w:hint="eastAsia" w:hAnsiTheme="minorHAnsi"/>
          <w:sz w:val="24"/>
        </w:rPr>
        <w:t>《视频展示台》J</w:t>
      </w:r>
      <w:r>
        <w:rPr>
          <w:rFonts w:hAnsiTheme="minorHAnsi"/>
          <w:sz w:val="24"/>
        </w:rPr>
        <w:t>Y/T0363</w:t>
      </w:r>
    </w:p>
    <w:p>
      <w:pPr>
        <w:pStyle w:val="3"/>
        <w:ind w:firstLine="480"/>
        <w:rPr>
          <w:sz w:val="24"/>
          <w:szCs w:val="21"/>
        </w:rPr>
      </w:pPr>
      <w:r>
        <w:rPr>
          <w:rFonts w:hint="eastAsia"/>
          <w:sz w:val="24"/>
          <w:szCs w:val="21"/>
        </w:rPr>
        <w:t>《</w:t>
      </w:r>
      <w:r>
        <w:rPr>
          <w:sz w:val="24"/>
          <w:szCs w:val="21"/>
        </w:rPr>
        <w:t>聚氯乙烯人造革</w:t>
      </w:r>
      <w:r>
        <w:rPr>
          <w:rFonts w:hint="eastAsia"/>
          <w:sz w:val="24"/>
          <w:szCs w:val="21"/>
        </w:rPr>
        <w:t>》</w:t>
      </w:r>
      <w:r>
        <w:rPr>
          <w:sz w:val="24"/>
          <w:szCs w:val="21"/>
        </w:rPr>
        <w:t>GB/T 8948-2008</w:t>
      </w:r>
    </w:p>
    <w:p>
      <w:pPr>
        <w:pStyle w:val="3"/>
        <w:ind w:firstLine="480"/>
        <w:rPr>
          <w:rFonts w:hAnsiTheme="minorHAnsi"/>
          <w:sz w:val="21"/>
          <w:szCs w:val="21"/>
        </w:rPr>
      </w:pPr>
      <w:r>
        <w:rPr>
          <w:rFonts w:hint="eastAsia"/>
          <w:sz w:val="24"/>
          <w:szCs w:val="21"/>
        </w:rPr>
        <w:t>《二类医疗器械技术要求》</w:t>
      </w:r>
    </w:p>
    <w:p>
      <w:pPr>
        <w:pStyle w:val="3"/>
        <w:ind w:firstLine="480"/>
      </w:pPr>
      <w:r>
        <w:rPr>
          <w:rFonts w:hint="eastAsia" w:hAnsiTheme="minorHAnsi"/>
          <w:sz w:val="24"/>
        </w:rPr>
        <w:t>《玩具安全》G</w:t>
      </w:r>
      <w:r>
        <w:rPr>
          <w:rFonts w:hAnsiTheme="minorHAnsi"/>
          <w:sz w:val="24"/>
        </w:rPr>
        <w:t>B-6675</w:t>
      </w:r>
    </w:p>
    <w:p>
      <w:pPr>
        <w:pStyle w:val="3"/>
        <w:ind w:firstLine="480"/>
        <w:rPr>
          <w:rFonts w:hAnsiTheme="minorHAnsi"/>
          <w:sz w:val="24"/>
        </w:rPr>
      </w:pPr>
      <w:r>
        <w:rPr>
          <w:rFonts w:hint="eastAsia" w:hAnsiTheme="minorHAnsi"/>
          <w:sz w:val="24"/>
        </w:rPr>
        <w:t>《微型计算机通用规范》</w:t>
      </w:r>
      <w:r>
        <w:rPr>
          <w:rFonts w:hAnsiTheme="minorHAnsi"/>
          <w:sz w:val="24"/>
        </w:rPr>
        <w:t>GB/T 9813</w:t>
      </w:r>
    </w:p>
    <w:p>
      <w:pPr>
        <w:pStyle w:val="3"/>
        <w:ind w:firstLine="480"/>
        <w:rPr>
          <w:rFonts w:hAnsiTheme="minorHAnsi"/>
          <w:sz w:val="24"/>
        </w:rPr>
      </w:pPr>
      <w:r>
        <w:rPr>
          <w:rFonts w:hint="eastAsia" w:hAnsiTheme="minorHAnsi"/>
          <w:sz w:val="24"/>
        </w:rPr>
        <w:t>《健身器材的安全》</w:t>
      </w:r>
      <w:r>
        <w:rPr>
          <w:rFonts w:hAnsiTheme="minorHAnsi"/>
          <w:sz w:val="24"/>
        </w:rPr>
        <w:t>GB17498</w:t>
      </w:r>
    </w:p>
    <w:p>
      <w:pPr>
        <w:pStyle w:val="3"/>
        <w:ind w:firstLine="480"/>
        <w:rPr>
          <w:rFonts w:hAnsiTheme="minorHAnsi"/>
          <w:sz w:val="24"/>
        </w:rPr>
      </w:pPr>
      <w:r>
        <w:rPr>
          <w:rFonts w:hint="eastAsia" w:hAnsiTheme="minorHAnsi"/>
          <w:sz w:val="24"/>
        </w:rPr>
        <w:t>《教学仪器设备安全要求》</w:t>
      </w:r>
      <w:r>
        <w:rPr>
          <w:rFonts w:hAnsiTheme="minorHAnsi"/>
          <w:sz w:val="24"/>
        </w:rPr>
        <w:t>GB21748</w:t>
      </w:r>
    </w:p>
    <w:p>
      <w:pPr>
        <w:pStyle w:val="3"/>
        <w:ind w:firstLineChars="0"/>
        <w:rPr>
          <w:rFonts w:hAnsiTheme="minorHAnsi"/>
          <w:sz w:val="24"/>
        </w:rPr>
      </w:pPr>
      <w:r>
        <w:rPr>
          <w:rFonts w:hAnsiTheme="minorHAnsi"/>
          <w:sz w:val="24"/>
        </w:rPr>
        <w:t>《室内装饰装修材料人造板及其制品中甲醛释放限量》GB18580—2001</w:t>
      </w:r>
    </w:p>
    <w:p>
      <w:pPr>
        <w:pStyle w:val="3"/>
        <w:ind w:firstLine="480" w:firstLineChars="0"/>
      </w:pPr>
      <w:r>
        <w:rPr>
          <w:rFonts w:hAnsiTheme="minorHAnsi"/>
          <w:sz w:val="24"/>
        </w:rPr>
        <w:t>《居室空气中甲醛的卫生标准》GB/T18883-2002</w:t>
      </w:r>
    </w:p>
    <w:p>
      <w:pPr>
        <w:pStyle w:val="6"/>
        <w:numPr>
          <w:ilvl w:val="2"/>
          <w:numId w:val="0"/>
        </w:numPr>
        <w:ind w:leftChars="0"/>
      </w:pPr>
      <w:bookmarkStart w:id="341" w:name="_Toc12679"/>
      <w:bookmarkStart w:id="342" w:name="_Toc7565"/>
      <w:bookmarkStart w:id="343" w:name="_Toc16965"/>
      <w:r>
        <w:rPr>
          <w:rFonts w:hint="eastAsia"/>
        </w:rPr>
        <w:t>2.1.4 艺术治疗室</w:t>
      </w:r>
      <w:bookmarkEnd w:id="341"/>
      <w:bookmarkEnd w:id="342"/>
      <w:bookmarkEnd w:id="343"/>
    </w:p>
    <w:p>
      <w:pPr>
        <w:ind w:firstLine="480"/>
      </w:pPr>
      <w:r>
        <w:rPr>
          <w:rFonts w:hint="eastAsia"/>
        </w:rPr>
        <w:t>结合特殊学生实际需求和学校发展规划，需建设集音乐、舞蹈、绘画、特奥运动等服务于一体的艺术治疗中心，配备舞蹈、奥尔夫音乐、美术和特奥相关设施设备，保障在教育教学和康复之余为学生提供适宜的艺术教育，增长学生的自信，让儿童在快乐、轻松、愉悦的环境中得到补偿，释放情绪，塑造行为。</w:t>
      </w:r>
    </w:p>
    <w:p>
      <w:pPr>
        <w:ind w:firstLine="480"/>
      </w:pPr>
      <w:r>
        <w:rPr>
          <w:rFonts w:hint="eastAsia"/>
        </w:rPr>
        <w:t>1</w:t>
      </w:r>
      <w:r>
        <w:t>. 律动舞蹈区</w:t>
      </w:r>
      <w:r>
        <w:rPr>
          <w:rFonts w:hint="eastAsia"/>
        </w:rPr>
        <w:t>：</w:t>
      </w:r>
      <w:r>
        <w:t>为特殊儿童提供唱游与律动课程教学第二场所</w:t>
      </w:r>
      <w:r>
        <w:rPr>
          <w:rFonts w:hint="eastAsia"/>
        </w:rPr>
        <w:t>，</w:t>
      </w:r>
      <w:r>
        <w:t>让学生在音乐中玩乐</w:t>
      </w:r>
      <w:r>
        <w:rPr>
          <w:rFonts w:hint="eastAsia"/>
        </w:rPr>
        <w:t>，</w:t>
      </w:r>
      <w:r>
        <w:t>在玩乐中感受</w:t>
      </w:r>
      <w:r>
        <w:rPr>
          <w:rFonts w:hint="eastAsia"/>
        </w:rPr>
        <w:t>、</w:t>
      </w:r>
      <w:r>
        <w:t>体验和学习音乐</w:t>
      </w:r>
      <w:r>
        <w:rPr>
          <w:rFonts w:hint="eastAsia"/>
        </w:rPr>
        <w:t>。</w:t>
      </w:r>
    </w:p>
    <w:p>
      <w:pPr>
        <w:ind w:firstLine="480"/>
      </w:pPr>
      <w:r>
        <w:rPr>
          <w:rFonts w:hint="eastAsia"/>
        </w:rPr>
        <w:t>2</w:t>
      </w:r>
      <w:r>
        <w:t>.</w:t>
      </w:r>
      <w:r>
        <w:rPr>
          <w:rFonts w:hint="eastAsia"/>
        </w:rPr>
        <w:t>奥尔夫音乐区：</w:t>
      </w:r>
      <w:r>
        <w:t>配备奥尔夫音乐乐器</w:t>
      </w:r>
      <w:r>
        <w:rPr>
          <w:rFonts w:hint="eastAsia"/>
        </w:rPr>
        <w:t>，便于教师利用专业的音乐乐器开展形式多样、丰富多彩的唱游活动，激发学生对音乐的兴趣，开发潜能，补偿缺陷。</w:t>
      </w:r>
    </w:p>
    <w:p>
      <w:pPr>
        <w:ind w:firstLine="480"/>
      </w:pPr>
      <w:r>
        <w:rPr>
          <w:rFonts w:hint="eastAsia"/>
        </w:rPr>
        <w:t>3</w:t>
      </w:r>
      <w:r>
        <w:t>.</w:t>
      </w:r>
      <w:r>
        <w:rPr>
          <w:rFonts w:hint="eastAsia"/>
        </w:rPr>
        <w:t>美工区：为学生提供美术第二课堂和学习活动场所，内配置美术教学所用工具、器材。让学生在教师的引导下通过绘画艺术创作活动，为学生与外界进行表达和沟通提供非言语桥梁，在绘画过程中得到舒解及满足，提升学生对自我的觉察力、问题解决能力、显示自己潜意识想法、倾泻情绪及解决冲突。</w:t>
      </w:r>
    </w:p>
    <w:p>
      <w:pPr>
        <w:ind w:firstLine="480"/>
      </w:pPr>
      <w:r>
        <w:rPr>
          <w:rFonts w:hint="eastAsia"/>
        </w:rPr>
        <w:t>4</w:t>
      </w:r>
      <w:r>
        <w:t>.</w:t>
      </w:r>
      <w:r>
        <w:rPr>
          <w:rFonts w:hint="eastAsia"/>
        </w:rPr>
        <w:t>特奥运动：配备特奥运动专业器械，如冰壶、硬地滚球等设施设备和特奥体育训练相关器械，为特殊儿童提供训练、比赛和活动的器材，让特殊儿童参与到体育运动中，体验运动的乐趣，培养自强、自立，平等的参与社会活动的意识。</w:t>
      </w:r>
    </w:p>
    <w:p>
      <w:pPr>
        <w:pStyle w:val="3"/>
        <w:ind w:firstLine="480"/>
        <w:rPr>
          <w:rFonts w:hAnsiTheme="minorHAnsi"/>
          <w:sz w:val="24"/>
        </w:rPr>
      </w:pPr>
      <w:r>
        <w:rPr>
          <w:sz w:val="24"/>
          <w:szCs w:val="21"/>
        </w:rPr>
        <w:t>5</w:t>
      </w:r>
      <w:r>
        <w:rPr>
          <w:rFonts w:hint="eastAsia"/>
          <w:sz w:val="24"/>
          <w:szCs w:val="21"/>
        </w:rPr>
        <w:t>.</w:t>
      </w:r>
      <w:r>
        <w:rPr>
          <w:rFonts w:hint="eastAsia" w:hAnsiTheme="minorHAnsi"/>
          <w:sz w:val="24"/>
        </w:rPr>
        <w:t>技术规范：</w:t>
      </w:r>
    </w:p>
    <w:p>
      <w:pPr>
        <w:pStyle w:val="3"/>
        <w:ind w:firstLine="480"/>
        <w:rPr>
          <w:rFonts w:asciiTheme="minorEastAsia" w:hAnsiTheme="minorEastAsia" w:eastAsiaTheme="minorEastAsia"/>
          <w:sz w:val="24"/>
          <w:szCs w:val="21"/>
        </w:rPr>
      </w:pPr>
      <w:r>
        <w:rPr>
          <w:rFonts w:hint="eastAsia"/>
          <w:sz w:val="24"/>
          <w:szCs w:val="21"/>
        </w:rPr>
        <w:t>《</w:t>
      </w:r>
      <w:r>
        <w:rPr>
          <w:sz w:val="24"/>
          <w:szCs w:val="21"/>
        </w:rPr>
        <w:t>体育用品标准</w:t>
      </w:r>
      <w:r>
        <w:rPr>
          <w:rFonts w:hint="eastAsia"/>
          <w:sz w:val="24"/>
          <w:szCs w:val="21"/>
        </w:rPr>
        <w:t>》</w:t>
      </w:r>
      <w:r>
        <w:rPr>
          <w:rFonts w:asciiTheme="minorEastAsia" w:hAnsiTheme="minorEastAsia" w:eastAsiaTheme="minorEastAsia"/>
          <w:sz w:val="24"/>
          <w:szCs w:val="21"/>
        </w:rPr>
        <w:t>GB/T 23866-2009</w:t>
      </w:r>
    </w:p>
    <w:p>
      <w:pPr>
        <w:pStyle w:val="3"/>
        <w:ind w:firstLine="480"/>
        <w:rPr>
          <w:rFonts w:asciiTheme="minorEastAsia" w:hAnsiTheme="minorEastAsia" w:eastAsiaTheme="minorEastAsia"/>
          <w:sz w:val="24"/>
          <w:szCs w:val="21"/>
        </w:rPr>
      </w:pPr>
      <w:r>
        <w:rPr>
          <w:rFonts w:hint="eastAsia" w:asciiTheme="minorEastAsia" w:hAnsiTheme="minorEastAsia" w:eastAsiaTheme="minorEastAsia"/>
          <w:sz w:val="24"/>
          <w:szCs w:val="21"/>
        </w:rPr>
        <w:t>《美术教学器材》J</w:t>
      </w:r>
      <w:r>
        <w:rPr>
          <w:rFonts w:asciiTheme="minorEastAsia" w:hAnsiTheme="minorEastAsia" w:eastAsiaTheme="minorEastAsia"/>
          <w:sz w:val="24"/>
          <w:szCs w:val="21"/>
        </w:rPr>
        <w:t>Y/T0470</w:t>
      </w:r>
      <w:r>
        <w:rPr>
          <w:rFonts w:hint="eastAsia" w:asciiTheme="minorEastAsia" w:hAnsiTheme="minorEastAsia" w:eastAsiaTheme="minorEastAsia"/>
          <w:sz w:val="24"/>
          <w:szCs w:val="21"/>
        </w:rPr>
        <w:t>-</w:t>
      </w:r>
      <w:r>
        <w:rPr>
          <w:rFonts w:asciiTheme="minorEastAsia" w:hAnsiTheme="minorEastAsia" w:eastAsiaTheme="minorEastAsia"/>
          <w:sz w:val="24"/>
          <w:szCs w:val="21"/>
        </w:rPr>
        <w:t>2015</w:t>
      </w:r>
    </w:p>
    <w:p>
      <w:pPr>
        <w:pStyle w:val="3"/>
        <w:ind w:firstLine="480"/>
        <w:rPr>
          <w:rFonts w:asciiTheme="minorEastAsia" w:hAnsiTheme="minorEastAsia" w:eastAsiaTheme="minorEastAsia"/>
          <w:sz w:val="18"/>
          <w:szCs w:val="18"/>
        </w:rPr>
      </w:pPr>
      <w:r>
        <w:rPr>
          <w:rFonts w:hint="eastAsia" w:asciiTheme="minorEastAsia" w:hAnsiTheme="minorEastAsia" w:eastAsiaTheme="minorEastAsia"/>
          <w:sz w:val="24"/>
          <w:szCs w:val="21"/>
        </w:rPr>
        <w:t>《乐器分类》G</w:t>
      </w:r>
      <w:r>
        <w:rPr>
          <w:rFonts w:asciiTheme="minorEastAsia" w:hAnsiTheme="minorEastAsia" w:eastAsiaTheme="minorEastAsia"/>
          <w:sz w:val="24"/>
          <w:szCs w:val="21"/>
        </w:rPr>
        <w:t>B/T23173-2008</w:t>
      </w:r>
    </w:p>
    <w:p>
      <w:pPr>
        <w:pStyle w:val="6"/>
        <w:numPr>
          <w:ilvl w:val="2"/>
          <w:numId w:val="0"/>
        </w:numPr>
        <w:ind w:leftChars="0"/>
      </w:pPr>
      <w:bookmarkStart w:id="344" w:name="_Toc1715"/>
      <w:bookmarkStart w:id="345" w:name="_Toc20318"/>
      <w:bookmarkStart w:id="346" w:name="_Toc453"/>
      <w:r>
        <w:rPr>
          <w:rFonts w:hint="eastAsia"/>
        </w:rPr>
        <w:t>2.1.5 生活情景体验室</w:t>
      </w:r>
      <w:bookmarkEnd w:id="344"/>
      <w:bookmarkEnd w:id="345"/>
      <w:bookmarkEnd w:id="346"/>
    </w:p>
    <w:p>
      <w:pPr>
        <w:ind w:firstLine="480"/>
      </w:pPr>
      <w:r>
        <w:rPr>
          <w:rFonts w:hint="eastAsia"/>
        </w:rPr>
        <w:t>根据《义务教育阶段培智学校教学与医疗康复仪器设备配备标准》和《成都市培智学校教学与康复设施设备装备标准（试行）》，建设生活情景室，配备烹饪场所和器具、家庭生活场景、劳动技能工具和生活情景模拟区，为特殊儿童提供真实的教育训练场地，在真实的场景中学习日常生活技能，习得生活必备知识和技能，为今后走出校园独立生活做准备，减轻家庭以及社会的负担。</w:t>
      </w:r>
    </w:p>
    <w:p>
      <w:pPr>
        <w:ind w:firstLine="480"/>
      </w:pPr>
      <w:r>
        <w:rPr>
          <w:rFonts w:hint="eastAsia"/>
        </w:rPr>
        <w:t>1</w:t>
      </w:r>
      <w:r>
        <w:t>. 烹饪区</w:t>
      </w:r>
      <w:r>
        <w:rPr>
          <w:rFonts w:hint="eastAsia"/>
        </w:rPr>
        <w:t>：</w:t>
      </w:r>
      <w:r>
        <w:t>提供真实的烹饪场地和器材</w:t>
      </w:r>
      <w:r>
        <w:rPr>
          <w:rFonts w:hint="eastAsia"/>
        </w:rPr>
        <w:t>，学生在老师的演示和指导下亲手操作简单的烹饪，提高学生的动手能力，让他们更好的认识各种食物、食材，了解操作流程，在整个操作的过程中可以很好的刺激学生的感官系统，让他们感受到成就感。</w:t>
      </w:r>
    </w:p>
    <w:p>
      <w:pPr>
        <w:ind w:firstLine="480"/>
      </w:pPr>
      <w:r>
        <w:rPr>
          <w:rFonts w:hint="eastAsia"/>
        </w:rPr>
        <w:t>2</w:t>
      </w:r>
      <w:r>
        <w:t>.</w:t>
      </w:r>
      <w:r>
        <w:rPr>
          <w:rFonts w:hint="eastAsia"/>
        </w:rPr>
        <w:t xml:space="preserve"> 家政区：为学生提供真实家庭活动场所，在特定的家庭环境中，学习并练习日常生活技能，帮助学生更好地掌握家庭日常生活常识、礼仪以及清洁等生活技能。</w:t>
      </w:r>
    </w:p>
    <w:p>
      <w:pPr>
        <w:pStyle w:val="3"/>
        <w:ind w:firstLine="480"/>
        <w:rPr>
          <w:rFonts w:hAnsiTheme="minorHAnsi"/>
          <w:sz w:val="24"/>
        </w:rPr>
      </w:pPr>
      <w:r>
        <w:rPr>
          <w:rFonts w:hAnsiTheme="minorHAnsi"/>
          <w:sz w:val="24"/>
        </w:rPr>
        <w:t xml:space="preserve">3. </w:t>
      </w:r>
      <w:r>
        <w:rPr>
          <w:rFonts w:hint="eastAsia" w:hAnsiTheme="minorHAnsi"/>
          <w:sz w:val="24"/>
        </w:rPr>
        <w:t>劳技区：配备日常劳动技能相关工具和器材，学生可以在老师的带领下进行种植、手工艺制作等相关学习，开发特殊学生的智力，补偿特殊学生的缺陷并发展其能力，能自食其力，成为有用的劳动贡献者。</w:t>
      </w:r>
    </w:p>
    <w:p>
      <w:pPr>
        <w:ind w:firstLine="480"/>
      </w:pPr>
      <w:r>
        <w:rPr>
          <w:rFonts w:hint="eastAsia"/>
        </w:rPr>
        <w:t>4</w:t>
      </w:r>
      <w:r>
        <w:t>.</w:t>
      </w:r>
      <w:r>
        <w:rPr>
          <w:rFonts w:hint="eastAsia"/>
        </w:rPr>
        <w:t xml:space="preserve"> 情景教学区：为教师生活化教学提供场所，教师带领儿童体验超市、银行、交通等社会场所，实现情景教学，完成在课堂上无法用语言表达或亲生感受的内容，使学生善于动脑，勤思考，促进他们心理过程的发展，提高学生生活适应能力。</w:t>
      </w:r>
    </w:p>
    <w:p>
      <w:pPr>
        <w:pStyle w:val="3"/>
        <w:ind w:firstLine="480"/>
        <w:rPr>
          <w:rFonts w:hAnsiTheme="minorHAnsi"/>
          <w:sz w:val="24"/>
        </w:rPr>
      </w:pPr>
      <w:r>
        <w:rPr>
          <w:rFonts w:hAnsiTheme="minorHAnsi"/>
          <w:sz w:val="24"/>
        </w:rPr>
        <w:t>5..</w:t>
      </w:r>
      <w:r>
        <w:rPr>
          <w:rFonts w:hint="eastAsia" w:hAnsiTheme="minorHAnsi"/>
          <w:sz w:val="24"/>
        </w:rPr>
        <w:t>技术规范：</w:t>
      </w:r>
    </w:p>
    <w:p>
      <w:pPr>
        <w:pStyle w:val="3"/>
        <w:ind w:firstLine="480"/>
        <w:rPr>
          <w:rFonts w:hAnsiTheme="minorHAnsi"/>
          <w:sz w:val="24"/>
        </w:rPr>
      </w:pPr>
      <w:r>
        <w:rPr>
          <w:rFonts w:hAnsiTheme="minorHAnsi"/>
          <w:sz w:val="24"/>
        </w:rPr>
        <w:t>《居室空气中甲醛的卫生标准》GB/T18883-2002</w:t>
      </w:r>
    </w:p>
    <w:p>
      <w:pPr>
        <w:pStyle w:val="3"/>
        <w:ind w:firstLine="480"/>
        <w:rPr>
          <w:rFonts w:hAnsiTheme="minorHAnsi"/>
          <w:sz w:val="24"/>
        </w:rPr>
      </w:pPr>
      <w:r>
        <w:rPr>
          <w:rFonts w:hint="eastAsia" w:hAnsiTheme="minorHAnsi"/>
          <w:sz w:val="24"/>
        </w:rPr>
        <w:t>《消费品使用说明第6部分：家具》G</w:t>
      </w:r>
      <w:r>
        <w:rPr>
          <w:rFonts w:hAnsiTheme="minorHAnsi"/>
          <w:sz w:val="24"/>
        </w:rPr>
        <w:t>B5296.6-2004</w:t>
      </w:r>
    </w:p>
    <w:p>
      <w:pPr>
        <w:pStyle w:val="3"/>
        <w:ind w:firstLine="480"/>
      </w:pPr>
      <w:r>
        <w:rPr>
          <w:rFonts w:hint="eastAsia" w:hAnsiTheme="minorHAnsi"/>
          <w:sz w:val="24"/>
        </w:rPr>
        <w:t>《室内装饰装修材料人造板及其制品中甲醛释放限量》</w:t>
      </w:r>
      <w:r>
        <w:rPr>
          <w:rFonts w:hAnsiTheme="minorHAnsi"/>
          <w:sz w:val="24"/>
        </w:rPr>
        <w:t>GB18580—2001</w:t>
      </w:r>
    </w:p>
    <w:p>
      <w:pPr>
        <w:ind w:firstLine="480"/>
      </w:pPr>
      <w:r>
        <w:br w:type="page"/>
      </w:r>
    </w:p>
    <w:p>
      <w:pPr>
        <w:pStyle w:val="5"/>
        <w:numPr>
          <w:ilvl w:val="1"/>
          <w:numId w:val="0"/>
        </w:numPr>
        <w:ind w:leftChars="0"/>
      </w:pPr>
      <w:bookmarkStart w:id="347" w:name="_Toc22709"/>
      <w:bookmarkStart w:id="348" w:name="_Toc19385"/>
      <w:bookmarkStart w:id="349" w:name="_Toc22717"/>
      <w:r>
        <w:t>2</w:t>
      </w:r>
      <w:r>
        <w:rPr>
          <w:rFonts w:hint="eastAsia"/>
        </w:rPr>
        <w:t xml:space="preserve">.2 </w:t>
      </w:r>
      <w:bookmarkEnd w:id="334"/>
      <w:r>
        <w:rPr>
          <w:rFonts w:hint="eastAsia"/>
        </w:rPr>
        <w:t>原则要求</w:t>
      </w:r>
      <w:bookmarkEnd w:id="347"/>
      <w:bookmarkEnd w:id="348"/>
      <w:bookmarkEnd w:id="349"/>
    </w:p>
    <w:p>
      <w:pPr>
        <w:ind w:firstLine="480"/>
      </w:pPr>
      <w:r>
        <w:rPr>
          <w:rFonts w:hint="eastAsia"/>
        </w:rPr>
        <w:t>1、必要性原则：按照《义务教育阶段培智学校教学与医疗康复仪器设备配备标准》、《成都市培智学校教学与康复设施设备装备标准（试行）》、《成都市区（市）县特殊教育资源中心建设标准（试行）》等标准，配备保基本、满需求的康复设施设备，把钱花在刀刃上。</w:t>
      </w:r>
    </w:p>
    <w:p>
      <w:pPr>
        <w:ind w:firstLine="480"/>
      </w:pPr>
      <w:r>
        <w:rPr>
          <w:rFonts w:hint="eastAsia"/>
        </w:rPr>
        <w:t>2、实用性原则：立足温江区特殊教育学校“教康结合”办学需要，坚持应用为先，装备必要的功能室设施设备，助力我区特殊教育发展。</w:t>
      </w:r>
    </w:p>
    <w:p>
      <w:pPr>
        <w:ind w:firstLine="480"/>
      </w:pPr>
      <w:r>
        <w:rPr>
          <w:rFonts w:hint="eastAsia"/>
        </w:rPr>
        <w:t>3、科学性原则：遵循特殊教育学校功能室建设规范，科学地实施特教功能室设备采购计划，保障特教功能室装备的科学性和可操作性，防止装备不实用、利用率不高等现象的发生。</w:t>
      </w:r>
    </w:p>
    <w:p>
      <w:pPr>
        <w:pStyle w:val="5"/>
        <w:numPr>
          <w:ilvl w:val="1"/>
          <w:numId w:val="0"/>
        </w:numPr>
        <w:ind w:leftChars="0"/>
      </w:pPr>
      <w:bookmarkStart w:id="350" w:name="_Toc9130"/>
      <w:bookmarkStart w:id="351" w:name="_Toc17519"/>
      <w:bookmarkStart w:id="352" w:name="_Toc22987"/>
      <w:bookmarkStart w:id="353" w:name="_Toc6813"/>
      <w:r>
        <w:t>2</w:t>
      </w:r>
      <w:r>
        <w:rPr>
          <w:rFonts w:hint="eastAsia"/>
        </w:rPr>
        <w:t xml:space="preserve">.3 </w:t>
      </w:r>
      <w:bookmarkEnd w:id="350"/>
      <w:r>
        <w:rPr>
          <w:rFonts w:hint="eastAsia"/>
        </w:rPr>
        <w:t>技术指标</w:t>
      </w:r>
      <w:bookmarkEnd w:id="351"/>
      <w:bookmarkEnd w:id="352"/>
      <w:bookmarkEnd w:id="353"/>
    </w:p>
    <w:p>
      <w:pPr>
        <w:pStyle w:val="2"/>
        <w:ind w:left="-80" w:firstLine="480" w:firstLineChars="200"/>
        <w:rPr>
          <w:rFonts w:hAnsiTheme="minorHAnsi"/>
          <w:sz w:val="24"/>
        </w:rPr>
      </w:pPr>
      <w:r>
        <w:rPr>
          <w:rFonts w:hint="eastAsia" w:hAnsiTheme="minorHAnsi"/>
          <w:sz w:val="24"/>
        </w:rPr>
        <w:t>1、所有功能室配备的设施设备均需符合国家的相关安全和环保标准，不得含有国家命令禁止使用的有毒材料。教育教学医学康复仪器设备均需符合</w:t>
      </w:r>
      <w:r>
        <w:rPr>
          <w:rFonts w:hAnsiTheme="minorHAnsi"/>
          <w:sz w:val="24"/>
        </w:rPr>
        <w:t>GB 9706</w:t>
      </w:r>
      <w:r>
        <w:rPr>
          <w:rFonts w:hint="eastAsia" w:hAnsiTheme="minorHAnsi"/>
          <w:sz w:val="24"/>
        </w:rPr>
        <w:t>、</w:t>
      </w:r>
      <w:r>
        <w:rPr>
          <w:rFonts w:hAnsiTheme="minorHAnsi"/>
          <w:sz w:val="24"/>
        </w:rPr>
        <w:t>GB/T 14710</w:t>
      </w:r>
      <w:r>
        <w:rPr>
          <w:rFonts w:hint="eastAsia" w:hAnsiTheme="minorHAnsi"/>
          <w:sz w:val="24"/>
        </w:rPr>
        <w:t>、</w:t>
      </w:r>
      <w:r>
        <w:rPr>
          <w:rFonts w:hAnsiTheme="minorHAnsi"/>
          <w:sz w:val="24"/>
        </w:rPr>
        <w:t>GB 24436-2009</w:t>
      </w:r>
      <w:r>
        <w:rPr>
          <w:rFonts w:hint="eastAsia" w:hAnsiTheme="minorHAnsi"/>
          <w:sz w:val="24"/>
        </w:rPr>
        <w:t>和</w:t>
      </w:r>
      <w:r>
        <w:rPr>
          <w:rFonts w:hAnsiTheme="minorHAnsi"/>
          <w:sz w:val="24"/>
        </w:rPr>
        <w:t>GB 21746-2008</w:t>
      </w:r>
      <w:r>
        <w:rPr>
          <w:rFonts w:hint="eastAsia" w:hAnsiTheme="minorHAnsi"/>
          <w:sz w:val="24"/>
        </w:rPr>
        <w:t>的标准规范。所有办公设备均需符合</w:t>
      </w:r>
      <w:r>
        <w:rPr>
          <w:rFonts w:hAnsiTheme="minorHAnsi"/>
          <w:sz w:val="24"/>
        </w:rPr>
        <w:t>GB /T 9813.1-2016</w:t>
      </w:r>
      <w:r>
        <w:rPr>
          <w:rFonts w:hint="eastAsia" w:hAnsiTheme="minorHAnsi"/>
          <w:sz w:val="24"/>
        </w:rPr>
        <w:t>的相关要求。所有木质家具甲醛释放量≤</w:t>
      </w:r>
      <w:r>
        <w:rPr>
          <w:rFonts w:hAnsiTheme="minorHAnsi"/>
          <w:sz w:val="24"/>
        </w:rPr>
        <w:t>0.124mg/m</w:t>
      </w:r>
      <w:r>
        <w:rPr>
          <w:rFonts w:hint="eastAsia" w:hAnsiTheme="minorHAnsi"/>
          <w:sz w:val="24"/>
        </w:rPr>
        <w:t>³，满足国家</w:t>
      </w:r>
      <w:r>
        <w:rPr>
          <w:rFonts w:hAnsiTheme="minorHAnsi"/>
          <w:sz w:val="24"/>
        </w:rPr>
        <w:t>GB 18580-2017</w:t>
      </w:r>
      <w:r>
        <w:rPr>
          <w:rFonts w:hint="eastAsia" w:hAnsiTheme="minorHAnsi"/>
          <w:sz w:val="24"/>
        </w:rPr>
        <w:t>、</w:t>
      </w:r>
      <w:r>
        <w:rPr>
          <w:rFonts w:hAnsiTheme="minorHAnsi"/>
          <w:sz w:val="24"/>
        </w:rPr>
        <w:t>GB/T 15102-2017</w:t>
      </w:r>
      <w:r>
        <w:rPr>
          <w:rFonts w:hint="eastAsia" w:hAnsiTheme="minorHAnsi"/>
          <w:sz w:val="24"/>
        </w:rPr>
        <w:t>和</w:t>
      </w:r>
      <w:r>
        <w:rPr>
          <w:rFonts w:hAnsiTheme="minorHAnsi"/>
          <w:sz w:val="24"/>
        </w:rPr>
        <w:t>GB/T 3325-2017</w:t>
      </w:r>
      <w:r>
        <w:rPr>
          <w:rFonts w:hint="eastAsia" w:hAnsiTheme="minorHAnsi"/>
          <w:sz w:val="24"/>
        </w:rPr>
        <w:t>标准。</w:t>
      </w:r>
    </w:p>
    <w:p>
      <w:pPr>
        <w:pStyle w:val="2"/>
        <w:ind w:firstLine="0" w:firstLineChars="0"/>
        <w:rPr>
          <w:rFonts w:hAnsiTheme="minorHAnsi"/>
          <w:sz w:val="24"/>
        </w:rPr>
      </w:pPr>
      <w:r>
        <w:rPr>
          <w:rFonts w:hint="eastAsia" w:hAnsiTheme="minorHAnsi"/>
          <w:sz w:val="24"/>
        </w:rPr>
        <w:t>2、心理咨询室总体布局以简洁、温馨、舒适、安全为宗旨，室内避免甲醛、苯等有害气体和放射性污染，室内所有木质家具及相关设施设备的甲醛释放量≤</w:t>
      </w:r>
      <w:r>
        <w:rPr>
          <w:rFonts w:hAnsiTheme="minorHAnsi"/>
          <w:sz w:val="24"/>
        </w:rPr>
        <w:t>0.124mg/m</w:t>
      </w:r>
      <w:r>
        <w:rPr>
          <w:rFonts w:hint="eastAsia" w:hAnsiTheme="minorHAnsi"/>
          <w:sz w:val="24"/>
        </w:rPr>
        <w:t>³，满足国家</w:t>
      </w:r>
      <w:r>
        <w:rPr>
          <w:rFonts w:hAnsiTheme="minorHAnsi"/>
          <w:sz w:val="24"/>
        </w:rPr>
        <w:t>GB 18580-2017</w:t>
      </w:r>
      <w:r>
        <w:rPr>
          <w:rFonts w:hint="eastAsia" w:hAnsiTheme="minorHAnsi"/>
          <w:sz w:val="24"/>
        </w:rPr>
        <w:t>、</w:t>
      </w:r>
      <w:r>
        <w:rPr>
          <w:rFonts w:hAnsiTheme="minorHAnsi"/>
          <w:sz w:val="24"/>
        </w:rPr>
        <w:t>GB/T 15102-2017</w:t>
      </w:r>
      <w:r>
        <w:rPr>
          <w:rFonts w:hint="eastAsia" w:hAnsiTheme="minorHAnsi"/>
          <w:sz w:val="24"/>
        </w:rPr>
        <w:t>和</w:t>
      </w:r>
      <w:r>
        <w:rPr>
          <w:rFonts w:hAnsiTheme="minorHAnsi"/>
          <w:sz w:val="24"/>
        </w:rPr>
        <w:t>GB/T 3325-2017</w:t>
      </w:r>
      <w:r>
        <w:rPr>
          <w:rFonts w:hint="eastAsia" w:hAnsiTheme="minorHAnsi"/>
          <w:sz w:val="24"/>
        </w:rPr>
        <w:t>标准。心理辅导室设备须经过法定监测机构或省级以上心理学专业机构认证，适宜学生使用，活动道具确保安全和环保，为教学提供便利。心理量表需具备知识产权，相关软件需具备软件著作权并通过省级以上相关心理学专业机构认证。所有功能区具有良好的隔音条件，采用具有良好隔音效果的隔音板或墙面软包等材料，个别辅导、情感宣泄区等隔音效果应＜</w:t>
      </w:r>
      <w:r>
        <w:rPr>
          <w:rFonts w:hAnsiTheme="minorHAnsi"/>
          <w:sz w:val="24"/>
        </w:rPr>
        <w:t>40db</w:t>
      </w:r>
      <w:r>
        <w:rPr>
          <w:rFonts w:hint="eastAsia" w:hAnsiTheme="minorHAnsi"/>
          <w:sz w:val="24"/>
        </w:rPr>
        <w:t>，满足</w:t>
      </w:r>
      <w:r>
        <w:rPr>
          <w:rFonts w:hAnsiTheme="minorHAnsi"/>
          <w:sz w:val="24"/>
        </w:rPr>
        <w:t>GB 50118</w:t>
      </w:r>
      <w:r>
        <w:rPr>
          <w:rFonts w:hint="eastAsia" w:hAnsiTheme="minorHAnsi"/>
          <w:sz w:val="24"/>
        </w:rPr>
        <w:t>、</w:t>
      </w:r>
      <w:r>
        <w:rPr>
          <w:rFonts w:hAnsiTheme="minorHAnsi"/>
          <w:sz w:val="24"/>
        </w:rPr>
        <w:t>DB51/T 1957-2015</w:t>
      </w:r>
      <w:r>
        <w:rPr>
          <w:rFonts w:hint="eastAsia" w:hAnsiTheme="minorHAnsi"/>
          <w:sz w:val="24"/>
        </w:rPr>
        <w:t>和</w:t>
      </w:r>
      <w:r>
        <w:rPr>
          <w:rFonts w:hAnsiTheme="minorHAnsi"/>
          <w:sz w:val="24"/>
        </w:rPr>
        <w:t>GB</w:t>
      </w:r>
      <w:r>
        <w:rPr>
          <w:rFonts w:hint="eastAsia" w:hAnsiTheme="minorHAnsi"/>
          <w:sz w:val="24"/>
        </w:rPr>
        <w:t>／</w:t>
      </w:r>
      <w:r>
        <w:rPr>
          <w:rFonts w:hAnsiTheme="minorHAnsi"/>
          <w:sz w:val="24"/>
        </w:rPr>
        <w:t>T 17249.1-1998</w:t>
      </w:r>
      <w:r>
        <w:rPr>
          <w:rFonts w:hint="eastAsia" w:hAnsiTheme="minorHAnsi"/>
          <w:sz w:val="24"/>
        </w:rPr>
        <w:t>的相关要求。</w:t>
      </w:r>
    </w:p>
    <w:p>
      <w:pPr>
        <w:ind w:firstLine="480"/>
      </w:pPr>
      <w:r>
        <w:rPr>
          <w:rFonts w:hint="eastAsia"/>
        </w:rPr>
        <w:br w:type="page"/>
      </w:r>
    </w:p>
    <w:p>
      <w:pPr>
        <w:pStyle w:val="5"/>
        <w:numPr>
          <w:ilvl w:val="1"/>
          <w:numId w:val="0"/>
        </w:numPr>
        <w:ind w:leftChars="0"/>
      </w:pPr>
      <w:bookmarkStart w:id="354" w:name="_Toc28203"/>
      <w:bookmarkStart w:id="355" w:name="_Toc10349"/>
      <w:bookmarkStart w:id="356" w:name="_Toc11029"/>
      <w:r>
        <w:t>2</w:t>
      </w:r>
      <w:r>
        <w:rPr>
          <w:rFonts w:hint="eastAsia"/>
        </w:rPr>
        <w:t>.4基本布局和场地环境</w:t>
      </w:r>
      <w:bookmarkEnd w:id="354"/>
      <w:bookmarkEnd w:id="355"/>
      <w:bookmarkEnd w:id="356"/>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784"/>
        <w:gridCol w:w="2329"/>
        <w:gridCol w:w="1788"/>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序号</w:t>
            </w:r>
          </w:p>
        </w:tc>
        <w:tc>
          <w:tcPr>
            <w:tcW w:w="1784"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功能室分类</w:t>
            </w: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功能室名称</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楼层</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p>
        </w:tc>
        <w:tc>
          <w:tcPr>
            <w:tcW w:w="4113" w:type="dxa"/>
            <w:gridSpan w:val="2"/>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资源中心</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p>
        </w:tc>
        <w:tc>
          <w:tcPr>
            <w:tcW w:w="1784" w:type="dxa"/>
            <w:vMerge w:val="restart"/>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心理咨询</w:t>
            </w: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教师</w:t>
            </w:r>
            <w:r>
              <w:rPr>
                <w:rFonts w:asciiTheme="minorEastAsia" w:hAnsiTheme="minorEastAsia" w:eastAsiaTheme="minorEastAsia"/>
              </w:rPr>
              <w:t>办公区</w:t>
            </w:r>
            <w:r>
              <w:rPr>
                <w:rFonts w:hint="eastAsia" w:asciiTheme="minorEastAsia" w:hAnsiTheme="minorEastAsia" w:eastAsiaTheme="minorEastAsia"/>
              </w:rPr>
              <w:t>、接待</w:t>
            </w:r>
            <w:r>
              <w:rPr>
                <w:rFonts w:asciiTheme="minorEastAsia" w:hAnsiTheme="minorEastAsia" w:eastAsiaTheme="minorEastAsia"/>
              </w:rPr>
              <w:t>咨询区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沙盘活动室</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4</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情绪宣泄室</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784" w:type="dxa"/>
            <w:vMerge w:val="restart"/>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康复训练</w:t>
            </w: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感觉统合区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6</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多感官虚拟互动区</w:t>
            </w:r>
          </w:p>
        </w:tc>
        <w:tc>
          <w:tcPr>
            <w:tcW w:w="1788"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7</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物理康复区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97</w:t>
            </w:r>
            <w:r>
              <w:rPr>
                <w:rFonts w:hint="eastAsia" w:asciiTheme="minorEastAsia" w:hAnsiTheme="minorEastAsia" w:eastAsiaTheme="minorEastAsia"/>
              </w:rPr>
              <w:t>.</w:t>
            </w:r>
            <w:r>
              <w:rPr>
                <w:rFonts w:asciiTheme="minorEastAsia" w:hAnsiTheme="minorEastAsia" w:eastAsiaTheme="minor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8</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作业治疗区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9</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蒙特梭利区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言语语言康复个训区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1</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认知沟通个训区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2</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孤独症干预个训区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3</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注意力个训区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6</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r>
              <w:rPr>
                <w:rFonts w:hint="eastAsia" w:asciiTheme="minorEastAsia" w:hAnsiTheme="minorEastAsia" w:eastAsiaTheme="minorEastAsia"/>
              </w:rPr>
              <w:t>.</w:t>
            </w:r>
            <w:r>
              <w:rPr>
                <w:rFonts w:asciiTheme="minorEastAsia" w:hAnsiTheme="minorEastAsia" w:eastAsiaTheme="minor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4</w:t>
            </w:r>
          </w:p>
        </w:tc>
        <w:tc>
          <w:tcPr>
            <w:tcW w:w="1784" w:type="dxa"/>
            <w:vMerge w:val="restart"/>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艺术治疗</w:t>
            </w: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律动舞蹈区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5</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5</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奥尔夫音乐区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6</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美工区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7</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特奥运动区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风雨操场</w:t>
            </w:r>
          </w:p>
        </w:tc>
        <w:tc>
          <w:tcPr>
            <w:tcW w:w="1900" w:type="dxa"/>
            <w:vAlign w:val="center"/>
          </w:tcPr>
          <w:p>
            <w:pPr>
              <w:ind w:firstLine="0" w:firstLineChars="0"/>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8</w:t>
            </w:r>
          </w:p>
        </w:tc>
        <w:tc>
          <w:tcPr>
            <w:tcW w:w="1784" w:type="dxa"/>
            <w:vMerge w:val="restart"/>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生活情景体验</w:t>
            </w: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烹饪区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9</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家政区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劳技区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6</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pPr>
              <w:ind w:firstLine="0" w:firstLineChars="0"/>
              <w:jc w:val="center"/>
              <w:rPr>
                <w:rFonts w:asciiTheme="minorEastAsia" w:hAnsiTheme="minorEastAsia" w:eastAsiaTheme="minorEastAsia"/>
              </w:rPr>
            </w:pPr>
            <w:r>
              <w:rPr>
                <w:rFonts w:asciiTheme="minorEastAsia" w:hAnsiTheme="minorEastAsia" w:eastAsiaTheme="minorEastAsia"/>
              </w:rPr>
              <w:t>21</w:t>
            </w:r>
          </w:p>
        </w:tc>
        <w:tc>
          <w:tcPr>
            <w:tcW w:w="1784" w:type="dxa"/>
            <w:vMerge w:val="continue"/>
            <w:vAlign w:val="center"/>
          </w:tcPr>
          <w:p>
            <w:pPr>
              <w:ind w:firstLine="0" w:firstLineChars="0"/>
              <w:jc w:val="center"/>
              <w:rPr>
                <w:rFonts w:asciiTheme="minorEastAsia" w:hAnsiTheme="minorEastAsia" w:eastAsiaTheme="minorEastAsia"/>
              </w:rPr>
            </w:pPr>
          </w:p>
        </w:tc>
        <w:tc>
          <w:tcPr>
            <w:tcW w:w="2329"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情景教学</w:t>
            </w:r>
            <w:r>
              <w:rPr>
                <w:rFonts w:asciiTheme="minorEastAsia" w:hAnsiTheme="minorEastAsia" w:eastAsiaTheme="minorEastAsia"/>
              </w:rPr>
              <w:t>区</w:t>
            </w:r>
          </w:p>
        </w:tc>
        <w:tc>
          <w:tcPr>
            <w:tcW w:w="1788"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4</w:t>
            </w:r>
          </w:p>
        </w:tc>
        <w:tc>
          <w:tcPr>
            <w:tcW w:w="1900" w:type="dxa"/>
            <w:vAlign w:val="center"/>
          </w:tcPr>
          <w:p>
            <w:pPr>
              <w:ind w:firstLine="0" w:firstLineChars="0"/>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84</w:t>
            </w:r>
            <w:r>
              <w:rPr>
                <w:rFonts w:hint="eastAsia" w:asciiTheme="minorEastAsia" w:hAnsiTheme="minorEastAsia" w:eastAsiaTheme="minorEastAsia"/>
              </w:rPr>
              <w:t>、2</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77</w:t>
            </w:r>
            <w:r>
              <w:rPr>
                <w:rFonts w:hint="eastAsia" w:asciiTheme="minorEastAsia" w:hAnsiTheme="minorEastAsia" w:eastAsiaTheme="minorEastAsia"/>
              </w:rPr>
              <w:t>和右边过道公共区域</w:t>
            </w:r>
          </w:p>
        </w:tc>
      </w:tr>
    </w:tbl>
    <w:p>
      <w:pPr>
        <w:pStyle w:val="5"/>
        <w:numPr>
          <w:ilvl w:val="1"/>
          <w:numId w:val="0"/>
        </w:numPr>
        <w:ind w:leftChars="0"/>
      </w:pPr>
      <w:bookmarkStart w:id="357" w:name="_Toc17987"/>
      <w:bookmarkStart w:id="358" w:name="_Toc13145"/>
      <w:bookmarkStart w:id="359" w:name="_Toc14354"/>
      <w:r>
        <w:t>2</w:t>
      </w:r>
      <w:r>
        <w:rPr>
          <w:rFonts w:hint="eastAsia"/>
        </w:rPr>
        <w:t>.</w:t>
      </w:r>
      <w:r>
        <w:t>5</w:t>
      </w:r>
      <w:r>
        <w:rPr>
          <w:rFonts w:hint="eastAsia"/>
        </w:rPr>
        <w:t>区域设置</w:t>
      </w:r>
      <w:bookmarkEnd w:id="357"/>
      <w:bookmarkEnd w:id="358"/>
      <w:bookmarkEnd w:id="359"/>
    </w:p>
    <w:p>
      <w:pPr>
        <w:pStyle w:val="6"/>
        <w:numPr>
          <w:ilvl w:val="2"/>
          <w:numId w:val="0"/>
        </w:numPr>
        <w:ind w:leftChars="0"/>
      </w:pPr>
      <w:bookmarkStart w:id="360" w:name="_Toc12987"/>
      <w:bookmarkStart w:id="361" w:name="_Toc16724"/>
      <w:bookmarkStart w:id="362" w:name="_Toc21463"/>
      <w:r>
        <w:t>2</w:t>
      </w:r>
      <w:r>
        <w:rPr>
          <w:rFonts w:hint="eastAsia"/>
        </w:rPr>
        <w:t>.</w:t>
      </w:r>
      <w:r>
        <w:t>5</w:t>
      </w:r>
      <w:r>
        <w:rPr>
          <w:rFonts w:hint="eastAsia"/>
        </w:rPr>
        <w:t>.1 资源中心功能</w:t>
      </w:r>
      <w:bookmarkEnd w:id="360"/>
      <w:bookmarkEnd w:id="361"/>
      <w:bookmarkEnd w:id="362"/>
    </w:p>
    <w:p>
      <w:pPr>
        <w:ind w:firstLine="480"/>
      </w:pPr>
      <w:r>
        <w:rPr>
          <w:rFonts w:hint="eastAsia"/>
        </w:rPr>
        <w:t>通过特教学校资源中心面向全区开展咨询、指导、培训等相关工作；为特殊儿童及家长、社会团体、个人提供相关的咨询服务；指导、评价区域内随班就读工作；为区域内资源教师提供培训和必要支持；为区域内特殊学生提供适宜的教育，指导个别化教育计划，实施个别教学，同时保障送教上门工作开展；联合教育局、师培中心等相关部门为区域内随班就读资源教师提供师资培训；资源中心联合随班就读学校资源教室进行随班就读相关课题研究，推动随班就读工作质量的提升。</w:t>
      </w:r>
    </w:p>
    <w:p>
      <w:pPr>
        <w:ind w:firstLine="0" w:firstLineChars="0"/>
        <w:jc w:val="center"/>
      </w:pPr>
      <w:r>
        <w:rPr>
          <w:rFonts w:hint="eastAsia"/>
        </w:rPr>
        <w:drawing>
          <wp:inline distT="0" distB="0" distL="114300" distR="114300">
            <wp:extent cx="3429635" cy="2004060"/>
            <wp:effectExtent l="0" t="0" r="12065" b="2540"/>
            <wp:docPr id="468" name="图片 468" descr="微信图片_202106081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微信图片_20210608150032"/>
                    <pic:cNvPicPr>
                      <a:picLocks noChangeAspect="1"/>
                    </pic:cNvPicPr>
                  </pic:nvPicPr>
                  <pic:blipFill>
                    <a:blip r:embed="rId26"/>
                    <a:srcRect l="18234" t="1607" r="19899" b="-1607"/>
                    <a:stretch>
                      <a:fillRect/>
                    </a:stretch>
                  </pic:blipFill>
                  <pic:spPr>
                    <a:xfrm>
                      <a:off x="0" y="0"/>
                      <a:ext cx="3429635" cy="2004060"/>
                    </a:xfrm>
                    <a:prstGeom prst="rect">
                      <a:avLst/>
                    </a:prstGeom>
                  </pic:spPr>
                </pic:pic>
              </a:graphicData>
            </a:graphic>
          </wp:inline>
        </w:drawing>
      </w:r>
    </w:p>
    <w:p>
      <w:pPr>
        <w:pStyle w:val="2"/>
        <w:ind w:firstLine="210"/>
        <w:jc w:val="center"/>
      </w:pPr>
      <w:r>
        <w:rPr>
          <w:rFonts w:hint="eastAsia"/>
        </w:rPr>
        <w:t>资源中心效果参考图</w:t>
      </w:r>
    </w:p>
    <w:p>
      <w:pPr>
        <w:pStyle w:val="6"/>
        <w:numPr>
          <w:ilvl w:val="2"/>
          <w:numId w:val="0"/>
        </w:numPr>
        <w:ind w:leftChars="0"/>
      </w:pPr>
      <w:bookmarkStart w:id="363" w:name="_Toc4483"/>
      <w:bookmarkStart w:id="364" w:name="_Toc28951"/>
      <w:bookmarkStart w:id="365" w:name="_Toc32390"/>
      <w:r>
        <w:t>2</w:t>
      </w:r>
      <w:r>
        <w:rPr>
          <w:rFonts w:hint="eastAsia"/>
        </w:rPr>
        <w:t>.</w:t>
      </w:r>
      <w:r>
        <w:t>5</w:t>
      </w:r>
      <w:r>
        <w:rPr>
          <w:rFonts w:hint="eastAsia"/>
        </w:rPr>
        <w:t>.2 心理咨询室功能</w:t>
      </w:r>
      <w:bookmarkEnd w:id="363"/>
      <w:bookmarkEnd w:id="364"/>
      <w:bookmarkEnd w:id="365"/>
    </w:p>
    <w:p>
      <w:pPr>
        <w:ind w:firstLine="480"/>
      </w:pPr>
      <w:r>
        <w:t>心理咨询室设置心理</w:t>
      </w:r>
      <w:r>
        <w:rPr>
          <w:rFonts w:hint="eastAsia"/>
        </w:rPr>
        <w:t>教师</w:t>
      </w:r>
      <w:r>
        <w:t>办公区</w:t>
      </w:r>
      <w:r>
        <w:rPr>
          <w:rFonts w:hint="eastAsia"/>
        </w:rPr>
        <w:t>、接待</w:t>
      </w:r>
      <w:r>
        <w:t>咨询区</w:t>
      </w:r>
      <w:r>
        <w:rPr>
          <w:rFonts w:hint="eastAsia"/>
        </w:rPr>
        <w:t>、沙盘游戏区、情感宣泄区。</w:t>
      </w:r>
    </w:p>
    <w:p>
      <w:pPr>
        <w:ind w:firstLine="480"/>
      </w:pPr>
      <w:r>
        <w:rPr>
          <w:rFonts w:hint="eastAsia"/>
        </w:rPr>
        <w:t>办公区：</w:t>
      </w:r>
      <w:r>
        <w:t>为心理教师提供满足日常办公需求的场所和设施</w:t>
      </w:r>
      <w:r>
        <w:rPr>
          <w:rFonts w:hint="eastAsia"/>
        </w:rPr>
        <w:t>，保障心理工作正常有序开展。</w:t>
      </w:r>
    </w:p>
    <w:p>
      <w:pPr>
        <w:ind w:firstLine="480"/>
      </w:pPr>
      <w:r>
        <w:rPr>
          <w:rFonts w:hint="eastAsia"/>
        </w:rPr>
        <w:t>接待咨询区：配备沙发、茶几等设备，为</w:t>
      </w:r>
      <w:r>
        <w:t>个体来访者为提供</w:t>
      </w:r>
      <w:r>
        <w:rPr>
          <w:rFonts w:hint="eastAsia"/>
        </w:rPr>
        <w:t>安全、舒适的环境，让来访者能安静、放松地与</w:t>
      </w:r>
      <w:r>
        <w:t>心理咨询教师进行一对一</w:t>
      </w:r>
      <w:r>
        <w:rPr>
          <w:rFonts w:hint="eastAsia"/>
        </w:rPr>
        <w:t>、</w:t>
      </w:r>
      <w:r>
        <w:t>面对面的交流</w:t>
      </w:r>
      <w:r>
        <w:rPr>
          <w:rFonts w:hint="eastAsia"/>
        </w:rPr>
        <w:t>。</w:t>
      </w:r>
    </w:p>
    <w:p>
      <w:pPr>
        <w:ind w:firstLine="480"/>
      </w:pPr>
      <w:r>
        <w:rPr>
          <w:rFonts w:hint="eastAsia"/>
        </w:rPr>
        <w:t>沙盘游戏区：配备团体沙盘和个体沙盘，便于心理教师更好地了解来访者心理状况对来访者进行心理疏导和干预。</w:t>
      </w:r>
    </w:p>
    <w:p>
      <w:pPr>
        <w:ind w:firstLine="480"/>
      </w:pPr>
      <w:r>
        <w:rPr>
          <w:rFonts w:hint="eastAsia"/>
        </w:rPr>
        <w:t>情绪宣泄区：结合特殊儿童身心发展和情绪行为问题，为特殊儿童提供情绪宣泄场地，配备智能声呐宣泄仪和宣泄设备，便于学生释放情绪，调节心理，构建健康、和谐的校园氛围。</w:t>
      </w:r>
    </w:p>
    <w:p>
      <w:pPr>
        <w:ind w:firstLine="0" w:firstLineChars="0"/>
        <w:jc w:val="center"/>
      </w:pPr>
      <w:r>
        <w:rPr>
          <w:rFonts w:hint="eastAsia"/>
        </w:rPr>
        <w:drawing>
          <wp:inline distT="0" distB="0" distL="114300" distR="114300">
            <wp:extent cx="1721485" cy="1348105"/>
            <wp:effectExtent l="0" t="0" r="5715" b="10795"/>
            <wp:docPr id="469" name="图片 469" descr="mmexport16227717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mmexport1622771700594"/>
                    <pic:cNvPicPr>
                      <a:picLocks noChangeAspect="1"/>
                    </pic:cNvPicPr>
                  </pic:nvPicPr>
                  <pic:blipFill>
                    <a:blip r:embed="rId27"/>
                    <a:stretch>
                      <a:fillRect/>
                    </a:stretch>
                  </pic:blipFill>
                  <pic:spPr>
                    <a:xfrm>
                      <a:off x="0" y="0"/>
                      <a:ext cx="1721485" cy="1348105"/>
                    </a:xfrm>
                    <a:prstGeom prst="rect">
                      <a:avLst/>
                    </a:prstGeom>
                  </pic:spPr>
                </pic:pic>
              </a:graphicData>
            </a:graphic>
          </wp:inline>
        </w:drawing>
      </w:r>
      <w:r>
        <w:rPr>
          <w:rFonts w:hint="eastAsia"/>
        </w:rPr>
        <w:drawing>
          <wp:inline distT="0" distB="0" distL="114300" distR="114300">
            <wp:extent cx="1828800" cy="1371600"/>
            <wp:effectExtent l="0" t="0" r="0" b="0"/>
            <wp:docPr id="470" name="图片 470" descr="mmexport162276889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mmexport1622768892026"/>
                    <pic:cNvPicPr>
                      <a:picLocks noChangeAspect="1"/>
                    </pic:cNvPicPr>
                  </pic:nvPicPr>
                  <pic:blipFill>
                    <a:blip r:embed="rId28"/>
                    <a:stretch>
                      <a:fillRect/>
                    </a:stretch>
                  </pic:blipFill>
                  <pic:spPr>
                    <a:xfrm>
                      <a:off x="0" y="0"/>
                      <a:ext cx="1828800" cy="1371600"/>
                    </a:xfrm>
                    <a:prstGeom prst="rect">
                      <a:avLst/>
                    </a:prstGeom>
                  </pic:spPr>
                </pic:pic>
              </a:graphicData>
            </a:graphic>
          </wp:inline>
        </w:drawing>
      </w:r>
      <w:r>
        <w:rPr>
          <w:rFonts w:hint="eastAsia"/>
        </w:rPr>
        <w:drawing>
          <wp:inline distT="0" distB="0" distL="114300" distR="114300">
            <wp:extent cx="1691640" cy="1356995"/>
            <wp:effectExtent l="0" t="0" r="10160" b="1905"/>
            <wp:docPr id="471" name="图片 471" descr="mmexport162277170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mmexport1622771705351"/>
                    <pic:cNvPicPr>
                      <a:picLocks noChangeAspect="1"/>
                    </pic:cNvPicPr>
                  </pic:nvPicPr>
                  <pic:blipFill>
                    <a:blip r:embed="rId29"/>
                    <a:stretch>
                      <a:fillRect/>
                    </a:stretch>
                  </pic:blipFill>
                  <pic:spPr>
                    <a:xfrm>
                      <a:off x="0" y="0"/>
                      <a:ext cx="1691640" cy="1356995"/>
                    </a:xfrm>
                    <a:prstGeom prst="rect">
                      <a:avLst/>
                    </a:prstGeom>
                  </pic:spPr>
                </pic:pic>
              </a:graphicData>
            </a:graphic>
          </wp:inline>
        </w:drawing>
      </w:r>
    </w:p>
    <w:p>
      <w:pPr>
        <w:pStyle w:val="2"/>
        <w:ind w:firstLine="210"/>
        <w:jc w:val="center"/>
      </w:pPr>
      <w:r>
        <w:rPr>
          <w:rFonts w:hint="eastAsia"/>
        </w:rPr>
        <w:t>心理咨询室效果参考图</w:t>
      </w:r>
    </w:p>
    <w:p>
      <w:pPr>
        <w:pStyle w:val="6"/>
        <w:numPr>
          <w:ilvl w:val="2"/>
          <w:numId w:val="0"/>
        </w:numPr>
        <w:ind w:leftChars="0"/>
      </w:pPr>
      <w:bookmarkStart w:id="366" w:name="_Toc14977"/>
      <w:bookmarkStart w:id="367" w:name="_Toc27051"/>
      <w:bookmarkStart w:id="368" w:name="_Toc29173"/>
      <w:r>
        <w:t>2</w:t>
      </w:r>
      <w:r>
        <w:rPr>
          <w:rFonts w:hint="eastAsia"/>
        </w:rPr>
        <w:t>.</w:t>
      </w:r>
      <w:r>
        <w:t>5</w:t>
      </w:r>
      <w:r>
        <w:rPr>
          <w:rFonts w:hint="eastAsia"/>
        </w:rPr>
        <w:t>.3 康复训练室功能</w:t>
      </w:r>
      <w:bookmarkEnd w:id="366"/>
      <w:bookmarkEnd w:id="367"/>
      <w:bookmarkEnd w:id="368"/>
    </w:p>
    <w:p>
      <w:pPr>
        <w:ind w:firstLine="480"/>
      </w:pPr>
      <w:r>
        <w:t>康复训练</w:t>
      </w:r>
      <w:r>
        <w:rPr>
          <w:rFonts w:hint="eastAsia"/>
        </w:rPr>
        <w:t>室</w:t>
      </w:r>
      <w:r>
        <w:t>设置感觉统合区</w:t>
      </w:r>
      <w:r>
        <w:rPr>
          <w:rFonts w:hint="eastAsia"/>
        </w:rPr>
        <w:t>、</w:t>
      </w:r>
      <w:r>
        <w:t>多感官虚拟互动区</w:t>
      </w:r>
      <w:r>
        <w:rPr>
          <w:rFonts w:hint="eastAsia"/>
        </w:rPr>
        <w:t>、</w:t>
      </w:r>
      <w:r>
        <w:t>物理康复区</w:t>
      </w:r>
      <w:r>
        <w:rPr>
          <w:rFonts w:hint="eastAsia"/>
        </w:rPr>
        <w:t>、</w:t>
      </w:r>
      <w:r>
        <w:t>作业治疗区</w:t>
      </w:r>
      <w:r>
        <w:rPr>
          <w:rFonts w:hint="eastAsia"/>
        </w:rPr>
        <w:t>、</w:t>
      </w:r>
      <w:r>
        <w:t>蒙特梭利区</w:t>
      </w:r>
      <w:r>
        <w:rPr>
          <w:rFonts w:hint="eastAsia"/>
        </w:rPr>
        <w:t>、言语语言康复个训区、认知沟通个训区、孤独症干预个训区、注意力个训区。</w:t>
      </w:r>
    </w:p>
    <w:p>
      <w:pPr>
        <w:ind w:firstLine="480"/>
      </w:pPr>
      <w:r>
        <w:rPr>
          <w:rFonts w:hint="eastAsia"/>
        </w:rPr>
        <w:t>感觉统合区：配备感觉统合常用器材和攀岩组合等设施设备，为感觉统合失调的特殊儿童提供训练场所和器械，促进儿童前庭觉、本体觉、触觉等感官知觉的信息输入，帮助大脑感知整合感觉信息，改善特殊儿童感觉统合失调现象，提高身体灵活度。</w:t>
      </w:r>
    </w:p>
    <w:p>
      <w:pPr>
        <w:ind w:firstLine="0" w:firstLineChars="0"/>
        <w:jc w:val="center"/>
      </w:pPr>
      <w:r>
        <w:rPr>
          <w:rFonts w:hint="eastAsia"/>
        </w:rPr>
        <w:drawing>
          <wp:inline distT="0" distB="0" distL="114300" distR="114300">
            <wp:extent cx="4361815" cy="1957705"/>
            <wp:effectExtent l="0" t="0" r="6985" b="10795"/>
            <wp:docPr id="472" name="图片 47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图片1"/>
                    <pic:cNvPicPr>
                      <a:picLocks noChangeAspect="1"/>
                    </pic:cNvPicPr>
                  </pic:nvPicPr>
                  <pic:blipFill>
                    <a:blip r:embed="rId30"/>
                    <a:stretch>
                      <a:fillRect/>
                    </a:stretch>
                  </pic:blipFill>
                  <pic:spPr>
                    <a:xfrm>
                      <a:off x="0" y="0"/>
                      <a:ext cx="4361815" cy="1957705"/>
                    </a:xfrm>
                    <a:prstGeom prst="rect">
                      <a:avLst/>
                    </a:prstGeom>
                  </pic:spPr>
                </pic:pic>
              </a:graphicData>
            </a:graphic>
          </wp:inline>
        </w:drawing>
      </w:r>
    </w:p>
    <w:p>
      <w:pPr>
        <w:pStyle w:val="2"/>
        <w:ind w:firstLine="210"/>
        <w:jc w:val="center"/>
      </w:pPr>
      <w:r>
        <w:rPr>
          <w:rFonts w:hint="eastAsia"/>
        </w:rPr>
        <w:t>感觉统合训练区效果参考图</w:t>
      </w:r>
    </w:p>
    <w:p>
      <w:pPr>
        <w:ind w:firstLine="480"/>
      </w:pPr>
      <w:r>
        <w:rPr>
          <w:rFonts w:hint="eastAsia"/>
        </w:rPr>
        <w:t>多感官虚拟互动区：以信息技术设备为支撑，应用多媒体视听虚拟互动系统、动感彩轮、幻彩光纤等设备策划一系列活动，帮助感官失调的儿童建立感官信息接受和反应的连结，促进其主动探索的兴趣和能力，补偿缺陷。</w:t>
      </w:r>
    </w:p>
    <w:p>
      <w:pPr>
        <w:ind w:firstLine="0" w:firstLineChars="0"/>
        <w:jc w:val="center"/>
      </w:pPr>
      <w:r>
        <w:rPr>
          <w:rFonts w:hint="eastAsia"/>
        </w:rPr>
        <w:drawing>
          <wp:inline distT="0" distB="0" distL="114300" distR="114300">
            <wp:extent cx="2434590" cy="1878965"/>
            <wp:effectExtent l="0" t="0" r="3810" b="635"/>
            <wp:docPr id="473" name="图片 47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图片3"/>
                    <pic:cNvPicPr>
                      <a:picLocks noChangeAspect="1"/>
                    </pic:cNvPicPr>
                  </pic:nvPicPr>
                  <pic:blipFill>
                    <a:blip r:embed="rId31"/>
                    <a:stretch>
                      <a:fillRect/>
                    </a:stretch>
                  </pic:blipFill>
                  <pic:spPr>
                    <a:xfrm>
                      <a:off x="0" y="0"/>
                      <a:ext cx="2434590" cy="1878965"/>
                    </a:xfrm>
                    <a:prstGeom prst="rect">
                      <a:avLst/>
                    </a:prstGeom>
                  </pic:spPr>
                </pic:pic>
              </a:graphicData>
            </a:graphic>
          </wp:inline>
        </w:drawing>
      </w:r>
      <w:r>
        <w:drawing>
          <wp:inline distT="0" distB="0" distL="114300" distR="114300">
            <wp:extent cx="2344420" cy="1877060"/>
            <wp:effectExtent l="0" t="0" r="5080" b="2540"/>
            <wp:docPr id="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1"/>
                    <pic:cNvPicPr>
                      <a:picLocks noChangeAspect="1"/>
                    </pic:cNvPicPr>
                  </pic:nvPicPr>
                  <pic:blipFill>
                    <a:blip r:embed="rId32"/>
                    <a:stretch>
                      <a:fillRect/>
                    </a:stretch>
                  </pic:blipFill>
                  <pic:spPr>
                    <a:xfrm>
                      <a:off x="0" y="0"/>
                      <a:ext cx="2344420" cy="1877060"/>
                    </a:xfrm>
                    <a:prstGeom prst="rect">
                      <a:avLst/>
                    </a:prstGeom>
                    <a:noFill/>
                    <a:ln>
                      <a:noFill/>
                    </a:ln>
                  </pic:spPr>
                </pic:pic>
              </a:graphicData>
            </a:graphic>
          </wp:inline>
        </w:drawing>
      </w:r>
    </w:p>
    <w:p>
      <w:pPr>
        <w:pStyle w:val="2"/>
        <w:ind w:firstLine="210"/>
        <w:jc w:val="center"/>
      </w:pPr>
      <w:r>
        <w:rPr>
          <w:rFonts w:hint="eastAsia"/>
        </w:rPr>
        <w:t>多感官虚拟互动区效果参考图</w:t>
      </w:r>
    </w:p>
    <w:p>
      <w:pPr>
        <w:ind w:firstLine="480"/>
      </w:pPr>
      <w:r>
        <w:rPr>
          <w:rFonts w:hint="eastAsia"/>
        </w:rPr>
        <w:t>物理治疗区（PT）：配备下肢训练器、股四头肌训练器等相应康复设施设备，用于协助康复师对有肢体康复需求的特殊儿童进行有效的康复训练，改善肌力和肌张力、关节受限和关节灵活度等问题。</w:t>
      </w:r>
    </w:p>
    <w:p>
      <w:pPr>
        <w:ind w:firstLine="0" w:firstLineChars="0"/>
        <w:jc w:val="center"/>
      </w:pPr>
      <w:r>
        <w:rPr>
          <w:rFonts w:hint="eastAsia"/>
        </w:rPr>
        <w:drawing>
          <wp:inline distT="0" distB="0" distL="114300" distR="114300">
            <wp:extent cx="2944495" cy="1665605"/>
            <wp:effectExtent l="0" t="0" r="1905" b="10795"/>
            <wp:docPr id="475" name="图片 47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图片2"/>
                    <pic:cNvPicPr>
                      <a:picLocks noChangeAspect="1"/>
                    </pic:cNvPicPr>
                  </pic:nvPicPr>
                  <pic:blipFill>
                    <a:blip r:embed="rId33"/>
                    <a:stretch>
                      <a:fillRect/>
                    </a:stretch>
                  </pic:blipFill>
                  <pic:spPr>
                    <a:xfrm>
                      <a:off x="0" y="0"/>
                      <a:ext cx="2944495" cy="1665605"/>
                    </a:xfrm>
                    <a:prstGeom prst="rect">
                      <a:avLst/>
                    </a:prstGeom>
                  </pic:spPr>
                </pic:pic>
              </a:graphicData>
            </a:graphic>
          </wp:inline>
        </w:drawing>
      </w:r>
    </w:p>
    <w:p>
      <w:pPr>
        <w:pStyle w:val="2"/>
        <w:ind w:firstLine="210"/>
        <w:jc w:val="center"/>
      </w:pPr>
      <w:r>
        <w:rPr>
          <w:rFonts w:hint="eastAsia"/>
        </w:rPr>
        <w:t>物理治疗区效果参考图</w:t>
      </w:r>
    </w:p>
    <w:p>
      <w:pPr>
        <w:ind w:firstLine="480"/>
      </w:pPr>
      <w:r>
        <w:rPr>
          <w:rFonts w:hint="eastAsia"/>
        </w:rPr>
        <w:t>作业治疗区（OT）：配备引导式上肢协调器、手功能训练器等设施设备，便于康复师对特殊儿童进行有目的的作业活动，对于手功能较弱、手部肌力和肌张力受限的特殊儿童进行治疗和训练，使其恢复、改善和增强生活、学习和劳动能力，正常参与家庭和社会生活。</w:t>
      </w:r>
    </w:p>
    <w:p>
      <w:pPr>
        <w:pStyle w:val="2"/>
        <w:ind w:firstLine="210"/>
        <w:jc w:val="center"/>
        <w:rPr>
          <w:szCs w:val="21"/>
        </w:rPr>
      </w:pPr>
      <w:r>
        <w:drawing>
          <wp:anchor distT="0" distB="0" distL="114300" distR="114300" simplePos="0" relativeHeight="251659264" behindDoc="0" locked="0" layoutInCell="1" allowOverlap="1">
            <wp:simplePos x="0" y="0"/>
            <wp:positionH relativeFrom="column">
              <wp:posOffset>1123315</wp:posOffset>
            </wp:positionH>
            <wp:positionV relativeFrom="paragraph">
              <wp:posOffset>87630</wp:posOffset>
            </wp:positionV>
            <wp:extent cx="2936875" cy="1605280"/>
            <wp:effectExtent l="0" t="0" r="9525" b="7620"/>
            <wp:wrapTopAndBottom/>
            <wp:docPr id="476" name="图片 476" descr="912ce7cdf88903e35d75107c0fea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912ce7cdf88903e35d75107c0fea744"/>
                    <pic:cNvPicPr>
                      <a:picLocks noChangeAspect="1"/>
                    </pic:cNvPicPr>
                  </pic:nvPicPr>
                  <pic:blipFill>
                    <a:blip r:embed="rId34"/>
                    <a:stretch>
                      <a:fillRect/>
                    </a:stretch>
                  </pic:blipFill>
                  <pic:spPr>
                    <a:xfrm>
                      <a:off x="0" y="0"/>
                      <a:ext cx="2936875" cy="1605280"/>
                    </a:xfrm>
                    <a:prstGeom prst="rect">
                      <a:avLst/>
                    </a:prstGeom>
                  </pic:spPr>
                </pic:pic>
              </a:graphicData>
            </a:graphic>
          </wp:anchor>
        </w:drawing>
      </w:r>
      <w:r>
        <w:rPr>
          <w:rFonts w:hint="eastAsia"/>
        </w:rPr>
        <w:t>作业治疗</w:t>
      </w:r>
      <w:r>
        <w:rPr>
          <w:rFonts w:hint="eastAsia"/>
          <w:szCs w:val="21"/>
        </w:rPr>
        <w:t>区效果参考图</w:t>
      </w:r>
    </w:p>
    <w:p>
      <w:pPr>
        <w:ind w:firstLine="480"/>
      </w:pPr>
      <w:r>
        <w:rPr>
          <w:rFonts w:hint="eastAsia"/>
        </w:rPr>
        <w:t>蒙特梭利区：配备感官教育教具、数学教育教具、语言教育教具、科学文化教育教具、日常生活教育教具及音乐教育教具，为学生提供便于自主操作的教具，在主动中探索并获得大量感官经验及掌握不容易被理解的数理知识。</w:t>
      </w:r>
    </w:p>
    <w:p>
      <w:pPr>
        <w:ind w:firstLine="0" w:firstLineChars="0"/>
        <w:jc w:val="center"/>
      </w:pPr>
      <w:r>
        <w:rPr>
          <w:rFonts w:hint="eastAsia"/>
        </w:rPr>
        <w:drawing>
          <wp:inline distT="0" distB="0" distL="114300" distR="114300">
            <wp:extent cx="2715895" cy="1653540"/>
            <wp:effectExtent l="0" t="0" r="1905" b="10160"/>
            <wp:docPr id="477" name="图片 477" descr="mmexport162276889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mmexport1622768896963"/>
                    <pic:cNvPicPr>
                      <a:picLocks noChangeAspect="1"/>
                    </pic:cNvPicPr>
                  </pic:nvPicPr>
                  <pic:blipFill>
                    <a:blip r:embed="rId35"/>
                    <a:stretch>
                      <a:fillRect/>
                    </a:stretch>
                  </pic:blipFill>
                  <pic:spPr>
                    <a:xfrm>
                      <a:off x="0" y="0"/>
                      <a:ext cx="2715895" cy="1653540"/>
                    </a:xfrm>
                    <a:prstGeom prst="rect">
                      <a:avLst/>
                    </a:prstGeom>
                  </pic:spPr>
                </pic:pic>
              </a:graphicData>
            </a:graphic>
          </wp:inline>
        </w:drawing>
      </w:r>
    </w:p>
    <w:p>
      <w:pPr>
        <w:pStyle w:val="2"/>
        <w:ind w:firstLine="210"/>
        <w:jc w:val="center"/>
      </w:pPr>
      <w:r>
        <w:rPr>
          <w:rFonts w:hint="eastAsia"/>
        </w:rPr>
        <w:t>蒙特梭利区效果参考图</w:t>
      </w:r>
    </w:p>
    <w:p>
      <w:pPr>
        <w:ind w:firstLine="480"/>
      </w:pPr>
      <w:r>
        <w:rPr>
          <w:rFonts w:hint="eastAsia"/>
        </w:rPr>
        <w:t>言语语言康复个训区：针对语言发育迟缓、精神发育迟滞、孤独症、脑瘫、唐氏综合征等特殊儿童，配备早期言语评估与训练系统、言语语言训练卡片等相关设施设备，开展康复训练。</w:t>
      </w:r>
    </w:p>
    <w:p>
      <w:pPr>
        <w:ind w:firstLine="480"/>
      </w:pPr>
      <w:r>
        <w:rPr>
          <w:rFonts w:hint="eastAsia"/>
        </w:rPr>
        <w:t>认知沟通个训区：配备儿童认知能力测试与训练仪、认知互动书等相关康复设施设备，为语言发育迟缓、精神发育迟缓、听觉障碍、脑瘫、孤独症等特殊儿童，进行智能分析、评估、训练等，助力特殊儿童提升认知、沟通能力。</w:t>
      </w:r>
    </w:p>
    <w:p>
      <w:pPr>
        <w:ind w:firstLine="480"/>
      </w:pPr>
      <w:r>
        <w:rPr>
          <w:rFonts w:hint="eastAsia"/>
        </w:rPr>
        <w:t>孤独症干预个训区：配置孤独症综合评估与干预系统、智能沟通训练板、社会行为干预卡等相关康复设施设备，以应用性行为分析法作为理论基础，结合孤独症儿童的临床特征及矫正模式，利用计算机多媒体技术和训练工具实现的具有趣味性的评估、干预和训练等康复教学。</w:t>
      </w:r>
    </w:p>
    <w:p>
      <w:pPr>
        <w:ind w:firstLine="480"/>
      </w:pPr>
      <w:r>
        <w:rPr>
          <w:rFonts w:hint="eastAsia"/>
        </w:rPr>
        <w:t>注意力个训区：为注意力发展迟缓、注意力缺失的儿童，配备共同注意力评估与训练系统、基础能力训练仪以及注意力测评工具箱等相关设施设备，应用性行为分析（ABA）和回合试验教学（DTT）为训练范式，采用阶段式康复理念，并结合训练工具，在计算机辅助模式下进行共同注意力训练。</w:t>
      </w:r>
    </w:p>
    <w:p>
      <w:pPr>
        <w:ind w:firstLine="0" w:firstLineChars="0"/>
        <w:jc w:val="center"/>
      </w:pPr>
      <w:r>
        <w:rPr>
          <w:rFonts w:hint="eastAsia"/>
        </w:rPr>
        <w:drawing>
          <wp:inline distT="0" distB="0" distL="114300" distR="114300">
            <wp:extent cx="2220595" cy="1665605"/>
            <wp:effectExtent l="0" t="0" r="1905" b="10795"/>
            <wp:docPr id="478" name="图片 478" descr="mmexport16227689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mmexport1622768907041"/>
                    <pic:cNvPicPr>
                      <a:picLocks noChangeAspect="1"/>
                    </pic:cNvPicPr>
                  </pic:nvPicPr>
                  <pic:blipFill>
                    <a:blip r:embed="rId36"/>
                    <a:stretch>
                      <a:fillRect/>
                    </a:stretch>
                  </pic:blipFill>
                  <pic:spPr>
                    <a:xfrm>
                      <a:off x="0" y="0"/>
                      <a:ext cx="2220595" cy="1665605"/>
                    </a:xfrm>
                    <a:prstGeom prst="rect">
                      <a:avLst/>
                    </a:prstGeom>
                  </pic:spPr>
                </pic:pic>
              </a:graphicData>
            </a:graphic>
          </wp:inline>
        </w:drawing>
      </w:r>
      <w:r>
        <w:rPr>
          <w:rFonts w:hint="eastAsia"/>
        </w:rPr>
        <w:drawing>
          <wp:inline distT="0" distB="0" distL="114300" distR="114300">
            <wp:extent cx="2162175" cy="1653540"/>
            <wp:effectExtent l="0" t="0" r="9525" b="10160"/>
            <wp:docPr id="479" name="图片 47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图片5"/>
                    <pic:cNvPicPr>
                      <a:picLocks noChangeAspect="1"/>
                    </pic:cNvPicPr>
                  </pic:nvPicPr>
                  <pic:blipFill>
                    <a:blip r:embed="rId37"/>
                    <a:stretch>
                      <a:fillRect/>
                    </a:stretch>
                  </pic:blipFill>
                  <pic:spPr>
                    <a:xfrm>
                      <a:off x="0" y="0"/>
                      <a:ext cx="2162175" cy="1653540"/>
                    </a:xfrm>
                    <a:prstGeom prst="rect">
                      <a:avLst/>
                    </a:prstGeom>
                  </pic:spPr>
                </pic:pic>
              </a:graphicData>
            </a:graphic>
          </wp:inline>
        </w:drawing>
      </w:r>
    </w:p>
    <w:p>
      <w:pPr>
        <w:pStyle w:val="2"/>
        <w:ind w:firstLine="210"/>
        <w:jc w:val="center"/>
      </w:pPr>
      <w:r>
        <w:rPr>
          <w:rFonts w:hint="eastAsia"/>
        </w:rPr>
        <w:t>个训区效果参考图</w:t>
      </w:r>
    </w:p>
    <w:p>
      <w:pPr>
        <w:pStyle w:val="6"/>
        <w:numPr>
          <w:ilvl w:val="2"/>
          <w:numId w:val="0"/>
        </w:numPr>
        <w:ind w:leftChars="0"/>
      </w:pPr>
      <w:bookmarkStart w:id="369" w:name="_Toc6931"/>
      <w:bookmarkStart w:id="370" w:name="_Toc26666"/>
      <w:bookmarkStart w:id="371" w:name="_Toc13545"/>
      <w:r>
        <w:t>2</w:t>
      </w:r>
      <w:r>
        <w:rPr>
          <w:rFonts w:hint="eastAsia"/>
        </w:rPr>
        <w:t>.</w:t>
      </w:r>
      <w:r>
        <w:t>5</w:t>
      </w:r>
      <w:r>
        <w:rPr>
          <w:rFonts w:hint="eastAsia"/>
        </w:rPr>
        <w:t>.4 艺术治疗室功能</w:t>
      </w:r>
      <w:bookmarkEnd w:id="369"/>
      <w:bookmarkEnd w:id="370"/>
      <w:bookmarkEnd w:id="371"/>
    </w:p>
    <w:p>
      <w:pPr>
        <w:ind w:firstLine="480"/>
      </w:pPr>
      <w:r>
        <w:t>艺术治疗室</w:t>
      </w:r>
      <w:r>
        <w:rPr>
          <w:rFonts w:hint="eastAsia"/>
        </w:rPr>
        <w:t>设置</w:t>
      </w:r>
      <w:r>
        <w:t>律动舞蹈区</w:t>
      </w:r>
      <w:r>
        <w:rPr>
          <w:rFonts w:hint="eastAsia"/>
        </w:rPr>
        <w:t>、</w:t>
      </w:r>
      <w:r>
        <w:t>奥尔夫音乐区</w:t>
      </w:r>
      <w:r>
        <w:rPr>
          <w:rFonts w:hint="eastAsia"/>
        </w:rPr>
        <w:t>、</w:t>
      </w:r>
      <w:r>
        <w:t>美工区和特奥运动区</w:t>
      </w:r>
      <w:r>
        <w:rPr>
          <w:rFonts w:hint="eastAsia"/>
        </w:rPr>
        <w:t>。</w:t>
      </w:r>
    </w:p>
    <w:p>
      <w:pPr>
        <w:ind w:firstLine="480"/>
      </w:pPr>
      <w:r>
        <w:t>律动舞蹈区</w:t>
      </w:r>
      <w:r>
        <w:rPr>
          <w:rFonts w:hint="eastAsia"/>
        </w:rPr>
        <w:t>：</w:t>
      </w:r>
      <w:r>
        <w:t>为特殊儿童提供唱游与律动课程教学第二场所</w:t>
      </w:r>
      <w:r>
        <w:rPr>
          <w:rFonts w:hint="eastAsia"/>
        </w:rPr>
        <w:t>，</w:t>
      </w:r>
      <w:r>
        <w:t>让学生在音乐中玩乐</w:t>
      </w:r>
      <w:r>
        <w:rPr>
          <w:rFonts w:hint="eastAsia"/>
        </w:rPr>
        <w:t>，</w:t>
      </w:r>
      <w:r>
        <w:t>在玩乐中感受</w:t>
      </w:r>
      <w:r>
        <w:rPr>
          <w:rFonts w:hint="eastAsia"/>
        </w:rPr>
        <w:t>、</w:t>
      </w:r>
      <w:r>
        <w:t>体验和学习音乐</w:t>
      </w:r>
      <w:r>
        <w:rPr>
          <w:rFonts w:hint="eastAsia"/>
        </w:rPr>
        <w:t>。</w:t>
      </w:r>
    </w:p>
    <w:p>
      <w:pPr>
        <w:ind w:firstLine="0" w:firstLineChars="0"/>
        <w:jc w:val="center"/>
      </w:pPr>
      <w:r>
        <w:rPr>
          <w:rFonts w:hint="eastAsia"/>
        </w:rPr>
        <w:drawing>
          <wp:inline distT="0" distB="0" distL="114300" distR="114300">
            <wp:extent cx="3110865" cy="1778635"/>
            <wp:effectExtent l="0" t="0" r="635" b="12065"/>
            <wp:docPr id="480" name="图片 48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图片4"/>
                    <pic:cNvPicPr>
                      <a:picLocks noChangeAspect="1"/>
                    </pic:cNvPicPr>
                  </pic:nvPicPr>
                  <pic:blipFill>
                    <a:blip r:embed="rId38"/>
                    <a:stretch>
                      <a:fillRect/>
                    </a:stretch>
                  </pic:blipFill>
                  <pic:spPr>
                    <a:xfrm>
                      <a:off x="0" y="0"/>
                      <a:ext cx="3110865" cy="1778635"/>
                    </a:xfrm>
                    <a:prstGeom prst="rect">
                      <a:avLst/>
                    </a:prstGeom>
                  </pic:spPr>
                </pic:pic>
              </a:graphicData>
            </a:graphic>
          </wp:inline>
        </w:drawing>
      </w:r>
    </w:p>
    <w:p>
      <w:pPr>
        <w:pStyle w:val="2"/>
        <w:ind w:firstLine="210"/>
        <w:jc w:val="center"/>
      </w:pPr>
      <w:r>
        <w:rPr>
          <w:rFonts w:hint="eastAsia"/>
        </w:rPr>
        <w:t>律动舞蹈区效果参考图</w:t>
      </w:r>
    </w:p>
    <w:p>
      <w:pPr>
        <w:ind w:firstLine="480"/>
      </w:pPr>
      <w:r>
        <w:rPr>
          <w:rFonts w:hint="eastAsia"/>
        </w:rPr>
        <w:t>奥尔夫音乐区：</w:t>
      </w:r>
      <w:r>
        <w:t>配备奥尔夫音乐乐器</w:t>
      </w:r>
      <w:r>
        <w:rPr>
          <w:rFonts w:hint="eastAsia"/>
        </w:rPr>
        <w:t>，便于教师利用专业的音乐乐器开展形式多样、丰富多彩的唱游活动，激发学生对音乐的兴趣，开发潜能，补偿缺陷。</w:t>
      </w:r>
    </w:p>
    <w:p>
      <w:pPr>
        <w:ind w:firstLine="480"/>
      </w:pPr>
      <w:r>
        <w:rPr>
          <w:rFonts w:hint="eastAsia"/>
        </w:rPr>
        <w:t>美工区：为学生提供美术第二课堂和学习活动场所，内配置美术教学所用工具、器材。让学生在教师的引导下通过绘画艺术创作活动，为学生与外界进行表达和沟通提供非言语桥梁，在绘画过程中得到舒解及满足，提升学生对自我的觉察力、问题解决能力、显示自己潜意识想法、倾泻情绪及解决冲突。</w:t>
      </w:r>
    </w:p>
    <w:p>
      <w:pPr>
        <w:ind w:firstLine="0" w:firstLineChars="0"/>
        <w:jc w:val="center"/>
      </w:pPr>
      <w:r>
        <w:rPr>
          <w:rFonts w:hint="eastAsia"/>
        </w:rPr>
        <w:drawing>
          <wp:inline distT="0" distB="0" distL="114300" distR="114300">
            <wp:extent cx="3218815" cy="1673225"/>
            <wp:effectExtent l="0" t="0" r="6985" b="3175"/>
            <wp:docPr id="481" name="图片 481" descr="微信图片_2021060815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微信图片_20210608150713"/>
                    <pic:cNvPicPr>
                      <a:picLocks noChangeAspect="1"/>
                    </pic:cNvPicPr>
                  </pic:nvPicPr>
                  <pic:blipFill>
                    <a:blip r:embed="rId39"/>
                    <a:srcRect l="17416" r="15864"/>
                    <a:stretch>
                      <a:fillRect/>
                    </a:stretch>
                  </pic:blipFill>
                  <pic:spPr>
                    <a:xfrm>
                      <a:off x="0" y="0"/>
                      <a:ext cx="3218815" cy="1673225"/>
                    </a:xfrm>
                    <a:prstGeom prst="rect">
                      <a:avLst/>
                    </a:prstGeom>
                  </pic:spPr>
                </pic:pic>
              </a:graphicData>
            </a:graphic>
          </wp:inline>
        </w:drawing>
      </w:r>
    </w:p>
    <w:p>
      <w:pPr>
        <w:pStyle w:val="2"/>
        <w:ind w:firstLine="210"/>
        <w:jc w:val="center"/>
      </w:pPr>
      <w:r>
        <w:rPr>
          <w:rFonts w:hint="eastAsia"/>
        </w:rPr>
        <w:t>美工区布局参考图</w:t>
      </w:r>
    </w:p>
    <w:p>
      <w:pPr>
        <w:ind w:firstLine="480"/>
      </w:pPr>
      <w:r>
        <w:rPr>
          <w:rFonts w:hint="eastAsia"/>
        </w:rPr>
        <w:t>特奥运动：配备特奥运动专业器械，如冰壶、硬地滚球等设施设备和特奥体育训练相关器械，为特殊儿童提供训练、比赛和活动的器材，让特殊儿童参与到体育运动中，体验运动的乐趣，培养自强、自立，平等的参与社会活动的意识。</w:t>
      </w:r>
    </w:p>
    <w:p>
      <w:pPr>
        <w:pStyle w:val="6"/>
        <w:numPr>
          <w:ilvl w:val="2"/>
          <w:numId w:val="0"/>
        </w:numPr>
        <w:ind w:leftChars="0"/>
      </w:pPr>
      <w:bookmarkStart w:id="372" w:name="_Toc11820"/>
      <w:bookmarkStart w:id="373" w:name="_Toc27243"/>
      <w:bookmarkStart w:id="374" w:name="_Toc27959"/>
      <w:r>
        <w:t>2</w:t>
      </w:r>
      <w:r>
        <w:rPr>
          <w:rFonts w:hint="eastAsia"/>
        </w:rPr>
        <w:t>.</w:t>
      </w:r>
      <w:r>
        <w:t>5</w:t>
      </w:r>
      <w:r>
        <w:rPr>
          <w:rFonts w:hint="eastAsia"/>
        </w:rPr>
        <w:t>.5 生活情景体验室功能</w:t>
      </w:r>
      <w:bookmarkEnd w:id="372"/>
      <w:bookmarkEnd w:id="373"/>
      <w:bookmarkEnd w:id="374"/>
    </w:p>
    <w:p>
      <w:pPr>
        <w:ind w:firstLine="480"/>
      </w:pPr>
      <w:r>
        <w:t>生活情景</w:t>
      </w:r>
      <w:r>
        <w:rPr>
          <w:rFonts w:hint="eastAsia"/>
        </w:rPr>
        <w:t>体验室设置</w:t>
      </w:r>
      <w:r>
        <w:t>烹饪区</w:t>
      </w:r>
      <w:r>
        <w:rPr>
          <w:rFonts w:hint="eastAsia"/>
        </w:rPr>
        <w:t>、</w:t>
      </w:r>
      <w:r>
        <w:t>家政区</w:t>
      </w:r>
      <w:r>
        <w:rPr>
          <w:rFonts w:hint="eastAsia"/>
        </w:rPr>
        <w:t>、</w:t>
      </w:r>
      <w:r>
        <w:t>劳技区</w:t>
      </w:r>
      <w:r>
        <w:rPr>
          <w:rFonts w:hint="eastAsia"/>
        </w:rPr>
        <w:t>、情景教学</w:t>
      </w:r>
      <w:r>
        <w:t>区</w:t>
      </w:r>
      <w:r>
        <w:rPr>
          <w:rFonts w:hint="eastAsia"/>
        </w:rPr>
        <w:t>。</w:t>
      </w:r>
    </w:p>
    <w:p>
      <w:pPr>
        <w:ind w:firstLine="480"/>
      </w:pPr>
      <w:r>
        <w:t>烹饪区</w:t>
      </w:r>
      <w:r>
        <w:rPr>
          <w:rFonts w:hint="eastAsia"/>
        </w:rPr>
        <w:t>：</w:t>
      </w:r>
      <w:r>
        <w:t>提供真实的烹饪场地和器材</w:t>
      </w:r>
      <w:r>
        <w:rPr>
          <w:rFonts w:hint="eastAsia"/>
        </w:rPr>
        <w:t>，学生在老师的演示和指导下亲手操作简单的烹饪，提高学生的动手能力，让他们更好的认识各种食物、食材，了解操作流程，在整个操作的过程中可以很好的刺激学生的感官系统，让他们感受到成就感。</w:t>
      </w:r>
    </w:p>
    <w:p>
      <w:pPr>
        <w:ind w:firstLine="0" w:firstLineChars="0"/>
        <w:jc w:val="center"/>
      </w:pPr>
      <w:r>
        <w:rPr>
          <w:rFonts w:hint="eastAsia"/>
        </w:rPr>
        <w:drawing>
          <wp:inline distT="0" distB="0" distL="114300" distR="114300">
            <wp:extent cx="3172460" cy="1707515"/>
            <wp:effectExtent l="0" t="0" r="2540" b="6985"/>
            <wp:docPr id="463" name="图片 463" descr="mmexport162276888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mmexport1622768885688"/>
                    <pic:cNvPicPr>
                      <a:picLocks noChangeAspect="1"/>
                    </pic:cNvPicPr>
                  </pic:nvPicPr>
                  <pic:blipFill>
                    <a:blip r:embed="rId40"/>
                    <a:stretch>
                      <a:fillRect/>
                    </a:stretch>
                  </pic:blipFill>
                  <pic:spPr>
                    <a:xfrm>
                      <a:off x="0" y="0"/>
                      <a:ext cx="3172460" cy="1707515"/>
                    </a:xfrm>
                    <a:prstGeom prst="rect">
                      <a:avLst/>
                    </a:prstGeom>
                  </pic:spPr>
                </pic:pic>
              </a:graphicData>
            </a:graphic>
          </wp:inline>
        </w:drawing>
      </w:r>
    </w:p>
    <w:p>
      <w:pPr>
        <w:pStyle w:val="2"/>
        <w:ind w:firstLine="210"/>
        <w:jc w:val="center"/>
      </w:pPr>
      <w:r>
        <w:rPr>
          <w:rFonts w:hint="eastAsia"/>
        </w:rPr>
        <w:t>烹饪区效果参考图</w:t>
      </w:r>
    </w:p>
    <w:p>
      <w:pPr>
        <w:ind w:firstLine="480"/>
      </w:pPr>
      <w:r>
        <w:rPr>
          <w:rFonts w:hint="eastAsia"/>
        </w:rPr>
        <w:t>家政区：为学生提供真实家庭活动场所，在特定的家庭环境中，学习并练习日常生活技能，帮助学生更好地掌握家庭日常生活常识、礼仪以及清洁等生活技能。</w:t>
      </w:r>
    </w:p>
    <w:p>
      <w:pPr>
        <w:ind w:firstLine="0" w:firstLineChars="0"/>
        <w:jc w:val="center"/>
      </w:pPr>
      <w:r>
        <w:rPr>
          <w:rFonts w:hint="eastAsia"/>
        </w:rPr>
        <w:drawing>
          <wp:inline distT="0" distB="0" distL="114300" distR="114300">
            <wp:extent cx="2809875" cy="1756410"/>
            <wp:effectExtent l="0" t="0" r="9525" b="8890"/>
            <wp:docPr id="464" name="图片 464" descr="mmexport162277126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mmexport1622771269829"/>
                    <pic:cNvPicPr>
                      <a:picLocks noChangeAspect="1"/>
                    </pic:cNvPicPr>
                  </pic:nvPicPr>
                  <pic:blipFill>
                    <a:blip r:embed="rId41"/>
                    <a:srcRect l="10137" r="9041"/>
                    <a:stretch>
                      <a:fillRect/>
                    </a:stretch>
                  </pic:blipFill>
                  <pic:spPr>
                    <a:xfrm>
                      <a:off x="0" y="0"/>
                      <a:ext cx="2809875" cy="1756410"/>
                    </a:xfrm>
                    <a:prstGeom prst="rect">
                      <a:avLst/>
                    </a:prstGeom>
                  </pic:spPr>
                </pic:pic>
              </a:graphicData>
            </a:graphic>
          </wp:inline>
        </w:drawing>
      </w:r>
    </w:p>
    <w:p>
      <w:pPr>
        <w:pStyle w:val="2"/>
        <w:ind w:firstLine="210"/>
        <w:jc w:val="center"/>
      </w:pPr>
      <w:r>
        <w:rPr>
          <w:rFonts w:hint="eastAsia"/>
        </w:rPr>
        <w:t>家政区效果参考图</w:t>
      </w:r>
    </w:p>
    <w:p>
      <w:pPr>
        <w:ind w:firstLine="480"/>
      </w:pPr>
      <w:r>
        <w:rPr>
          <w:rFonts w:hint="eastAsia"/>
        </w:rPr>
        <w:drawing>
          <wp:anchor distT="0" distB="0" distL="114300" distR="114300" simplePos="0" relativeHeight="251660288" behindDoc="0" locked="0" layoutInCell="1" allowOverlap="1">
            <wp:simplePos x="0" y="0"/>
            <wp:positionH relativeFrom="column">
              <wp:posOffset>1092200</wp:posOffset>
            </wp:positionH>
            <wp:positionV relativeFrom="paragraph">
              <wp:posOffset>964565</wp:posOffset>
            </wp:positionV>
            <wp:extent cx="2821305" cy="1795145"/>
            <wp:effectExtent l="0" t="0" r="10795" b="8255"/>
            <wp:wrapTopAndBottom/>
            <wp:docPr id="465" name="图片 465" descr="73d17a434be9f21dadd3cfcfa8b4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73d17a434be9f21dadd3cfcfa8b492b"/>
                    <pic:cNvPicPr>
                      <a:picLocks noChangeAspect="1"/>
                    </pic:cNvPicPr>
                  </pic:nvPicPr>
                  <pic:blipFill>
                    <a:blip r:embed="rId42"/>
                    <a:stretch>
                      <a:fillRect/>
                    </a:stretch>
                  </pic:blipFill>
                  <pic:spPr>
                    <a:xfrm>
                      <a:off x="0" y="0"/>
                      <a:ext cx="2821305" cy="1795145"/>
                    </a:xfrm>
                    <a:prstGeom prst="rect">
                      <a:avLst/>
                    </a:prstGeom>
                  </pic:spPr>
                </pic:pic>
              </a:graphicData>
            </a:graphic>
          </wp:anchor>
        </w:drawing>
      </w:r>
      <w:r>
        <w:rPr>
          <w:rFonts w:hint="eastAsia"/>
        </w:rPr>
        <w:t>劳技区：配备日常劳动技能相关工具和器材，学生可以在老师的带领下进行种植、手工艺制作等相关学习，开发特殊学生的智力，补偿特殊学生的缺陷并发展其能力，能自食其力，成为有用的劳动贡献者。</w:t>
      </w:r>
    </w:p>
    <w:p>
      <w:pPr>
        <w:pStyle w:val="2"/>
        <w:ind w:firstLine="210"/>
        <w:jc w:val="center"/>
      </w:pPr>
      <w:r>
        <w:rPr>
          <w:rFonts w:hint="eastAsia"/>
        </w:rPr>
        <w:t>劳技区效果参考图</w:t>
      </w:r>
    </w:p>
    <w:p>
      <w:pPr>
        <w:ind w:firstLine="480"/>
      </w:pPr>
      <w:r>
        <w:rPr>
          <w:rFonts w:hint="eastAsia"/>
        </w:rPr>
        <w:t>情景教学区：为教师生活化教学提供场所，教师带领儿童体验超市、银行、交通等社会场所，实现情景教学，完成在课堂上无法用语言表达或亲生感受的内容，使学生善于动脑，勤思考，促进他们心理过程的发展，提高学生生活适应能力。</w:t>
      </w:r>
    </w:p>
    <w:p>
      <w:pPr>
        <w:ind w:firstLine="0" w:firstLineChars="0"/>
        <w:jc w:val="center"/>
      </w:pPr>
      <w:r>
        <w:rPr>
          <w:rFonts w:hint="eastAsia"/>
        </w:rPr>
        <w:drawing>
          <wp:inline distT="0" distB="0" distL="114300" distR="114300">
            <wp:extent cx="2581275" cy="1451610"/>
            <wp:effectExtent l="0" t="0" r="9525" b="8890"/>
            <wp:docPr id="466" name="图片 466" descr="mmexport162277151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mmexport1622771517592"/>
                    <pic:cNvPicPr>
                      <a:picLocks noChangeAspect="1"/>
                    </pic:cNvPicPr>
                  </pic:nvPicPr>
                  <pic:blipFill>
                    <a:blip r:embed="rId43"/>
                    <a:stretch>
                      <a:fillRect/>
                    </a:stretch>
                  </pic:blipFill>
                  <pic:spPr>
                    <a:xfrm>
                      <a:off x="0" y="0"/>
                      <a:ext cx="2581275" cy="1451610"/>
                    </a:xfrm>
                    <a:prstGeom prst="rect">
                      <a:avLst/>
                    </a:prstGeom>
                  </pic:spPr>
                </pic:pic>
              </a:graphicData>
            </a:graphic>
          </wp:inline>
        </w:drawing>
      </w:r>
      <w:r>
        <w:rPr>
          <w:rFonts w:hint="eastAsia"/>
        </w:rPr>
        <w:drawing>
          <wp:inline distT="0" distB="0" distL="114300" distR="114300">
            <wp:extent cx="2553335" cy="1435735"/>
            <wp:effectExtent l="0" t="0" r="12065" b="12065"/>
            <wp:docPr id="467" name="图片 467" descr="mmexport162277153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mmexport1622771531034"/>
                    <pic:cNvPicPr>
                      <a:picLocks noChangeAspect="1"/>
                    </pic:cNvPicPr>
                  </pic:nvPicPr>
                  <pic:blipFill>
                    <a:blip r:embed="rId44"/>
                    <a:stretch>
                      <a:fillRect/>
                    </a:stretch>
                  </pic:blipFill>
                  <pic:spPr>
                    <a:xfrm>
                      <a:off x="0" y="0"/>
                      <a:ext cx="2553335" cy="1435735"/>
                    </a:xfrm>
                    <a:prstGeom prst="rect">
                      <a:avLst/>
                    </a:prstGeom>
                  </pic:spPr>
                </pic:pic>
              </a:graphicData>
            </a:graphic>
          </wp:inline>
        </w:drawing>
      </w:r>
    </w:p>
    <w:p>
      <w:pPr>
        <w:pStyle w:val="2"/>
        <w:ind w:firstLine="210"/>
        <w:jc w:val="center"/>
      </w:pPr>
      <w:r>
        <w:rPr>
          <w:rFonts w:hint="eastAsia"/>
        </w:rPr>
        <w:t>情景教学区效果参考图</w:t>
      </w:r>
    </w:p>
    <w:p>
      <w:pPr>
        <w:ind w:firstLine="0" w:firstLineChars="0"/>
      </w:pPr>
      <w:r>
        <w:br w:type="page"/>
      </w:r>
    </w:p>
    <w:p>
      <w:pPr>
        <w:pStyle w:val="5"/>
        <w:sectPr>
          <w:pgSz w:w="11906" w:h="16838"/>
          <w:pgMar w:top="1440" w:right="1800" w:bottom="1440" w:left="1800" w:header="851" w:footer="992" w:gutter="0"/>
          <w:cols w:space="425" w:num="1"/>
          <w:docGrid w:type="lines" w:linePitch="326" w:charSpace="0"/>
        </w:sectPr>
      </w:pPr>
    </w:p>
    <w:p>
      <w:pPr>
        <w:pStyle w:val="5"/>
        <w:numPr>
          <w:ilvl w:val="1"/>
          <w:numId w:val="0"/>
        </w:numPr>
        <w:ind w:leftChars="0"/>
      </w:pPr>
      <w:bookmarkStart w:id="375" w:name="_Toc12452"/>
      <w:bookmarkStart w:id="376" w:name="_Toc11106"/>
      <w:bookmarkStart w:id="377" w:name="_Toc26395"/>
      <w:r>
        <w:t>2</w:t>
      </w:r>
      <w:r>
        <w:rPr>
          <w:rFonts w:hint="eastAsia"/>
        </w:rPr>
        <w:t>.</w:t>
      </w:r>
      <w:r>
        <w:t>6</w:t>
      </w:r>
      <w:r>
        <w:rPr>
          <w:rFonts w:hint="eastAsia"/>
        </w:rPr>
        <w:t>配备目录</w:t>
      </w:r>
      <w:bookmarkEnd w:id="375"/>
      <w:bookmarkEnd w:id="376"/>
      <w:bookmarkEnd w:id="377"/>
    </w:p>
    <w:p>
      <w:pPr>
        <w:pStyle w:val="29"/>
        <w:numPr>
          <w:ilvl w:val="0"/>
          <w:numId w:val="0"/>
        </w:numPr>
        <w:tabs>
          <w:tab w:val="left" w:pos="1134"/>
        </w:tabs>
        <w:spacing w:line="360" w:lineRule="auto"/>
        <w:ind w:firstLine="643" w:firstLineChars="200"/>
        <w:rPr>
          <w:b/>
          <w:bCs/>
          <w:sz w:val="32"/>
          <w:szCs w:val="32"/>
        </w:rPr>
      </w:pPr>
      <w:r>
        <w:rPr>
          <w:rFonts w:hint="eastAsia"/>
          <w:b/>
          <w:bCs/>
          <w:sz w:val="32"/>
          <w:szCs w:val="32"/>
        </w:rPr>
        <w:t>包件一</w:t>
      </w:r>
    </w:p>
    <w:p>
      <w:pPr>
        <w:pStyle w:val="6"/>
        <w:numPr>
          <w:ilvl w:val="2"/>
          <w:numId w:val="0"/>
        </w:numPr>
        <w:ind w:leftChars="0"/>
      </w:pPr>
      <w:bookmarkStart w:id="378" w:name="_Toc15721"/>
      <w:bookmarkStart w:id="379" w:name="_Toc14185"/>
      <w:bookmarkStart w:id="380" w:name="_Toc20526"/>
      <w:r>
        <w:t>2.6.1</w:t>
      </w:r>
      <w:r>
        <w:rPr>
          <w:rFonts w:hint="eastAsia"/>
        </w:rPr>
        <w:t xml:space="preserve"> 资源中心设备清单</w:t>
      </w:r>
      <w:bookmarkEnd w:id="378"/>
      <w:bookmarkEnd w:id="379"/>
      <w:bookmarkEnd w:id="380"/>
    </w:p>
    <w:tbl>
      <w:tblPr>
        <w:tblStyle w:val="17"/>
        <w:tblW w:w="13510" w:type="dxa"/>
        <w:tblInd w:w="-152" w:type="dxa"/>
        <w:tblLayout w:type="fixed"/>
        <w:tblCellMar>
          <w:top w:w="0" w:type="dxa"/>
          <w:left w:w="0" w:type="dxa"/>
          <w:bottom w:w="0" w:type="dxa"/>
          <w:right w:w="0" w:type="dxa"/>
        </w:tblCellMar>
      </w:tblPr>
      <w:tblGrid>
        <w:gridCol w:w="482"/>
        <w:gridCol w:w="964"/>
        <w:gridCol w:w="1282"/>
        <w:gridCol w:w="6745"/>
        <w:gridCol w:w="864"/>
        <w:gridCol w:w="682"/>
        <w:gridCol w:w="909"/>
        <w:gridCol w:w="1582"/>
      </w:tblGrid>
      <w:tr>
        <w:tblPrEx>
          <w:tblCellMar>
            <w:top w:w="0" w:type="dxa"/>
            <w:left w:w="0" w:type="dxa"/>
            <w:bottom w:w="0" w:type="dxa"/>
            <w:right w:w="0" w:type="dxa"/>
          </w:tblCellMar>
        </w:tblPrEx>
        <w:trPr>
          <w:trHeight w:val="85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ascii="宋体" w:hAnsi="宋体" w:cs="宋体"/>
                <w:b/>
              </w:rPr>
            </w:pPr>
            <w:r>
              <w:rPr>
                <w:rFonts w:hint="eastAsia" w:ascii="宋体" w:hAnsi="宋体" w:cs="宋体"/>
                <w:b/>
              </w:rPr>
              <w:t>序号</w:t>
            </w:r>
          </w:p>
        </w:tc>
        <w:tc>
          <w:tcPr>
            <w:tcW w:w="22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56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0"/>
              </w:numPr>
              <w:jc w:val="left"/>
              <w:textAlignment w:val="center"/>
              <w:rPr>
                <w:rFonts w:ascii="宋体" w:hAnsi="宋体" w:eastAsia="宋体" w:cs="宋体"/>
                <w:kern w:val="2"/>
                <w:sz w:val="21"/>
                <w:szCs w:val="22"/>
                <w:lang w:val="en-US" w:eastAsia="zh-CN" w:bidi="ar-SA"/>
              </w:rPr>
            </w:pPr>
            <w:r>
              <w:rPr>
                <w:rFonts w:hint="eastAsia" w:cs="宋体"/>
                <w:kern w:val="2"/>
                <w:sz w:val="21"/>
                <w:szCs w:val="22"/>
                <w:lang w:val="en-US" w:eastAsia="zh-CN" w:bidi="ar-SA"/>
              </w:rPr>
              <w:t>1</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办公区</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台式计算机</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lang w:eastAsia="zh-CN"/>
              </w:rPr>
            </w:pPr>
            <w:r>
              <w:t>★</w:t>
            </w:r>
            <w:r>
              <w:rPr>
                <w:rFonts w:hint="eastAsia"/>
              </w:rPr>
              <w:t>1、液晶显示器≥23英寸，CPU≥ i5等主流芯片处理器；内存≥8G DDR4；硬盘≥1TB；≥128G SSD。</w:t>
            </w:r>
          </w:p>
          <w:p>
            <w:pPr>
              <w:widowControl/>
              <w:numPr>
                <w:ilvl w:val="0"/>
                <w:numId w:val="20"/>
              </w:numPr>
              <w:ind w:firstLine="0" w:firstLineChars="0"/>
              <w:jc w:val="left"/>
              <w:textAlignment w:val="center"/>
              <w:rPr>
                <w:rFonts w:hint="eastAsia"/>
                <w:lang w:val="en-US" w:eastAsia="zh-CN"/>
              </w:rPr>
            </w:pPr>
            <w:r>
              <w:rPr>
                <w:rFonts w:hint="eastAsia"/>
              </w:rPr>
              <w:t>独立显卡，≥1个DP接口，≥1个DHMI接口；前置USB接口≥2个，后置USB接口≥4个；USB键盘鼠标。分辨率：≥1920×1080，对比度：≥1000:1。预装正版操作系统,提供授权正版序列号。</w:t>
            </w:r>
          </w:p>
          <w:p>
            <w:pPr>
              <w:pStyle w:val="2"/>
              <w:ind w:left="0" w:leftChars="0" w:firstLine="0" w:firstLineChars="0"/>
              <w:rPr>
                <w:rFonts w:hint="eastAsia" w:eastAsia="宋体"/>
                <w:lang w:val="en-US" w:eastAsia="zh-CN"/>
              </w:rPr>
            </w:pPr>
            <w:r>
              <w:rPr>
                <w:b/>
                <w:bCs/>
              </w:rPr>
              <w:t>★</w:t>
            </w:r>
            <w:r>
              <w:rPr>
                <w:rFonts w:hint="eastAsia"/>
                <w:b/>
                <w:bCs/>
                <w:lang w:val="en-US" w:eastAsia="zh-CN"/>
              </w:rPr>
              <w:t>3、</w:t>
            </w:r>
            <w:r>
              <w:rPr>
                <w:rFonts w:hint="eastAsia"/>
                <w:b/>
                <w:bCs/>
              </w:rPr>
              <w:t>应</w:t>
            </w:r>
            <w:r>
              <w:rPr>
                <w:rFonts w:hint="eastAsia"/>
                <w:b/>
                <w:bCs/>
                <w:lang w:val="en-US" w:eastAsia="zh-CN"/>
              </w:rPr>
              <w:t>提供</w:t>
            </w:r>
            <w:r>
              <w:rPr>
                <w:rFonts w:hint="eastAsia"/>
                <w:b/>
                <w:bCs/>
              </w:rPr>
              <w:t>具有国家确定的认证机构出具的在有效期内的</w:t>
            </w:r>
            <w:r>
              <w:rPr>
                <w:rFonts w:hint="eastAsia"/>
                <w:b/>
                <w:bCs/>
                <w:lang w:eastAsia="zh-CN"/>
              </w:rPr>
              <w:t>“</w:t>
            </w:r>
            <w:r>
              <w:rPr>
                <w:rFonts w:hint="eastAsia"/>
                <w:b/>
                <w:bCs/>
                <w:lang w:val="en-US" w:eastAsia="zh-CN"/>
              </w:rPr>
              <w:t>主机”及“显示器</w:t>
            </w:r>
            <w:r>
              <w:rPr>
                <w:rFonts w:hint="eastAsia"/>
                <w:b/>
                <w:bCs/>
                <w:lang w:eastAsia="zh-CN"/>
              </w:rPr>
              <w:t>”</w:t>
            </w:r>
            <w:r>
              <w:rPr>
                <w:rFonts w:hint="eastAsia"/>
                <w:b/>
                <w:bCs/>
              </w:rPr>
              <w:t>节能产品认证证书复印件</w:t>
            </w:r>
            <w:r>
              <w:rPr>
                <w:rFonts w:hint="eastAsia"/>
                <w:b/>
                <w:bCs/>
                <w:lang w:eastAsia="zh-CN"/>
              </w:rPr>
              <w:t>。</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557"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pPr>
            <w:r>
              <w:rPr>
                <w:rFonts w:hint="eastAsia"/>
              </w:rPr>
              <w:t>2</w:t>
            </w:r>
          </w:p>
          <w:p>
            <w:pPr>
              <w:ind w:firstLine="480"/>
              <w:jc w:val="center"/>
            </w:pPr>
            <w:r>
              <w:rPr>
                <w:rFonts w:hint="eastAsia"/>
              </w:rPr>
              <w:t>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双人位办公桌椅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双人位办公桌：1200*1200*1000mm（±5mm）；基材：选用E1级中密度纤维板，甲醛释放量≤0.124mg/m3。面材：采用E1级三聚氰胺板材，耐磨防划涂层，甲醛释放量≤0.124mg/m3；采用全自动封边机经热熔胶PVC封边，厚度：2.0mm；表面无瑕疵，光滑且花纹均匀，不易从四周破损。钢架采用无缝钢管，五金配件铝合金拉手，两联滑轨，锌合金铰链合页。</w:t>
            </w:r>
          </w:p>
          <w:p>
            <w:pPr>
              <w:widowControl/>
              <w:ind w:firstLine="0" w:firstLineChars="0"/>
              <w:jc w:val="left"/>
              <w:textAlignment w:val="center"/>
              <w:rPr>
                <w:rFonts w:ascii="宋体" w:hAnsi="宋体" w:cs="宋体"/>
              </w:rPr>
            </w:pPr>
            <w:r>
              <w:rPr>
                <w:rFonts w:hint="eastAsia" w:ascii="宋体" w:hAnsi="宋体" w:cs="宋体"/>
                <w:kern w:val="0"/>
              </w:rPr>
              <w:t>2、办公椅2把：640*650*1250mm（±5mm）；材料：选用环保PP材质一体成型，座垫采用高回弹海绵饱满填充；底盘：钢制联动底盘，控制升降，靠背倾仰，符合人体工程力学，脚架：尼龙五星脚架，配尼龙滑轮，椅子可以自由移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r>
              <w:rPr>
                <w:rFonts w:hint="eastAsia" w:ascii="宋体" w:hAnsi="宋体" w:cs="宋体"/>
              </w:rPr>
              <w:t>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档案柜</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2"/>
              </w:numPr>
              <w:ind w:firstLine="0" w:firstLineChars="0"/>
              <w:jc w:val="left"/>
              <w:textAlignment w:val="center"/>
              <w:rPr>
                <w:rFonts w:ascii="宋体" w:hAnsi="宋体" w:cs="宋体"/>
              </w:rPr>
            </w:pPr>
            <w:r>
              <w:rPr>
                <w:rFonts w:hint="eastAsia" w:ascii="宋体" w:hAnsi="宋体" w:cs="宋体"/>
                <w:kern w:val="0"/>
              </w:rPr>
              <w:t>规格：1600×400×2000mm（±5mm）；基材：选用E1级中密度纤维板，甲醛释放量≤0.124mg/m3；面材：采用三聚氰胺饰面，耐磨防划涂层，甲醛释放量≤0.124mg/m3；采用全自动封边机经热熔胶PVC封边，厚度≥2.0mm；表面无瑕疵，光滑且花纹均匀，不易从四周破损；五金件：五金配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组</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9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多功能一体机</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eastAsia="宋体"/>
                <w:lang w:val="en-US" w:eastAsia="zh-CN"/>
              </w:rPr>
            </w:pPr>
            <w:r>
              <w:t>★</w:t>
            </w:r>
            <w:r>
              <w:rPr>
                <w:rFonts w:hint="eastAsia"/>
              </w:rPr>
              <w:t>1、具有打印、复印、彩色扫描功能；黑白激光类型；配备自动双面输稿器；采用触摸显示屏；支持处理幅面A3；内存≥128MB；鼓粉分离式硒鼓。打印分辨率≥600×600dpi，打印速度（A4）≥20ppm；支持网络打印。复印分辨率≥600×600dpi、复印速度≥20ppm；连续复印1-99页  缩放范围：25-400%。扫描分辨率≥300×300dpi、扫描速度≥20ppm。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2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接待区</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沙发</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2张单人沙发，尺寸：520*590*710mm（±5mm）；1张3人沙发，尺寸：1460*590*710mm（±5mm）；木质茶几1张，尺寸：1200*550*500mm（±5mm）。材质：实木框架。甲醛释放量≤0.124mg/m3。沙发面材：选用布料，透气性强，柔软且富于韧性，厚度适中，内衬45＃高密度海绵，软硬适中，回弹性能好，不变形，根据人体工学原理设计，坐感舒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茶水柜</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1、现场定制，施工前提供设计图效果图经学校确认后方可施工。整体尺寸：2200*800*300mm（±10mm），材质：柜体采用多层实木板，门体为多层颗粒板，厚度≥1</w:t>
            </w:r>
            <w:r>
              <w:rPr>
                <w:rFonts w:ascii="宋体" w:hAnsi="宋体" w:cs="宋体"/>
                <w:kern w:val="0"/>
              </w:rPr>
              <w:t>8</w:t>
            </w:r>
            <w:r>
              <w:rPr>
                <w:rFonts w:hint="eastAsia" w:ascii="宋体" w:hAnsi="宋体" w:cs="宋体"/>
                <w:kern w:val="0"/>
              </w:rPr>
              <w:t>mm，甲醛释放量≤0.124mg/m³；石英石台面，厚度≥1</w:t>
            </w:r>
            <w:r>
              <w:rPr>
                <w:rFonts w:ascii="宋体" w:hAnsi="宋体" w:cs="宋体"/>
                <w:kern w:val="0"/>
              </w:rPr>
              <w:t>5</w:t>
            </w:r>
            <w:r>
              <w:rPr>
                <w:rFonts w:hint="eastAsia" w:ascii="宋体" w:hAnsi="宋体" w:cs="宋体"/>
                <w:kern w:val="0"/>
              </w:rPr>
              <w:t>mm；顶部带吊柜。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饮水机</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1、尺寸：≥389*406*836mm，双出水口，触控式操控，下置水桶，双壶加热，制热温度：40-100℃，出水速度：≥1-2L/分钟，配备304烧水壶x1、玻璃保温壶x1。</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会议区</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会议桌椅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1、会议桌1张，尺寸：3000*14000*750mm（±5mm）；基材：选用E1级中密度纤维板，甲醛释放量≤0.124mg/m3，面材厚度≥0.8mm ，实木封边，木材含水率8%-14%，水性环保油漆，五金配件。</w:t>
            </w:r>
          </w:p>
          <w:p>
            <w:pPr>
              <w:widowControl/>
              <w:ind w:firstLine="0" w:firstLineChars="0"/>
              <w:jc w:val="left"/>
              <w:textAlignment w:val="center"/>
              <w:rPr>
                <w:rFonts w:ascii="宋体" w:hAnsi="宋体" w:cs="宋体"/>
              </w:rPr>
            </w:pPr>
            <w:r>
              <w:rPr>
                <w:rFonts w:hint="eastAsia" w:ascii="宋体" w:hAnsi="宋体" w:cs="宋体"/>
                <w:kern w:val="0"/>
              </w:rPr>
              <w:t>2、会议椅10把，材料：实木＋布艺，透气性强，柔软且富于韧性，厚度适中，内衬45#高密度海绵，软硬适中，回弹性能好，不变形，根据人体工学原理设计，坐感舒适。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18"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触控一体机</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t>★</w:t>
            </w:r>
            <w:r>
              <w:rPr>
                <w:rFonts w:hint="eastAsia" w:ascii="宋体" w:hAnsi="宋体" w:cs="宋体"/>
                <w:kern w:val="0"/>
              </w:rPr>
              <w:t>1、≥86英寸UHD超高清LED 液晶屏，A规屏，显示比例16:9，屏幕图像分辨率≥3840*2160，可视角度≥178°，亮度：≥500cd/cm2，屏幕色域值≥NTSC 90%，钢化玻璃厚度≤3mm，钢化玻璃表面硬度≥9H；蓝光加权辐射亮度LB限值范围≤0.55。</w:t>
            </w:r>
            <w:r>
              <w:rPr>
                <w:rFonts w:hint="eastAsia" w:ascii="宋体" w:hAnsi="宋体" w:cs="宋体"/>
                <w:kern w:val="0"/>
              </w:rPr>
              <w:br w:type="textWrapping"/>
            </w:r>
            <w:r>
              <w:rPr>
                <w:rFonts w:hint="eastAsia" w:ascii="宋体" w:hAnsi="宋体" w:cs="宋体"/>
                <w:kern w:val="0"/>
              </w:rPr>
              <w:t>2、外置2.1声道扬声器，额定总功率≥50W；全金属外壳设计，边角采用弧形设计，表面无尖锐边缘或凸起，外部无任何可见内部功能模块连接线。配</w:t>
            </w:r>
            <w:r>
              <w:rPr>
                <w:rFonts w:hint="eastAsia" w:ascii="宋体" w:hAnsi="宋体" w:cs="宋体"/>
                <w:kern w:val="0"/>
                <w:highlight w:val="none"/>
              </w:rPr>
              <w:t>套具有正版授权的备授课教学软件，软件免费定期年度更新；配套与教育部现行教学大纲相配套的资源库。</w:t>
            </w:r>
            <w:r>
              <w:rPr>
                <w:rFonts w:hint="eastAsia" w:ascii="宋体" w:hAnsi="宋体" w:cs="宋体"/>
                <w:kern w:val="0"/>
                <w:highlight w:val="none"/>
              </w:rPr>
              <w:br w:type="textWrapping"/>
            </w:r>
            <w:r>
              <w:rPr>
                <w:highlight w:val="none"/>
              </w:rPr>
              <w:t>★</w:t>
            </w:r>
            <w:r>
              <w:rPr>
                <w:rFonts w:hint="eastAsia" w:ascii="宋体" w:hAnsi="宋体" w:cs="宋体"/>
                <w:kern w:val="0"/>
                <w:highlight w:val="none"/>
              </w:rPr>
              <w:t>3、配置实物展台，像素≥800万；处理器≥i5等主流芯片，内存≥4G，硬盘≥128G固态；配备无线鼠标、键盘。预装正版操作系统。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教学辅具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视听读一体机</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显示屏尺寸≥7英寸；内置≥16G存储容量，具有TF扩展功能，支持外置内存卡，扩展≥45G；≥1个USGOTG接口；≥2个外放扬声器；≥6颗LED灯；最小放大倍率≤2倍，最大放大倍率≥30倍；机身自带可折叠阅读支架。具备远近助视、助听、OCR+TTS、触屏读屏、拍照、WIFI上网功能；支持播放常用音视频格式文件；</w:t>
            </w:r>
          </w:p>
          <w:p>
            <w:pPr>
              <w:widowControl/>
              <w:ind w:firstLine="0" w:firstLineChars="0"/>
              <w:jc w:val="left"/>
              <w:textAlignment w:val="center"/>
              <w:rPr>
                <w:rFonts w:ascii="宋体" w:hAnsi="宋体" w:cs="宋体"/>
              </w:rPr>
            </w:pPr>
            <w:r>
              <w:rPr>
                <w:rFonts w:hint="eastAsia" w:ascii="宋体" w:hAnsi="宋体"/>
              </w:rPr>
              <w:t>▲2、</w:t>
            </w:r>
            <w:r>
              <w:rPr>
                <w:rFonts w:hint="eastAsia" w:ascii="宋体" w:hAnsi="宋体" w:cs="宋体"/>
                <w:kern w:val="0"/>
              </w:rPr>
              <w:t>具备读屏功能；具备万年历，汉英词典，英汉词典，计算器，计时器，汉语成语词典等功能；具备按键语音导航功能。</w:t>
            </w:r>
            <w:r>
              <w:rPr>
                <w:rFonts w:hint="eastAsia" w:ascii="宋体" w:hAnsi="宋体" w:cs="宋体"/>
                <w:b/>
                <w:bCs/>
                <w:kern w:val="0"/>
              </w:rPr>
              <w:t>（</w:t>
            </w:r>
            <w:r>
              <w:rPr>
                <w:rFonts w:hint="eastAsia"/>
                <w:b/>
                <w:bCs/>
              </w:rPr>
              <w:t>说明：提供</w:t>
            </w:r>
            <w:r>
              <w:rPr>
                <w:rFonts w:hint="eastAsia"/>
                <w:b/>
                <w:bCs/>
                <w:lang w:eastAsia="zh-CN"/>
              </w:rPr>
              <w:t>第三方法定检测机构</w:t>
            </w:r>
            <w:r>
              <w:rPr>
                <w:rFonts w:hint="eastAsia"/>
                <w:b/>
                <w:bCs/>
              </w:rPr>
              <w:t xml:space="preserve">出具的检测报告复印件，并加盖供应商鲜章） </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474"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4.3寸助视器</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3"/>
              </w:numPr>
              <w:ind w:firstLine="0" w:firstLineChars="0"/>
              <w:jc w:val="left"/>
              <w:textAlignment w:val="center"/>
              <w:rPr>
                <w:rFonts w:ascii="宋体" w:hAnsi="宋体" w:cs="宋体"/>
              </w:rPr>
            </w:pPr>
            <w:r>
              <w:rPr>
                <w:rFonts w:hint="eastAsia" w:ascii="宋体" w:hAnsi="宋体" w:cs="宋体"/>
                <w:kern w:val="0"/>
              </w:rPr>
              <w:t>整体尺寸：157mm×80mm×24mm（±5mm）；显示屏尺寸：≥4英寸；工作距离：0-100mm；最大可视范围≥80mm×40mm；1-33倍放大倍数；≥12种显示模式；屏幕亮度≥135cd/m2；≥210对比度；画面清晰，无暗斑，边缘无毛刺；静止和移动清晰无拖影。具备无极变倍、画面定格、释放、视频输出、省电模式、语音提示、记忆功能；内置可折叠支架，支持阅读和手写功能。配备产品说明书、视频输出线、标准AC电源适配器、短挂绳、保护套、可充电电池。</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9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FM调频语训系统</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1、数字化标准发射机1个, 拾音范围0.2米-4米；≥10个麦克风组网，多种麦克风模式，一键连接，永久连接，不串频；操作距离≥20米；音频带宽：100 Hz - 7.3 kHz；支持音频播放、双向信号传输、宽频蓝牙电话、具有LED指示灯。无限聆听设备1个：频率范围：2400-2483MHz；频率容限：±75KHz；传输延迟：≤20ms；音频带宽：100Hz-7KHz；LED灯提示；可连接监听耳机；自由增益调整：±8dB。</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1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平板电脑</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highlight w:val="none"/>
              </w:rPr>
            </w:pPr>
            <w:r>
              <w:t>★</w:t>
            </w:r>
            <w:r>
              <w:rPr>
                <w:rFonts w:hint="eastAsia"/>
              </w:rPr>
              <w:t>1、屏幕尺寸：≥10英寸，正版操作系统，运行内存：≥6G，存储容量：≥128GB；处理器速度:≥2.5 GHz，八核；后置摄像头：≥800W，前置摄像</w:t>
            </w:r>
            <w:r>
              <w:rPr>
                <w:rFonts w:hint="eastAsia"/>
                <w:highlight w:val="none"/>
              </w:rPr>
              <w:t>头:≥800w；</w:t>
            </w:r>
          </w:p>
          <w:p>
            <w:pPr>
              <w:pStyle w:val="2"/>
              <w:ind w:left="0" w:leftChars="0" w:firstLine="0" w:firstLineChars="0"/>
              <w:rPr>
                <w:rFonts w:hint="eastAsia" w:eastAsia="宋体"/>
                <w:lang w:val="en-US" w:eastAsia="zh-CN"/>
              </w:rPr>
            </w:pPr>
            <w:r>
              <w:rPr>
                <w:highlight w:val="none"/>
              </w:rPr>
              <w:t>★</w:t>
            </w:r>
            <w:r>
              <w:rPr>
                <w:rFonts w:hint="eastAsia"/>
                <w:highlight w:val="none"/>
                <w:lang w:val="en-US" w:eastAsia="zh-CN"/>
              </w:rPr>
              <w:t>2、</w:t>
            </w:r>
            <w:r>
              <w:rPr>
                <w:rFonts w:hint="eastAsia" w:ascii="Calibri" w:hAnsi="Calibri" w:cs="Times New Roman"/>
                <w:b/>
                <w:bCs/>
                <w:highlight w:val="none"/>
              </w:rPr>
              <w:t>应</w:t>
            </w:r>
            <w:r>
              <w:rPr>
                <w:rFonts w:hint="eastAsia" w:cs="Times New Roman"/>
                <w:b/>
                <w:bCs/>
                <w:highlight w:val="none"/>
                <w:lang w:val="en-US" w:eastAsia="zh-CN"/>
              </w:rPr>
              <w:t>提供</w:t>
            </w:r>
            <w:r>
              <w:rPr>
                <w:rFonts w:hint="eastAsia" w:ascii="Calibri" w:hAnsi="Calibri" w:cs="Times New Roman"/>
                <w:b/>
                <w:bCs/>
                <w:highlight w:val="none"/>
              </w:rPr>
              <w:t>具有国家确定的认证机构出具的在有效期内的节能产品认证证书复印件</w:t>
            </w:r>
            <w:r>
              <w:rPr>
                <w:rFonts w:hint="eastAsia" w:ascii="Calibri" w:hAnsi="Calibri" w:cs="Times New Roman"/>
                <w:b/>
                <w:bCs/>
                <w:highlight w:val="none"/>
                <w:lang w:eastAsia="zh-CN"/>
              </w:rPr>
              <w:t>。</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2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小学数学低年级教具箱</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1、外箱规格：540×320×110mm(±5mm)；内含适合培智低年级数学教学使用教具。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5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小学数学高年级教具箱</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1、外箱规格：540×320×110mm(±5mm)；内含适合培智高年级数学教学使用教具。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16"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评估工具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PEP-3自闭症评估箱</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1、适用于年龄段为2岁0个月——7岁5个月自闭症儿童诊断评估。内含可安装光盘，配合电脑使用、测试员手册、使用手册、测试书、书写簿、儿童照顾者报告、测试员记录册、评估材料包及训练目标光碟。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82"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S-S言语发育迟缓工具箱</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1、适用1~6岁语言发育迟缓儿童评估与训练，内含纸质评估量表、语言发育迟缓图卡、评估工具。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VB-MAPP评估工具包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1、评估工具内含完成vbmapp评估所需的所有评估工具等材料，材料按领域和里程碑分类，并贴标签，配评估手册。</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577"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儿童智力测试工具箱</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整体尺寸：590x360x320mm(±5mm),双层，内含≥100种测试工具，适合国内六大智力发育筛查，配备格赛尔发展量表Gesell（0～6岁）；丹佛小儿智能发育筛查DDST（0-6岁）；小儿神经心理发育量表CNBSR（0-6岁）；儿童智能发育筛查测验DST（0-6岁）；新生儿20项行为神经评定心理量表(NBNA)；20项神经运动检查NBNA2（0-1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1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玩教具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儿童视力环</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1、规格：直径≥180mm；材质：食品级PC材质外壳，内含钢珠；功能：利用眼球关注钢珠转动，提高专注力，训练孩子的手眼协调能力。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27"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手眼平衡协调训练器</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1、规格：60×270×230mm(±5mm)；材质：木质外框，内含钢珠；功能：通过转动器材，将钢珠送进指定区域，训练手眼协调能力。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翻翻记忆棋</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1、规格：215×225×45mm(±5mm)；材质：木质底板，纸质记忆卡；内含：计时漏斗、可擦出白板笔；功能：训练记忆能力。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数字华容道</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1、规格：194×160×20mm(±5mm)；材质：木质。功能：训练逻辑思维能力。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33"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筷子夹珠子游戏</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1、规格：220×220×20mm(±5mm)；材质：木质；内含：底板、卡纸、彩色珠子、筷子、勺子、夹子等；功能：认识颜色，训练对筷子、勺子、夹子的使用。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1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九宫格数独游戏</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1、规格：278×335mm(±5mm),3层结构：游戏层、题卡层、收纳层。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43"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俄罗斯方块之谜拼图</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1、内含平面俄罗斯方块、积木块、游戏盘、分割板；立体积木魔方，游戏盘，积木块，色子。功能：进行俄罗斯方块、拼图、积木游戏。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二合一棋盘</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1、规格：240×240mm(±5mm)；材质：木质。正面跳棋，反面五子棋。</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7"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螺丝拼盘套装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1、规格：200*60*295mm(±5mm)；材质：安全abs塑料；内含≥230块配件、电动螺丝刀、手动螺丝、扳手、内六角；功能：提高特殊儿童的认知能力、动手能力、逻辑思维能力及想象力。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8"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运笔连线卡片</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1、≥5寸塑封膜，含运笔连线图≥50、舒尔特方格图≥5；功能：提高儿童的注意力和手眼协调能力。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3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益智串珠盒</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1、规格：280×175×40mm(±5mm)；材质：木质；功能：训练手眼协调能力，观察能力，判断能力。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钓鱼夹珠子游戏套装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1、规格：225×225mm(±5mm)；材质：木质。内含：正反面底座、彩色珠子、数字小鱼、鱼竿、勺子、筷子、夹子。功能：锻炼大脑，手眼协调促进视觉发育。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45"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2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趣味动物数字绘画板</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1、规格：310*310mm(±5mm)；材质：木质。内含游戏操作底板，≥100块磁性动物、数字、水果配对图案，背面支持画画，功能：进行配对练习。</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22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玩教具柜</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1、8格柜1个，尺寸：800*1400*300mm(±5mm)；9格柜1个，尺寸：1100*1200*300mm(±5mm)；基材：实木指接板，面板厚度≥18 mm，油漆：采用水性环保油漆，甲醛释放量≤0.124mg/m3，不得有锐利的棱角、毛刺以及小五金部件露出的锐利尖锐，所有接触人体的棱角均应倒圆角，R≥5mm。  </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22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1、月亮造型个训桌1张，尺寸：1800x1200x400~650mm高度可调节，个训椅5把，尺寸：300x280x550mm(±5mm)，材质：樟子松木，甲醛释放量≤0.124mg/m3。</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58" w:hRule="atLeast"/>
        </w:trPr>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1"/>
              </w:numPr>
              <w:ind w:firstLine="480"/>
              <w:jc w:val="center"/>
              <w:textAlignment w:val="center"/>
              <w:rPr>
                <w:rFonts w:ascii="宋体" w:hAnsi="宋体" w:cs="宋体"/>
              </w:rPr>
            </w:pPr>
          </w:p>
        </w:tc>
        <w:tc>
          <w:tcPr>
            <w:tcW w:w="22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宋体" w:hAnsi="宋体" w:eastAsia="宋体" w:cs="宋体"/>
                <w:lang w:eastAsia="zh-CN"/>
              </w:rPr>
            </w:pPr>
            <w:r>
              <w:rPr>
                <w:rFonts w:hint="eastAsia" w:ascii="宋体" w:hAnsi="宋体" w:cs="宋体"/>
                <w:color w:val="auto"/>
                <w:kern w:val="0"/>
              </w:rPr>
              <w:t>空调机（3P）</w:t>
            </w:r>
          </w:p>
        </w:tc>
        <w:tc>
          <w:tcPr>
            <w:tcW w:w="6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kern w:val="0"/>
                <w:highlight w:val="none"/>
              </w:rPr>
            </w:pPr>
            <w:r>
              <w:t>★</w:t>
            </w:r>
            <w:r>
              <w:rPr>
                <w:rFonts w:hint="eastAsia" w:ascii="宋体" w:hAnsi="宋体" w:cs="宋体"/>
                <w:kern w:val="0"/>
              </w:rPr>
              <w:t>1、制冷量≥7200W，制热量≥8200W（不含电辅加热）；柜式、变频、</w:t>
            </w:r>
            <w:r>
              <w:rPr>
                <w:rFonts w:hint="eastAsia"/>
              </w:rPr>
              <w:t>≥</w:t>
            </w:r>
            <w:r>
              <w:rPr>
                <w:rFonts w:hint="eastAsia" w:ascii="宋体" w:hAnsi="宋体" w:cs="宋体"/>
                <w:kern w:val="0"/>
              </w:rPr>
              <w:t>二</w:t>
            </w:r>
            <w:r>
              <w:rPr>
                <w:rFonts w:hint="eastAsia" w:ascii="宋体" w:hAnsi="宋体" w:cs="宋体"/>
                <w:kern w:val="0"/>
                <w:highlight w:val="none"/>
              </w:rPr>
              <w:t>级效能、遥控、冷暖电辅式空调，配安装支架及辅材。</w:t>
            </w:r>
          </w:p>
          <w:p>
            <w:pPr>
              <w:widowControl/>
              <w:ind w:firstLine="0" w:firstLineChars="0"/>
              <w:jc w:val="left"/>
              <w:textAlignment w:val="center"/>
              <w:rPr>
                <w:rFonts w:hint="eastAsia" w:ascii="宋体" w:hAnsi="宋体" w:eastAsia="宋体" w:cs="宋体"/>
                <w:lang w:eastAsia="zh-CN"/>
              </w:rPr>
            </w:pPr>
            <w:r>
              <w:rPr>
                <w:b/>
                <w:bCs/>
                <w:highlight w:val="none"/>
              </w:rPr>
              <w:t>★</w:t>
            </w:r>
            <w:r>
              <w:rPr>
                <w:rFonts w:hint="eastAsia" w:cs="宋体"/>
                <w:b/>
                <w:bCs/>
                <w:kern w:val="0"/>
                <w:highlight w:val="none"/>
                <w:lang w:val="en-US" w:eastAsia="zh-CN"/>
              </w:rPr>
              <w:t>2、</w:t>
            </w:r>
            <w:r>
              <w:rPr>
                <w:rFonts w:hint="eastAsia" w:ascii="Calibri" w:hAnsi="Calibri" w:cs="Times New Roman"/>
                <w:b/>
                <w:bCs/>
                <w:highlight w:val="none"/>
              </w:rPr>
              <w:t>应</w:t>
            </w:r>
            <w:r>
              <w:rPr>
                <w:rFonts w:hint="eastAsia" w:cs="Times New Roman"/>
                <w:b/>
                <w:bCs/>
                <w:highlight w:val="none"/>
                <w:lang w:val="en-US" w:eastAsia="zh-CN"/>
              </w:rPr>
              <w:t>提供</w:t>
            </w:r>
            <w:r>
              <w:rPr>
                <w:rFonts w:hint="eastAsia" w:ascii="Calibri" w:hAnsi="Calibri" w:cs="Times New Roman"/>
                <w:b/>
                <w:bCs/>
                <w:highlight w:val="none"/>
              </w:rPr>
              <w:t>具有国家确定的认证机构出具的在有效期内的节能产品认证证书复印件</w:t>
            </w:r>
            <w:r>
              <w:rPr>
                <w:rFonts w:hint="eastAsia" w:ascii="Calibri" w:hAnsi="Calibri" w:cs="Times New Roman"/>
                <w:b/>
                <w:bCs/>
                <w:highlight w:val="none"/>
                <w:lang w:eastAsia="zh-CN"/>
              </w:rPr>
              <w:t>。</w:t>
            </w:r>
          </w:p>
        </w:tc>
        <w:tc>
          <w:tcPr>
            <w:tcW w:w="8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20" w:hRule="atLeast"/>
        </w:trPr>
        <w:tc>
          <w:tcPr>
            <w:tcW w:w="11928"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rPr>
              <w:t>小计</w:t>
            </w:r>
          </w:p>
        </w:tc>
        <w:tc>
          <w:tcPr>
            <w:tcW w:w="15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bl>
    <w:p>
      <w:pPr>
        <w:ind w:firstLine="480"/>
      </w:pPr>
    </w:p>
    <w:p>
      <w:pPr>
        <w:pStyle w:val="6"/>
        <w:numPr>
          <w:ilvl w:val="2"/>
          <w:numId w:val="0"/>
        </w:numPr>
        <w:ind w:leftChars="0"/>
      </w:pPr>
      <w:bookmarkStart w:id="381" w:name="_Toc21098"/>
      <w:bookmarkStart w:id="382" w:name="_Toc9849"/>
      <w:bookmarkStart w:id="383" w:name="_Toc894"/>
      <w:r>
        <w:t>2</w:t>
      </w:r>
      <w:r>
        <w:rPr>
          <w:rFonts w:hint="eastAsia"/>
        </w:rPr>
        <w:t>.</w:t>
      </w:r>
      <w:r>
        <w:t>6</w:t>
      </w:r>
      <w:r>
        <w:rPr>
          <w:rFonts w:hint="eastAsia"/>
        </w:rPr>
        <w:t>.2 康复训练室设备清单</w:t>
      </w:r>
      <w:bookmarkEnd w:id="381"/>
      <w:bookmarkEnd w:id="382"/>
      <w:bookmarkEnd w:id="383"/>
    </w:p>
    <w:tbl>
      <w:tblPr>
        <w:tblStyle w:val="17"/>
        <w:tblpPr w:leftFromText="180" w:rightFromText="180" w:vertAnchor="text" w:horzAnchor="page" w:tblpX="1485" w:tblpY="655"/>
        <w:tblOverlap w:val="never"/>
        <w:tblW w:w="13404" w:type="dxa"/>
        <w:tblInd w:w="0" w:type="dxa"/>
        <w:tblLayout w:type="fixed"/>
        <w:tblCellMar>
          <w:top w:w="0" w:type="dxa"/>
          <w:left w:w="0" w:type="dxa"/>
          <w:bottom w:w="0" w:type="dxa"/>
          <w:right w:w="0" w:type="dxa"/>
        </w:tblCellMar>
      </w:tblPr>
      <w:tblGrid>
        <w:gridCol w:w="640"/>
        <w:gridCol w:w="1037"/>
        <w:gridCol w:w="8398"/>
        <w:gridCol w:w="575"/>
        <w:gridCol w:w="586"/>
        <w:gridCol w:w="995"/>
        <w:gridCol w:w="1173"/>
      </w:tblGrid>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rPr>
              <w:t>感觉统合训练区设备清单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161"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羊角球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1、规格：Φ≥560mm；材质：环保橡胶材质。功能：姿势和双侧的统合，促进高程度的运作企划。</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平衡旋转器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1、规格：Φ≥750mm，带扶手高≥63cm；材料：环保塑料；支持1-2人同时使用。功能：锻炼摇摆平衡感及协调合作能力，促进全身肌肉的伸展和活性化。</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大龙球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1、规格：Φ≥700mm，材质：环保橡胶材质。功能：测试孩子的前庭平衡能力和重力感。</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0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圆形滑车</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1、规格：≥500x460mm；材质：环保塑料。功能：强化前庭刺激，有助于平衡感与重力感的发展。</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8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太极平衡板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1、规格：Φ≥450mm；材质：环保塑料。功能：训练前庭、平衡能力。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8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S型平衡木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1、2个S平衡木，规格：≥2000x400x200mm；材质：PU皮+实木+海绵；,功能：锻炼平衡能力。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5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悬挂式晃动平衡木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1、规格：整体≥2000x600mm；下绳长≥60cm，上绳长≥100cm；材质：榉木+攀岩绳，最大承重：≥150KG。功能：锻炼平衡能力，手臂力量抓握能力、前庭训练平衡能力。含吸顶、衔接等配件。</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7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触觉球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1、规格：Ф≥80mm；材质：透明环保塑料。功能：适合全身按摩使用，增进触觉发展。</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4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独脚凳</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1、规格：Φ≥230x240mm；材质：环保塑料；颜色自选。功能：锻炼平衡能力。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8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花生球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1、规格：Φ≥90x45mm，材质：环保橡胶材质。功能：锻炼前庭平衡能力和重力感。</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4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攀岩墙组合</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28"/>
              <w:widowControl/>
              <w:ind w:firstLine="0" w:firstLineChars="0"/>
              <w:jc w:val="left"/>
              <w:textAlignment w:val="center"/>
              <w:rPr>
                <w:rFonts w:ascii="宋体" w:hAnsi="宋体" w:cs="宋体"/>
                <w:kern w:val="0"/>
              </w:rPr>
            </w:pPr>
            <w:r>
              <w:rPr>
                <w:rFonts w:hint="eastAsia" w:ascii="宋体" w:hAnsi="宋体" w:cs="宋体"/>
                <w:kern w:val="0"/>
              </w:rPr>
              <w:t>1、镜面棍梯、镜面网梯、镜面绳梯各1块，尺寸：≥800x2400x140mm，厚度：≥20mm，材质：柳桉芯实木多层板，表层桦木纹实木贴面。摇铃攀岩墙1块，尺寸：≥1000x2400mm，顶部配铃铛，飞盘攀岩墙1块，尺寸：≥800x2400mm，彩色攀岩墙1块，尺寸：≥800x2400mm，厚度：≥20mm，材质：柳桉芯实木多层板，表层桦木纹实木贴面，板面带彩色漆，颜色自选。攀岩石材质：环保木制、PP环保塑料，不锈钢金属固定。光滑、无毛刺、圆角。配6块尺寸≥1000x1000x50mm的软包地垫。</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3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幻彩子母滚筒套件</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1、大滚筒：Φ≥700x800mm，实心变色小滚筒：Φ≥400x800mm。功能：刺激前庭觉、触觉、身体颈肌张力反应；训练平衡能力\视觉注意力和视觉追踪，锻炼肌肉。</w:t>
            </w:r>
          </w:p>
          <w:p>
            <w:pPr>
              <w:widowControl/>
              <w:ind w:firstLine="0" w:firstLineChars="0"/>
              <w:jc w:val="left"/>
              <w:textAlignment w:val="center"/>
              <w:rPr>
                <w:rFonts w:ascii="宋体" w:hAnsi="宋体" w:cs="宋体"/>
              </w:rPr>
            </w:pPr>
            <w:r>
              <w:rPr>
                <w:rFonts w:hint="eastAsia" w:ascii="宋体" w:hAnsi="宋体" w:cs="宋体"/>
                <w:kern w:val="0"/>
              </w:rPr>
              <w:t>▲2、小滚筒内置变色LED灯源、锂电池，配充电器。支持单色发光、多色闪变、变速调节、亮度调节模式。承重：≥100公斤。</w:t>
            </w:r>
            <w:r>
              <w:rPr>
                <w:rFonts w:hint="eastAsia" w:ascii="宋体" w:hAnsi="宋体" w:cs="宋体"/>
                <w:b/>
                <w:bCs/>
                <w:kern w:val="0"/>
              </w:rPr>
              <w:t>（说明：需提供</w:t>
            </w:r>
            <w:r>
              <w:rPr>
                <w:rFonts w:hint="eastAsia" w:ascii="宋体" w:hAnsi="宋体" w:cs="宋体"/>
                <w:b/>
                <w:bCs/>
                <w:kern w:val="0"/>
                <w:lang w:eastAsia="zh-CN"/>
              </w:rPr>
              <w:t>第三方法定检测</w:t>
            </w:r>
            <w:r>
              <w:rPr>
                <w:rFonts w:hint="eastAsia" w:ascii="宋体" w:hAnsi="宋体" w:cs="宋体"/>
                <w:b/>
                <w:bCs/>
                <w:kern w:val="0"/>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平衡跷跷板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1、规格：≥890x290x200mm；材质：环保塑料，最大承重：≥100kg。功能：锻炼四肢协调能力、平衡能力。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2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飞人秋千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1、规格：H≥1400mm，最大承重：≥150KG，含吸顶、衔接等配件。功能：提供前庭刺激，强化平衡、双侧力量，进行旋转和线性运动。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2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鸟窝秋千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1、规格：Φ≥1000mm，最大承重：≥150KG，含吸顶、衔接等配件。</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6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悬挂方形布袋秋千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1、规格：≥500x500x1550mm(布高450mm)，材质：纯棉帆布，最大承重：≥150KG，含吸顶、衔接等配件。</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4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滚筒滑梯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1、规格：≥2180×750mm，材质：PU皮+实木架+海绵填充，功能：增强体能训练。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儿童室内游戏小屋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1、规格：≥1260×1000×1200mm；材质：棉布帐篷+松木支架，配接头、支撑杆、灯、棉垫、抱枕、彩旗等装饰品。</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46"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鞋柜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1、规格：1200x300x600mm（±5mm），颜色自选，材质：实木多层板，厚度≥20mm；坐垫：加厚PU材质软包，内里高回弹性海绵填充，厚度≥50mm，甲醛释放量≤0.124mg/m3。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地垫</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1、现场定制。材质：环保EVA材质，厚度≥25mm，颜色自选。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软包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1、现场定制。材质：木工板+高密度海绵填充皮革包边，木工板厚度：≥12mm，整体厚度：≥50mm；整体高度：≥1.2m，颜色自选。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abs>
                <w:tab w:val="left" w:pos="595"/>
              </w:tabs>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default" w:ascii="宋体" w:hAnsi="宋体" w:eastAsia="宋体" w:cs="宋体"/>
                <w:b/>
                <w:kern w:val="0"/>
                <w:lang w:val="en-US" w:eastAsia="zh-CN"/>
              </w:rPr>
            </w:pPr>
            <w:r>
              <w:rPr>
                <w:rFonts w:hint="eastAsia" w:ascii="宋体" w:hAnsi="宋体" w:cs="宋体"/>
                <w:b/>
                <w:kern w:val="0"/>
                <w:lang w:val="en-US" w:eastAsia="zh-CN"/>
              </w:rPr>
              <w:t>多感官虚拟互动区设备清单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多媒体情景互动系统</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1、高清数字成像设备1套，地面成像，在≤3m的高度内实现≥200寸的成像区域；投影亮度：≥3000流明；对比度：≥15000:1。互动捕捉区域内支持无限点触发。触摸式控制主机：≥22英寸。</w:t>
            </w:r>
          </w:p>
          <w:p>
            <w:pPr>
              <w:widowControl/>
              <w:ind w:firstLine="0" w:firstLineChars="0"/>
              <w:jc w:val="left"/>
              <w:textAlignment w:val="center"/>
              <w:rPr>
                <w:rFonts w:ascii="宋体" w:hAnsi="宋体" w:cs="宋体"/>
                <w:kern w:val="0"/>
              </w:rPr>
            </w:pPr>
            <w:r>
              <w:rPr>
                <w:rFonts w:hint="eastAsia" w:ascii="宋体" w:hAnsi="宋体" w:cs="宋体"/>
                <w:kern w:val="0"/>
              </w:rPr>
              <w:t>2、材料：ABS环保工程塑料，模具注塑一次性冲压成型，不含金属材料，边角圆弧形。隐藏端口，表面无任何按钮和指示灯；隐藏式启动模式，电源键和启动键分开控制；≥2个USB接口；具有安全性，绝缘接地</w:t>
            </w:r>
          </w:p>
          <w:p>
            <w:pPr>
              <w:widowControl/>
              <w:ind w:firstLine="0" w:firstLineChars="0"/>
              <w:jc w:val="left"/>
              <w:textAlignment w:val="center"/>
              <w:rPr>
                <w:rFonts w:ascii="宋体" w:hAnsi="宋体" w:cs="宋体"/>
                <w:kern w:val="0"/>
              </w:rPr>
            </w:pPr>
            <w:r>
              <w:rPr>
                <w:rFonts w:hint="eastAsia" w:ascii="宋体" w:hAnsi="宋体" w:cs="宋体"/>
                <w:kern w:val="0"/>
              </w:rPr>
              <w:t>▲3、内置前台导览系统，能直观选择每一项康复内容，有康复内容的缩略图和内容介绍；可将常用康复内容自动记忆归类，方便康复教学使用。</w:t>
            </w:r>
          </w:p>
          <w:p>
            <w:pPr>
              <w:widowControl/>
              <w:ind w:firstLine="0" w:firstLineChars="0"/>
              <w:jc w:val="left"/>
              <w:textAlignment w:val="center"/>
              <w:rPr>
                <w:rFonts w:ascii="宋体" w:hAnsi="宋体" w:cs="宋体"/>
                <w:kern w:val="0"/>
              </w:rPr>
            </w:pPr>
            <w:r>
              <w:rPr>
                <w:rFonts w:hint="eastAsia" w:ascii="宋体" w:hAnsi="宋体" w:cs="宋体"/>
                <w:kern w:val="0"/>
              </w:rPr>
              <w:t>▲4、内置康复训练系统，包含运动康复，认知益智，情景体验，趣味互动，听觉感知，情绪疏解训练系统；具备城市烟花，切水果，水中花开，蝴蝶谷，生气的气球，保卫披萨，钢琴，火山爆发，七星瓢虫，闪电，出气机器人等≥100个康复项目；≥10项认知项目，支持遥控器进行分类的切换和内容的选择。</w:t>
            </w:r>
          </w:p>
          <w:p>
            <w:pPr>
              <w:widowControl/>
              <w:ind w:firstLine="0" w:firstLineChars="0"/>
              <w:jc w:val="left"/>
              <w:textAlignment w:val="center"/>
              <w:rPr>
                <w:rFonts w:ascii="宋体" w:hAnsi="宋体" w:cs="宋体"/>
              </w:rPr>
            </w:pPr>
            <w:r>
              <w:rPr>
                <w:rFonts w:hint="eastAsia" w:ascii="宋体" w:hAnsi="宋体" w:cs="宋体"/>
                <w:b/>
                <w:bCs/>
                <w:kern w:val="0"/>
              </w:rPr>
              <w:t>（说明：带“▲”条款需提供</w:t>
            </w:r>
            <w:r>
              <w:rPr>
                <w:rFonts w:hint="eastAsia" w:ascii="宋体" w:hAnsi="宋体" w:cs="宋体"/>
                <w:b/>
                <w:bCs/>
                <w:kern w:val="0"/>
                <w:lang w:eastAsia="zh-CN"/>
              </w:rPr>
              <w:t>第三方法定检测</w:t>
            </w:r>
            <w:r>
              <w:rPr>
                <w:rFonts w:hint="eastAsia" w:ascii="宋体" w:hAnsi="宋体" w:cs="宋体"/>
                <w:b/>
                <w:bCs/>
                <w:kern w:val="0"/>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无尽深度灯镜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1、规格：≥1130×720×90mm；外壳材质:ABS环保工程塑料；内置无线电接受装置。四色按钮控制：模式、速度、暂停、渐进。功能：训练视觉追踪和视觉辨别</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动感彩轮</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1、规格：≥1130×720×90mm；外壳材质:ABS环保工程塑料；内置无线接收装置。四个按钮控制动感彩轮的颜色变换及转动快慢速度、方向；伴有烟花声控按钮。功能：训练视觉感知能力。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38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四色声乐水柱</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1500x640x1600mm；额定功率：≤40W；内含木质电子箱、背景镜面、水柱4根、换水水泵及换水软管、AC220V电源线、USB音乐下载线。支持8个模式可循环切换，每个模式对应四种音乐，总共32种；水柱灯光颜色和对应控制按键颜色相同。功能：提供视听觉的感官刺激活动，对注意力、认知、眼肌控制能力和视觉追踪能力进行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互动嗅觉装置</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1、规格：≥1130×720×90mm；外壳材质:ABS环保工程塑料；内置无线接收装置。功能：四色控制按钮；香料装置可随时更换更新，供嗅觉训练。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嗅觉套装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1、植物香油9种、人体香油2瓶、香精球6个，香熏发生器1台、香熏枕1个。</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3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触觉套装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1、触觉球3个，振动枕1个，脚垫1个，闪光橡筋球1个，软棒1套。</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无线互动地毯组</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1、9片尺寸40×40 cm（±5mm）地毯，1组控制器；具体图案按定做。功能：可无线遥控相对应设备的颜色变换。</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7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聚光面板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1、规格：≥1200×800×150mm，外壳材质:ABS环保工程塑料，彩笔5支，颜色自选；电磁板感。功能：训练手眼协调能力。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8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手掌电子游戏箱</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1、规格：≥1200×600mm，</w:t>
            </w:r>
            <w:r>
              <w:rPr>
                <w:rFonts w:hint="eastAsia"/>
                <w:highlight w:val="none"/>
              </w:rPr>
              <w:t>材质：复合板+有机玻璃面板，支持≥2种游戏模式，功能：</w:t>
            </w:r>
            <w:r>
              <w:rPr>
                <w:rFonts w:hint="eastAsia" w:ascii="宋体" w:hAnsi="宋体" w:cs="宋体"/>
                <w:kern w:val="0"/>
                <w:highlight w:val="none"/>
              </w:rPr>
              <w:t>用于视觉、触觉训练。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哈哈镜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1、2个尺寸≥550x1580mm，材质：进口LLDPE工程塑料。</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平衡互动组合训练系统</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1、平衡训练器主机尺寸：900x650x80mm（±5mm），平衡脚踏板800x600x180mm（±5mm），箱体材料：ABS环保工程塑料；功率：≤50W；信噪比：≥80DB；音频频响：20HZ~18KHZ；</w:t>
            </w:r>
          </w:p>
          <w:p>
            <w:pPr>
              <w:widowControl/>
              <w:ind w:firstLine="0" w:firstLineChars="0"/>
              <w:jc w:val="left"/>
              <w:textAlignment w:val="center"/>
              <w:rPr>
                <w:rFonts w:ascii="宋体" w:hAnsi="宋体" w:cs="宋体"/>
              </w:rPr>
            </w:pPr>
            <w:r>
              <w:rPr>
                <w:highlight w:val="none"/>
              </w:rPr>
              <w:t>★</w:t>
            </w:r>
            <w:r>
              <w:rPr>
                <w:rFonts w:hint="eastAsia" w:ascii="宋体" w:hAnsi="宋体" w:cs="宋体"/>
                <w:kern w:val="0"/>
                <w:highlight w:val="none"/>
              </w:rPr>
              <w:t>2、配备实体按钮触发；≥10英寸触摸屏；≥4G内存；≥1个USB接口；内置视觉与听觉认知源。功能：认知、视知觉和平衡能力训练。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1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儿童互动声光游戏波波池</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highlight w:val="none"/>
              </w:rPr>
              <w:t>★</w:t>
            </w:r>
            <w:r>
              <w:rPr>
                <w:rFonts w:hint="eastAsia" w:asciiTheme="minorEastAsia" w:hAnsiTheme="minorEastAsia" w:eastAsiaTheme="minorEastAsia" w:cstheme="minorEastAsia"/>
                <w:highlight w:val="none"/>
              </w:rPr>
              <w:t>1、</w:t>
            </w:r>
            <w:r>
              <w:rPr>
                <w:rFonts w:hint="eastAsia" w:ascii="宋体" w:hAnsi="宋体" w:cs="宋体"/>
                <w:kern w:val="0"/>
                <w:highlight w:val="none"/>
              </w:rPr>
              <w:t>规格：≥2400x1200x650mm，材质：主体实木板+XPE软包，表面PVC涂层布，厚度：≥120mm，额定功率：≤40W，内含直径≥80mm透明PVC球若干、AC220V电源线、USB音乐下载线。</w:t>
            </w:r>
            <w:r>
              <w:rPr>
                <w:rFonts w:hint="eastAsia" w:ascii="宋体" w:hAnsi="宋体" w:cs="宋体"/>
                <w:kern w:val="0"/>
              </w:rPr>
              <w:br w:type="textWrapping"/>
            </w:r>
            <w:r>
              <w:rPr>
                <w:rFonts w:hint="eastAsia" w:ascii="宋体" w:hAnsi="宋体" w:cs="宋体"/>
                <w:kern w:val="0"/>
              </w:rPr>
              <w:t>2、内置4色LED灯，外置8个圆形状按键，每个按键对应一种声音,每个模式同个按键声音不同,共64种声音，具备震动功能。功能：给予身体触感体验，刺激视觉感官，放松身心，提高认知能力、本体感和身体协调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20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音乐滑坡</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1、规格：≥1200x750x650mm，额定功率：≤40W，内含木质电子箱、AC220V电源线、USB语音下载线。</w:t>
            </w:r>
          </w:p>
          <w:p>
            <w:pPr>
              <w:widowControl/>
              <w:ind w:firstLine="0" w:firstLineChars="0"/>
              <w:jc w:val="left"/>
              <w:textAlignment w:val="center"/>
              <w:rPr>
                <w:rFonts w:ascii="宋体" w:hAnsi="宋体" w:cs="宋体"/>
                <w:highlight w:val="none"/>
              </w:rPr>
            </w:pPr>
            <w:r>
              <w:rPr>
                <w:rFonts w:hint="eastAsia" w:ascii="宋体" w:hAnsi="宋体" w:cs="宋体"/>
                <w:kern w:val="0"/>
                <w:highlight w:val="none"/>
              </w:rPr>
              <w:t>2、共4种模式，每个模式有1种声音，共4种声音。功能：提高前庭协调能力和听觉感官能力，增强大肌肉群肌力。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71"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音乐阶梯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1、规格：≥750x620x650mm；材质：主体实木板+XPE软包，表面PVC涂层布，额定功率：≤40W；内含木质电子箱、AC220V电源线、USB音乐下载线。</w:t>
            </w:r>
          </w:p>
          <w:p>
            <w:pPr>
              <w:widowControl/>
              <w:ind w:firstLine="0" w:firstLineChars="0"/>
              <w:jc w:val="left"/>
              <w:textAlignment w:val="center"/>
              <w:rPr>
                <w:rFonts w:ascii="宋体" w:hAnsi="宋体" w:cs="宋体"/>
                <w:highlight w:val="none"/>
              </w:rPr>
            </w:pPr>
            <w:r>
              <w:rPr>
                <w:rFonts w:hint="eastAsia" w:ascii="宋体" w:hAnsi="宋体" w:cs="宋体"/>
                <w:kern w:val="0"/>
                <w:highlight w:val="none"/>
              </w:rPr>
              <w:t>2、具有4种模式，一个台阶一种声音，共12种声音。功能：训练下肢大肌肉群肌力以及腰部肌力，协调平衡能力；提高听觉感官能力和上下楼梯能力。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幻彩光纤帘</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1、≥300条≥2m透明光纤，能转变不同颜色的彩光，配合电源使用；功能：进行长短、多少、颜色辨别的学习活动。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24"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幻彩光纤灯源</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1、电源参数：220V、50Hz，带灯座，LED光源，产生四色光源（红、黄、兰、绿）。</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4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彩光LED球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1、规格：Φ≥150mm，220V、50Hz交流电，无损失视力LED光；功能：提高学生专注能力。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圆环投射灯光音乐跳</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1、圆环钢材支架1个,尺寸：Φ≥750mm，带8个彩色射灯，跳垫：Φ≥1000mm。</w:t>
            </w:r>
          </w:p>
          <w:p>
            <w:pPr>
              <w:widowControl/>
              <w:ind w:firstLine="0" w:firstLineChars="0"/>
              <w:jc w:val="left"/>
              <w:textAlignment w:val="center"/>
              <w:rPr>
                <w:rFonts w:ascii="宋体" w:hAnsi="宋体" w:cs="宋体"/>
                <w:highlight w:val="none"/>
              </w:rPr>
            </w:pPr>
            <w:r>
              <w:rPr>
                <w:rFonts w:hint="eastAsia" w:ascii="宋体" w:hAnsi="宋体" w:cs="宋体"/>
                <w:kern w:val="0"/>
                <w:highlight w:val="none"/>
              </w:rPr>
              <w:t>配备灯光源主机，支持智能灯光感应检测控制，随肢体感应灯光，弹奏出不同的音乐节奏，带≥8种音符声。功能：训练手眼协调能力，感知音乐。</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0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声控闪灯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1、尺寸：Φ≥150mm，声控装置+声控装置电源，功能：提高学生专注能力。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8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幻彩镜球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1、尺寸：Φ≥30cm，支持多种颜色变换，功能：不同色彩的变换，提高注意力。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7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彩像投射机</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highlight w:val="none"/>
              </w:rPr>
            </w:pPr>
            <w:r>
              <w:rPr>
                <w:highlight w:val="none"/>
              </w:rPr>
              <w:t>★</w:t>
            </w:r>
            <w:r>
              <w:rPr>
                <w:rFonts w:hint="eastAsia"/>
                <w:highlight w:val="none"/>
              </w:rPr>
              <w:t>1、尺寸：320×163×387mm（±5mm），连底座（含托架），220V/50Hz交流供电，配≥5张效果轮盘，≥5种特色主题的视觉效果，配备遥控器。功能：提供有特色的主题视觉效果，刺激儿童凝视远景，目光追踪转动的彩像。</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0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幻彩半球灯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1、规格：Φ≥150mm，内置声控自动程序，功能：提高学生专注能力。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0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多感官控制系统吧台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1、根据现场定制。中央控制系统配套包括：开关盒接线盒，各电器设备电源控制开关等。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儿童室内游戏小屋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1、规格：≥1260×1000×1200mm；材质：棉布帐篷+松木支架，配接头、支撑杆、灯、棉垫、抱枕、彩旗等装饰品。</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地垫</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1、现场定制。材质：高密度海绵填充皮革包边，厚度：≥50mm，颜色自选。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软包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1、现场定制。材质：木工板+高密度海绵填充皮革包边，木工板厚度：≥12mm，整体厚度：≥50mm；整体高度：≥1.2m，颜色自选。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rPr>
              <w:t>28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顶面造型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1、</w:t>
            </w:r>
            <w:r>
              <w:rPr>
                <w:rFonts w:hint="eastAsia" w:ascii="宋体" w:hAnsi="宋体" w:cs="宋体"/>
                <w:kern w:val="0"/>
                <w:lang w:val="en-US" w:eastAsia="zh-CN"/>
              </w:rPr>
              <w:t>建设面积为98</w:t>
            </w:r>
            <w:r>
              <w:rPr>
                <w:rFonts w:hint="eastAsia" w:ascii="宋体" w:hAnsi="宋体" w:cs="宋体"/>
                <w:kern w:val="0"/>
              </w:rPr>
              <w:t>㎡</w:t>
            </w:r>
            <w:r>
              <w:rPr>
                <w:rFonts w:hint="eastAsia" w:ascii="宋体" w:hAnsi="宋体" w:cs="宋体"/>
                <w:kern w:val="0"/>
                <w:lang w:eastAsia="zh-CN"/>
              </w:rPr>
              <w:t>，</w:t>
            </w:r>
            <w:r>
              <w:rPr>
                <w:rFonts w:hint="eastAsia" w:asciiTheme="minorEastAsia" w:hAnsiTheme="minorEastAsia" w:eastAsiaTheme="minorEastAsia" w:cstheme="minorEastAsia"/>
                <w:kern w:val="0"/>
              </w:rPr>
              <w:t>采用≥9.5厚纸面石膏板和38轻钢龙骨造型，采用专用安装配件。在施工前出顶面施工设计方案、及整体效果方案设计，需要根据学校的要求以及学校自有特色元素。在施工前提前提供单色效果图经校方确认后方可施工。</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0"/>
                <w:lang w:val="en-US" w:eastAsia="zh-CN"/>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r>
              <w:rPr>
                <w:rFonts w:hint="eastAsia" w:ascii="宋体" w:hAnsi="宋体" w:cs="宋体" w:eastAsiaTheme="minorEastAsia"/>
                <w:kern w:val="0"/>
                <w:lang w:val="en-US" w:eastAsia="zh-CN"/>
              </w:rPr>
              <w:t>项</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p>
        </w:tc>
      </w:tr>
      <w:tr>
        <w:tblPrEx>
          <w:tblCellMar>
            <w:top w:w="0" w:type="dxa"/>
            <w:left w:w="0" w:type="dxa"/>
            <w:bottom w:w="0" w:type="dxa"/>
            <w:right w:w="0" w:type="dxa"/>
          </w:tblCellMar>
        </w:tblPrEx>
        <w:trPr>
          <w:trHeight w:val="51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kern w:val="0"/>
              </w:rPr>
            </w:pPr>
            <w:r>
              <w:rPr>
                <w:rFonts w:hint="eastAsia" w:ascii="宋体" w:hAnsi="宋体" w:cs="宋体"/>
                <w:kern w:val="0"/>
              </w:rPr>
              <w:t>29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墙面改造</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1、</w:t>
            </w:r>
            <w:r>
              <w:rPr>
                <w:rFonts w:hint="eastAsia" w:ascii="宋体" w:hAnsi="宋体" w:cs="宋体"/>
                <w:kern w:val="0"/>
                <w:lang w:val="en-US" w:eastAsia="zh-CN"/>
              </w:rPr>
              <w:t>建设面积为200</w:t>
            </w:r>
            <w:r>
              <w:rPr>
                <w:rFonts w:hint="eastAsia" w:ascii="宋体" w:hAnsi="宋体" w:cs="宋体"/>
                <w:kern w:val="0"/>
              </w:rPr>
              <w:t>㎡</w:t>
            </w:r>
            <w:r>
              <w:rPr>
                <w:rFonts w:hint="eastAsia" w:ascii="宋体" w:hAnsi="宋体" w:cs="宋体"/>
                <w:kern w:val="0"/>
                <w:lang w:eastAsia="zh-CN"/>
              </w:rPr>
              <w:t>，</w:t>
            </w:r>
            <w:r>
              <w:rPr>
                <w:rFonts w:hint="eastAsia" w:asciiTheme="minorEastAsia" w:hAnsiTheme="minorEastAsia" w:eastAsiaTheme="minorEastAsia" w:cstheme="minorEastAsia"/>
                <w:kern w:val="0"/>
              </w:rPr>
              <w:t>顶面和墙面的基础改造。使用符合环保要求,无异味的乳胶漆,施工前按照要求进行设计经学校确认后方可进行改造，颜色、款式自选。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lang w:val="en-US" w:eastAsia="zh-CN"/>
              </w:rPr>
              <w:t>项</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p>
        </w:tc>
      </w:tr>
      <w:tr>
        <w:tblPrEx>
          <w:tblCellMar>
            <w:top w:w="0" w:type="dxa"/>
            <w:left w:w="0" w:type="dxa"/>
            <w:bottom w:w="0" w:type="dxa"/>
            <w:right w:w="0" w:type="dxa"/>
          </w:tblCellMar>
        </w:tblPrEx>
        <w:trPr>
          <w:trHeight w:val="624"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kern w:val="0"/>
              </w:rPr>
            </w:pPr>
            <w:r>
              <w:rPr>
                <w:rFonts w:hint="eastAsia" w:ascii="宋体" w:hAnsi="宋体" w:cs="宋体"/>
                <w:kern w:val="0"/>
              </w:rPr>
              <w:t>30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电路改造</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1、铜芯线(3X4平方毫米)+Φ16多联PVC管进行场地线路改造，国标插座面板，2.5平方常规配电线路、4平方铜芯线空调电线路，辅助材料、线材等并含成品LED灯、筒灯整体灯光改造。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项</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kern w:val="0"/>
              </w:rPr>
            </w:pPr>
          </w:p>
        </w:tc>
      </w:tr>
      <w:tr>
        <w:tblPrEx>
          <w:tblCellMar>
            <w:top w:w="0" w:type="dxa"/>
            <w:left w:w="0" w:type="dxa"/>
            <w:bottom w:w="0" w:type="dxa"/>
            <w:right w:w="0" w:type="dxa"/>
          </w:tblCellMar>
        </w:tblPrEx>
        <w:trPr>
          <w:trHeight w:val="44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蒙特梭利区</w:t>
            </w:r>
            <w:r>
              <w:rPr>
                <w:rFonts w:hint="eastAsia" w:ascii="宋体" w:hAnsi="宋体" w:cs="宋体"/>
                <w:b/>
                <w:kern w:val="0"/>
              </w:rPr>
              <w:t>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蒙</w:t>
            </w:r>
            <w:r>
              <w:rPr>
                <w:rFonts w:hint="eastAsia" w:cs="宋体"/>
                <w:kern w:val="0"/>
                <w:lang w:val="en-US" w:eastAsia="zh-CN"/>
              </w:rPr>
              <w:t>特</w:t>
            </w:r>
            <w:r>
              <w:rPr>
                <w:rFonts w:hint="eastAsia" w:ascii="宋体" w:hAnsi="宋体" w:cs="宋体"/>
                <w:kern w:val="0"/>
              </w:rPr>
              <w:t>梭利教具（132件）</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pPr>
            <w:r>
              <w:rPr>
                <w:rFonts w:hint="eastAsia"/>
              </w:rPr>
              <w:t>1、感官类教具23件：插座圆柱体、棕色梯、粉红塔、音筒、温度板、重量板、触觉板、构成三角形、几何图形嵌板、三项式、手眼调节掷圈、几何体支柱、立体四子棋、彩色圆柱、长棒、嗅觉筒、味觉瓶、铁制几何嵌板、几何立体组、二项式、色板、圆圆板、圆柱体阶梯，材质：椴木\榉木\橡胶木，每件教具标签贴名</w:t>
            </w:r>
          </w:p>
          <w:p>
            <w:pPr>
              <w:widowControl/>
              <w:ind w:firstLine="0" w:firstLineChars="0"/>
              <w:jc w:val="left"/>
              <w:textAlignment w:val="center"/>
            </w:pPr>
            <w:r>
              <w:rPr>
                <w:rFonts w:hint="eastAsia"/>
              </w:rPr>
              <w:t>2、数学类教具41件：1-100连续数板、数棒、二倍数、乘除法板、十进位法及银行游戏、100串珠链、三倍数、黑色串珠棒、平方珠链、塞根板、加减法板、邮票游戏、分数小人、立方体、数学与筹码、体积组、灰色串珠棒、彩色串珠棒、立方珠链及框架、接龙减龙游戏、砂数学板、纺锤棒箱、加减乘除巨阵盘、数数棒组、彩色小数棒、算术尺、算术天平组、圆形分数板、四方拼盘、分解几何盘、1000串珠链、黄色串珠棒、数学拼板、不规则拼盘、1公分方块组、几何图形板、称盘组、十进位组、几何体阶梯、组合几何体盘、数数看，材质：塑料\椴木\榉木，每件教具标签贴名</w:t>
            </w:r>
          </w:p>
          <w:p>
            <w:pPr>
              <w:widowControl/>
              <w:ind w:firstLine="0" w:firstLineChars="0"/>
              <w:jc w:val="left"/>
              <w:textAlignment w:val="center"/>
            </w:pPr>
            <w:r>
              <w:rPr>
                <w:rFonts w:hint="eastAsia"/>
              </w:rPr>
              <w:t>3、语言类教具5件：双字母砂字板、印刷字母卡、砂纸字母板、活动字母箱、拼音结构练习，材质：椴木\榉木，每件教具标签贴名</w:t>
            </w:r>
          </w:p>
          <w:p>
            <w:pPr>
              <w:widowControl/>
              <w:ind w:firstLine="0" w:firstLineChars="0"/>
              <w:jc w:val="left"/>
              <w:textAlignment w:val="center"/>
            </w:pPr>
            <w:r>
              <w:rPr>
                <w:rFonts w:hint="eastAsia"/>
              </w:rPr>
              <w:t>4、科学文化类教具16件：亚洲地图嵌板、活动时钟、中国地图嵌板、世界洲际地图嵌板、太阳系九大行星嵌板、树叶嵌板、植物卡片柜、动物卡片柜、鸟嵌板、蚂蚁嵌板、树嵌板、花嵌板、马嵌板、树叶嵌板、鱼嵌板、乌龟嵌板，材质：密度板\椴木\榉木，每件教具标签贴名</w:t>
            </w:r>
          </w:p>
          <w:p>
            <w:pPr>
              <w:widowControl/>
              <w:ind w:firstLine="0" w:firstLineChars="0"/>
              <w:jc w:val="left"/>
              <w:textAlignment w:val="center"/>
            </w:pPr>
            <w:r>
              <w:rPr>
                <w:rFonts w:hint="eastAsia"/>
              </w:rPr>
              <w:t>5、日常生活类教具3件：二指抓、衣饰框及衣饰、穿线板，材质：椴木\布料，每件教具标签贴名</w:t>
            </w:r>
          </w:p>
          <w:p>
            <w:pPr>
              <w:widowControl/>
              <w:ind w:firstLine="0" w:firstLineChars="0"/>
              <w:jc w:val="left"/>
              <w:textAlignment w:val="center"/>
            </w:pPr>
            <w:r>
              <w:rPr>
                <w:rFonts w:hint="eastAsia"/>
              </w:rPr>
              <w:t>6、延伸教具44件：彩色圆柱投影卡、长棒投影卡、棕色梯投影卡、粉红塔投影卡、分数小人对应卡、几何立体组三步卡、开锁箱、交通路标多咪诺、国旗多咪诺、苍蝇嵌板、青蛙嵌板、蜻蜓嵌板、企鹅嵌板、蝴蝶嵌板、公鸡嵌板、七星瓢虫嵌板、知了嵌板、数字分割拼图、三色游戏、日历、加法背数盘、减法背数盘、加法心算盘、减法心算盘、迷你数棒、1-10乘法板、数字与筹码对应卡、蓝色三角形、神秘袋-几何图形、砂字笔划、十一色笔筒、小数字卡片、大数字卡片、压觉筒、手眼协调螺丝组、今天明天昨天、算法展示板对应盒、串珠整理盒、分解圆、分解正方形嵌板、分解三角形、偏旁砂板、男孩女孩成长、植物生长过程，材质：椴木\榉木\纸，每件教具标签贴名</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1、尺寸：1200×300×800mm（±5mm），厚度≥16mm，材质：无结拼板樟子松，可拆装。</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7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5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六人桌</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1、尺寸：1100×600×500mm（±5mm），厚度≥28mm，材质：无结拼板樟子松，可拆装。</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儿童椅子</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1、尺寸：300x300x550mm（±5mm），坐高280mm（±5mm），靠背高270mm（±5mm），厚度≥20mm，椅腿20x40mm（±5mm），材质：无结樟子松，可拆装。</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6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蒙氏工作毯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1、尺寸：1100×800m（±5mm），材质：棉线，厚度≥5mm，重量≥0.85kg，5张。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地毯架</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1、尺寸：550×200×500mm（±5mm），材质：实木多层板，厚度≥18mm，五格。</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儿童室内游戏小屋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1、规格：≥1260×1000×1200mm；材质：棉布帐篷+松木支架，配接头、支撑杆、灯、棉垫、抱枕、彩旗等装饰品。</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物理治疗</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双人站立架</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1、尺寸：1400×600×1050mm（±5mm）；材质：钢材+木材；肘部垫宽度400mm（±5mm），肘部垫承重≥80kg，臀部垫、绑带承重≥135kg。</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53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角度尺</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箱体尺寸：345mm×180mm×55mm（±5mm）；材质：环保塑料。内含：肢体角度尺（大）(折叠后)：315mm×128mm×4mm（±5mm）；肢体角度尺（中）(折叠后)：210mm×90mm×4mm（±5mm）；肢体角度尺（小）(折叠后)：172mm×36mm×4mm（±5mm）；脊椎角度尺(折叠后)：192mm×44mm×5mm（±5mm）；手指角度尺(折叠后)：105mm×55mm×4mm（±5mm）。</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形状轮</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1.尺寸：Φ150×120mm（±5mm）；材质：实木+环保水性漆；产品质量：0.5kg（±5g）功能：感知/认知功能训练，练习辨认物体形状及对应投放物体，锻炼手眼协调能力。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09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减重步态训练器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1060×780×1750～1950mm（±5mm），材质：螺纹钢,升降立柱可调节≥28cm，扶手高度可调节≥64cm，扶手宽度41cm（±5mm）,最大载重量≥135kg；功能：用于骨关节、神经系统疾患引起下肢无力、疼痛、痉挛患者的日常功能活动，提高步行安全性。</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4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跑台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1、尺寸：≥1775x715x1378mm；输出功率：≥（1800W）2.5HP；材质：螺纹钢；额定载重：≥120kg，有效跑步面积：≥1260x420mm，医疗慢速跑步：0.1-6.0km/h，普通跑步：1.0-14.0km/h，跑台台面倾斜度可调节：0~15°。</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74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液压踏步器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840×790×1140mm（±5mm）,材质：钢材，扶手杆宽：50cm（±5mm）,扶手杆高：95cm（±5mm）；额定负载≥135kg；油缸阻力调节≥12档；线速度位≤5cm/s；力值调节范围：200～1500N；支持蓝牙，≥2个可穿戴式无线传感器。数字关节活动测量表尺寸：φ77.5x22mm（±5mm），可调节液晶屏显示，≥2种测量模式，≥1个USB接口，支持蓝牙，实时显示训练数据；功能：含训练设置、互动训练、查看训练记录等功能。</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0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下肢功率车（立式）</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590x350x1180mm，材质：钢材，最大承重量：≥200kg，动力传感配置电子显示器，显示次数、时间，距离、卡路里，坐垫高度支持上下调节；≥8档阻力调节；功能：用于下肢关节活动、肌力及协调功能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46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多功能关节肌力训练器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4"/>
              </w:numPr>
              <w:ind w:firstLine="0" w:firstLineChars="0"/>
              <w:jc w:val="left"/>
              <w:textAlignment w:val="center"/>
              <w:rPr>
                <w:rFonts w:ascii="宋体" w:hAnsi="宋体" w:cs="宋体"/>
              </w:rPr>
            </w:pPr>
            <w:r>
              <w:rPr>
                <w:rFonts w:hint="eastAsia" w:ascii="宋体" w:hAnsi="宋体" w:cs="宋体"/>
                <w:kern w:val="0"/>
              </w:rPr>
              <w:t>尺寸：1600×1120×1130mm（±5mm）,材质：钢材+海绵填充皮革包边，座面高度：59cm（±5mm）,坐面宽度：56cm（±5mm）,升降支架0-20㎝可调,小腿垫0-47㎝可调,助力手柄0-35㎝可调,小腿支架摆动角度：0-120°,1.5kg哑铃片≥6块，液压式调节靠背，角度调节90°~180°(±5°)；功能：关节运动受限患者进行股四头肌抗阻力主动训练和被动训练，也可进行膝关节牵引。</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88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髋关节训练器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1、尺寸：820×780×720mm（±5mm），材质：钢材+海绵填充皮革包边，座面高：40cm（±5mm），座面宽：40cm（±5mm），下支架长：50cm（±5mm），下肢支架展角0°～50°(±5°)，配数字关节活动测量表，尺寸：φ77.5x 22mm（±5mm）,液晶显示，四个功能按键，≥2种测量模式，≥1个USB接口；功能：髋关节 外展、内收肌力训练。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踝关节矫正训练器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1、尺寸：650×490×980～1390mm（±5mm），材质：螺纹钢，可调握手杆：0～50cm，可调角度：0-60°；功能：矫正和防止足下垂、足内翻、足外翻等。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弧形腹肌训练器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1、尺寸：1210×370×580mm（±5mm），材质：螺纹钢，勾脚垫与海面垫距离调节：30～42cm(4档，每档40mm),额定负载≥135kg。功能：借助弧形面进行腹肌肌力训练。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2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多功能训练器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rPr>
              <w:t>1、尺寸：1830×1470×1770mm（±5mm），材质：螺纹钢，包含：肩关节旋转训练器，尺寸：760×350×1000mm（±5mm），高度调节：0～63cm，手柄至转动轴距离调节：17～33cm；前臂旋转训练器，尺寸：650×350×1000mm（±5mm），阻力可调，高度调节：0～63cm，托架前后调节：0～36cm；腕关节曲伸训练器，尺寸：530×200×1000mm（±5mm）,平台升降调节：0～63cm，最大阻尼≥980N·cm；复式墙拉力器，尺寸：630×200×1740mm（±5mm）,≥2个拉力器，每个拉力器配2kg重块≥6个，行程≥115cm。</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7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儿童沙袋（绑式）</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1、尺寸：670×330×760mm（±5mm），材质：钢材、西沙，0.5kg（2个）、0.75kg（2个）、1kg（2个）、1.25kg（2个）、1.5kg（2个），共10个。</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儿童沙袋（提式）</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1、尺寸：670×330×760mm（±5mm），材质：钢材、西沙，0.5kg（2个）、0.75kg（2个）、1.0kg（2个）、1.25kg（2个）、1.5kg（2个），共10个。</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2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系列哑铃</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1、尺寸：820×520×850mm（±5mm），材质：钢材，2.3kg（4个）、1.8kg（4个）、1.4kg（4个）、0.9kg（4个）、0.5kg（2个），共18个。</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7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矫正镜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1、尺寸：850×710×1900mm（±5mm），材质：铝合金+玻璃，镜面玻璃厚度：≥5mm。</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3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儿童梯椅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650×410×1000mm（±5mm），最高肋木至地面距离：69cm（±5mm）；肋木间距：10cm（±5mm）；肋木直径：2cm（±5mm）；地面到座面距离：28cm（±5mm）；扶手至地面距离：22cm（±5mm）。功能：坐站转移训练，站立训练，平衡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摆位椅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1、尺寸：800x380x800mm（±5mm），靠背：450x380mm（±5mm），凳面：400x380mm（±5mm），脚踏板：380x200mm（±5mm）,材料：实木。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9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平行杠</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1、尺寸：3400×（850～1150）×（750-1050）mm，高度调节：75～108cm，宽度调节：34～64cm，杠杆：￠38mm（±5mm），杠杆静载荷：≥135kg，矫正板坡度：15°（±1°），材质：钢材+木材。</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41"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训练用阶梯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1、尺寸：3400×630×1100mm（±5mm），相邻台阶距离：10-12cm（±5mm），扶手杠调节：0～34cm（±5mm），扶手杠侧向额定载荷：≥50kg，阶梯额定载荷：≥100kg，材质：钢材+木材；功能：用于患者恢复日常上下楼功能。</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6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儿童肋木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1、尺寸：850×520×1540mm（±5mm），肋木杠直径：3.2cm（±5mm），肋木杠间距离：15cm（±5mm），额定载荷：≥80kg；功能：上下肢体关节活动范围和肌力训练、坐站立训练、平衡训练、及躯干的牵伸训练。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PT训练床</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1、尺寸：1950×1220×500mm（±5mm），床面高度：48cm（±5mm），最大承载能力：≥135kg，材质：钢材，床面皮质填充珍珠棉。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PT凳</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1、尺寸：￠400×350mm（±5mm），额定载荷：≥60kg，材质：钢材，凳面皮质填充珍珠棉。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2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楔形垫</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1、尺寸：600×500×200mm（±5mm），材质：珍珠棉；功能：卧位功能、综合基本功能、关节活动度、肌肉松弛训练。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训练地垫</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1、尺寸：1000x1000mm（±5mm），厚度：≥2.5cm，材质：环保EVA材质，双面防滑，颜色自选。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作业治疗</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46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重锤式手指肌力训练桌</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1、尺寸：790×630×1030mm（±5mm），重锤重量：100g、200g、300g、500g；训练桌面最大承载：≥60kg，材质：钢材+木质；功能：用于手指屈伸肌抗阻肌力训练及改善关节活动范围。</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1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手指阶梯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1、尺寸：295×120×450mm（±5mm），阶梯台阶距离：22mm（±5mm）；台阶数量10层，材质：实木。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堆杯</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1、尺寸：300×150×22mm（±5mm），配≥9只杯子，材质：实木+环保塑料。</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16"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橡皮手指练习器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1、尺寸：620×420×520mm（±5mm），搁手垫尺寸：580×240mm（±5mm），橡筋框尺寸：540×400mm（±5mm），材质：钢材+密度海绵+PU皮+橡筋。</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8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引导式上肢协调训练器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1、尺寸：950×610×920mm（±5mm），角度调节：0～75°，训练速度：0.2s/次～9.9s/次，配置面板、液晶触摸屏、台板、支架、底座；功能：进行上肢灵活性、协调性训练的辅助用具,提高上肢的日常活动能力。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5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手功能组合训练箱</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1、尺寸：550×400×140mm（±5mm），材质：实木+铁，配置螺丝、铁棍插板、木插板等日常生活用具；功能：训练患者眼手协调功能，改善手指灵活性，提高手协调性、灵活性。</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55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OT训练组合</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1、操作台尺寸：1920×1050×960mm（±5mm），左右操作台面：445×360×20mm（±5mm），后操作面板：945×360×20mm（±5mm）；</w:t>
            </w:r>
          </w:p>
          <w:p>
            <w:pPr>
              <w:widowControl/>
              <w:ind w:firstLine="0" w:firstLineChars="0"/>
              <w:jc w:val="left"/>
              <w:textAlignment w:val="center"/>
              <w:rPr>
                <w:rFonts w:ascii="宋体" w:hAnsi="宋体" w:cs="宋体"/>
                <w:kern w:val="0"/>
              </w:rPr>
            </w:pPr>
            <w:r>
              <w:rPr>
                <w:rFonts w:hint="eastAsia" w:ascii="宋体" w:hAnsi="宋体" w:cs="宋体"/>
                <w:kern w:val="0"/>
              </w:rPr>
              <w:t>▲2、材质：ABS工程塑料+实木，内含训练桌和上肢协调功能练习器、分指板(弧形)、分指板、铁棍插板、木插板、套圈、木制图形插板、模拟作业工具、上螺丝、上螺丝母、磁性扭。</w:t>
            </w:r>
          </w:p>
          <w:p>
            <w:pPr>
              <w:widowControl/>
              <w:ind w:firstLine="0" w:firstLineChars="0"/>
              <w:jc w:val="left"/>
              <w:textAlignment w:val="center"/>
              <w:rPr>
                <w:rFonts w:ascii="宋体" w:hAnsi="宋体" w:cs="宋体"/>
              </w:rPr>
            </w:pPr>
            <w:r>
              <w:rPr>
                <w:rFonts w:hint="eastAsia" w:ascii="宋体" w:hAnsi="宋体" w:cs="宋体"/>
                <w:b/>
                <w:bCs/>
                <w:kern w:val="0"/>
              </w:rPr>
              <w:t>（说明：带“▲”条款需提供</w:t>
            </w:r>
            <w:r>
              <w:rPr>
                <w:rFonts w:hint="eastAsia" w:ascii="宋体" w:hAnsi="宋体" w:cs="宋体"/>
                <w:b/>
                <w:bCs/>
                <w:kern w:val="0"/>
                <w:lang w:eastAsia="zh-CN"/>
              </w:rPr>
              <w:t>第三方法定检测</w:t>
            </w:r>
            <w:r>
              <w:rPr>
                <w:rFonts w:hint="eastAsia" w:ascii="宋体" w:hAnsi="宋体" w:cs="宋体"/>
                <w:b/>
                <w:bCs/>
                <w:kern w:val="0"/>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06"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手指功能训练器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1、尺寸：660×470×165mm（±5mm），材质：木材，配备十字转把、齿轮组、叶轮、圆盘、转桶、转板。</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6"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手平衡协调训练器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1、尺寸：300×250×60mm（±5mm），钢球尺寸：Φ10mm（±5mm），≥2内框，材质：木质。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1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腕部功能训练器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1、尺寸：430×230×100mm（±5mm），≥6种训练组件；功能：腕部肌肉及关节活动度训练。</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5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上肢协调功能练习器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1、尺寸：800×200×450mm（±5mm），材质：实木+钢材；功能：训练上肢稳定性、协调性功能。</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7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体操棒与抛接球（立式）</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1、尺寸：400×400×1020mm（±5mm），≥5个体操棒：￠280×1000mm（±5mm）,≥3个抛接球：￠25cm（±5mm），含木架，材质：实木+布料。</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0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2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言语语言康复个训</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238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rPr>
            </w:pPr>
            <w:r>
              <w:rPr>
                <w:rFonts w:hint="default" w:asciiTheme="minorHAnsi" w:hAnsiTheme="minorHAnsi" w:cstheme="minorBidi"/>
                <w:kern w:val="2"/>
              </w:rPr>
              <w:t>早期语言评估与训练系统</w:t>
            </w:r>
          </w:p>
          <w:p>
            <w:pPr>
              <w:pStyle w:val="2"/>
              <w:rPr>
                <w:rFonts w:hint="eastAsia" w:eastAsia="宋体"/>
                <w:lang w:eastAsia="zh-CN"/>
              </w:rPr>
            </w:pP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rPr>
            </w:pPr>
            <w:r>
              <w:t>★</w:t>
            </w:r>
            <w:r>
              <w:rPr>
                <w:rFonts w:hint="eastAsia" w:ascii="宋体" w:hAnsi="宋体" w:cs="宋体"/>
              </w:rPr>
              <w:t>1、尺寸：1400×750×1150mm(±5mm)，电脑主机CPU≥ i5主流芯片处理器，内存：≥8GB，硬盘：≥1T，≥128G SSD，集成显卡，集成声卡，操作系统：正版操作系统，配备</w:t>
            </w:r>
            <w:r>
              <w:rPr>
                <w:rFonts w:hint="eastAsia" w:ascii="宋体" w:hAnsi="宋体" w:cs="宋体"/>
                <w:kern w:val="0"/>
              </w:rPr>
              <w:t>≥19英寸</w:t>
            </w:r>
            <w:r>
              <w:rPr>
                <w:rFonts w:hint="eastAsia" w:ascii="宋体" w:hAnsi="宋体" w:cs="宋体"/>
              </w:rPr>
              <w:t>触摸式显示器、鼠标、键盘、音箱、激光打印机、耳机、麦克风、工作台、早期语言评估与训练专用软件；设备达到正常运行评估及训练功能。</w:t>
            </w:r>
          </w:p>
          <w:p>
            <w:pPr>
              <w:widowControl/>
              <w:ind w:firstLine="0" w:firstLineChars="0"/>
              <w:jc w:val="left"/>
              <w:textAlignment w:val="center"/>
              <w:rPr>
                <w:rFonts w:ascii="宋体" w:hAnsi="宋体" w:cs="宋体"/>
              </w:rPr>
            </w:pPr>
            <w:r>
              <w:rPr>
                <w:rFonts w:hint="eastAsia" w:cs="宋体"/>
                <w:lang w:val="en-US" w:eastAsia="zh-CN"/>
              </w:rPr>
              <w:t>2</w:t>
            </w:r>
            <w:r>
              <w:rPr>
                <w:rFonts w:hint="eastAsia" w:ascii="宋体" w:hAnsi="宋体" w:cs="宋体"/>
              </w:rPr>
              <w:t>、提供儿童早期语言能力的评估，支持对儿童进行词语、词组、句子、短文各方面、各阶段的评估，并含相应的训练模块。内置系统介绍、学生管理、语言评估、语言训练等模块。</w:t>
            </w:r>
          </w:p>
          <w:p>
            <w:pPr>
              <w:widowControl/>
              <w:ind w:firstLine="0" w:firstLineChars="0"/>
              <w:jc w:val="left"/>
              <w:textAlignment w:val="center"/>
              <w:rPr>
                <w:rFonts w:ascii="宋体" w:hAnsi="宋体" w:cs="宋体"/>
              </w:rPr>
            </w:pPr>
            <w:r>
              <w:rPr>
                <w:rFonts w:hint="eastAsia" w:ascii="宋体" w:hAnsi="宋体" w:cs="宋体"/>
              </w:rPr>
              <w:t>▲</w:t>
            </w:r>
            <w:r>
              <w:rPr>
                <w:rFonts w:hint="eastAsia" w:cs="宋体"/>
                <w:lang w:val="en-US" w:eastAsia="zh-CN"/>
              </w:rPr>
              <w:t>3</w:t>
            </w:r>
            <w:r>
              <w:rPr>
                <w:rFonts w:hint="eastAsia" w:ascii="宋体" w:hAnsi="宋体" w:cs="宋体"/>
              </w:rPr>
              <w:t>、内置生态教学平台。</w:t>
            </w:r>
          </w:p>
          <w:p>
            <w:pPr>
              <w:widowControl/>
              <w:ind w:firstLine="0" w:firstLineChars="0"/>
              <w:jc w:val="left"/>
              <w:textAlignment w:val="center"/>
              <w:rPr>
                <w:rFonts w:ascii="宋体" w:hAnsi="宋体" w:cs="宋体"/>
              </w:rPr>
            </w:pPr>
            <w:r>
              <w:rPr>
                <w:rFonts w:hint="eastAsia" w:cs="宋体"/>
                <w:lang w:val="en-US" w:eastAsia="zh-CN"/>
              </w:rPr>
              <w:t>4</w:t>
            </w:r>
            <w:r>
              <w:rPr>
                <w:rFonts w:hint="eastAsia" w:ascii="宋体" w:hAnsi="宋体" w:cs="宋体"/>
              </w:rPr>
              <w:t>、配备对语音的发展、词汇的发展、词汇语义的发展、句子语法发展、比较句的发展、给字句的发展、把字句的发展、被字句的发展、方所句的发展、主谓结构句的发展≥10个儿童语言发育过程及年龄段进行详细解说。内含词语学习、词组学习、句子学习、短文学习、童谣吟诵、音悦厅训练阶段，内置生态教学平台，开放式、可自行编辑的教学平台。具备阶段评估和即时训练评估两种评估形式，能根据评估结果，设定早期语言干预的目标，干预的具体手段，提供≥8000个干预内容。支持用户资料的修改、删除、打印、重新查找、统计、帮助。</w:t>
            </w:r>
          </w:p>
          <w:p>
            <w:pPr>
              <w:widowControl/>
              <w:ind w:firstLine="0" w:firstLineChars="0"/>
              <w:jc w:val="left"/>
              <w:textAlignment w:val="center"/>
            </w:pPr>
            <w:r>
              <w:rPr>
                <w:rFonts w:hint="eastAsia" w:ascii="宋体" w:hAnsi="宋体" w:cs="宋体"/>
              </w:rPr>
              <w:t>▲</w:t>
            </w:r>
            <w:r>
              <w:rPr>
                <w:rFonts w:hint="eastAsia" w:cs="宋体"/>
                <w:lang w:val="en-US" w:eastAsia="zh-CN"/>
              </w:rPr>
              <w:t>5</w:t>
            </w:r>
            <w:r>
              <w:rPr>
                <w:rFonts w:hint="eastAsia" w:ascii="宋体" w:hAnsi="宋体" w:cs="宋体"/>
              </w:rPr>
              <w:t>、对同一个人的多次评估结果进行比较，前后对照分析，显示出直方图。</w:t>
            </w:r>
          </w:p>
          <w:p>
            <w:pPr>
              <w:widowControl/>
              <w:ind w:firstLine="0" w:firstLineChars="0"/>
              <w:jc w:val="left"/>
              <w:textAlignment w:val="center"/>
              <w:rPr>
                <w:rFonts w:ascii="宋体" w:hAnsi="宋体" w:cs="宋体"/>
              </w:rPr>
            </w:pPr>
            <w:r>
              <w:rPr>
                <w:rFonts w:hint="eastAsia" w:ascii="宋体" w:hAnsi="宋体" w:cs="宋体"/>
                <w:b/>
                <w:bCs/>
              </w:rPr>
              <w:t>（说明：带“▲”条款需提供</w:t>
            </w:r>
            <w:r>
              <w:rPr>
                <w:rFonts w:hint="eastAsia" w:ascii="宋体" w:hAnsi="宋体" w:cs="宋体"/>
                <w:b/>
                <w:bCs/>
                <w:lang w:eastAsia="zh-CN"/>
              </w:rPr>
              <w:t>第三方法定检测</w:t>
            </w:r>
            <w:r>
              <w:rPr>
                <w:rFonts w:hint="eastAsia" w:ascii="宋体" w:hAnsi="宋体" w:cs="宋体"/>
                <w:b/>
                <w:bCs/>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3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言语功能评估训练卡片</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包括呼吸训练卡片册、发声训练卡片册、共鸣训练卡片册、构音语音能力评估卡片册、构音音位对比能力评估卡片册、口部构音运动能力训练卡片册、构音语音能力评估记录词表、构音音位对比能力评估记录词表、使用说明手册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语言能力评估训练卡</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包括语言理解能力评估（词语、词组、句子、短文）训练卡片册和记录词表、词语的简单训练卡片册、语法的简单训练卡片册、句子的简单训练卡片册、会话的简单训练卡片册、语言理解能力训练记录词表、会话的简单训练卡片册和使用手册、奖励贴纸、卡通棋子、电子骰子、使用说明和配套光盘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2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智能儿童沟通训练板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电子化图片交换沟通系统，内含≥100份预录卡片,内容有衣食住行、休闲娱乐等；真人语音；供特需儿童使用。配备空白卡片,支持录音功能,随洗随录,可反复使用；配套图文精灵软件,图片资源≥1000份；内含七阶段的全套训练方案；可外接耳机或功放。</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言语训练工具套装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1、产品尺寸：260x215x25mm（±5mm），材质：高分子材料PP5、ABS环保工程塑料，内含：勺型训练器、舌肌训练器、舌体刺激棒、下颌咀嚼器、T型咀嚼器、下颌稳定棒；配套AB版构音卡片。</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6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口部构音运动训练器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配备咀嚼器、唇舌尖运动训练器（CS）、舌上位运动训练器（SS）、舌抗阻训练器（SK）、舌根训练器（SG）、舌定位训练器（SD）、下颌运动训练器、悬雍垂刺激器、唇肌刺激器、舌肌刺激器、指套型乳牙刷、压舌板、用户手册、发音指导手册以及配套教学光盘。</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呼吸训练器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1、尺寸：130x150x30mm（±5mm），≥1800ml，材质：ABS环保工程塑料，功能：四球呼吸训练器用嘴吹气，肺功能锻炼。</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吹球游戏</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1、尺寸：260x260x50mm（±5mm），材质：ABS环保工程塑料，配备≥9个洞塑料底座、≥4个图片插板、≥35张游戏卡片；功能：吹气训练唇、口腔、训练记忆力。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5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口腔训练器</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1、尺寸：220x220x100mm（±5mm），材质：ABS环保工程塑料+橡胶+帆布；功能：训练呼吸控制能力。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1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8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隔断</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1、双面隔断，尺寸：8400x3800mm，材质：木工板+石膏板，木工板厚度≥15mm，石膏板厚度：≥18mm，隔断整体厚度≥10cm，环保乳胶漆≥2遍饰面。</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2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认知沟通个训</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54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rPr>
            </w:pPr>
            <w:r>
              <w:rPr>
                <w:rFonts w:hint="eastAsia"/>
              </w:rPr>
              <w:t>儿童认知能力测试与训练仪</w:t>
            </w:r>
          </w:p>
          <w:p>
            <w:pPr>
              <w:pStyle w:val="2"/>
            </w:pP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255"/>
                <w:numId w:val="0"/>
              </w:numPr>
              <w:jc w:val="left"/>
              <w:textAlignment w:val="center"/>
              <w:rPr>
                <w:rFonts w:ascii="宋体" w:hAnsi="宋体" w:cs="宋体"/>
              </w:rPr>
            </w:pPr>
            <w:r>
              <w:t>★</w:t>
            </w:r>
            <w:r>
              <w:rPr>
                <w:rFonts w:hint="eastAsia" w:ascii="宋体" w:hAnsi="宋体" w:cs="宋体"/>
              </w:rPr>
              <w:t>1、尺寸：1000×710×1140mm（±5mm），电脑主机：CPU≥ i5等主流芯片处理器，内存：≥8GB，硬盘：≥1T，≥128G SSD，集成显卡，集成声卡，操作系统：正版操作系统，配备</w:t>
            </w:r>
            <w:r>
              <w:rPr>
                <w:rFonts w:hint="eastAsia" w:ascii="宋体" w:hAnsi="宋体" w:cs="宋体"/>
                <w:kern w:val="0"/>
              </w:rPr>
              <w:t>≥19英寸</w:t>
            </w:r>
            <w:r>
              <w:rPr>
                <w:rFonts w:hint="eastAsia" w:ascii="宋体" w:hAnsi="宋体" w:cs="宋体"/>
              </w:rPr>
              <w:t>触摸式显示器、耳机、激光打印机、鼠标、麦克风、音箱、工作台、儿童认知能力测试与训练软件；设备达到正常运行测试与训练功能。</w:t>
            </w:r>
          </w:p>
          <w:p>
            <w:pPr>
              <w:widowControl/>
              <w:numPr>
                <w:ilvl w:val="255"/>
                <w:numId w:val="0"/>
              </w:numPr>
              <w:jc w:val="left"/>
              <w:textAlignment w:val="center"/>
              <w:rPr>
                <w:rFonts w:ascii="宋体" w:hAnsi="宋体" w:cs="宋体"/>
              </w:rPr>
            </w:pPr>
            <w:r>
              <w:rPr>
                <w:rFonts w:hint="eastAsia" w:ascii="宋体" w:hAnsi="宋体" w:cs="宋体"/>
              </w:rPr>
              <w:t>2、软件包括认知能力测试平台、认知能力学习平台、个性化学习平台等。支持录音功能。支持根据儿童的认知发展水平差异，自动导入等级甄别题和等级测试题。支持对感知能力、注意能力、记忆能力、数的能力、思维想象能力进行测评；支持对听理解和表达能力进行语言交流水平评测；提供个体化训练方案。系统检测题型含有声音感知、目标辨认、方位判定、数字推理等≥10项检测题型。</w:t>
            </w:r>
          </w:p>
          <w:p>
            <w:pPr>
              <w:widowControl/>
              <w:numPr>
                <w:ilvl w:val="255"/>
                <w:numId w:val="0"/>
              </w:numPr>
              <w:jc w:val="left"/>
              <w:textAlignment w:val="center"/>
              <w:rPr>
                <w:rFonts w:ascii="宋体" w:hAnsi="宋体" w:cs="宋体"/>
              </w:rPr>
            </w:pPr>
            <w:r>
              <w:rPr>
                <w:rFonts w:hint="eastAsia" w:ascii="宋体" w:hAnsi="宋体" w:cs="宋体"/>
              </w:rPr>
              <w:t>3、支持针对感知觉、注意、观察、记忆、思维（推理）等进行学习训练。认知能力训练题型含有感知能力、手眼协调能力、图形辨别、注意力、观察力、记忆力、感知数字、数量对比等≥25项训练类型。具备开放式个性化学习平台，支持感知能力、注意力、听理解、记忆能力、数的能力、思维想象、脑筋急转弯等训练内容。</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认知互动书</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数量与量词互动书，大卡≥24张，小卡≥40张；方位训练互动书，大卡≥0张，小卡≥22张；五官互动书（男/女），大卡≥4张，小卡≥22张；换装互动书（男/女），大卡≥4张，小卡≥34张；性别常识互动书，大卡≥6张，小卡≥16张；场景人物互动书，大卡≥6张，小卡≥16张；职业物品互动书，大卡≥14张，小卡≥40张；养成好习惯互动书，大卡≥6张，小卡≥24张；室外场景物品互动书，大卡≥15张，小卡≥36张；室内场景物品互动书，大卡≥10张（，小卡≥28张；身体部位功能互动书，大卡≥8张，小卡≥19张；日常生活所需互动书，大卡≥11张，小卡≥27张。均含≥2张自由操作卡，尺寸：≥A5，材质：铜板纸，小卡背面贴魔术贴，可反复粘贴。</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智能儿童沟通训练板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电子化图片交换沟通系统，内含≥100份预录卡片,内容有衣食住行、休闲娱乐等；真人语音；供特需儿童使用。配备空白卡片,支持录音功能,随洗随录,可反复使用；配套图文精灵软件,图片资源≥1000份。内含七阶段的全套训练方案。可外接耳机或功放。</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8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1、月亮造型个训桌1张，尺寸：1800x1200x400~650mm高度可调节，个训椅5把，尺寸：300x280x550mm(±5mm)，材质：樟子松木，甲醛释放量≤0.124mg/m³。</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7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2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孤独症干预个训</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288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rPr>
            </w:pPr>
            <w:r>
              <w:rPr>
                <w:rFonts w:hint="eastAsia"/>
              </w:rPr>
              <w:t>孤独症综合评估与干预系统</w:t>
            </w:r>
          </w:p>
          <w:p>
            <w:pPr>
              <w:pStyle w:val="2"/>
            </w:pP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t>★</w:t>
            </w:r>
            <w:r>
              <w:rPr>
                <w:rFonts w:hint="eastAsia" w:ascii="宋体" w:hAnsi="宋体" w:cs="宋体"/>
                <w:kern w:val="0"/>
              </w:rPr>
              <w:t>1、尺寸：1000×710×1140mm（±5mm）；电脑主机：CPU≥ i5主流芯片处理器，内存：≥8GB，硬盘：≥1T，≥128G SSD，集成显卡，集成声卡，操作系统：正版操作系统，配备≥19英寸显示器、主机工作台、麦克风、无线鼠标键盘、激光打印机、孤独症评估与干预软件；设备达到正常运行评估与干预功能。</w:t>
            </w:r>
          </w:p>
          <w:p>
            <w:pPr>
              <w:widowControl/>
              <w:ind w:firstLine="0" w:firstLineChars="0"/>
              <w:jc w:val="left"/>
              <w:textAlignment w:val="center"/>
              <w:rPr>
                <w:rFonts w:ascii="宋体" w:hAnsi="宋体" w:cs="宋体"/>
                <w:kern w:val="0"/>
              </w:rPr>
            </w:pPr>
            <w:r>
              <w:rPr>
                <w:rFonts w:hint="eastAsia" w:ascii="宋体" w:hAnsi="宋体" w:cs="宋体"/>
                <w:kern w:val="0"/>
              </w:rPr>
              <w:t>2、具备筛查评估功能，支持传统评估、功能评估和智能评估，配备孤独症筛查量表：ABA量表和CARS量表；具备功能评估，支持对感知觉、粗大运动、精细动作、语言与沟通、认知、社会交往、生活自理、情绪与行为等功能维度的评估。具备智能评估功能，支持对感知觉、注意力、生活自理、社会交往进行智能评估，能生成优先排序的训练策略。具备康复训练功能，支持对感知觉、注意力、生活自理、社会交往进行智能训练和课程训练。具备智能训练功能，支持根据智能评估结果智能导向相应的训练模块。具备快乐评估和快乐训练两个模块。具备语音识别技术和多媒体动画技术。</w:t>
            </w:r>
          </w:p>
          <w:p>
            <w:pPr>
              <w:widowControl/>
              <w:ind w:firstLine="0" w:firstLineChars="0"/>
              <w:jc w:val="left"/>
              <w:textAlignment w:val="center"/>
              <w:rPr>
                <w:rFonts w:ascii="宋体" w:hAnsi="宋体" w:cs="宋体"/>
              </w:rPr>
            </w:pPr>
            <w:r>
              <w:rPr>
                <w:rFonts w:hint="eastAsia" w:ascii="宋体" w:hAnsi="宋体" w:cs="宋体"/>
                <w:kern w:val="0"/>
              </w:rPr>
              <w:t>3、支持自定义选择内置的训练素材、训练难度、干扰物数量，以适应不同程度的孤独症个案。支持多种形式的奖励和反馈元素，包括动画、游戏、卡通人物等。支持开放式PECS沟通，提供个别化课程。具备学生管理功能，支持储存、调用个案的筛查及训练结果。</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3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社会行为干预卡片</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1、内含生活自理篇、生活事物篇、社交主题篇，每篇≥12个单元，共≥36个单元的生活连续卡片。功能：培养特殊需要儿童的基本生活自理能力，促进早期交往技能的形成。</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智能儿童沟通训练板</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电子化图片交换沟通系统，内含≥100份预录卡片,内容有衣食住行、休闲娱乐等；真人语音；供特需儿童使用。配备空白卡片,支持录音功能,随洗随录,可反复使用；配套图文精灵软件,图片资源≥1000份。内含七阶段的全套训练方案。可外接耳机或功放。</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智能AAC</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t>★</w:t>
            </w:r>
            <w:r>
              <w:rPr>
                <w:rFonts w:hint="eastAsia" w:ascii="宋体" w:hAnsi="宋体" w:cs="宋体"/>
                <w:kern w:val="0"/>
              </w:rPr>
              <w:t>1、屏幕尺寸≥10英寸，运行内存≥4G，存储容量≥128G，处理器速度≥2.6GHz，八核，配置正版操作系统。</w:t>
            </w:r>
          </w:p>
          <w:p>
            <w:pPr>
              <w:widowControl/>
              <w:ind w:firstLine="0" w:firstLineChars="0"/>
              <w:jc w:val="left"/>
              <w:textAlignment w:val="center"/>
              <w:rPr>
                <w:rFonts w:ascii="宋体" w:hAnsi="宋体" w:cs="宋体"/>
              </w:rPr>
            </w:pPr>
            <w:r>
              <w:rPr>
                <w:rFonts w:hint="eastAsia" w:ascii="宋体" w:hAnsi="宋体" w:cs="宋体"/>
                <w:kern w:val="0"/>
              </w:rPr>
              <w:t>2、内含≥3900张沟通图片和对应中文语音；沟通图片包含常用词汇、大自然、动作、服装、工作教育、社区家庭、交通等≥14大类，≥86个小类，支持自由组合词组、句子，支持自行设计个别化沟通模板。支持自由设置主界面图片的数量，行和列扩展：1x1—12x12；支持沟通模板图片、文件夹超链接的新建；支持图片位置移动、删除、文字显示、文字大小、文字颜色、单元格背景颜色、单元格颜色、操作区域颜色和播放栏背景颜色、语音播放速度的设置；支持新建沟通模板时。供自闭症谱系等语言沟通障碍儿童使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沟通辅具图片1</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1、尺寸：≥296×168mm；材料：方形橡胶软磁；总计≥120片，包含日常所需场景物件，图片系统中英标注。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49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沟通辅具图片2</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1、尺寸：≥335×263mm；材质：哑面157g铜版纸；圆形纸卡直径≥115mm，共≥24片；圆形纸卡直径≥55mm，共≥64片；长方形纸卡≥216×117mm，共≥168片；其中：1格≥100张，2格≥52张，4格+A1:≥179张，8格≥8张；</w:t>
            </w:r>
            <w:r>
              <w:rPr>
                <w:rFonts w:hint="eastAsia" w:ascii="宋体" w:hAnsi="宋体" w:cs="宋体"/>
                <w:kern w:val="0"/>
              </w:rPr>
              <w:br w:type="textWrapping"/>
            </w:r>
            <w:r>
              <w:rPr>
                <w:rFonts w:hint="eastAsia" w:ascii="宋体" w:hAnsi="宋体" w:cs="宋体"/>
                <w:kern w:val="0"/>
              </w:rPr>
              <w:t>2、图片包含基础手势表达，日常情绪表达，基础地质形态，常用动作行为，常见动物植物，交通工具，服装饰品，日用家具，职业工种，瓜果蔬菜，天文气象，生物医疗，运动娱乐，生活学习等方面，图片系统活页可拆装可更换，每张图卡都有独立PP袋。</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擎天</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rPr>
              <w:t>1、尺寸：≥305 ×225 × 46mm，机壳：食品级ABS环保塑料；外型：弧面、无棱角；按压易扣式电池盖，沉台扣位；左右两侧具有下沉M5螺母；支持音频采样，≥1个音响单元。含4个操作窗口，尺寸：235 × 137 × 0.4mm，支持手指或金属导体触发响应，其他非人体皮肤触摸不响应；感应精度≤1mm物体。</w:t>
            </w:r>
          </w:p>
          <w:p>
            <w:pPr>
              <w:widowControl/>
              <w:ind w:firstLine="0" w:firstLineChars="0"/>
              <w:jc w:val="left"/>
              <w:textAlignment w:val="center"/>
              <w:rPr>
                <w:rFonts w:ascii="宋体" w:hAnsi="宋体" w:cs="宋体"/>
              </w:rPr>
            </w:pPr>
            <w:r>
              <w:rPr>
                <w:rFonts w:hint="eastAsia" w:ascii="宋体" w:hAnsi="宋体" w:cs="宋体"/>
              </w:rPr>
              <w:t>2、支持多元化操作，具备录音模式、触摸感应、录音/放音选择、外部开关接口。具备视觉、听觉反馈；配备2条1.8m 3.5mm黑色单声道双头插头连接线，配可收纳口袋；绝缘接地。</w:t>
            </w:r>
          </w:p>
          <w:p>
            <w:pPr>
              <w:widowControl/>
              <w:ind w:firstLine="0" w:firstLineChars="0"/>
              <w:jc w:val="left"/>
              <w:textAlignment w:val="center"/>
              <w:rPr>
                <w:rFonts w:ascii="宋体" w:hAnsi="宋体" w:cs="宋体"/>
              </w:rPr>
            </w:pPr>
            <w:r>
              <w:rPr>
                <w:rFonts w:hint="eastAsia" w:ascii="宋体" w:hAnsi="宋体" w:cs="宋体"/>
              </w:rPr>
              <w:t>▲3、支持≥64段录音，录制时间≥16分钟。（说明：需提供</w:t>
            </w:r>
            <w:r>
              <w:rPr>
                <w:rFonts w:hint="eastAsia" w:ascii="宋体" w:hAnsi="宋体" w:cs="宋体"/>
                <w:lang w:eastAsia="zh-CN"/>
              </w:rPr>
              <w:t>第三方法定检测</w:t>
            </w:r>
            <w:r>
              <w:rPr>
                <w:rFonts w:hint="eastAsia" w:ascii="宋体" w:hAnsi="宋体" w:cs="宋体"/>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34"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大马克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1、尺寸：≥170 × 157 × 53mm，≥3°斜度，机壳材质：食品级ABS环保塑料，外型弧面、无棱角；操作上盖尺寸：≥130 × 10mm，颜色自选，设备上盖尺寸 ：≥138 × 17mm，透明面盖，透光率≥95%；沉台扣位按压易扣式电池盖，底部含有3颗M5螺母，搭配肩带，固定支架。支持音频采样，还原度≥90%，≥1个音响单元，信噪比≥91dBA，旋钮开关机、音量大小调整，配备1条1.8mx3.5mm黑色单声道双头插头连接线；支持≥1段录音，录制时间≥2分钟；支持图片储存功能；支持控制外部玩具；支持外接BCI控制开关；标配1条1.8m 双头3.5mm公头延迟线，接收到操作指令后有视觉、听觉反馈，具有安全性，绝缘接地。</w:t>
            </w:r>
          </w:p>
          <w:p>
            <w:pPr>
              <w:widowControl/>
              <w:ind w:firstLine="0" w:firstLineChars="0"/>
              <w:jc w:val="left"/>
              <w:textAlignment w:val="center"/>
              <w:rPr>
                <w:rFonts w:ascii="宋体" w:hAnsi="宋体" w:cs="宋体"/>
              </w:rPr>
            </w:pPr>
            <w:r>
              <w:rPr>
                <w:rFonts w:hint="eastAsia" w:ascii="宋体" w:hAnsi="宋体" w:cs="宋体"/>
                <w:kern w:val="0"/>
              </w:rPr>
              <w:t>▲</w:t>
            </w:r>
            <w:r>
              <w:rPr>
                <w:rFonts w:hint="eastAsia" w:ascii="宋体" w:hAnsi="宋体" w:cs="宋体"/>
                <w:kern w:val="0"/>
                <w:lang w:val="en-US" w:eastAsia="zh-CN"/>
              </w:rPr>
              <w:t>2</w:t>
            </w:r>
            <w:r>
              <w:rPr>
                <w:rFonts w:hint="eastAsia" w:ascii="宋体" w:hAnsi="宋体" w:cs="宋体"/>
                <w:kern w:val="0"/>
              </w:rPr>
              <w:t>、开关寿命≥10万次，电气联接件不出现松动。（说明：需提供</w:t>
            </w:r>
            <w:r>
              <w:rPr>
                <w:rFonts w:hint="eastAsia" w:ascii="宋体" w:hAnsi="宋体" w:cs="宋体"/>
                <w:kern w:val="0"/>
                <w:lang w:eastAsia="zh-CN"/>
              </w:rPr>
              <w:t>第三方法定检测</w:t>
            </w:r>
            <w:r>
              <w:rPr>
                <w:rFonts w:hint="eastAsia" w:ascii="宋体" w:hAnsi="宋体" w:cs="宋体"/>
                <w:kern w:val="0"/>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18"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小马克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1、尺寸：≥113×103×80mm，≥45°斜度，机壳：食品级ABS环保塑料，弧面、无棱角；可更换上盖尺寸 ：≥64×10mm，颜色自选；透明面盖尺寸 ：≥70×14mm，透光率≥95%；配备专用底座，搭配肩带，固定支架，配备1条1.8m 3.5mm黑色单声道双头插头连接线，标配2条1.8m 双头3.5mm公头延迟线。支持音频采样，还原度≥90%；≥1个音响单元，信噪比≥91dBA；支持1路3.5mm接口的外接开关输入控制，1路输出控制接口；旋钮开关电位器，开关寿命≥10万次；支持≥3段录音，录制时间≥4分钟，具备视觉、听觉反馈；具有安全性，备绝缘接地；支持≥3段录音储存/播放，时间≥4分钟；支持图片储存功能；支持控制外部玩具；支持外接BCI控制开关；支持连接BCI开关或者玩具。</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5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大鼻子</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1、尺寸：≥165 × 133 × 98mm，≥45°斜度，双触发按键，机壳材质：食品级ABS环保塑料；弧面设计、无棱角；操作按键彩色盖尺寸 ：≥64×10mm，颜色自选，透明上盖尺寸：≥70×14mm，透光率≥95%；可伸缩主题面板；底部3个螺丝孔位，搭配肩带，固定支架。配备2条1.8m 3.5mm黑色单声道双头插头连接线，配2条1.8m 双头3.5mm公头延迟线。支持音频采样，还原度≥90%；≥1个音响单元，信噪比≥91dBA；旋钮开关电位器，开关机、音量大小调整；支持≥2路3.5mm接口的外接开关输入控制，≥2路输出控制接口；支持≥6段录音，录制时间≥4分钟；开关寿命≥10万次。具备视觉、听觉反馈；具有安全性，绝缘接地；支持双开关操作触发；支持≥6段录音储存/播放，≥4分钟；支持图片储存功能；支持≥2路控制外部玩具；支持≥2路外接BCI控制开关，支持连接BCI开关或者玩具。</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6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布里斯Pro</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1、尺寸：≥192×192×19mm，单个尺寸：≥64 × 64 × 19mm，机壳材质：食品级ABS环保塑料，自吸式拼接；外型弧面、无棱角；五金操作按键，支持磁铁图片使用，底部配备强力磁铁，配备≥10张46 × 46mm的空白内容的软磁铁，≥1条1m长的专用自吸式数据线，标配专用充电线，空白软磁铁≥10片；包含3个独立个体。支持音频采样，还原度≥90%；≥1个音响单元，信噪比≥91dBA；开关寿命≥10万次；支持多产品拼接使用；支持≥2段录音，1段≥12秒钟，2段≥24秒；具备视觉、听觉反馈；具有安全性，绝缘接地。支持图片自吸功能。</w:t>
            </w:r>
          </w:p>
          <w:p>
            <w:pPr>
              <w:widowControl/>
              <w:ind w:firstLine="0" w:firstLineChars="0"/>
              <w:jc w:val="left"/>
              <w:textAlignment w:val="center"/>
              <w:rPr>
                <w:rFonts w:ascii="宋体" w:hAnsi="宋体" w:cs="宋体"/>
              </w:rPr>
            </w:pPr>
            <w:r>
              <w:rPr>
                <w:rFonts w:hint="eastAsia" w:ascii="宋体" w:hAnsi="宋体" w:cs="宋体"/>
                <w:kern w:val="0"/>
              </w:rPr>
              <w:t>▲2、录音储存时长≥2</w:t>
            </w:r>
            <w:r>
              <w:rPr>
                <w:rFonts w:ascii="宋体" w:hAnsi="宋体" w:cs="宋体"/>
                <w:kern w:val="0"/>
              </w:rPr>
              <w:t>4</w:t>
            </w:r>
            <w:r>
              <w:rPr>
                <w:rFonts w:hint="eastAsia" w:ascii="宋体" w:hAnsi="宋体" w:cs="宋体"/>
                <w:kern w:val="0"/>
              </w:rPr>
              <w:t>秒，录音储存数量≥2个。（说明：需提供</w:t>
            </w:r>
            <w:r>
              <w:rPr>
                <w:rFonts w:hint="eastAsia" w:ascii="宋体" w:hAnsi="宋体" w:cs="宋体"/>
                <w:kern w:val="0"/>
                <w:lang w:eastAsia="zh-CN"/>
              </w:rPr>
              <w:t>第三方法定检测</w:t>
            </w:r>
            <w:r>
              <w:rPr>
                <w:rFonts w:hint="eastAsia" w:ascii="宋体" w:hAnsi="宋体" w:cs="宋体"/>
                <w:kern w:val="0"/>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2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儿童室内游戏小屋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pPr>
            <w:r>
              <w:rPr>
                <w:rFonts w:hint="eastAsia"/>
              </w:rPr>
              <w:t>1、规格：≥1260×1000×1200mm；材质：棉布帐篷+松木支架，配接头、支撑杆、灯、棉垫、抱枕、彩旗等装饰品。</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21"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6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2" w:hRule="atLeast"/>
        </w:trPr>
        <w:tc>
          <w:tcPr>
            <w:tcW w:w="13404"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lang w:val="en-US" w:eastAsia="zh-CN"/>
              </w:rPr>
              <w:t>注意力个训</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743"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rPr>
            </w:pPr>
            <w:r>
              <w:rPr>
                <w:rFonts w:hint="eastAsia"/>
              </w:rPr>
              <w:t>共同注意力评估与训练系统</w:t>
            </w:r>
          </w:p>
          <w:p>
            <w:pPr>
              <w:pStyle w:val="2"/>
            </w:pP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255"/>
                <w:numId w:val="0"/>
              </w:numPr>
              <w:jc w:val="left"/>
              <w:textAlignment w:val="center"/>
              <w:rPr>
                <w:rFonts w:ascii="宋体" w:hAnsi="宋体" w:cs="宋体"/>
                <w:kern w:val="0"/>
              </w:rPr>
            </w:pPr>
            <w:r>
              <w:t>★</w:t>
            </w:r>
            <w:r>
              <w:rPr>
                <w:rFonts w:hint="eastAsia" w:ascii="宋体" w:hAnsi="宋体" w:cs="宋体"/>
                <w:kern w:val="0"/>
              </w:rPr>
              <w:t>1、尺寸：510×575×8000mm（±5mm），电脑主机：CPU≥ i5主流芯片处理器，内存：≥8GB，硬盘：≥1T，≥128G SSD，集成显卡，集成声卡，操作系统：正版操作系统，配备工作台、打印机、无线键鼠、麦克风、共同注意力评估与训练软件等；设备达到正常运行评估与训练功能。</w:t>
            </w:r>
          </w:p>
          <w:p>
            <w:pPr>
              <w:widowControl/>
              <w:numPr>
                <w:ilvl w:val="255"/>
                <w:numId w:val="0"/>
              </w:numPr>
              <w:jc w:val="left"/>
              <w:textAlignment w:val="center"/>
              <w:rPr>
                <w:rFonts w:ascii="宋体" w:hAnsi="宋体" w:cs="宋体"/>
                <w:kern w:val="0"/>
              </w:rPr>
            </w:pPr>
            <w:r>
              <w:rPr>
                <w:rFonts w:hint="eastAsia" w:ascii="宋体" w:hAnsi="宋体" w:cs="宋体"/>
                <w:kern w:val="0"/>
              </w:rPr>
              <w:t>2、系统包括观察评估、智能评估、启蒙训练、阶段训练、提高训练、快乐平台等模块；具备非语言沟通测量工具“早期社会沟通量表（EarlySocialCommunicationScale，ESCS）”。具备游戏库、动画库和自定义功能。</w:t>
            </w:r>
          </w:p>
          <w:p>
            <w:pPr>
              <w:widowControl/>
              <w:numPr>
                <w:ilvl w:val="255"/>
                <w:numId w:val="0"/>
              </w:numPr>
              <w:jc w:val="left"/>
              <w:textAlignment w:val="center"/>
              <w:rPr>
                <w:rFonts w:ascii="宋体" w:hAnsi="宋体" w:cs="宋体"/>
              </w:rPr>
            </w:pPr>
            <w:r>
              <w:rPr>
                <w:rFonts w:hint="eastAsia" w:ascii="宋体" w:hAnsi="宋体" w:cs="宋体"/>
                <w:kern w:val="0"/>
              </w:rPr>
              <w:t>3、支持对儿童共同注意力七个阶段的能力水平进行单项或多项的智能评估，生成评估报告，形成训练方案。支持对儿童的视觉追视、追随跟踪能力进行启蒙训练。支持对儿童的共同注意力进行阶段性训练及拓展训练。支持对儿童的共同注意力、社交技能进行提高训练，具备模仿训练、互动训练、图画书训练等模块。</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1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基础能力训练仪</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rPr>
              <w:t>1、尺寸：580×420×36mm（±5mm），材质：ABS环保工程塑料，模具注塑成型，外型弧面、无棱角、无尖锐凸出与凹陷，≥2个音响，12V外置电源，≥1个Type-C接口，触摸式按键，表层不透明钢化玻璃，AG磨砂工艺处理，具备安全性，绝缘接地。</w:t>
            </w:r>
          </w:p>
          <w:p>
            <w:pPr>
              <w:widowControl/>
              <w:ind w:firstLine="0" w:firstLineChars="0"/>
              <w:jc w:val="left"/>
              <w:textAlignment w:val="center"/>
              <w:rPr>
                <w:rFonts w:ascii="宋体" w:hAnsi="宋体" w:cs="宋体"/>
              </w:rPr>
            </w:pPr>
            <w:r>
              <w:rPr>
                <w:rFonts w:hint="eastAsia" w:ascii="宋体" w:hAnsi="宋体" w:cs="宋体"/>
              </w:rPr>
              <w:t>▲2、内含1块80x20mm（±5mm）的32x8LED矩阵显示屏和12块60×60mm（±5mm）的24×24 LED可触摸矩阵显示屏。支持显示字母、数字、几何图形、动物、天气、交通工具等图形图标，显示区域支持触摸功能。</w:t>
            </w:r>
          </w:p>
          <w:p>
            <w:pPr>
              <w:widowControl/>
              <w:ind w:firstLine="0" w:firstLineChars="0"/>
              <w:jc w:val="left"/>
              <w:textAlignment w:val="center"/>
              <w:rPr>
                <w:rFonts w:ascii="宋体" w:hAnsi="宋体" w:cs="宋体"/>
              </w:rPr>
            </w:pPr>
            <w:r>
              <w:rPr>
                <w:rFonts w:hint="eastAsia" w:ascii="宋体" w:hAnsi="宋体" w:cs="宋体"/>
              </w:rPr>
              <w:t>▲3、屏幕触摸精度≥2mm物体，屏幕触摸响应，手指或专业触摸笔测试响应，跟随触摸产生震动反馈，其他非人体皮肤触摸不响应。具备反应力转移训练、反应力分配训练、记忆力目的训练、记忆力复述训练、观察力目的训练、观察力理解训练模块。</w:t>
            </w:r>
          </w:p>
          <w:p>
            <w:pPr>
              <w:widowControl/>
              <w:ind w:firstLine="0" w:firstLineChars="0"/>
              <w:jc w:val="left"/>
              <w:textAlignment w:val="center"/>
              <w:rPr>
                <w:rFonts w:ascii="宋体" w:hAnsi="宋体" w:cs="宋体"/>
              </w:rPr>
            </w:pPr>
            <w:r>
              <w:rPr>
                <w:rFonts w:hint="eastAsia" w:ascii="宋体" w:hAnsi="宋体" w:cs="宋体"/>
                <w:b/>
                <w:bCs/>
              </w:rPr>
              <w:t>（说明：带“▲”条款需提供</w:t>
            </w:r>
            <w:r>
              <w:rPr>
                <w:rFonts w:hint="eastAsia" w:ascii="宋体" w:hAnsi="宋体" w:cs="宋体"/>
                <w:b/>
                <w:bCs/>
                <w:lang w:eastAsia="zh-CN"/>
              </w:rPr>
              <w:t>第三方法定检测</w:t>
            </w:r>
            <w:r>
              <w:rPr>
                <w:rFonts w:hint="eastAsia" w:ascii="宋体" w:hAnsi="宋体" w:cs="宋体"/>
                <w:b/>
                <w:bCs/>
              </w:rPr>
              <w:t>机构出具的检测报告复印件，并加盖供应商鲜章）</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6"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注意力测评工具箱</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支持注意稳定性、注意广度、注意转移、注意分配、左右脑协调、视觉专注、听觉专注测验；适用范围：5-16岁青少年儿童。内置注意广度测验图卡、注意分配测验图卡、注意转移测验图卡、注意稳定测验图卡、视觉专注测验图卡、左右脑协调测验图卡、听觉专题测验图卡、注意力测评登记册2本，每类≥2套，提醒拍铃，注意力测评报告单≥100张，注意力测评工具操作使用说明书。</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77"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听并做-听觉注意力训练卡片</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1、内含≥38张听觉注意力训练卡片；功能：训练学生的听觉及注意力。</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儿童室内游戏小屋</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1、规格：≥1260×1000×1200mm；材质：棉布帐篷+松木支架，配接头、支撑杆、灯、棉垫、抱枕、彩旗等装饰品。</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个训桌椅</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1、月亮造型个训桌1张，尺寸：1800x1200x400~650mm高度可调节，个训椅5把，尺寸：300x280x550mm(±5mm)，材质：樟子松木，甲醛释放量≤0.124mg/m3。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92"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玩教具柜</w:t>
            </w:r>
          </w:p>
        </w:tc>
        <w:tc>
          <w:tcPr>
            <w:tcW w:w="8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0" w:hRule="atLeast"/>
        </w:trPr>
        <w:tc>
          <w:tcPr>
            <w:tcW w:w="12231"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1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bl>
    <w:p>
      <w:pPr>
        <w:ind w:firstLine="480"/>
      </w:pPr>
      <w:r>
        <w:rPr>
          <w:rFonts w:hint="eastAsia"/>
        </w:rPr>
        <w:br w:type="page"/>
      </w:r>
    </w:p>
    <w:p>
      <w:pPr>
        <w:ind w:firstLine="0" w:firstLineChars="0"/>
        <w:rPr>
          <w:b/>
          <w:bCs/>
          <w:sz w:val="32"/>
          <w:szCs w:val="32"/>
        </w:rPr>
      </w:pPr>
      <w:r>
        <w:rPr>
          <w:rFonts w:hint="eastAsia"/>
          <w:b/>
          <w:bCs/>
          <w:sz w:val="32"/>
          <w:szCs w:val="32"/>
        </w:rPr>
        <w:t>包件二</w:t>
      </w:r>
    </w:p>
    <w:p>
      <w:pPr>
        <w:pStyle w:val="6"/>
        <w:numPr>
          <w:ilvl w:val="2"/>
          <w:numId w:val="0"/>
        </w:numPr>
        <w:ind w:leftChars="0"/>
      </w:pPr>
      <w:bookmarkStart w:id="384" w:name="_Toc32396"/>
      <w:bookmarkStart w:id="385" w:name="_Toc1828"/>
      <w:bookmarkStart w:id="386" w:name="_Toc29224"/>
      <w:r>
        <w:t>2.6.</w:t>
      </w:r>
      <w:r>
        <w:rPr>
          <w:rFonts w:hint="eastAsia"/>
        </w:rPr>
        <w:t>3心理咨询室设备清单</w:t>
      </w:r>
      <w:bookmarkEnd w:id="384"/>
      <w:bookmarkEnd w:id="385"/>
      <w:bookmarkEnd w:id="386"/>
    </w:p>
    <w:tbl>
      <w:tblPr>
        <w:tblStyle w:val="17"/>
        <w:tblpPr w:leftFromText="180" w:rightFromText="180" w:vertAnchor="text" w:horzAnchor="page" w:tblpX="1367" w:tblpY="495"/>
        <w:tblOverlap w:val="never"/>
        <w:tblW w:w="13418" w:type="dxa"/>
        <w:tblInd w:w="0" w:type="dxa"/>
        <w:tblLayout w:type="fixed"/>
        <w:tblCellMar>
          <w:top w:w="0" w:type="dxa"/>
          <w:left w:w="0" w:type="dxa"/>
          <w:bottom w:w="0" w:type="dxa"/>
          <w:right w:w="0" w:type="dxa"/>
        </w:tblCellMar>
      </w:tblPr>
      <w:tblGrid>
        <w:gridCol w:w="627"/>
        <w:gridCol w:w="1050"/>
        <w:gridCol w:w="1050"/>
        <w:gridCol w:w="7255"/>
        <w:gridCol w:w="575"/>
        <w:gridCol w:w="639"/>
        <w:gridCol w:w="1036"/>
        <w:gridCol w:w="1186"/>
      </w:tblGrid>
      <w:tr>
        <w:tblPrEx>
          <w:tblCellMar>
            <w:top w:w="0" w:type="dxa"/>
            <w:left w:w="0" w:type="dxa"/>
            <w:bottom w:w="0" w:type="dxa"/>
            <w:right w:w="0" w:type="dxa"/>
          </w:tblCellMar>
        </w:tblPrEx>
        <w:trPr>
          <w:trHeight w:val="855"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ascii="宋体" w:hAnsi="宋体" w:cs="宋体"/>
                <w:b/>
              </w:rPr>
            </w:pPr>
            <w:r>
              <w:rPr>
                <w:rFonts w:hint="eastAsia" w:ascii="宋体" w:hAnsi="宋体" w:cs="宋体"/>
                <w:b/>
              </w:rPr>
              <w:t>序号</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228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pPr>
            <w:r>
              <w:rPr>
                <w:rFonts w:hint="eastAsia"/>
              </w:rPr>
              <w:t>1</w:t>
            </w:r>
          </w:p>
          <w:p>
            <w:pPr>
              <w:ind w:firstLine="480"/>
              <w:jc w:val="cente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办公区</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台式计算机</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1、CPU≥ i5主流芯片处理器；内存≥8G DDR4；硬盘≥1TB；≥128G SSD。</w:t>
            </w:r>
          </w:p>
          <w:p>
            <w:pPr>
              <w:widowControl/>
              <w:numPr>
                <w:ilvl w:val="0"/>
                <w:numId w:val="24"/>
              </w:numPr>
              <w:ind w:left="0" w:leftChars="0" w:firstLine="0" w:firstLineChars="0"/>
              <w:jc w:val="left"/>
              <w:textAlignment w:val="center"/>
              <w:rPr>
                <w:rFonts w:hint="eastAsia"/>
                <w:highlight w:val="none"/>
                <w:lang w:eastAsia="zh-CN"/>
              </w:rPr>
            </w:pPr>
            <w:r>
              <w:rPr>
                <w:rFonts w:hint="eastAsia" w:ascii="宋体" w:hAnsi="宋体" w:cs="宋体"/>
                <w:kern w:val="0"/>
                <w:highlight w:val="none"/>
              </w:rPr>
              <w:t>独立显卡，≥1个DP接口，≥1个DHMI接口；前置USB接口≥2个，后置USB接口≥4个；USB键盘鼠标。液晶显示器≥23英寸，分辨率：≥1920×1080，对比度：≥1000:1。预装正版操作系统,提供授权正版序列号。</w:t>
            </w:r>
          </w:p>
          <w:p>
            <w:pPr>
              <w:widowControl/>
              <w:numPr>
                <w:ilvl w:val="0"/>
                <w:numId w:val="0"/>
              </w:numPr>
              <w:ind w:leftChars="0"/>
              <w:jc w:val="left"/>
              <w:textAlignment w:val="center"/>
              <w:rPr>
                <w:rFonts w:hint="eastAsia" w:ascii="宋体" w:hAnsi="宋体" w:eastAsia="宋体" w:cs="宋体"/>
                <w:highlight w:val="none"/>
                <w:lang w:eastAsia="zh-CN"/>
              </w:rPr>
            </w:pPr>
            <w:r>
              <w:rPr>
                <w:highlight w:val="none"/>
              </w:rPr>
              <w:t>★</w:t>
            </w:r>
            <w:r>
              <w:rPr>
                <w:rFonts w:hint="eastAsia"/>
                <w:b/>
                <w:bCs/>
                <w:highlight w:val="none"/>
                <w:lang w:val="en-US" w:eastAsia="zh-CN"/>
              </w:rPr>
              <w:t>3、</w:t>
            </w:r>
            <w:r>
              <w:rPr>
                <w:rFonts w:hint="eastAsia" w:ascii="Calibri" w:hAnsi="Calibri" w:cs="Times New Roman"/>
                <w:b/>
                <w:bCs/>
                <w:highlight w:val="none"/>
              </w:rPr>
              <w:t>应</w:t>
            </w:r>
            <w:r>
              <w:rPr>
                <w:rFonts w:hint="eastAsia" w:cs="Times New Roman"/>
                <w:b/>
                <w:bCs/>
                <w:highlight w:val="none"/>
                <w:lang w:val="en-US" w:eastAsia="zh-CN"/>
              </w:rPr>
              <w:t>提供</w:t>
            </w:r>
            <w:r>
              <w:rPr>
                <w:rFonts w:hint="eastAsia" w:ascii="Calibri" w:hAnsi="Calibri" w:cs="Times New Roman"/>
                <w:b/>
                <w:bCs/>
                <w:highlight w:val="none"/>
              </w:rPr>
              <w:t>具有国家确定的认证机构出具的在有效期内的</w:t>
            </w:r>
            <w:r>
              <w:rPr>
                <w:rFonts w:hint="eastAsia" w:cs="Times New Roman"/>
                <w:b/>
                <w:bCs/>
                <w:highlight w:val="none"/>
                <w:lang w:eastAsia="zh-CN"/>
              </w:rPr>
              <w:t>“</w:t>
            </w:r>
            <w:r>
              <w:rPr>
                <w:rFonts w:hint="eastAsia" w:cs="Times New Roman"/>
                <w:b/>
                <w:bCs/>
                <w:highlight w:val="none"/>
                <w:lang w:val="en-US" w:eastAsia="zh-CN"/>
              </w:rPr>
              <w:t>主机”及“显示器</w:t>
            </w:r>
            <w:r>
              <w:rPr>
                <w:rFonts w:hint="eastAsia" w:cs="Times New Roman"/>
                <w:b/>
                <w:bCs/>
                <w:highlight w:val="none"/>
                <w:lang w:eastAsia="zh-CN"/>
              </w:rPr>
              <w:t>”</w:t>
            </w:r>
            <w:r>
              <w:rPr>
                <w:rFonts w:hint="eastAsia" w:ascii="Calibri" w:hAnsi="Calibri" w:cs="Times New Roman"/>
                <w:b/>
                <w:bCs/>
                <w:highlight w:val="none"/>
              </w:rPr>
              <w:t>节能产品认证证书复印件</w:t>
            </w:r>
            <w:r>
              <w:rPr>
                <w:rFonts w:hint="eastAsia" w:ascii="Calibri" w:hAnsi="Calibri" w:cs="Times New Roman"/>
                <w:b/>
                <w:bCs/>
                <w:highlight w:val="none"/>
                <w:lang w:eastAsia="zh-CN"/>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激光打印机</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rPr>
            </w:pPr>
            <w:r>
              <w:t>★</w:t>
            </w:r>
            <w:r>
              <w:rPr>
                <w:rFonts w:hint="eastAsia"/>
              </w:rPr>
              <w:t>1、A4幅面，≥600×600dpi分辨率；≥20ppm打印速度，标配≥2MB内存，≤10秒首页打印时间，USB2.0接口。</w:t>
            </w:r>
          </w:p>
          <w:p>
            <w:pPr>
              <w:pStyle w:val="2"/>
              <w:ind w:left="0" w:leftChars="0" w:firstLine="0" w:firstLineChars="0"/>
              <w:rPr>
                <w:rFonts w:hint="eastAsia" w:eastAsia="宋体"/>
                <w:lang w:val="en-US" w:eastAsia="zh-CN"/>
              </w:rPr>
            </w:pPr>
            <w:r>
              <w:t>★</w:t>
            </w:r>
            <w:r>
              <w:rPr>
                <w:rFonts w:hint="eastAsia" w:ascii="宋体" w:hAnsi="宋体" w:cs="宋体"/>
                <w:b/>
                <w:bCs/>
                <w:kern w:val="0"/>
                <w:lang w:val="en-US" w:eastAsia="zh-CN"/>
              </w:rPr>
              <w:t>2、</w:t>
            </w:r>
            <w:r>
              <w:rPr>
                <w:rFonts w:hint="eastAsia" w:ascii="Calibri" w:hAnsi="Calibri" w:cs="Times New Roman"/>
                <w:b/>
                <w:bCs/>
                <w:highlight w:val="none"/>
              </w:rPr>
              <w:t>应</w:t>
            </w:r>
            <w:r>
              <w:rPr>
                <w:rFonts w:hint="eastAsia" w:cs="Times New Roman"/>
                <w:b/>
                <w:bCs/>
                <w:highlight w:val="none"/>
                <w:lang w:val="en-US" w:eastAsia="zh-CN"/>
              </w:rPr>
              <w:t>提供</w:t>
            </w:r>
            <w:r>
              <w:rPr>
                <w:rFonts w:hint="eastAsia" w:ascii="Calibri" w:hAnsi="Calibri" w:cs="Times New Roman"/>
                <w:b/>
                <w:bCs/>
                <w:highlight w:val="none"/>
              </w:rPr>
              <w:t>具有国家确定的认证机构出具的在有效期内的节能产品认证证书复印件</w:t>
            </w:r>
            <w:r>
              <w:rPr>
                <w:rFonts w:hint="eastAsia" w:ascii="Calibri" w:hAnsi="Calibri" w:cs="Times New Roman"/>
                <w:b/>
                <w:bCs/>
                <w:highlight w:val="none"/>
                <w:lang w:eastAsia="zh-CN"/>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171"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办公桌椅</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办公桌x1：1200*600*1000mm（±5mm）；基材：选用E1级中密度纤维板，甲醛释放量≤0.124mg/m3。面材：采用E1级三聚氰胺板材，耐磨防划涂层，甲醛释放量≤0.124mg/m3；采用全自动封边机经热熔胶PVC封边，厚度：2.0mm；表面无瑕疵，光滑且花纹均匀，不易从四周破损。钢架采用无缝钢管，五金配件,铝合金拉手，两联滑轨，锌合金铰链合页。</w:t>
            </w:r>
          </w:p>
          <w:p>
            <w:pPr>
              <w:widowControl/>
              <w:ind w:firstLine="0" w:firstLineChars="0"/>
              <w:jc w:val="left"/>
              <w:textAlignment w:val="center"/>
              <w:rPr>
                <w:rFonts w:ascii="宋体" w:hAnsi="宋体" w:cs="宋体"/>
              </w:rPr>
            </w:pPr>
            <w:r>
              <w:rPr>
                <w:rFonts w:hint="eastAsia" w:ascii="宋体" w:hAnsi="宋体" w:cs="宋体"/>
                <w:kern w:val="0"/>
              </w:rPr>
              <w:t>2、办公椅x1：640*650*1250mm（±5mm）；材料：选用环保PP材质一体成型，座垫采用高回弹海绵饱满填充；底盘：钢制联动底盘，控制升降，靠背倾仰，符合人体工程力学，脚架：尼龙五星脚架，配尼龙滑轮，椅子可以自由移动。</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08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文件柜</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1600×400×2000mm（±5mm）；基材：选用E1级中密度纤维板，甲醛释放量≤0.124mg/m3；面材：采用三聚氰胺饰面，耐磨防划涂层，甲醛释放量≤0.124mg/m3；采用全自动封边机经热熔胶PVC封边，厚度≥2.0mm；表面无瑕疵，光滑且花纹均匀，不易从四周破损；五金件：五金配件。</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组</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33"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接待咨询区</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沙发茶几组</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1、单人沙发x2，尺寸450x760x750mm（±5mm），实木材质，高弹性海绵填充，交叉椅脚设计；茶几x1，尺寸：600x500mm（±5mm），材质：实木，厚度≥18mm，甲醛释放量≤0.124mg/m3。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35"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饮水机</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1、尺寸：≥389*406*836mm，双出水口，触控式操控，下置水桶，双壶加热，制热温度：40-100℃，出水速度：≥1-2L/分钟，配备304烧水壶x1、玻璃保温壶x1。</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心理治疗区</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箱庭设备</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个体沙箱x2，尺寸：570x720x70mm（±5mm）,团体沙箱x1，尺寸：580x1200x100mm（±5mm），材质：实木。折叠式沙箱腿x3，材质：304不锈钢；高度可调：70~100cm，正好适合于手放置沙具的位置。沙具陈列架x4，尺寸：1500x800x300mm（±5mm）,材质：实木，层数≥6层，可合理放置沙具。</w:t>
            </w:r>
          </w:p>
          <w:p>
            <w:pPr>
              <w:widowControl/>
              <w:ind w:firstLine="0" w:firstLineChars="0"/>
              <w:jc w:val="left"/>
              <w:textAlignment w:val="center"/>
              <w:rPr>
                <w:rFonts w:ascii="宋体" w:hAnsi="宋体" w:cs="宋体"/>
                <w:kern w:val="0"/>
              </w:rPr>
            </w:pPr>
            <w:r>
              <w:rPr>
                <w:rFonts w:hint="eastAsia" w:ascii="宋体" w:hAnsi="宋体" w:cs="宋体"/>
                <w:kern w:val="0"/>
              </w:rPr>
              <w:t>2、配备海沙≥50公斤，80--100#天然黄色细沙、细腻、高温消毒,手握柔软感。</w:t>
            </w:r>
          </w:p>
          <w:p>
            <w:pPr>
              <w:widowControl/>
              <w:ind w:firstLine="0" w:firstLineChars="0"/>
              <w:jc w:val="left"/>
              <w:textAlignment w:val="center"/>
              <w:rPr>
                <w:rFonts w:ascii="宋体" w:hAnsi="宋体" w:cs="宋体"/>
                <w:kern w:val="0"/>
              </w:rPr>
            </w:pPr>
            <w:r>
              <w:rPr>
                <w:rFonts w:hint="eastAsia" w:ascii="宋体" w:hAnsi="宋体" w:cs="宋体"/>
                <w:kern w:val="0"/>
              </w:rPr>
              <w:t>3、配备人物、交通工具、动物、植物、建筑物、食物、家居、家禽等≥18大类，共计≥3000个沙具，材质：树脂、陶瓷、环保塑胶。</w:t>
            </w:r>
          </w:p>
          <w:p>
            <w:pPr>
              <w:widowControl/>
              <w:ind w:firstLine="0" w:firstLineChars="0"/>
              <w:jc w:val="left"/>
              <w:textAlignment w:val="center"/>
              <w:rPr>
                <w:rFonts w:ascii="宋体" w:hAnsi="宋体" w:cs="宋体"/>
              </w:rPr>
            </w:pPr>
            <w:r>
              <w:rPr>
                <w:rFonts w:hint="eastAsia" w:ascii="宋体" w:hAnsi="宋体" w:cs="宋体"/>
                <w:kern w:val="0"/>
              </w:rPr>
              <w:t>4、配备个体/团体箱庭活动记录本、《箱庭疗法》、操作手册等，便于开展沙盘治疗工作。</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爱心拥抱人</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highlight w:val="none"/>
              </w:rPr>
            </w:pPr>
            <w:r>
              <w:rPr>
                <w:highlight w:val="none"/>
              </w:rPr>
              <w:t>★</w:t>
            </w:r>
            <w:r>
              <w:rPr>
                <w:rFonts w:hint="eastAsia" w:ascii="宋体" w:hAnsi="宋体" w:cs="宋体"/>
                <w:kern w:val="0"/>
                <w:highlight w:val="none"/>
              </w:rPr>
              <w:t>1、外形：双脚站立人偶外形；尺寸：总高度≥165cm，胳膊长≥60cm、头部≥55cm，腿长≥65cm、脚部长度≥40cm；软支架结构，海绵填充；可拥抱区域≥100cm*55cm。</w:t>
            </w:r>
            <w:r>
              <w:rPr>
                <w:rFonts w:hint="eastAsia" w:ascii="宋体" w:hAnsi="宋体" w:cs="宋体"/>
                <w:kern w:val="0"/>
                <w:highlight w:val="none"/>
              </w:rPr>
              <w:br w:type="textWrapping"/>
            </w:r>
            <w:r>
              <w:rPr>
                <w:rFonts w:hint="eastAsia" w:ascii="宋体" w:hAnsi="宋体" w:cs="宋体"/>
                <w:kern w:val="0"/>
                <w:highlight w:val="none"/>
              </w:rPr>
              <w:t>2、人偶内部内置高速处理器、压力传感器、喇叭等装置。</w:t>
            </w:r>
          </w:p>
          <w:p>
            <w:pPr>
              <w:widowControl/>
              <w:ind w:firstLine="0" w:firstLineChars="0"/>
              <w:jc w:val="left"/>
              <w:textAlignment w:val="center"/>
              <w:rPr>
                <w:rFonts w:ascii="宋体" w:hAnsi="宋体" w:cs="宋体"/>
                <w:highlight w:val="none"/>
              </w:rPr>
            </w:pPr>
            <w:r>
              <w:rPr>
                <w:rFonts w:hint="eastAsia" w:ascii="宋体" w:hAnsi="宋体" w:cs="宋体"/>
                <w:kern w:val="0"/>
                <w:highlight w:val="none"/>
              </w:rPr>
              <w:t>3、可识别≥50个级别的动态压力水平，捕捉压力变量，转换成语音输出；内置多方位喇叭、≥500条语音反馈。</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63"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音乐放松椅</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6"/>
              </w:numPr>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音乐治疗椅展开尺寸：1960x990x1150mm（±5mm），面料材质：真皮；电动调节，背部：105—170度，腿部：90-170度。</w:t>
            </w:r>
          </w:p>
          <w:p>
            <w:pPr>
              <w:widowControl/>
              <w:numPr>
                <w:ilvl w:val="0"/>
                <w:numId w:val="26"/>
              </w:numPr>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配备音乐治疗系统运行平板：正版操作系统；硬盘：≥1T；≥1个MicroUSB接口；≥1个USB接口≥1个3.0接口；≥1个HDMI高清接口；支持360度重力感应；≥10寸电容全触屏。</w:t>
            </w:r>
          </w:p>
          <w:p>
            <w:pPr>
              <w:widowControl/>
              <w:numPr>
                <w:ilvl w:val="0"/>
                <w:numId w:val="26"/>
              </w:numPr>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双折式平板固定支架x1，支架高度：≥65cm，横向臂总长：≥50cm。配备无线腕表式心率采集器：尺寸：≥55x55mm，显示屏：≥24x12mm，实时监测显示心率、血氧数值及波形；红外指套探头，尺寸:≥45x35mm，监测血氧饱和度和脉率，实时传送并显示。耳机一副。</w:t>
            </w:r>
          </w:p>
          <w:p>
            <w:pPr>
              <w:widowControl/>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4、配备音乐训练放松系统，涵盖学习中心、治疗中心、音乐中心、记录中心四大模块。</w:t>
            </w:r>
          </w:p>
          <w:p>
            <w:pPr>
              <w:widowControl/>
              <w:ind w:firstLine="0" w:firstLineChars="0"/>
              <w:jc w:val="left"/>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5、支持自助式放松训练、意象放松训练、呼吸放松训练、渐进式肌肉放松训练，提供专业真人教学视频。具备音乐功能，内含专业音乐、α波音乐、纯音乐，支持自定义添加音乐。支持针对焦虑、恐怖、情绪低落、抑郁情绪状态提供音乐放松方案，根据实时生理数据进行系统分析，提供最有针对性的放松方案，生成并导出放松报告，给予放松建议。</w:t>
            </w:r>
          </w:p>
          <w:p>
            <w:pPr>
              <w:widowControl/>
              <w:ind w:firstLine="0" w:firstLineChars="0"/>
              <w:jc w:val="left"/>
              <w:textAlignment w:val="center"/>
              <w:rPr>
                <w:rFonts w:ascii="宋体" w:hAnsi="宋体" w:cs="宋体"/>
              </w:rPr>
            </w:pPr>
            <w:r>
              <w:rPr>
                <w:rFonts w:hint="eastAsia" w:asciiTheme="minorEastAsia" w:hAnsiTheme="minorEastAsia" w:eastAsiaTheme="minorEastAsia" w:cstheme="minorEastAsia"/>
              </w:rPr>
              <w:t>6、内含山林幽静、田野夜色、下雨天、小桥流水、海边场景模式，支持自定义添加环境。内置呼吸式放松法、想象式放松法、肌肉式放松等引导语音，支持自定义添加催眠语音以及文字。支持根据治疗日期、用户所属查看治疗情况，内容包括最大血氧、最大脉率、平均血氧、平均脉率、使用的方案等内容</w:t>
            </w:r>
            <w:r>
              <w:rPr>
                <w:rFonts w:hint="eastAsia"/>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58"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情感宣泄区</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智能呐喊宣泄仪</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rPr>
              <w:t>1、呐喊机柜尺寸：2150×850×300mm（±5mm）。机顶外置木质音箱，尺寸：450x150x150mm（±5mm），频率范围：51HZ-19.5KH，灵敏度：87db±2.5db。机柜上下部为彩色渐变的亚克力面板装饰。最大呐喊分贝：≥300分贝；LED灯应≥10级显示。呐喊控制器尺寸：1200×410×410mm（±5mm），材质：环保ABS材料，自带4个≥5cm环保塑胶滚轮，触摸屏尺寸：≥17英寸，正版操作系统。</w:t>
            </w:r>
          </w:p>
          <w:p>
            <w:pPr>
              <w:widowControl/>
              <w:ind w:firstLine="0" w:firstLineChars="0"/>
              <w:jc w:val="left"/>
              <w:textAlignment w:val="center"/>
              <w:rPr>
                <w:rFonts w:ascii="宋体" w:hAnsi="宋体" w:cs="宋体"/>
              </w:rPr>
            </w:pPr>
            <w:r>
              <w:rPr>
                <w:rFonts w:hint="eastAsia" w:ascii="宋体" w:hAnsi="宋体" w:cs="宋体"/>
              </w:rPr>
              <w:t>2、配备数据传输控制盒，内置电路板，支持接收、分析、传输信号数值。支持单次或多次呐喊，呈现呐喊分贝位置及数字；能智能分析宣泄行为，根据不同宣泄的程度进行智能化的正向语音引导、激励。具备人际关系、学习、考试、新环境、婚姻、父母、工作、分离压力模式，配备相匹配的音乐以及正向引导语。具备数字展现、图形变化及光影反馈功能。</w:t>
            </w:r>
          </w:p>
          <w:p>
            <w:pPr>
              <w:widowControl/>
              <w:ind w:firstLine="0" w:firstLineChars="0"/>
              <w:jc w:val="left"/>
              <w:textAlignment w:val="center"/>
              <w:rPr>
                <w:rFonts w:ascii="宋体" w:hAnsi="宋体" w:cs="宋体"/>
              </w:rPr>
            </w:pPr>
            <w:r>
              <w:rPr>
                <w:rFonts w:hint="eastAsia" w:ascii="宋体" w:hAnsi="宋体" w:cs="宋体"/>
              </w:rPr>
              <w:t>3、内含关注感受放松法，意念式呼吸法、按摩式呼吸法等真人放松引导视频。内置儿童心理学、人格心理学等知识内容。</w:t>
            </w:r>
          </w:p>
          <w:p>
            <w:pPr>
              <w:widowControl/>
              <w:ind w:firstLine="0" w:firstLineChars="0"/>
              <w:jc w:val="left"/>
              <w:textAlignment w:val="center"/>
              <w:rPr>
                <w:rFonts w:ascii="宋体" w:hAnsi="宋体" w:cs="宋体"/>
              </w:rPr>
            </w:pPr>
            <w:r>
              <w:rPr>
                <w:rFonts w:hint="eastAsia" w:ascii="宋体" w:hAnsi="宋体" w:cs="宋体"/>
              </w:rPr>
              <w:t>4、支持系统自动生成宣泄报告，可查看、导出测试信息。具有智能评价功能，针对性的生成评语及建议。具备用户账号管理、修改功能；支持对系统内的组织架构进行保存、新增、删除等操作。</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宣泄器材套装</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rPr>
              <w:t>1、宣泄人2个，仿真人形，宣泄主体+固定底座。内层：回弹材料填充，外层：高密度环保PU；抗击打，耐变形；底座充水或充沙。宣泄人高度：≥170cm，外套材质：三层复合布，耐磨、弹性好、耐击打。颜色自选。宣泄人胳膊长度：≥121cm；底座高度：≥170cm，直径：≥155cm，锥形体。</w:t>
            </w:r>
          </w:p>
          <w:p>
            <w:pPr>
              <w:widowControl/>
              <w:ind w:firstLine="0" w:firstLineChars="0"/>
              <w:jc w:val="left"/>
              <w:textAlignment w:val="center"/>
              <w:rPr>
                <w:rFonts w:ascii="宋体" w:hAnsi="宋体" w:cs="宋体"/>
              </w:rPr>
            </w:pPr>
            <w:r>
              <w:rPr>
                <w:rFonts w:hint="eastAsia" w:ascii="宋体" w:hAnsi="宋体" w:cs="宋体"/>
              </w:rPr>
              <w:t>2、配备不同性别、不同表情宣泄人头套4个；宣泄棒2根，长度不少于65cm，弹性好，带保护性外套；立式宣泄球2套，立式不倒，外层材料：仿皮，高度可调节；护手套2副：环保材料；宣泄挂图4幅（≥150*50cm，写真板材质）；储物凳1个，颜色自选，存放头套及护手套等配套器材。</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05"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鞋柜</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1、规格：1200x300x600mm（±5mm），颜色自选，材质：实木多层板，厚度≥20mm；坐垫：加厚PU材质软包，内里高回弹性海绵填充，厚度≥50mm，甲醛释放量≤0.124mg/m3。</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宣泄区地垫</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1、长宽现场定制。材质：环保EVA材质，厚度≥25mm，颜色自选。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30</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m2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71" w:hRule="atLeast"/>
        </w:trPr>
        <w:tc>
          <w:tcPr>
            <w:tcW w:w="6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5"/>
              </w:numPr>
              <w:ind w:firstLine="480"/>
              <w:jc w:val="center"/>
              <w:textAlignment w:val="center"/>
              <w:rPr>
                <w:rFonts w:ascii="宋体" w:hAnsi="宋体" w:cs="宋体"/>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软包宣泄墙垫</w:t>
            </w:r>
          </w:p>
        </w:tc>
        <w:tc>
          <w:tcPr>
            <w:tcW w:w="72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1、宽度现场定制。材质：木工板+高密度海绵填充皮革包边，木工板厚度：≥12mm，整体厚度：≥50mm；整体高度：≥2.2m，颜色自选。</w:t>
            </w:r>
          </w:p>
        </w:tc>
        <w:tc>
          <w:tcPr>
            <w:tcW w:w="5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50</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m2</w:t>
            </w:r>
          </w:p>
        </w:tc>
        <w:tc>
          <w:tcPr>
            <w:tcW w:w="1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232"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rPr>
              <w:t>小计</w:t>
            </w:r>
          </w:p>
        </w:tc>
        <w:tc>
          <w:tcPr>
            <w:tcW w:w="11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bl>
    <w:p>
      <w:pPr>
        <w:ind w:firstLine="480"/>
      </w:pPr>
      <w:r>
        <w:rPr>
          <w:rFonts w:hint="eastAsia"/>
        </w:rPr>
        <w:br w:type="page"/>
      </w:r>
    </w:p>
    <w:p>
      <w:pPr>
        <w:pStyle w:val="6"/>
        <w:numPr>
          <w:ilvl w:val="2"/>
          <w:numId w:val="0"/>
        </w:numPr>
        <w:ind w:leftChars="0"/>
      </w:pPr>
      <w:bookmarkStart w:id="387" w:name="_Toc10876"/>
      <w:bookmarkStart w:id="388" w:name="_Toc23729"/>
      <w:bookmarkStart w:id="389" w:name="_Toc20426"/>
      <w:r>
        <w:t>2</w:t>
      </w:r>
      <w:r>
        <w:rPr>
          <w:rFonts w:hint="eastAsia"/>
        </w:rPr>
        <w:t>.</w:t>
      </w:r>
      <w:r>
        <w:t>6</w:t>
      </w:r>
      <w:r>
        <w:rPr>
          <w:rFonts w:hint="eastAsia"/>
        </w:rPr>
        <w:t>.</w:t>
      </w:r>
      <w:r>
        <w:t>4</w:t>
      </w:r>
      <w:r>
        <w:rPr>
          <w:rFonts w:hint="eastAsia"/>
        </w:rPr>
        <w:t xml:space="preserve"> 艺术治疗室设备清单</w:t>
      </w:r>
      <w:bookmarkEnd w:id="387"/>
      <w:bookmarkEnd w:id="388"/>
      <w:bookmarkEnd w:id="389"/>
    </w:p>
    <w:tbl>
      <w:tblPr>
        <w:tblStyle w:val="17"/>
        <w:tblpPr w:leftFromText="180" w:rightFromText="180" w:vertAnchor="text" w:horzAnchor="page" w:tblpX="1649" w:tblpY="526"/>
        <w:tblOverlap w:val="never"/>
        <w:tblW w:w="13445" w:type="dxa"/>
        <w:tblInd w:w="0" w:type="dxa"/>
        <w:tblLayout w:type="fixed"/>
        <w:tblCellMar>
          <w:top w:w="0" w:type="dxa"/>
          <w:left w:w="0" w:type="dxa"/>
          <w:bottom w:w="0" w:type="dxa"/>
          <w:right w:w="0" w:type="dxa"/>
        </w:tblCellMar>
      </w:tblPr>
      <w:tblGrid>
        <w:gridCol w:w="668"/>
        <w:gridCol w:w="941"/>
        <w:gridCol w:w="1012"/>
        <w:gridCol w:w="7484"/>
        <w:gridCol w:w="545"/>
        <w:gridCol w:w="586"/>
        <w:gridCol w:w="996"/>
        <w:gridCol w:w="1213"/>
      </w:tblGrid>
      <w:tr>
        <w:tblPrEx>
          <w:tblCellMar>
            <w:top w:w="0" w:type="dxa"/>
            <w:left w:w="0" w:type="dxa"/>
            <w:bottom w:w="0" w:type="dxa"/>
            <w:right w:w="0" w:type="dxa"/>
          </w:tblCellMar>
        </w:tblPrEx>
        <w:trPr>
          <w:trHeight w:val="285" w:hRule="atLeast"/>
        </w:trPr>
        <w:tc>
          <w:tcPr>
            <w:tcW w:w="13445"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rPr>
              <w:t>特奥运动设备清单</w:t>
            </w:r>
          </w:p>
        </w:tc>
      </w:tr>
      <w:tr>
        <w:tblPrEx>
          <w:tblCellMar>
            <w:top w:w="0" w:type="dxa"/>
            <w:left w:w="0" w:type="dxa"/>
            <w:bottom w:w="0" w:type="dxa"/>
            <w:right w:w="0" w:type="dxa"/>
          </w:tblCellMar>
        </w:tblPrEx>
        <w:trPr>
          <w:trHeight w:val="85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9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地滚球训练区</w:t>
            </w: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硬地滚球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1、275g蓝色球6个，275g红色球6个，275g白色目标球1个，圆周长：270mm（±5mm），材质：合成皮革制成。</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2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地滚球辅助器材</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1、4块木质轨道，可拆卸、组装成不同高度，材质：实木+不锈钢支架，功能：辅助投掷硬地滚球。</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地滚球赛道</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1、专业胶带画线，根据实际场地面积设计。每个赛道宽≥1米，总宽度≥6m，长度：≥12.5m，共≥6个赛道。</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9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裁判器材</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1、记分牌、计时器、卷尺、角尺、裁判用红蓝牌、笔记本等。</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8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曲棍球训练区</w:t>
            </w: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曲棍球棒</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1、12支/套，尺寸：850mm（±5mm），材质：PP、塑料、EVA。</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96"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曲棍球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1、6只/套，直径：100mm（±5mm）；重量：36g/只（±5mg），材质：PVC。</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92"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曲棍球门</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1、尺寸：1400×1200×60mm（±5mm）；材质：PVC+尼龙网，可移动式。</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曲棍球赛道</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1、根据学校实际场地设计。尺寸：≥4000x2000mm，标志线宽：≥50mm。　</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9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轮滑鞋</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1、码数：35-45码可调节，刀架一体，刀架：铝合金，内胆可拆卸，材质：透气网布+海绵+环保皮料，外壳材质：环保塑料。</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双</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0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百变飞环</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1、尺寸：270mm（±5mm）；材质：发泡，功能：训练听力和眼睛跟踪力，培养方向感。</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三叶飞镖</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1、尺寸：280mm（±5mm）；材质：发泡；呈三角形的飞盘，软质安全。</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1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火箭投掷组</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1、尺寸：880mm（±5mm）；材质：泡沫；重量：85g。</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支</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火箭标枪</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1、盘尺寸：225mm（±5mm）；火箭飞镖：240×45mm（±5mm）；材质：塑料+发泡；≥2块三角形目标靶，≥1只泡沫吸盘飞镖球。</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彩带飞盘组</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1、6只/套，尺寸：200mm（±5mm）；彩色丝带长：1100mm（±5mm），颜色自选，材质：绒布+丝带。</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2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飞镖游戏组</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1、图案挂布：500×400mm（±5mm）；魔术贴飞镖2只：125×15mm（±5mm）；材质：发泡，带吸盘、挂钩。</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7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接接淘淘</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1、6只/套，尺寸：190mm（±5mm）；材质：塑料(聚氯乙烯)。</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76"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捕捉球手套</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1、毛毡网球、五指状手套，掌心带有魔术贴，尺寸：230×180mm（±5mm），材质：尼龙纤维。</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0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柠檬跳跳球进阶款</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1、6只/套，环：160mm（±5mm），绳长：420mm（±5mm），球：70mm（±5mm），材质：塑料。</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0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三明治网布橄榄球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1、尺寸：210×130mm（±5mm），材质：三层网布+PVC充气胆，双色拼接。</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5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虎鲸足球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1、尺寸：200mm（±5mm）；材质：PU发泡。</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21"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5寸躲避球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1、6只/套，尺寸：125mm（±5mm），材质：PU发泡。</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51"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少儿排球-红/黄</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1、尺寸：200mm（±5mm），材质：软质PVC。</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1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彩虹篮球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1、6只/套，尺寸：210mm（±5mm），材质：橡胶。</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5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彩虹羽毛球组</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1、6只羽毛球+6只羽毛球拍/套，尺寸：670×200mm（±5mm），手柄直径30mm（±5mm），材质：塑料，球拍一体成型。</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9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儿童多功能板拍</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1、6只/套，尺寸：345×175mm（±5mm），重量：≥200g/只，材质：PVC，一体成型带小气孔。</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8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软式棍球棒</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1、尺寸：800mm（±5mm），材质：泡棉塑料。</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对</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田径类</w:t>
            </w: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可调节跳高架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1、标志桶2只，高：520mm（±5mm）；横杆2根，长：1500mm（±5mm）；材质：塑料；刻度调节器2只，调节器每5cm为一个高度。</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6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跑跳障碍套装</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1、底单：1200×6350mm（±5mm），含两条黑色魔术粘，跳台：800×400×300mm（±5mm），跳条10根，尺寸：800×100×150mm（±5mm），材质：PVC+EPE+泡沫+PU。</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2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趣味器材类</w:t>
            </w: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大号速叠杯</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1、6只/套，尺寸：205×215mm（±5mm），材质：塑料。</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6"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长杆高跷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1、2只/套，底座高：900mm（±5mm），杆高：160mm，材质：泡沫底座+塑料杆。</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6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手掌标志盘</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1、12只/套，尺寸：200×200mm（±5mm），材质：聚氯乙烯塑料，颜色自选。</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6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脚掌标志盘</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1、12只/套，尺寸：230×90mm（±5mm），材质：聚氯乙烯塑料，颜色自选。</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6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双人齐步走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1、尺寸：760×150mm（±5mm），材质：EVA。</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4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三人齐步走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1、尺寸：1120×150mm（±5mm），材质：EVA。</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1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PU小骰子</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1、6只/套，尺寸：80mm（±5mm），材质：PU。</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20" w:hRule="atLeast"/>
        </w:trPr>
        <w:tc>
          <w:tcPr>
            <w:tcW w:w="12232"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20" w:hRule="atLeast"/>
        </w:trPr>
        <w:tc>
          <w:tcPr>
            <w:tcW w:w="13445"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b/>
                <w:kern w:val="0"/>
                <w:lang w:val="en-US" w:eastAsia="zh-CN"/>
              </w:rPr>
              <w:t>奥尔夫音乐区</w:t>
            </w:r>
            <w:r>
              <w:rPr>
                <w:rFonts w:hint="eastAsia" w:ascii="宋体" w:hAnsi="宋体" w:cs="宋体"/>
                <w:b/>
                <w:kern w:val="0"/>
              </w:rPr>
              <w:t>设备清单</w:t>
            </w:r>
          </w:p>
        </w:tc>
      </w:tr>
      <w:tr>
        <w:tblPrEx>
          <w:tblCellMar>
            <w:top w:w="0" w:type="dxa"/>
            <w:left w:w="0" w:type="dxa"/>
            <w:bottom w:w="0" w:type="dxa"/>
            <w:right w:w="0" w:type="dxa"/>
          </w:tblCellMar>
        </w:tblPrEx>
        <w:trPr>
          <w:trHeight w:val="85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56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奥尔夫音乐（136件）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b/>
                <w:bCs/>
                <w:kern w:val="0"/>
              </w:rPr>
              <w:t>1、皮质类：</w:t>
            </w:r>
            <w:r>
              <w:rPr>
                <w:rFonts w:hint="eastAsia" w:ascii="宋体" w:hAnsi="宋体" w:cs="宋体"/>
                <w:kern w:val="0"/>
              </w:rPr>
              <w:t>10寸非洲鼓带包2个，邦戈鼓2个，花邦戈1个，花地鼓1个，小康佳鼓1个，6寸手鼓1个，8寸手鼓1个，10寸手鼓1个，12寸手鼓1个 ，6寸4铃鼓1个，一个打槌1个，8寸6铃鼓1个，10寸8铃鼓1个，材质：实木\羊皮\金属边框\纤维鼓面\金属铃片。</w:t>
            </w:r>
          </w:p>
          <w:p>
            <w:pPr>
              <w:widowControl/>
              <w:ind w:firstLine="0" w:firstLineChars="0"/>
              <w:jc w:val="left"/>
              <w:textAlignment w:val="center"/>
              <w:rPr>
                <w:rFonts w:ascii="宋体" w:hAnsi="宋体" w:cs="宋体"/>
                <w:kern w:val="0"/>
              </w:rPr>
            </w:pPr>
            <w:r>
              <w:rPr>
                <w:rFonts w:hint="eastAsia" w:ascii="宋体" w:hAnsi="宋体" w:cs="宋体"/>
                <w:b/>
                <w:bCs/>
                <w:kern w:val="0"/>
              </w:rPr>
              <w:t>2、木质类：</w:t>
            </w:r>
            <w:r>
              <w:rPr>
                <w:rFonts w:hint="eastAsia" w:ascii="宋体" w:hAnsi="宋体" w:cs="宋体"/>
                <w:kern w:val="0"/>
              </w:rPr>
              <w:t>圆舞板10个，双响筒5副，螺纹单响筒5副，130×20mm打棒5对，175×25mm打棒5对，材质：实木。</w:t>
            </w:r>
          </w:p>
          <w:p>
            <w:pPr>
              <w:widowControl/>
              <w:ind w:firstLine="0" w:firstLineChars="0"/>
              <w:jc w:val="left"/>
              <w:textAlignment w:val="center"/>
              <w:rPr>
                <w:rFonts w:ascii="宋体" w:hAnsi="宋体" w:cs="宋体"/>
                <w:kern w:val="0"/>
              </w:rPr>
            </w:pPr>
            <w:r>
              <w:rPr>
                <w:rFonts w:hint="eastAsia" w:ascii="宋体" w:hAnsi="宋体" w:cs="宋体"/>
                <w:b/>
                <w:bCs/>
                <w:kern w:val="0"/>
              </w:rPr>
              <w:t>3、散响类：</w:t>
            </w:r>
            <w:r>
              <w:rPr>
                <w:rFonts w:hint="eastAsia" w:ascii="宋体" w:hAnsi="宋体" w:cs="宋体"/>
                <w:kern w:val="0"/>
              </w:rPr>
              <w:t>250×75mm砂球4个,160×60mm红色青蛙砂球2对，205×70mm红色塑料砂球2对，215×80mm黄塑料砂球2对，130×40mm鸡蛋砂锤2对，55×40mm塑料砂蛋10对，160×50mm迷你13铃彩色棒铃5个，150×100mm5铃手铃1个，195×110mm10铃手铃1个，，230×25mm四铃腕铃10个,105×80×45mm串铃10个，4寸3铃圈1个，6寸4铃圈1个，8寸6铃圈1个，10寸8铃圈1个，材质：实木\环保塑料\金属铃片。</w:t>
            </w:r>
          </w:p>
          <w:p>
            <w:pPr>
              <w:widowControl/>
              <w:ind w:firstLine="0" w:firstLineChars="0"/>
              <w:jc w:val="left"/>
              <w:textAlignment w:val="center"/>
              <w:rPr>
                <w:rFonts w:ascii="宋体" w:hAnsi="宋体" w:cs="宋体"/>
                <w:kern w:val="0"/>
              </w:rPr>
            </w:pPr>
            <w:r>
              <w:rPr>
                <w:rFonts w:hint="eastAsia" w:ascii="宋体" w:hAnsi="宋体" w:cs="宋体"/>
                <w:b/>
                <w:bCs/>
                <w:kern w:val="0"/>
              </w:rPr>
              <w:t>4、金属类：</w:t>
            </w:r>
            <w:r>
              <w:rPr>
                <w:rFonts w:hint="eastAsia" w:ascii="宋体" w:hAnsi="宋体" w:cs="宋体"/>
                <w:kern w:val="0"/>
              </w:rPr>
              <w:t>50x200mm银色金属砂筒2个，35x180mm小号金属碰钟2对，4寸专业三角铁1副，5寸专业三角铁1副，6寸专业三角铁1副，金属棒3根，材质：金属。</w:t>
            </w:r>
          </w:p>
          <w:p>
            <w:pPr>
              <w:widowControl/>
              <w:ind w:firstLine="0" w:firstLineChars="0"/>
              <w:jc w:val="left"/>
              <w:textAlignment w:val="center"/>
              <w:rPr>
                <w:rFonts w:ascii="宋体" w:hAnsi="宋体" w:cs="宋体"/>
              </w:rPr>
            </w:pPr>
            <w:r>
              <w:rPr>
                <w:rFonts w:hint="eastAsia" w:ascii="宋体" w:hAnsi="宋体" w:cs="宋体"/>
                <w:b/>
                <w:bCs/>
                <w:kern w:val="0"/>
              </w:rPr>
              <w:t>5、音响类：</w:t>
            </w:r>
            <w:r>
              <w:rPr>
                <w:rFonts w:hint="eastAsia" w:ascii="宋体" w:hAnsi="宋体" w:cs="宋体"/>
                <w:kern w:val="0"/>
              </w:rPr>
              <w:t>350x45mm海鼓2个，350x50mm木质雨声1个，70x305mm鱼蛙1个，80x380mm鱼蛙1个，210mm火车哨5个，专业木键高音打琴2个，700x700x300mm乐器架12个，材质：实木\瓦楞纸。</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12"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教具柜</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1、尺寸：1000×300×750mm(±5mm)，带背板，材质：实木，板材厚度≥18mm，油漆：采用水性环保油漆，甲醛释放量≤0.124mg/m3。  </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4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音乐凳</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1、尺寸：400×300×250mm（±5mm）；凳面：E1三聚氰胺中纤板，厚度≥16mm，凳面颜色为6色混搭，镀锌龙骨：20×20mm（±5mm），凳面切边：≤1.0mm，铝合金包边，配ABS环保工程塑料固定垫。</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隔断</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1、双面隔断，尺寸：8400x3800mm，材质：木工板+石膏板，木工板厚度≥15mm，石膏板厚度：≥18mm，隔断整体厚度≥10cm，环保乳胶漆≥2遍饰面，甲醛释放量≤0.124mg/m3。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232"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3445"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b/>
                <w:kern w:val="0"/>
                <w:lang w:val="en-US" w:eastAsia="zh-CN"/>
              </w:rPr>
              <w:t>律动舞蹈区</w:t>
            </w:r>
            <w:r>
              <w:rPr>
                <w:rFonts w:hint="eastAsia" w:ascii="宋体" w:hAnsi="宋体" w:cs="宋体"/>
                <w:b/>
                <w:kern w:val="0"/>
              </w:rPr>
              <w:t>设备清单</w:t>
            </w:r>
          </w:p>
        </w:tc>
      </w:tr>
      <w:tr>
        <w:tblPrEx>
          <w:tblCellMar>
            <w:top w:w="0" w:type="dxa"/>
            <w:left w:w="0" w:type="dxa"/>
            <w:bottom w:w="0" w:type="dxa"/>
            <w:right w:w="0" w:type="dxa"/>
          </w:tblCellMar>
        </w:tblPrEx>
        <w:trPr>
          <w:trHeight w:val="85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46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触控一体机</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1、屏幕：≥75英寸UHD超高清LED 液晶屏，A规屏，显示比例16:9，屏幕图像分辨率≥3840*2160，可视角度≥178°，亮度：≥500cd/cm2，屏幕色域值≥NTSC 90%，钢化玻璃厚度≤3mm，钢化玻璃表面硬度≥9H；蓝光加权辐射亮度LB限值范围≤0.55。</w:t>
            </w:r>
            <w:r>
              <w:rPr>
                <w:rFonts w:hint="eastAsia" w:ascii="宋体" w:hAnsi="宋体" w:cs="宋体"/>
                <w:kern w:val="0"/>
                <w:highlight w:val="none"/>
              </w:rPr>
              <w:br w:type="textWrapping"/>
            </w:r>
            <w:r>
              <w:rPr>
                <w:rFonts w:hint="eastAsia" w:ascii="宋体" w:hAnsi="宋体" w:cs="宋体"/>
                <w:kern w:val="0"/>
                <w:highlight w:val="none"/>
              </w:rPr>
              <w:t>2、外置2.1声道扬声器，额定总功率≥50W；全金属外壳设计，边角采用弧形设计，表面无尖锐边缘或凸起，外部无任何可见内部功能模块连接线。配套具有正版授权的备授课教学软件，软件免费定期年度更新。配套与教育部现行教学大纲相配套的资源库。</w:t>
            </w:r>
            <w:r>
              <w:rPr>
                <w:rFonts w:hint="eastAsia" w:ascii="宋体" w:hAnsi="宋体" w:cs="宋体"/>
                <w:kern w:val="0"/>
                <w:highlight w:val="none"/>
              </w:rPr>
              <w:br w:type="textWrapping"/>
            </w:r>
            <w:r>
              <w:rPr>
                <w:highlight w:val="none"/>
              </w:rPr>
              <w:t>★</w:t>
            </w:r>
            <w:r>
              <w:rPr>
                <w:rFonts w:hint="eastAsia" w:ascii="宋体" w:hAnsi="宋体" w:cs="宋体"/>
                <w:kern w:val="0"/>
                <w:highlight w:val="none"/>
              </w:rPr>
              <w:t>3、配置实物展台，像素≥800万；处理器≥i5等主流芯片，内存≥4G，硬盘≥128G固态；配备无线鼠标、键盘，预装正版操作系统。</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82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钢琴</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外观尺寸：≥1500x600x1210mm；不含脚轮高度：≥1170mm。内置隐藏式缓降器。静音脚轮；≥五根实木背柱；背柱截面尺寸：≥80x70mm。五金件：非铜质合金类金属。声学品质：标准音a1：444-446Hz；音准稳定性（c1-b1）：≤3音分。</w:t>
            </w:r>
          </w:p>
          <w:p>
            <w:pPr>
              <w:widowControl/>
              <w:numPr>
                <w:ilvl w:val="0"/>
                <w:numId w:val="0"/>
              </w:numPr>
              <w:ind w:leftChars="0"/>
              <w:jc w:val="left"/>
              <w:textAlignment w:val="center"/>
              <w:rPr>
                <w:rFonts w:hint="eastAsia" w:ascii="宋体" w:hAnsi="宋体" w:cs="宋体"/>
                <w:kern w:val="0"/>
              </w:rPr>
            </w:pPr>
            <w:r>
              <w:rPr>
                <w:rFonts w:hint="eastAsia" w:cs="宋体"/>
                <w:kern w:val="0"/>
                <w:lang w:val="en-US" w:eastAsia="zh-CN"/>
              </w:rPr>
              <w:t>2、</w:t>
            </w:r>
            <w:r>
              <w:rPr>
                <w:rFonts w:hint="eastAsia" w:ascii="宋体" w:hAnsi="宋体" w:cs="宋体"/>
                <w:kern w:val="0"/>
              </w:rPr>
              <w:t>键盘数：88键，键盘：鱼鳞松，键板；亚光防滑黑键，八度音程白键宽度：164-166mm；白键前端长度：50-52mm。翻砂铸铁板，铁板高度：≥1115mm。</w:t>
            </w:r>
          </w:p>
          <w:p>
            <w:pPr>
              <w:widowControl/>
              <w:numPr>
                <w:ilvl w:val="0"/>
                <w:numId w:val="24"/>
              </w:numPr>
              <w:ind w:left="0" w:leftChars="0" w:firstLine="0" w:firstLineChars="0"/>
              <w:jc w:val="left"/>
              <w:textAlignment w:val="center"/>
              <w:rPr>
                <w:rFonts w:ascii="宋体" w:hAnsi="宋体" w:cs="宋体"/>
                <w:kern w:val="0"/>
              </w:rPr>
            </w:pPr>
            <w:r>
              <w:rPr>
                <w:rFonts w:hint="eastAsia" w:ascii="宋体" w:hAnsi="宋体" w:cs="宋体"/>
                <w:kern w:val="0"/>
              </w:rPr>
              <w:t>音板：鱼鳞松；肋木数量：≥11根。弦码：榉木多层板；弦轴板：多层榉木；弦槌：羊毛毡，弦槌木芯：鹅耳枥木。中盘材质：实木，不加装除螺丝外的金属加固或金属链接结构。</w:t>
            </w:r>
          </w:p>
          <w:p>
            <w:pPr>
              <w:widowControl/>
              <w:ind w:firstLine="0" w:firstLineChars="0"/>
              <w:jc w:val="left"/>
              <w:textAlignment w:val="center"/>
              <w:rPr>
                <w:rFonts w:ascii="宋体" w:hAnsi="宋体" w:cs="宋体"/>
                <w:kern w:val="0"/>
              </w:rPr>
            </w:pPr>
            <w:r>
              <w:rPr>
                <w:rFonts w:hint="eastAsia" w:ascii="宋体" w:hAnsi="宋体" w:cs="宋体"/>
                <w:kern w:val="0"/>
              </w:rPr>
              <w:t>▲</w:t>
            </w:r>
            <w:r>
              <w:rPr>
                <w:rFonts w:hint="eastAsia" w:cs="宋体"/>
                <w:kern w:val="0"/>
                <w:lang w:val="en-US" w:eastAsia="zh-CN"/>
              </w:rPr>
              <w:t>4、</w:t>
            </w:r>
            <w:r>
              <w:rPr>
                <w:rFonts w:hint="eastAsia" w:ascii="宋体" w:hAnsi="宋体" w:cs="宋体"/>
                <w:kern w:val="0"/>
              </w:rPr>
              <w:t>琴弦：圆形弦；镀锡防锈钢线；1#音有效弦长：≥119cm，30#音有效弦长：≥94cm。</w:t>
            </w:r>
          </w:p>
          <w:p>
            <w:pPr>
              <w:widowControl/>
              <w:ind w:firstLine="0" w:firstLineChars="0"/>
              <w:jc w:val="left"/>
              <w:textAlignment w:val="center"/>
              <w:rPr>
                <w:rFonts w:ascii="宋体" w:hAnsi="宋体" w:cs="宋体"/>
                <w:kern w:val="0"/>
              </w:rPr>
            </w:pPr>
            <w:r>
              <w:rPr>
                <w:rFonts w:hint="eastAsia" w:ascii="宋体" w:hAnsi="宋体" w:cs="宋体"/>
                <w:kern w:val="0"/>
              </w:rPr>
              <w:t>▲</w:t>
            </w:r>
            <w:r>
              <w:rPr>
                <w:rFonts w:hint="eastAsia" w:cs="宋体"/>
                <w:kern w:val="0"/>
                <w:lang w:val="en-US" w:eastAsia="zh-CN"/>
              </w:rPr>
              <w:t>5、</w:t>
            </w:r>
            <w:r>
              <w:rPr>
                <w:rFonts w:hint="eastAsia" w:ascii="宋体" w:hAnsi="宋体" w:cs="宋体"/>
                <w:kern w:val="0"/>
              </w:rPr>
              <w:t>击弦系统：转击器、联动杆、制音杆，材质：鹅耳枥木；音头钮、顶杆材质：ABS；调节档材质：实木，无金属包裹。演奏性能：琴键下降负荷:0.50-0.70N；琴键回升负荷:0.20-0.30N。</w:t>
            </w:r>
          </w:p>
          <w:p>
            <w:pPr>
              <w:widowControl/>
              <w:ind w:firstLine="0" w:firstLineChars="0"/>
              <w:jc w:val="left"/>
              <w:textAlignment w:val="center"/>
              <w:rPr>
                <w:rFonts w:ascii="宋体" w:hAnsi="宋体" w:cs="宋体"/>
              </w:rPr>
            </w:pPr>
            <w:r>
              <w:rPr>
                <w:rFonts w:hint="eastAsia" w:ascii="宋体" w:hAnsi="宋体" w:cs="宋体"/>
                <w:b/>
                <w:bCs/>
              </w:rPr>
              <w:t>（说明：带“▲”条款需提供</w:t>
            </w:r>
            <w:r>
              <w:rPr>
                <w:rFonts w:hint="eastAsia" w:ascii="宋体" w:hAnsi="宋体" w:cs="宋体"/>
                <w:b/>
                <w:bCs/>
                <w:lang w:eastAsia="zh-CN"/>
              </w:rPr>
              <w:t>第三方法定检测</w:t>
            </w:r>
            <w:r>
              <w:rPr>
                <w:rFonts w:hint="eastAsia" w:ascii="宋体" w:hAnsi="宋体" w:cs="宋体"/>
                <w:b/>
                <w:bCs/>
              </w:rPr>
              <w:t>机构出具的检测报告复印件，并加盖供应商鲜章）</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0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音乐魔方</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255"/>
                <w:numId w:val="0"/>
              </w:numPr>
              <w:jc w:val="left"/>
              <w:textAlignment w:val="center"/>
              <w:rPr>
                <w:rFonts w:ascii="宋体" w:hAnsi="宋体" w:cs="宋体"/>
                <w:kern w:val="0"/>
              </w:rPr>
            </w:pPr>
            <w:r>
              <w:rPr>
                <w:rFonts w:hint="eastAsia" w:ascii="宋体" w:hAnsi="宋体" w:cs="宋体"/>
                <w:kern w:val="0"/>
              </w:rPr>
              <w:t>1、尺寸：420×420×420mm（±5mm），可视屏幕≥2.5寸，≥2个喇叭单元，12V一体变压电源，触摸式开/关机开关，全触控操作区防水，可视遥控器，运行噪音≤35分贝，绝缘接地。外观整洁、无划痕、磨损、凹陷、裂缝、变形、毛刺等缺陷，表面涂层无气泡、龟裂、脱落。7个基本音级，21个音级。</w:t>
            </w:r>
          </w:p>
          <w:p>
            <w:pPr>
              <w:widowControl/>
              <w:numPr>
                <w:ilvl w:val="255"/>
                <w:numId w:val="0"/>
              </w:numPr>
              <w:jc w:val="left"/>
              <w:textAlignment w:val="center"/>
              <w:rPr>
                <w:rFonts w:ascii="宋体" w:hAnsi="宋体" w:cs="宋体"/>
                <w:kern w:val="0"/>
              </w:rPr>
            </w:pPr>
            <w:r>
              <w:rPr>
                <w:rFonts w:hint="eastAsia" w:ascii="宋体" w:hAnsi="宋体" w:cs="宋体"/>
                <w:kern w:val="0"/>
              </w:rPr>
              <w:t>▲2、支持蓝牙、音频播放、音频输出功能。支持人体杂波发声功能。支持双手触摸发声和人体皮肤接触传导发声。具备≥15种乐器音色与音阶、≥3种打击乐器音色，音阶演奏功能。无线踏板，踏板使用寿命≥5万次。支持三个八度演奏。</w:t>
            </w:r>
          </w:p>
          <w:p>
            <w:pPr>
              <w:widowControl/>
              <w:numPr>
                <w:ilvl w:val="255"/>
                <w:numId w:val="0"/>
              </w:numPr>
              <w:jc w:val="left"/>
              <w:textAlignment w:val="center"/>
              <w:rPr>
                <w:rFonts w:ascii="宋体" w:hAnsi="宋体" w:cs="宋体"/>
                <w:kern w:val="0"/>
              </w:rPr>
            </w:pPr>
            <w:r>
              <w:rPr>
                <w:rFonts w:hint="eastAsia" w:ascii="宋体" w:hAnsi="宋体" w:cs="宋体"/>
                <w:kern w:val="0"/>
              </w:rPr>
              <w:t>▲3、具备记忆回放功能，回放记录≥250个音符。支持演奏持续发音，发音乐器≥10种。具备不间断延音效果。支持演奏模式、教学模式、体验模式三种训练模式。</w:t>
            </w:r>
          </w:p>
          <w:p>
            <w:pPr>
              <w:widowControl/>
              <w:numPr>
                <w:ilvl w:val="255"/>
                <w:numId w:val="0"/>
              </w:numPr>
              <w:jc w:val="left"/>
              <w:textAlignment w:val="center"/>
              <w:rPr>
                <w:rFonts w:ascii="宋体" w:hAnsi="宋体" w:cs="宋体"/>
              </w:rPr>
            </w:pPr>
            <w:r>
              <w:rPr>
                <w:rFonts w:hint="eastAsia" w:ascii="宋体" w:hAnsi="宋体" w:cs="宋体"/>
                <w:b/>
                <w:bCs/>
                <w:kern w:val="0"/>
              </w:rPr>
              <w:t>（说明：带“▲”条款需提供</w:t>
            </w:r>
            <w:r>
              <w:rPr>
                <w:rFonts w:hint="eastAsia" w:ascii="宋体" w:hAnsi="宋体" w:cs="宋体"/>
                <w:b/>
                <w:bCs/>
                <w:kern w:val="0"/>
                <w:lang w:eastAsia="zh-CN"/>
              </w:rPr>
              <w:t>第三方法定检测</w:t>
            </w:r>
            <w:r>
              <w:rPr>
                <w:rFonts w:hint="eastAsia" w:ascii="宋体" w:hAnsi="宋体" w:cs="宋体"/>
                <w:b/>
                <w:bCs/>
                <w:kern w:val="0"/>
              </w:rPr>
              <w:t>机构出具的检测报告复印件，并加盖供应商鲜章）</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7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瑜伽垫</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1、尺寸：1850×800mm（±5mm）；厚度≥15mm，材质：高密度丁腈橡胶，带绑带。</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5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瑜伽球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1、直径：550mm（±5mm），适合150~160cm身高使用，颜色自选，均匀释压，不变形，加厚壁，磨砂耐磨。</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6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瑜伽收纳架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1、尺寸：800×500×700mm（±5mm），材质：铁。</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9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合唱台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三层组合拼接式，总长≥1.2m，每层板宽≥600mm，高≥300mm，总高度≥900mm，材质：橡胶实木，厚度≥50mm，内置钢架龙骨，厚度≥1.2mm，环保油漆，组件与组件之间有卡扣，颜色自选，合唱台稳固、不晃动、无噪音。</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0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把杆</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1、1个把杆长≥2.5m，材质：水曲柳木+弹簧钢，带80-120cm（±5mm）高度可调节不锈钢支架底座，直径≥35cm，重量≥25kg。</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0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鞋柜</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1、规格：1200x300x600mm（±5mm），颜色自选，材质：实木多层板，厚度≥20mm；坐垫：加厚PU材质软包，内里高回弹性海绵填充，厚度≥50mm，甲醛释放量≤0.124mg/m3。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7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数字音频功放</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rPr>
                <w:rFonts w:hint="eastAsia" w:ascii="宋体" w:hAnsi="宋体" w:cs="宋体"/>
                <w:kern w:val="0"/>
              </w:rPr>
              <w:t>▲1、内置≥2*150W数字功放模块，外接8Ω电阻音箱。</w:t>
            </w:r>
          </w:p>
          <w:p>
            <w:pPr>
              <w:widowControl/>
              <w:ind w:firstLine="0" w:firstLineChars="0"/>
              <w:jc w:val="left"/>
              <w:textAlignment w:val="center"/>
              <w:rPr>
                <w:rFonts w:ascii="宋体" w:hAnsi="宋体" w:cs="宋体"/>
                <w:kern w:val="0"/>
              </w:rPr>
            </w:pPr>
            <w:r>
              <w:rPr>
                <w:rFonts w:hint="eastAsia" w:ascii="宋体" w:hAnsi="宋体" w:cs="宋体"/>
                <w:kern w:val="0"/>
              </w:rPr>
              <w:t>2、面板具有≥1路USB接口，配置双向RS-232接口，外接控制面板快捷控制。可实现设备升级、数据存取、录音与播放等功能。支持≥4路平衡式话筒/线路输入通道；支持≥4路平衡式线路输出。</w:t>
            </w:r>
          </w:p>
          <w:p>
            <w:pPr>
              <w:widowControl/>
              <w:ind w:firstLine="0" w:firstLineChars="0"/>
              <w:jc w:val="left"/>
              <w:textAlignment w:val="center"/>
              <w:rPr>
                <w:rFonts w:ascii="宋体" w:hAnsi="宋体" w:cs="宋体"/>
                <w:kern w:val="0"/>
              </w:rPr>
            </w:pPr>
            <w:r>
              <w:rPr>
                <w:rFonts w:hint="eastAsia" w:ascii="宋体" w:hAnsi="宋体" w:cs="宋体"/>
                <w:kern w:val="0"/>
              </w:rPr>
              <w:t>3、支持前级放大、信号发生器、扩展器、压缩器、5段参量均衡、AM自动混音功能、AFC自适应反馈消除、AEC回声消除、ANC噪声消除，31段参量均衡器、延时器、分频器、高低通滤波器、限幅器。</w:t>
            </w:r>
          </w:p>
          <w:p>
            <w:pPr>
              <w:widowControl/>
              <w:ind w:firstLine="0" w:firstLineChars="0"/>
              <w:jc w:val="left"/>
              <w:textAlignment w:val="center"/>
              <w:rPr>
                <w:rFonts w:ascii="宋体" w:hAnsi="宋体" w:cs="宋体"/>
                <w:kern w:val="0"/>
              </w:rPr>
            </w:pPr>
            <w:r>
              <w:rPr>
                <w:rFonts w:hint="eastAsia" w:ascii="宋体" w:hAnsi="宋体" w:cs="宋体"/>
                <w:kern w:val="0"/>
              </w:rPr>
              <w:t>4、支持24bit/48KHz卓越的高品质声音，支持输入通道48V幻象供电，频率响应：20Hz-20KHz，总谐波失真＜0.002% @1KHz ,4dBu，数/模动态范围(A-计权)：120dB；最大输出电平≥+24dBu，最大输入电平≥+24dBu。支持断电自动保护记忆功能。支持通道拷贝、粘贴、联控功能，支持8~100组场景预设功能。支持通过浏览器访问设备，下载自带管理控制软件。</w:t>
            </w:r>
          </w:p>
          <w:p>
            <w:pPr>
              <w:widowControl/>
              <w:ind w:firstLine="0" w:firstLineChars="0"/>
              <w:jc w:val="left"/>
              <w:textAlignment w:val="center"/>
              <w:rPr>
                <w:rFonts w:ascii="宋体" w:hAnsi="宋体" w:cs="宋体"/>
              </w:rPr>
            </w:pPr>
            <w:r>
              <w:rPr>
                <w:rFonts w:hint="eastAsia" w:ascii="宋体" w:hAnsi="宋体" w:cs="宋体"/>
                <w:b/>
                <w:bCs/>
                <w:kern w:val="0"/>
              </w:rPr>
              <w:t>（说明：带“▲”条款需提供</w:t>
            </w:r>
            <w:r>
              <w:rPr>
                <w:rFonts w:hint="eastAsia" w:ascii="宋体" w:hAnsi="宋体" w:cs="宋体"/>
                <w:b/>
                <w:bCs/>
                <w:kern w:val="0"/>
                <w:lang w:eastAsia="zh-CN"/>
              </w:rPr>
              <w:t>第三方法定检测</w:t>
            </w:r>
            <w:r>
              <w:rPr>
                <w:rFonts w:hint="eastAsia" w:ascii="宋体" w:hAnsi="宋体" w:cs="宋体"/>
                <w:b/>
                <w:bCs/>
                <w:kern w:val="0"/>
              </w:rPr>
              <w:t>机构出具的检测报告复印件，并加盖供应商鲜章）</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阵列话筒</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1、输出接口：Phoenix 3p（公）；指向性：定向宽带式；动态范围：0-95dB；灵敏度：0- 10dB；拾音距离：5-8米；频率响应：20-18KHz；信噪比:80dB</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4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数字音频传输内嵌软件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1、软件嵌入设备，支撑设备音频传输及处理。</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控制面板</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1、可编程旋钮≥8个；控制协议：私有协议；地址设定方式：自动识别；信号线长度：≥20米；串口：双向232和单向485。</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 xml:space="preserve">1 </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木地板</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1、根据现场面积定制，材质：环保等级E0强化复合地板，厚度：≥12mm，款式自选。</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镜面墙</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1、宽、高现场定制，厚度：≥8mm。</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面</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00" w:hRule="atLeast"/>
        </w:trPr>
        <w:tc>
          <w:tcPr>
            <w:tcW w:w="12232"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小计</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Theme="minorEastAsia" w:hAnsiTheme="minorEastAsia" w:eastAsiaTheme="minorEastAsia" w:cstheme="minorEastAsia"/>
              </w:rPr>
            </w:pPr>
          </w:p>
        </w:tc>
      </w:tr>
      <w:tr>
        <w:tblPrEx>
          <w:tblCellMar>
            <w:top w:w="0" w:type="dxa"/>
            <w:left w:w="0" w:type="dxa"/>
            <w:bottom w:w="0" w:type="dxa"/>
            <w:right w:w="0" w:type="dxa"/>
          </w:tblCellMar>
        </w:tblPrEx>
        <w:trPr>
          <w:trHeight w:val="400" w:hRule="atLeast"/>
        </w:trPr>
        <w:tc>
          <w:tcPr>
            <w:tcW w:w="13445" w:type="dxa"/>
            <w:gridSpan w:val="8"/>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Theme="minorEastAsia" w:hAnsiTheme="minorEastAsia" w:eastAsiaTheme="minorEastAsia" w:cstheme="minorEastAsia"/>
              </w:rPr>
            </w:pPr>
            <w:r>
              <w:rPr>
                <w:rFonts w:hint="eastAsia" w:ascii="宋体" w:hAnsi="宋体" w:cs="宋体"/>
                <w:b/>
                <w:kern w:val="0"/>
                <w:lang w:val="en-US" w:eastAsia="zh-CN"/>
              </w:rPr>
              <w:t>美工区</w:t>
            </w:r>
            <w:r>
              <w:rPr>
                <w:rFonts w:hint="eastAsia" w:ascii="宋体" w:hAnsi="宋体" w:cs="宋体"/>
                <w:b/>
                <w:kern w:val="0"/>
              </w:rPr>
              <w:t>设备清单</w:t>
            </w:r>
          </w:p>
        </w:tc>
      </w:tr>
      <w:tr>
        <w:tblPrEx>
          <w:tblCellMar>
            <w:top w:w="0" w:type="dxa"/>
            <w:left w:w="0" w:type="dxa"/>
            <w:bottom w:w="0" w:type="dxa"/>
            <w:right w:w="0" w:type="dxa"/>
          </w:tblCellMar>
        </w:tblPrEx>
        <w:trPr>
          <w:trHeight w:val="85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40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美术教学用品储存柜</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1000×500×2000mm（±5mm），铝木结构，基材：E1级环保型18三聚氰胺板，PVC封边，；上部木框玻璃对开门、二层活动搁板、4根钢制调节板，搁板厚≥18mm，加钢制U形加强筋，钢制件表面喷塑；下部全木对开门一层固定搁板,框架≥3.74×3.74cm，厚度≥1.2mm铝合金(≥12根/台); ABS专用铝合金连接件。工艺：铝型材表面经酸洗、磷化、表面喷环氧树脂，高温固化；耐酸碱、耐腐蚀。</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4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作品展示架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1、尺寸：≥900×400×1800mm，材质：实木，厚度≥20mm。</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4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美术桌</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1、尺寸：≥1800*1200*750mm，材质：实木，厚度：≥20mm。</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7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写生升降凳</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1、材质：松木，凳面直径≥295mm，高度480~680mm可升降。</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张</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6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静物台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1、台面：60x60x21mm（±5mm），带背板，双折叠交叉式支撑架，尺寸：4200x20mm，材质：实木，支撑稳定，表面光洁，环保清漆处理。</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9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衬布</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1、尺寸：≥1000×2000mm，材质：棉麻，颜色自选，无霉斑、无破损，色泽一致。</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0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写生画板</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1．尺寸≥450×600×18mm；材质：双面榉木三合板，实木边框,边框宽≥1cm,45度割角拼接，对角线平面误差≤0.2cm，四边直角误差≤0.2cm，边框气钉眼需进行表面处理。整体板面平整、表面光滑、洁净、无毛刺。</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1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画架</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1、尺寸：高≥1420mm，边框宽≥40mm，厚≥20mm，材料：松木，画架落地端有防滑橡皮垫，支撑可靠，落地平稳，防蛀、防裂、表面涂清漆、光滑、无毛刺、无弯曲、接缝无开裂、整体无疤痕无弯曲。</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5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写生灯</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1、高度：90-160cm可调，≥2.5m灯线，灯罩宽≥250mm，灯泡≥5W，三角支架，稳定不易晃动。</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只</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72"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写生教具1</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1、材质：石膏粉。几何形体15件 ：圆球、四棱锥、正方体、圆锥、长方体、圆柱体、六棱柱、方带方、圆锥带圆、方锥带方、多面体、八棱柱、六棱锥、圆切、十二面体。</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60"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写生教具2</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1、彩陶2件，直径20cm（±5mm）；釉陶2件，直径20cm（±5mm）；木质关节人1件；仿真水果4件；塑料花1件；禽鸟标本1件。</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便携式移动油画车</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1、尺寸：≥320x720x650mm，材质：红榉木，三层、带脚轮、可移动、表面光滑无毛刺。</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辆</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9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泥工工具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拍板1件，实木，≥180×70×20mm（±5mm）；泥塑刀6件：黄杨木，长度≥18cm；环型刀3件：木柄双头环型刀长度≥20cm；刮刀2件：环型刀头、三角刀头各1件，长度≥13cm；型板1件：黄杨木型板≥11×5cm；切割线1件：木手柄≥7cm，钢丝线长度≥40cm；；小转台1件：PVC塑料材质，双面、中间带轴承，直径≥11cm，高度≥3cm ；喷壶1件；海绵1块；刮板1件；碾辊1根，长≥32cm，直径≥2.8cm；打孔器1根，打孔直径为1.2cm；平铲针一支：木柄双头，一尖一平，长度≥17cm。中空吹塑定位包装，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35"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云台</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1、上盘面直径≥295mm，下盘面直径≥250mm，高≥170mm，材质：塑钢。</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42"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美术学具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1、毛笔3支：加健毛笔，提斗1支、白云1支、花枝俏1支；小剪刀 1件：无刃、圆头，总长度≥12.8cm；调色盘1个：13眼梅花型，口径≥15cm；笔洗1个：青花瓷，口径≥9.5cm，肚径≥12.9cm；美工刀1把：塑料手柄，长度≥13cm；水溶性油墨2瓶：每瓶≥75ml；胶辊2件：大滚筒长度≥9cm，直径≥3.5cm；小滚筒长≥3cm，直径≥2.2cm；毛毡1块：尺寸≥49*49cm；刻纸刀1把：合金手柄，长度≥11.8cm，笔刀刀头3件：猛钢刀头≥3.5cm；水粉画笔6支：实木烤漆笔杆，尼龙笔头；调色盒1件：24格；直尺1把：有机塑料，尺寸≥30cm。中空吹塑定位包装，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4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绘图工具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1、直尺1件：≥30cm；三角板1付：≥22cm；曲线板1件：≥25cm；圆规1件：≥12cm；蛇形尺1件：≥30cm；共5类5件。塑料箱包装，便于携带、存放。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4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版画工具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胶辊3件：大号滚筒≥15cm、手柄≥13cm，中号滚筒≥10cm、手柄≥13cm，小号滚筒≥7.5cm、手柄≥13cm，支架金属镀铬；磨托1件：磨托头直径≥4.5cm、磨托手柄≥9.5cm；笔刀1件：合金手柄≥10cm；笔刀刀头3件：锰钢刀头≥3.5cm；木刻刀5件：木手柄≥10cm、刀头碳钢材质；石刻刀1件：精钢材质，长度≥14cm；油石1件：双面，外观尺寸不小于15*5*2.5cm；马莲1件：塑料材质，直径：10cm±0.2cm；底纹笔：木柄光滑、无毛刺、色泽均匀，刷头采用优质羊毛制成，毛质应整齐均匀，长≥18cm，毛长≥3cm，宽≥3cm；电烙铁1件：外热式30W，长度≥20cm,外接电源线长度≥90cm；素描铅笔2支；油画刀5把：木质手柄，漆面处理，不锈钢刀头，长度≥16cm；版画油墨2瓶：不小于50ml；印床：木质，漆面处理，长宽高：10*6.5*5cm。中空吹塑定位包装，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7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绘画工具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毛笔8支：加健毛笔，大中小白云各一支，大中小提斗1支，花枝俏、小依纹。水粉笔1-12#各1支，油画笔1-12#各1支，调色盒1件，24眼，调色盘1件，17眼。中空吹塑定位包装盒，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74"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制作工具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油画刀5把、什锦锉5把、美工刀1把、垫板1块、钩刀1把、电烙铁1把、木刻刀5把、打孔器1件、剪刀2把、多用锯1把、尖嘴钳1把、板刷1把、锥子1件、多功能小锤1把、油石1件、锯条5根、凿子1件、篆刻刀1把、鸭嘴锤1把。中空吹塑定位包装，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799"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篆刻工具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印床1个:实木，长*宽*高：（9.8*6.5*4.9）±0.1cm；石刻刀3支：锰钢制成，长度：14±0.2cm,刀口分别为0.3cm、0.4cm、0.5cm；.木刻刀3支:长度不小于13cm,木柄；印泥盒1个：铁盒包装，直径=9±0.1cm，高度=1.8±0.1cm；铅笔1支；美工刀1把:塑料手柄，长度不小于130mm；勾线笔1支：优质狼毫笔头，实木笔杆；油石1块：长*宽*高：（70mm*48mm*22）±1mm；章料2块:优质石质；砂纸2纸；板刷1把：木柄尼龙刷头，总长度不小135mm,刷头宽不小于23mm。中空吹塑定位包装，所有产品均有单独卡槽定位于箱子内，不得串动，便于携带、存放。</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2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国画工具</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笔洗1件：直径≥16cm，高度≥5.5cm；笔架1件：直径≥13cm，高度≥4.5cm；砚台1件：石砚、带盖，直径≥12.5cm，高度≥4cm；印盒1件：直径≥8cm，带印泥；墨1件：金不换，长宽高≥9.5cm×2.4cm×1cm；毛笔8件：加健毛笔，大、中、小提斗，大、中、小白云，花枝俏，小依纹 ；画毡1件：毛毡长宽厚≥50cm×50cm×0.3cm；调色盘1件：聚丙稀材质，10眼梅花型，直径≥1.4cm；笔帘1件：竹制，长宽≥32cm×30cm；镇尺1副：≥24cm×40cm×1.5cm；共10类18件。中空吹塑定位包装，所有产品均有单独卡槽定位于箱子内，不得串动，便于携带、存放。                   </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81"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22</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拉坯机</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1、规格：输入电压额定:AC220V，额定功率0.35kw ,工作电压直流36v。托盘转速:≥0-300r/min，铜包电机，内置独立电源，自动调速，带定速功能，带有漏电保护装置。托泥盘为ABS材质，转盘为铝合金材质，直径：300mm（±5mm），皮带轮传动，保证转盘稳定噪音小。</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5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23</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炼泥机</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fldChar w:fldCharType="begin"/>
            </w:r>
            <w:r>
              <w:instrText xml:space="preserve"> HYPERLINK "http://www.spsp.gov.cn/page/FO/1986/KS%20G5737-1986.shtml" </w:instrText>
            </w:r>
            <w:r>
              <w:fldChar w:fldCharType="separate"/>
            </w:r>
            <w:r>
              <w:rPr>
                <w:rStyle w:val="21"/>
                <w:rFonts w:hint="eastAsia" w:ascii="宋体" w:hAnsi="宋体" w:cs="宋体"/>
                <w:color w:val="auto"/>
                <w:u w:val="none"/>
              </w:rPr>
              <w:t>1、尺寸：≥800*390*830mm；额定电压：AC220V；额定电流：8A；额定功率：1.5KW；工作状态出泥量：≥60kg/h。用于制备、练制坯料，使坯料均匀、细腻。</w:t>
            </w:r>
            <w:r>
              <w:rPr>
                <w:rStyle w:val="21"/>
                <w:rFonts w:hint="eastAsia" w:ascii="宋体" w:hAnsi="宋体" w:cs="宋体"/>
                <w:color w:val="auto"/>
                <w:u w:val="none"/>
              </w:rPr>
              <w:fldChar w:fldCharType="end"/>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568"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24</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电窑</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1、尺寸：750x850x1000mm（±5mm）；内膛尺寸：350*350*400mm（±5mm）；重量：≥130公斤。额定电压：交流220v；额定功率：功率≥4000瓦；烧制温度：≥1300摄氏度；升温：阶梯式升温。</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47" w:hRule="atLeast"/>
        </w:trPr>
        <w:tc>
          <w:tcPr>
            <w:tcW w:w="6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25</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虚拟绘图板</w:t>
            </w:r>
          </w:p>
        </w:tc>
        <w:tc>
          <w:tcPr>
            <w:tcW w:w="7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kern w:val="0"/>
              </w:rPr>
            </w:pPr>
            <w:r>
              <w:t>★</w:t>
            </w:r>
            <w:r>
              <w:rPr>
                <w:rFonts w:hint="eastAsia" w:ascii="宋体" w:hAnsi="宋体" w:cs="宋体"/>
                <w:kern w:val="0"/>
              </w:rPr>
              <w:t>1、尺寸：740×520×1000mm，材质：钢质，表面为金属漆，镜面喷涂，</w:t>
            </w:r>
          </w:p>
          <w:p>
            <w:pPr>
              <w:widowControl/>
              <w:ind w:firstLine="0" w:firstLineChars="0"/>
              <w:jc w:val="left"/>
              <w:textAlignment w:val="center"/>
              <w:rPr>
                <w:rFonts w:ascii="宋体" w:hAnsi="宋体" w:cs="宋体"/>
                <w:kern w:val="0"/>
              </w:rPr>
            </w:pPr>
            <w:r>
              <w:rPr>
                <w:rFonts w:hint="eastAsia" w:ascii="宋体" w:hAnsi="宋体" w:cs="宋体"/>
                <w:kern w:val="0"/>
              </w:rPr>
              <w:t>≥27寸显示屏，≥1920*1080分辨率，采用高精度红外多点触控技术，响应速度＜20m/s，最小触摸直径≥3mm，整机运行噪音≤28分贝，CPU：≥Intel 双核，主频≥2.53GH，集成网卡，集成声卡，独立显卡，硬盘≥1TB，≥2GB以上串口，≥4GB内存，≥1个USB接口。</w:t>
            </w:r>
          </w:p>
          <w:p>
            <w:pPr>
              <w:widowControl/>
              <w:ind w:firstLine="0" w:firstLineChars="0"/>
              <w:jc w:val="left"/>
              <w:textAlignment w:val="center"/>
              <w:rPr>
                <w:rFonts w:ascii="宋体" w:hAnsi="宋体" w:cs="宋体"/>
              </w:rPr>
            </w:pPr>
            <w:r>
              <w:rPr>
                <w:rFonts w:hint="eastAsia" w:ascii="宋体" w:hAnsi="宋体" w:cs="宋体"/>
                <w:kern w:val="0"/>
              </w:rPr>
              <w:t>2、钢化防爆玻璃，防划防撞，防眩光，防强光干扰；具备防辐射反光保护膜，后置端口，正面无任何按钮和指示灯；后置启动模式，电源键和启动键分开控制。无需悬挂等后期安装，即插即用，一键开关机；支持临摹画、填色画、创意画功能</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5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232"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2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bl>
    <w:p>
      <w:pPr>
        <w:ind w:firstLine="0" w:firstLineChars="0"/>
      </w:pPr>
    </w:p>
    <w:p>
      <w:pPr>
        <w:pStyle w:val="6"/>
        <w:numPr>
          <w:ilvl w:val="2"/>
          <w:numId w:val="0"/>
        </w:numPr>
        <w:ind w:leftChars="0"/>
      </w:pPr>
      <w:bookmarkStart w:id="390" w:name="_Toc12810"/>
      <w:bookmarkStart w:id="391" w:name="_Toc99"/>
      <w:bookmarkStart w:id="392" w:name="_Toc12209"/>
      <w:r>
        <w:t>2</w:t>
      </w:r>
      <w:r>
        <w:rPr>
          <w:rFonts w:hint="eastAsia"/>
        </w:rPr>
        <w:t>.</w:t>
      </w:r>
      <w:r>
        <w:t>6</w:t>
      </w:r>
      <w:r>
        <w:rPr>
          <w:rFonts w:hint="eastAsia"/>
        </w:rPr>
        <w:t>.</w:t>
      </w:r>
      <w:r>
        <w:t>5</w:t>
      </w:r>
      <w:r>
        <w:rPr>
          <w:rFonts w:hint="eastAsia"/>
        </w:rPr>
        <w:t xml:space="preserve"> 生活情景体验室设备清单</w:t>
      </w:r>
      <w:bookmarkEnd w:id="390"/>
      <w:bookmarkEnd w:id="391"/>
      <w:bookmarkEnd w:id="392"/>
    </w:p>
    <w:tbl>
      <w:tblPr>
        <w:tblStyle w:val="17"/>
        <w:tblW w:w="14045" w:type="dxa"/>
        <w:tblInd w:w="-106" w:type="dxa"/>
        <w:tblLayout w:type="fixed"/>
        <w:tblCellMar>
          <w:top w:w="0" w:type="dxa"/>
          <w:left w:w="0" w:type="dxa"/>
          <w:bottom w:w="0" w:type="dxa"/>
          <w:right w:w="0" w:type="dxa"/>
        </w:tblCellMar>
      </w:tblPr>
      <w:tblGrid>
        <w:gridCol w:w="800"/>
        <w:gridCol w:w="2082"/>
        <w:gridCol w:w="7036"/>
        <w:gridCol w:w="791"/>
        <w:gridCol w:w="954"/>
        <w:gridCol w:w="982"/>
        <w:gridCol w:w="1400"/>
      </w:tblGrid>
      <w:tr>
        <w:tblPrEx>
          <w:tblCellMar>
            <w:top w:w="0" w:type="dxa"/>
            <w:left w:w="0" w:type="dxa"/>
            <w:bottom w:w="0" w:type="dxa"/>
            <w:right w:w="0" w:type="dxa"/>
          </w:tblCellMar>
        </w:tblPrEx>
        <w:trPr>
          <w:trHeight w:val="360" w:hRule="atLeast"/>
        </w:trPr>
        <w:tc>
          <w:tcPr>
            <w:tcW w:w="14045"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hint="eastAsia" w:ascii="宋体" w:hAnsi="宋体" w:cs="宋体"/>
                <w:b/>
                <w:kern w:val="0"/>
              </w:rPr>
            </w:pPr>
            <w:r>
              <w:rPr>
                <w:rFonts w:hint="eastAsia" w:ascii="宋体" w:hAnsi="宋体" w:cs="宋体"/>
                <w:b/>
                <w:kern w:val="0"/>
              </w:rPr>
              <w:t>烹饪区设备清单</w:t>
            </w:r>
          </w:p>
        </w:tc>
      </w:tr>
      <w:tr>
        <w:tblPrEx>
          <w:tblCellMar>
            <w:top w:w="0" w:type="dxa"/>
            <w:left w:w="0" w:type="dxa"/>
            <w:bottom w:w="0" w:type="dxa"/>
            <w:right w:w="0" w:type="dxa"/>
          </w:tblCellMar>
        </w:tblPrEx>
        <w:trPr>
          <w:trHeight w:val="85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228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烟机</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宽*深*高）：896*480*510mm（±5mm)；操控方式：机械式；照明功率：≥1.5W×2；产品重量：19kg；排风量：≥17m3/min；最大风压：≥320Pa；出风口径：Ф174mm（±5mm)。烟机款式：欧式；烟机面板材质：钢化玻璃；防撞弧形R角设计。</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7"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电磁灶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1、尺寸：682x382x76mm（±5mm)；嵌入式电磁灶、智能双头家用电灶；开孔宽度650mm（±5mm)，开孔深度350mm（±5mm)；操控方式：触摸式；电源线长度：≥1m。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冰箱</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pPr>
            <w:r>
              <w:rPr>
                <w:rFonts w:hint="eastAsia"/>
              </w:rPr>
              <w:t>1、尺寸:565*544*1604mm（±5mm)，制冷类型：压缩机制冷;面板类型:VCM覆膜板，冷冻室:≥66升，冷藏室:≥120升，总容积:≥186升；功能：双系统制冷，风冷无霜，铂金净味，智能温控，智能除霜，≥二级能效；</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9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蒸烤箱</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 xml:space="preserve">1、尺寸：420*410*340mm（±5mm)；面板材质：全玻璃门内板，不锈钢无烤管腔体；控制方式：旋转按钮操控，一扭一案；功能：蒸烤一体，热风循环，低温发酵；            </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62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微波炉</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内腔尺寸：325*202*352mm（±5mm)；整体尺寸：502*302*405mm（±5mm)；微波频率：≥2450MHz；产品容量：≥23L；烹饪方式：微波/光波/蒸：底盘类型：转盘式。安全防水墙、多重防辐射门板、防滑脚垫。≥23升容量，钢化玻璃面板，多功能菜单。</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7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电饼铛</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1、烤盘直径：≥300mm；烤盘深度：≥250mm；烤盘类型：圆盘。火力可调节，整机可拆洗。功能：薄厚可调，速热，可做煎包。</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电饭煲</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1、尺寸：≥290*367*227mm。容量：≥4L。功能：智能预约、IH大火力加热、微压沸腾芯、精钢鼎釜内胆、触摸操控电饭锅(精钢鼎釜内胆)。</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47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破壁机</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1、尺寸：≥180*180*473mm；旋风8叶刀智频破壁机、低噪破壁机、家用料理机、榨汁机、绞肉馅机、婴儿辅食机、水果汁豆浆瘦肉粥。</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77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咖啡机</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1、尺寸：≥220*323*420mm，冲泡时间≤10分钟；支持咖啡类型：研磨咖啡粉，未研磨咖啡豆；功能：防滴漏功能，水位设计，2小时后自动关闭，耐用滤网，清洁方便，一机多用，支持烹煮咖啡、品茗茶。</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4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水槽</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1、材料：不锈钢磨砂板制造；台面厚度≥12mm，星盆厚度≥10mm。含水龙头。</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组</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7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消毒柜</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1、尺寸：≥425*360*5400mm，面板材质：钢化玻璃，控制方式：触控控制，烘干；消毒方式：高温，消毒星级≥2星，消毒温度≥125℃，消毒时间≥15min； 容积：≥53L；功能：预约定时，童锁功能；</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4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咖啡杯</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1、材质：陶瓷，咖啡杯碟勺6组，包含黑色收纳架</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炊具套装</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1、炒锅、煎锅、汤锅、奶锅各1各，材质：306不锈钢；刀具五件套1套；铲勺四件套1套；菜板2个。</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调味瓶套装</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1、材质：陶瓷；内含：调味罐*4，勺子*4，不锈钢架*1</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15</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餐具套装</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1、4.5英寸饭碗x6、8英寸汤碗x3、7英寸圆盘x4、8英寸圆盘x4、4英寸味碟x6、鱼盘x1小勺x6、汤勺x1，材质：陶瓷；筷子x10，材质：实木；刀x6、叉x6，材质：不锈钢。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16</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不锈钢菜刀架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1、尺寸：≥80cm,含≥6个挂钩，材质：304不锈钢，防腐锈。</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17</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不锈钢调味架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 尺寸：≥600*300*400mm；2层，材质：不锈钢。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18</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不锈钢盆组合装</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1、尺寸：≥260x85mm，4个装；材质：不锈钢。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19</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分类垃圾桶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1、尺寸：≥380x340x480mm，4个一套。</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5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20</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和面盆</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1、≥5000ML、3600ML、1200ML各1个；材质：耐热玻璃，支持微波炉使用。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7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面案</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1、尺寸：≥700x450mm；材质：实木。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2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量称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1、称重范围：0.5克-3公斤，精确0.1克。</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8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量杯</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1、容量：250ml*1,500ml*1,1000ml*1；材质：食品级塑料。</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06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电子量勺</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1、尺寸：230x55mm；材质：铁电镀+ABS塑料。</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6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25</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烤具</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7"/>
              </w:numPr>
              <w:ind w:firstLine="0" w:firstLineChars="0"/>
              <w:jc w:val="left"/>
              <w:textAlignment w:val="center"/>
              <w:rPr>
                <w:rFonts w:ascii="宋体" w:hAnsi="宋体" w:cs="宋体"/>
              </w:rPr>
            </w:pPr>
            <w:r>
              <w:rPr>
                <w:rFonts w:hint="eastAsia" w:ascii="宋体" w:hAnsi="宋体" w:cs="宋体"/>
                <w:kern w:val="0"/>
              </w:rPr>
              <w:t>正方形、圆形、长方形、蛋挞烤盘各2个；大、中、小号烘焙纸各2卷、大、中、小号锡箔纸各4卷、大、小号硅胶刷各2把。</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26</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食品制作模具</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1、水果、蔬菜、动物等形状模具≥50种；环保，无异味。</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6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27</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打蛋器</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1、外壳材质：ABS塑料，档速选择：≥5档速度可调。</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35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28</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擀面杖</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1、尺寸：Φ25cm1个，Φ30cm1个，Φ60cm1个，材质：榉木。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2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29</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面粉网筛</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1、尺寸：Φ15cm1个、Φ18cm1个、Φ22.5cm1个，材质：不锈钢。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7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30</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裱花嘴</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1、不同形状大小的裱花嘴≥24只/套；材质：304不锈钢。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14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裱花台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1、尺寸：≥228x95mm；材质：全铝，防滑硅胶底。</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糕点多层盘</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1、规格：三层，材质：陶瓷；直径：≥16cm1个、≥20cm1个、≥25cm1个；整体高：≥37cm。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4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中西餐厨柜</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1、现场定制，在施工前提前提供单色效果图经校方确认后方可施工。材质：柜体采用E</w:t>
            </w:r>
            <w:r>
              <w:rPr>
                <w:rFonts w:ascii="宋体" w:hAnsi="宋体" w:cs="宋体"/>
                <w:kern w:val="0"/>
              </w:rPr>
              <w:t>0</w:t>
            </w:r>
            <w:r>
              <w:rPr>
                <w:rFonts w:hint="eastAsia" w:ascii="宋体" w:hAnsi="宋体" w:cs="宋体"/>
                <w:kern w:val="0"/>
              </w:rPr>
              <w:t>级实木多层板，柜门均采用环保实木颗粒板，板材厚度：≥</w:t>
            </w:r>
            <w:r>
              <w:rPr>
                <w:rFonts w:ascii="宋体" w:hAnsi="宋体" w:cs="宋体"/>
                <w:kern w:val="0"/>
              </w:rPr>
              <w:t>18</w:t>
            </w:r>
            <w:r>
              <w:rPr>
                <w:rFonts w:hint="eastAsia" w:ascii="宋体" w:hAnsi="宋体" w:cs="宋体"/>
                <w:kern w:val="0"/>
              </w:rPr>
              <w:t>mm，≥1</w:t>
            </w:r>
            <w:r>
              <w:rPr>
                <w:rFonts w:ascii="宋体" w:hAnsi="宋体" w:cs="宋体"/>
                <w:kern w:val="0"/>
              </w:rPr>
              <w:t>5</w:t>
            </w:r>
            <w:r>
              <w:rPr>
                <w:rFonts w:hint="eastAsia" w:ascii="宋体" w:hAnsi="宋体" w:cs="宋体"/>
                <w:kern w:val="0"/>
              </w:rPr>
              <w:t>mm石英石台面，款式自选。橱柜地柜深度≥60cm，高度≥80cm。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26</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米</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中西餐吊柜</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1、现场定制，在施工前提前提供单色效果图经校方确认后方可施工。材质：柜体采用E</w:t>
            </w:r>
            <w:r>
              <w:rPr>
                <w:rFonts w:ascii="宋体" w:hAnsi="宋体" w:cs="宋体"/>
                <w:kern w:val="0"/>
              </w:rPr>
              <w:t>0</w:t>
            </w:r>
            <w:r>
              <w:rPr>
                <w:rFonts w:hint="eastAsia" w:ascii="宋体" w:hAnsi="宋体" w:cs="宋体"/>
                <w:kern w:val="0"/>
              </w:rPr>
              <w:t>级实木多层板，柜门均采用环保实木颗粒板，板材厚度：≥</w:t>
            </w:r>
            <w:r>
              <w:rPr>
                <w:rFonts w:ascii="宋体" w:hAnsi="宋体" w:cs="宋体"/>
                <w:kern w:val="0"/>
              </w:rPr>
              <w:t>18</w:t>
            </w:r>
            <w:r>
              <w:rPr>
                <w:rFonts w:hint="eastAsia" w:ascii="宋体" w:hAnsi="宋体" w:cs="宋体"/>
                <w:kern w:val="0"/>
              </w:rPr>
              <w:t>mm，吊柜深≥32cm，高≥70cm。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米</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35</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西餐区吧台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1、现场定制，在施工前提前提供单色效果图经校方确认后方可施工。材质：柜体采用E</w:t>
            </w:r>
            <w:r>
              <w:rPr>
                <w:rFonts w:ascii="宋体" w:hAnsi="宋体" w:cs="宋体"/>
                <w:kern w:val="0"/>
              </w:rPr>
              <w:t>0</w:t>
            </w:r>
            <w:r>
              <w:rPr>
                <w:rFonts w:hint="eastAsia" w:ascii="宋体" w:hAnsi="宋体" w:cs="宋体"/>
                <w:kern w:val="0"/>
              </w:rPr>
              <w:t>级实木多层板，柜门均采用环保实木颗粒板，板材厚度≥</w:t>
            </w:r>
            <w:r>
              <w:rPr>
                <w:rFonts w:ascii="宋体" w:hAnsi="宋体" w:cs="宋体"/>
                <w:kern w:val="0"/>
              </w:rPr>
              <w:t>18</w:t>
            </w:r>
            <w:r>
              <w:rPr>
                <w:rFonts w:hint="eastAsia" w:ascii="宋体" w:hAnsi="宋体" w:cs="宋体"/>
                <w:kern w:val="0"/>
              </w:rPr>
              <w:t>mm，马赛克柜体造型，操作台面为≥15mm石英石，尺寸：≥80*70cm。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米</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38"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36</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中岛操作台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1、现场定制，在施工前提前提供单色效果图经校方确认后方可施工。材质：柜体采用E</w:t>
            </w:r>
            <w:r>
              <w:rPr>
                <w:rFonts w:ascii="宋体" w:hAnsi="宋体" w:cs="宋体"/>
                <w:kern w:val="0"/>
              </w:rPr>
              <w:t>0</w:t>
            </w:r>
            <w:r>
              <w:rPr>
                <w:rFonts w:hint="eastAsia" w:ascii="宋体" w:hAnsi="宋体" w:cs="宋体"/>
                <w:kern w:val="0"/>
              </w:rPr>
              <w:t>级实木多层板，≥15mm石英石台面，长度定做，宽≥80cm，高≥70cm。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米</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57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37</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椅子</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1、椅高（含靠背）≥100cm，座高≥75cm，凳面≥400x300mm，材质：实木，带软垫。</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264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4045"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b/>
                <w:kern w:val="0"/>
                <w:lang w:val="en-US" w:eastAsia="zh-CN"/>
              </w:rPr>
              <w:t>家政</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01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卫浴设备</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pPr>
            <w:r>
              <w:rPr>
                <w:rFonts w:hint="eastAsia"/>
              </w:rPr>
              <w:t>1、≥4个出水模式，≥三挡冷热可调节，带中间置物架。</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3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洗衣机</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0"/>
              </w:numPr>
              <w:jc w:val="left"/>
              <w:textAlignment w:val="center"/>
            </w:pPr>
            <w:r>
              <w:rPr>
                <w:rFonts w:hint="eastAsia"/>
                <w:lang w:val="en-US" w:eastAsia="zh-CN"/>
              </w:rPr>
              <w:t>1、</w:t>
            </w:r>
            <w:r>
              <w:rPr>
                <w:rFonts w:hint="eastAsia"/>
              </w:rPr>
              <w:t>尺寸；≥530*595*850mm，容量：洗涤容量≥10kg，脱水容量:≥10kg；≥一级能效，变频（节能），滚筒。</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台</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2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双面隔断</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1、双面隔断，尺寸现场定制，需各出卫生间、卧室、客厅，材质：木工板+石膏板，木工板厚度≥15mm，石膏板厚度≥18mm，隔断整体厚度≥10cm，环保乳胶漆饰面，甲醛释放量≤0.124mg/m3。</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40" w:hRule="atLeast"/>
        </w:trPr>
        <w:tc>
          <w:tcPr>
            <w:tcW w:w="1264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40" w:hRule="atLeast"/>
        </w:trPr>
        <w:tc>
          <w:tcPr>
            <w:tcW w:w="14045"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b/>
                <w:kern w:val="0"/>
                <w:lang w:val="en-US" w:eastAsia="zh-CN"/>
              </w:rPr>
              <w:t>劳技</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1249"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家用园林工具箱</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5米卷尺1件、5合1园林铲1件、6寸折叠据1件、不锈钢铲1件、草坪剪1件、多用途锯1件、电工刀1件、8寸钢丝钻1件、美工刀1件、喷水壶1件、迷你铲2件、迷你耙1件、花枝剪1件、数显测电笔1件、电工胶带1件、园林弯剪1件、园林直剪1件、扎线1件。带收纳箱。</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6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多肉种植工具箱</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1、小耙子 、枝剪、浇水壶、铲子、小铁铲、小铁锣、挖苗器、打孔器 、土铲勺 、圆头银子、尖头银子、U型剪刀、尘刷、气吹 、喷水壶各1件。带收纳箱。</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铁锹</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1、尺寸：≥242x300mm（±5mm），杆长≥120cm，材质：铁+实木。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十字镐</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1、尺寸：≥470x55mm，杆长≥850mm材质：铁+实木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浇水壶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1、≥5L，材质：环保塑料，可拆卸花洒头。</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6</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铁铲</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1、尺寸：≥242*175mm，把杆≥630mm，材质：铁+实木。</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7</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修枝剪</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1、刀口长度≥7cm，柄杆长度≥14cm，材质：不锈钢。</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把</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8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8</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五金工具箱</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1、内六角、微型螺丝刀、生料带、老虎钳、卷尺、螺丝刀、美工刀、活动扳手、电笔、羊角锤。带收纳箱。</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21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9</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营养液</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1、通用浓缩型植物营养液，含氮磷钾及多种微量元素，促进植物根系生长。规格：≥500ml/瓶，4瓶。</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12"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10</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育种盆</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left="240" w:hanging="210" w:hangingChars="100"/>
              <w:jc w:val="left"/>
              <w:textAlignment w:val="center"/>
              <w:rPr>
                <w:rFonts w:ascii="宋体" w:hAnsi="宋体" w:cs="宋体"/>
              </w:rPr>
            </w:pPr>
            <w:r>
              <w:rPr>
                <w:rFonts w:hint="eastAsia" w:ascii="宋体" w:hAnsi="宋体" w:cs="宋体"/>
                <w:kern w:val="0"/>
              </w:rPr>
              <w:t>1、尺寸：≥187x145x110mm，≥12穴，穴孔深≥55mm，带透明盖，可育种≥20个。</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5</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1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无土培养盆</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1、圆球形，盆体玻璃材质，带定植篮，不同规格的无土栽培盆共10个。</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607"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落地花架</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kern w:val="0"/>
              </w:rPr>
              <w:t>1、尺寸：≥120*25*120cm，材质：实木，厚度≥20mm。</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工具收纳架带边柜</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8"/>
              </w:numPr>
              <w:ind w:firstLine="0" w:firstLineChars="0"/>
              <w:jc w:val="left"/>
              <w:textAlignment w:val="center"/>
              <w:rPr>
                <w:rFonts w:ascii="宋体" w:hAnsi="宋体" w:cs="宋体"/>
                <w:kern w:val="0"/>
              </w:rPr>
            </w:pPr>
            <w:r>
              <w:rPr>
                <w:rFonts w:hint="eastAsia" w:ascii="宋体" w:hAnsi="宋体" w:cs="宋体"/>
                <w:kern w:val="0"/>
              </w:rPr>
              <w:t>现场定制，</w:t>
            </w:r>
            <w:r>
              <w:rPr>
                <w:rFonts w:hint="eastAsia" w:asciiTheme="minorEastAsia" w:hAnsiTheme="minorEastAsia" w:eastAsiaTheme="minorEastAsia" w:cstheme="minorEastAsia"/>
                <w:kern w:val="0"/>
              </w:rPr>
              <w:t>在施工前提前提供单色效果图经校方确认后方可施工。</w:t>
            </w:r>
            <w:r>
              <w:rPr>
                <w:rFonts w:hint="eastAsia" w:ascii="宋体" w:hAnsi="宋体" w:cs="宋体"/>
                <w:kern w:val="0"/>
              </w:rPr>
              <w:t>台面尺寸≥4520*700*450mm，材质：柜体顶板为≥25mmMFC板，余板为≥16mmMFC板，PVC直边封边；脚架：≥50*50mm口字脚，横梁≥25*50*1.2mm；封板：≥16mmMFC板。洞洞板尺寸≥450mm*1200mm，洞洞板材质：北美黄橡色钢制木纹转印，一块洞洞板配4个挂钩，配膨胀螺丝及自攻螺丝。带2</w:t>
            </w:r>
            <w:r>
              <w:rPr>
                <w:rFonts w:ascii="宋体" w:hAnsi="宋体" w:cs="宋体"/>
                <w:kern w:val="0"/>
              </w:rPr>
              <w:t>1</w:t>
            </w:r>
            <w:r>
              <w:rPr>
                <w:rFonts w:hint="eastAsia" w:ascii="宋体" w:hAnsi="宋体" w:cs="宋体"/>
                <w:kern w:val="0"/>
              </w:rPr>
              <w:t>个收纳盒，材质：ABS工程塑料。</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项</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40" w:hRule="atLeast"/>
        </w:trPr>
        <w:tc>
          <w:tcPr>
            <w:tcW w:w="1264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小计</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440" w:hRule="atLeast"/>
        </w:trPr>
        <w:tc>
          <w:tcPr>
            <w:tcW w:w="14045"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rFonts w:hint="eastAsia" w:ascii="宋体" w:hAnsi="宋体" w:cs="宋体"/>
                <w:b/>
                <w:kern w:val="0"/>
                <w:lang w:val="en-US" w:eastAsia="zh-CN"/>
              </w:rPr>
              <w:t>情景教学</w:t>
            </w:r>
            <w:r>
              <w:rPr>
                <w:rFonts w:hint="eastAsia" w:ascii="宋体" w:hAnsi="宋体" w:cs="宋体"/>
                <w:b/>
                <w:kern w:val="0"/>
              </w:rPr>
              <w:t>区设备清单</w:t>
            </w:r>
          </w:p>
        </w:tc>
      </w:tr>
      <w:tr>
        <w:tblPrEx>
          <w:tblCellMar>
            <w:top w:w="0" w:type="dxa"/>
            <w:left w:w="0" w:type="dxa"/>
            <w:bottom w:w="0" w:type="dxa"/>
            <w:right w:w="0" w:type="dxa"/>
          </w:tblCellMar>
        </w:tblPrEx>
        <w:trPr>
          <w:trHeight w:val="85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序号</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设备名称</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产品参数</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lang w:eastAsia="zh-CN"/>
              </w:rPr>
            </w:pPr>
            <w:r>
              <w:rPr>
                <w:rFonts w:hint="eastAsia" w:ascii="宋体" w:hAnsi="宋体" w:cs="宋体"/>
                <w:b/>
                <w:kern w:val="0"/>
                <w:lang w:val="en-US" w:eastAsia="zh-CN"/>
              </w:rPr>
              <w:t>数量</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单位</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单价（元）</w:t>
            </w: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b/>
              </w:rPr>
            </w:pPr>
            <w:r>
              <w:rPr>
                <w:rFonts w:hint="eastAsia" w:ascii="宋体" w:hAnsi="宋体" w:cs="宋体"/>
                <w:b/>
                <w:kern w:val="0"/>
              </w:rPr>
              <w:t>小计（元）</w:t>
            </w:r>
          </w:p>
        </w:tc>
      </w:tr>
      <w:tr>
        <w:tblPrEx>
          <w:tblCellMar>
            <w:top w:w="0" w:type="dxa"/>
            <w:left w:w="0" w:type="dxa"/>
            <w:bottom w:w="0" w:type="dxa"/>
            <w:right w:w="0" w:type="dxa"/>
          </w:tblCellMar>
        </w:tblPrEx>
        <w:trPr>
          <w:trHeight w:val="53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超市情景教室</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1、现场定制，</w:t>
            </w:r>
            <w:r>
              <w:rPr>
                <w:rFonts w:hint="eastAsia" w:asciiTheme="minorEastAsia" w:hAnsiTheme="minorEastAsia" w:eastAsiaTheme="minorEastAsia" w:cstheme="minorEastAsia"/>
                <w:kern w:val="0"/>
                <w:highlight w:val="none"/>
              </w:rPr>
              <w:t>在施工前提前提供单色效果图经校方确认后方可施工。</w:t>
            </w:r>
            <w:r>
              <w:rPr>
                <w:rFonts w:hint="eastAsia" w:ascii="宋体" w:hAnsi="宋体" w:cs="宋体"/>
                <w:kern w:val="0"/>
                <w:highlight w:val="none"/>
              </w:rPr>
              <w:t>环境改造1项</w:t>
            </w:r>
            <w:r>
              <w:rPr>
                <w:rFonts w:hint="eastAsia" w:ascii="宋体" w:hAnsi="宋体" w:cs="宋体"/>
                <w:kern w:val="0"/>
                <w:highlight w:val="none"/>
                <w:lang w:eastAsia="zh-CN"/>
              </w:rPr>
              <w:t>，</w:t>
            </w:r>
            <w:r>
              <w:rPr>
                <w:rFonts w:hint="eastAsia" w:ascii="宋体" w:hAnsi="宋体" w:cs="宋体"/>
                <w:kern w:val="0"/>
                <w:highlight w:val="none"/>
                <w:lang w:val="en-US" w:eastAsia="zh-CN"/>
              </w:rPr>
              <w:t>建设面积为23</w:t>
            </w:r>
            <w:r>
              <w:rPr>
                <w:rFonts w:hint="eastAsia" w:ascii="宋体" w:hAnsi="宋体" w:cs="宋体"/>
                <w:kern w:val="0"/>
                <w:highlight w:val="none"/>
              </w:rPr>
              <w:t>㎡，环保乳胶漆饰面；配备清单：收银台1个，收银区标牌1个，店招名称1套，电脑1套，扫码枪1个，模拟纸币3套，双面货架1套，水果货架2套，购物篮中号3个，小号3个，日用商品100件（包括纸巾、毛巾类、洗漱、杯子、文具用品类），仿真蔬菜不低于100件，仿真水果不低于100件，饮料不低于30瓶，水不低于30瓶。</w:t>
            </w:r>
            <w:r>
              <w:rPr>
                <w:rFonts w:hint="eastAsia" w:ascii="宋体" w:hAnsi="宋体" w:cs="宋体"/>
                <w:kern w:val="0"/>
                <w:highlight w:val="none"/>
              </w:rPr>
              <w:br w:type="textWrapping"/>
            </w:r>
            <w:r>
              <w:rPr>
                <w:rFonts w:hint="eastAsia" w:ascii="宋体" w:hAnsi="宋体" w:cs="宋体"/>
                <w:kern w:val="0"/>
                <w:highlight w:val="none"/>
              </w:rPr>
              <w:t xml:space="preserve">2、实际超市卖场场景，培养儿童熟悉社会环境，锻炼融入社会群体，提高交往能力。 </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宋体" w:hAnsi="宋体" w:eastAsia="宋体" w:cs="宋体"/>
                <w:lang w:val="en-US" w:eastAsia="zh-CN"/>
              </w:rPr>
            </w:pPr>
            <w:r>
              <w:rPr>
                <w:rFonts w:hint="eastAsia" w:ascii="宋体" w:hAnsi="宋体" w:cs="宋体"/>
                <w:kern w:val="0"/>
                <w:lang w:val="en-US" w:eastAsia="zh-CN"/>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lang w:val="en-US" w:eastAsia="zh-CN"/>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806"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2</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医院情景教室</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rPr>
            </w:pPr>
            <w:r>
              <w:rPr>
                <w:highlight w:val="none"/>
              </w:rPr>
              <w:t>★</w:t>
            </w:r>
            <w:r>
              <w:rPr>
                <w:rFonts w:hint="eastAsia" w:ascii="宋体" w:hAnsi="宋体" w:cs="宋体"/>
                <w:kern w:val="0"/>
                <w:highlight w:val="none"/>
              </w:rPr>
              <w:t>1、现场定制，</w:t>
            </w:r>
            <w:r>
              <w:rPr>
                <w:rFonts w:hint="eastAsia" w:asciiTheme="minorEastAsia" w:hAnsiTheme="minorEastAsia" w:eastAsiaTheme="minorEastAsia" w:cstheme="minorEastAsia"/>
                <w:kern w:val="0"/>
                <w:highlight w:val="none"/>
              </w:rPr>
              <w:t>在施工前提前提供单色效果图经校方确认后方可施工。</w:t>
            </w:r>
            <w:r>
              <w:rPr>
                <w:rFonts w:hint="eastAsia" w:ascii="宋体" w:hAnsi="宋体" w:cs="宋体"/>
                <w:kern w:val="0"/>
                <w:highlight w:val="none"/>
              </w:rPr>
              <w:t>环境改造1项</w:t>
            </w:r>
            <w:r>
              <w:rPr>
                <w:rFonts w:hint="eastAsia" w:ascii="宋体" w:hAnsi="宋体" w:cs="宋体"/>
                <w:kern w:val="0"/>
                <w:highlight w:val="none"/>
                <w:lang w:eastAsia="zh-CN"/>
              </w:rPr>
              <w:t>，</w:t>
            </w:r>
            <w:r>
              <w:rPr>
                <w:rFonts w:hint="eastAsia" w:ascii="宋体" w:hAnsi="宋体" w:cs="宋体"/>
                <w:kern w:val="0"/>
                <w:highlight w:val="none"/>
                <w:lang w:val="en-US" w:eastAsia="zh-CN"/>
              </w:rPr>
              <w:t>建设面积为36</w:t>
            </w:r>
            <w:r>
              <w:rPr>
                <w:rFonts w:hint="eastAsia" w:ascii="宋体" w:hAnsi="宋体" w:cs="宋体"/>
                <w:kern w:val="0"/>
                <w:highlight w:val="none"/>
              </w:rPr>
              <w:t>㎡，环保乳胶漆饰面；配置清单：标牌4项（导诊台、门诊室、检查室、药房），挂号缴费标识牌1个，制度牌5个，导诊咨询台1个，门诊室桌椅1套（包含病人就诊凳子），门诊室办公用品（台灯1个，电脑1台，听诊器1个，血压计1个，电子体温计1个，病历夹2个，处方签3本，笔筒1个，吸盘试签字笔5支），治疗床 1张，医用推车1个，医用隔断窗帘，药房接待桌椅1套，药品架1个，模拟药品1套。不带针注射器4支，医用胶带4卷，棉签2包，医用酒精2瓶，体重称1台，输液架1个，凳子4个，绿植2个，输液吊瓶1个。收纳筐（放在桌子上）1个。</w:t>
            </w:r>
            <w:r>
              <w:rPr>
                <w:rFonts w:hint="eastAsia" w:ascii="宋体" w:hAnsi="宋体" w:cs="宋体"/>
                <w:kern w:val="0"/>
                <w:highlight w:val="none"/>
              </w:rPr>
              <w:br w:type="textWrapping"/>
            </w:r>
            <w:r>
              <w:rPr>
                <w:rFonts w:hint="eastAsia" w:ascii="宋体" w:hAnsi="宋体" w:cs="宋体"/>
                <w:kern w:val="0"/>
                <w:highlight w:val="none"/>
              </w:rPr>
              <w:t>2、模拟实际医院的情景，培养儿童熟悉社会环境，锻炼融入社会群体，提高交往能力。</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宋体" w:hAnsi="宋体" w:eastAsia="宋体" w:cs="宋体"/>
                <w:lang w:val="en-US" w:eastAsia="zh-CN"/>
              </w:rPr>
            </w:pPr>
            <w:r>
              <w:rPr>
                <w:rFonts w:hint="eastAsia" w:ascii="宋体" w:hAnsi="宋体" w:cs="宋体"/>
                <w:kern w:val="0"/>
                <w:lang w:val="en-US" w:eastAsia="zh-CN"/>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lang w:val="en-US" w:eastAsia="zh-CN"/>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3043"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3</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银行情景教室</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1、现场定制，</w:t>
            </w:r>
            <w:r>
              <w:rPr>
                <w:rFonts w:hint="eastAsia" w:asciiTheme="minorEastAsia" w:hAnsiTheme="minorEastAsia" w:eastAsiaTheme="minorEastAsia" w:cstheme="minorEastAsia"/>
                <w:kern w:val="0"/>
                <w:highlight w:val="none"/>
              </w:rPr>
              <w:t>在施工前提前提供单色效果图经校方确认后方可施工。</w:t>
            </w:r>
            <w:r>
              <w:rPr>
                <w:rFonts w:hint="eastAsia" w:ascii="宋体" w:hAnsi="宋体" w:cs="宋体"/>
                <w:kern w:val="0"/>
                <w:highlight w:val="none"/>
              </w:rPr>
              <w:t>环境改造1项</w:t>
            </w:r>
            <w:r>
              <w:rPr>
                <w:rFonts w:hint="eastAsia" w:ascii="宋体" w:hAnsi="宋体" w:cs="宋体"/>
                <w:kern w:val="0"/>
                <w:highlight w:val="none"/>
                <w:lang w:eastAsia="zh-CN"/>
              </w:rPr>
              <w:t>，</w:t>
            </w:r>
            <w:r>
              <w:rPr>
                <w:rFonts w:hint="eastAsia" w:ascii="宋体" w:hAnsi="宋体" w:cs="宋体"/>
                <w:kern w:val="0"/>
                <w:highlight w:val="none"/>
                <w:lang w:val="en-US" w:eastAsia="zh-CN"/>
              </w:rPr>
              <w:t>建设面积为26</w:t>
            </w:r>
            <w:r>
              <w:rPr>
                <w:rFonts w:hint="eastAsia" w:ascii="宋体" w:hAnsi="宋体" w:cs="宋体"/>
                <w:kern w:val="0"/>
                <w:highlight w:val="none"/>
              </w:rPr>
              <w:t>㎡，环保乳胶漆饰面；配置清单: 标牌3项（等候区、现金业务区、ATM取款区），店招名称1套，墙面银行名称标识牌1个，模拟排号机1个，等候沙发1个，现金业务办公桌椅4套，业务咨询台1个，转凳1把，仿真电脑5台，ATM机（仿真提款机）1台，点钞机1台，模拟纸币3套，吸盘试签字笔5套，银行单据5本，计算器2个。</w:t>
            </w:r>
            <w:r>
              <w:rPr>
                <w:rFonts w:hint="eastAsia" w:ascii="宋体" w:hAnsi="宋体" w:cs="宋体"/>
                <w:kern w:val="0"/>
                <w:highlight w:val="none"/>
              </w:rPr>
              <w:br w:type="textWrapping"/>
            </w:r>
            <w:r>
              <w:rPr>
                <w:rFonts w:hint="eastAsia" w:ascii="宋体" w:hAnsi="宋体" w:cs="宋体"/>
                <w:kern w:val="0"/>
                <w:highlight w:val="none"/>
              </w:rPr>
              <w:t>2、模拟实际银行场景，培养儿童熟悉社会环境，锻炼融入社会群体，提高交往能力。</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hint="eastAsia" w:ascii="宋体" w:hAnsi="宋体" w:eastAsia="宋体" w:cs="宋体"/>
                <w:lang w:val="en-US" w:eastAsia="zh-CN"/>
              </w:rPr>
            </w:pPr>
            <w:r>
              <w:rPr>
                <w:rFonts w:hint="eastAsia" w:ascii="宋体" w:hAnsi="宋体" w:cs="宋体"/>
                <w:kern w:val="0"/>
                <w:lang w:val="en-US" w:eastAsia="zh-CN"/>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lang w:val="en-US" w:eastAsia="zh-CN"/>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199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4</w:t>
            </w:r>
          </w:p>
        </w:tc>
        <w:tc>
          <w:tcPr>
            <w:tcW w:w="20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highlight w:val="none"/>
              </w:rPr>
            </w:pPr>
            <w:r>
              <w:rPr>
                <w:rFonts w:hint="eastAsia" w:ascii="宋体" w:hAnsi="宋体" w:cs="宋体"/>
                <w:kern w:val="0"/>
                <w:highlight w:val="none"/>
              </w:rPr>
              <w:t>交通情景教室</w:t>
            </w:r>
          </w:p>
        </w:tc>
        <w:tc>
          <w:tcPr>
            <w:tcW w:w="70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left"/>
              <w:textAlignment w:val="center"/>
              <w:rPr>
                <w:rFonts w:ascii="宋体" w:hAnsi="宋体" w:cs="宋体"/>
                <w:highlight w:val="none"/>
              </w:rPr>
            </w:pPr>
            <w:r>
              <w:rPr>
                <w:highlight w:val="none"/>
              </w:rPr>
              <w:t>★</w:t>
            </w:r>
            <w:r>
              <w:rPr>
                <w:rFonts w:hint="eastAsia" w:ascii="宋体" w:hAnsi="宋体" w:cs="宋体"/>
                <w:kern w:val="0"/>
                <w:highlight w:val="none"/>
              </w:rPr>
              <w:t>1、现场定制，</w:t>
            </w:r>
            <w:r>
              <w:rPr>
                <w:rFonts w:hint="eastAsia" w:asciiTheme="minorEastAsia" w:hAnsiTheme="minorEastAsia" w:eastAsiaTheme="minorEastAsia" w:cstheme="minorEastAsia"/>
                <w:kern w:val="0"/>
                <w:highlight w:val="none"/>
              </w:rPr>
              <w:t>在施工前提前提供单色效果图经校方确认后方可施工。</w:t>
            </w:r>
            <w:r>
              <w:rPr>
                <w:rFonts w:hint="eastAsia" w:ascii="宋体" w:hAnsi="宋体" w:cs="宋体"/>
                <w:kern w:val="0"/>
                <w:highlight w:val="none"/>
              </w:rPr>
              <w:t>环境改造1项</w:t>
            </w:r>
            <w:r>
              <w:rPr>
                <w:rFonts w:hint="eastAsia" w:ascii="宋体" w:hAnsi="宋体" w:cs="宋体"/>
                <w:kern w:val="0"/>
                <w:highlight w:val="none"/>
                <w:lang w:eastAsia="zh-CN"/>
              </w:rPr>
              <w:t>，</w:t>
            </w:r>
            <w:r>
              <w:rPr>
                <w:rFonts w:hint="eastAsia" w:ascii="宋体" w:hAnsi="宋体" w:cs="宋体"/>
                <w:kern w:val="0"/>
                <w:highlight w:val="none"/>
                <w:lang w:val="en-US" w:eastAsia="zh-CN"/>
              </w:rPr>
              <w:t>建设面积为36</w:t>
            </w:r>
            <w:r>
              <w:rPr>
                <w:rFonts w:hint="eastAsia" w:ascii="宋体" w:hAnsi="宋体" w:cs="宋体"/>
                <w:kern w:val="0"/>
                <w:highlight w:val="none"/>
              </w:rPr>
              <w:t>㎡，环保乳胶漆饰面；配置清单：公交等待座椅2套、公交车站牌1个、公交广告牌2个、模拟公交车1辆，儿童玩具车5个。</w:t>
            </w:r>
            <w:r>
              <w:rPr>
                <w:rFonts w:hint="eastAsia" w:ascii="宋体" w:hAnsi="宋体" w:cs="宋体"/>
                <w:kern w:val="0"/>
                <w:highlight w:val="none"/>
              </w:rPr>
              <w:br w:type="textWrapping"/>
            </w:r>
            <w:r>
              <w:rPr>
                <w:rFonts w:hint="eastAsia" w:ascii="宋体" w:hAnsi="宋体" w:cs="宋体"/>
                <w:kern w:val="0"/>
                <w:highlight w:val="none"/>
              </w:rPr>
              <w:t>2、模拟实际公交车站场景，培养儿童熟悉社会环境，锻炼融入社会群体，提高交往能力。</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1</w:t>
            </w:r>
          </w:p>
        </w:tc>
        <w:tc>
          <w:tcPr>
            <w:tcW w:w="9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r>
              <w:rPr>
                <w:rFonts w:hint="eastAsia" w:ascii="宋体" w:hAnsi="宋体" w:cs="宋体"/>
                <w:kern w:val="0"/>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r>
        <w:tblPrEx>
          <w:tblCellMar>
            <w:top w:w="0" w:type="dxa"/>
            <w:left w:w="0" w:type="dxa"/>
            <w:bottom w:w="0" w:type="dxa"/>
            <w:right w:w="0" w:type="dxa"/>
          </w:tblCellMar>
        </w:tblPrEx>
        <w:trPr>
          <w:trHeight w:val="285" w:hRule="atLeast"/>
        </w:trPr>
        <w:tc>
          <w:tcPr>
            <w:tcW w:w="11663" w:type="dxa"/>
            <w:gridSpan w:val="5"/>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bottom"/>
          </w:tcPr>
          <w:p>
            <w:pPr>
              <w:widowControl/>
              <w:ind w:firstLine="0" w:firstLineChars="0"/>
              <w:jc w:val="center"/>
              <w:textAlignment w:val="bottom"/>
              <w:rPr>
                <w:rFonts w:ascii="宋体" w:hAnsi="宋体" w:cs="宋体"/>
              </w:rPr>
            </w:pPr>
            <w:r>
              <w:rPr>
                <w:rFonts w:hint="eastAsia" w:ascii="宋体" w:hAnsi="宋体" w:cs="宋体"/>
                <w:kern w:val="0"/>
              </w:rPr>
              <w:t>小计</w:t>
            </w:r>
          </w:p>
        </w:tc>
        <w:tc>
          <w:tcPr>
            <w:tcW w:w="9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rPr>
                <w:rFonts w:ascii="宋体" w:hAnsi="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rPr>
            </w:pPr>
          </w:p>
        </w:tc>
      </w:tr>
    </w:tbl>
    <w:p>
      <w:pPr>
        <w:ind w:firstLine="0" w:firstLineChars="0"/>
        <w:sectPr>
          <w:pgSz w:w="16838" w:h="11906" w:orient="landscape"/>
          <w:pgMar w:top="1800" w:right="1440" w:bottom="1800" w:left="1440" w:header="851" w:footer="992" w:gutter="0"/>
          <w:cols w:space="425" w:num="1"/>
          <w:docGrid w:type="lines" w:linePitch="326" w:charSpace="0"/>
        </w:sectPr>
      </w:pPr>
    </w:p>
    <w:p>
      <w:pPr>
        <w:pStyle w:val="4"/>
        <w:ind w:firstLine="723"/>
      </w:pPr>
      <w:bookmarkStart w:id="393" w:name="_Toc33625170"/>
      <w:bookmarkStart w:id="394" w:name="_Toc4082674"/>
      <w:bookmarkStart w:id="395" w:name="_Toc3229"/>
      <w:bookmarkStart w:id="396" w:name="_Toc15628"/>
      <w:bookmarkStart w:id="397" w:name="_Toc1163"/>
      <w:bookmarkStart w:id="398" w:name="_Toc8521"/>
      <w:r>
        <w:rPr>
          <w:rFonts w:hint="eastAsia"/>
        </w:rPr>
        <w:t>第</w:t>
      </w:r>
      <w:r>
        <w:rPr>
          <w:rFonts w:hint="eastAsia"/>
          <w:lang w:val="en-US" w:eastAsia="zh-CN"/>
        </w:rPr>
        <w:t>三</w:t>
      </w:r>
      <w:r>
        <w:rPr>
          <w:rFonts w:hint="eastAsia"/>
        </w:rPr>
        <w:t>章人员培训</w:t>
      </w:r>
      <w:bookmarkEnd w:id="393"/>
      <w:bookmarkEnd w:id="394"/>
      <w:bookmarkEnd w:id="395"/>
      <w:bookmarkEnd w:id="396"/>
      <w:bookmarkEnd w:id="397"/>
    </w:p>
    <w:p>
      <w:pPr>
        <w:pStyle w:val="5"/>
        <w:numPr>
          <w:ilvl w:val="1"/>
          <w:numId w:val="0"/>
        </w:numPr>
        <w:ind w:leftChars="0"/>
      </w:pPr>
      <w:bookmarkStart w:id="399" w:name="_Toc33625171"/>
      <w:bookmarkStart w:id="400" w:name="_Toc30281"/>
      <w:bookmarkStart w:id="401" w:name="_Toc9626"/>
      <w:bookmarkStart w:id="402" w:name="_Toc19327"/>
      <w:r>
        <w:rPr>
          <w:rFonts w:hint="eastAsia"/>
          <w:lang w:val="en-US" w:eastAsia="zh-CN"/>
        </w:rPr>
        <w:t>3</w:t>
      </w:r>
      <w:r>
        <w:rPr>
          <w:rFonts w:hint="eastAsia"/>
        </w:rPr>
        <w:t>.1培训计划</w:t>
      </w:r>
      <w:bookmarkEnd w:id="399"/>
      <w:bookmarkEnd w:id="400"/>
      <w:bookmarkEnd w:id="401"/>
      <w:bookmarkEnd w:id="402"/>
    </w:p>
    <w:p>
      <w:pPr>
        <w:spacing w:line="400" w:lineRule="exact"/>
        <w:ind w:firstLine="480"/>
        <w:rPr>
          <w:rFonts w:ascii="宋体" w:hAnsi="宋体" w:cs="Times New Roman"/>
          <w:szCs w:val="21"/>
        </w:rPr>
      </w:pPr>
      <w:r>
        <w:rPr>
          <w:rFonts w:hint="eastAsia" w:ascii="宋体" w:hAnsi="宋体" w:cs="Times New Roman"/>
          <w:szCs w:val="21"/>
        </w:rPr>
        <w:t>培训地点：用户指定地点</w:t>
      </w:r>
    </w:p>
    <w:p>
      <w:pPr>
        <w:spacing w:line="400" w:lineRule="exact"/>
        <w:ind w:firstLine="480"/>
        <w:rPr>
          <w:rFonts w:ascii="宋体" w:hAnsi="宋体" w:cs="Times New Roman"/>
          <w:szCs w:val="21"/>
        </w:rPr>
      </w:pPr>
      <w:r>
        <w:rPr>
          <w:rFonts w:hint="eastAsia" w:ascii="宋体" w:hAnsi="宋体" w:cs="Times New Roman"/>
          <w:szCs w:val="21"/>
        </w:rPr>
        <w:t>培训时间：安装调试完毕后采购方确定</w:t>
      </w:r>
    </w:p>
    <w:p>
      <w:pPr>
        <w:spacing w:line="400" w:lineRule="exact"/>
        <w:ind w:firstLine="480"/>
        <w:rPr>
          <w:rFonts w:ascii="宋体" w:hAnsi="宋体" w:cs="Times New Roman"/>
          <w:szCs w:val="21"/>
        </w:rPr>
      </w:pPr>
      <w:r>
        <w:rPr>
          <w:rFonts w:hint="eastAsia" w:ascii="宋体" w:hAnsi="宋体" w:cs="Times New Roman"/>
          <w:szCs w:val="21"/>
        </w:rPr>
        <w:t>培训目标：管理使用教师能正常操作使用。</w:t>
      </w:r>
    </w:p>
    <w:p>
      <w:pPr>
        <w:spacing w:line="400" w:lineRule="exact"/>
        <w:ind w:firstLine="480"/>
        <w:rPr>
          <w:rFonts w:ascii="宋体" w:hAnsi="宋体" w:cs="Times New Roman"/>
          <w:szCs w:val="21"/>
        </w:rPr>
      </w:pPr>
      <w:r>
        <w:rPr>
          <w:rFonts w:hint="eastAsia" w:ascii="宋体" w:hAnsi="宋体" w:cs="Times New Roman"/>
          <w:szCs w:val="21"/>
        </w:rPr>
        <w:t>培训次数：不少于3次。</w:t>
      </w:r>
    </w:p>
    <w:p>
      <w:pPr>
        <w:spacing w:line="400" w:lineRule="exact"/>
        <w:ind w:firstLine="480"/>
        <w:rPr>
          <w:rFonts w:ascii="宋体" w:hAnsi="宋体" w:cs="Times New Roman"/>
          <w:szCs w:val="21"/>
        </w:rPr>
      </w:pPr>
      <w:r>
        <w:rPr>
          <w:rFonts w:hint="eastAsia" w:ascii="宋体" w:hAnsi="宋体" w:cs="Times New Roman"/>
          <w:szCs w:val="21"/>
        </w:rPr>
        <w:t>培训对象：使用设备的相关老师，具体参加人员由学校确定。</w:t>
      </w:r>
    </w:p>
    <w:p>
      <w:pPr>
        <w:spacing w:line="400" w:lineRule="exact"/>
        <w:ind w:firstLine="480"/>
        <w:rPr>
          <w:rFonts w:ascii="宋体" w:hAnsi="宋体" w:cs="Times New Roman"/>
          <w:szCs w:val="21"/>
        </w:rPr>
      </w:pPr>
      <w:r>
        <w:rPr>
          <w:rFonts w:hint="eastAsia" w:ascii="宋体" w:hAnsi="宋体" w:cs="Times New Roman"/>
          <w:szCs w:val="21"/>
        </w:rPr>
        <w:t>培训内容：功能室设备操作使用方法。</w:t>
      </w:r>
    </w:p>
    <w:p>
      <w:pPr>
        <w:spacing w:line="400" w:lineRule="exact"/>
        <w:ind w:firstLine="480"/>
        <w:rPr>
          <w:rFonts w:ascii="宋体" w:hAnsi="宋体" w:cs="Times New Roman"/>
          <w:szCs w:val="21"/>
        </w:rPr>
      </w:pPr>
      <w:r>
        <w:rPr>
          <w:rFonts w:hint="eastAsia" w:ascii="宋体" w:hAnsi="宋体" w:cs="Times New Roman"/>
          <w:szCs w:val="21"/>
        </w:rPr>
        <w:t>培训办法：设备到现场进行安装调试，对管理技术工作老师进行设备的安装、使用、操作、维修、保养等现场免费实时培训基本培训。保证管理老师人员对设备的有个全面的了解认识、掌握正确的使用方法和设备的运行维护技术（并提供安装使用、维护说明书包括电子文档等）。</w:t>
      </w:r>
    </w:p>
    <w:p>
      <w:pPr>
        <w:spacing w:line="400" w:lineRule="exact"/>
        <w:ind w:firstLine="210" w:firstLineChars="100"/>
        <w:jc w:val="left"/>
        <w:rPr>
          <w:rFonts w:ascii="宋体" w:hAnsi="宋体" w:cs="Times New Roman"/>
        </w:rPr>
      </w:pPr>
    </w:p>
    <w:p>
      <w:pPr>
        <w:spacing w:line="400" w:lineRule="exact"/>
        <w:ind w:firstLine="480"/>
        <w:jc w:val="left"/>
        <w:rPr>
          <w:rFonts w:ascii="宋体" w:hAnsi="宋体" w:cs="Times New Roman"/>
        </w:rPr>
        <w:sectPr>
          <w:pgSz w:w="11906" w:h="16838"/>
          <w:pgMar w:top="1440" w:right="1800" w:bottom="1440" w:left="1800" w:header="851" w:footer="992" w:gutter="0"/>
          <w:cols w:space="425" w:num="1"/>
          <w:docGrid w:type="lines" w:linePitch="312" w:charSpace="0"/>
        </w:sectPr>
      </w:pPr>
    </w:p>
    <w:p>
      <w:pPr>
        <w:pStyle w:val="4"/>
        <w:ind w:firstLine="723"/>
      </w:pPr>
      <w:bookmarkStart w:id="403" w:name="_Toc4082675"/>
      <w:bookmarkStart w:id="404" w:name="_Toc29048"/>
      <w:bookmarkStart w:id="405" w:name="_Toc23478"/>
      <w:bookmarkStart w:id="406" w:name="_Toc33625172"/>
      <w:bookmarkStart w:id="407" w:name="_Toc31883"/>
      <w:r>
        <w:rPr>
          <w:rFonts w:hint="eastAsia"/>
        </w:rPr>
        <w:t>第</w:t>
      </w:r>
      <w:r>
        <w:rPr>
          <w:rFonts w:hint="eastAsia"/>
          <w:lang w:val="en-US" w:eastAsia="zh-CN"/>
        </w:rPr>
        <w:t>四</w:t>
      </w:r>
      <w:r>
        <w:rPr>
          <w:rFonts w:hint="eastAsia"/>
        </w:rPr>
        <w:t>章运行维护</w:t>
      </w:r>
      <w:bookmarkEnd w:id="403"/>
      <w:bookmarkEnd w:id="404"/>
      <w:bookmarkEnd w:id="405"/>
      <w:bookmarkEnd w:id="406"/>
      <w:bookmarkEnd w:id="407"/>
    </w:p>
    <w:p>
      <w:pPr>
        <w:pStyle w:val="5"/>
        <w:numPr>
          <w:ilvl w:val="1"/>
          <w:numId w:val="0"/>
        </w:numPr>
        <w:ind w:leftChars="0"/>
      </w:pPr>
      <w:bookmarkStart w:id="408" w:name="_Toc33625173"/>
      <w:bookmarkStart w:id="409" w:name="_Toc23889"/>
      <w:bookmarkStart w:id="410" w:name="_Toc750"/>
      <w:bookmarkStart w:id="411" w:name="_Toc5215"/>
      <w:bookmarkStart w:id="412" w:name="_Toc4082676"/>
      <w:r>
        <w:rPr>
          <w:rFonts w:hint="eastAsia"/>
          <w:lang w:val="en-US" w:eastAsia="zh-CN"/>
        </w:rPr>
        <w:t>4</w:t>
      </w:r>
      <w:r>
        <w:rPr>
          <w:rFonts w:hint="eastAsia"/>
        </w:rPr>
        <w:t>.1运行维护内容</w:t>
      </w:r>
      <w:bookmarkEnd w:id="408"/>
      <w:bookmarkEnd w:id="409"/>
      <w:bookmarkEnd w:id="410"/>
      <w:bookmarkEnd w:id="411"/>
    </w:p>
    <w:p>
      <w:pPr>
        <w:pStyle w:val="6"/>
        <w:numPr>
          <w:ilvl w:val="2"/>
          <w:numId w:val="0"/>
        </w:numPr>
        <w:ind w:leftChars="0"/>
      </w:pPr>
      <w:bookmarkStart w:id="413" w:name="_Toc33625174"/>
      <w:bookmarkStart w:id="414" w:name="_Toc9725"/>
      <w:bookmarkStart w:id="415" w:name="_Toc12186"/>
      <w:bookmarkStart w:id="416" w:name="_Toc21990"/>
      <w:r>
        <w:rPr>
          <w:rFonts w:hint="eastAsia"/>
          <w:lang w:val="en-US" w:eastAsia="zh-CN"/>
        </w:rPr>
        <w:t>4</w:t>
      </w:r>
      <w:r>
        <w:rPr>
          <w:rFonts w:hint="eastAsia"/>
        </w:rPr>
        <w:t>.1.1质量保证要求</w:t>
      </w:r>
      <w:bookmarkEnd w:id="413"/>
      <w:bookmarkEnd w:id="414"/>
      <w:bookmarkEnd w:id="415"/>
      <w:bookmarkEnd w:id="416"/>
    </w:p>
    <w:p>
      <w:pPr>
        <w:ind w:firstLine="480"/>
      </w:pPr>
      <w:r>
        <w:rPr>
          <w:rFonts w:hint="eastAsia"/>
        </w:rPr>
        <w:t>本项目的所有产品要求质保3年，质保期内因产品质量问题，需提供</w:t>
      </w:r>
      <w:r>
        <w:t>7</w:t>
      </w:r>
      <w:r>
        <w:rPr>
          <w:rFonts w:hint="eastAsia"/>
        </w:rPr>
        <w:t>×</w:t>
      </w:r>
      <w:r>
        <w:t>24免费上门保修服务</w:t>
      </w:r>
      <w:r>
        <w:rPr>
          <w:rFonts w:hint="eastAsia"/>
        </w:rPr>
        <w:t>。</w:t>
      </w:r>
      <w:r>
        <w:t>需要提供技术支持的能力</w:t>
      </w:r>
      <w:r>
        <w:rPr>
          <w:rFonts w:hint="eastAsia"/>
        </w:rPr>
        <w:t>，</w:t>
      </w:r>
      <w:r>
        <w:t>具有电话咨询服务</w:t>
      </w:r>
      <w:r>
        <w:rPr>
          <w:rFonts w:hint="eastAsia"/>
        </w:rPr>
        <w:t>、</w:t>
      </w:r>
      <w:r>
        <w:t>远程技术服务</w:t>
      </w:r>
      <w:r>
        <w:rPr>
          <w:rFonts w:hint="eastAsia"/>
        </w:rPr>
        <w:t>、现场技术支持等。</w:t>
      </w:r>
    </w:p>
    <w:p>
      <w:pPr>
        <w:pStyle w:val="6"/>
        <w:numPr>
          <w:ilvl w:val="2"/>
          <w:numId w:val="0"/>
        </w:numPr>
        <w:ind w:leftChars="0"/>
      </w:pPr>
      <w:bookmarkStart w:id="417" w:name="_Toc21790"/>
      <w:bookmarkStart w:id="418" w:name="_Toc33625175"/>
      <w:bookmarkStart w:id="419" w:name="_Toc10926"/>
      <w:bookmarkStart w:id="420" w:name="_Toc6265"/>
      <w:r>
        <w:rPr>
          <w:rFonts w:hint="eastAsia"/>
          <w:lang w:val="en-US" w:eastAsia="zh-CN"/>
        </w:rPr>
        <w:t>4</w:t>
      </w:r>
      <w:r>
        <w:rPr>
          <w:rFonts w:hint="eastAsia"/>
        </w:rPr>
        <w:t>.1.2运行维护要求</w:t>
      </w:r>
      <w:bookmarkEnd w:id="417"/>
      <w:bookmarkEnd w:id="418"/>
      <w:bookmarkEnd w:id="419"/>
      <w:bookmarkEnd w:id="420"/>
    </w:p>
    <w:p>
      <w:pPr>
        <w:ind w:firstLine="480"/>
      </w:pPr>
      <w:r>
        <w:rPr>
          <w:rFonts w:hint="eastAsia"/>
        </w:rPr>
        <w:t>1、有完善独立的售后服务机构，质保期内一旦在设备使用过程中出现问题，需要更换，或者维修，都将在第一时间处理响应。</w:t>
      </w:r>
    </w:p>
    <w:p>
      <w:pPr>
        <w:ind w:firstLine="480"/>
      </w:pPr>
      <w:r>
        <w:rPr>
          <w:rFonts w:hint="eastAsia"/>
        </w:rPr>
        <w:t>2、在质保期内硬件维修、更换和软件故障排除、系统恢复、软件升级等所需的一切免费，提供本地化的系统软件升级支持与一定数量的备品备件。</w:t>
      </w:r>
    </w:p>
    <w:p>
      <w:pPr>
        <w:ind w:firstLine="480"/>
      </w:pPr>
      <w:bookmarkStart w:id="421" w:name="_Toc329022466"/>
      <w:r>
        <w:rPr>
          <w:rFonts w:hint="eastAsia"/>
        </w:rPr>
        <w:t>3、维修维护响应时间</w:t>
      </w:r>
      <w:bookmarkEnd w:id="421"/>
    </w:p>
    <w:p>
      <w:pPr>
        <w:ind w:firstLine="480"/>
      </w:pPr>
      <w:r>
        <w:rPr>
          <w:rFonts w:hint="eastAsia"/>
        </w:rPr>
        <w:t>接到报障通知，</w:t>
      </w:r>
      <w:bookmarkStart w:id="422" w:name="_Toc329022467"/>
      <w:r>
        <w:rPr>
          <w:rFonts w:hint="eastAsia"/>
        </w:rPr>
        <w:t>维护电话响应不能解决的非硬件故障公司方面将在2小时内到达现场，并在到达现场后4小时内修复故障。</w:t>
      </w:r>
    </w:p>
    <w:p>
      <w:pPr>
        <w:ind w:firstLine="480"/>
      </w:pPr>
      <w:r>
        <w:rPr>
          <w:rFonts w:hint="eastAsia"/>
        </w:rPr>
        <w:t>4、软、硬件升级及故障</w:t>
      </w:r>
      <w:bookmarkEnd w:id="422"/>
    </w:p>
    <w:p>
      <w:pPr>
        <w:ind w:firstLine="480"/>
      </w:pPr>
      <w:r>
        <w:rPr>
          <w:rFonts w:hint="eastAsia"/>
        </w:rPr>
        <w:t>软件升级情况：免费提供软件升级服务</w:t>
      </w:r>
      <w:r>
        <w:t>。</w:t>
      </w:r>
    </w:p>
    <w:p>
      <w:pPr>
        <w:ind w:firstLine="480"/>
      </w:pPr>
      <w:bookmarkStart w:id="423" w:name="_Toc329022468"/>
      <w:r>
        <w:rPr>
          <w:rFonts w:hint="eastAsia"/>
        </w:rPr>
        <w:t>5、备件替换服务</w:t>
      </w:r>
      <w:bookmarkEnd w:id="423"/>
    </w:p>
    <w:p>
      <w:pPr>
        <w:ind w:firstLine="480"/>
      </w:pPr>
      <w:r>
        <w:rPr>
          <w:rFonts w:hint="eastAsia"/>
        </w:rPr>
        <w:t>质保期间有备品备件，</w:t>
      </w:r>
      <w:bookmarkStart w:id="424" w:name="_Toc329022469"/>
      <w:r>
        <w:rPr>
          <w:rFonts w:hint="eastAsia"/>
        </w:rPr>
        <w:t>遇到问题时能够及时更换将故障的影响降低到最低。</w:t>
      </w:r>
    </w:p>
    <w:p>
      <w:pPr>
        <w:ind w:firstLine="480"/>
      </w:pPr>
      <w:r>
        <w:rPr>
          <w:rFonts w:hint="eastAsia"/>
        </w:rPr>
        <w:t>6、巡检服务</w:t>
      </w:r>
      <w:bookmarkEnd w:id="424"/>
    </w:p>
    <w:p>
      <w:pPr>
        <w:ind w:firstLine="480"/>
        <w:sectPr>
          <w:pgSz w:w="11906" w:h="16838"/>
          <w:pgMar w:top="1440" w:right="1800" w:bottom="1440" w:left="1800" w:header="851" w:footer="992" w:gutter="0"/>
          <w:cols w:space="425" w:num="1"/>
          <w:docGrid w:type="lines" w:linePitch="312" w:charSpace="0"/>
        </w:sectPr>
      </w:pPr>
      <w:r>
        <w:rPr>
          <w:rFonts w:hint="eastAsia"/>
        </w:rPr>
        <w:t>质保期内，公司方面技术人员每三个月定期对所供的设备进行上门巡检服务，确保系统设备的正常运行。如果设备过质保期，要求厂家只是收取配件成本费用。</w:t>
      </w:r>
    </w:p>
    <w:p>
      <w:pPr>
        <w:pStyle w:val="4"/>
        <w:ind w:firstLine="723"/>
      </w:pPr>
      <w:bookmarkStart w:id="425" w:name="_Toc2392"/>
      <w:bookmarkStart w:id="426" w:name="_Toc33625176"/>
      <w:bookmarkStart w:id="427" w:name="_Toc6015"/>
      <w:bookmarkStart w:id="428" w:name="_Toc5307"/>
      <w:r>
        <w:rPr>
          <w:rFonts w:hint="eastAsia"/>
        </w:rPr>
        <w:t>第</w:t>
      </w:r>
      <w:r>
        <w:rPr>
          <w:rFonts w:hint="eastAsia"/>
          <w:lang w:val="en-US" w:eastAsia="zh-CN"/>
        </w:rPr>
        <w:t>五</w:t>
      </w:r>
      <w:r>
        <w:rPr>
          <w:rFonts w:hint="eastAsia"/>
        </w:rPr>
        <w:t>章其他要求</w:t>
      </w:r>
      <w:bookmarkEnd w:id="412"/>
      <w:bookmarkEnd w:id="425"/>
      <w:bookmarkEnd w:id="426"/>
      <w:bookmarkEnd w:id="427"/>
      <w:bookmarkEnd w:id="428"/>
    </w:p>
    <w:p>
      <w:pPr>
        <w:pStyle w:val="5"/>
        <w:numPr>
          <w:ilvl w:val="1"/>
          <w:numId w:val="0"/>
        </w:numPr>
        <w:ind w:leftChars="0"/>
      </w:pPr>
      <w:bookmarkStart w:id="429" w:name="_Toc507081017"/>
      <w:bookmarkStart w:id="430" w:name="_Toc516130555"/>
      <w:bookmarkStart w:id="431" w:name="_Toc22270"/>
      <w:bookmarkStart w:id="432" w:name="_Toc19606"/>
      <w:bookmarkStart w:id="433" w:name="_Toc33625177"/>
      <w:bookmarkStart w:id="434" w:name="_Toc516130412"/>
      <w:bookmarkStart w:id="435" w:name="_Toc4082677"/>
      <w:bookmarkStart w:id="436" w:name="_Toc1978"/>
      <w:r>
        <w:rPr>
          <w:rFonts w:hint="eastAsia"/>
          <w:lang w:val="en-US" w:eastAsia="zh-CN"/>
        </w:rPr>
        <w:t>5</w:t>
      </w:r>
      <w:r>
        <w:rPr>
          <w:rFonts w:hint="eastAsia"/>
        </w:rPr>
        <w:t>.1质量要求</w:t>
      </w:r>
      <w:bookmarkEnd w:id="429"/>
      <w:bookmarkEnd w:id="430"/>
      <w:bookmarkEnd w:id="431"/>
      <w:bookmarkEnd w:id="432"/>
      <w:bookmarkEnd w:id="433"/>
      <w:bookmarkEnd w:id="434"/>
      <w:bookmarkEnd w:id="435"/>
      <w:bookmarkEnd w:id="436"/>
    </w:p>
    <w:p>
      <w:pPr>
        <w:ind w:firstLine="480"/>
      </w:pPr>
      <w:r>
        <w:rPr>
          <w:rFonts w:hint="eastAsia"/>
        </w:rPr>
        <w:t>对安装、服务过程制定质量措施，确保工程项目、产品质量满足合同规定要求。该质量体系将适用于项目实施的全过程。</w:t>
      </w:r>
    </w:p>
    <w:p>
      <w:pPr>
        <w:ind w:firstLine="480"/>
      </w:pPr>
      <w:r>
        <w:rPr>
          <w:rFonts w:hint="eastAsia"/>
        </w:rPr>
        <w:t>依据设计的材料清单审核进场材料材质、规格、数量。按照图纸的设计进行材料、设备的安装。项目辅材要有产品的产地、合格证及相关能证明该产品的资料。现场设备、材料的合格证书，产品说明书以及实施中发生的往来文件均以文档资料的形式妥善保管，便于追溯。对于安装的设备、数量进行校对确认并做好记录。</w:t>
      </w:r>
    </w:p>
    <w:p>
      <w:pPr>
        <w:pStyle w:val="5"/>
        <w:numPr>
          <w:ilvl w:val="1"/>
          <w:numId w:val="0"/>
        </w:numPr>
        <w:ind w:leftChars="0"/>
      </w:pPr>
      <w:bookmarkStart w:id="437" w:name="_Toc516130558"/>
      <w:bookmarkStart w:id="438" w:name="_Toc516130415"/>
      <w:bookmarkStart w:id="439" w:name="_Toc4082678"/>
      <w:bookmarkStart w:id="440" w:name="_Toc14426"/>
      <w:bookmarkStart w:id="441" w:name="_Toc25291"/>
      <w:bookmarkStart w:id="442" w:name="_Toc33625178"/>
      <w:bookmarkStart w:id="443" w:name="_Toc507081020"/>
      <w:bookmarkStart w:id="444" w:name="_Toc7263"/>
      <w:r>
        <w:rPr>
          <w:rFonts w:hint="eastAsia"/>
          <w:lang w:val="en-US" w:eastAsia="zh-CN"/>
        </w:rPr>
        <w:t>5</w:t>
      </w:r>
      <w:r>
        <w:rPr>
          <w:rFonts w:hint="eastAsia"/>
        </w:rPr>
        <w:t>.2验收要求</w:t>
      </w:r>
      <w:bookmarkEnd w:id="437"/>
      <w:bookmarkEnd w:id="438"/>
      <w:bookmarkEnd w:id="439"/>
      <w:bookmarkEnd w:id="440"/>
      <w:bookmarkEnd w:id="441"/>
      <w:bookmarkEnd w:id="442"/>
      <w:bookmarkEnd w:id="443"/>
      <w:bookmarkEnd w:id="444"/>
    </w:p>
    <w:p>
      <w:pPr>
        <w:ind w:firstLine="482"/>
      </w:pPr>
      <w:bookmarkStart w:id="445" w:name="_Toc507081021"/>
      <w:bookmarkStart w:id="446" w:name="_Toc516130416"/>
      <w:bookmarkStart w:id="447" w:name="_Toc516130559"/>
      <w:r>
        <w:rPr>
          <w:rFonts w:hint="eastAsia"/>
          <w:b/>
        </w:rPr>
        <w:t>产品到货验收</w:t>
      </w:r>
      <w:bookmarkEnd w:id="445"/>
      <w:bookmarkEnd w:id="446"/>
      <w:bookmarkEnd w:id="447"/>
      <w:r>
        <w:rPr>
          <w:rFonts w:hint="eastAsia"/>
          <w:b/>
        </w:rPr>
        <w:t>。</w:t>
      </w:r>
      <w:r>
        <w:rPr>
          <w:rFonts w:hint="eastAsia"/>
        </w:rPr>
        <w:t>双方共同检查设备的完整性，保证各种设备处于正常运行状态。检查系统设备的品牌、规格、型号、数量、技术参数等是否与合同一致，并共同依据方案要求进行验收。涉及实施、安装、环境打造的项目，设计图（效果图）由用户确认后实施。</w:t>
      </w:r>
    </w:p>
    <w:p>
      <w:pPr>
        <w:ind w:firstLine="480"/>
        <w:rPr>
          <w:szCs w:val="21"/>
        </w:rPr>
      </w:pPr>
      <w:r>
        <w:rPr>
          <w:rFonts w:hint="eastAsia"/>
          <w:szCs w:val="21"/>
        </w:rPr>
        <w:t>实施方将对硬件及软件全部安装完成且连接完毕进行系统测试，严格按测试计划进行，做好各项原始记录，并对系统测试给出具体的测试计划、测试的内容和方法。</w:t>
      </w:r>
    </w:p>
    <w:p>
      <w:pPr>
        <w:ind w:firstLine="480"/>
        <w:rPr>
          <w:szCs w:val="21"/>
        </w:rPr>
      </w:pPr>
      <w:r>
        <w:rPr>
          <w:rFonts w:hint="eastAsia"/>
          <w:szCs w:val="21"/>
        </w:rPr>
        <w:t>项目中涉及装修、环境改造的区域，在验收时需提供权威机构出具的室内空气质量合格监测报告。</w:t>
      </w:r>
    </w:p>
    <w:p>
      <w:pPr>
        <w:ind w:firstLine="482"/>
        <w:rPr>
          <w:b/>
          <w:szCs w:val="21"/>
        </w:rPr>
      </w:pPr>
      <w:bookmarkStart w:id="448" w:name="_Toc516130560"/>
      <w:bookmarkStart w:id="449" w:name="_Toc507081022"/>
      <w:bookmarkStart w:id="450" w:name="_Toc516130417"/>
      <w:r>
        <w:rPr>
          <w:rFonts w:hint="eastAsia"/>
          <w:b/>
          <w:szCs w:val="21"/>
        </w:rPr>
        <w:t>项目初验</w:t>
      </w:r>
      <w:bookmarkEnd w:id="448"/>
      <w:bookmarkEnd w:id="449"/>
      <w:bookmarkEnd w:id="450"/>
      <w:r>
        <w:rPr>
          <w:rFonts w:hint="eastAsia"/>
          <w:b/>
          <w:szCs w:val="21"/>
        </w:rPr>
        <w:t>。</w:t>
      </w:r>
      <w:r>
        <w:rPr>
          <w:rFonts w:hint="eastAsia" w:ascii="宋体" w:hAnsi="宋体"/>
          <w:szCs w:val="21"/>
        </w:rPr>
        <w:t>项目实施完成后，将由双方共同拟定测试内容、测试指标、测试结果说明、测试仪器及方法等内容报告给项目负责人审查通过，并为用户提供初验报告。初验通过后系统进入试运行阶段。</w:t>
      </w:r>
    </w:p>
    <w:p>
      <w:pPr>
        <w:ind w:firstLine="482"/>
        <w:rPr>
          <w:b/>
          <w:szCs w:val="21"/>
        </w:rPr>
      </w:pPr>
      <w:bookmarkStart w:id="451" w:name="_Toc516130561"/>
      <w:bookmarkStart w:id="452" w:name="_Toc507081023"/>
      <w:bookmarkStart w:id="453" w:name="_Toc516130418"/>
      <w:r>
        <w:rPr>
          <w:rFonts w:hint="eastAsia"/>
          <w:b/>
          <w:szCs w:val="21"/>
        </w:rPr>
        <w:t>试运行</w:t>
      </w:r>
      <w:bookmarkEnd w:id="451"/>
      <w:bookmarkEnd w:id="452"/>
      <w:bookmarkEnd w:id="453"/>
      <w:r>
        <w:rPr>
          <w:rFonts w:hint="eastAsia"/>
          <w:b/>
          <w:szCs w:val="21"/>
        </w:rPr>
        <w:t>。</w:t>
      </w:r>
      <w:r>
        <w:rPr>
          <w:rFonts w:hint="eastAsia"/>
          <w:szCs w:val="21"/>
        </w:rPr>
        <w:t>在试运行期间，实施方工程人员将观察记录产品的各项功能实施情况，若发现问题，及时解决。</w:t>
      </w:r>
    </w:p>
    <w:p>
      <w:pPr>
        <w:ind w:firstLine="482"/>
        <w:rPr>
          <w:b/>
          <w:szCs w:val="21"/>
        </w:rPr>
      </w:pPr>
      <w:bookmarkStart w:id="454" w:name="_Toc507081024"/>
      <w:bookmarkStart w:id="455" w:name="_Toc516130562"/>
      <w:bookmarkStart w:id="456" w:name="_Toc516130419"/>
      <w:r>
        <w:rPr>
          <w:rFonts w:hint="eastAsia"/>
          <w:b/>
          <w:szCs w:val="21"/>
        </w:rPr>
        <w:t>项目最终验收</w:t>
      </w:r>
      <w:bookmarkEnd w:id="454"/>
      <w:bookmarkEnd w:id="455"/>
      <w:bookmarkEnd w:id="456"/>
      <w:bookmarkStart w:id="457" w:name="_Toc516130420"/>
      <w:bookmarkStart w:id="458" w:name="_Toc507081025"/>
      <w:bookmarkStart w:id="459" w:name="_Toc516130563"/>
      <w:r>
        <w:rPr>
          <w:rFonts w:hint="eastAsia"/>
          <w:b/>
          <w:szCs w:val="21"/>
        </w:rPr>
        <w:t>。</w:t>
      </w:r>
      <w:r>
        <w:rPr>
          <w:rFonts w:hint="eastAsia"/>
          <w:szCs w:val="21"/>
        </w:rPr>
        <w:t>遵照合同要求，经过试运行后，进行最终验收。按照《财政部关于进一步加强政府采购需求和履约验收管理的指导意见》（财库〔2016〕205号）执行。</w:t>
      </w:r>
    </w:p>
    <w:bookmarkEnd w:id="457"/>
    <w:bookmarkEnd w:id="458"/>
    <w:bookmarkEnd w:id="459"/>
    <w:p>
      <w:pPr>
        <w:pStyle w:val="5"/>
        <w:numPr>
          <w:ilvl w:val="1"/>
          <w:numId w:val="0"/>
        </w:numPr>
        <w:ind w:leftChars="0"/>
      </w:pPr>
      <w:bookmarkStart w:id="460" w:name="_Toc33625179"/>
      <w:bookmarkStart w:id="461" w:name="_Toc6913"/>
      <w:bookmarkStart w:id="462" w:name="_Toc1526"/>
      <w:bookmarkStart w:id="463" w:name="_Toc26295"/>
      <w:r>
        <w:rPr>
          <w:rFonts w:hint="eastAsia"/>
          <w:lang w:val="en-US" w:eastAsia="zh-CN"/>
        </w:rPr>
        <w:t>5</w:t>
      </w:r>
      <w:r>
        <w:rPr>
          <w:rFonts w:hint="eastAsia"/>
        </w:rPr>
        <w:t>.3验收文档</w:t>
      </w:r>
      <w:bookmarkEnd w:id="460"/>
      <w:bookmarkEnd w:id="461"/>
      <w:bookmarkEnd w:id="462"/>
      <w:bookmarkEnd w:id="463"/>
    </w:p>
    <w:p>
      <w:pPr>
        <w:spacing w:line="360" w:lineRule="auto"/>
        <w:ind w:firstLine="420" w:firstLineChars="200"/>
        <w:contextualSpacing/>
        <w:rPr>
          <w:rFonts w:hint="eastAsia" w:ascii="宋体" w:hAnsi="宋体" w:eastAsia="宋体"/>
          <w:b/>
          <w:bCs/>
          <w:color w:val="auto"/>
          <w:sz w:val="24"/>
          <w:highlight w:val="none"/>
        </w:rPr>
      </w:pPr>
      <w:r>
        <w:rPr>
          <w:rFonts w:hint="eastAsia"/>
        </w:rPr>
        <w:t>在正式验收前提供的相关文档。包括：1、项目验收申请报告；2、项目招投标书；3、项目中标通知书；4、项目合同；5、项目实施相关方案、施工原始记录、设计图、施工图、网络结构图等；6、项目设备签收单、学校初验单；7、项目实施变更资料；8、项目有关的试检查报告、系统试运行报告；9、项目培训文档及培训签字表、系统运维手册；10、各设备的使用说明书、保修卡（纸质和电子）；11、售后服务保证文件</w:t>
      </w:r>
      <w:bookmarkEnd w:id="398"/>
    </w:p>
    <w:p>
      <w:pPr>
        <w:spacing w:line="360" w:lineRule="auto"/>
        <w:contextualSpacing/>
        <w:rPr>
          <w:rFonts w:hint="eastAsia" w:ascii="宋体" w:hAnsi="宋体" w:eastAsia="宋体"/>
          <w:b/>
          <w:bCs/>
          <w:color w:val="auto"/>
          <w:sz w:val="24"/>
          <w:highlight w:val="none"/>
        </w:rPr>
      </w:pPr>
    </w:p>
    <w:p>
      <w:pPr>
        <w:spacing w:line="360" w:lineRule="auto"/>
        <w:jc w:val="both"/>
        <w:rPr>
          <w:rFonts w:ascii="方正小标宋简体" w:eastAsia="方正小标宋简体"/>
          <w:color w:val="auto"/>
          <w:sz w:val="44"/>
          <w:szCs w:val="44"/>
          <w:highlight w:val="none"/>
        </w:rPr>
      </w:pPr>
    </w:p>
    <w:bookmarkEnd w:id="273"/>
    <w:bookmarkEnd w:id="274"/>
    <w:p>
      <w:pPr>
        <w:pStyle w:val="60"/>
        <w:shd w:val="clear" w:color="auto" w:fill="auto"/>
        <w:spacing w:after="200" w:line="540" w:lineRule="exact"/>
        <w:jc w:val="left"/>
        <w:rPr>
          <w:rFonts w:hint="eastAsia" w:cs="Times New Roman"/>
          <w:b/>
          <w:bCs/>
          <w:color w:val="auto"/>
          <w:kern w:val="44"/>
          <w:sz w:val="30"/>
          <w:szCs w:val="32"/>
          <w:highlight w:val="none"/>
          <w:u w:val="none"/>
          <w:shd w:val="clear"/>
          <w:lang w:val="en-US" w:eastAsia="zh-CN" w:bidi="ar-SA"/>
        </w:rPr>
      </w:pPr>
    </w:p>
    <w:p>
      <w:pPr>
        <w:pStyle w:val="60"/>
        <w:shd w:val="clear" w:color="auto" w:fill="auto"/>
        <w:spacing w:after="200" w:line="540" w:lineRule="exact"/>
        <w:ind w:firstLine="3313" w:firstLineChars="1100"/>
        <w:jc w:val="left"/>
        <w:rPr>
          <w:rFonts w:hint="eastAsia" w:ascii="宋体" w:hAnsi="宋体" w:eastAsia="宋体" w:cs="Times New Roman"/>
          <w:b/>
          <w:bCs/>
          <w:color w:val="auto"/>
          <w:kern w:val="44"/>
          <w:sz w:val="30"/>
          <w:szCs w:val="32"/>
          <w:highlight w:val="none"/>
          <w:u w:val="none"/>
          <w:shd w:val="clear"/>
          <w:lang w:val="en-US" w:eastAsia="zh-CN" w:bidi="ar-SA"/>
        </w:rPr>
      </w:pPr>
      <w:r>
        <w:rPr>
          <w:rFonts w:hint="eastAsia" w:ascii="宋体" w:hAnsi="宋体" w:eastAsia="宋体" w:cs="Times New Roman"/>
          <w:b/>
          <w:bCs/>
          <w:color w:val="auto"/>
          <w:kern w:val="44"/>
          <w:sz w:val="30"/>
          <w:szCs w:val="32"/>
          <w:highlight w:val="none"/>
          <w:u w:val="none"/>
          <w:shd w:val="clear"/>
          <w:lang w:val="en-US" w:eastAsia="zh-CN" w:bidi="ar-SA"/>
        </w:rPr>
        <w:t>第5章 磋商办法</w:t>
      </w:r>
    </w:p>
    <w:p>
      <w:pPr>
        <w:rPr>
          <w:color w:val="auto"/>
          <w:highlight w:val="none"/>
        </w:rPr>
      </w:pPr>
      <w:bookmarkStart w:id="464" w:name="EB80352aaf483c41059977fe84431aa5f8"/>
      <w:r>
        <w:rPr>
          <w:rFonts w:hint="eastAsia"/>
          <w:color w:val="auto"/>
          <w:sz w:val="20"/>
          <w:highlight w:val="none"/>
        </w:rPr>
        <w:t xml:space="preserve"> </w:t>
      </w:r>
      <w:bookmarkEnd w:id="464"/>
      <w:bookmarkStart w:id="465" w:name="EB2517064192614bef9c5415b5a0a44e0b"/>
      <w:r>
        <w:rPr>
          <w:rFonts w:hint="eastAsia"/>
          <w:color w:val="auto"/>
          <w:sz w:val="20"/>
          <w:highlight w:val="none"/>
        </w:rPr>
        <w:t xml:space="preserve"> </w:t>
      </w:r>
      <w:bookmarkEnd w:id="465"/>
    </w:p>
    <w:p>
      <w:pPr>
        <w:pStyle w:val="5"/>
        <w:numPr>
          <w:ilvl w:val="0"/>
          <w:numId w:val="0"/>
        </w:numPr>
        <w:spacing w:before="156" w:after="156"/>
        <w:rPr>
          <w:color w:val="auto"/>
          <w:highlight w:val="none"/>
        </w:rPr>
      </w:pPr>
      <w:bookmarkStart w:id="466" w:name="_Toc6259"/>
      <w:bookmarkStart w:id="467" w:name="_Toc15173"/>
      <w:r>
        <w:rPr>
          <w:rFonts w:hint="eastAsia"/>
          <w:color w:val="auto"/>
          <w:highlight w:val="none"/>
        </w:rPr>
        <w:t>5.1总则</w:t>
      </w:r>
      <w:bookmarkEnd w:id="466"/>
      <w:bookmarkEnd w:id="467"/>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根据《中华人民共和国政府采购法》、《中华人民共和国政府采购法实施条例》和《政府采购竞争性磋商采购方式管理暂行办法》等法律及规范性文件，结合采购项目特点制定本办法。</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评审工作由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公资交易中心负责组织，具体评审事务由采购人和</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公资交易中心依法组建的磋商小组负责。磋商小组由采购人代表和评审专家组成。</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评审工作应遵循公平、公正、科学及择优的原则，并以相同的评审程序和标准对待所有供应商。</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磋商小组按照磋商文件规定的磋商程序、评审方法和标准进行独立评审，并独立履行下列职责：</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从符合相应资格条件并通过符合性审查的供应商名单中确定不少于三家的供应商参加磋商；</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审查供应商的响应文件并作出评价</w:t>
      </w:r>
      <w:r>
        <w:rPr>
          <w:rFonts w:hint="eastAsia" w:ascii="宋体" w:hAnsi="宋体"/>
          <w:color w:val="auto"/>
          <w:sz w:val="24"/>
          <w:szCs w:val="24"/>
          <w:highlight w:val="none"/>
        </w:rPr>
        <w:t>；</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要求供应商解释或者澄清其响应文件</w:t>
      </w:r>
      <w:r>
        <w:rPr>
          <w:rFonts w:hint="eastAsia" w:ascii="宋体" w:hAnsi="宋体"/>
          <w:color w:val="auto"/>
          <w:sz w:val="24"/>
          <w:szCs w:val="24"/>
          <w:highlight w:val="none"/>
        </w:rPr>
        <w:t>；</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依法、客观、公平、公正开展供应商资格性审查、符合性审查、磋商和推荐成交候选供应商</w:t>
      </w:r>
      <w:r>
        <w:rPr>
          <w:rFonts w:hint="eastAsia" w:ascii="宋体" w:hAnsi="宋体"/>
          <w:color w:val="auto"/>
          <w:sz w:val="24"/>
          <w:szCs w:val="24"/>
          <w:highlight w:val="none"/>
        </w:rPr>
        <w:t>；</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编写评审报告</w:t>
      </w:r>
      <w:r>
        <w:rPr>
          <w:rFonts w:hint="eastAsia" w:ascii="宋体" w:hAnsi="宋体"/>
          <w:color w:val="auto"/>
          <w:sz w:val="24"/>
          <w:szCs w:val="24"/>
          <w:highlight w:val="none"/>
        </w:rPr>
        <w:t>；</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告知采购人、采购代理机构在评审过程中发现的供应商的违法违规行为</w:t>
      </w:r>
      <w:r>
        <w:rPr>
          <w:rFonts w:hint="eastAsia" w:ascii="宋体" w:hAnsi="宋体"/>
          <w:color w:val="auto"/>
          <w:sz w:val="24"/>
          <w:szCs w:val="24"/>
          <w:highlight w:val="none"/>
        </w:rPr>
        <w:t>；</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保守供应商的商业秘密；</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配合处理供应商质疑；</w:t>
      </w:r>
    </w:p>
    <w:p>
      <w:pPr>
        <w:numPr>
          <w:ilvl w:val="1"/>
          <w:numId w:val="30"/>
        </w:numPr>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配合处理供应商投诉；</w:t>
      </w:r>
    </w:p>
    <w:p>
      <w:pPr>
        <w:numPr>
          <w:ilvl w:val="1"/>
          <w:numId w:val="30"/>
        </w:numPr>
        <w:tabs>
          <w:tab w:val="left" w:pos="1418"/>
        </w:tabs>
        <w:spacing w:after="200" w:line="360" w:lineRule="auto"/>
        <w:ind w:left="0" w:firstLine="567"/>
        <w:rPr>
          <w:rFonts w:ascii="宋体" w:hAnsi="宋体"/>
          <w:color w:val="auto"/>
          <w:sz w:val="24"/>
          <w:szCs w:val="24"/>
          <w:highlight w:val="none"/>
        </w:rPr>
      </w:pPr>
      <w:r>
        <w:rPr>
          <w:rFonts w:hint="eastAsia" w:ascii="宋体" w:hAnsi="宋体" w:cs="宋体"/>
          <w:color w:val="auto"/>
          <w:sz w:val="24"/>
          <w:szCs w:val="24"/>
          <w:highlight w:val="none"/>
        </w:rPr>
        <w:t>其他需要履行的工作职责</w:t>
      </w:r>
      <w:r>
        <w:rPr>
          <w:rFonts w:hint="eastAsia" w:ascii="宋体" w:hAnsi="宋体"/>
          <w:color w:val="auto"/>
          <w:sz w:val="24"/>
          <w:szCs w:val="24"/>
          <w:highlight w:val="none"/>
        </w:rPr>
        <w:t>。</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评审过程独立、保密。供应商非法干预评审过程的行为将导致其响应文件作无效处理。</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磋商小组审查响应文件的响应性依据响应文件本身的内容，而不寻求外部的证据，磋商文件有明确约定的除外。</w:t>
      </w:r>
    </w:p>
    <w:p>
      <w:pPr>
        <w:numPr>
          <w:ilvl w:val="0"/>
          <w:numId w:val="29"/>
        </w:numPr>
        <w:tabs>
          <w:tab w:val="left" w:pos="1134"/>
        </w:tabs>
        <w:spacing w:after="200" w:line="360" w:lineRule="auto"/>
        <w:ind w:left="0" w:firstLine="484" w:firstLineChars="202"/>
        <w:rPr>
          <w:rFonts w:ascii="宋体" w:hAnsi="宋体"/>
          <w:color w:val="auto"/>
          <w:sz w:val="24"/>
          <w:szCs w:val="24"/>
          <w:highlight w:val="none"/>
        </w:rPr>
      </w:pPr>
      <w:r>
        <w:rPr>
          <w:rFonts w:hint="eastAsia" w:ascii="宋体" w:hAnsi="宋体"/>
          <w:color w:val="auto"/>
          <w:sz w:val="24"/>
          <w:szCs w:val="24"/>
          <w:highlight w:val="none"/>
        </w:rPr>
        <w:t>磋商小组发现磋商文件表述不明确或需要说明的事项，可提请采购人和</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公资交易中心书面解释说明。</w:t>
      </w:r>
    </w:p>
    <w:p>
      <w:pPr>
        <w:pStyle w:val="5"/>
        <w:numPr>
          <w:ilvl w:val="0"/>
          <w:numId w:val="0"/>
        </w:numPr>
        <w:spacing w:before="156" w:after="156"/>
        <w:rPr>
          <w:color w:val="auto"/>
          <w:highlight w:val="none"/>
        </w:rPr>
      </w:pPr>
      <w:bookmarkStart w:id="468" w:name="_Toc15855"/>
      <w:bookmarkStart w:id="469" w:name="_Toc32134"/>
      <w:r>
        <w:rPr>
          <w:rFonts w:hint="eastAsia"/>
          <w:color w:val="auto"/>
          <w:highlight w:val="none"/>
        </w:rPr>
        <w:t>5.2</w:t>
      </w:r>
      <w:r>
        <w:rPr>
          <w:rFonts w:hint="eastAsia"/>
          <w:color w:val="auto"/>
          <w:highlight w:val="none"/>
          <w:lang w:eastAsia="zh-CN"/>
        </w:rPr>
        <w:t>评审</w:t>
      </w:r>
      <w:r>
        <w:rPr>
          <w:rFonts w:hint="eastAsia"/>
          <w:color w:val="auto"/>
          <w:highlight w:val="none"/>
        </w:rPr>
        <w:t>程序</w:t>
      </w:r>
      <w:bookmarkEnd w:id="468"/>
      <w:bookmarkEnd w:id="469"/>
    </w:p>
    <w:p>
      <w:pPr>
        <w:pStyle w:val="6"/>
        <w:numPr>
          <w:ilvl w:val="2"/>
          <w:numId w:val="0"/>
        </w:numPr>
        <w:spacing w:after="200"/>
        <w:ind w:leftChars="0"/>
        <w:rPr>
          <w:rFonts w:hint="eastAsia"/>
          <w:color w:val="auto"/>
          <w:highlight w:val="none"/>
        </w:rPr>
      </w:pPr>
      <w:bookmarkStart w:id="470" w:name="_Toc983"/>
      <w:bookmarkStart w:id="471" w:name="_Toc559"/>
      <w:bookmarkStart w:id="472" w:name="_Toc9970"/>
      <w:r>
        <w:rPr>
          <w:rFonts w:hint="eastAsia"/>
          <w:color w:val="auto"/>
          <w:highlight w:val="none"/>
        </w:rPr>
        <w:t>5.2.</w:t>
      </w:r>
      <w:r>
        <w:rPr>
          <w:rFonts w:hint="eastAsia"/>
          <w:color w:val="auto"/>
          <w:highlight w:val="none"/>
          <w:lang w:val="en-US" w:eastAsia="zh-CN"/>
        </w:rPr>
        <w:t>1</w:t>
      </w:r>
      <w:bookmarkStart w:id="473" w:name="_Toc287623646"/>
      <w:r>
        <w:rPr>
          <w:rFonts w:hint="eastAsia"/>
          <w:color w:val="auto"/>
          <w:highlight w:val="none"/>
        </w:rPr>
        <w:t>磋商小组</w:t>
      </w:r>
      <w:bookmarkEnd w:id="470"/>
      <w:bookmarkEnd w:id="471"/>
      <w:bookmarkEnd w:id="472"/>
      <w:bookmarkEnd w:id="473"/>
    </w:p>
    <w:p>
      <w:pPr>
        <w:pStyle w:val="10"/>
        <w:spacing w:line="360" w:lineRule="auto"/>
        <w:ind w:firstLine="480" w:firstLineChars="200"/>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磋商小组由采购人代表和根据采购项目情况确定的技术或经济或法律等有关专家3人以上的单数组成。磋商小组负责本项目的磋商和评审工作。</w:t>
      </w:r>
    </w:p>
    <w:p>
      <w:pPr>
        <w:pStyle w:val="6"/>
        <w:numPr>
          <w:ilvl w:val="0"/>
          <w:numId w:val="0"/>
        </w:numPr>
        <w:rPr>
          <w:color w:val="auto"/>
          <w:highlight w:val="none"/>
        </w:rPr>
      </w:pPr>
      <w:bookmarkStart w:id="474" w:name="_Toc8049"/>
      <w:bookmarkStart w:id="475" w:name="_Toc26492"/>
      <w:bookmarkStart w:id="476" w:name="_Toc2643"/>
      <w:r>
        <w:rPr>
          <w:rFonts w:hint="eastAsia"/>
          <w:color w:val="auto"/>
          <w:highlight w:val="none"/>
        </w:rPr>
        <w:t>5.2.</w:t>
      </w:r>
      <w:r>
        <w:rPr>
          <w:rFonts w:hint="eastAsia"/>
          <w:color w:val="auto"/>
          <w:highlight w:val="none"/>
          <w:lang w:val="en-US" w:eastAsia="zh-CN"/>
        </w:rPr>
        <w:t>2</w:t>
      </w:r>
      <w:r>
        <w:rPr>
          <w:rFonts w:hint="eastAsia"/>
          <w:color w:val="auto"/>
          <w:highlight w:val="none"/>
        </w:rPr>
        <w:t>资格性审查</w:t>
      </w:r>
      <w:bookmarkEnd w:id="474"/>
      <w:bookmarkEnd w:id="475"/>
      <w:bookmarkEnd w:id="476"/>
    </w:p>
    <w:p>
      <w:pPr>
        <w:spacing w:line="360" w:lineRule="auto"/>
        <w:ind w:firstLine="513" w:firstLineChars="214"/>
        <w:rPr>
          <w:rFonts w:ascii="宋体" w:hAnsi="宋体"/>
          <w:color w:val="auto"/>
          <w:sz w:val="24"/>
          <w:szCs w:val="24"/>
          <w:highlight w:val="none"/>
        </w:rPr>
      </w:pPr>
      <w:r>
        <w:rPr>
          <w:rFonts w:hint="eastAsia" w:ascii="宋体" w:hAnsi="宋体"/>
          <w:color w:val="auto"/>
          <w:sz w:val="24"/>
          <w:szCs w:val="24"/>
          <w:highlight w:val="none"/>
        </w:rPr>
        <w:t>首次递交响应文件截止时间结束后，由磋商小组对递交响应文件的供应商进行资格性审查。磋商小组在资格性审查过程中，磋商小组成员对供应商资格是否符合规定存在争议的，应当以少数服从多数的原则处理，但不得违反政府采购法和磋商文件规定。</w:t>
      </w:r>
    </w:p>
    <w:p>
      <w:pPr>
        <w:pStyle w:val="23"/>
        <w:ind w:firstLine="480"/>
        <w:rPr>
          <w:rFonts w:hint="eastAsia"/>
          <w:color w:val="auto"/>
          <w:highlight w:val="none"/>
          <w:lang w:eastAsia="zh-CN"/>
        </w:rPr>
      </w:pPr>
      <w:r>
        <w:rPr>
          <w:rFonts w:hint="eastAsia"/>
          <w:color w:val="auto"/>
          <w:highlight w:val="none"/>
        </w:rPr>
        <w:t>供应商资格审查的标准：</w:t>
      </w:r>
    </w:p>
    <w:tbl>
      <w:tblPr>
        <w:tblStyle w:val="17"/>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4"/>
        <w:gridCol w:w="1318"/>
        <w:gridCol w:w="5253"/>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noWrap w:val="0"/>
            <w:vAlign w:val="center"/>
          </w:tcPr>
          <w:p>
            <w:pPr>
              <w:snapToGrid w:val="0"/>
              <w:spacing w:line="240" w:lineRule="atLeast"/>
              <w:jc w:val="center"/>
              <w:rPr>
                <w:rFonts w:ascii="宋体" w:hAnsi="宋体"/>
                <w:b/>
                <w:color w:val="auto"/>
                <w:sz w:val="20"/>
                <w:szCs w:val="28"/>
                <w:highlight w:val="none"/>
              </w:rPr>
            </w:pPr>
            <w:bookmarkStart w:id="477" w:name="EB5cc128059ea34597a198b05c7be3b1cb"/>
            <w:r>
              <w:rPr>
                <w:rFonts w:hint="eastAsia" w:ascii="宋体" w:hAnsi="宋体"/>
                <w:b/>
                <w:color w:val="auto"/>
                <w:sz w:val="20"/>
                <w:szCs w:val="28"/>
                <w:highlight w:val="none"/>
              </w:rPr>
              <w:t>序号</w:t>
            </w:r>
          </w:p>
        </w:tc>
        <w:tc>
          <w:tcPr>
            <w:tcW w:w="2552" w:type="dxa"/>
            <w:gridSpan w:val="2"/>
            <w:noWrap w:val="0"/>
            <w:vAlign w:val="center"/>
          </w:tcPr>
          <w:p>
            <w:pPr>
              <w:snapToGrid w:val="0"/>
              <w:spacing w:line="240" w:lineRule="atLeast"/>
              <w:jc w:val="center"/>
              <w:rPr>
                <w:rFonts w:ascii="宋体" w:hAnsi="宋体"/>
                <w:b/>
                <w:color w:val="auto"/>
                <w:sz w:val="20"/>
                <w:szCs w:val="28"/>
                <w:highlight w:val="none"/>
              </w:rPr>
            </w:pPr>
            <w:r>
              <w:rPr>
                <w:rFonts w:hint="eastAsia" w:ascii="宋体" w:hAnsi="宋体"/>
                <w:b/>
                <w:color w:val="auto"/>
                <w:sz w:val="20"/>
                <w:szCs w:val="28"/>
                <w:highlight w:val="none"/>
              </w:rPr>
              <w:t>项     目</w:t>
            </w:r>
          </w:p>
        </w:tc>
        <w:tc>
          <w:tcPr>
            <w:tcW w:w="5253" w:type="dxa"/>
            <w:noWrap w:val="0"/>
            <w:vAlign w:val="center"/>
          </w:tcPr>
          <w:p>
            <w:pPr>
              <w:snapToGrid w:val="0"/>
              <w:spacing w:line="240" w:lineRule="atLeast"/>
              <w:jc w:val="center"/>
              <w:rPr>
                <w:rFonts w:ascii="宋体" w:hAnsi="宋体"/>
                <w:b/>
                <w:color w:val="auto"/>
                <w:sz w:val="20"/>
                <w:szCs w:val="28"/>
                <w:highlight w:val="none"/>
              </w:rPr>
            </w:pPr>
            <w:r>
              <w:rPr>
                <w:rFonts w:hint="eastAsia" w:ascii="宋体" w:hAnsi="宋体"/>
                <w:b/>
                <w:color w:val="auto"/>
                <w:sz w:val="20"/>
                <w:szCs w:val="28"/>
                <w:highlight w:val="none"/>
              </w:rPr>
              <w:t>通过条件</w:t>
            </w:r>
          </w:p>
        </w:tc>
        <w:tc>
          <w:tcPr>
            <w:tcW w:w="842" w:type="dxa"/>
            <w:noWrap w:val="0"/>
            <w:vAlign w:val="center"/>
          </w:tcPr>
          <w:p>
            <w:pPr>
              <w:snapToGrid w:val="0"/>
              <w:spacing w:line="240" w:lineRule="atLeast"/>
              <w:jc w:val="center"/>
              <w:rPr>
                <w:rFonts w:ascii="宋体" w:hAnsi="宋体"/>
                <w:b/>
                <w:color w:val="auto"/>
                <w:sz w:val="20"/>
                <w:szCs w:val="28"/>
                <w:highlight w:val="none"/>
              </w:rPr>
            </w:pPr>
            <w:r>
              <w:rPr>
                <w:rFonts w:hint="eastAsia" w:ascii="宋体" w:hAnsi="宋体"/>
                <w:b/>
                <w:color w:val="auto"/>
                <w:sz w:val="20"/>
                <w:szCs w:val="28"/>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9" w:type="dxa"/>
            <w:noWrap w:val="0"/>
            <w:vAlign w:val="center"/>
          </w:tcPr>
          <w:p>
            <w:pPr>
              <w:pStyle w:val="28"/>
              <w:numPr>
                <w:ilvl w:val="0"/>
                <w:numId w:val="31"/>
              </w:numPr>
              <w:tabs>
                <w:tab w:val="left" w:pos="275"/>
              </w:tabs>
              <w:snapToGrid w:val="0"/>
              <w:spacing w:line="240" w:lineRule="atLeast"/>
              <w:ind w:left="0" w:firstLine="0" w:firstLineChars="0"/>
              <w:jc w:val="both"/>
              <w:rPr>
                <w:rFonts w:ascii="宋体" w:hAnsi="宋体" w:eastAsia="宋体"/>
                <w:color w:val="auto"/>
                <w:sz w:val="20"/>
                <w:szCs w:val="28"/>
                <w:highlight w:val="none"/>
              </w:rPr>
            </w:pPr>
          </w:p>
        </w:tc>
        <w:tc>
          <w:tcPr>
            <w:tcW w:w="2552" w:type="dxa"/>
            <w:gridSpan w:val="2"/>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在中华人民共和国境内注册，并有效存续具有独立法人资格的供应商</w:t>
            </w:r>
          </w:p>
        </w:tc>
        <w:tc>
          <w:tcPr>
            <w:tcW w:w="5253" w:type="dxa"/>
            <w:noWrap w:val="0"/>
            <w:vAlign w:val="center"/>
          </w:tcPr>
          <w:p>
            <w:pPr>
              <w:spacing w:line="240" w:lineRule="atLeast"/>
              <w:rPr>
                <w:rFonts w:ascii="宋体" w:hAnsi="宋体"/>
                <w:color w:val="auto"/>
                <w:sz w:val="20"/>
                <w:szCs w:val="28"/>
                <w:highlight w:val="none"/>
              </w:rPr>
            </w:pPr>
            <w:r>
              <w:rPr>
                <w:rFonts w:ascii="宋体" w:hAnsi="宋体"/>
                <w:color w:val="auto"/>
                <w:sz w:val="20"/>
                <w:szCs w:val="28"/>
                <w:highlight w:val="none"/>
              </w:rPr>
              <w:t>营业执照（正本或副本）复印件或法人证书（正本或副本）复印件</w:t>
            </w:r>
            <w:r>
              <w:rPr>
                <w:rFonts w:hint="eastAsia" w:ascii="宋体" w:hAnsi="宋体"/>
                <w:color w:val="auto"/>
                <w:sz w:val="20"/>
                <w:szCs w:val="28"/>
                <w:highlight w:val="none"/>
              </w:rPr>
              <w:t>【说明：①营业执照或法人证书载明有期限的，应在有效期限内；②在中华人民共和国境内注册，具有独立法人资格。】。</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restart"/>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restart"/>
            <w:noWrap w:val="0"/>
            <w:vAlign w:val="center"/>
          </w:tcPr>
          <w:p>
            <w:pPr>
              <w:tabs>
                <w:tab w:val="left" w:pos="851"/>
              </w:tabs>
              <w:spacing w:after="0" w:line="360" w:lineRule="auto"/>
              <w:rPr>
                <w:rFonts w:ascii="宋体" w:hAnsi="宋体"/>
                <w:color w:val="auto"/>
                <w:sz w:val="20"/>
                <w:szCs w:val="28"/>
                <w:highlight w:val="none"/>
              </w:rPr>
            </w:pPr>
            <w:r>
              <w:rPr>
                <w:rFonts w:hint="eastAsia"/>
                <w:color w:val="auto"/>
                <w:sz w:val="20"/>
                <w:highlight w:val="none"/>
              </w:rPr>
              <w:t>书面声明材料</w:t>
            </w:r>
          </w:p>
        </w:tc>
        <w:tc>
          <w:tcPr>
            <w:tcW w:w="1318" w:type="dxa"/>
            <w:noWrap w:val="0"/>
            <w:vAlign w:val="center"/>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具有良好的商业信誉</w:t>
            </w:r>
          </w:p>
        </w:tc>
        <w:tc>
          <w:tcPr>
            <w:tcW w:w="5253" w:type="dxa"/>
            <w:noWrap w:val="0"/>
            <w:vAlign w:val="center"/>
          </w:tcPr>
          <w:p>
            <w:pPr>
              <w:shd w:val="clear" w:color="auto" w:fill="FFFFFF"/>
              <w:spacing w:line="240" w:lineRule="atLeast"/>
              <w:rPr>
                <w:rFonts w:ascii="宋体" w:hAnsi="宋体"/>
                <w:color w:val="auto"/>
                <w:sz w:val="20"/>
                <w:szCs w:val="20"/>
                <w:highlight w:val="none"/>
              </w:rPr>
            </w:pPr>
            <w:r>
              <w:rPr>
                <w:rFonts w:ascii="宋体" w:hAnsi="宋体"/>
                <w:color w:val="auto"/>
                <w:sz w:val="20"/>
                <w:szCs w:val="20"/>
                <w:highlight w:val="none"/>
              </w:rPr>
              <w:t>供应商具有良好的商业信誉的书面声明材料</w:t>
            </w:r>
            <w:r>
              <w:rPr>
                <w:rFonts w:hint="eastAsia" w:ascii="宋体" w:hAnsi="宋体"/>
                <w:color w:val="auto"/>
                <w:sz w:val="20"/>
                <w:szCs w:val="20"/>
                <w:highlight w:val="none"/>
              </w:rPr>
              <w:t>【说明：按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w:t>
            </w:r>
            <w:r>
              <w:rPr>
                <w:rFonts w:ascii="宋体" w:hAnsi="宋体"/>
                <w:color w:val="auto"/>
                <w:sz w:val="20"/>
                <w:szCs w:val="20"/>
                <w:highlight w:val="none"/>
              </w:rPr>
              <w:t>具有良好的商业信誉</w:t>
            </w:r>
            <w:r>
              <w:rPr>
                <w:rFonts w:hint="eastAsia" w:ascii="宋体" w:hAnsi="宋体"/>
                <w:color w:val="auto"/>
                <w:sz w:val="20"/>
                <w:szCs w:val="20"/>
                <w:highlight w:val="none"/>
              </w:rPr>
              <w:t>。】。</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continue"/>
            <w:noWrap w:val="0"/>
            <w:vAlign w:val="center"/>
          </w:tcPr>
          <w:p>
            <w:pPr>
              <w:snapToGrid w:val="0"/>
              <w:spacing w:line="240" w:lineRule="atLeast"/>
              <w:jc w:val="center"/>
              <w:rPr>
                <w:rFonts w:ascii="宋体" w:hAnsi="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参加政府采购活动前三年内，在经营活动中没有重大违法记录</w:t>
            </w:r>
          </w:p>
        </w:tc>
        <w:tc>
          <w:tcPr>
            <w:tcW w:w="5253" w:type="dxa"/>
            <w:noWrap w:val="0"/>
            <w:vAlign w:val="center"/>
          </w:tcPr>
          <w:p>
            <w:pPr>
              <w:snapToGrid w:val="0"/>
              <w:spacing w:line="240" w:lineRule="atLeast"/>
              <w:rPr>
                <w:rFonts w:ascii="宋体" w:hAnsi="宋体"/>
                <w:color w:val="auto"/>
                <w:sz w:val="20"/>
                <w:szCs w:val="20"/>
                <w:highlight w:val="none"/>
              </w:rPr>
            </w:pPr>
            <w:r>
              <w:rPr>
                <w:rFonts w:hint="eastAsia"/>
                <w:color w:val="auto"/>
                <w:sz w:val="20"/>
                <w:szCs w:val="28"/>
                <w:highlight w:val="none"/>
                <w:lang w:val="en-US" w:eastAsia="zh-CN"/>
              </w:rPr>
              <w:t>1.</w:t>
            </w:r>
            <w:r>
              <w:rPr>
                <w:rFonts w:ascii="宋体" w:hAnsi="宋体"/>
                <w:color w:val="auto"/>
                <w:sz w:val="20"/>
                <w:szCs w:val="28"/>
                <w:highlight w:val="none"/>
              </w:rPr>
              <w:t>供应商参加政府采购活动前三年内，在经营活动中没有重大违法记录的书面声</w:t>
            </w:r>
            <w:r>
              <w:rPr>
                <w:rFonts w:ascii="宋体" w:hAnsi="宋体"/>
                <w:color w:val="auto"/>
                <w:sz w:val="20"/>
                <w:szCs w:val="20"/>
                <w:highlight w:val="none"/>
              </w:rPr>
              <w:t>明材料</w:t>
            </w:r>
            <w:r>
              <w:rPr>
                <w:rFonts w:hint="eastAsia" w:ascii="宋体" w:hAnsi="宋体"/>
                <w:color w:val="auto"/>
                <w:sz w:val="20"/>
                <w:szCs w:val="20"/>
                <w:highlight w:val="none"/>
              </w:rPr>
              <w:t>【说明：①按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；②供应商参加政府采购活动前三年内，在经营活动中没有重大违法记录。】。</w:t>
            </w:r>
          </w:p>
          <w:p>
            <w:pPr>
              <w:snapToGrid w:val="0"/>
              <w:spacing w:line="240" w:lineRule="atLeast"/>
              <w:rPr>
                <w:rFonts w:ascii="宋体" w:hAnsi="宋体"/>
                <w:color w:val="auto"/>
                <w:sz w:val="20"/>
                <w:szCs w:val="20"/>
                <w:highlight w:val="none"/>
              </w:rPr>
            </w:pPr>
            <w:r>
              <w:rPr>
                <w:rFonts w:hint="eastAsia"/>
                <w:color w:val="auto"/>
                <w:sz w:val="20"/>
                <w:szCs w:val="20"/>
                <w:highlight w:val="none"/>
                <w:lang w:val="en-US" w:eastAsia="zh-CN"/>
              </w:rPr>
              <w:t>2.</w:t>
            </w:r>
            <w:r>
              <w:rPr>
                <w:rFonts w:hint="eastAsia"/>
                <w:color w:val="auto"/>
                <w:sz w:val="20"/>
                <w:szCs w:val="20"/>
                <w:highlight w:val="none"/>
                <w:lang w:eastAsia="zh-CN"/>
              </w:rPr>
              <w:t>磋商</w:t>
            </w:r>
            <w:r>
              <w:rPr>
                <w:rFonts w:hint="eastAsia" w:ascii="宋体" w:hAnsi="宋体"/>
                <w:color w:val="auto"/>
                <w:sz w:val="20"/>
                <w:szCs w:val="20"/>
                <w:highlight w:val="none"/>
              </w:rPr>
              <w:t>小组根据“信用中国”网站、“中国政府采购网”的查询结果，对供应商在参加政府采购活动前三年内，在经营活动中是否有重大违法记录进行审查【说明：供</w:t>
            </w:r>
            <w:r>
              <w:rPr>
                <w:rFonts w:hint="eastAsia" w:ascii="宋体" w:hAnsi="宋体"/>
                <w:color w:val="auto"/>
                <w:sz w:val="20"/>
                <w:szCs w:val="28"/>
                <w:highlight w:val="none"/>
              </w:rPr>
              <w:t>应商参加政府采购活动前三年内，在经营活动中没有重大违法记录】。</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709" w:type="dxa"/>
            <w:vMerge w:val="continue"/>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未被列入失信被执行人、重大税收违法案件当事人名单、政府采购严重违法失信行为记录名单</w:t>
            </w:r>
          </w:p>
        </w:tc>
        <w:tc>
          <w:tcPr>
            <w:tcW w:w="5253" w:type="dxa"/>
            <w:noWrap w:val="0"/>
            <w:vAlign w:val="center"/>
          </w:tcPr>
          <w:p>
            <w:pPr>
              <w:spacing w:line="240" w:lineRule="atLeast"/>
              <w:rPr>
                <w:rFonts w:ascii="宋体" w:hAnsi="宋体"/>
                <w:color w:val="auto"/>
                <w:sz w:val="20"/>
                <w:szCs w:val="28"/>
                <w:highlight w:val="none"/>
              </w:rPr>
            </w:pPr>
            <w:r>
              <w:rPr>
                <w:rFonts w:hint="eastAsia"/>
                <w:color w:val="auto"/>
                <w:sz w:val="20"/>
                <w:szCs w:val="28"/>
                <w:highlight w:val="none"/>
                <w:lang w:val="en-US" w:eastAsia="zh-CN"/>
              </w:rPr>
              <w:t>1.</w:t>
            </w:r>
            <w:r>
              <w:rPr>
                <w:rFonts w:ascii="宋体" w:hAnsi="宋体"/>
                <w:color w:val="auto"/>
                <w:sz w:val="20"/>
                <w:szCs w:val="28"/>
                <w:highlight w:val="none"/>
              </w:rPr>
              <w:t>供应商未被列入失信被执行人、重大税收违法案件当事人</w:t>
            </w:r>
            <w:r>
              <w:rPr>
                <w:rFonts w:ascii="宋体" w:hAnsi="宋体"/>
                <w:color w:val="auto"/>
                <w:sz w:val="20"/>
                <w:szCs w:val="20"/>
                <w:highlight w:val="none"/>
              </w:rPr>
              <w:t>名单、政府采购严重违法失信行为记录名单的书面声明材料【说明：</w:t>
            </w:r>
            <w:r>
              <w:rPr>
                <w:rFonts w:hint="eastAsia" w:ascii="宋体" w:hAnsi="宋体"/>
                <w:color w:val="auto"/>
                <w:sz w:val="20"/>
                <w:szCs w:val="20"/>
                <w:highlight w:val="none"/>
              </w:rPr>
              <w:t>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；②供应商未被列入失信被执行人、重大税收违法案件当事人名单</w:t>
            </w:r>
            <w:r>
              <w:rPr>
                <w:rFonts w:hint="eastAsia" w:ascii="宋体" w:hAnsi="宋体"/>
                <w:color w:val="auto"/>
                <w:sz w:val="20"/>
                <w:szCs w:val="28"/>
                <w:highlight w:val="none"/>
              </w:rPr>
              <w:t>、政府采购严重违法失信行为记录名单</w:t>
            </w:r>
            <w:r>
              <w:rPr>
                <w:rFonts w:ascii="宋体" w:hAnsi="宋体"/>
                <w:color w:val="auto"/>
                <w:sz w:val="20"/>
                <w:szCs w:val="28"/>
                <w:highlight w:val="none"/>
              </w:rPr>
              <w:t>。】</w:t>
            </w:r>
            <w:r>
              <w:rPr>
                <w:rFonts w:hint="eastAsia" w:ascii="宋体" w:hAnsi="宋体"/>
                <w:color w:val="auto"/>
                <w:sz w:val="20"/>
                <w:szCs w:val="28"/>
                <w:highlight w:val="none"/>
              </w:rPr>
              <w:t>。</w:t>
            </w:r>
          </w:p>
          <w:p>
            <w:pPr>
              <w:spacing w:line="240" w:lineRule="atLeast"/>
              <w:rPr>
                <w:rFonts w:ascii="宋体" w:hAnsi="宋体"/>
                <w:color w:val="auto"/>
                <w:sz w:val="20"/>
                <w:szCs w:val="28"/>
                <w:highlight w:val="none"/>
              </w:rPr>
            </w:pPr>
            <w:r>
              <w:rPr>
                <w:rFonts w:hint="eastAsia"/>
                <w:color w:val="auto"/>
                <w:sz w:val="20"/>
                <w:szCs w:val="20"/>
                <w:highlight w:val="none"/>
                <w:lang w:val="en-US" w:eastAsia="zh-CN"/>
              </w:rPr>
              <w:t>2.</w:t>
            </w:r>
            <w:r>
              <w:rPr>
                <w:rFonts w:hint="eastAsia"/>
                <w:color w:val="auto"/>
                <w:sz w:val="20"/>
                <w:szCs w:val="20"/>
                <w:highlight w:val="none"/>
                <w:lang w:eastAsia="zh-CN"/>
              </w:rPr>
              <w:t>磋商</w:t>
            </w:r>
            <w:r>
              <w:rPr>
                <w:rFonts w:hint="eastAsia" w:ascii="宋体" w:hAnsi="宋体"/>
                <w:color w:val="auto"/>
                <w:sz w:val="20"/>
                <w:szCs w:val="20"/>
                <w:highlight w:val="none"/>
              </w:rPr>
              <w:t>小组</w:t>
            </w:r>
            <w:r>
              <w:rPr>
                <w:rFonts w:hint="eastAsia" w:ascii="宋体" w:hAnsi="宋体"/>
                <w:color w:val="auto"/>
                <w:sz w:val="20"/>
                <w:szCs w:val="28"/>
                <w:highlight w:val="none"/>
              </w:rPr>
              <w:t>根据“信用中国”网站、“中国政府采购网”的查询结果，对供应商在参加政府采购活动前三年内，在经营活动中是否被列入失信被执行人、重大税收违法案件当事人名单、政府采购严重违法失信行为记录名单进行审查【说明：供应商未被列入失信被执行人、重大税收违法案件当事人名单、政府采购严重违法失信行为记录名单。</w:t>
            </w:r>
            <w:r>
              <w:rPr>
                <w:rFonts w:ascii="宋体" w:hAnsi="宋体"/>
                <w:color w:val="auto"/>
                <w:sz w:val="20"/>
                <w:szCs w:val="28"/>
                <w:highlight w:val="none"/>
              </w:rPr>
              <w:t>】</w:t>
            </w:r>
            <w:r>
              <w:rPr>
                <w:rFonts w:hint="eastAsia" w:ascii="宋体" w:hAnsi="宋体"/>
                <w:color w:val="auto"/>
                <w:sz w:val="20"/>
                <w:szCs w:val="28"/>
                <w:highlight w:val="none"/>
              </w:rPr>
              <w:t>。</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pacing w:line="240" w:lineRule="atLeast"/>
              <w:rPr>
                <w:rFonts w:ascii="宋体" w:hAnsi="宋体"/>
                <w:color w:val="auto"/>
                <w:sz w:val="20"/>
                <w:szCs w:val="28"/>
                <w:highlight w:val="none"/>
              </w:rPr>
            </w:pPr>
          </w:p>
        </w:tc>
        <w:tc>
          <w:tcPr>
            <w:tcW w:w="1318" w:type="dxa"/>
            <w:noWrap w:val="0"/>
            <w:vAlign w:val="center"/>
          </w:tcPr>
          <w:p>
            <w:pPr>
              <w:spacing w:line="240" w:lineRule="atLeast"/>
              <w:jc w:val="center"/>
              <w:rPr>
                <w:rFonts w:ascii="宋体" w:hAnsi="宋体"/>
                <w:color w:val="auto"/>
                <w:sz w:val="20"/>
                <w:szCs w:val="28"/>
                <w:highlight w:val="none"/>
              </w:rPr>
            </w:pPr>
            <w:r>
              <w:rPr>
                <w:rFonts w:hint="eastAsia" w:ascii="宋体" w:hAnsi="宋体"/>
                <w:color w:val="auto"/>
                <w:sz w:val="20"/>
                <w:szCs w:val="28"/>
                <w:highlight w:val="none"/>
              </w:rPr>
              <w:t>未处于被行政部门禁止参与政府采购活动的期限内</w:t>
            </w:r>
          </w:p>
        </w:tc>
        <w:tc>
          <w:tcPr>
            <w:tcW w:w="5253" w:type="dxa"/>
            <w:noWrap w:val="0"/>
            <w:vAlign w:val="top"/>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供应商未处于被行政部门禁止参与政府采购活动的期限内</w:t>
            </w:r>
            <w:r>
              <w:rPr>
                <w:rFonts w:ascii="宋体" w:hAnsi="宋体"/>
                <w:color w:val="auto"/>
                <w:sz w:val="20"/>
                <w:szCs w:val="28"/>
                <w:highlight w:val="none"/>
              </w:rPr>
              <w:t>的</w:t>
            </w:r>
            <w:r>
              <w:rPr>
                <w:rFonts w:ascii="宋体" w:hAnsi="宋体"/>
                <w:color w:val="auto"/>
                <w:sz w:val="20"/>
                <w:szCs w:val="20"/>
                <w:highlight w:val="none"/>
              </w:rPr>
              <w:t>书面声明材料</w:t>
            </w:r>
            <w:r>
              <w:rPr>
                <w:rFonts w:hint="eastAsia" w:ascii="宋体" w:hAnsi="宋体"/>
                <w:color w:val="auto"/>
                <w:sz w:val="20"/>
                <w:szCs w:val="20"/>
                <w:highlight w:val="none"/>
              </w:rPr>
              <w:t>【说明：①按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；②供应商未处于被行政部门禁止参与政府采购活动的期限内。】</w:t>
            </w:r>
            <w:r>
              <w:rPr>
                <w:rFonts w:hint="eastAsia" w:ascii="宋体" w:hAnsi="宋体"/>
                <w:color w:val="auto"/>
                <w:sz w:val="20"/>
                <w:szCs w:val="28"/>
                <w:highlight w:val="none"/>
              </w:rPr>
              <w:t>。</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pacing w:line="240" w:lineRule="atLeast"/>
              <w:jc w:val="center"/>
              <w:rPr>
                <w:rFonts w:ascii="宋体" w:hAnsi="宋体"/>
                <w:color w:val="auto"/>
                <w:sz w:val="20"/>
                <w:szCs w:val="28"/>
                <w:highlight w:val="none"/>
              </w:rPr>
            </w:pPr>
          </w:p>
        </w:tc>
        <w:tc>
          <w:tcPr>
            <w:tcW w:w="1318" w:type="dxa"/>
            <w:noWrap w:val="0"/>
            <w:vAlign w:val="center"/>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行贿犯罪记录</w:t>
            </w:r>
          </w:p>
        </w:tc>
        <w:tc>
          <w:tcPr>
            <w:tcW w:w="5253" w:type="dxa"/>
            <w:noWrap w:val="0"/>
            <w:vAlign w:val="center"/>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在行贿犯罪信息查询期限内，供应商及其现任法定代表人、主要负责人没有行贿犯罪记录的书面声明材料【注：</w:t>
            </w:r>
            <w:r>
              <w:rPr>
                <w:rFonts w:hint="eastAsia" w:ascii="宋体" w:hAnsi="宋体"/>
                <w:color w:val="auto"/>
                <w:sz w:val="20"/>
                <w:szCs w:val="20"/>
                <w:highlight w:val="none"/>
              </w:rPr>
              <w:t>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w:t>
            </w:r>
            <w:r>
              <w:rPr>
                <w:rFonts w:hint="eastAsia"/>
                <w:color w:val="auto"/>
                <w:sz w:val="20"/>
                <w:szCs w:val="20"/>
                <w:highlight w:val="none"/>
                <w:lang w:eastAsia="zh-CN"/>
              </w:rPr>
              <w:t>响应</w:t>
            </w:r>
            <w:r>
              <w:rPr>
                <w:rFonts w:hint="eastAsia" w:ascii="宋体" w:hAnsi="宋体"/>
                <w:color w:val="auto"/>
                <w:sz w:val="20"/>
                <w:szCs w:val="20"/>
                <w:highlight w:val="none"/>
              </w:rPr>
              <w:t>文件中不需提供中国裁判文书网（</w:t>
            </w:r>
            <w:r>
              <w:rPr>
                <w:rFonts w:ascii="宋体" w:hAnsi="宋体"/>
                <w:color w:val="auto"/>
                <w:sz w:val="20"/>
                <w:szCs w:val="20"/>
                <w:highlight w:val="none"/>
              </w:rPr>
              <w:t>http://wenshu.court.gov.cn</w:t>
            </w:r>
            <w:r>
              <w:rPr>
                <w:rFonts w:hint="eastAsia" w:ascii="宋体" w:hAnsi="宋体"/>
                <w:color w:val="auto"/>
                <w:sz w:val="20"/>
                <w:szCs w:val="20"/>
                <w:highlight w:val="none"/>
              </w:rPr>
              <w:t>）</w:t>
            </w:r>
            <w:r>
              <w:rPr>
                <w:rFonts w:hint="eastAsia" w:ascii="宋体" w:hAnsi="宋体"/>
                <w:color w:val="auto"/>
                <w:sz w:val="20"/>
                <w:szCs w:val="28"/>
                <w:highlight w:val="none"/>
              </w:rPr>
              <w:t>查询结果的证明材料；②在行贿犯罪信息查询期限内，供应商及其现任法定代表人、主要负责人没有行贿犯罪记录。】。</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pacing w:line="240" w:lineRule="atLeast"/>
              <w:rPr>
                <w:rFonts w:ascii="宋体" w:hAnsi="宋体"/>
                <w:color w:val="auto"/>
                <w:sz w:val="20"/>
                <w:szCs w:val="28"/>
                <w:highlight w:val="none"/>
              </w:rPr>
            </w:pPr>
          </w:p>
        </w:tc>
        <w:tc>
          <w:tcPr>
            <w:tcW w:w="1318" w:type="dxa"/>
            <w:noWrap w:val="0"/>
            <w:vAlign w:val="center"/>
          </w:tcPr>
          <w:p>
            <w:pPr>
              <w:spacing w:line="240" w:lineRule="atLeast"/>
              <w:rPr>
                <w:rFonts w:ascii="宋体" w:hAnsi="宋体"/>
                <w:color w:val="auto"/>
                <w:sz w:val="20"/>
                <w:szCs w:val="28"/>
                <w:highlight w:val="none"/>
              </w:rPr>
            </w:pPr>
            <w:r>
              <w:rPr>
                <w:rFonts w:hint="eastAsia" w:ascii="宋体" w:hAnsi="宋体"/>
                <w:color w:val="auto"/>
                <w:sz w:val="20"/>
                <w:szCs w:val="28"/>
                <w:highlight w:val="none"/>
              </w:rPr>
              <w:t>单位负责人为同一人或者存在直接控股、管理关系的不同供应商，不得参加同一项目的</w:t>
            </w:r>
            <w:r>
              <w:rPr>
                <w:rFonts w:hint="eastAsia"/>
                <w:color w:val="auto"/>
                <w:sz w:val="20"/>
                <w:szCs w:val="28"/>
                <w:highlight w:val="none"/>
                <w:lang w:eastAsia="zh-CN"/>
              </w:rPr>
              <w:t>磋商</w:t>
            </w:r>
          </w:p>
        </w:tc>
        <w:tc>
          <w:tcPr>
            <w:tcW w:w="5253" w:type="dxa"/>
            <w:noWrap w:val="0"/>
            <w:vAlign w:val="center"/>
          </w:tcPr>
          <w:p>
            <w:pPr>
              <w:spacing w:line="240" w:lineRule="atLeast"/>
              <w:rPr>
                <w:rFonts w:ascii="宋体" w:hAnsi="宋体"/>
                <w:color w:val="auto"/>
                <w:sz w:val="20"/>
                <w:szCs w:val="20"/>
                <w:highlight w:val="none"/>
              </w:rPr>
            </w:pPr>
            <w:r>
              <w:rPr>
                <w:rFonts w:hint="eastAsia" w:ascii="宋体" w:hAnsi="宋体"/>
                <w:color w:val="auto"/>
                <w:sz w:val="20"/>
                <w:szCs w:val="20"/>
                <w:highlight w:val="none"/>
              </w:rPr>
              <w:t>负责人为同一人或者存在直接控股、管理关系的相关供应商未同时参加本项目书面声明材料【说明：①按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；②参加</w:t>
            </w:r>
            <w:r>
              <w:rPr>
                <w:rFonts w:hint="eastAsia"/>
                <w:color w:val="auto"/>
                <w:sz w:val="20"/>
                <w:szCs w:val="20"/>
                <w:highlight w:val="none"/>
                <w:lang w:eastAsia="zh-CN"/>
              </w:rPr>
              <w:t>磋商</w:t>
            </w:r>
            <w:r>
              <w:rPr>
                <w:rFonts w:hint="eastAsia" w:ascii="宋体" w:hAnsi="宋体"/>
                <w:color w:val="auto"/>
                <w:sz w:val="20"/>
                <w:szCs w:val="20"/>
                <w:highlight w:val="none"/>
              </w:rPr>
              <w:t>的供应商中无与供应商的负责人为同一人或者存在直接控股、管理关系的供应商</w:t>
            </w:r>
            <w:r>
              <w:rPr>
                <w:rFonts w:hint="eastAsia" w:ascii="宋体" w:hAnsi="宋体"/>
                <w:color w:val="auto"/>
                <w:sz w:val="20"/>
                <w:szCs w:val="28"/>
                <w:highlight w:val="none"/>
              </w:rPr>
              <w:t>。</w:t>
            </w:r>
            <w:r>
              <w:rPr>
                <w:rFonts w:hint="eastAsia" w:ascii="宋体" w:hAnsi="宋体"/>
                <w:color w:val="auto"/>
                <w:sz w:val="20"/>
                <w:szCs w:val="20"/>
                <w:highlight w:val="none"/>
              </w:rPr>
              <w:t>】。</w:t>
            </w:r>
          </w:p>
          <w:p>
            <w:pPr>
              <w:spacing w:line="240" w:lineRule="atLeast"/>
              <w:rPr>
                <w:rFonts w:ascii="宋体" w:hAnsi="宋体"/>
                <w:color w:val="auto"/>
                <w:sz w:val="20"/>
                <w:szCs w:val="28"/>
                <w:highlight w:val="none"/>
              </w:rPr>
            </w:pP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restart"/>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restart"/>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其他</w:t>
            </w: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具有履行合同所必须的设备和专业技术能力</w:t>
            </w:r>
          </w:p>
        </w:tc>
        <w:tc>
          <w:tcPr>
            <w:tcW w:w="5253" w:type="dxa"/>
            <w:noWrap w:val="0"/>
            <w:vAlign w:val="center"/>
          </w:tcPr>
          <w:p>
            <w:pPr>
              <w:snapToGrid w:val="0"/>
              <w:spacing w:line="240" w:lineRule="atLeast"/>
              <w:rPr>
                <w:rFonts w:ascii="宋体" w:hAnsi="宋体"/>
                <w:color w:val="auto"/>
                <w:sz w:val="20"/>
                <w:szCs w:val="20"/>
                <w:highlight w:val="none"/>
              </w:rPr>
            </w:pPr>
            <w:r>
              <w:rPr>
                <w:rFonts w:hint="eastAsia" w:ascii="宋体" w:hAnsi="宋体"/>
                <w:color w:val="auto"/>
                <w:sz w:val="20"/>
                <w:szCs w:val="20"/>
                <w:highlight w:val="none"/>
              </w:rPr>
              <w:t>采购人对供应商履行合同所必须的设备和专业技术能力无特殊要求，供应商具有有效的营业执照或法人证书即可，可不提供其他证明材料。</w:t>
            </w:r>
            <w:r>
              <w:rPr>
                <w:rFonts w:hint="eastAsia"/>
                <w:color w:val="auto"/>
                <w:sz w:val="20"/>
                <w:highlight w:val="none"/>
              </w:rPr>
              <w:t>【说明：无须提供证明材料，上传空白页即可，不对本项上传的材料作资格审查】。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联合体</w:t>
            </w:r>
          </w:p>
        </w:tc>
        <w:tc>
          <w:tcPr>
            <w:tcW w:w="5253"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非联合体形式参加</w:t>
            </w:r>
            <w:r>
              <w:rPr>
                <w:rFonts w:hint="eastAsia" w:ascii="宋体" w:hAnsi="宋体"/>
                <w:color w:val="auto"/>
                <w:sz w:val="20"/>
                <w:szCs w:val="28"/>
                <w:highlight w:val="none"/>
                <w:lang w:eastAsia="zh-CN"/>
              </w:rPr>
              <w:t>磋商</w:t>
            </w:r>
            <w:r>
              <w:rPr>
                <w:rFonts w:hint="eastAsia" w:ascii="宋体" w:hAnsi="宋体"/>
                <w:color w:val="auto"/>
                <w:sz w:val="20"/>
                <w:szCs w:val="28"/>
                <w:highlight w:val="none"/>
              </w:rPr>
              <w:t>。</w:t>
            </w:r>
            <w:r>
              <w:rPr>
                <w:rFonts w:hint="eastAsia"/>
                <w:color w:val="auto"/>
                <w:sz w:val="20"/>
                <w:highlight w:val="none"/>
              </w:rPr>
              <w:t>【说明：无须提供证明材料，上传空白页即可，不对本项上传的材料作资格审查】。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lang w:eastAsia="zh-CN"/>
              </w:rPr>
              <w:t>资质要求</w:t>
            </w:r>
          </w:p>
        </w:tc>
        <w:tc>
          <w:tcPr>
            <w:tcW w:w="5253" w:type="dxa"/>
            <w:noWrap w:val="0"/>
            <w:vAlign w:val="center"/>
          </w:tcPr>
          <w:p>
            <w:pPr>
              <w:tabs>
                <w:tab w:val="left" w:pos="851"/>
              </w:tabs>
              <w:spacing w:line="360" w:lineRule="auto"/>
              <w:rPr>
                <w:rFonts w:ascii="宋体" w:hAnsi="宋体"/>
                <w:color w:val="auto"/>
                <w:sz w:val="20"/>
                <w:szCs w:val="20"/>
                <w:highlight w:val="none"/>
              </w:rPr>
            </w:pPr>
            <w:r>
              <w:rPr>
                <w:rFonts w:hint="eastAsia"/>
                <w:color w:val="auto"/>
                <w:sz w:val="20"/>
                <w:highlight w:val="none"/>
              </w:rPr>
              <w:t>无【说明：无须提供证明材料，上传空白页即可，不对本项上传的材料作资格审查】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hint="eastAsia" w:ascii="宋体" w:hAnsi="宋体"/>
                <w:color w:val="auto"/>
                <w:sz w:val="20"/>
                <w:szCs w:val="28"/>
                <w:highlight w:val="none"/>
                <w:lang w:eastAsia="zh-CN"/>
              </w:rPr>
            </w:pPr>
            <w:r>
              <w:rPr>
                <w:rFonts w:hint="eastAsia" w:ascii="宋体" w:hAnsi="宋体"/>
                <w:color w:val="auto"/>
                <w:sz w:val="20"/>
                <w:szCs w:val="28"/>
                <w:highlight w:val="none"/>
                <w:lang w:eastAsia="zh-CN"/>
              </w:rPr>
              <w:t>磋商保证金</w:t>
            </w:r>
          </w:p>
        </w:tc>
        <w:tc>
          <w:tcPr>
            <w:tcW w:w="5253" w:type="dxa"/>
            <w:noWrap w:val="0"/>
            <w:vAlign w:val="center"/>
          </w:tcPr>
          <w:p>
            <w:pPr>
              <w:tabs>
                <w:tab w:val="left" w:pos="851"/>
              </w:tabs>
              <w:spacing w:line="360" w:lineRule="auto"/>
              <w:rPr>
                <w:rFonts w:hint="eastAsia" w:ascii="宋体" w:hAnsi="宋体" w:cs="宋体"/>
                <w:color w:val="auto"/>
                <w:kern w:val="2"/>
                <w:sz w:val="20"/>
                <w:szCs w:val="22"/>
                <w:highlight w:val="none"/>
                <w:lang w:val="en-US" w:eastAsia="zh-CN" w:bidi="ar-SA"/>
              </w:rPr>
            </w:pPr>
            <w:r>
              <w:rPr>
                <w:rFonts w:hint="eastAsia"/>
                <w:color w:val="auto"/>
                <w:sz w:val="20"/>
                <w:highlight w:val="none"/>
              </w:rPr>
              <w:t>无【说明：无须提供证明材料，上传空白页即可，不对本项上传的材料作资格审查】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hint="eastAsia" w:ascii="宋体" w:hAnsi="宋体"/>
                <w:color w:val="auto"/>
                <w:sz w:val="20"/>
                <w:szCs w:val="28"/>
                <w:highlight w:val="none"/>
                <w:lang w:eastAsia="zh-CN"/>
              </w:rPr>
            </w:pPr>
            <w:r>
              <w:rPr>
                <w:rFonts w:hint="eastAsia" w:ascii="宋体" w:hAnsi="宋体"/>
                <w:color w:val="auto"/>
                <w:sz w:val="20"/>
                <w:szCs w:val="28"/>
                <w:highlight w:val="none"/>
                <w:lang w:eastAsia="zh-CN"/>
              </w:rPr>
              <w:t>响应文件</w:t>
            </w:r>
            <w:r>
              <w:rPr>
                <w:rFonts w:hint="eastAsia" w:ascii="宋体" w:hAnsi="宋体"/>
                <w:color w:val="auto"/>
                <w:sz w:val="20"/>
                <w:szCs w:val="28"/>
                <w:highlight w:val="none"/>
              </w:rPr>
              <w:t>签章</w:t>
            </w:r>
          </w:p>
        </w:tc>
        <w:tc>
          <w:tcPr>
            <w:tcW w:w="5253" w:type="dxa"/>
            <w:noWrap w:val="0"/>
            <w:vAlign w:val="center"/>
          </w:tcPr>
          <w:p>
            <w:pPr>
              <w:snapToGrid w:val="0"/>
              <w:spacing w:line="240" w:lineRule="atLeast"/>
              <w:rPr>
                <w:rFonts w:hint="eastAsia" w:ascii="宋体" w:hAnsi="宋体" w:cs="宋体"/>
                <w:color w:val="auto"/>
                <w:kern w:val="2"/>
                <w:sz w:val="20"/>
                <w:szCs w:val="22"/>
                <w:highlight w:val="none"/>
                <w:lang w:val="en-US" w:eastAsia="zh-CN" w:bidi="ar-SA"/>
              </w:rPr>
            </w:pPr>
            <w:r>
              <w:rPr>
                <w:rFonts w:hint="eastAsia"/>
                <w:color w:val="auto"/>
                <w:sz w:val="20"/>
                <w:highlight w:val="none"/>
                <w:lang w:eastAsia="zh-CN"/>
              </w:rPr>
              <w:t>响应</w:t>
            </w:r>
            <w:r>
              <w:rPr>
                <w:rFonts w:hint="eastAsia"/>
                <w:color w:val="auto"/>
                <w:sz w:val="20"/>
                <w:highlight w:val="none"/>
              </w:rPr>
              <w:t>文件加盖有</w:t>
            </w:r>
            <w:r>
              <w:rPr>
                <w:rFonts w:hint="eastAsia"/>
                <w:color w:val="auto"/>
                <w:sz w:val="20"/>
                <w:highlight w:val="none"/>
                <w:lang w:eastAsia="zh-CN"/>
              </w:rPr>
              <w:t>供应商</w:t>
            </w:r>
            <w:r>
              <w:rPr>
                <w:rFonts w:hint="eastAsia"/>
                <w:color w:val="auto"/>
                <w:sz w:val="20"/>
                <w:highlight w:val="none"/>
              </w:rPr>
              <w:t>（法定名称）电子签章。【说明：无须提供证明材料，上传空白页即可，不对本项上传的材料作资格审查】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lang w:eastAsia="zh-CN"/>
              </w:rPr>
              <w:t>响应文件</w:t>
            </w:r>
            <w:r>
              <w:rPr>
                <w:rFonts w:ascii="宋体" w:hAnsi="宋体"/>
                <w:color w:val="auto"/>
                <w:sz w:val="20"/>
                <w:szCs w:val="28"/>
                <w:highlight w:val="none"/>
              </w:rPr>
              <w:t>解密情况</w:t>
            </w:r>
          </w:p>
        </w:tc>
        <w:tc>
          <w:tcPr>
            <w:tcW w:w="5253"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除因断电、断网、系统故障或其他不可抗力等因素，导致系统无法使用外，</w:t>
            </w:r>
            <w:r>
              <w:rPr>
                <w:rFonts w:hint="eastAsia" w:ascii="宋体" w:hAnsi="宋体"/>
                <w:color w:val="auto"/>
                <w:sz w:val="20"/>
                <w:szCs w:val="28"/>
                <w:highlight w:val="none"/>
                <w:lang w:eastAsia="zh-CN"/>
              </w:rPr>
              <w:t>响应</w:t>
            </w:r>
            <w:r>
              <w:rPr>
                <w:rFonts w:hint="eastAsia" w:ascii="宋体" w:hAnsi="宋体"/>
                <w:color w:val="auto"/>
                <w:sz w:val="20"/>
                <w:szCs w:val="28"/>
                <w:highlight w:val="none"/>
              </w:rPr>
              <w:t>文件已成功解密。</w:t>
            </w:r>
            <w:r>
              <w:rPr>
                <w:rFonts w:hint="eastAsia"/>
                <w:color w:val="auto"/>
                <w:sz w:val="20"/>
                <w:highlight w:val="none"/>
              </w:rPr>
              <w:t>【说明：无须提供证明材料，上传空白页即可，不对本项上传的材料作资格审查】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napToGrid w:val="0"/>
              <w:spacing w:line="240" w:lineRule="atLeast"/>
              <w:rPr>
                <w:rFonts w:ascii="宋体" w:hAnsi="宋体"/>
                <w:color w:val="auto"/>
                <w:sz w:val="20"/>
                <w:szCs w:val="28"/>
                <w:highlight w:val="none"/>
              </w:rPr>
            </w:pPr>
          </w:p>
        </w:tc>
        <w:tc>
          <w:tcPr>
            <w:tcW w:w="1318" w:type="dxa"/>
            <w:noWrap w:val="0"/>
            <w:vAlign w:val="center"/>
          </w:tcPr>
          <w:p>
            <w:pPr>
              <w:tabs>
                <w:tab w:val="left" w:pos="851"/>
              </w:tabs>
              <w:spacing w:line="360" w:lineRule="auto"/>
              <w:rPr>
                <w:rFonts w:ascii="宋体" w:hAnsi="宋体"/>
                <w:color w:val="auto"/>
                <w:sz w:val="20"/>
                <w:szCs w:val="28"/>
                <w:highlight w:val="none"/>
              </w:rPr>
            </w:pPr>
            <w:r>
              <w:rPr>
                <w:rFonts w:hint="eastAsia" w:ascii="宋体" w:hAnsi="宋体"/>
                <w:color w:val="auto"/>
                <w:sz w:val="20"/>
                <w:szCs w:val="28"/>
                <w:highlight w:val="none"/>
              </w:rPr>
              <w:t>响应文件的语言、有效期</w:t>
            </w:r>
          </w:p>
        </w:tc>
        <w:tc>
          <w:tcPr>
            <w:tcW w:w="5253" w:type="dxa"/>
            <w:noWrap w:val="0"/>
            <w:vAlign w:val="center"/>
          </w:tcPr>
          <w:p>
            <w:pPr>
              <w:tabs>
                <w:tab w:val="left" w:pos="851"/>
              </w:tabs>
              <w:spacing w:line="360" w:lineRule="auto"/>
              <w:rPr>
                <w:rFonts w:ascii="宋体" w:hAnsi="宋体"/>
                <w:color w:val="auto"/>
                <w:sz w:val="20"/>
                <w:szCs w:val="28"/>
                <w:highlight w:val="none"/>
              </w:rPr>
            </w:pPr>
            <w:r>
              <w:rPr>
                <w:rFonts w:hint="eastAsia"/>
                <w:color w:val="auto"/>
                <w:sz w:val="20"/>
                <w:highlight w:val="none"/>
              </w:rPr>
              <w:t>语言符合</w:t>
            </w:r>
            <w:r>
              <w:rPr>
                <w:rFonts w:hint="eastAsia"/>
                <w:color w:val="auto"/>
                <w:sz w:val="20"/>
                <w:highlight w:val="none"/>
                <w:lang w:eastAsia="zh-CN"/>
              </w:rPr>
              <w:t>磋商</w:t>
            </w:r>
            <w:r>
              <w:rPr>
                <w:rFonts w:hint="eastAsia"/>
                <w:color w:val="auto"/>
                <w:sz w:val="20"/>
                <w:highlight w:val="none"/>
              </w:rPr>
              <w:t>文件的要求。【说明：无须提供证明材料，上传空白页即可，不对本项上传的材料作资格审查】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不属于其他国家相关法律法规规定的禁止参加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p>
        </w:tc>
        <w:tc>
          <w:tcPr>
            <w:tcW w:w="5253" w:type="dxa"/>
            <w:noWrap w:val="0"/>
            <w:vAlign w:val="center"/>
          </w:tcPr>
          <w:p>
            <w:pPr>
              <w:spacing w:line="240" w:lineRule="atLeast"/>
              <w:rPr>
                <w:rFonts w:ascii="宋体" w:hAnsi="宋体"/>
                <w:color w:val="auto"/>
                <w:sz w:val="20"/>
                <w:szCs w:val="28"/>
                <w:highlight w:val="none"/>
              </w:rPr>
            </w:pPr>
            <w:r>
              <w:rPr>
                <w:rFonts w:hint="eastAsia"/>
                <w:color w:val="auto"/>
                <w:sz w:val="20"/>
                <w:szCs w:val="28"/>
                <w:highlight w:val="none"/>
                <w:lang w:val="en-US" w:eastAsia="zh-CN"/>
              </w:rPr>
              <w:t>1.</w:t>
            </w:r>
            <w:r>
              <w:rPr>
                <w:rFonts w:ascii="宋体" w:hAnsi="宋体"/>
                <w:color w:val="auto"/>
                <w:sz w:val="20"/>
                <w:szCs w:val="28"/>
                <w:highlight w:val="none"/>
              </w:rPr>
              <w:t>根据</w:t>
            </w:r>
            <w:r>
              <w:rPr>
                <w:rFonts w:hint="eastAsia"/>
                <w:color w:val="auto"/>
                <w:sz w:val="20"/>
                <w:szCs w:val="28"/>
                <w:highlight w:val="none"/>
                <w:lang w:eastAsia="zh-CN"/>
              </w:rPr>
              <w:t>磋商</w:t>
            </w:r>
            <w:r>
              <w:rPr>
                <w:rFonts w:hint="eastAsia" w:ascii="宋体" w:hAnsi="宋体"/>
                <w:color w:val="auto"/>
                <w:sz w:val="20"/>
                <w:szCs w:val="28"/>
                <w:highlight w:val="none"/>
              </w:rPr>
              <w:t>文件的要求不属于禁止参加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p>
          <w:p>
            <w:pPr>
              <w:spacing w:line="240" w:lineRule="atLeast"/>
              <w:rPr>
                <w:rFonts w:ascii="宋体" w:hAnsi="宋体"/>
                <w:color w:val="auto"/>
                <w:sz w:val="20"/>
                <w:szCs w:val="28"/>
                <w:highlight w:val="none"/>
              </w:rPr>
            </w:pPr>
            <w:r>
              <w:rPr>
                <w:rFonts w:hint="eastAsia"/>
                <w:color w:val="auto"/>
                <w:sz w:val="20"/>
                <w:szCs w:val="28"/>
                <w:highlight w:val="none"/>
                <w:lang w:val="en-US" w:eastAsia="zh-CN"/>
              </w:rPr>
              <w:t>2.</w:t>
            </w:r>
            <w:r>
              <w:rPr>
                <w:rFonts w:hint="eastAsia"/>
                <w:color w:val="auto"/>
                <w:sz w:val="20"/>
                <w:szCs w:val="28"/>
                <w:highlight w:val="none"/>
                <w:lang w:eastAsia="zh-CN"/>
              </w:rPr>
              <w:t>磋商</w:t>
            </w:r>
            <w:r>
              <w:rPr>
                <w:rFonts w:hint="eastAsia" w:ascii="宋体" w:hAnsi="宋体"/>
                <w:color w:val="auto"/>
                <w:sz w:val="20"/>
                <w:szCs w:val="28"/>
                <w:highlight w:val="none"/>
              </w:rPr>
              <w:t>小组未发现或者未知晓供应商存在属于国家相关法律法规规定的禁止参加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r>
              <w:rPr>
                <w:rFonts w:hint="eastAsia"/>
                <w:color w:val="auto"/>
                <w:sz w:val="20"/>
                <w:highlight w:val="none"/>
              </w:rPr>
              <w:t>【说明：无须提供证明材料，上传空白页即可，不对本项上传的材料作资格审查】。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vMerge w:val="continue"/>
            <w:noWrap w:val="0"/>
            <w:vAlign w:val="center"/>
          </w:tcPr>
          <w:p>
            <w:pPr>
              <w:pStyle w:val="28"/>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1234" w:type="dxa"/>
            <w:vMerge w:val="continue"/>
            <w:noWrap w:val="0"/>
            <w:vAlign w:val="center"/>
          </w:tcPr>
          <w:p>
            <w:pPr>
              <w:spacing w:line="240" w:lineRule="atLeast"/>
              <w:rPr>
                <w:rFonts w:ascii="宋体" w:hAnsi="宋体"/>
                <w:color w:val="auto"/>
                <w:sz w:val="20"/>
                <w:szCs w:val="28"/>
                <w:highlight w:val="none"/>
              </w:rPr>
            </w:pPr>
          </w:p>
        </w:tc>
        <w:tc>
          <w:tcPr>
            <w:tcW w:w="1318" w:type="dxa"/>
            <w:noWrap w:val="0"/>
            <w:vAlign w:val="center"/>
          </w:tcPr>
          <w:p>
            <w:pPr>
              <w:snapToGrid w:val="0"/>
              <w:spacing w:line="240" w:lineRule="atLeast"/>
              <w:rPr>
                <w:rFonts w:hint="eastAsia" w:ascii="宋体" w:hAnsi="宋体" w:eastAsia="宋体" w:cs="宋体"/>
                <w:color w:val="auto"/>
                <w:kern w:val="2"/>
                <w:sz w:val="20"/>
                <w:szCs w:val="28"/>
                <w:highlight w:val="none"/>
                <w:lang w:val="en-US" w:eastAsia="zh-CN" w:bidi="ar-SA"/>
              </w:rPr>
            </w:pPr>
            <w:r>
              <w:rPr>
                <w:rFonts w:hint="eastAsia" w:ascii="宋体" w:hAnsi="宋体"/>
                <w:color w:val="auto"/>
                <w:sz w:val="20"/>
                <w:szCs w:val="28"/>
                <w:highlight w:val="none"/>
              </w:rPr>
              <w:t>法律、行政法规规定的其他条件</w:t>
            </w:r>
          </w:p>
        </w:tc>
        <w:tc>
          <w:tcPr>
            <w:tcW w:w="5253" w:type="dxa"/>
            <w:noWrap w:val="0"/>
            <w:vAlign w:val="center"/>
          </w:tcPr>
          <w:p>
            <w:pPr>
              <w:snapToGrid w:val="0"/>
              <w:spacing w:line="240" w:lineRule="atLeast"/>
              <w:rPr>
                <w:rFonts w:hint="eastAsia" w:ascii="宋体" w:hAnsi="宋体" w:cs="宋体"/>
                <w:color w:val="auto"/>
                <w:kern w:val="2"/>
                <w:sz w:val="20"/>
                <w:szCs w:val="28"/>
                <w:highlight w:val="none"/>
                <w:lang w:val="en-US" w:eastAsia="zh-CN" w:bidi="ar-SA"/>
              </w:rPr>
            </w:pPr>
            <w:r>
              <w:rPr>
                <w:rFonts w:hint="eastAsia" w:ascii="宋体" w:hAnsi="宋体"/>
                <w:color w:val="auto"/>
                <w:sz w:val="20"/>
                <w:szCs w:val="28"/>
                <w:highlight w:val="none"/>
              </w:rPr>
              <w:t>采购人对法律、行政法规规定的其他条件无特殊要求，供应商具有有效的营业执照或法人证书即可，可不提供其他证明材料。</w:t>
            </w:r>
            <w:r>
              <w:rPr>
                <w:rFonts w:hint="eastAsia"/>
                <w:color w:val="auto"/>
                <w:sz w:val="20"/>
                <w:highlight w:val="none"/>
              </w:rPr>
              <w:t>【说明：无须提供证明材料，上传空白页即可，不对本项上传的材料作资格审查】。</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2552" w:type="dxa"/>
            <w:gridSpan w:val="2"/>
            <w:noWrap w:val="0"/>
            <w:vAlign w:val="center"/>
          </w:tcPr>
          <w:p>
            <w:pPr>
              <w:tabs>
                <w:tab w:val="left" w:pos="851"/>
              </w:tabs>
              <w:spacing w:line="360" w:lineRule="auto"/>
              <w:rPr>
                <w:rFonts w:hint="eastAsia" w:ascii="宋体" w:hAnsi="宋体" w:cs="宋体"/>
                <w:color w:val="auto"/>
                <w:kern w:val="2"/>
                <w:sz w:val="20"/>
                <w:szCs w:val="22"/>
                <w:highlight w:val="none"/>
                <w:lang w:val="en-US" w:eastAsia="zh-CN" w:bidi="ar-SA"/>
              </w:rPr>
            </w:pPr>
            <w:r>
              <w:rPr>
                <w:rFonts w:hint="eastAsia"/>
                <w:color w:val="auto"/>
                <w:sz w:val="20"/>
                <w:highlight w:val="none"/>
                <w:lang w:eastAsia="zh-CN"/>
              </w:rPr>
              <w:t>响应</w:t>
            </w:r>
            <w:r>
              <w:rPr>
                <w:rFonts w:hint="eastAsia"/>
                <w:color w:val="auto"/>
                <w:sz w:val="20"/>
                <w:highlight w:val="none"/>
              </w:rPr>
              <w:t>文件资格性审查部分组成</w:t>
            </w:r>
          </w:p>
        </w:tc>
        <w:tc>
          <w:tcPr>
            <w:tcW w:w="5253" w:type="dxa"/>
            <w:noWrap w:val="0"/>
            <w:vAlign w:val="center"/>
          </w:tcPr>
          <w:p>
            <w:pPr>
              <w:tabs>
                <w:tab w:val="left" w:pos="851"/>
              </w:tabs>
              <w:spacing w:line="360" w:lineRule="auto"/>
              <w:rPr>
                <w:rFonts w:hint="eastAsia" w:ascii="宋体" w:hAnsi="宋体" w:cs="宋体"/>
                <w:color w:val="auto"/>
                <w:kern w:val="2"/>
                <w:sz w:val="20"/>
                <w:szCs w:val="22"/>
                <w:highlight w:val="none"/>
                <w:lang w:val="en-US" w:eastAsia="zh-CN" w:bidi="ar-SA"/>
              </w:rPr>
            </w:pPr>
            <w:r>
              <w:rPr>
                <w:rFonts w:hint="eastAsia"/>
                <w:color w:val="auto"/>
                <w:sz w:val="20"/>
                <w:highlight w:val="none"/>
              </w:rPr>
              <w:t>符合</w:t>
            </w:r>
            <w:r>
              <w:rPr>
                <w:rFonts w:hint="eastAsia"/>
                <w:color w:val="auto"/>
                <w:sz w:val="20"/>
                <w:highlight w:val="none"/>
                <w:lang w:eastAsia="zh-CN"/>
              </w:rPr>
              <w:t>磋商</w:t>
            </w:r>
            <w:r>
              <w:rPr>
                <w:rFonts w:hint="eastAsia"/>
                <w:color w:val="auto"/>
                <w:sz w:val="20"/>
                <w:highlight w:val="none"/>
              </w:rPr>
              <w:t>文件“2.4.</w:t>
            </w:r>
            <w:r>
              <w:rPr>
                <w:rFonts w:hint="eastAsia"/>
                <w:color w:val="auto"/>
                <w:sz w:val="20"/>
                <w:highlight w:val="none"/>
                <w:lang w:val="en-US" w:eastAsia="zh-CN"/>
              </w:rPr>
              <w:t>5</w:t>
            </w:r>
            <w:r>
              <w:rPr>
                <w:rFonts w:hint="eastAsia"/>
                <w:color w:val="auto"/>
                <w:sz w:val="20"/>
                <w:highlight w:val="none"/>
                <w:lang w:eastAsia="zh-CN"/>
              </w:rPr>
              <w:t>响应</w:t>
            </w:r>
            <w:r>
              <w:rPr>
                <w:rFonts w:hint="eastAsia"/>
                <w:color w:val="auto"/>
                <w:sz w:val="20"/>
                <w:highlight w:val="none"/>
              </w:rPr>
              <w:t>文件的组成”规定要求。【说明①供应商按磋商文件3.1.2关于供应商申明的内容提供供应商申明函；②供应商按磋商文件3.1.</w:t>
            </w:r>
            <w:r>
              <w:rPr>
                <w:rFonts w:hint="eastAsia"/>
                <w:color w:val="auto"/>
                <w:sz w:val="20"/>
                <w:highlight w:val="none"/>
                <w:lang w:val="en-US" w:eastAsia="zh-CN"/>
              </w:rPr>
              <w:t>5</w:t>
            </w:r>
            <w:r>
              <w:rPr>
                <w:rFonts w:hint="eastAsia"/>
                <w:color w:val="auto"/>
                <w:sz w:val="20"/>
                <w:highlight w:val="none"/>
              </w:rPr>
              <w:t>供应商基本情况表的内容提供供应商基本情况表。】</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noWrap w:val="0"/>
            <w:vAlign w:val="center"/>
          </w:tcPr>
          <w:p>
            <w:pPr>
              <w:pStyle w:val="28"/>
              <w:numPr>
                <w:ilvl w:val="0"/>
                <w:numId w:val="31"/>
              </w:numPr>
              <w:tabs>
                <w:tab w:val="left" w:pos="275"/>
              </w:tabs>
              <w:snapToGrid w:val="0"/>
              <w:spacing w:line="240" w:lineRule="atLeast"/>
              <w:ind w:left="0" w:firstLine="0" w:firstLineChars="0"/>
              <w:jc w:val="center"/>
              <w:rPr>
                <w:rFonts w:ascii="宋体" w:hAnsi="宋体" w:eastAsia="宋体"/>
                <w:color w:val="auto"/>
                <w:sz w:val="20"/>
                <w:szCs w:val="28"/>
                <w:highlight w:val="none"/>
              </w:rPr>
            </w:pPr>
          </w:p>
        </w:tc>
        <w:tc>
          <w:tcPr>
            <w:tcW w:w="2552" w:type="dxa"/>
            <w:gridSpan w:val="2"/>
            <w:noWrap w:val="0"/>
            <w:vAlign w:val="center"/>
          </w:tcPr>
          <w:p>
            <w:pPr>
              <w:snapToGrid w:val="0"/>
              <w:spacing w:line="240" w:lineRule="atLeast"/>
              <w:rPr>
                <w:rFonts w:ascii="宋体" w:hAnsi="宋体"/>
                <w:color w:val="auto"/>
                <w:sz w:val="20"/>
                <w:szCs w:val="28"/>
                <w:highlight w:val="none"/>
              </w:rPr>
            </w:pPr>
            <w:r>
              <w:rPr>
                <w:rFonts w:hint="eastAsia" w:ascii="宋体" w:hAnsi="宋体"/>
                <w:color w:val="auto"/>
                <w:sz w:val="20"/>
                <w:szCs w:val="28"/>
                <w:highlight w:val="none"/>
              </w:rPr>
              <w:t>具有健全的财务会计制度的证明材料</w:t>
            </w:r>
          </w:p>
        </w:tc>
        <w:tc>
          <w:tcPr>
            <w:tcW w:w="5253" w:type="dxa"/>
            <w:noWrap w:val="0"/>
            <w:vAlign w:val="center"/>
          </w:tcPr>
          <w:p>
            <w:pPr>
              <w:tabs>
                <w:tab w:val="left" w:pos="851"/>
              </w:tabs>
              <w:spacing w:line="360" w:lineRule="auto"/>
              <w:rPr>
                <w:rFonts w:ascii="宋体" w:hAnsi="宋体"/>
                <w:color w:val="auto"/>
                <w:sz w:val="20"/>
                <w:szCs w:val="28"/>
                <w:highlight w:val="none"/>
              </w:rPr>
            </w:pPr>
            <w:r>
              <w:rPr>
                <w:color w:val="auto"/>
                <w:sz w:val="20"/>
                <w:highlight w:val="none"/>
              </w:rPr>
              <w:t>2019</w:t>
            </w:r>
            <w:r>
              <w:rPr>
                <w:rFonts w:hint="eastAsia"/>
                <w:color w:val="auto"/>
                <w:sz w:val="20"/>
                <w:highlight w:val="none"/>
              </w:rPr>
              <w:t>或</w:t>
            </w:r>
            <w:r>
              <w:rPr>
                <w:color w:val="auto"/>
                <w:sz w:val="20"/>
                <w:highlight w:val="none"/>
              </w:rPr>
              <w:t>2020</w:t>
            </w:r>
            <w:r>
              <w:rPr>
                <w:rFonts w:hint="eastAsia"/>
                <w:color w:val="auto"/>
                <w:sz w:val="20"/>
                <w:highlight w:val="none"/>
              </w:rPr>
              <w:t>会计年度资产负债表复印件。【说明：</w:t>
            </w:r>
            <w:r>
              <w:rPr>
                <w:rFonts w:hint="eastAsia" w:ascii="宋体" w:hAnsi="宋体"/>
                <w:color w:val="auto"/>
                <w:sz w:val="20"/>
                <w:szCs w:val="28"/>
                <w:highlight w:val="none"/>
              </w:rPr>
              <w:t>供应商</w:t>
            </w:r>
            <w:r>
              <w:rPr>
                <w:rFonts w:hint="eastAsia"/>
                <w:color w:val="auto"/>
                <w:sz w:val="20"/>
                <w:highlight w:val="none"/>
              </w:rPr>
              <w:t>成立时间至</w:t>
            </w:r>
            <w:r>
              <w:rPr>
                <w:rFonts w:hint="eastAsia"/>
                <w:color w:val="auto"/>
                <w:sz w:val="20"/>
                <w:highlight w:val="none"/>
                <w:lang w:eastAsia="zh-CN"/>
              </w:rPr>
              <w:t>递交响应文件</w:t>
            </w:r>
            <w:r>
              <w:rPr>
                <w:rFonts w:hint="eastAsia"/>
                <w:color w:val="auto"/>
                <w:sz w:val="20"/>
                <w:highlight w:val="none"/>
              </w:rPr>
              <w:t>截止时间止不足一年的，提供成立后任意时段的资产负债表复印件。】</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tabs>
                <w:tab w:val="left" w:pos="851"/>
              </w:tabs>
              <w:spacing w:line="360" w:lineRule="auto"/>
              <w:jc w:val="center"/>
              <w:rPr>
                <w:rFonts w:hint="eastAsia" w:ascii="宋体" w:hAnsi="宋体" w:eastAsia="宋体" w:cs="宋体"/>
                <w:color w:val="auto"/>
                <w:kern w:val="2"/>
                <w:sz w:val="20"/>
                <w:szCs w:val="22"/>
                <w:highlight w:val="none"/>
                <w:lang w:val="en-US" w:eastAsia="zh-CN" w:bidi="ar-SA"/>
              </w:rPr>
            </w:pPr>
            <w:r>
              <w:rPr>
                <w:rFonts w:hint="eastAsia"/>
                <w:color w:val="auto"/>
                <w:sz w:val="20"/>
                <w:highlight w:val="none"/>
                <w:lang w:val="en-US" w:eastAsia="zh-CN"/>
              </w:rPr>
              <w:t>6.</w:t>
            </w:r>
          </w:p>
        </w:tc>
        <w:tc>
          <w:tcPr>
            <w:tcW w:w="2552" w:type="dxa"/>
            <w:gridSpan w:val="2"/>
            <w:noWrap w:val="0"/>
            <w:vAlign w:val="center"/>
          </w:tcPr>
          <w:p>
            <w:pPr>
              <w:tabs>
                <w:tab w:val="left" w:pos="851"/>
              </w:tabs>
              <w:spacing w:line="360" w:lineRule="auto"/>
              <w:rPr>
                <w:rFonts w:ascii="宋体" w:hAnsi="宋体" w:cs="宋体"/>
                <w:color w:val="auto"/>
                <w:kern w:val="2"/>
                <w:sz w:val="20"/>
                <w:szCs w:val="22"/>
                <w:highlight w:val="none"/>
                <w:lang w:val="en-US" w:eastAsia="zh-CN" w:bidi="ar-SA"/>
              </w:rPr>
            </w:pPr>
            <w:r>
              <w:rPr>
                <w:rFonts w:hint="eastAsia" w:ascii="宋体" w:hAnsi="宋体" w:cs="宋体"/>
                <w:color w:val="auto"/>
                <w:kern w:val="2"/>
                <w:sz w:val="20"/>
                <w:szCs w:val="22"/>
                <w:highlight w:val="none"/>
                <w:lang w:val="en-US" w:eastAsia="zh-CN" w:bidi="ar-SA"/>
              </w:rPr>
              <w:t>缴纳社会保障资金的证明材料</w:t>
            </w:r>
          </w:p>
        </w:tc>
        <w:tc>
          <w:tcPr>
            <w:tcW w:w="5253" w:type="dxa"/>
            <w:noWrap w:val="0"/>
            <w:vAlign w:val="center"/>
          </w:tcPr>
          <w:p>
            <w:pPr>
              <w:tabs>
                <w:tab w:val="left" w:pos="851"/>
              </w:tabs>
              <w:spacing w:line="360" w:lineRule="auto"/>
              <w:rPr>
                <w:rFonts w:hint="eastAsia" w:ascii="宋体" w:hAnsi="宋体" w:cs="宋体"/>
                <w:color w:val="auto"/>
                <w:kern w:val="2"/>
                <w:sz w:val="20"/>
                <w:szCs w:val="22"/>
                <w:highlight w:val="none"/>
                <w:lang w:val="en-US" w:eastAsia="zh-CN" w:bidi="ar-SA"/>
              </w:rPr>
            </w:pPr>
            <w:r>
              <w:rPr>
                <w:rFonts w:hint="eastAsia" w:ascii="宋体" w:hAnsi="宋体"/>
                <w:color w:val="auto"/>
                <w:sz w:val="20"/>
                <w:szCs w:val="28"/>
                <w:highlight w:val="none"/>
              </w:rPr>
              <w:t>供应商</w:t>
            </w:r>
            <w:r>
              <w:rPr>
                <w:rFonts w:hint="eastAsia"/>
                <w:color w:val="auto"/>
                <w:sz w:val="20"/>
                <w:highlight w:val="none"/>
              </w:rPr>
              <w:t>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年任意时段的社保的银行电子回单或行政部门出具的社保缴纳证明材料复印件。</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tabs>
                <w:tab w:val="left" w:pos="851"/>
              </w:tabs>
              <w:spacing w:line="360" w:lineRule="auto"/>
              <w:jc w:val="center"/>
              <w:rPr>
                <w:rFonts w:hint="eastAsia" w:ascii="宋体" w:hAnsi="宋体" w:eastAsia="宋体" w:cs="宋体"/>
                <w:color w:val="auto"/>
                <w:kern w:val="2"/>
                <w:sz w:val="20"/>
                <w:szCs w:val="22"/>
                <w:highlight w:val="none"/>
                <w:lang w:val="en-US" w:eastAsia="zh-CN" w:bidi="ar-SA"/>
              </w:rPr>
            </w:pPr>
            <w:r>
              <w:rPr>
                <w:rFonts w:hint="eastAsia"/>
                <w:color w:val="auto"/>
                <w:sz w:val="20"/>
                <w:highlight w:val="none"/>
                <w:lang w:val="en-US" w:eastAsia="zh-CN"/>
              </w:rPr>
              <w:t>7.</w:t>
            </w:r>
          </w:p>
        </w:tc>
        <w:tc>
          <w:tcPr>
            <w:tcW w:w="2552" w:type="dxa"/>
            <w:gridSpan w:val="2"/>
            <w:noWrap w:val="0"/>
            <w:vAlign w:val="center"/>
          </w:tcPr>
          <w:p>
            <w:pPr>
              <w:tabs>
                <w:tab w:val="left" w:pos="851"/>
              </w:tabs>
              <w:spacing w:line="360" w:lineRule="auto"/>
              <w:rPr>
                <w:rFonts w:ascii="宋体" w:hAnsi="宋体" w:cs="宋体"/>
                <w:color w:val="auto"/>
                <w:kern w:val="2"/>
                <w:sz w:val="20"/>
                <w:szCs w:val="22"/>
                <w:highlight w:val="none"/>
                <w:lang w:val="en-US" w:eastAsia="zh-CN" w:bidi="ar-SA"/>
              </w:rPr>
            </w:pPr>
            <w:r>
              <w:rPr>
                <w:rFonts w:hint="eastAsia" w:ascii="宋体" w:hAnsi="宋体" w:cs="宋体"/>
                <w:color w:val="auto"/>
                <w:kern w:val="2"/>
                <w:sz w:val="20"/>
                <w:szCs w:val="22"/>
                <w:highlight w:val="none"/>
                <w:lang w:val="en-US" w:eastAsia="zh-CN" w:bidi="ar-SA"/>
              </w:rPr>
              <w:t>缴纳税收的证明材料</w:t>
            </w:r>
          </w:p>
        </w:tc>
        <w:tc>
          <w:tcPr>
            <w:tcW w:w="5253" w:type="dxa"/>
            <w:noWrap w:val="0"/>
            <w:vAlign w:val="center"/>
          </w:tcPr>
          <w:p>
            <w:pPr>
              <w:tabs>
                <w:tab w:val="left" w:pos="851"/>
              </w:tabs>
              <w:spacing w:line="360" w:lineRule="auto"/>
              <w:rPr>
                <w:rFonts w:hint="eastAsia" w:ascii="宋体" w:hAnsi="宋体" w:cs="宋体"/>
                <w:color w:val="auto"/>
                <w:kern w:val="2"/>
                <w:sz w:val="20"/>
                <w:szCs w:val="22"/>
                <w:highlight w:val="none"/>
                <w:lang w:val="en-US" w:eastAsia="zh-CN" w:bidi="ar-SA"/>
              </w:rPr>
            </w:pPr>
            <w:r>
              <w:rPr>
                <w:rFonts w:hint="eastAsia" w:ascii="宋体" w:hAnsi="宋体"/>
                <w:color w:val="auto"/>
                <w:sz w:val="20"/>
                <w:szCs w:val="28"/>
                <w:highlight w:val="none"/>
              </w:rPr>
              <w:t>供应商</w:t>
            </w:r>
            <w:r>
              <w:rPr>
                <w:rFonts w:hint="eastAsia"/>
                <w:color w:val="auto"/>
                <w:sz w:val="20"/>
                <w:highlight w:val="none"/>
              </w:rPr>
              <w:t>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年任意时段的税收的银行电子回单或者行政部门出具的纳税证明或完税证明的复印件。</w:t>
            </w:r>
          </w:p>
        </w:tc>
        <w:tc>
          <w:tcPr>
            <w:tcW w:w="842" w:type="dxa"/>
            <w:noWrap w:val="0"/>
            <w:vAlign w:val="center"/>
          </w:tcPr>
          <w:p>
            <w:pPr>
              <w:snapToGrid w:val="0"/>
              <w:spacing w:line="240" w:lineRule="atLeast"/>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tabs>
                <w:tab w:val="left" w:pos="851"/>
              </w:tabs>
              <w:spacing w:line="360" w:lineRule="auto"/>
              <w:jc w:val="center"/>
              <w:rPr>
                <w:rFonts w:hint="default"/>
                <w:color w:val="auto"/>
                <w:sz w:val="20"/>
                <w:highlight w:val="none"/>
                <w:lang w:val="en-US" w:eastAsia="zh-CN"/>
              </w:rPr>
            </w:pPr>
            <w:r>
              <w:rPr>
                <w:rFonts w:hint="eastAsia"/>
                <w:color w:val="auto"/>
                <w:sz w:val="20"/>
                <w:highlight w:val="none"/>
                <w:lang w:val="en-US" w:eastAsia="zh-CN"/>
              </w:rPr>
              <w:t>8.</w:t>
            </w:r>
          </w:p>
        </w:tc>
        <w:tc>
          <w:tcPr>
            <w:tcW w:w="2552" w:type="dxa"/>
            <w:gridSpan w:val="2"/>
            <w:noWrap w:val="0"/>
            <w:vAlign w:val="center"/>
          </w:tcPr>
          <w:p>
            <w:pPr>
              <w:tabs>
                <w:tab w:val="left" w:pos="851"/>
              </w:tabs>
              <w:spacing w:line="360" w:lineRule="auto"/>
              <w:rPr>
                <w:rFonts w:hint="eastAsia" w:ascii="宋体" w:hAnsi="宋体"/>
                <w:color w:val="auto"/>
                <w:sz w:val="20"/>
                <w:szCs w:val="28"/>
                <w:highlight w:val="none"/>
                <w:lang w:val="en-US" w:eastAsia="zh-CN"/>
              </w:rPr>
            </w:pPr>
            <w:r>
              <w:rPr>
                <w:rFonts w:hint="eastAsia" w:ascii="宋体" w:hAnsi="宋体"/>
                <w:color w:val="auto"/>
                <w:sz w:val="20"/>
                <w:szCs w:val="28"/>
                <w:highlight w:val="none"/>
              </w:rPr>
              <w:t>法定代表人身份证明书及法定代表人身份证复印件或护照复印件</w:t>
            </w:r>
          </w:p>
        </w:tc>
        <w:tc>
          <w:tcPr>
            <w:tcW w:w="5253" w:type="dxa"/>
            <w:noWrap w:val="0"/>
            <w:vAlign w:val="center"/>
          </w:tcPr>
          <w:p>
            <w:pPr>
              <w:tabs>
                <w:tab w:val="left" w:pos="851"/>
              </w:tabs>
              <w:spacing w:line="360" w:lineRule="auto"/>
              <w:rPr>
                <w:rFonts w:hint="eastAsia" w:ascii="宋体" w:hAnsi="宋体"/>
                <w:color w:val="auto"/>
                <w:sz w:val="20"/>
                <w:szCs w:val="28"/>
                <w:highlight w:val="none"/>
                <w:lang w:val="en-US" w:eastAsia="zh-CN"/>
              </w:rPr>
            </w:pPr>
            <w:r>
              <w:rPr>
                <w:rFonts w:hint="eastAsia" w:ascii="宋体" w:hAnsi="宋体"/>
                <w:color w:val="auto"/>
                <w:sz w:val="20"/>
                <w:szCs w:val="28"/>
                <w:highlight w:val="none"/>
              </w:rPr>
              <w:t>1、供应商按磋商文件3.1.</w:t>
            </w:r>
            <w:r>
              <w:rPr>
                <w:rFonts w:hint="eastAsia"/>
                <w:color w:val="auto"/>
                <w:sz w:val="20"/>
                <w:szCs w:val="28"/>
                <w:highlight w:val="none"/>
                <w:lang w:val="en-US" w:eastAsia="zh-CN"/>
              </w:rPr>
              <w:t>4</w:t>
            </w:r>
            <w:r>
              <w:rPr>
                <w:rFonts w:hint="eastAsia" w:ascii="宋体" w:hAnsi="宋体"/>
                <w:color w:val="auto"/>
                <w:sz w:val="20"/>
                <w:szCs w:val="28"/>
                <w:highlight w:val="none"/>
              </w:rPr>
              <w:t>关于法定代表人身份证明书的内容提供法定代表人身份证明书；2、身份证复印件或护照复印件【注：法定代表人身份证复印件（身份证两面均应复印，在有效期内）或护照复印件（法定代表人为外籍人士的，按此提供）】。</w:t>
            </w:r>
          </w:p>
        </w:tc>
        <w:tc>
          <w:tcPr>
            <w:tcW w:w="842" w:type="dxa"/>
            <w:noWrap w:val="0"/>
            <w:vAlign w:val="center"/>
          </w:tcPr>
          <w:p>
            <w:pPr>
              <w:snapToGrid w:val="0"/>
              <w:spacing w:line="240" w:lineRule="atLeast"/>
              <w:rPr>
                <w:rFonts w:ascii="宋体" w:hAnsi="宋体"/>
                <w:color w:val="auto"/>
                <w:sz w:val="20"/>
                <w:szCs w:val="28"/>
                <w:highlight w:val="none"/>
              </w:rPr>
            </w:pPr>
          </w:p>
        </w:tc>
      </w:tr>
      <w:bookmarkEnd w:id="477"/>
    </w:tbl>
    <w:p>
      <w:pPr>
        <w:rPr>
          <w:color w:val="auto"/>
          <w:highlight w:val="none"/>
        </w:rPr>
      </w:pPr>
    </w:p>
    <w:p>
      <w:pPr>
        <w:tabs>
          <w:tab w:val="left" w:pos="851"/>
        </w:tabs>
        <w:spacing w:line="360" w:lineRule="auto"/>
        <w:ind w:firstLine="404" w:firstLineChars="202"/>
        <w:rPr>
          <w:rFonts w:ascii="宋体" w:hAnsi="宋体"/>
          <w:color w:val="auto"/>
          <w:sz w:val="28"/>
          <w:szCs w:val="28"/>
          <w:highlight w:val="none"/>
        </w:rPr>
      </w:pPr>
      <w:r>
        <w:rPr>
          <w:rFonts w:hint="eastAsia"/>
          <w:color w:val="auto"/>
          <w:sz w:val="20"/>
          <w:highlight w:val="none"/>
        </w:rPr>
        <w:t xml:space="preserve"> </w:t>
      </w:r>
      <w:r>
        <w:rPr>
          <w:rFonts w:hint="eastAsia"/>
          <w:color w:val="auto"/>
          <w:sz w:val="20"/>
          <w:highlight w:val="none"/>
          <w:lang w:val="en-US" w:eastAsia="zh-CN"/>
        </w:rPr>
        <w:t xml:space="preserve">  </w:t>
      </w:r>
      <w:r>
        <w:rPr>
          <w:rFonts w:hint="eastAsia" w:ascii="宋体" w:hAnsi="宋体"/>
          <w:color w:val="auto"/>
          <w:sz w:val="28"/>
          <w:szCs w:val="28"/>
          <w:highlight w:val="none"/>
        </w:rPr>
        <w:t>一、以上每一项结论均为“合格”的，则供应商的响应文件通过资格审查，如有任意一项结论为“不合格”的，则供应商的响应文件按无效响应文件处理。如果磋商小组认为供应商有任意一项不合格的，应在评审报告中载明不合格的具体原因。</w:t>
      </w:r>
    </w:p>
    <w:p>
      <w:pPr>
        <w:spacing w:line="360" w:lineRule="auto"/>
        <w:ind w:firstLine="599" w:firstLineChars="214"/>
        <w:rPr>
          <w:rFonts w:ascii="宋体" w:hAnsi="宋体"/>
          <w:color w:val="auto"/>
          <w:sz w:val="28"/>
          <w:szCs w:val="28"/>
          <w:highlight w:val="none"/>
        </w:rPr>
      </w:pPr>
      <w:r>
        <w:rPr>
          <w:rFonts w:hint="eastAsia" w:ascii="宋体" w:hAnsi="宋体"/>
          <w:color w:val="auto"/>
          <w:sz w:val="28"/>
          <w:szCs w:val="28"/>
          <w:highlight w:val="none"/>
        </w:rPr>
        <w:t>二、“信用中国” “中国政府采购网”网站的查询结果，将以电子介质的形式留存。</w:t>
      </w:r>
    </w:p>
    <w:p>
      <w:pPr>
        <w:spacing w:line="360" w:lineRule="auto"/>
        <w:ind w:firstLine="599" w:firstLineChars="214"/>
        <w:rPr>
          <w:rFonts w:ascii="宋体" w:hAnsi="宋体"/>
          <w:color w:val="auto"/>
          <w:sz w:val="28"/>
          <w:szCs w:val="28"/>
          <w:highlight w:val="none"/>
        </w:rPr>
      </w:pPr>
      <w:r>
        <w:rPr>
          <w:rFonts w:hint="eastAsia" w:ascii="宋体" w:hAnsi="宋体"/>
          <w:color w:val="auto"/>
          <w:sz w:val="28"/>
          <w:szCs w:val="28"/>
          <w:highlight w:val="none"/>
        </w:rPr>
        <w:t>三、磋商小组资格审查结束后，应当出具资格审查报告。没有通过资格审查的供应商，磋商小组应当在资格审查报告中说明原因。</w:t>
      </w:r>
    </w:p>
    <w:p>
      <w:pPr>
        <w:spacing w:line="360" w:lineRule="auto"/>
        <w:ind w:firstLine="599" w:firstLineChars="214"/>
        <w:rPr>
          <w:rFonts w:ascii="宋体" w:hAnsi="宋体"/>
          <w:color w:val="auto"/>
          <w:sz w:val="28"/>
          <w:szCs w:val="28"/>
          <w:highlight w:val="none"/>
        </w:rPr>
      </w:pPr>
      <w:r>
        <w:rPr>
          <w:rFonts w:hint="eastAsia" w:ascii="宋体" w:hAnsi="宋体"/>
          <w:color w:val="auto"/>
          <w:sz w:val="28"/>
          <w:szCs w:val="28"/>
          <w:highlight w:val="none"/>
          <w:lang w:eastAsia="zh-CN"/>
        </w:rPr>
        <w:t>四、</w:t>
      </w:r>
      <w:r>
        <w:rPr>
          <w:rFonts w:hint="eastAsia" w:ascii="宋体" w:hAnsi="宋体"/>
          <w:color w:val="auto"/>
          <w:sz w:val="28"/>
          <w:szCs w:val="28"/>
          <w:highlight w:val="none"/>
        </w:rPr>
        <w:t>通过资格审查的供应商不足三家的，采购失败。</w:t>
      </w:r>
    </w:p>
    <w:p>
      <w:pPr>
        <w:tabs>
          <w:tab w:val="left" w:pos="851"/>
        </w:tabs>
        <w:spacing w:line="360" w:lineRule="auto"/>
        <w:ind w:firstLine="568" w:firstLineChars="202"/>
        <w:rPr>
          <w:rFonts w:ascii="宋体" w:hAnsi="宋体"/>
          <w:color w:val="auto"/>
          <w:sz w:val="28"/>
          <w:szCs w:val="28"/>
          <w:highlight w:val="none"/>
        </w:rPr>
      </w:pPr>
      <w:r>
        <w:rPr>
          <w:rFonts w:hint="eastAsia" w:ascii="宋体" w:hAnsi="宋体"/>
          <w:b/>
          <w:color w:val="auto"/>
          <w:sz w:val="28"/>
          <w:szCs w:val="28"/>
          <w:highlight w:val="none"/>
        </w:rPr>
        <w:t>特别说明：磋商文件中要求提供复印件的证明材料的，包含原件的影印件或复印件。</w:t>
      </w:r>
    </w:p>
    <w:p>
      <w:pPr>
        <w:pStyle w:val="6"/>
        <w:numPr>
          <w:ilvl w:val="2"/>
          <w:numId w:val="0"/>
        </w:numPr>
        <w:spacing w:after="200"/>
        <w:ind w:leftChars="0"/>
        <w:rPr>
          <w:rFonts w:hint="eastAsia"/>
          <w:color w:val="auto"/>
          <w:highlight w:val="none"/>
          <w:lang w:val="en-US" w:eastAsia="zh-CN"/>
        </w:rPr>
      </w:pPr>
      <w:bookmarkStart w:id="478" w:name="_Toc21281"/>
      <w:bookmarkStart w:id="479" w:name="_Toc13323"/>
      <w:bookmarkStart w:id="480" w:name="_Toc28849"/>
      <w:r>
        <w:rPr>
          <w:rFonts w:hint="eastAsia"/>
          <w:color w:val="auto"/>
          <w:highlight w:val="none"/>
          <w:lang w:val="en-US" w:eastAsia="zh-CN"/>
        </w:rPr>
        <w:t>5.2.3符合性审</w:t>
      </w:r>
      <w:bookmarkEnd w:id="478"/>
      <w:bookmarkEnd w:id="479"/>
      <w:bookmarkEnd w:id="480"/>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资格</w:t>
      </w:r>
      <w:r>
        <w:rPr>
          <w:rFonts w:ascii="宋体" w:hAnsi="宋体" w:eastAsia="宋体"/>
          <w:color w:val="auto"/>
          <w:sz w:val="24"/>
          <w:szCs w:val="24"/>
          <w:highlight w:val="none"/>
        </w:rPr>
        <w:t>审查</w:t>
      </w:r>
      <w:r>
        <w:rPr>
          <w:rFonts w:hint="eastAsia" w:ascii="宋体" w:hAnsi="宋体" w:eastAsia="宋体"/>
          <w:color w:val="auto"/>
          <w:sz w:val="24"/>
          <w:szCs w:val="24"/>
          <w:highlight w:val="none"/>
        </w:rPr>
        <w:t>结束后，由磋商小组对供应商响应文件进行符合性审查。</w:t>
      </w:r>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磋商小组在符合性审查过程中，磋商小组成员对供应商是否符合规定存在争议的，应当以少数服从多数的原则处理，但不得违背政府采购法和磋商文件规定。</w:t>
      </w:r>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供应商符合性审查标准（按以下顺序审查）： </w:t>
      </w:r>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资格</w:t>
      </w:r>
      <w:r>
        <w:rPr>
          <w:rFonts w:ascii="宋体" w:hAnsi="宋体" w:eastAsia="宋体"/>
          <w:color w:val="auto"/>
          <w:sz w:val="24"/>
          <w:szCs w:val="24"/>
          <w:highlight w:val="none"/>
        </w:rPr>
        <w:t>审查</w:t>
      </w:r>
      <w:r>
        <w:rPr>
          <w:rFonts w:hint="eastAsia" w:ascii="宋体" w:hAnsi="宋体" w:eastAsia="宋体"/>
          <w:color w:val="auto"/>
          <w:sz w:val="24"/>
          <w:szCs w:val="24"/>
          <w:highlight w:val="none"/>
        </w:rPr>
        <w:t>结束后，由磋商小组对供应商响应文件进行符合性审查。</w:t>
      </w:r>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磋商小组在符合性审查过程中，磋商小组成员对供应商是否符合规定存在争议的，应当以少数服从多数的原则处理，但不得违背政府采购法和磋商文件规定。</w:t>
      </w:r>
    </w:p>
    <w:p>
      <w:pPr>
        <w:pStyle w:val="29"/>
        <w:numPr>
          <w:ilvl w:val="0"/>
          <w:numId w:val="32"/>
        </w:numPr>
        <w:tabs>
          <w:tab w:val="left" w:pos="1134"/>
          <w:tab w:val="left" w:pos="1276"/>
          <w:tab w:val="left" w:pos="1418"/>
        </w:tabs>
        <w:spacing w:after="200" w:line="360" w:lineRule="auto"/>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供应商符合性审查标准（按以下顺序审查）： </w:t>
      </w:r>
    </w:p>
    <w:tbl>
      <w:tblPr>
        <w:tblStyle w:val="17"/>
        <w:tblW w:w="964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218"/>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序号</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符合性审查项</w:t>
            </w:r>
          </w:p>
        </w:tc>
        <w:tc>
          <w:tcPr>
            <w:tcW w:w="46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auto"/>
                <w:sz w:val="24"/>
                <w:szCs w:val="28"/>
                <w:highlight w:val="none"/>
              </w:rPr>
            </w:pPr>
            <w:r>
              <w:rPr>
                <w:rFonts w:hint="eastAsia" w:ascii="宋体" w:hAnsi="宋体"/>
                <w:b/>
                <w:color w:val="auto"/>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1</w:t>
            </w:r>
          </w:p>
        </w:tc>
        <w:tc>
          <w:tcPr>
            <w:tcW w:w="4218"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技术、服务性响应文件的组成</w:t>
            </w:r>
          </w:p>
        </w:tc>
        <w:tc>
          <w:tcPr>
            <w:tcW w:w="4651"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符合磋商文件“2.4.5响应文件的组成”规定要求（最后报价文件除外）。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2</w:t>
            </w:r>
          </w:p>
        </w:tc>
        <w:tc>
          <w:tcPr>
            <w:tcW w:w="4218"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lang w:eastAsia="zh-CN"/>
              </w:rPr>
            </w:pPr>
            <w:r>
              <w:rPr>
                <w:rFonts w:hint="eastAsia" w:ascii="宋体" w:hAnsi="宋体"/>
              </w:rPr>
              <w:t>技术、服务性响应文件计量单位、语言</w:t>
            </w:r>
            <w:r>
              <w:rPr>
                <w:rFonts w:hint="eastAsia" w:ascii="宋体" w:hAnsi="宋体"/>
                <w:lang w:eastAsia="zh-CN"/>
              </w:rPr>
              <w:t>、报价货币</w:t>
            </w:r>
          </w:p>
        </w:tc>
        <w:tc>
          <w:tcPr>
            <w:tcW w:w="4651"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计量单位、语言</w:t>
            </w:r>
            <w:r>
              <w:rPr>
                <w:rFonts w:hint="eastAsia" w:ascii="宋体" w:hAnsi="宋体"/>
                <w:lang w:eastAsia="zh-CN"/>
              </w:rPr>
              <w:t>、报价货币均</w:t>
            </w:r>
            <w:r>
              <w:rPr>
                <w:rFonts w:hint="eastAsia" w:ascii="宋体" w:hAnsi="宋体"/>
              </w:rPr>
              <w:t>满足磋商文件要求。【说明：无须提供证明材料，上传空白页即可，不对本项上传的材料作</w:t>
            </w:r>
            <w:r>
              <w:rPr>
                <w:rFonts w:hint="eastAsia" w:ascii="宋体" w:hAnsi="宋体"/>
                <w:lang w:eastAsia="zh-CN"/>
              </w:rPr>
              <w:t>符合性</w:t>
            </w:r>
            <w:r>
              <w:rPr>
                <w:rFonts w:hint="eastAsia" w:ascii="宋体" w:hAnsi="宋体"/>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3</w:t>
            </w:r>
          </w:p>
        </w:tc>
        <w:tc>
          <w:tcPr>
            <w:tcW w:w="4218"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技术、服务性响应文件对磋商文件规定的采购项目实质性响应要求的响应情况</w:t>
            </w:r>
          </w:p>
        </w:tc>
        <w:tc>
          <w:tcPr>
            <w:tcW w:w="4651"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rPr>
            </w:pPr>
            <w:r>
              <w:rPr>
                <w:rFonts w:hint="eastAsia" w:ascii="宋体" w:hAnsi="宋体"/>
              </w:rPr>
              <w:t>符合磋商文件规定的采购项目实质性响应要求。【说明：无须提供证明材料，上传空白页即可，不对本项上传的材料作</w:t>
            </w:r>
            <w:r>
              <w:rPr>
                <w:rFonts w:hint="eastAsia" w:ascii="宋体" w:hAnsi="宋体"/>
                <w:lang w:eastAsia="zh-CN"/>
              </w:rPr>
              <w:t>符合性</w:t>
            </w:r>
            <w:r>
              <w:rPr>
                <w:rFonts w:hint="eastAsia" w:ascii="宋体" w:hAnsi="宋体"/>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lang w:val="en-US" w:eastAsia="zh-CN"/>
              </w:rPr>
            </w:pPr>
            <w:r>
              <w:rPr>
                <w:rFonts w:hint="eastAsia" w:ascii="宋体" w:hAnsi="宋体"/>
              </w:rPr>
              <w:t>4</w:t>
            </w:r>
          </w:p>
        </w:tc>
        <w:tc>
          <w:tcPr>
            <w:tcW w:w="4218"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lang w:val="en-US" w:eastAsia="zh-CN"/>
              </w:rPr>
            </w:pPr>
            <w:r>
              <w:rPr>
                <w:rFonts w:hint="eastAsia" w:ascii="宋体" w:hAnsi="宋体"/>
              </w:rPr>
              <w:t>进口产品</w:t>
            </w:r>
          </w:p>
        </w:tc>
        <w:tc>
          <w:tcPr>
            <w:tcW w:w="4651" w:type="dxa"/>
            <w:tcBorders>
              <w:top w:val="single" w:color="auto" w:sz="2" w:space="0"/>
              <w:left w:val="single" w:color="auto" w:sz="2" w:space="0"/>
              <w:bottom w:val="single" w:color="auto" w:sz="2" w:space="0"/>
              <w:right w:val="single" w:color="auto" w:sz="2" w:space="0"/>
            </w:tcBorders>
            <w:vAlign w:val="center"/>
          </w:tcPr>
          <w:p>
            <w:pPr>
              <w:snapToGrid w:val="0"/>
              <w:spacing w:line="360" w:lineRule="auto"/>
              <w:rPr>
                <w:rFonts w:hint="eastAsia" w:ascii="宋体" w:hAnsi="宋体"/>
                <w:lang w:val="en-US" w:eastAsia="zh-CN"/>
              </w:rPr>
            </w:pPr>
            <w:r>
              <w:rPr>
                <w:rFonts w:hint="eastAsia" w:ascii="宋体" w:hAnsi="宋体"/>
              </w:rPr>
              <w:t>磋商文件中未载明“允许采购进口产品”的产品，拒绝进口产品的报价。磋商文件中载明“允许采购进口产品”的产品，允许国产产品参与竞争。【说明：无须提供证明材料，上传空白页即可，不对本项上传的材料作</w:t>
            </w:r>
            <w:r>
              <w:rPr>
                <w:rFonts w:hint="eastAsia" w:ascii="宋体" w:hAnsi="宋体"/>
                <w:lang w:eastAsia="zh-CN"/>
              </w:rPr>
              <w:t>符合性</w:t>
            </w:r>
            <w:r>
              <w:rPr>
                <w:rFonts w:hint="eastAsia" w:ascii="宋体" w:hAnsi="宋体"/>
              </w:rPr>
              <w:t>审查】</w:t>
            </w:r>
          </w:p>
        </w:tc>
      </w:tr>
    </w:tbl>
    <w:p>
      <w:pPr>
        <w:snapToGrid w:val="0"/>
        <w:spacing w:line="360" w:lineRule="auto"/>
        <w:rPr>
          <w:rFonts w:hint="eastAsia" w:ascii="宋体" w:hAnsi="宋体"/>
        </w:rPr>
      </w:pP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以上每一项结论均为“通过”的，则供应商的响应文件通过符合性审查，才能允许其参加磋商；如有任意一项结论为“不通过”的，则供应商的响应文件按无效响应文件处理，不允许其参加磋商。如果磋商小组认为供应商有任意一项不通过的，应在评审报告中载明不通过的具体原因。</w:t>
      </w:r>
    </w:p>
    <w:p>
      <w:pPr>
        <w:pStyle w:val="29"/>
        <w:numPr>
          <w:ilvl w:val="0"/>
          <w:numId w:val="33"/>
        </w:numPr>
        <w:ind w:left="0" w:firstLine="560"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磋商小组符合性审查结束后，应当出具符合性审查报告，确定参加磋商的供应商名单。</w:t>
      </w:r>
    </w:p>
    <w:p>
      <w:pPr>
        <w:pStyle w:val="29"/>
        <w:numPr>
          <w:ilvl w:val="0"/>
          <w:numId w:val="33"/>
        </w:numPr>
        <w:tabs>
          <w:tab w:val="left" w:pos="1134"/>
          <w:tab w:val="left" w:pos="1418"/>
        </w:tabs>
        <w:spacing w:after="200" w:line="360" w:lineRule="auto"/>
        <w:ind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通过符合性审查的供应商不足三家的，采购失败。</w:t>
      </w:r>
    </w:p>
    <w:p>
      <w:pPr>
        <w:spacing w:line="360" w:lineRule="auto"/>
        <w:ind w:firstLine="602" w:firstLineChars="214"/>
        <w:rPr>
          <w:rFonts w:ascii="宋体" w:hAnsi="宋体"/>
          <w:b/>
          <w:color w:val="auto"/>
          <w:sz w:val="28"/>
          <w:szCs w:val="28"/>
          <w:highlight w:val="none"/>
        </w:rPr>
      </w:pPr>
      <w:r>
        <w:rPr>
          <w:rFonts w:hint="eastAsia" w:ascii="宋体" w:hAnsi="宋体"/>
          <w:b/>
          <w:color w:val="auto"/>
          <w:sz w:val="28"/>
          <w:szCs w:val="28"/>
          <w:highlight w:val="none"/>
        </w:rPr>
        <w:t>特别说明：磋商文件中要求提供复印件的证明材料的，包含原件的影印件或复印件。</w:t>
      </w:r>
    </w:p>
    <w:p>
      <w:pPr>
        <w:pStyle w:val="6"/>
        <w:numPr>
          <w:ilvl w:val="0"/>
          <w:numId w:val="0"/>
        </w:numPr>
        <w:rPr>
          <w:color w:val="auto"/>
          <w:highlight w:val="none"/>
        </w:rPr>
      </w:pPr>
      <w:bookmarkStart w:id="481" w:name="_Toc17932"/>
      <w:bookmarkStart w:id="482" w:name="_Toc26720"/>
      <w:bookmarkStart w:id="483" w:name="_Toc15813"/>
      <w:r>
        <w:rPr>
          <w:rFonts w:hint="eastAsia"/>
          <w:color w:val="auto"/>
          <w:highlight w:val="none"/>
        </w:rPr>
        <w:t>5.2.</w:t>
      </w:r>
      <w:r>
        <w:rPr>
          <w:rFonts w:hint="eastAsia"/>
          <w:color w:val="auto"/>
          <w:highlight w:val="none"/>
          <w:lang w:val="en-US" w:eastAsia="zh-CN"/>
        </w:rPr>
        <w:t>4</w:t>
      </w:r>
      <w:r>
        <w:rPr>
          <w:rFonts w:hint="eastAsia"/>
          <w:color w:val="auto"/>
          <w:highlight w:val="none"/>
        </w:rPr>
        <w:t>磋商</w:t>
      </w:r>
      <w:bookmarkEnd w:id="481"/>
      <w:bookmarkEnd w:id="482"/>
      <w:bookmarkEnd w:id="483"/>
    </w:p>
    <w:p>
      <w:pPr>
        <w:spacing w:line="360" w:lineRule="auto"/>
        <w:ind w:firstLine="570"/>
        <w:rPr>
          <w:rFonts w:ascii="宋体" w:hAnsi="宋体"/>
          <w:color w:val="auto"/>
          <w:sz w:val="24"/>
          <w:szCs w:val="24"/>
          <w:highlight w:val="none"/>
        </w:rPr>
      </w:pPr>
      <w:r>
        <w:rPr>
          <w:rFonts w:hint="eastAsia" w:ascii="宋体" w:hAnsi="宋体"/>
          <w:color w:val="auto"/>
          <w:sz w:val="24"/>
          <w:szCs w:val="24"/>
          <w:highlight w:val="none"/>
        </w:rPr>
        <w:t>磋商会议在成都市公共资源交易服务中心“政府采购云平台”进行。磋商会议由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公资交易中心在线主持，供应商代表在线参加。</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磋商小组按照磋商文件的规定与邀请参加磋商的供应商分别进行磋商，磋商顺序由磋商小组确定，磋商通过“政府采购云平台”在线进行。供应商应</w:t>
      </w:r>
      <w:r>
        <w:rPr>
          <w:rFonts w:ascii="宋体" w:hAnsi="宋体"/>
          <w:color w:val="auto"/>
          <w:sz w:val="24"/>
          <w:szCs w:val="24"/>
          <w:highlight w:val="none"/>
        </w:rPr>
        <w:t>随时关注“</w:t>
      </w:r>
      <w:r>
        <w:rPr>
          <w:rFonts w:hint="eastAsia" w:ascii="宋体" w:hAnsi="宋体"/>
          <w:color w:val="auto"/>
          <w:sz w:val="24"/>
          <w:szCs w:val="24"/>
          <w:highlight w:val="none"/>
        </w:rPr>
        <w:t>政府</w:t>
      </w:r>
      <w:r>
        <w:rPr>
          <w:rFonts w:ascii="宋体" w:hAnsi="宋体"/>
          <w:color w:val="auto"/>
          <w:sz w:val="24"/>
          <w:szCs w:val="24"/>
          <w:highlight w:val="none"/>
        </w:rPr>
        <w:t>采购</w:t>
      </w:r>
      <w:r>
        <w:rPr>
          <w:rFonts w:hint="eastAsia" w:ascii="宋体" w:hAnsi="宋体"/>
          <w:color w:val="auto"/>
          <w:sz w:val="24"/>
          <w:szCs w:val="24"/>
          <w:highlight w:val="none"/>
        </w:rPr>
        <w:t>云</w:t>
      </w:r>
      <w:r>
        <w:rPr>
          <w:rFonts w:ascii="宋体" w:hAnsi="宋体"/>
          <w:color w:val="auto"/>
          <w:sz w:val="24"/>
          <w:szCs w:val="24"/>
          <w:highlight w:val="none"/>
        </w:rPr>
        <w:t>平台”</w:t>
      </w:r>
      <w:r>
        <w:rPr>
          <w:rFonts w:hint="eastAsia" w:ascii="宋体" w:hAnsi="宋体"/>
          <w:color w:val="auto"/>
          <w:sz w:val="24"/>
          <w:szCs w:val="24"/>
          <w:highlight w:val="none"/>
        </w:rPr>
        <w:t>站内信息或</w:t>
      </w:r>
      <w:r>
        <w:rPr>
          <w:rFonts w:ascii="宋体" w:hAnsi="宋体"/>
          <w:color w:val="auto"/>
          <w:sz w:val="24"/>
          <w:szCs w:val="24"/>
          <w:highlight w:val="none"/>
        </w:rPr>
        <w:t>短信提醒，</w:t>
      </w:r>
      <w:r>
        <w:rPr>
          <w:rFonts w:hint="eastAsia" w:ascii="宋体" w:hAnsi="宋体"/>
          <w:color w:val="auto"/>
          <w:sz w:val="24"/>
          <w:szCs w:val="24"/>
          <w:highlight w:val="none"/>
        </w:rPr>
        <w:t>及时参与</w:t>
      </w:r>
      <w:r>
        <w:rPr>
          <w:rFonts w:ascii="宋体" w:hAnsi="宋体"/>
          <w:color w:val="auto"/>
          <w:sz w:val="24"/>
          <w:szCs w:val="24"/>
          <w:highlight w:val="none"/>
        </w:rPr>
        <w:t>在线</w:t>
      </w:r>
      <w:r>
        <w:rPr>
          <w:rFonts w:hint="eastAsia" w:ascii="宋体" w:hAnsi="宋体"/>
          <w:color w:val="auto"/>
          <w:sz w:val="24"/>
          <w:szCs w:val="24"/>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color w:val="auto"/>
          <w:sz w:val="24"/>
          <w:szCs w:val="24"/>
          <w:highlight w:val="none"/>
        </w:rPr>
        <w:t>。</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磋商小组所有成员集中与单一供应商分别进行一轮或多轮的磋商。在磋商中，磋商的任何一方不得透露与磋商有关的其他供应商的技术资料、价格和其他信息。</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磋商内容为第4章中“技术、服务、商务及其他要求”、第6章“合同草案条款”。其中第4章中加★号的条款为采购项目的</w:t>
      </w:r>
      <w:r>
        <w:rPr>
          <w:rFonts w:hint="eastAsia" w:ascii="宋体" w:hAnsi="宋体" w:cs="宋体"/>
          <w:color w:val="auto"/>
          <w:sz w:val="24"/>
          <w:szCs w:val="24"/>
          <w:highlight w:val="none"/>
        </w:rPr>
        <w:t>实质性</w:t>
      </w:r>
      <w:r>
        <w:rPr>
          <w:rFonts w:ascii="宋体" w:hAnsi="宋体" w:cs="宋体"/>
          <w:color w:val="auto"/>
          <w:sz w:val="24"/>
          <w:szCs w:val="24"/>
          <w:highlight w:val="none"/>
        </w:rPr>
        <w:t>响应</w:t>
      </w:r>
      <w:r>
        <w:rPr>
          <w:rFonts w:hint="eastAsia" w:ascii="宋体" w:hAnsi="宋体" w:cs="宋体"/>
          <w:color w:val="auto"/>
          <w:sz w:val="24"/>
          <w:szCs w:val="24"/>
          <w:highlight w:val="none"/>
        </w:rPr>
        <w:t>要求</w:t>
      </w:r>
      <w:r>
        <w:rPr>
          <w:rFonts w:hint="eastAsia" w:ascii="宋体" w:hAnsi="宋体"/>
          <w:color w:val="auto"/>
          <w:sz w:val="24"/>
          <w:szCs w:val="24"/>
          <w:highlight w:val="none"/>
        </w:rPr>
        <w:t>，不允许实质性</w:t>
      </w:r>
      <w:r>
        <w:rPr>
          <w:rFonts w:ascii="宋体" w:hAnsi="宋体"/>
          <w:color w:val="auto"/>
          <w:sz w:val="24"/>
          <w:szCs w:val="24"/>
          <w:highlight w:val="none"/>
        </w:rPr>
        <w:t>变动。</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磋商过程中，磋商小组获得采购人同意（由采购人代表签字确认）后，可以根据磋商文件和磋商情况实质性变动磋商文件中的第4章技术、服务、商务及其他要求、第6章合同草案条款可</w:t>
      </w:r>
      <w:r>
        <w:rPr>
          <w:rFonts w:ascii="宋体" w:hAnsi="宋体"/>
          <w:color w:val="auto"/>
          <w:sz w:val="24"/>
          <w:szCs w:val="24"/>
          <w:highlight w:val="none"/>
        </w:rPr>
        <w:t>实质性变动的内容</w:t>
      </w:r>
      <w:r>
        <w:rPr>
          <w:rFonts w:hint="eastAsia" w:ascii="宋体" w:hAnsi="宋体"/>
          <w:color w:val="auto"/>
          <w:sz w:val="24"/>
          <w:szCs w:val="24"/>
          <w:highlight w:val="none"/>
        </w:rPr>
        <w:t>，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磋商过程中，供应商可以根据磋商情况变更其响应文件，并将变更内容通过“澄清”功能送磋商小组。变更内容作为响应文件的一部分。供应商书面材料应加盖供应商（法定名称）电子签章，否则无效。</w:t>
      </w:r>
    </w:p>
    <w:p>
      <w:pPr>
        <w:numPr>
          <w:ilvl w:val="1"/>
          <w:numId w:val="34"/>
        </w:numPr>
        <w:tabs>
          <w:tab w:val="left" w:pos="1134"/>
        </w:tabs>
        <w:spacing w:after="200" w:line="360" w:lineRule="auto"/>
        <w:ind w:left="0" w:firstLine="480" w:firstLineChars="200"/>
        <w:rPr>
          <w:rFonts w:ascii="宋体" w:hAnsi="宋体"/>
          <w:b/>
          <w:bCs/>
          <w:color w:val="auto"/>
          <w:sz w:val="24"/>
          <w:szCs w:val="24"/>
          <w:highlight w:val="none"/>
        </w:rPr>
      </w:pPr>
      <w:r>
        <w:rPr>
          <w:rFonts w:hint="eastAsia" w:ascii="宋体" w:hAnsi="宋体"/>
          <w:color w:val="auto"/>
          <w:sz w:val="24"/>
          <w:szCs w:val="24"/>
          <w:highlight w:val="none"/>
        </w:rPr>
        <w:t>磋商过程中，磋商的任何一方不得透露与磋商有关的其他供应商的技术资料、价格和其他信息。</w:t>
      </w:r>
    </w:p>
    <w:p>
      <w:pPr>
        <w:numPr>
          <w:ilvl w:val="1"/>
          <w:numId w:val="34"/>
        </w:numPr>
        <w:tabs>
          <w:tab w:val="left" w:pos="1134"/>
        </w:tabs>
        <w:spacing w:after="20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磋商过程中，磋商小组发现或者知晓供应商存在违法行为的，应当在评审报告中予以记录，并向财政部门报告，依法应将该供应商响应文件作无效处理的，应当作无效处理。</w:t>
      </w:r>
    </w:p>
    <w:p>
      <w:pPr>
        <w:pStyle w:val="6"/>
        <w:numPr>
          <w:ilvl w:val="0"/>
          <w:numId w:val="0"/>
        </w:numPr>
        <w:rPr>
          <w:color w:val="auto"/>
          <w:highlight w:val="none"/>
        </w:rPr>
      </w:pPr>
      <w:bookmarkStart w:id="484" w:name="_Toc8652"/>
      <w:bookmarkStart w:id="485" w:name="_Toc3147"/>
      <w:bookmarkStart w:id="486" w:name="_Toc238"/>
      <w:r>
        <w:rPr>
          <w:rFonts w:hint="eastAsia"/>
          <w:color w:val="auto"/>
          <w:highlight w:val="none"/>
        </w:rPr>
        <w:t>5.2.</w:t>
      </w:r>
      <w:r>
        <w:rPr>
          <w:rFonts w:hint="eastAsia"/>
          <w:color w:val="auto"/>
          <w:highlight w:val="none"/>
          <w:lang w:val="en-US" w:eastAsia="zh-CN"/>
        </w:rPr>
        <w:t>5</w:t>
      </w:r>
      <w:r>
        <w:rPr>
          <w:rFonts w:hint="eastAsia"/>
          <w:color w:val="auto"/>
          <w:highlight w:val="none"/>
        </w:rPr>
        <w:t>最后报价审查</w:t>
      </w:r>
      <w:bookmarkEnd w:id="484"/>
      <w:bookmarkEnd w:id="485"/>
      <w:bookmarkEnd w:id="486"/>
    </w:p>
    <w:p>
      <w:pPr>
        <w:widowControl/>
        <w:numPr>
          <w:ilvl w:val="0"/>
          <w:numId w:val="35"/>
        </w:numPr>
        <w:tabs>
          <w:tab w:val="left" w:pos="1134"/>
        </w:tabs>
        <w:snapToGrid w:val="0"/>
        <w:spacing w:after="20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磋商结束</w:t>
      </w:r>
      <w:r>
        <w:rPr>
          <w:rFonts w:ascii="宋体" w:hAnsi="宋体"/>
          <w:color w:val="auto"/>
          <w:sz w:val="24"/>
          <w:szCs w:val="24"/>
          <w:highlight w:val="none"/>
        </w:rPr>
        <w:t>后，</w:t>
      </w:r>
      <w:r>
        <w:rPr>
          <w:rFonts w:hint="eastAsia" w:ascii="宋体" w:hAnsi="宋体"/>
          <w:color w:val="auto"/>
          <w:sz w:val="24"/>
          <w:szCs w:val="24"/>
          <w:highlight w:val="none"/>
        </w:rPr>
        <w:t>磋商小组应当要求所有实质性响应的供应商在规定时间内进行最后报价。磋商小组</w:t>
      </w:r>
      <w:r>
        <w:rPr>
          <w:rFonts w:ascii="宋体" w:hAnsi="宋体"/>
          <w:color w:val="auto"/>
          <w:sz w:val="24"/>
          <w:szCs w:val="24"/>
          <w:highlight w:val="none"/>
        </w:rPr>
        <w:t>开启报价后，供应商应随时关注“</w:t>
      </w:r>
      <w:r>
        <w:rPr>
          <w:rFonts w:hint="eastAsia" w:ascii="宋体" w:hAnsi="宋体"/>
          <w:color w:val="auto"/>
          <w:sz w:val="24"/>
          <w:szCs w:val="24"/>
          <w:highlight w:val="none"/>
        </w:rPr>
        <w:t>政府</w:t>
      </w:r>
      <w:r>
        <w:rPr>
          <w:rFonts w:ascii="宋体" w:hAnsi="宋体"/>
          <w:color w:val="auto"/>
          <w:sz w:val="24"/>
          <w:szCs w:val="24"/>
          <w:highlight w:val="none"/>
        </w:rPr>
        <w:t>采购</w:t>
      </w:r>
      <w:r>
        <w:rPr>
          <w:rFonts w:hint="eastAsia" w:ascii="宋体" w:hAnsi="宋体"/>
          <w:color w:val="auto"/>
          <w:sz w:val="24"/>
          <w:szCs w:val="24"/>
          <w:highlight w:val="none"/>
        </w:rPr>
        <w:t>云</w:t>
      </w:r>
      <w:r>
        <w:rPr>
          <w:rFonts w:ascii="宋体" w:hAnsi="宋体"/>
          <w:color w:val="auto"/>
          <w:sz w:val="24"/>
          <w:szCs w:val="24"/>
          <w:highlight w:val="none"/>
        </w:rPr>
        <w:t>平台”</w:t>
      </w:r>
      <w:r>
        <w:rPr>
          <w:rFonts w:hint="eastAsia" w:ascii="宋体" w:hAnsi="宋体"/>
          <w:color w:val="auto"/>
          <w:sz w:val="24"/>
          <w:szCs w:val="24"/>
          <w:highlight w:val="none"/>
        </w:rPr>
        <w:t>站内信息或</w:t>
      </w:r>
      <w:r>
        <w:rPr>
          <w:rFonts w:ascii="宋体" w:hAnsi="宋体"/>
          <w:color w:val="auto"/>
          <w:sz w:val="24"/>
          <w:szCs w:val="24"/>
          <w:highlight w:val="none"/>
        </w:rPr>
        <w:t>短信提醒，</w:t>
      </w:r>
      <w:r>
        <w:rPr>
          <w:rFonts w:hint="eastAsia" w:ascii="宋体" w:hAnsi="宋体"/>
          <w:color w:val="auto"/>
          <w:sz w:val="24"/>
          <w:szCs w:val="24"/>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auto"/>
          <w:sz w:val="24"/>
          <w:szCs w:val="24"/>
          <w:highlight w:val="none"/>
        </w:rPr>
        <w:t>并</w:t>
      </w:r>
      <w:r>
        <w:rPr>
          <w:rFonts w:hint="eastAsia" w:ascii="宋体" w:hAnsi="宋体"/>
          <w:color w:val="auto"/>
          <w:sz w:val="24"/>
          <w:szCs w:val="24"/>
          <w:highlight w:val="none"/>
        </w:rPr>
        <w:t>签章</w:t>
      </w:r>
      <w:r>
        <w:rPr>
          <w:rFonts w:ascii="宋体" w:hAnsi="宋体"/>
          <w:color w:val="auto"/>
          <w:sz w:val="24"/>
          <w:szCs w:val="24"/>
          <w:highlight w:val="none"/>
        </w:rPr>
        <w:t>后</w:t>
      </w:r>
      <w:r>
        <w:rPr>
          <w:rFonts w:hint="eastAsia" w:ascii="宋体" w:hAnsi="宋体"/>
          <w:color w:val="auto"/>
          <w:sz w:val="24"/>
          <w:szCs w:val="24"/>
          <w:highlight w:val="none"/>
        </w:rPr>
        <w:t>递交。报价</w:t>
      </w:r>
      <w:r>
        <w:rPr>
          <w:rFonts w:ascii="宋体" w:hAnsi="宋体"/>
          <w:color w:val="auto"/>
          <w:sz w:val="24"/>
          <w:szCs w:val="24"/>
          <w:highlight w:val="none"/>
        </w:rPr>
        <w:t>时间截止后，系统</w:t>
      </w:r>
      <w:r>
        <w:rPr>
          <w:rFonts w:hint="eastAsia" w:ascii="宋体" w:hAnsi="宋体"/>
          <w:color w:val="auto"/>
          <w:sz w:val="24"/>
          <w:szCs w:val="24"/>
          <w:highlight w:val="none"/>
        </w:rPr>
        <w:t>统一</w:t>
      </w:r>
      <w:r>
        <w:rPr>
          <w:rFonts w:ascii="宋体" w:hAnsi="宋体"/>
          <w:color w:val="auto"/>
          <w:sz w:val="24"/>
          <w:szCs w:val="24"/>
          <w:highlight w:val="none"/>
        </w:rPr>
        <w:t>公布报价。</w:t>
      </w:r>
      <w:r>
        <w:rPr>
          <w:rFonts w:hint="eastAsia" w:ascii="宋体" w:hAnsi="宋体"/>
          <w:color w:val="auto"/>
          <w:sz w:val="24"/>
          <w:szCs w:val="24"/>
          <w:highlight w:val="none"/>
        </w:rPr>
        <w:t>提示：供应商未按时登录不见面开标系统，未在报价</w:t>
      </w:r>
      <w:r>
        <w:rPr>
          <w:rFonts w:ascii="宋体" w:hAnsi="宋体"/>
          <w:color w:val="auto"/>
          <w:sz w:val="24"/>
          <w:szCs w:val="24"/>
          <w:highlight w:val="none"/>
        </w:rPr>
        <w:t>截止时间内</w:t>
      </w:r>
      <w:r>
        <w:rPr>
          <w:rFonts w:hint="eastAsia" w:ascii="宋体" w:hAnsi="宋体"/>
          <w:color w:val="auto"/>
          <w:sz w:val="24"/>
          <w:szCs w:val="24"/>
          <w:highlight w:val="none"/>
        </w:rPr>
        <w:t>递交</w:t>
      </w:r>
      <w:r>
        <w:rPr>
          <w:rFonts w:ascii="宋体" w:hAnsi="宋体"/>
          <w:color w:val="auto"/>
          <w:sz w:val="24"/>
          <w:szCs w:val="24"/>
          <w:highlight w:val="none"/>
        </w:rPr>
        <w:t>报价</w:t>
      </w:r>
      <w:r>
        <w:rPr>
          <w:rFonts w:hint="eastAsia" w:ascii="宋体" w:hAnsi="宋体"/>
          <w:color w:val="auto"/>
          <w:sz w:val="24"/>
          <w:szCs w:val="24"/>
          <w:highlight w:val="none"/>
        </w:rPr>
        <w:t>或未按要求进行报价的，</w:t>
      </w:r>
      <w:r>
        <w:rPr>
          <w:rFonts w:ascii="宋体" w:hAnsi="宋体"/>
          <w:color w:val="auto"/>
          <w:sz w:val="24"/>
          <w:szCs w:val="24"/>
          <w:highlight w:val="none"/>
        </w:rPr>
        <w:t>视为供应商</w:t>
      </w:r>
      <w:r>
        <w:rPr>
          <w:rFonts w:hint="eastAsia" w:ascii="宋体" w:hAnsi="宋体"/>
          <w:color w:val="auto"/>
          <w:sz w:val="24"/>
          <w:szCs w:val="24"/>
          <w:highlight w:val="none"/>
        </w:rPr>
        <w:t>响应文件无效，由供应商自行承担不利后果。</w:t>
      </w:r>
    </w:p>
    <w:p>
      <w:pPr>
        <w:widowControl/>
        <w:numPr>
          <w:ilvl w:val="0"/>
          <w:numId w:val="35"/>
        </w:numPr>
        <w:tabs>
          <w:tab w:val="left" w:pos="1134"/>
        </w:tabs>
        <w:snapToGrid w:val="0"/>
        <w:spacing w:after="20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已提交响应文件的供应商，在提交最后报价之前，可以根据磋商情况退出磋商。</w:t>
      </w:r>
    </w:p>
    <w:p>
      <w:pPr>
        <w:widowControl/>
        <w:numPr>
          <w:ilvl w:val="0"/>
          <w:numId w:val="35"/>
        </w:numPr>
        <w:tabs>
          <w:tab w:val="left" w:pos="1134"/>
        </w:tabs>
        <w:snapToGrid w:val="0"/>
        <w:spacing w:after="20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供应商未按磋商小组要求在规定时间内提交最后报价的，视为其退出磋商。</w:t>
      </w:r>
    </w:p>
    <w:p>
      <w:pPr>
        <w:widowControl/>
        <w:numPr>
          <w:ilvl w:val="0"/>
          <w:numId w:val="35"/>
        </w:numPr>
        <w:tabs>
          <w:tab w:val="left" w:pos="1134"/>
        </w:tabs>
        <w:snapToGrid w:val="0"/>
        <w:spacing w:after="20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最后报价一旦递交后，供应商不得以任何理由撤回。</w:t>
      </w:r>
    </w:p>
    <w:p>
      <w:pPr>
        <w:widowControl/>
        <w:numPr>
          <w:ilvl w:val="0"/>
          <w:numId w:val="35"/>
        </w:numPr>
        <w:tabs>
          <w:tab w:val="left" w:pos="1134"/>
        </w:tabs>
        <w:snapToGrid w:val="0"/>
        <w:spacing w:after="20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最后报价为有效报价应符合下列条件：</w:t>
      </w:r>
    </w:p>
    <w:p>
      <w:pPr>
        <w:widowControl/>
        <w:numPr>
          <w:ilvl w:val="0"/>
          <w:numId w:val="36"/>
        </w:numPr>
        <w:tabs>
          <w:tab w:val="left" w:pos="-2127"/>
          <w:tab w:val="left" w:pos="1134"/>
        </w:tabs>
        <w:snapToGrid w:val="0"/>
        <w:spacing w:after="200" w:line="360" w:lineRule="auto"/>
        <w:ind w:left="0" w:firstLine="557"/>
        <w:rPr>
          <w:rFonts w:ascii="宋体" w:hAnsi="宋体" w:cs="宋体"/>
          <w:color w:val="auto"/>
          <w:sz w:val="24"/>
          <w:szCs w:val="24"/>
          <w:highlight w:val="none"/>
        </w:rPr>
      </w:pPr>
      <w:r>
        <w:rPr>
          <w:rFonts w:hint="eastAsia" w:ascii="宋体" w:hAnsi="宋体" w:cs="宋体"/>
          <w:color w:val="auto"/>
          <w:sz w:val="24"/>
          <w:szCs w:val="24"/>
          <w:highlight w:val="none"/>
        </w:rPr>
        <w:t>供应商所提供的最后报价是在规定的时间内提交。</w:t>
      </w:r>
    </w:p>
    <w:p>
      <w:pPr>
        <w:widowControl/>
        <w:numPr>
          <w:ilvl w:val="0"/>
          <w:numId w:val="36"/>
        </w:numPr>
        <w:tabs>
          <w:tab w:val="left" w:pos="-2127"/>
          <w:tab w:val="left" w:pos="1134"/>
        </w:tabs>
        <w:snapToGrid w:val="0"/>
        <w:spacing w:after="200" w:line="360" w:lineRule="auto"/>
        <w:ind w:left="0" w:firstLine="557"/>
        <w:rPr>
          <w:rFonts w:ascii="宋体" w:hAnsi="宋体" w:cs="宋体"/>
          <w:color w:val="auto"/>
          <w:sz w:val="24"/>
          <w:szCs w:val="24"/>
          <w:highlight w:val="none"/>
        </w:rPr>
      </w:pPr>
      <w:r>
        <w:rPr>
          <w:rFonts w:hint="eastAsia" w:ascii="宋体" w:hAnsi="宋体" w:cs="宋体"/>
          <w:color w:val="auto"/>
          <w:sz w:val="24"/>
          <w:szCs w:val="24"/>
          <w:highlight w:val="none"/>
        </w:rPr>
        <w:t>供应商的最后报价应加盖供应商（法定名称）电子签章。</w:t>
      </w:r>
    </w:p>
    <w:p>
      <w:pPr>
        <w:widowControl/>
        <w:numPr>
          <w:ilvl w:val="0"/>
          <w:numId w:val="36"/>
        </w:numPr>
        <w:tabs>
          <w:tab w:val="left" w:pos="-2127"/>
          <w:tab w:val="left" w:pos="1134"/>
        </w:tabs>
        <w:snapToGrid w:val="0"/>
        <w:spacing w:after="200" w:line="360" w:lineRule="auto"/>
        <w:ind w:left="0" w:firstLine="557"/>
        <w:rPr>
          <w:rFonts w:ascii="宋体" w:hAnsi="宋体" w:cs="宋体"/>
          <w:color w:val="auto"/>
          <w:sz w:val="24"/>
          <w:szCs w:val="24"/>
          <w:highlight w:val="none"/>
        </w:rPr>
      </w:pPr>
      <w:r>
        <w:rPr>
          <w:rFonts w:hint="eastAsia" w:ascii="宋体" w:hAnsi="宋体" w:cs="宋体"/>
          <w:color w:val="auto"/>
          <w:sz w:val="24"/>
          <w:szCs w:val="24"/>
          <w:highlight w:val="none"/>
        </w:rPr>
        <w:t>供应商的最后报价符合磋商文件的要求。</w:t>
      </w:r>
    </w:p>
    <w:p>
      <w:pPr>
        <w:widowControl/>
        <w:numPr>
          <w:ilvl w:val="0"/>
          <w:numId w:val="36"/>
        </w:numPr>
        <w:tabs>
          <w:tab w:val="left" w:pos="-2127"/>
          <w:tab w:val="left" w:pos="1134"/>
        </w:tabs>
        <w:snapToGrid w:val="0"/>
        <w:spacing w:after="200" w:line="360" w:lineRule="auto"/>
        <w:ind w:left="0" w:firstLine="557"/>
        <w:rPr>
          <w:rFonts w:ascii="宋体" w:hAnsi="宋体" w:cs="宋体"/>
          <w:color w:val="auto"/>
          <w:sz w:val="24"/>
          <w:szCs w:val="24"/>
          <w:highlight w:val="none"/>
        </w:rPr>
      </w:pPr>
      <w:r>
        <w:rPr>
          <w:rFonts w:hint="eastAsia" w:ascii="宋体" w:hAnsi="宋体" w:cs="宋体"/>
          <w:color w:val="auto"/>
          <w:sz w:val="24"/>
          <w:szCs w:val="24"/>
          <w:highlight w:val="none"/>
        </w:rPr>
        <w:t>最后报价唯一，且不高于最高限价。</w:t>
      </w:r>
    </w:p>
    <w:p>
      <w:pPr>
        <w:pStyle w:val="29"/>
        <w:numPr>
          <w:ilvl w:val="0"/>
          <w:numId w:val="35"/>
        </w:numPr>
        <w:ind w:left="0" w:firstLine="568"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在未提高响应文件中承诺的服务质量的情况下，最后报价不高于技术、服务性响应文件中的报价，否则，磋商小组应当对其响应文件按无效处理。</w:t>
      </w:r>
    </w:p>
    <w:p>
      <w:pPr>
        <w:widowControl/>
        <w:numPr>
          <w:ilvl w:val="0"/>
          <w:numId w:val="35"/>
        </w:numPr>
        <w:tabs>
          <w:tab w:val="left" w:pos="-2127"/>
          <w:tab w:val="left" w:pos="1134"/>
        </w:tabs>
        <w:snapToGrid w:val="0"/>
        <w:spacing w:line="620" w:lineRule="exact"/>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最后报价出现下列情况的，不需要供应商澄清，按以下原则处理：</w:t>
      </w:r>
    </w:p>
    <w:p>
      <w:pPr>
        <w:pStyle w:val="63"/>
        <w:numPr>
          <w:ilvl w:val="0"/>
          <w:numId w:val="37"/>
        </w:numPr>
        <w:tabs>
          <w:tab w:val="left" w:pos="1134"/>
          <w:tab w:val="clear" w:pos="846"/>
        </w:tabs>
        <w:snapToGrid w:val="0"/>
        <w:spacing w:line="620" w:lineRule="exact"/>
        <w:ind w:left="0" w:firstLine="567"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最后报价中的大写金额和小写金额不一致的，以大写金额为准，但大写金额出现文字错误，导致金额无法判断的除外；</w:t>
      </w:r>
    </w:p>
    <w:p>
      <w:pPr>
        <w:pStyle w:val="63"/>
        <w:numPr>
          <w:ilvl w:val="0"/>
          <w:numId w:val="37"/>
        </w:numPr>
        <w:tabs>
          <w:tab w:val="left" w:pos="1134"/>
          <w:tab w:val="clear" w:pos="846"/>
        </w:tabs>
        <w:snapToGrid w:val="0"/>
        <w:spacing w:line="620" w:lineRule="exact"/>
        <w:ind w:left="0" w:firstLine="525"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单价金额小数点或者百分比有明显错位的，应以总价为准，并修改单价；</w:t>
      </w:r>
    </w:p>
    <w:p>
      <w:pPr>
        <w:pStyle w:val="63"/>
        <w:numPr>
          <w:ilvl w:val="0"/>
          <w:numId w:val="37"/>
        </w:numPr>
        <w:tabs>
          <w:tab w:val="left" w:pos="1134"/>
          <w:tab w:val="clear" w:pos="846"/>
        </w:tabs>
        <w:snapToGrid w:val="0"/>
        <w:spacing w:line="620" w:lineRule="exact"/>
        <w:ind w:left="0" w:firstLine="525"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总价金额与按单价汇总金额不一致的，以单价汇总金额计算结果为准；</w:t>
      </w:r>
    </w:p>
    <w:p>
      <w:pPr>
        <w:snapToGrid w:val="0"/>
        <w:spacing w:line="620" w:lineRule="exact"/>
        <w:ind w:firstLine="480" w:firstLineChars="200"/>
        <w:rPr>
          <w:color w:val="auto"/>
          <w:sz w:val="24"/>
          <w:szCs w:val="24"/>
          <w:highlight w:val="none"/>
        </w:rPr>
      </w:pPr>
      <w:r>
        <w:rPr>
          <w:rFonts w:hint="eastAsia" w:cs="Arial"/>
          <w:color w:val="auto"/>
          <w:sz w:val="24"/>
          <w:szCs w:val="24"/>
          <w:highlight w:val="none"/>
        </w:rPr>
        <w:t>同时出现两种以上不一致的，按照前款规定的顺序修正。修正后的</w:t>
      </w:r>
      <w:r>
        <w:rPr>
          <w:rFonts w:hint="eastAsia" w:ascii="宋体" w:hAnsi="宋体"/>
          <w:color w:val="auto"/>
          <w:sz w:val="24"/>
          <w:szCs w:val="24"/>
          <w:highlight w:val="none"/>
        </w:rPr>
        <w:t>最后</w:t>
      </w:r>
      <w:r>
        <w:rPr>
          <w:rFonts w:hint="eastAsia" w:cs="Arial"/>
          <w:color w:val="auto"/>
          <w:sz w:val="24"/>
          <w:szCs w:val="24"/>
          <w:highlight w:val="none"/>
        </w:rPr>
        <w:t>报价经加盖供应商（法定名称）电子签章后产生约束力，供应商不确认的，其</w:t>
      </w:r>
      <w:r>
        <w:rPr>
          <w:rFonts w:hint="eastAsia" w:ascii="宋体" w:hAnsi="宋体"/>
          <w:color w:val="auto"/>
          <w:sz w:val="24"/>
          <w:szCs w:val="24"/>
          <w:highlight w:val="none"/>
        </w:rPr>
        <w:t>最后</w:t>
      </w:r>
      <w:r>
        <w:rPr>
          <w:rFonts w:hint="eastAsia" w:cs="Arial"/>
          <w:color w:val="auto"/>
          <w:sz w:val="24"/>
          <w:szCs w:val="24"/>
          <w:highlight w:val="none"/>
        </w:rPr>
        <w:t>报价无效。</w:t>
      </w:r>
    </w:p>
    <w:p>
      <w:pPr>
        <w:pStyle w:val="3"/>
        <w:ind w:firstLine="484" w:firstLineChars="202"/>
        <w:rPr>
          <w:rFonts w:ascii="宋体" w:hAnsi="宋体"/>
          <w:color w:val="auto"/>
          <w:sz w:val="24"/>
          <w:szCs w:val="24"/>
          <w:highlight w:val="none"/>
        </w:rPr>
      </w:pPr>
      <w:r>
        <w:rPr>
          <w:rFonts w:hint="eastAsia" w:ascii="宋体" w:hAnsi="宋体"/>
          <w:color w:val="auto"/>
          <w:sz w:val="24"/>
          <w:szCs w:val="24"/>
          <w:highlight w:val="none"/>
        </w:rPr>
        <w:t>对不同语言文本响应文件的解释发生异议的，以中文文本为准。</w:t>
      </w:r>
    </w:p>
    <w:p>
      <w:pPr>
        <w:widowControl/>
        <w:numPr>
          <w:ilvl w:val="0"/>
          <w:numId w:val="35"/>
        </w:numPr>
        <w:tabs>
          <w:tab w:val="left" w:pos="-2127"/>
          <w:tab w:val="left" w:pos="1134"/>
        </w:tabs>
        <w:snapToGrid w:val="0"/>
        <w:spacing w:line="620" w:lineRule="exact"/>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有效最后报价的供应商不足</w:t>
      </w:r>
      <w:r>
        <w:rPr>
          <w:rFonts w:hint="eastAsia"/>
          <w:color w:val="auto"/>
          <w:sz w:val="24"/>
          <w:szCs w:val="24"/>
          <w:highlight w:val="none"/>
          <w:lang w:eastAsia="zh-CN"/>
        </w:rPr>
        <w:t>三</w:t>
      </w:r>
      <w:r>
        <w:rPr>
          <w:rFonts w:hint="eastAsia" w:ascii="宋体" w:hAnsi="宋体"/>
          <w:color w:val="auto"/>
          <w:sz w:val="24"/>
          <w:szCs w:val="24"/>
          <w:highlight w:val="none"/>
        </w:rPr>
        <w:t>家的，采购失败。</w:t>
      </w:r>
    </w:p>
    <w:p>
      <w:pPr>
        <w:pStyle w:val="6"/>
        <w:numPr>
          <w:ilvl w:val="0"/>
          <w:numId w:val="0"/>
        </w:numPr>
        <w:rPr>
          <w:color w:val="auto"/>
          <w:highlight w:val="none"/>
        </w:rPr>
      </w:pPr>
      <w:bookmarkStart w:id="487" w:name="_Toc5552"/>
      <w:bookmarkStart w:id="488" w:name="_Toc28931"/>
      <w:bookmarkStart w:id="489" w:name="_Toc22110"/>
      <w:r>
        <w:rPr>
          <w:rFonts w:hint="eastAsia"/>
          <w:color w:val="auto"/>
          <w:highlight w:val="none"/>
        </w:rPr>
        <w:t>5.2.</w:t>
      </w:r>
      <w:r>
        <w:rPr>
          <w:rFonts w:hint="eastAsia"/>
          <w:color w:val="auto"/>
          <w:highlight w:val="none"/>
          <w:lang w:val="en-US" w:eastAsia="zh-CN"/>
        </w:rPr>
        <w:t>6</w:t>
      </w:r>
      <w:r>
        <w:rPr>
          <w:rFonts w:hint="eastAsia"/>
          <w:color w:val="auto"/>
          <w:highlight w:val="none"/>
        </w:rPr>
        <w:t>解释、澄清、说明的有关问题</w:t>
      </w:r>
      <w:bookmarkEnd w:id="487"/>
      <w:bookmarkEnd w:id="488"/>
      <w:bookmarkEnd w:id="489"/>
    </w:p>
    <w:p>
      <w:pPr>
        <w:numPr>
          <w:ilvl w:val="0"/>
          <w:numId w:val="38"/>
        </w:numPr>
        <w:tabs>
          <w:tab w:val="left" w:pos="1134"/>
        </w:tabs>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评审过程中，磋商小组认为磋商文件有关事项表述不明确或需要说明的，可以提请</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公资交易中心书面解释。</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公资交易中心的解释不得改变磋商文件的原义或者影响公平、公正，解释事项如果涉及供应商权益的以有利于供应商的原则进行解释。</w:t>
      </w:r>
    </w:p>
    <w:p>
      <w:pPr>
        <w:numPr>
          <w:ilvl w:val="0"/>
          <w:numId w:val="38"/>
        </w:numPr>
        <w:tabs>
          <w:tab w:val="left" w:pos="1134"/>
        </w:tabs>
        <w:spacing w:after="200" w:line="360" w:lineRule="auto"/>
        <w:ind w:left="0" w:firstLine="567"/>
        <w:rPr>
          <w:rFonts w:ascii="宋体" w:hAnsi="宋体"/>
          <w:color w:val="auto"/>
          <w:sz w:val="24"/>
          <w:szCs w:val="24"/>
          <w:highlight w:val="none"/>
        </w:rPr>
      </w:pPr>
      <w:r>
        <w:rPr>
          <w:rFonts w:hint="eastAsia" w:ascii="宋体" w:hAnsi="宋体"/>
          <w:color w:val="auto"/>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评审结束前，供应商应随时关注系统提示，及时通过“政府采购云平台”在线响应磋商小组发出的澄清、说明或补正要求，签章并确认提交成功。逾时回复将不能提交，视为供应商自行放弃，其损失由供应商承担。</w:t>
      </w:r>
    </w:p>
    <w:p>
      <w:pPr>
        <w:spacing w:line="360" w:lineRule="auto"/>
        <w:ind w:firstLine="482" w:firstLineChars="200"/>
        <w:rPr>
          <w:rFonts w:ascii="宋体" w:hAnsi="宋体"/>
          <w:b/>
          <w:color w:val="auto"/>
          <w:sz w:val="28"/>
          <w:szCs w:val="28"/>
          <w:highlight w:val="none"/>
        </w:rPr>
      </w:pPr>
      <w:r>
        <w:rPr>
          <w:rFonts w:hint="eastAsia" w:ascii="宋体" w:hAnsi="宋体"/>
          <w:b/>
          <w:color w:val="auto"/>
          <w:sz w:val="24"/>
          <w:szCs w:val="24"/>
          <w:highlight w:val="none"/>
        </w:rPr>
        <w:t>磋商小组应当积极履行澄清、说明或者更正的职责，不得滥用权力。</w:t>
      </w:r>
    </w:p>
    <w:p>
      <w:pPr>
        <w:pStyle w:val="6"/>
        <w:numPr>
          <w:ilvl w:val="0"/>
          <w:numId w:val="0"/>
        </w:numPr>
        <w:rPr>
          <w:color w:val="auto"/>
          <w:highlight w:val="none"/>
        </w:rPr>
      </w:pPr>
      <w:bookmarkStart w:id="490" w:name="_Toc7972"/>
      <w:bookmarkStart w:id="491" w:name="_Toc12108"/>
      <w:bookmarkStart w:id="492" w:name="_Toc10982"/>
      <w:r>
        <w:rPr>
          <w:rFonts w:hint="eastAsia"/>
          <w:color w:val="auto"/>
          <w:highlight w:val="none"/>
        </w:rPr>
        <w:t>5.2.</w:t>
      </w:r>
      <w:r>
        <w:rPr>
          <w:rFonts w:hint="eastAsia"/>
          <w:color w:val="auto"/>
          <w:highlight w:val="none"/>
          <w:lang w:val="en-US" w:eastAsia="zh-CN"/>
        </w:rPr>
        <w:t>7</w:t>
      </w:r>
      <w:r>
        <w:rPr>
          <w:color w:val="auto"/>
          <w:highlight w:val="none"/>
        </w:rPr>
        <w:t>复核</w:t>
      </w:r>
      <w:bookmarkEnd w:id="490"/>
      <w:bookmarkEnd w:id="491"/>
      <w:bookmarkEnd w:id="492"/>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评审结束后，磋商小组应当进行复核，特别要对拟推荐为成交候选供应商的、报价最低的、响应文件被认定为无效的进行重点复核。</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评审结果汇总完成后，磋商小组拟出具评审报告前，</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公资交易中心应当组织2名以上的工作人员，在采购现场监督人员的监督之下，依据有关的法律制度和采购文件对评审结果进行复核，出具复核报告。</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评审结果汇总完成后，除下列情形外，任何人不得修改评审结果：</w:t>
      </w:r>
    </w:p>
    <w:p>
      <w:pPr>
        <w:pStyle w:val="29"/>
        <w:widowControl/>
        <w:numPr>
          <w:ilvl w:val="0"/>
          <w:numId w:val="39"/>
        </w:numPr>
        <w:tabs>
          <w:tab w:val="left" w:pos="1418"/>
        </w:tabs>
        <w:spacing w:after="200" w:line="360" w:lineRule="auto"/>
        <w:ind w:left="0" w:firstLine="48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资格性认定错误；</w:t>
      </w:r>
    </w:p>
    <w:p>
      <w:pPr>
        <w:pStyle w:val="29"/>
        <w:widowControl/>
        <w:numPr>
          <w:ilvl w:val="0"/>
          <w:numId w:val="39"/>
        </w:numPr>
        <w:tabs>
          <w:tab w:val="left" w:pos="1418"/>
        </w:tabs>
        <w:spacing w:after="200" w:line="360" w:lineRule="auto"/>
        <w:ind w:left="0" w:firstLine="48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分值汇总计算错误的；</w:t>
      </w:r>
    </w:p>
    <w:p>
      <w:pPr>
        <w:pStyle w:val="29"/>
        <w:widowControl/>
        <w:numPr>
          <w:ilvl w:val="0"/>
          <w:numId w:val="39"/>
        </w:numPr>
        <w:tabs>
          <w:tab w:val="left" w:pos="1418"/>
        </w:tabs>
        <w:spacing w:after="200" w:line="360" w:lineRule="auto"/>
        <w:ind w:left="0" w:firstLine="48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分项评分超出评分标准范围的；</w:t>
      </w:r>
    </w:p>
    <w:p>
      <w:pPr>
        <w:pStyle w:val="29"/>
        <w:widowControl/>
        <w:numPr>
          <w:ilvl w:val="0"/>
          <w:numId w:val="39"/>
        </w:numPr>
        <w:tabs>
          <w:tab w:val="left" w:pos="1418"/>
        </w:tabs>
        <w:spacing w:after="200" w:line="360" w:lineRule="auto"/>
        <w:ind w:left="0" w:firstLine="48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磋商小组成员对客观评审因素评分不一致的；</w:t>
      </w:r>
    </w:p>
    <w:p>
      <w:pPr>
        <w:pStyle w:val="29"/>
        <w:widowControl/>
        <w:numPr>
          <w:ilvl w:val="0"/>
          <w:numId w:val="39"/>
        </w:numPr>
        <w:tabs>
          <w:tab w:val="left" w:pos="1418"/>
        </w:tabs>
        <w:spacing w:after="200" w:line="360" w:lineRule="auto"/>
        <w:ind w:left="0" w:firstLine="48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经磋商小组认定评分畸高、畸低的。</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存在本条上述情形的，由磋商小组自主决定是否采纳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公资交易中心的书面建议，并承担独立评审责任。磋商小组采纳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公资交易中心书面建议的，应当按照规定现场修改评审结果或者重新评审，并在磋商报告中详细记载有关事宜；不采纳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公资交易中心书面建议的，应当书面说明理由。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公资交易中心书面建议未被磋商小组采纳的，应当按照规定程序要求继续组织实施采购活动，不得擅自中止采购活动。</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公资交易中心认为磋商小组评审结果不合法的，应当书面报告采购项目同级财政部门。</w:t>
      </w:r>
    </w:p>
    <w:p>
      <w:pPr>
        <w:tabs>
          <w:tab w:val="left" w:pos="851"/>
        </w:tabs>
        <w:spacing w:line="360" w:lineRule="auto"/>
        <w:ind w:firstLine="480" w:firstLineChars="200"/>
        <w:rPr>
          <w:rFonts w:ascii="宋体" w:hAnsi="宋体"/>
          <w:color w:val="auto"/>
          <w:sz w:val="28"/>
          <w:szCs w:val="28"/>
          <w:highlight w:val="none"/>
        </w:rPr>
      </w:pP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公资交易中心复核过程中，磋商小组成员不得离开评审现场。</w:t>
      </w:r>
    </w:p>
    <w:p>
      <w:pPr>
        <w:pStyle w:val="6"/>
        <w:numPr>
          <w:ilvl w:val="0"/>
          <w:numId w:val="0"/>
        </w:numPr>
        <w:rPr>
          <w:rFonts w:hint="eastAsia"/>
          <w:color w:val="auto"/>
          <w:highlight w:val="none"/>
        </w:rPr>
      </w:pPr>
      <w:bookmarkStart w:id="493" w:name="_Toc8851"/>
      <w:bookmarkStart w:id="494" w:name="_Toc22231"/>
      <w:bookmarkStart w:id="495" w:name="_Toc28503"/>
      <w:r>
        <w:rPr>
          <w:rFonts w:hint="eastAsia"/>
          <w:color w:val="auto"/>
          <w:highlight w:val="none"/>
        </w:rPr>
        <w:t>5.2.</w:t>
      </w:r>
      <w:bookmarkStart w:id="496" w:name="_Toc63437916"/>
      <w:bookmarkStart w:id="497" w:name="_Toc73622795"/>
      <w:bookmarkStart w:id="498" w:name="_Toc63084330"/>
      <w:r>
        <w:rPr>
          <w:rFonts w:hint="eastAsia"/>
          <w:color w:val="auto"/>
          <w:highlight w:val="none"/>
          <w:lang w:val="en-US" w:eastAsia="zh-CN"/>
        </w:rPr>
        <w:t>8</w:t>
      </w:r>
      <w:r>
        <w:rPr>
          <w:rFonts w:hint="eastAsia"/>
          <w:color w:val="auto"/>
          <w:highlight w:val="none"/>
        </w:rPr>
        <w:t>推荐成交候选供应商</w:t>
      </w:r>
      <w:bookmarkEnd w:id="493"/>
      <w:bookmarkEnd w:id="494"/>
      <w:bookmarkEnd w:id="495"/>
      <w:bookmarkEnd w:id="496"/>
      <w:bookmarkEnd w:id="497"/>
      <w:bookmarkEnd w:id="498"/>
    </w:p>
    <w:p>
      <w:pPr>
        <w:spacing w:line="360" w:lineRule="auto"/>
        <w:ind w:firstLine="484" w:firstLineChars="202"/>
        <w:rPr>
          <w:rFonts w:hint="eastAsia" w:ascii="宋体" w:hAnsi="宋体"/>
          <w:color w:val="auto"/>
          <w:sz w:val="24"/>
          <w:szCs w:val="24"/>
          <w:highlight w:val="none"/>
        </w:rPr>
      </w:pPr>
      <w:r>
        <w:rPr>
          <w:rFonts w:hint="eastAsia" w:ascii="宋体" w:hAnsi="宋体"/>
          <w:color w:val="auto"/>
          <w:sz w:val="24"/>
          <w:szCs w:val="24"/>
          <w:highlight w:val="none"/>
        </w:rPr>
        <w:t>磋商小组应当根据综合评分情况，按照评审得分由高到低顺序推荐</w:t>
      </w:r>
      <w:r>
        <w:rPr>
          <w:rFonts w:hint="eastAsia"/>
          <w:color w:val="auto"/>
          <w:sz w:val="24"/>
          <w:szCs w:val="24"/>
          <w:highlight w:val="none"/>
          <w:lang w:val="en-US" w:eastAsia="zh-CN"/>
        </w:rPr>
        <w:t>1-3</w:t>
      </w:r>
      <w:r>
        <w:rPr>
          <w:rFonts w:hint="eastAsia" w:ascii="宋体" w:hAnsi="宋体"/>
          <w:color w:val="auto"/>
          <w:sz w:val="24"/>
          <w:szCs w:val="24"/>
          <w:highlight w:val="none"/>
        </w:rPr>
        <w:t>名成交候选供应商，并编写评审报告。评审得分相同的，按照最后报价由低到高的顺序推荐。评审得分且最后报价相同的，按照技术指标优劣（技术类分项得分高低）顺序推荐。评审得分且最后报价且技术指标得分均相同的，成交候选供应商并列，由采购人随机抽签确定成交供应商。</w:t>
      </w:r>
    </w:p>
    <w:p>
      <w:pPr>
        <w:pStyle w:val="6"/>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bookmarkStart w:id="499" w:name="_Toc8990"/>
      <w:bookmarkStart w:id="500" w:name="_Toc26218"/>
      <w:bookmarkStart w:id="501" w:name="_Toc565"/>
      <w:bookmarkStart w:id="502" w:name="_Toc26783"/>
      <w:bookmarkStart w:id="503" w:name="_Toc9390"/>
      <w:bookmarkStart w:id="504" w:name="_Toc23585"/>
      <w:bookmarkStart w:id="505" w:name="_Toc23064"/>
      <w:r>
        <w:rPr>
          <w:rFonts w:hint="eastAsia" w:ascii="宋体" w:hAnsi="宋体" w:eastAsia="宋体" w:cs="宋体"/>
          <w:b w:val="0"/>
          <w:bCs w:val="0"/>
          <w:color w:val="auto"/>
          <w:kern w:val="2"/>
          <w:sz w:val="24"/>
          <w:szCs w:val="24"/>
          <w:highlight w:val="none"/>
          <w:lang w:val="en-US" w:eastAsia="zh-CN" w:bidi="ar-SA"/>
        </w:rPr>
        <w:t>提供核心产品品牌相同且通过资格检查和符合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名供应商获得成交候选人推荐资格。</w:t>
      </w:r>
      <w:bookmarkEnd w:id="499"/>
      <w:bookmarkEnd w:id="500"/>
      <w:bookmarkEnd w:id="501"/>
      <w:bookmarkEnd w:id="502"/>
      <w:bookmarkEnd w:id="503"/>
      <w:bookmarkEnd w:id="504"/>
      <w:bookmarkEnd w:id="505"/>
    </w:p>
    <w:p>
      <w:pPr>
        <w:pStyle w:val="6"/>
        <w:numPr>
          <w:ilvl w:val="0"/>
          <w:numId w:val="0"/>
        </w:numPr>
        <w:rPr>
          <w:rFonts w:hint="eastAsia"/>
          <w:color w:val="auto"/>
          <w:highlight w:val="none"/>
          <w:lang w:val="en-US" w:eastAsia="zh-CN"/>
        </w:rPr>
      </w:pPr>
      <w:bookmarkStart w:id="506" w:name="_Toc22087"/>
      <w:bookmarkStart w:id="507" w:name="_Toc27335"/>
      <w:bookmarkStart w:id="508" w:name="_Toc14091"/>
      <w:r>
        <w:rPr>
          <w:rFonts w:hint="eastAsia"/>
          <w:color w:val="auto"/>
          <w:highlight w:val="none"/>
          <w:lang w:val="en-US" w:eastAsia="zh-CN"/>
        </w:rPr>
        <w:t>5.2.9编写评审报告</w:t>
      </w:r>
      <w:bookmarkEnd w:id="506"/>
      <w:bookmarkEnd w:id="507"/>
      <w:bookmarkEnd w:id="508"/>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评审报告是磋商小组根据全体成员签字的原始评审记录和评审结果编写的报告，其主要内容包括：</w:t>
      </w:r>
    </w:p>
    <w:p>
      <w:pPr>
        <w:pStyle w:val="29"/>
        <w:widowControl/>
        <w:numPr>
          <w:ilvl w:val="0"/>
          <w:numId w:val="40"/>
        </w:numPr>
        <w:tabs>
          <w:tab w:val="left" w:pos="1134"/>
        </w:tabs>
        <w:spacing w:after="200" w:line="360" w:lineRule="auto"/>
        <w:ind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邀请供应商参加采购活动的具体方式和相关情况；</w:t>
      </w:r>
    </w:p>
    <w:p>
      <w:pPr>
        <w:pStyle w:val="29"/>
        <w:widowControl/>
        <w:numPr>
          <w:ilvl w:val="0"/>
          <w:numId w:val="40"/>
        </w:numPr>
        <w:tabs>
          <w:tab w:val="left" w:pos="1134"/>
        </w:tabs>
        <w:spacing w:after="200" w:line="360" w:lineRule="auto"/>
        <w:ind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响应文件开启日期和地点；</w:t>
      </w:r>
    </w:p>
    <w:p>
      <w:pPr>
        <w:pStyle w:val="29"/>
        <w:widowControl/>
        <w:numPr>
          <w:ilvl w:val="0"/>
          <w:numId w:val="40"/>
        </w:numPr>
        <w:tabs>
          <w:tab w:val="left" w:pos="1134"/>
        </w:tabs>
        <w:spacing w:after="200" w:line="360" w:lineRule="auto"/>
        <w:ind w:left="0" w:firstLine="56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获取磋商文件的供应商名单和磋商小组成员名单；</w:t>
      </w:r>
    </w:p>
    <w:p>
      <w:pPr>
        <w:pStyle w:val="29"/>
        <w:widowControl/>
        <w:numPr>
          <w:ilvl w:val="0"/>
          <w:numId w:val="40"/>
        </w:numPr>
        <w:tabs>
          <w:tab w:val="left" w:pos="1134"/>
        </w:tabs>
        <w:spacing w:after="200" w:line="360" w:lineRule="auto"/>
        <w:ind w:left="0" w:firstLine="56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评审情况记录和说明，包括对供应商的资格审查情况、供应商响应文件评审情况、磋商情况、报价情况等；</w:t>
      </w:r>
    </w:p>
    <w:p>
      <w:pPr>
        <w:pStyle w:val="29"/>
        <w:widowControl/>
        <w:numPr>
          <w:ilvl w:val="0"/>
          <w:numId w:val="40"/>
        </w:numPr>
        <w:tabs>
          <w:tab w:val="left" w:pos="1134"/>
        </w:tabs>
        <w:spacing w:after="200" w:line="360" w:lineRule="auto"/>
        <w:ind w:left="0" w:firstLine="560" w:firstLineChars="0"/>
        <w:jc w:val="left"/>
        <w:rPr>
          <w:rFonts w:ascii="宋体" w:hAnsi="宋体" w:eastAsia="宋体"/>
          <w:color w:val="auto"/>
          <w:sz w:val="24"/>
          <w:szCs w:val="24"/>
          <w:highlight w:val="none"/>
        </w:rPr>
      </w:pPr>
      <w:r>
        <w:rPr>
          <w:rFonts w:hint="eastAsia" w:ascii="宋体" w:hAnsi="宋体" w:eastAsia="宋体"/>
          <w:color w:val="auto"/>
          <w:sz w:val="24"/>
          <w:szCs w:val="24"/>
          <w:highlight w:val="none"/>
        </w:rPr>
        <w:t>提出的成交候选供应商的排序名单及理由。</w:t>
      </w:r>
    </w:p>
    <w:p>
      <w:pPr>
        <w:tabs>
          <w:tab w:val="left" w:pos="1155"/>
        </w:tabs>
        <w:spacing w:line="360" w:lineRule="auto"/>
        <w:ind w:firstLine="448" w:firstLineChars="187"/>
        <w:rPr>
          <w:rFonts w:ascii="宋体" w:hAnsi="宋体"/>
          <w:color w:val="auto"/>
          <w:sz w:val="24"/>
          <w:szCs w:val="24"/>
          <w:highlight w:val="none"/>
        </w:rPr>
      </w:pPr>
      <w:r>
        <w:rPr>
          <w:rFonts w:hint="eastAsia" w:ascii="宋体" w:hAnsi="宋体"/>
          <w:color w:val="auto"/>
          <w:sz w:val="24"/>
          <w:szCs w:val="24"/>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书面说明其不同意见和理由的，视为同意评审报告。</w:t>
      </w:r>
    </w:p>
    <w:p>
      <w:pPr>
        <w:pStyle w:val="5"/>
        <w:numPr>
          <w:ilvl w:val="1"/>
          <w:numId w:val="0"/>
        </w:numPr>
        <w:spacing w:before="0" w:after="200"/>
        <w:ind w:leftChars="0"/>
        <w:rPr>
          <w:color w:val="auto"/>
          <w:highlight w:val="none"/>
        </w:rPr>
      </w:pPr>
      <w:bookmarkStart w:id="509" w:name="_Toc7762"/>
      <w:bookmarkStart w:id="510" w:name="_Toc14394"/>
      <w:r>
        <w:rPr>
          <w:rFonts w:hint="eastAsia"/>
          <w:color w:val="auto"/>
          <w:highlight w:val="none"/>
        </w:rPr>
        <w:t>5.3</w:t>
      </w:r>
      <w:bookmarkStart w:id="511" w:name="_Toc77688497"/>
      <w:bookmarkStart w:id="512" w:name="_Toc58943347"/>
      <w:r>
        <w:rPr>
          <w:rFonts w:hint="eastAsia"/>
          <w:color w:val="auto"/>
          <w:highlight w:val="none"/>
        </w:rPr>
        <w:t>磋商</w:t>
      </w:r>
      <w:r>
        <w:rPr>
          <w:color w:val="auto"/>
          <w:highlight w:val="none"/>
        </w:rPr>
        <w:t>异议</w:t>
      </w:r>
      <w:r>
        <w:rPr>
          <w:rFonts w:hint="eastAsia"/>
          <w:color w:val="auto"/>
          <w:highlight w:val="none"/>
        </w:rPr>
        <w:t>处理</w:t>
      </w:r>
      <w:bookmarkEnd w:id="509"/>
      <w:bookmarkEnd w:id="510"/>
      <w:bookmarkEnd w:id="511"/>
      <w:bookmarkEnd w:id="512"/>
    </w:p>
    <w:p>
      <w:pPr>
        <w:tabs>
          <w:tab w:val="left" w:pos="1155"/>
        </w:tabs>
        <w:spacing w:line="360" w:lineRule="auto"/>
        <w:ind w:firstLine="484" w:firstLineChars="202"/>
        <w:rPr>
          <w:rFonts w:ascii="宋体" w:hAnsi="宋体"/>
          <w:color w:val="auto"/>
          <w:kern w:val="0"/>
          <w:sz w:val="24"/>
          <w:szCs w:val="24"/>
          <w:highlight w:val="none"/>
        </w:rPr>
      </w:pPr>
      <w:r>
        <w:rPr>
          <w:rFonts w:hint="eastAsia" w:ascii="宋体" w:hAnsi="宋体"/>
          <w:color w:val="auto"/>
          <w:kern w:val="0"/>
          <w:sz w:val="24"/>
          <w:szCs w:val="24"/>
          <w:highlight w:val="none"/>
        </w:rPr>
        <w:t>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pStyle w:val="5"/>
        <w:numPr>
          <w:ilvl w:val="0"/>
          <w:numId w:val="0"/>
        </w:numPr>
        <w:spacing w:before="156" w:after="156"/>
        <w:rPr>
          <w:rFonts w:hint="eastAsia" w:ascii="宋体" w:hAnsi="宋体" w:cs="Times New Roman"/>
          <w:b/>
          <w:bCs/>
          <w:color w:val="auto"/>
          <w:highlight w:val="none"/>
        </w:rPr>
      </w:pPr>
      <w:bookmarkStart w:id="513" w:name="_Toc29723"/>
      <w:bookmarkStart w:id="514" w:name="_Toc23944"/>
      <w:r>
        <w:rPr>
          <w:rFonts w:hint="eastAsia" w:ascii="宋体" w:hAnsi="宋体" w:cs="Times New Roman"/>
          <w:b/>
          <w:bCs/>
          <w:color w:val="auto"/>
          <w:highlight w:val="none"/>
          <w:lang w:val="en-US" w:eastAsia="zh-CN"/>
        </w:rPr>
        <w:t>5.</w:t>
      </w:r>
      <w:r>
        <w:rPr>
          <w:rFonts w:hint="eastAsia" w:cs="Times New Roman"/>
          <w:b/>
          <w:bCs/>
          <w:color w:val="auto"/>
          <w:highlight w:val="none"/>
          <w:lang w:val="en-US" w:eastAsia="zh-CN"/>
        </w:rPr>
        <w:t>4</w:t>
      </w:r>
      <w:r>
        <w:rPr>
          <w:rFonts w:hint="eastAsia" w:ascii="宋体" w:hAnsi="宋体" w:cs="Times New Roman"/>
          <w:b/>
          <w:bCs/>
          <w:color w:val="auto"/>
          <w:highlight w:val="none"/>
        </w:rPr>
        <w:t>评审办法和标准</w:t>
      </w:r>
      <w:bookmarkEnd w:id="513"/>
      <w:bookmarkEnd w:id="514"/>
    </w:p>
    <w:p>
      <w:pPr>
        <w:pStyle w:val="10"/>
        <w:snapToGrid w:val="0"/>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一、由磋商小组根据磋商文件的要求采用相同的评审程序、评分办法及标准对提交最后报价的供应商的响应文件和最后报价进行综合评分；</w:t>
      </w:r>
    </w:p>
    <w:p>
      <w:pPr>
        <w:tabs>
          <w:tab w:val="left" w:pos="1155"/>
        </w:tabs>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二、本次综合评分的因素是：价格、技术、服务等；</w:t>
      </w:r>
    </w:p>
    <w:p>
      <w:pPr>
        <w:tabs>
          <w:tab w:val="left" w:pos="1155"/>
        </w:tabs>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三、评审时，磋商小组各成员应当独立对每个有效响应的文件进行评价、打分，然后汇总每个供应商每项评分因素的得分。</w:t>
      </w:r>
    </w:p>
    <w:p>
      <w:pPr>
        <w:pStyle w:val="5"/>
        <w:numPr>
          <w:ilvl w:val="0"/>
          <w:numId w:val="0"/>
        </w:numPr>
        <w:spacing w:before="156" w:after="156"/>
        <w:rPr>
          <w:rFonts w:hint="eastAsia" w:ascii="宋体" w:hAnsi="宋体" w:cs="Times New Roman"/>
          <w:b/>
          <w:bCs/>
          <w:color w:val="auto"/>
          <w:highlight w:val="none"/>
          <w:lang w:val="en-US" w:eastAsia="zh-CN"/>
        </w:rPr>
      </w:pPr>
      <w:bookmarkStart w:id="515" w:name="_Toc23477"/>
      <w:bookmarkStart w:id="516" w:name="_Toc24641"/>
      <w:r>
        <w:rPr>
          <w:rFonts w:hint="eastAsia" w:ascii="宋体" w:hAnsi="宋体" w:cs="Times New Roman"/>
          <w:b/>
          <w:bCs/>
          <w:color w:val="auto"/>
          <w:highlight w:val="none"/>
          <w:lang w:val="en-US" w:eastAsia="zh-CN"/>
        </w:rPr>
        <w:t>5.</w:t>
      </w:r>
      <w:r>
        <w:rPr>
          <w:rFonts w:hint="eastAsia" w:cs="Times New Roman"/>
          <w:b/>
          <w:bCs/>
          <w:color w:val="auto"/>
          <w:highlight w:val="none"/>
          <w:lang w:val="en-US" w:eastAsia="zh-CN"/>
        </w:rPr>
        <w:t>4.1</w:t>
      </w:r>
      <w:r>
        <w:rPr>
          <w:rFonts w:hint="eastAsia" w:ascii="宋体" w:hAnsi="宋体" w:cs="Times New Roman"/>
          <w:b/>
          <w:bCs/>
          <w:color w:val="auto"/>
          <w:highlight w:val="none"/>
          <w:lang w:val="en-US" w:eastAsia="zh-CN"/>
        </w:rPr>
        <w:t>评分办法</w:t>
      </w:r>
      <w:bookmarkEnd w:id="515"/>
      <w:bookmarkEnd w:id="516"/>
    </w:p>
    <w:p>
      <w:pPr>
        <w:pStyle w:val="10"/>
        <w:snapToGrid w:val="0"/>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ind w:firstLine="540" w:firstLineChars="225"/>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评审得分＝（A1＋A2＋……＋An）/n1</w:t>
      </w:r>
    </w:p>
    <w:p>
      <w:pPr>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A1、A2……An分别为磋商小组每个成员的打分，n1为磋商小组人数。 </w:t>
      </w:r>
    </w:p>
    <w:p>
      <w:pPr>
        <w:ind w:firstLine="0" w:firstLineChars="0"/>
        <w:rPr>
          <w:rFonts w:hint="eastAsia" w:ascii="宋体" w:hAnsi="宋体" w:eastAsia="宋体" w:cs="Times New Roman"/>
          <w:b/>
          <w:bCs/>
          <w:iCs/>
          <w:color w:val="auto"/>
          <w:kern w:val="0"/>
          <w:sz w:val="28"/>
          <w:szCs w:val="28"/>
          <w:highlight w:val="none"/>
          <w:lang w:val="en-US" w:eastAsia="zh-CN" w:bidi="ar-SA"/>
        </w:rPr>
      </w:pPr>
      <w:r>
        <w:rPr>
          <w:rFonts w:hint="eastAsia" w:ascii="宋体" w:hAnsi="宋体" w:eastAsia="宋体" w:cs="Times New Roman"/>
          <w:b/>
          <w:bCs/>
          <w:iCs/>
          <w:color w:val="auto"/>
          <w:kern w:val="0"/>
          <w:sz w:val="28"/>
          <w:szCs w:val="28"/>
          <w:highlight w:val="none"/>
          <w:lang w:val="en-US" w:eastAsia="zh-CN" w:bidi="ar-SA"/>
        </w:rPr>
        <w:t>5.4.2评分标准</w:t>
      </w:r>
    </w:p>
    <w:p>
      <w:pPr>
        <w:ind w:firstLine="0" w:firstLineChars="0"/>
        <w:rPr>
          <w:rFonts w:hint="eastAsia"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包1评分标准</w:t>
      </w:r>
    </w:p>
    <w:tbl>
      <w:tblPr>
        <w:tblStyle w:val="17"/>
        <w:tblW w:w="8706"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686"/>
        <w:gridCol w:w="1131"/>
        <w:gridCol w:w="900"/>
        <w:gridCol w:w="4989"/>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评委类别</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评审项目</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分值</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评分标准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经济类评委评审</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报价</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0分</w:t>
            </w:r>
          </w:p>
        </w:tc>
        <w:tc>
          <w:tcPr>
            <w:tcW w:w="498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numPr>
                <w:ilvl w:val="0"/>
                <w:numId w:val="41"/>
              </w:numPr>
              <w:suppressLineNumbers w:val="0"/>
              <w:jc w:val="left"/>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对小型企业、微型企业、监狱企业、残疾人福利性单位 制造的货物的价格（如涉及）给予 10%的价格扣除，用扣除后的价格参与评审；[说明：所投产品中为监狱企业生产的产品应提供由省级以上监狱管理局、戒毒管理局（含新疆生产建设兵团）出具的生产厂商属于监狱企业的证明文件复印件。]</w:t>
            </w:r>
          </w:p>
          <w:p>
            <w:pPr>
              <w:keepNext w:val="0"/>
              <w:keepLines w:val="0"/>
              <w:widowControl/>
              <w:numPr>
                <w:ilvl w:val="0"/>
                <w:numId w:val="41"/>
              </w:numPr>
              <w:suppressLineNumbers w:val="0"/>
              <w:jc w:val="left"/>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 xml:space="preserve">经磋商小组评审，响应文件满足磋商文件最低要求，且最后报价最低的供应商的最后报价作为磋商基准价； </w:t>
            </w:r>
          </w:p>
          <w:p>
            <w:pPr>
              <w:keepNext w:val="0"/>
              <w:keepLines w:val="0"/>
              <w:widowControl/>
              <w:suppressLineNumbers w:val="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lang w:val="en-US" w:eastAsia="zh-CN" w:bidi="ar-SA"/>
              </w:rPr>
              <w:t>3、报价得分=(磋商基准价／最后报价)×40。（说明：①同一货物仅作一次价格扣除。②提供的货物既有中小企业制造货物，也有大型企业制造货物的，不享受价格扣除。）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0" w:hRule="atLeast"/>
        </w:trPr>
        <w:tc>
          <w:tcPr>
            <w:tcW w:w="1686" w:type="dxa"/>
            <w:vMerge w:val="restart"/>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技术类评委评审</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技术参数</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40分</w:t>
            </w:r>
          </w:p>
        </w:tc>
        <w:tc>
          <w:tcPr>
            <w:tcW w:w="4989" w:type="dxa"/>
            <w:tcBorders>
              <w:top w:val="outset" w:color="auto" w:sz="6" w:space="0"/>
              <w:left w:val="outset" w:color="auto" w:sz="6" w:space="0"/>
              <w:bottom w:val="outset" w:color="auto" w:sz="6" w:space="0"/>
              <w:right w:val="outset" w:color="auto" w:sz="6" w:space="0"/>
            </w:tcBorders>
            <w:vAlign w:val="center"/>
          </w:tcPr>
          <w:p>
            <w:pPr>
              <w:pStyle w:val="2"/>
              <w:numPr>
                <w:ilvl w:val="0"/>
                <w:numId w:val="0"/>
              </w:num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供应商所投产品的技术参数完全满足采购文件技术参数 及要求中加▲号的技术参数及要求的得</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分；供应商所投产品的技术参数不满足采购文件技术参数及要求中加▲号的技术参数及要求的，则在6分的基础上，按以下原则扣分，扣完为止：每有一项不满足加▲号的技术参数及要求的，扣</w:t>
            </w:r>
            <w:r>
              <w:rPr>
                <w:rFonts w:hint="eastAsia" w:asciiTheme="minorEastAsia" w:hAnsiTheme="minorEastAsia" w:eastAsiaTheme="minorEastAsia" w:cstheme="minorEastAsia"/>
                <w:color w:val="auto"/>
                <w:sz w:val="21"/>
                <w:szCs w:val="21"/>
                <w:lang w:val="en-US" w:eastAsia="zh-CN"/>
              </w:rPr>
              <w:t>0.5</w:t>
            </w:r>
            <w:r>
              <w:rPr>
                <w:rFonts w:hint="eastAsia" w:asciiTheme="minorEastAsia" w:hAnsiTheme="minorEastAsia" w:eastAsiaTheme="minorEastAsia" w:cstheme="minorEastAsia"/>
                <w:color w:val="auto"/>
                <w:sz w:val="21"/>
                <w:szCs w:val="21"/>
                <w:lang w:eastAsia="zh-CN"/>
              </w:rPr>
              <w:t>分。</w:t>
            </w:r>
          </w:p>
          <w:p>
            <w:pPr>
              <w:pStyle w:val="2"/>
              <w:numPr>
                <w:ilvl w:val="0"/>
                <w:numId w:val="0"/>
              </w:num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2、供应商所投产品的技术参数完全满足采购文件技术参数及要求中未加▲、</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eastAsia="zh-CN"/>
              </w:rPr>
              <w:t xml:space="preserve">号的技术参数及要求的得 </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4分；供应商所投产品的技术参数不满足采购文件技术参数及要求中未加▲、</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eastAsia="zh-CN"/>
              </w:rPr>
              <w:t>号的技术参数及要求的,则在</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4分的基础上，按以下原则扣分,扣完为止:每有一项不满足未加▲、</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eastAsia="zh-CN"/>
              </w:rPr>
              <w:t>号的技术参数及要求的扣0.</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 xml:space="preserve"> 分。（说明：</w:t>
            </w:r>
            <w:r>
              <w:rPr>
                <w:rFonts w:hint="eastAsia" w:asciiTheme="minorEastAsia" w:hAnsiTheme="minorEastAsia" w:eastAsiaTheme="minorEastAsia" w:cstheme="minorEastAsia"/>
                <w:color w:val="auto"/>
                <w:sz w:val="21"/>
                <w:szCs w:val="21"/>
                <w:lang w:val="en-US" w:eastAsia="zh-CN"/>
              </w:rPr>
              <w:t>以上1-2项</w:t>
            </w:r>
            <w:r>
              <w:rPr>
                <w:rFonts w:hint="eastAsia" w:asciiTheme="minorEastAsia" w:hAnsiTheme="minorEastAsia" w:eastAsiaTheme="minorEastAsia" w:cstheme="minorEastAsia"/>
                <w:color w:val="auto"/>
                <w:sz w:val="21"/>
                <w:szCs w:val="21"/>
                <w:lang w:eastAsia="zh-CN"/>
              </w:rPr>
              <w:t>以</w:t>
            </w:r>
            <w:r>
              <w:rPr>
                <w:rFonts w:hint="eastAsia" w:asciiTheme="minorEastAsia" w:hAnsiTheme="minorEastAsia" w:eastAsiaTheme="minorEastAsia" w:cstheme="minorEastAsia"/>
                <w:color w:val="auto"/>
                <w:sz w:val="21"/>
                <w:szCs w:val="21"/>
                <w:lang w:val="en-US" w:eastAsia="zh-CN"/>
              </w:rPr>
              <w:t>方案中包件1</w:t>
            </w:r>
            <w:r>
              <w:rPr>
                <w:rFonts w:hint="eastAsia" w:asciiTheme="minorEastAsia" w:hAnsiTheme="minorEastAsia" w:eastAsiaTheme="minorEastAsia" w:cstheme="minorEastAsia"/>
                <w:color w:val="auto"/>
                <w:sz w:val="21"/>
                <w:szCs w:val="21"/>
                <w:lang w:eastAsia="zh-CN"/>
              </w:rPr>
              <w:t>设备清单</w:t>
            </w:r>
            <w:r>
              <w:rPr>
                <w:rFonts w:hint="eastAsia" w:asciiTheme="minorEastAsia" w:hAnsiTheme="minorEastAsia" w:eastAsiaTheme="minorEastAsia" w:cstheme="minorEastAsia"/>
                <w:color w:val="auto"/>
                <w:sz w:val="21"/>
                <w:szCs w:val="21"/>
                <w:lang w:val="en-US" w:eastAsia="zh-CN"/>
              </w:rPr>
              <w:t>产品</w:t>
            </w:r>
            <w:r>
              <w:rPr>
                <w:rFonts w:hint="eastAsia" w:asciiTheme="minorEastAsia" w:hAnsiTheme="minorEastAsia" w:eastAsiaTheme="minorEastAsia" w:cstheme="minorEastAsia"/>
                <w:color w:val="auto"/>
                <w:sz w:val="21"/>
                <w:szCs w:val="21"/>
                <w:lang w:eastAsia="zh-CN"/>
              </w:rPr>
              <w:t>参数的阿拉伯数字标注为一项）</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实施方案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据供应商</w:t>
            </w:r>
            <w:r>
              <w:rPr>
                <w:rFonts w:hint="eastAsia" w:asciiTheme="minorEastAsia" w:hAnsiTheme="minorEastAsia" w:eastAsiaTheme="minorEastAsia" w:cstheme="minorEastAsia"/>
                <w:sz w:val="21"/>
                <w:szCs w:val="21"/>
              </w:rPr>
              <w:t>针对本项目拟定的实施方案</w:t>
            </w:r>
            <w:r>
              <w:rPr>
                <w:rFonts w:hint="eastAsia" w:asciiTheme="minorEastAsia" w:hAnsiTheme="minorEastAsia" w:eastAsiaTheme="minorEastAsia" w:cstheme="minorEastAsia"/>
                <w:sz w:val="21"/>
                <w:szCs w:val="21"/>
                <w:lang w:val="en-US" w:eastAsia="zh-CN"/>
              </w:rPr>
              <w:t>进行评分</w:t>
            </w:r>
            <w:r>
              <w:rPr>
                <w:rFonts w:hint="eastAsia" w:asciiTheme="minorEastAsia" w:hAnsiTheme="minorEastAsia" w:eastAsiaTheme="minorEastAsia" w:cstheme="minorEastAsia"/>
                <w:sz w:val="21"/>
                <w:szCs w:val="21"/>
              </w:rPr>
              <w:t>，内容包含：（1）施工质量；（2）布局设计；（3）验收方案；（4）实施流程，每具备以上一个要素的得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分；在具备以上四个要素的基础上，每有一个要素完全符合采购需求的各加0.5分，最多加2分，不符合或不完全符合釆购需求不得分；本项最多得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分。（说明：不符合或不完全符合釆购需求是指存在不适用项目实际情况、凭空编造、逻辑漏洞、原理错误、内容阐述不清晰的情形。）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培训方案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据</w:t>
            </w:r>
            <w:r>
              <w:rPr>
                <w:rFonts w:hint="eastAsia" w:asciiTheme="minorEastAsia" w:hAnsiTheme="minorEastAsia" w:eastAsiaTheme="minorEastAsia" w:cstheme="minorEastAsia"/>
                <w:sz w:val="21"/>
                <w:szCs w:val="21"/>
                <w:lang w:val="en-US" w:eastAsia="zh-CN"/>
              </w:rPr>
              <w:t>供应商</w:t>
            </w:r>
            <w:r>
              <w:rPr>
                <w:rFonts w:hint="eastAsia" w:asciiTheme="minorEastAsia" w:hAnsiTheme="minorEastAsia" w:eastAsiaTheme="minorEastAsia" w:cstheme="minorEastAsia"/>
                <w:sz w:val="21"/>
                <w:szCs w:val="21"/>
              </w:rPr>
              <w:t>针对本项目制定的培训方案进行评分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内容</w:t>
            </w:r>
            <w:r>
              <w:rPr>
                <w:rFonts w:hint="eastAsia" w:asciiTheme="minorEastAsia" w:hAnsiTheme="minorEastAsia" w:eastAsiaTheme="minorEastAsia" w:cstheme="minorEastAsia"/>
                <w:sz w:val="21"/>
                <w:szCs w:val="21"/>
              </w:rPr>
              <w:t>包含</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①培训内容、②培训师资配备、③培训计划</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sz w:val="21"/>
                <w:szCs w:val="21"/>
                <w:highlight w:val="none"/>
                <w:lang w:val="en-US" w:eastAsia="zh-CN"/>
              </w:rPr>
              <w:t>④培训目标</w:t>
            </w:r>
            <w:r>
              <w:rPr>
                <w:rFonts w:hint="eastAsia" w:asciiTheme="minorEastAsia" w:hAnsiTheme="minorEastAsia" w:eastAsiaTheme="minorEastAsia" w:cstheme="minorEastAsia"/>
                <w:sz w:val="21"/>
                <w:szCs w:val="21"/>
              </w:rPr>
              <w:t>等，方案符合采购需求的，每具备以上一个要素的得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分，在具备以上四个要素的基础上，每有一个要素完全符合采购需求的各加</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分，最多加</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分，不符合或不完全符合釆购需求不得分；本项最多得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分。（说明：不符合或不完全符合釆购需求是指存在不适用项目实际情况、凭空编造、逻辑漏洞、原理错误、内容阐述不清晰的情形。）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履约能力</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1、供应商所投触控一体机提供备授课教学软件的主要功能截图：①主界面、②备课功能、③授课功能。每提供1项得1分，最多得3分，不提供不得分。</w:t>
            </w:r>
          </w:p>
          <w:p>
            <w:pPr>
              <w:spacing w:line="240" w:lineRule="auto"/>
              <w:ind w:firstLine="0" w:firstLine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（注：提供截图并加盖投标人鲜章）。</w:t>
            </w:r>
          </w:p>
          <w:p>
            <w:pPr>
              <w:spacing w:line="240" w:lineRule="auto"/>
              <w:ind w:firstLine="0" w:firstLineChars="0"/>
              <w:jc w:val="left"/>
              <w:rPr>
                <w:rFonts w:asciiTheme="minorEastAsia" w:hAnsi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2、供应商承诺中标后提供所投FM调频语训系统生产厂家的售后服务承诺得2分，不提供不得分。（注：承诺函格式自拟，加盖公章）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single" w:color="auto" w:sz="4"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single" w:color="auto" w:sz="4"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售后服务方案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据</w:t>
            </w:r>
            <w:r>
              <w:rPr>
                <w:rFonts w:hint="eastAsia" w:asciiTheme="minorEastAsia" w:hAnsiTheme="minorEastAsia" w:eastAsiaTheme="minorEastAsia" w:cstheme="minorEastAsia"/>
                <w:sz w:val="21"/>
                <w:szCs w:val="21"/>
                <w:lang w:val="en-US" w:eastAsia="zh-CN"/>
              </w:rPr>
              <w:t>供应商</w:t>
            </w:r>
            <w:r>
              <w:rPr>
                <w:rFonts w:hint="eastAsia" w:asciiTheme="minorEastAsia" w:hAnsiTheme="minorEastAsia" w:eastAsiaTheme="minorEastAsia" w:cstheme="minorEastAsia"/>
                <w:sz w:val="21"/>
                <w:szCs w:val="21"/>
              </w:rPr>
              <w:t>针对本项目制定的售后</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方案</w:t>
            </w:r>
            <w:r>
              <w:rPr>
                <w:rFonts w:hint="eastAsia" w:asciiTheme="minorEastAsia" w:hAnsiTheme="minorEastAsia" w:eastAsiaTheme="minorEastAsia" w:cstheme="minorEastAsia"/>
                <w:sz w:val="21"/>
                <w:szCs w:val="21"/>
                <w:lang w:val="en-US" w:eastAsia="zh-CN"/>
              </w:rPr>
              <w:t>进行评分</w:t>
            </w:r>
            <w:r>
              <w:rPr>
                <w:rFonts w:hint="eastAsia" w:asciiTheme="minorEastAsia" w:hAnsiTheme="minorEastAsia" w:eastAsiaTheme="minorEastAsia" w:cstheme="minorEastAsia"/>
                <w:sz w:val="21"/>
                <w:szCs w:val="21"/>
              </w:rPr>
              <w:t>，内容包括：①服务内容及范围、②服务流程、③售后巡检、④响应时间等，每有一项得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分。在具备以上四个要素的基础上，每有一个要素完全符合采购需求的各加</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分，最多加</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分，不符合或不完全符合釆购需求不得分；本项最多得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分。（说明：不符合或不完全符合釆购需求是指存在不适用项目实际情况、凭空编造、逻辑漏洞、原理错误、内容阐述不清晰的情形。）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053" w:hRule="atLeast"/>
        </w:trPr>
        <w:tc>
          <w:tcPr>
            <w:tcW w:w="1686" w:type="dxa"/>
            <w:vMerge w:val="restart"/>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评审委员会评审</w:t>
            </w:r>
          </w:p>
        </w:tc>
        <w:tc>
          <w:tcPr>
            <w:tcW w:w="1131" w:type="dxa"/>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w:t>
            </w:r>
          </w:p>
        </w:tc>
        <w:tc>
          <w:tcPr>
            <w:tcW w:w="900" w:type="dxa"/>
            <w:tcBorders>
              <w:top w:val="outset" w:color="auto" w:sz="6" w:space="0"/>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2分</w:t>
            </w:r>
          </w:p>
        </w:tc>
        <w:tc>
          <w:tcPr>
            <w:tcW w:w="498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jc w:val="left"/>
              <w:rPr>
                <w:rFonts w:asciiTheme="minorEastAsia" w:hAnsiTheme="minorEastAsia" w:eastAsiaTheme="minorEastAsia" w:cstheme="minorEastAsia"/>
                <w:sz w:val="21"/>
                <w:szCs w:val="21"/>
              </w:rPr>
            </w:pPr>
            <w:r>
              <w:rPr>
                <w:rFonts w:hint="eastAsia" w:ascii="宋体" w:hAnsi="宋体" w:eastAsia="宋体" w:cs="宋体"/>
                <w:color w:val="000000"/>
                <w:kern w:val="0"/>
                <w:sz w:val="20"/>
                <w:szCs w:val="20"/>
                <w:lang w:val="en-US" w:eastAsia="zh-CN" w:bidi="ar"/>
              </w:rPr>
              <w:t xml:space="preserve">供应商自2018年1月1日（含1日）以后，每具有1个类似项目业绩的得1分，最多得2分。（说明：提供合同复印件加盖公章）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767" w:hRule="atLeast"/>
        </w:trPr>
        <w:tc>
          <w:tcPr>
            <w:tcW w:w="1686" w:type="dxa"/>
            <w:vMerge w:val="continue"/>
            <w:tcBorders>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p>
        </w:tc>
        <w:tc>
          <w:tcPr>
            <w:tcW w:w="1131" w:type="dxa"/>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宋体" w:hAnsi="宋体" w:eastAsia="宋体" w:cs="宋体"/>
                <w:color w:val="auto"/>
                <w:highlight w:val="none"/>
                <w:lang w:val="en-US"/>
              </w:rPr>
              <w:t>节能、环保，无线局域网认证产品</w:t>
            </w:r>
          </w:p>
        </w:tc>
        <w:tc>
          <w:tcPr>
            <w:tcW w:w="900" w:type="dxa"/>
            <w:tcBorders>
              <w:top w:val="outset" w:color="auto" w:sz="6" w:space="0"/>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1分</w:t>
            </w:r>
          </w:p>
        </w:tc>
        <w:tc>
          <w:tcPr>
            <w:tcW w:w="4989"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所投产品中每有一项产品（除节能产品政府采购品目清单中的政府强制采购产品外）具有国家确定的认证机构出具的节能产品认证证书的得0.5分；</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所投产品中每有一项产品具有国家确定的认证机构出具的环境标志产品认证证书的得0.5分；</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所投产品中如果有属于无线局域网认证产品政府采购清单（最新一期）中采购目录范围的得0.5分</w:t>
            </w:r>
            <w:r>
              <w:rPr>
                <w:rFonts w:hint="eastAsia" w:ascii="宋体" w:hAnsi="宋体" w:eastAsia="宋体" w:cs="宋体"/>
                <w:color w:val="auto"/>
                <w:highlight w:val="none"/>
                <w:lang w:eastAsia="zh-CN"/>
              </w:rPr>
              <w:t>，本项最多得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（说明：无线局域网认证产品提供清单复印件，节能产品、环境标志产品提供有效的证书复印件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bl>
    <w:p>
      <w:pPr>
        <w:rPr>
          <w:rFonts w:hint="default"/>
          <w:color w:val="auto"/>
          <w:highlight w:val="none"/>
          <w:lang w:val="en-US" w:eastAsia="zh-CN"/>
        </w:rPr>
      </w:pPr>
    </w:p>
    <w:p>
      <w:pPr>
        <w:rPr>
          <w:b/>
          <w:vanish/>
          <w:color w:val="auto"/>
          <w:highlight w:val="none"/>
        </w:rPr>
      </w:pPr>
    </w:p>
    <w:p>
      <w:pPr>
        <w:ind w:firstLine="0" w:firstLineChars="0"/>
      </w:pPr>
      <w:r>
        <w:rPr>
          <w:rFonts w:hint="eastAsia"/>
          <w:b/>
          <w:bCs/>
          <w:sz w:val="28"/>
        </w:rPr>
        <w:t>包</w:t>
      </w:r>
      <w:r>
        <w:rPr>
          <w:rFonts w:hint="eastAsia"/>
          <w:b/>
          <w:bCs/>
          <w:sz w:val="28"/>
          <w:lang w:val="en-US" w:eastAsia="zh-CN"/>
        </w:rPr>
        <w:t>2</w:t>
      </w:r>
      <w:r>
        <w:rPr>
          <w:rFonts w:hint="eastAsia"/>
          <w:b/>
          <w:bCs/>
          <w:sz w:val="28"/>
        </w:rPr>
        <w:t>评分标准：</w:t>
      </w:r>
    </w:p>
    <w:tbl>
      <w:tblPr>
        <w:tblStyle w:val="17"/>
        <w:tblW w:w="8790"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686"/>
        <w:gridCol w:w="1131"/>
        <w:gridCol w:w="900"/>
        <w:gridCol w:w="5073"/>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评委类别</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评审项目</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分值</w:t>
            </w:r>
          </w:p>
        </w:tc>
        <w:tc>
          <w:tcPr>
            <w:tcW w:w="5073"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评分标准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经济类评委评审</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0分</w:t>
            </w:r>
          </w:p>
        </w:tc>
        <w:tc>
          <w:tcPr>
            <w:tcW w:w="507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numPr>
                <w:ilvl w:val="0"/>
                <w:numId w:val="0"/>
              </w:numPr>
              <w:suppressLineNumbers w:val="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1、对小型企业、微型企业、监狱企业、残疾人福利性单位 制造的货物的价格（如涉及）给予 10%的价格扣除，用扣除后的价格参与评审；[说明：所投产品中为监狱企业生产的产品应提供由省级以上监狱管理局、戒毒管理局（含新疆生产建设兵团）出具的生产厂商属于监狱企业的证明文件复印件。]</w:t>
            </w:r>
          </w:p>
          <w:p>
            <w:pPr>
              <w:keepNext w:val="0"/>
              <w:keepLines w:val="0"/>
              <w:widowControl/>
              <w:numPr>
                <w:ilvl w:val="0"/>
                <w:numId w:val="0"/>
              </w:numPr>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 xml:space="preserve">2、经磋商小组评审，响应文件满足磋商文件最低要求，且最后报价最低的供应商的最后报价作为磋商基准价； </w:t>
            </w:r>
          </w:p>
          <w:p>
            <w:pPr>
              <w:spacing w:line="240" w:lineRule="auto"/>
              <w:ind w:firstLine="0" w:firstLineChars="0"/>
              <w:jc w:val="left"/>
              <w:rPr>
                <w:rFonts w:asciiTheme="minorEastAsia" w:hAnsiTheme="minorEastAsia" w:eastAsiaTheme="minorEastAsia" w:cstheme="minorEastAsia"/>
                <w:sz w:val="21"/>
                <w:szCs w:val="21"/>
              </w:rPr>
            </w:pPr>
            <w:r>
              <w:rPr>
                <w:rFonts w:hint="eastAsia" w:ascii="宋体" w:hAnsi="宋体" w:eastAsia="宋体" w:cs="宋体"/>
                <w:color w:val="auto"/>
                <w:kern w:val="0"/>
                <w:sz w:val="20"/>
                <w:szCs w:val="20"/>
                <w:highlight w:val="none"/>
                <w:lang w:val="en-US" w:eastAsia="zh-CN" w:bidi="ar"/>
              </w:rPr>
              <w:t>3、报价得分=(磋商基准价／最后报价)×40。（说明：①同一货物仅作一次价格扣除。②提供的货物既有中小企业制造货物，也有大型企业制造货物的，不享受价格扣除。）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restart"/>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技术类评委评审</w:t>
            </w: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技术参数</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37</w:t>
            </w:r>
            <w:r>
              <w:rPr>
                <w:rFonts w:hint="eastAsia" w:asciiTheme="minorEastAsia" w:hAnsiTheme="minorEastAsia" w:eastAsiaTheme="minorEastAsia" w:cstheme="minorEastAsia"/>
                <w:color w:val="auto"/>
                <w:sz w:val="21"/>
                <w:szCs w:val="21"/>
                <w:highlight w:val="none"/>
              </w:rPr>
              <w:t>分</w:t>
            </w:r>
          </w:p>
        </w:tc>
        <w:tc>
          <w:tcPr>
            <w:tcW w:w="5073" w:type="dxa"/>
            <w:tcBorders>
              <w:top w:val="outset" w:color="auto" w:sz="6" w:space="0"/>
              <w:left w:val="outset" w:color="auto" w:sz="6" w:space="0"/>
              <w:bottom w:val="outset" w:color="auto" w:sz="6" w:space="0"/>
              <w:right w:val="outset" w:color="auto" w:sz="6" w:space="0"/>
            </w:tcBorders>
            <w:vAlign w:val="center"/>
          </w:tcPr>
          <w:p>
            <w:pPr>
              <w:pStyle w:val="2"/>
              <w:numPr>
                <w:ilvl w:val="0"/>
                <w:numId w:val="0"/>
              </w:num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供应商所投产品的技术参数完全满足采购文件技术参数 及要求中加▲号的技术参数及要求的得</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分；供应商所投产品的技术参数不满足采购文件技术参数及要求中加▲号的技术参数及要求的，则在</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分的基础上，按以下原则扣分，扣完为止：每有一项不满足加▲号的技术参数及要求的，扣</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lang w:eastAsia="zh-CN"/>
              </w:rPr>
              <w:t>分。</w:t>
            </w:r>
          </w:p>
          <w:p>
            <w:pPr>
              <w:pStyle w:val="2"/>
              <w:numPr>
                <w:ilvl w:val="0"/>
                <w:numId w:val="0"/>
              </w:numPr>
              <w:rPr>
                <w:color w:val="auto"/>
                <w:highlight w:val="none"/>
              </w:rPr>
            </w:pPr>
            <w:r>
              <w:rPr>
                <w:rFonts w:hint="eastAsia" w:asciiTheme="minorEastAsia" w:hAnsiTheme="minorEastAsia" w:eastAsiaTheme="minorEastAsia" w:cstheme="minorEastAsia"/>
                <w:color w:val="auto"/>
                <w:sz w:val="21"/>
                <w:szCs w:val="21"/>
                <w:highlight w:val="none"/>
                <w:lang w:eastAsia="zh-CN"/>
              </w:rPr>
              <w:t xml:space="preserve"> 2、供应商所投产品的技术参数完全满足采购文件技术参数及要求中未加▲、</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eastAsia="zh-CN"/>
              </w:rPr>
              <w:t>号的技术参数及要求的得</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4 分；供应商所投产品的技术参数不满足采购文件技术参数及要求中未加▲、</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eastAsia="zh-CN"/>
              </w:rPr>
              <w:t>号的技术参数及要求的,则在</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4分的基础上，按以下原则扣分,扣完为止:每有一项不满足未加▲、</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eastAsia="zh-CN"/>
              </w:rPr>
              <w:t>号的技术参数及要求的扣0.</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分。（说明：</w:t>
            </w:r>
            <w:r>
              <w:rPr>
                <w:rFonts w:hint="eastAsia" w:asciiTheme="minorEastAsia" w:hAnsiTheme="minorEastAsia" w:eastAsiaTheme="minorEastAsia" w:cstheme="minorEastAsia"/>
                <w:color w:val="auto"/>
                <w:sz w:val="21"/>
                <w:szCs w:val="21"/>
                <w:highlight w:val="none"/>
                <w:lang w:val="en-US" w:eastAsia="zh-CN"/>
              </w:rPr>
              <w:t>以上1-2项</w:t>
            </w:r>
            <w:r>
              <w:rPr>
                <w:rFonts w:hint="eastAsia" w:asciiTheme="minorEastAsia" w:hAnsiTheme="minorEastAsia" w:eastAsiaTheme="minorEastAsia" w:cstheme="minorEastAsia"/>
                <w:color w:val="auto"/>
                <w:sz w:val="21"/>
                <w:szCs w:val="21"/>
                <w:highlight w:val="none"/>
                <w:lang w:eastAsia="zh-CN"/>
              </w:rPr>
              <w:t>以</w:t>
            </w:r>
            <w:r>
              <w:rPr>
                <w:rFonts w:hint="eastAsia" w:asciiTheme="minorEastAsia" w:hAnsiTheme="minorEastAsia" w:eastAsiaTheme="minorEastAsia" w:cstheme="minorEastAsia"/>
                <w:color w:val="auto"/>
                <w:sz w:val="21"/>
                <w:szCs w:val="21"/>
                <w:highlight w:val="none"/>
                <w:lang w:val="en-US" w:eastAsia="zh-CN"/>
              </w:rPr>
              <w:t>方案中包件2</w:t>
            </w:r>
            <w:r>
              <w:rPr>
                <w:rFonts w:hint="eastAsia" w:asciiTheme="minorEastAsia" w:hAnsiTheme="minorEastAsia" w:eastAsiaTheme="minorEastAsia" w:cstheme="minorEastAsia"/>
                <w:color w:val="auto"/>
                <w:sz w:val="21"/>
                <w:szCs w:val="21"/>
                <w:highlight w:val="none"/>
                <w:lang w:eastAsia="zh-CN"/>
              </w:rPr>
              <w:t>设备清单</w:t>
            </w:r>
            <w:r>
              <w:rPr>
                <w:rFonts w:hint="eastAsia" w:asciiTheme="minorEastAsia" w:hAnsiTheme="minorEastAsia" w:eastAsiaTheme="minorEastAsia" w:cstheme="minorEastAsia"/>
                <w:color w:val="auto"/>
                <w:sz w:val="21"/>
                <w:szCs w:val="21"/>
                <w:highlight w:val="none"/>
                <w:lang w:val="en-US" w:eastAsia="zh-CN"/>
              </w:rPr>
              <w:t>产品</w:t>
            </w:r>
            <w:r>
              <w:rPr>
                <w:rFonts w:hint="eastAsia" w:asciiTheme="minorEastAsia" w:hAnsiTheme="minorEastAsia" w:eastAsiaTheme="minorEastAsia" w:cstheme="minorEastAsia"/>
                <w:color w:val="auto"/>
                <w:sz w:val="21"/>
                <w:szCs w:val="21"/>
                <w:highlight w:val="none"/>
                <w:lang w:eastAsia="zh-CN"/>
              </w:rPr>
              <w:t>参数的阿拉伯数字标注为一项）</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实施方案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5073"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据供应商针对本项目提供</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实施方案</w:t>
            </w:r>
            <w:r>
              <w:rPr>
                <w:rFonts w:hint="eastAsia" w:asciiTheme="minorEastAsia" w:hAnsiTheme="minorEastAsia" w:eastAsiaTheme="minorEastAsia" w:cstheme="minorEastAsia"/>
                <w:sz w:val="21"/>
                <w:szCs w:val="21"/>
                <w:lang w:val="en-US" w:eastAsia="zh-CN"/>
              </w:rPr>
              <w:t>进行评分</w:t>
            </w:r>
            <w:r>
              <w:rPr>
                <w:rFonts w:hint="eastAsia" w:asciiTheme="minorEastAsia" w:hAnsiTheme="minorEastAsia" w:eastAsiaTheme="minorEastAsia" w:cstheme="minorEastAsia"/>
                <w:sz w:val="21"/>
                <w:szCs w:val="21"/>
              </w:rPr>
              <w:t>，内容包含：（1）施工质量；（2）布局设计；（3）验收方案；（4）实施流程，每具备以上一个要素的得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分；在具备以上四个要素的基础上，每有一个要素完全符合采购需求的各加0.5分，最多加2分，不符合或不完全符合釆购需求不得分；本项最多得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分。（说明：不符合或不完全符合釆购需求是指存在不适用项目实际情况、凭空编造、逻辑漏洞、原理错误、内容阐述不清晰的情形。）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培训方案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073"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据供应商针对本项目提供的培训方案进行评分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内容</w:t>
            </w:r>
            <w:r>
              <w:rPr>
                <w:rFonts w:hint="eastAsia" w:asciiTheme="minorEastAsia" w:hAnsiTheme="minorEastAsia" w:eastAsiaTheme="minorEastAsia" w:cstheme="minorEastAsia"/>
                <w:sz w:val="21"/>
                <w:szCs w:val="21"/>
              </w:rPr>
              <w:t>包含①培训内容、②培训师资配备、③培训计划</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sz w:val="21"/>
                <w:szCs w:val="21"/>
                <w:highlight w:val="none"/>
                <w:lang w:val="en-US" w:eastAsia="zh-CN"/>
              </w:rPr>
              <w:t>④培训目标</w:t>
            </w:r>
            <w:r>
              <w:rPr>
                <w:rFonts w:hint="eastAsia" w:asciiTheme="minorEastAsia" w:hAnsiTheme="minorEastAsia" w:eastAsiaTheme="minorEastAsia" w:cstheme="minorEastAsia"/>
                <w:sz w:val="21"/>
                <w:szCs w:val="21"/>
              </w:rPr>
              <w:t>等，方案符合采购需求的，每具备以上一个要素的得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分，在具备以上四个要素的基础上，每有一个要素完全符合采购需求的各加</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分，最多加</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分，不符合或不完全符合釆购需求不得分；本项最多得</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分。（说明：不符合或不完全符合釆购需求是指存在不适用项目实际情况、凭空编造、逻辑漏洞、原理错误、内容阐述不清晰的情形。）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履约能力</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tc>
        <w:tc>
          <w:tcPr>
            <w:tcW w:w="5073"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供应商</w:t>
            </w:r>
            <w:r>
              <w:rPr>
                <w:rFonts w:hint="eastAsia" w:asciiTheme="minorEastAsia" w:hAnsiTheme="minorEastAsia" w:eastAsiaTheme="minorEastAsia" w:cstheme="minorEastAsia"/>
                <w:color w:val="auto"/>
                <w:sz w:val="21"/>
                <w:szCs w:val="21"/>
              </w:rPr>
              <w:t>所投数字音频功放生产厂家</w:t>
            </w:r>
            <w:r>
              <w:rPr>
                <w:rFonts w:hint="eastAsia" w:asciiTheme="minorEastAsia" w:hAnsiTheme="minorEastAsia" w:eastAsiaTheme="minorEastAsia" w:cstheme="minorEastAsia"/>
                <w:color w:val="auto"/>
                <w:sz w:val="21"/>
                <w:szCs w:val="21"/>
                <w:lang w:val="en-US" w:eastAsia="zh-CN"/>
              </w:rPr>
              <w:t>具有：（1）</w:t>
            </w:r>
            <w:r>
              <w:rPr>
                <w:rFonts w:hint="eastAsia" w:asciiTheme="minorEastAsia" w:hAnsiTheme="minorEastAsia" w:eastAsiaTheme="minorEastAsia" w:cstheme="minorEastAsia"/>
                <w:color w:val="auto"/>
                <w:sz w:val="21"/>
                <w:szCs w:val="21"/>
              </w:rPr>
              <w:t>知识产权管理体系认证</w:t>
            </w:r>
            <w:r>
              <w:rPr>
                <w:rFonts w:hint="eastAsia" w:asciiTheme="minorEastAsia" w:hAnsiTheme="minorEastAsia" w:eastAsiaTheme="minorEastAsia" w:cstheme="minorEastAsia"/>
                <w:color w:val="auto"/>
                <w:sz w:val="21"/>
                <w:szCs w:val="21"/>
                <w:lang w:val="en-US" w:eastAsia="zh-CN"/>
              </w:rPr>
              <w:t>证书</w:t>
            </w:r>
            <w:r>
              <w:rPr>
                <w:rFonts w:hint="eastAsia" w:asciiTheme="minorEastAsia" w:hAnsiTheme="minorEastAsia" w:eastAsiaTheme="minorEastAsia" w:cstheme="minorEastAsia"/>
                <w:color w:val="auto"/>
                <w:sz w:val="21"/>
                <w:szCs w:val="21"/>
              </w:rPr>
              <w:t>(证书含音视频系统产品字样)</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服务认证证书（证书含公共广播及专业音响系统字样），每提供一份得</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分，最多得</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分。</w:t>
            </w:r>
          </w:p>
          <w:p>
            <w:pPr>
              <w:spacing w:line="240" w:lineRule="auto"/>
              <w:ind w:firstLine="0" w:firstLineChars="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注：1.须提供证书复印件并加盖公章；2.提供证书在国家认证认可监督管理委员会官方网站上查询的截图，</w:t>
            </w:r>
            <w:r>
              <w:rPr>
                <w:rFonts w:hint="eastAsia" w:asciiTheme="minorEastAsia" w:hAnsiTheme="minorEastAsia" w:eastAsiaTheme="minorEastAsia" w:cstheme="minorEastAsia"/>
                <w:color w:val="auto"/>
                <w:sz w:val="21"/>
                <w:szCs w:val="21"/>
              </w:rPr>
              <w:t>并加盖公章</w:t>
            </w:r>
            <w:r>
              <w:rPr>
                <w:rFonts w:hint="eastAsia" w:asciiTheme="minorEastAsia" w:hAnsiTheme="minorEastAsia" w:eastAsiaTheme="minorEastAsia" w:cstheme="minorEastAsia"/>
                <w:color w:val="auto"/>
                <w:sz w:val="21"/>
                <w:szCs w:val="21"/>
                <w:lang w:eastAsia="zh-CN"/>
              </w:rPr>
              <w:t>）</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86" w:type="dxa"/>
            <w:vMerge w:val="continue"/>
            <w:tcBorders>
              <w:top w:val="outset" w:color="auto" w:sz="6" w:space="0"/>
              <w:left w:val="outset" w:color="auto" w:sz="6" w:space="0"/>
              <w:bottom w:val="single" w:color="auto" w:sz="4"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p>
        </w:tc>
        <w:tc>
          <w:tcPr>
            <w:tcW w:w="1131" w:type="dxa"/>
            <w:tcBorders>
              <w:top w:val="outset" w:color="auto" w:sz="6" w:space="0"/>
              <w:left w:val="outset" w:color="auto" w:sz="6" w:space="0"/>
              <w:bottom w:val="single" w:color="auto" w:sz="4"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售后服务方案</w:t>
            </w:r>
          </w:p>
        </w:tc>
        <w:tc>
          <w:tcPr>
            <w:tcW w:w="900"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073" w:type="dxa"/>
            <w:tcBorders>
              <w:top w:val="outset" w:color="auto" w:sz="6" w:space="0"/>
              <w:left w:val="outset" w:color="auto" w:sz="6" w:space="0"/>
              <w:bottom w:val="outset" w:color="auto" w:sz="6" w:space="0"/>
              <w:right w:val="outset" w:color="auto" w:sz="6" w:space="0"/>
            </w:tcBorders>
            <w:vAlign w:val="center"/>
          </w:tcPr>
          <w:p>
            <w:pPr>
              <w:numPr>
                <w:ilvl w:val="0"/>
                <w:numId w:val="0"/>
              </w:numPr>
              <w:spacing w:line="240" w:lineRule="auto"/>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根据供应商针对本项目提供的售后</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方案</w:t>
            </w:r>
            <w:r>
              <w:rPr>
                <w:rFonts w:hint="eastAsia" w:asciiTheme="minorEastAsia" w:hAnsiTheme="minorEastAsia" w:eastAsiaTheme="minorEastAsia" w:cstheme="minorEastAsia"/>
                <w:sz w:val="21"/>
                <w:szCs w:val="21"/>
                <w:lang w:val="en-US" w:eastAsia="zh-CN"/>
              </w:rPr>
              <w:t>进行评分</w:t>
            </w:r>
            <w:r>
              <w:rPr>
                <w:rFonts w:hint="eastAsia" w:asciiTheme="minorEastAsia" w:hAnsiTheme="minorEastAsia" w:eastAsiaTheme="minorEastAsia" w:cstheme="minorEastAsia"/>
                <w:sz w:val="21"/>
                <w:szCs w:val="21"/>
              </w:rPr>
              <w:t>，内容包括：①服务内容及范围、②服务流程、③售后巡检、④响应时间等，每有一项得1分，最多得4分。在具备以上四个要素的基础上，每有一个要素完全符合采购需求的各加</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分，最多加</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分，不符合或不完全符合釆购需求不得分；本项最多得</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val="en-US" w:eastAsia="zh-CN"/>
              </w:rPr>
              <w:t>注</w:t>
            </w:r>
            <w:r>
              <w:rPr>
                <w:rFonts w:hint="eastAsia" w:asciiTheme="minorEastAsia" w:hAnsiTheme="minorEastAsia" w:eastAsiaTheme="minorEastAsia" w:cstheme="minorEastAsia"/>
                <w:sz w:val="21"/>
                <w:szCs w:val="21"/>
              </w:rPr>
              <w:t xml:space="preserve">：不符合或不完全符合釆购需求是指存在不适用项目实际情况、凭空编造、逻辑漏洞、原理错误、内容阐述不清晰的情形。）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053" w:hRule="atLeast"/>
        </w:trPr>
        <w:tc>
          <w:tcPr>
            <w:tcW w:w="1686" w:type="dxa"/>
            <w:vMerge w:val="restart"/>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评审委员会评审</w:t>
            </w:r>
          </w:p>
        </w:tc>
        <w:tc>
          <w:tcPr>
            <w:tcW w:w="1131" w:type="dxa"/>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w:t>
            </w:r>
          </w:p>
        </w:tc>
        <w:tc>
          <w:tcPr>
            <w:tcW w:w="900" w:type="dxa"/>
            <w:tcBorders>
              <w:top w:val="outset" w:color="auto" w:sz="6" w:space="0"/>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2分</w:t>
            </w:r>
          </w:p>
        </w:tc>
        <w:tc>
          <w:tcPr>
            <w:tcW w:w="507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jc w:val="left"/>
              <w:rPr>
                <w:rFonts w:asciiTheme="minorEastAsia" w:hAnsiTheme="minorEastAsia" w:eastAsiaTheme="minorEastAsia" w:cstheme="minorEastAsia"/>
                <w:sz w:val="21"/>
                <w:szCs w:val="21"/>
              </w:rPr>
            </w:pPr>
            <w:r>
              <w:rPr>
                <w:rFonts w:hint="eastAsia" w:ascii="宋体" w:hAnsi="宋体" w:eastAsia="宋体" w:cs="宋体"/>
                <w:color w:val="000000"/>
                <w:kern w:val="0"/>
                <w:sz w:val="20"/>
                <w:szCs w:val="20"/>
                <w:lang w:val="en-US" w:eastAsia="zh-CN" w:bidi="ar"/>
              </w:rPr>
              <w:t xml:space="preserve">供应商自2018年1月1日（含1日）以后，每具有1个类似项目业绩的得1分，最多得2分。（注：提供合同复印件加盖公章）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767" w:hRule="atLeast"/>
        </w:trPr>
        <w:tc>
          <w:tcPr>
            <w:tcW w:w="1686" w:type="dxa"/>
            <w:vMerge w:val="continue"/>
            <w:tcBorders>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p>
        </w:tc>
        <w:tc>
          <w:tcPr>
            <w:tcW w:w="1131" w:type="dxa"/>
            <w:tcBorders>
              <w:top w:val="outset" w:color="auto" w:sz="6" w:space="0"/>
              <w:left w:val="outset" w:color="auto" w:sz="6" w:space="0"/>
              <w:right w:val="outset" w:color="auto" w:sz="6" w:space="0"/>
            </w:tcBorders>
            <w:vAlign w:val="center"/>
          </w:tcPr>
          <w:p>
            <w:pPr>
              <w:spacing w:line="240" w:lineRule="auto"/>
              <w:ind w:firstLine="0" w:firstLineChars="0"/>
              <w:jc w:val="center"/>
              <w:rPr>
                <w:rFonts w:asciiTheme="minorEastAsia" w:hAnsiTheme="minorEastAsia" w:eastAsiaTheme="minorEastAsia" w:cstheme="minorEastAsia"/>
                <w:sz w:val="21"/>
                <w:szCs w:val="21"/>
              </w:rPr>
            </w:pPr>
            <w:r>
              <w:rPr>
                <w:rFonts w:hint="eastAsia" w:ascii="宋体" w:hAnsi="宋体" w:eastAsia="宋体" w:cs="宋体"/>
                <w:color w:val="auto"/>
                <w:highlight w:val="none"/>
                <w:lang w:val="en-US"/>
              </w:rPr>
              <w:t>节能、环保，无线局域网认证产品</w:t>
            </w:r>
          </w:p>
        </w:tc>
        <w:tc>
          <w:tcPr>
            <w:tcW w:w="900" w:type="dxa"/>
            <w:tcBorders>
              <w:top w:val="outset" w:color="auto" w:sz="6" w:space="0"/>
              <w:left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1分</w:t>
            </w:r>
          </w:p>
        </w:tc>
        <w:tc>
          <w:tcPr>
            <w:tcW w:w="5073" w:type="dxa"/>
            <w:tcBorders>
              <w:top w:val="outset" w:color="auto" w:sz="6" w:space="0"/>
              <w:left w:val="outset" w:color="auto" w:sz="6" w:space="0"/>
              <w:bottom w:val="outset" w:color="auto" w:sz="6" w:space="0"/>
              <w:right w:val="outset" w:color="auto" w:sz="6" w:space="0"/>
            </w:tcBorders>
            <w:vAlign w:val="center"/>
          </w:tcPr>
          <w:p>
            <w:pPr>
              <w:spacing w:line="240" w:lineRule="auto"/>
              <w:ind w:firstLine="0" w:firstLineChars="0"/>
              <w:jc w:val="left"/>
              <w:rPr>
                <w:rFonts w:asciiTheme="minorEastAsia" w:hAnsiTheme="minorEastAsia" w:eastAsiaTheme="minorEastAsia" w:cstheme="minorEastAsia"/>
                <w:sz w:val="21"/>
                <w:szCs w:val="21"/>
              </w:rPr>
            </w:pP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所投产品中每有一项产品（除节能产品政府采购品目清单中的政府强制采购产品外）具有国家确定的认证机构出具的节能产品认证证书的得0.5分；</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所投产品中每有一项产品具有国家确定的认证机构出具的环境标志产品认证证书的得0.5分；</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所投产品中如果有属于无线局域网认证产品政府采购清单（最新一期）中采购目录范围的得0.5分</w:t>
            </w:r>
            <w:r>
              <w:rPr>
                <w:rFonts w:hint="eastAsia" w:ascii="宋体" w:hAnsi="宋体" w:eastAsia="宋体" w:cs="宋体"/>
                <w:color w:val="auto"/>
                <w:highlight w:val="none"/>
                <w:lang w:eastAsia="zh-CN"/>
              </w:rPr>
              <w:t>，本项最多得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w:t>
            </w:r>
            <w:r>
              <w:rPr>
                <w:rFonts w:hint="eastAsia" w:ascii="宋体" w:hAnsi="宋体" w:eastAsia="宋体" w:cs="宋体"/>
                <w:color w:val="000000"/>
                <w:kern w:val="0"/>
                <w:sz w:val="20"/>
                <w:szCs w:val="20"/>
                <w:lang w:val="en-US" w:eastAsia="zh-CN" w:bidi="ar"/>
              </w:rPr>
              <w:t>注</w:t>
            </w:r>
            <w:r>
              <w:rPr>
                <w:rFonts w:hint="eastAsia" w:ascii="宋体" w:hAnsi="宋体" w:eastAsia="宋体" w:cs="宋体"/>
                <w:color w:val="auto"/>
                <w:highlight w:val="none"/>
              </w:rPr>
              <w:t>：无线局域网认证产品提供清单复印件，节能产品、环境标志产品提供有效的证书复印件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bl>
    <w:p>
      <w:pPr>
        <w:pStyle w:val="23"/>
        <w:rPr>
          <w:rFonts w:hint="eastAsia"/>
          <w:b/>
          <w:color w:val="auto"/>
          <w:highlight w:val="none"/>
        </w:rPr>
      </w:pPr>
    </w:p>
    <w:p>
      <w:pPr>
        <w:pStyle w:val="23"/>
        <w:ind w:firstLine="482"/>
        <w:rPr>
          <w:b/>
          <w:color w:val="auto"/>
          <w:highlight w:val="none"/>
        </w:rPr>
      </w:pPr>
      <w:r>
        <w:rPr>
          <w:rFonts w:hint="eastAsia"/>
          <w:b/>
          <w:color w:val="auto"/>
          <w:highlight w:val="none"/>
        </w:rPr>
        <w:t>说明：</w:t>
      </w:r>
    </w:p>
    <w:p>
      <w:pPr>
        <w:pStyle w:val="23"/>
        <w:ind w:firstLine="480"/>
        <w:rPr>
          <w:color w:val="auto"/>
          <w:highlight w:val="none"/>
        </w:rPr>
      </w:pPr>
      <w:r>
        <w:rPr>
          <w:rFonts w:hint="eastAsia"/>
          <w:color w:val="auto"/>
          <w:highlight w:val="none"/>
        </w:rPr>
        <w:t>1、评分的取值按四舍五入法，保留小数点后两位；</w:t>
      </w:r>
    </w:p>
    <w:p>
      <w:pPr>
        <w:pStyle w:val="23"/>
        <w:ind w:firstLine="480"/>
        <w:rPr>
          <w:color w:val="auto"/>
          <w:highlight w:val="none"/>
        </w:rPr>
      </w:pPr>
      <w:r>
        <w:rPr>
          <w:rFonts w:hint="eastAsia"/>
          <w:color w:val="auto"/>
          <w:highlight w:val="none"/>
        </w:rPr>
        <w:t>2、评分标准中要求提供复印件的证明材料须清晰可辨。</w:t>
      </w:r>
    </w:p>
    <w:p>
      <w:pPr>
        <w:pStyle w:val="5"/>
        <w:numPr>
          <w:ilvl w:val="0"/>
          <w:numId w:val="0"/>
        </w:numPr>
        <w:spacing w:before="156" w:after="156"/>
        <w:ind w:left="567" w:hanging="567"/>
        <w:rPr>
          <w:color w:val="auto"/>
          <w:highlight w:val="none"/>
        </w:rPr>
      </w:pPr>
      <w:bookmarkStart w:id="517" w:name="_Toc31606"/>
      <w:bookmarkStart w:id="518" w:name="_Toc30876"/>
      <w:r>
        <w:rPr>
          <w:rFonts w:hint="eastAsia"/>
          <w:color w:val="auto"/>
          <w:highlight w:val="none"/>
        </w:rPr>
        <w:t>5.5采购失败情形</w:t>
      </w:r>
      <w:bookmarkEnd w:id="517"/>
      <w:bookmarkEnd w:id="518"/>
    </w:p>
    <w:p>
      <w:pPr>
        <w:snapToGrid w:val="0"/>
        <w:spacing w:line="360" w:lineRule="auto"/>
        <w:ind w:firstLine="475" w:firstLineChars="198"/>
        <w:rPr>
          <w:rFonts w:ascii="宋体" w:hAnsi="宋体" w:cs="宋体"/>
          <w:color w:val="auto"/>
          <w:sz w:val="24"/>
          <w:szCs w:val="24"/>
          <w:highlight w:val="none"/>
        </w:rPr>
      </w:pPr>
      <w:r>
        <w:rPr>
          <w:rFonts w:hint="eastAsia" w:ascii="宋体" w:hAnsi="宋体" w:cs="宋体"/>
          <w:color w:val="auto"/>
          <w:sz w:val="24"/>
          <w:szCs w:val="24"/>
          <w:highlight w:val="none"/>
        </w:rPr>
        <w:t>有下列情形之一的，本项目采购失败：</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一、因情况变化，不再符合规定的竞争性磋商采购方式适用情形的；</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三、首次</w:t>
      </w:r>
      <w:r>
        <w:rPr>
          <w:rFonts w:hint="eastAsia" w:ascii="宋体" w:hAnsi="宋体"/>
          <w:color w:val="auto"/>
          <w:sz w:val="24"/>
          <w:szCs w:val="24"/>
          <w:highlight w:val="none"/>
        </w:rPr>
        <w:t>递交响应文件的供应商不足三家的</w:t>
      </w:r>
      <w:r>
        <w:rPr>
          <w:rFonts w:hint="eastAsia" w:ascii="宋体" w:hAnsi="宋体" w:cs="宋体"/>
          <w:color w:val="auto"/>
          <w:sz w:val="24"/>
          <w:szCs w:val="24"/>
          <w:highlight w:val="none"/>
        </w:rPr>
        <w:t>；</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四、通过资格性审查</w:t>
      </w:r>
      <w:r>
        <w:rPr>
          <w:rFonts w:hint="eastAsia" w:ascii="宋体" w:hAnsi="宋体"/>
          <w:color w:val="auto"/>
          <w:sz w:val="24"/>
          <w:szCs w:val="24"/>
          <w:highlight w:val="none"/>
        </w:rPr>
        <w:t>的供应商</w:t>
      </w:r>
      <w:r>
        <w:rPr>
          <w:rFonts w:hint="eastAsia" w:ascii="宋体" w:hAnsi="宋体" w:cs="宋体"/>
          <w:color w:val="auto"/>
          <w:sz w:val="24"/>
          <w:szCs w:val="24"/>
          <w:highlight w:val="none"/>
        </w:rPr>
        <w:t>不足三家的；</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五、通过符合性审查</w:t>
      </w:r>
      <w:r>
        <w:rPr>
          <w:rFonts w:hint="eastAsia" w:ascii="宋体" w:hAnsi="宋体"/>
          <w:color w:val="auto"/>
          <w:sz w:val="24"/>
          <w:szCs w:val="24"/>
          <w:highlight w:val="none"/>
        </w:rPr>
        <w:t>的供应商</w:t>
      </w:r>
      <w:r>
        <w:rPr>
          <w:rFonts w:hint="eastAsia" w:ascii="宋体" w:hAnsi="宋体" w:cs="宋体"/>
          <w:color w:val="auto"/>
          <w:sz w:val="24"/>
          <w:szCs w:val="24"/>
          <w:highlight w:val="none"/>
        </w:rPr>
        <w:t>不足三家</w:t>
      </w:r>
      <w:r>
        <w:rPr>
          <w:rFonts w:hint="eastAsia" w:ascii="宋体" w:hAnsi="宋体"/>
          <w:color w:val="auto"/>
          <w:sz w:val="24"/>
          <w:szCs w:val="24"/>
          <w:highlight w:val="none"/>
        </w:rPr>
        <w:t>的</w:t>
      </w:r>
      <w:r>
        <w:rPr>
          <w:rFonts w:hint="eastAsia" w:ascii="宋体" w:hAnsi="宋体" w:cs="宋体"/>
          <w:color w:val="auto"/>
          <w:sz w:val="24"/>
          <w:szCs w:val="24"/>
          <w:highlight w:val="none"/>
        </w:rPr>
        <w:t>；</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六、提交最后报价的供应商不足</w:t>
      </w:r>
      <w:r>
        <w:rPr>
          <w:rFonts w:hint="eastAsia" w:cs="宋体"/>
          <w:color w:val="auto"/>
          <w:sz w:val="24"/>
          <w:szCs w:val="24"/>
          <w:highlight w:val="none"/>
          <w:lang w:eastAsia="zh-CN"/>
        </w:rPr>
        <w:t>三</w:t>
      </w:r>
      <w:r>
        <w:rPr>
          <w:rFonts w:hint="eastAsia" w:ascii="宋体" w:hAnsi="宋体" w:cs="宋体"/>
          <w:color w:val="auto"/>
          <w:sz w:val="24"/>
          <w:szCs w:val="24"/>
          <w:highlight w:val="none"/>
        </w:rPr>
        <w:t>家的；</w:t>
      </w:r>
    </w:p>
    <w:p>
      <w:pPr>
        <w:tabs>
          <w:tab w:val="left" w:pos="851"/>
        </w:tabs>
        <w:snapToGrid w:val="0"/>
        <w:spacing w:line="360" w:lineRule="auto"/>
        <w:ind w:firstLine="484" w:firstLineChars="202"/>
        <w:rPr>
          <w:rFonts w:ascii="宋体" w:hAnsi="宋体" w:cs="宋体"/>
          <w:color w:val="auto"/>
          <w:sz w:val="24"/>
          <w:szCs w:val="24"/>
          <w:highlight w:val="none"/>
        </w:rPr>
      </w:pPr>
      <w:r>
        <w:rPr>
          <w:rFonts w:hint="eastAsia" w:ascii="宋体" w:hAnsi="宋体" w:cs="宋体"/>
          <w:color w:val="auto"/>
          <w:sz w:val="24"/>
          <w:szCs w:val="24"/>
          <w:highlight w:val="none"/>
        </w:rPr>
        <w:t>七、通过最后报价审查的供应商不足</w:t>
      </w:r>
      <w:r>
        <w:rPr>
          <w:rFonts w:hint="eastAsia" w:cs="宋体"/>
          <w:color w:val="auto"/>
          <w:sz w:val="24"/>
          <w:szCs w:val="24"/>
          <w:highlight w:val="none"/>
          <w:lang w:eastAsia="zh-CN"/>
        </w:rPr>
        <w:t>三</w:t>
      </w:r>
      <w:r>
        <w:rPr>
          <w:rFonts w:hint="eastAsia" w:ascii="宋体" w:hAnsi="宋体" w:cs="宋体"/>
          <w:color w:val="auto"/>
          <w:sz w:val="24"/>
          <w:szCs w:val="24"/>
          <w:highlight w:val="none"/>
        </w:rPr>
        <w:t>家的。</w:t>
      </w:r>
    </w:p>
    <w:p>
      <w:pPr>
        <w:pStyle w:val="5"/>
        <w:numPr>
          <w:ilvl w:val="0"/>
          <w:numId w:val="0"/>
        </w:numPr>
        <w:spacing w:before="156" w:after="156"/>
        <w:rPr>
          <w:color w:val="auto"/>
          <w:highlight w:val="none"/>
        </w:rPr>
      </w:pPr>
      <w:bookmarkStart w:id="519" w:name="_Toc9270"/>
      <w:bookmarkStart w:id="520" w:name="_Toc9383"/>
      <w:r>
        <w:rPr>
          <w:rFonts w:hint="eastAsia"/>
          <w:color w:val="auto"/>
          <w:highlight w:val="none"/>
        </w:rPr>
        <w:t>5.6确定成交供应商</w:t>
      </w:r>
      <w:bookmarkEnd w:id="519"/>
      <w:bookmarkEnd w:id="520"/>
    </w:p>
    <w:p>
      <w:pPr>
        <w:widowControl/>
        <w:numPr>
          <w:ilvl w:val="0"/>
          <w:numId w:val="42"/>
        </w:numPr>
        <w:tabs>
          <w:tab w:val="left" w:pos="1134"/>
        </w:tabs>
        <w:snapToGrid w:val="0"/>
        <w:spacing w:after="20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采购人根据磋商小组推荐的成交候选供应商名单，按顺序确定1名成交供应商。成交候选供应商并列的，采购人采取随机抽取的方式确定。</w:t>
      </w:r>
    </w:p>
    <w:p>
      <w:pPr>
        <w:widowControl/>
        <w:numPr>
          <w:ilvl w:val="0"/>
          <w:numId w:val="42"/>
        </w:numPr>
        <w:tabs>
          <w:tab w:val="left" w:pos="1134"/>
        </w:tabs>
        <w:snapToGrid w:val="0"/>
        <w:spacing w:after="200" w:line="620" w:lineRule="exact"/>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评审结束后，</w:t>
      </w:r>
      <w:r>
        <w:rPr>
          <w:rFonts w:hint="eastAsia" w:ascii="宋体" w:hAnsi="宋体" w:cs="宋体"/>
          <w:color w:val="auto"/>
          <w:sz w:val="24"/>
          <w:szCs w:val="24"/>
          <w:highlight w:val="none"/>
          <w:lang w:eastAsia="zh-CN"/>
        </w:rPr>
        <w:t>区</w:t>
      </w:r>
      <w:r>
        <w:rPr>
          <w:rFonts w:hint="eastAsia" w:ascii="宋体" w:hAnsi="宋体" w:cs="宋体"/>
          <w:color w:val="auto"/>
          <w:sz w:val="24"/>
          <w:szCs w:val="24"/>
          <w:highlight w:val="none"/>
        </w:rPr>
        <w:t>公资交易中心在评审结束之日起2个工作日内将评审报告及有关资料送交采购人确定1名成交供应商。</w:t>
      </w:r>
    </w:p>
    <w:p>
      <w:pPr>
        <w:widowControl/>
        <w:numPr>
          <w:ilvl w:val="0"/>
          <w:numId w:val="42"/>
        </w:numPr>
        <w:tabs>
          <w:tab w:val="left" w:pos="1134"/>
        </w:tabs>
        <w:snapToGrid w:val="0"/>
        <w:spacing w:after="20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采购人在收到评审报告后</w:t>
      </w:r>
      <w:r>
        <w:rPr>
          <w:rFonts w:hint="eastAsia" w:cs="宋体"/>
          <w:color w:val="auto"/>
          <w:sz w:val="24"/>
          <w:szCs w:val="24"/>
          <w:highlight w:val="none"/>
          <w:lang w:val="en-US" w:eastAsia="zh-CN"/>
        </w:rPr>
        <w:t>5</w:t>
      </w:r>
      <w:r>
        <w:rPr>
          <w:rFonts w:hint="eastAsia" w:ascii="宋体" w:hAnsi="宋体" w:cs="宋体"/>
          <w:color w:val="auto"/>
          <w:sz w:val="24"/>
          <w:szCs w:val="24"/>
          <w:highlight w:val="none"/>
        </w:rPr>
        <w:t>个工作日内，按照评审报告中推荐的成交候选供应商顺序确定成交</w:t>
      </w:r>
      <w:r>
        <w:rPr>
          <w:rFonts w:ascii="宋体" w:hAnsi="宋体" w:cs="宋体"/>
          <w:color w:val="auto"/>
          <w:sz w:val="24"/>
          <w:szCs w:val="24"/>
          <w:highlight w:val="none"/>
        </w:rPr>
        <w:t>供应商</w:t>
      </w:r>
      <w:r>
        <w:rPr>
          <w:rFonts w:hint="eastAsia" w:ascii="宋体" w:hAnsi="宋体" w:cs="宋体"/>
          <w:color w:val="auto"/>
          <w:sz w:val="24"/>
          <w:szCs w:val="24"/>
          <w:highlight w:val="none"/>
        </w:rPr>
        <w:t>。若成交候选供应商及其现任法定代表人、主要负责人存在行贿犯罪记录，采购人将不确定其为成交</w:t>
      </w:r>
      <w:r>
        <w:rPr>
          <w:rFonts w:ascii="宋体" w:hAnsi="宋体" w:cs="宋体"/>
          <w:color w:val="auto"/>
          <w:sz w:val="24"/>
          <w:szCs w:val="24"/>
          <w:highlight w:val="none"/>
        </w:rPr>
        <w:t>供应商</w:t>
      </w:r>
      <w:r>
        <w:rPr>
          <w:rFonts w:hint="eastAsia" w:ascii="宋体" w:hAnsi="宋体" w:cs="宋体"/>
          <w:color w:val="auto"/>
          <w:sz w:val="24"/>
          <w:szCs w:val="24"/>
          <w:highlight w:val="none"/>
        </w:rPr>
        <w:t>。</w:t>
      </w:r>
    </w:p>
    <w:p>
      <w:pPr>
        <w:widowControl/>
        <w:numPr>
          <w:ilvl w:val="0"/>
          <w:numId w:val="42"/>
        </w:numPr>
        <w:tabs>
          <w:tab w:val="left" w:pos="1134"/>
        </w:tabs>
        <w:snapToGrid w:val="0"/>
        <w:spacing w:after="20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采购人逾期未确定成交供应商且不提出异议的，视为确定评审报告提出的排序第一的供应商为成交供应商。</w:t>
      </w:r>
    </w:p>
    <w:p>
      <w:pPr>
        <w:pStyle w:val="5"/>
        <w:numPr>
          <w:ilvl w:val="1"/>
          <w:numId w:val="0"/>
        </w:numPr>
        <w:spacing w:before="0" w:after="200"/>
        <w:ind w:leftChars="0"/>
        <w:rPr>
          <w:color w:val="auto"/>
          <w:highlight w:val="none"/>
        </w:rPr>
      </w:pPr>
      <w:bookmarkStart w:id="521" w:name="_Toc58943351"/>
      <w:bookmarkStart w:id="522" w:name="_Toc77688505"/>
      <w:bookmarkStart w:id="523" w:name="_Toc11998"/>
      <w:bookmarkStart w:id="524" w:name="_Toc32028"/>
      <w:r>
        <w:rPr>
          <w:rFonts w:hint="eastAsia"/>
          <w:color w:val="auto"/>
          <w:highlight w:val="none"/>
          <w:lang w:val="en-US" w:eastAsia="zh-CN"/>
        </w:rPr>
        <w:t>5.7</w:t>
      </w:r>
      <w:r>
        <w:rPr>
          <w:rFonts w:hint="eastAsia"/>
          <w:color w:val="auto"/>
          <w:highlight w:val="none"/>
        </w:rPr>
        <w:t>磋商小组成员义务</w:t>
      </w:r>
      <w:bookmarkEnd w:id="521"/>
      <w:bookmarkEnd w:id="522"/>
      <w:bookmarkEnd w:id="523"/>
      <w:bookmarkEnd w:id="524"/>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olor w:val="auto"/>
          <w:sz w:val="24"/>
          <w:szCs w:val="24"/>
          <w:highlight w:val="none"/>
        </w:rPr>
      </w:pPr>
      <w:r>
        <w:rPr>
          <w:rFonts w:hint="eastAsia"/>
          <w:color w:val="auto"/>
          <w:sz w:val="24"/>
          <w:szCs w:val="24"/>
          <w:highlight w:val="none"/>
        </w:rPr>
        <w:t>磋商小组成员在政府采购活动中承担以下义务：</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一、遵守评审工作纪律；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二、按照客观、公正、审慎的原则，根据磋商文件规定的评审程序、评审方法和评审标准进行独立评审；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三、不得泄露评审文件、评审情况和在评审过程中获悉的商业秘密；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四、及时向财政部门报告评审过程中发现的采购人、采购代理机构向评审专家做倾向性、误导性的解释或者说明，以及供应商行贿、提供虚假材料或者串通等违法行为；</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五、发现磋商文件内容违反国家有关强制性规定或者磋商文件存在歧义、重大缺陷导致评审工作无法进行时，停止评审并向采购人或者采购代理机构书面说明情况；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六、及时向财政、监察等部门举报在评审过程中受到非法干预的情况；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七、配合答复处理供应商的询问、质疑和投诉等事项；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szCs w:val="24"/>
          <w:highlight w:val="none"/>
        </w:rPr>
      </w:pPr>
      <w:r>
        <w:rPr>
          <w:rFonts w:hint="eastAsia"/>
          <w:color w:val="auto"/>
          <w:sz w:val="24"/>
          <w:szCs w:val="24"/>
          <w:highlight w:val="none"/>
        </w:rPr>
        <w:t>八、法律、法规和规章规定的其他义务。</w:t>
      </w:r>
    </w:p>
    <w:p>
      <w:pPr>
        <w:pStyle w:val="5"/>
        <w:numPr>
          <w:ilvl w:val="1"/>
          <w:numId w:val="0"/>
        </w:numPr>
        <w:spacing w:before="0" w:after="200"/>
        <w:ind w:leftChars="0"/>
        <w:rPr>
          <w:color w:val="auto"/>
          <w:highlight w:val="none"/>
        </w:rPr>
      </w:pPr>
      <w:bookmarkStart w:id="525" w:name="_Toc77688513"/>
      <w:bookmarkEnd w:id="525"/>
      <w:bookmarkStart w:id="526" w:name="_Toc77688511"/>
      <w:bookmarkEnd w:id="526"/>
      <w:bookmarkStart w:id="527" w:name="_Toc77688507"/>
      <w:bookmarkEnd w:id="527"/>
      <w:bookmarkStart w:id="528" w:name="_Toc77688516"/>
      <w:bookmarkEnd w:id="528"/>
      <w:bookmarkStart w:id="529" w:name="_Toc77688518"/>
      <w:bookmarkEnd w:id="529"/>
      <w:bookmarkStart w:id="530" w:name="_Toc77688509"/>
      <w:bookmarkEnd w:id="530"/>
      <w:bookmarkStart w:id="531" w:name="_Toc77688517"/>
      <w:bookmarkEnd w:id="531"/>
      <w:bookmarkStart w:id="532" w:name="_Toc77688510"/>
      <w:bookmarkEnd w:id="532"/>
      <w:bookmarkStart w:id="533" w:name="_Toc77688515"/>
      <w:bookmarkEnd w:id="533"/>
      <w:bookmarkStart w:id="534" w:name="_Toc77688512"/>
      <w:bookmarkEnd w:id="534"/>
      <w:bookmarkStart w:id="535" w:name="_Toc77688506"/>
      <w:bookmarkEnd w:id="535"/>
      <w:bookmarkStart w:id="536" w:name="_Toc77688508"/>
      <w:bookmarkEnd w:id="536"/>
      <w:bookmarkStart w:id="537" w:name="_Toc77688520"/>
      <w:bookmarkEnd w:id="537"/>
      <w:bookmarkStart w:id="538" w:name="_Toc77688514"/>
      <w:bookmarkEnd w:id="538"/>
      <w:bookmarkStart w:id="539" w:name="_Toc77688519"/>
      <w:bookmarkEnd w:id="539"/>
      <w:bookmarkStart w:id="540" w:name="_Toc77688521"/>
      <w:bookmarkStart w:id="541" w:name="_Toc58943353"/>
      <w:bookmarkStart w:id="542" w:name="_Toc26972"/>
      <w:bookmarkStart w:id="543" w:name="_Toc27181"/>
      <w:r>
        <w:rPr>
          <w:rFonts w:hint="eastAsia"/>
          <w:color w:val="auto"/>
          <w:highlight w:val="none"/>
          <w:lang w:val="en-US" w:eastAsia="zh-CN"/>
        </w:rPr>
        <w:t>5.8</w:t>
      </w:r>
      <w:r>
        <w:rPr>
          <w:rFonts w:hint="eastAsia"/>
          <w:color w:val="auto"/>
          <w:highlight w:val="none"/>
        </w:rPr>
        <w:t>磋商纪律</w:t>
      </w:r>
      <w:bookmarkEnd w:id="540"/>
      <w:bookmarkEnd w:id="541"/>
      <w:bookmarkEnd w:id="542"/>
      <w:bookmarkEnd w:id="543"/>
    </w:p>
    <w:p>
      <w:pPr>
        <w:snapToGrid w:val="0"/>
        <w:spacing w:line="360" w:lineRule="auto"/>
        <w:ind w:firstLine="480" w:firstLineChars="200"/>
        <w:rPr>
          <w:color w:val="auto"/>
          <w:sz w:val="24"/>
          <w:szCs w:val="24"/>
          <w:highlight w:val="none"/>
        </w:rPr>
      </w:pPr>
      <w:r>
        <w:rPr>
          <w:rFonts w:hint="eastAsia"/>
          <w:color w:val="auto"/>
          <w:sz w:val="24"/>
          <w:szCs w:val="24"/>
          <w:highlight w:val="none"/>
        </w:rPr>
        <w:t>磋商小组成员在政府采购活动中应当遵守以下工作纪律：</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二、评审前，应当将通讯工具或者相关电子设备交由采购代理机构统一保管。进入评标区之前应将所有的通信设备存入</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公资交易中心指定的存放处。评审专家不得以任何方式将通信设备带入评标区，否则将被取消本项目的评审资格。遇特殊情况不能出席或途中遇阻不能按时参加评审或咨询的，应及时告知财政部门或者采购人或者</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公资交易中心，不得私自转托他人；</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w:t>
      </w:r>
      <w:r>
        <w:rPr>
          <w:rFonts w:ascii="宋体" w:hAnsi="宋体"/>
          <w:color w:val="auto"/>
          <w:sz w:val="24"/>
          <w:szCs w:val="24"/>
          <w:highlight w:val="none"/>
        </w:rPr>
        <w:t>、</w:t>
      </w:r>
      <w:r>
        <w:rPr>
          <w:rFonts w:hint="eastAsia" w:ascii="宋体" w:hAnsi="宋体"/>
          <w:color w:val="auto"/>
          <w:sz w:val="24"/>
          <w:szCs w:val="24"/>
          <w:highlight w:val="none"/>
        </w:rPr>
        <w:t>对需要专业</w:t>
      </w:r>
      <w:r>
        <w:rPr>
          <w:rFonts w:ascii="宋体" w:hAnsi="宋体"/>
          <w:color w:val="auto"/>
          <w:sz w:val="24"/>
          <w:szCs w:val="24"/>
          <w:highlight w:val="none"/>
        </w:rPr>
        <w:t>判断的主管评审因素不得协商评分；</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w:t>
      </w:r>
      <w:r>
        <w:rPr>
          <w:rFonts w:ascii="宋体" w:hAnsi="宋体"/>
          <w:color w:val="auto"/>
          <w:sz w:val="24"/>
          <w:szCs w:val="24"/>
          <w:highlight w:val="none"/>
        </w:rPr>
        <w:t>、</w:t>
      </w:r>
      <w:r>
        <w:rPr>
          <w:rFonts w:hint="eastAsia" w:ascii="宋体" w:hAnsi="宋体"/>
          <w:color w:val="auto"/>
          <w:sz w:val="24"/>
          <w:szCs w:val="24"/>
          <w:highlight w:val="none"/>
        </w:rPr>
        <w:t>在</w:t>
      </w:r>
      <w:r>
        <w:rPr>
          <w:rFonts w:ascii="宋体" w:hAnsi="宋体"/>
          <w:color w:val="auto"/>
          <w:sz w:val="24"/>
          <w:szCs w:val="24"/>
          <w:highlight w:val="none"/>
        </w:rPr>
        <w:t>评审过程中不得擅离职守，影响磋商程序</w:t>
      </w:r>
      <w:r>
        <w:rPr>
          <w:rFonts w:hint="eastAsia" w:ascii="宋体" w:hAnsi="宋体"/>
          <w:color w:val="auto"/>
          <w:sz w:val="24"/>
          <w:szCs w:val="24"/>
          <w:highlight w:val="none"/>
        </w:rPr>
        <w:t>正常进行；</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w:t>
      </w:r>
      <w:r>
        <w:rPr>
          <w:rFonts w:hint="eastAsia" w:ascii="宋体" w:hAnsi="宋体"/>
          <w:color w:val="auto"/>
          <w:sz w:val="24"/>
          <w:szCs w:val="24"/>
          <w:highlight w:val="none"/>
        </w:rPr>
        <w:t>评审过程中，不得与外界联系，因发生不可预见情况，确实需要与外界联系的，应当在监督人员监督之下办理；</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w:t>
      </w:r>
      <w:r>
        <w:rPr>
          <w:rFonts w:hint="eastAsia" w:ascii="宋体" w:hAnsi="宋体"/>
          <w:color w:val="auto"/>
          <w:sz w:val="24"/>
          <w:szCs w:val="24"/>
          <w:highlight w:val="none"/>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w:t>
      </w:r>
      <w:r>
        <w:rPr>
          <w:rFonts w:hint="eastAsia" w:ascii="宋体" w:hAnsi="宋体"/>
          <w:color w:val="auto"/>
          <w:sz w:val="24"/>
          <w:szCs w:val="24"/>
          <w:highlight w:val="none"/>
        </w:rPr>
        <w:t>在评审过程中和评审结束后，不得记录、复制或带走任何评审资料，不得向外界透露评审内容；</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w:t>
      </w:r>
      <w:r>
        <w:rPr>
          <w:rFonts w:hint="eastAsia" w:ascii="宋体" w:hAnsi="宋体"/>
          <w:color w:val="auto"/>
          <w:sz w:val="24"/>
          <w:szCs w:val="24"/>
          <w:highlight w:val="none"/>
        </w:rPr>
        <w:t>评审现场服从采购代理机构工作人员的管理，接受现场监督人员的合法监督；</w:t>
      </w:r>
    </w:p>
    <w:p>
      <w:pPr>
        <w:tabs>
          <w:tab w:val="left" w:pos="766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w:t>
      </w:r>
      <w:r>
        <w:rPr>
          <w:rFonts w:hint="eastAsia" w:ascii="宋体" w:hAnsi="宋体"/>
          <w:color w:val="auto"/>
          <w:sz w:val="24"/>
          <w:szCs w:val="24"/>
          <w:highlight w:val="none"/>
        </w:rPr>
        <w:t>遵守有关廉洁自律规定，不得私下接触供应商，不得收受供应商及有关业务单位和个人的财物或好处，不得接受采购代理机构的请托。</w:t>
      </w:r>
    </w:p>
    <w:p>
      <w:pPr>
        <w:pStyle w:val="65"/>
        <w:rPr>
          <w:color w:val="auto"/>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pStyle w:val="3"/>
        <w:rPr>
          <w:rFonts w:hint="eastAsia" w:ascii="宋体" w:hAnsi="宋体" w:cs="Times New Roman"/>
          <w:color w:val="auto"/>
          <w:kern w:val="10"/>
          <w:sz w:val="24"/>
          <w:szCs w:val="20"/>
          <w:highlight w:val="none"/>
        </w:rPr>
      </w:pPr>
    </w:p>
    <w:p>
      <w:pPr>
        <w:rPr>
          <w:rFonts w:hint="eastAsia"/>
          <w:color w:val="auto"/>
          <w:highlight w:val="none"/>
        </w:rPr>
      </w:pPr>
    </w:p>
    <w:p>
      <w:pPr>
        <w:keepNext/>
        <w:keepLines/>
        <w:numPr>
          <w:ilvl w:val="0"/>
          <w:numId w:val="0"/>
        </w:numPr>
        <w:spacing w:line="360" w:lineRule="auto"/>
        <w:ind w:firstLine="2813" w:firstLineChars="1000"/>
        <w:jc w:val="both"/>
        <w:outlineLvl w:val="0"/>
        <w:rPr>
          <w:rFonts w:ascii="宋体" w:hAnsi="宋体"/>
          <w:b/>
          <w:bCs/>
          <w:color w:val="auto"/>
          <w:spacing w:val="-20"/>
          <w:kern w:val="44"/>
          <w:sz w:val="32"/>
          <w:szCs w:val="32"/>
          <w:highlight w:val="none"/>
        </w:rPr>
      </w:pPr>
      <w:bookmarkStart w:id="544" w:name="_Toc12015"/>
      <w:bookmarkStart w:id="545" w:name="_Toc77861417"/>
      <w:bookmarkStart w:id="546" w:name="_Toc23323"/>
      <w:bookmarkStart w:id="547" w:name="_Toc34729074"/>
      <w:bookmarkStart w:id="548" w:name="_Toc217446108"/>
      <w:bookmarkStart w:id="549" w:name="_Toc8573798"/>
      <w:bookmarkStart w:id="550" w:name="EB1f0aafc679f74a3b911babc8d3654e3f"/>
      <w:r>
        <w:rPr>
          <w:rFonts w:hint="eastAsia" w:ascii="宋体" w:hAnsi="宋体"/>
          <w:b/>
          <w:bCs/>
          <w:color w:val="auto"/>
          <w:spacing w:val="-20"/>
          <w:kern w:val="44"/>
          <w:sz w:val="32"/>
          <w:szCs w:val="32"/>
          <w:highlight w:val="none"/>
          <w:lang w:eastAsia="zh-CN"/>
        </w:rPr>
        <w:t>第</w:t>
      </w:r>
      <w:r>
        <w:rPr>
          <w:rFonts w:hint="eastAsia" w:ascii="宋体" w:hAnsi="宋体"/>
          <w:b/>
          <w:bCs/>
          <w:color w:val="auto"/>
          <w:spacing w:val="-20"/>
          <w:kern w:val="44"/>
          <w:sz w:val="32"/>
          <w:szCs w:val="32"/>
          <w:highlight w:val="none"/>
          <w:lang w:val="en-US" w:eastAsia="zh-CN"/>
        </w:rPr>
        <w:t>6章</w:t>
      </w:r>
      <w:r>
        <w:rPr>
          <w:rFonts w:hint="eastAsia" w:ascii="宋体" w:hAnsi="宋体"/>
          <w:b/>
          <w:bCs/>
          <w:color w:val="auto"/>
          <w:spacing w:val="-20"/>
          <w:kern w:val="44"/>
          <w:sz w:val="32"/>
          <w:szCs w:val="32"/>
          <w:highlight w:val="none"/>
        </w:rPr>
        <w:t>拟签订的合同文本</w:t>
      </w:r>
      <w:bookmarkEnd w:id="544"/>
      <w:bookmarkEnd w:id="545"/>
      <w:bookmarkEnd w:id="546"/>
    </w:p>
    <w:p>
      <w:pPr>
        <w:spacing w:line="360" w:lineRule="auto"/>
        <w:rPr>
          <w:rFonts w:hint="eastAsia" w:ascii="Times New Roman" w:hAnsi="Times New Roman" w:eastAsia="仿宋_GB2312"/>
          <w:color w:val="auto"/>
          <w:szCs w:val="21"/>
          <w:highlight w:val="none"/>
        </w:rPr>
      </w:pP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合同编号：</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签订地点：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签订时间：XXXX年XX月XX日。</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采购人（甲方）：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供应商（乙方）：                                                                     </w:t>
      </w:r>
    </w:p>
    <w:p>
      <w:pPr>
        <w:spacing w:line="360" w:lineRule="auto"/>
        <w:rPr>
          <w:rFonts w:ascii="Times New Roman" w:hAnsi="Times New Roman" w:eastAsia="仿宋_GB2312"/>
          <w:color w:val="auto"/>
          <w:szCs w:val="21"/>
          <w:highlight w:val="none"/>
        </w:rPr>
      </w:pP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根据《中华人民共和国政府采购法》、《中华人民共和国</w:t>
      </w:r>
      <w:r>
        <w:rPr>
          <w:rFonts w:hint="eastAsia" w:ascii="Times New Roman" w:hAnsi="Times New Roman" w:eastAsia="仿宋_GB2312"/>
          <w:color w:val="auto"/>
          <w:szCs w:val="21"/>
          <w:highlight w:val="none"/>
          <w:lang w:eastAsia="zh-CN"/>
        </w:rPr>
        <w:t>民法典</w:t>
      </w:r>
      <w:r>
        <w:rPr>
          <w:rFonts w:hint="eastAsia" w:ascii="Times New Roman" w:hAnsi="Times New Roman" w:eastAsia="仿宋_GB2312"/>
          <w:color w:val="auto"/>
          <w:szCs w:val="21"/>
          <w:highlight w:val="none"/>
        </w:rPr>
        <w:t>》及 XXXXXXXXX （项目编号：XXXXX）的《</w:t>
      </w:r>
      <w:r>
        <w:rPr>
          <w:rFonts w:hint="eastAsia" w:ascii="Times New Roman" w:hAnsi="Times New Roman" w:eastAsia="仿宋_GB2312"/>
          <w:color w:val="auto"/>
          <w:szCs w:val="21"/>
          <w:highlight w:val="none"/>
          <w:lang w:eastAsia="zh-CN"/>
        </w:rPr>
        <w:t>采购</w:t>
      </w:r>
      <w:r>
        <w:rPr>
          <w:rFonts w:hint="eastAsia" w:ascii="Times New Roman" w:hAnsi="Times New Roman" w:eastAsia="仿宋_GB2312"/>
          <w:color w:val="auto"/>
          <w:szCs w:val="21"/>
          <w:highlight w:val="none"/>
        </w:rPr>
        <w:t>文件》、乙方的《</w:t>
      </w:r>
      <w:r>
        <w:rPr>
          <w:rFonts w:hint="eastAsia" w:ascii="Times New Roman" w:hAnsi="Times New Roman" w:eastAsia="仿宋_GB2312"/>
          <w:color w:val="auto"/>
          <w:szCs w:val="21"/>
          <w:highlight w:val="none"/>
          <w:lang w:eastAsia="zh-CN"/>
        </w:rPr>
        <w:t>响应</w:t>
      </w:r>
      <w:r>
        <w:rPr>
          <w:rFonts w:hint="eastAsia" w:ascii="Times New Roman" w:hAnsi="Times New Roman" w:eastAsia="仿宋_GB2312"/>
          <w:color w:val="auto"/>
          <w:szCs w:val="21"/>
          <w:highlight w:val="none"/>
        </w:rPr>
        <w:t>文件》及《</w:t>
      </w:r>
      <w:r>
        <w:rPr>
          <w:rFonts w:hint="eastAsia" w:ascii="Times New Roman" w:hAnsi="Times New Roman" w:eastAsia="仿宋_GB2312"/>
          <w:color w:val="auto"/>
          <w:szCs w:val="21"/>
          <w:highlight w:val="none"/>
          <w:lang w:eastAsia="zh-CN"/>
        </w:rPr>
        <w:t>成交</w:t>
      </w:r>
      <w:r>
        <w:rPr>
          <w:rFonts w:hint="eastAsia" w:ascii="Times New Roman" w:hAnsi="Times New Roman" w:eastAsia="仿宋_GB2312"/>
          <w:color w:val="auto"/>
          <w:szCs w:val="21"/>
          <w:highlight w:val="none"/>
        </w:rPr>
        <w:t>通知书》，甲、乙双方同意签订本合同。详细技术说明及其他有关合同项目的特定信息由合同附件予以说明，合同附件及本项目的</w:t>
      </w:r>
      <w:r>
        <w:rPr>
          <w:rFonts w:hint="eastAsia" w:ascii="Times New Roman" w:hAnsi="Times New Roman" w:eastAsia="仿宋_GB2312"/>
          <w:color w:val="auto"/>
          <w:szCs w:val="21"/>
          <w:highlight w:val="none"/>
          <w:lang w:eastAsia="zh-CN"/>
        </w:rPr>
        <w:t>采购</w:t>
      </w:r>
      <w:r>
        <w:rPr>
          <w:rFonts w:hint="eastAsia" w:ascii="Times New Roman" w:hAnsi="Times New Roman" w:eastAsia="仿宋_GB2312"/>
          <w:color w:val="auto"/>
          <w:szCs w:val="21"/>
          <w:highlight w:val="none"/>
        </w:rPr>
        <w:t>文件、</w:t>
      </w:r>
      <w:r>
        <w:rPr>
          <w:rFonts w:hint="eastAsia" w:ascii="Times New Roman" w:hAnsi="Times New Roman" w:eastAsia="仿宋_GB2312"/>
          <w:color w:val="auto"/>
          <w:szCs w:val="21"/>
          <w:highlight w:val="none"/>
          <w:lang w:eastAsia="zh-CN"/>
        </w:rPr>
        <w:t>响应</w:t>
      </w:r>
      <w:r>
        <w:rPr>
          <w:rFonts w:hint="eastAsia" w:ascii="Times New Roman" w:hAnsi="Times New Roman" w:eastAsia="仿宋_GB2312"/>
          <w:color w:val="auto"/>
          <w:szCs w:val="21"/>
          <w:highlight w:val="none"/>
        </w:rPr>
        <w:t>文件、《</w:t>
      </w:r>
      <w:r>
        <w:rPr>
          <w:rFonts w:hint="eastAsia" w:ascii="Times New Roman" w:hAnsi="Times New Roman" w:eastAsia="仿宋_GB2312"/>
          <w:color w:val="auto"/>
          <w:szCs w:val="21"/>
          <w:highlight w:val="none"/>
          <w:lang w:eastAsia="zh-CN"/>
        </w:rPr>
        <w:t>成交</w:t>
      </w:r>
      <w:r>
        <w:rPr>
          <w:rFonts w:hint="eastAsia" w:ascii="Times New Roman" w:hAnsi="Times New Roman" w:eastAsia="仿宋_GB2312"/>
          <w:color w:val="auto"/>
          <w:szCs w:val="21"/>
          <w:highlight w:val="none"/>
        </w:rPr>
        <w:t>通知书》等均为本合同不可分割的部分。双方同意共同遵守如下条款：</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一、合同货物</w:t>
      </w:r>
    </w:p>
    <w:tbl>
      <w:tblPr>
        <w:tblStyle w:val="1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4"/>
        <w:gridCol w:w="1098"/>
        <w:gridCol w:w="753"/>
        <w:gridCol w:w="939"/>
        <w:gridCol w:w="1128"/>
        <w:gridCol w:w="1237"/>
        <w:gridCol w:w="1316"/>
        <w:gridCol w:w="13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货物品名</w:t>
            </w:r>
          </w:p>
        </w:tc>
        <w:tc>
          <w:tcPr>
            <w:tcW w:w="582"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规格</w:t>
            </w:r>
          </w:p>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型号</w:t>
            </w:r>
          </w:p>
        </w:tc>
        <w:tc>
          <w:tcPr>
            <w:tcW w:w="399"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单价</w:t>
            </w:r>
          </w:p>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总价</w:t>
            </w:r>
          </w:p>
          <w:p>
            <w:pPr>
              <w:spacing w:line="360" w:lineRule="auto"/>
              <w:ind w:left="-8" w:leftChars="-34" w:hanging="63"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（万元）</w:t>
            </w:r>
          </w:p>
        </w:tc>
        <w:tc>
          <w:tcPr>
            <w:tcW w:w="698"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随机</w:t>
            </w:r>
          </w:p>
          <w:p>
            <w:pPr>
              <w:spacing w:line="360" w:lineRule="auto"/>
              <w:ind w:left="-8" w:leftChars="-34" w:hanging="63"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配件</w:t>
            </w:r>
          </w:p>
        </w:tc>
        <w:tc>
          <w:tcPr>
            <w:tcW w:w="698" w:type="pct"/>
            <w:tcBorders>
              <w:top w:val="single" w:color="auto" w:sz="4" w:space="0"/>
              <w:left w:val="single" w:color="auto" w:sz="4" w:space="0"/>
              <w:bottom w:val="single" w:color="auto" w:sz="4" w:space="0"/>
              <w:right w:val="single" w:color="auto" w:sz="4" w:space="0"/>
            </w:tcBorders>
            <w:vAlign w:val="center"/>
          </w:tcPr>
          <w:p>
            <w:pPr>
              <w:spacing w:line="360" w:lineRule="auto"/>
              <w:ind w:left="-8" w:leftChars="-34" w:hanging="63"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left="240"/>
              <w:jc w:val="center"/>
              <w:rPr>
                <w:rFonts w:ascii="宋体" w:hAnsi="宋体" w:cs="宋体"/>
                <w:color w:val="auto"/>
                <w:sz w:val="24"/>
                <w:highlight w:val="none"/>
              </w:rPr>
            </w:pPr>
            <w:r>
              <w:rPr>
                <w:rFonts w:hint="eastAsia" w:ascii="宋体" w:hAnsi="宋体" w:cs="宋体"/>
                <w:color w:val="auto"/>
                <w:sz w:val="24"/>
                <w:highlight w:val="none"/>
              </w:rPr>
              <w:t> </w:t>
            </w:r>
          </w:p>
        </w:tc>
        <w:tc>
          <w:tcPr>
            <w:tcW w:w="582"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399"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left="240"/>
              <w:jc w:val="center"/>
              <w:rPr>
                <w:rFonts w:ascii="宋体" w:hAnsi="宋体" w:cs="宋体"/>
                <w:color w:val="auto"/>
                <w:sz w:val="24"/>
                <w:highlight w:val="none"/>
              </w:rPr>
            </w:pPr>
            <w:r>
              <w:rPr>
                <w:rFonts w:hint="eastAsia" w:ascii="宋体" w:hAnsi="宋体" w:cs="宋体"/>
                <w:color w:val="auto"/>
                <w:sz w:val="24"/>
                <w:highlight w:val="none"/>
              </w:rPr>
              <w:t> </w:t>
            </w:r>
          </w:p>
        </w:tc>
        <w:tc>
          <w:tcPr>
            <w:tcW w:w="582"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399"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698" w:type="pct"/>
            <w:tcBorders>
              <w:top w:val="single" w:color="auto" w:sz="4" w:space="0"/>
              <w:left w:val="single" w:color="auto" w:sz="4" w:space="0"/>
              <w:bottom w:val="single" w:color="auto" w:sz="4" w:space="0"/>
              <w:right w:val="single" w:color="auto" w:sz="4" w:space="0"/>
            </w:tcBorders>
            <w:vAlign w:val="center"/>
          </w:tcPr>
          <w:p>
            <w:pPr>
              <w:spacing w:line="400" w:lineRule="exact"/>
              <w:ind w:left="1"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r>
    </w:tbl>
    <w:p>
      <w:pPr>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二、合同总价</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合同总价为人民币大写：                元，即RMB￥        元；该合同总价已包括货物设计、材料、制造、包装、运输、安装、调试、验收合格交付使用之前及三年保修服务与备用物件等等所有其他有关各项的含税费用。本合同执行期间合同总价不变，甲方无须另向乙方支付本合同规定之外的其他任何费用。</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三、质量要求</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1、乙方须提供全新的货物（含零部件、配件等），表面无划伤、无碰撞痕迹，且权属清楚，不得侵害他人的知识产权。</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2、货物必须符合或优于国家（行业）          标准，以及本项目</w:t>
      </w:r>
      <w:r>
        <w:rPr>
          <w:rFonts w:hint="eastAsia" w:ascii="Times New Roman" w:hAnsi="Times New Roman" w:eastAsia="仿宋_GB2312"/>
          <w:color w:val="auto"/>
          <w:szCs w:val="21"/>
          <w:highlight w:val="none"/>
          <w:lang w:eastAsia="zh-CN"/>
        </w:rPr>
        <w:t>采购</w:t>
      </w:r>
      <w:r>
        <w:rPr>
          <w:rFonts w:hint="eastAsia" w:ascii="Times New Roman" w:hAnsi="Times New Roman" w:eastAsia="仿宋_GB2312"/>
          <w:color w:val="auto"/>
          <w:szCs w:val="21"/>
          <w:highlight w:val="none"/>
        </w:rPr>
        <w:t>文件的质量要求和技术指标与出厂标准。</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3、乙方须在本合同签订之日起   日内送交货物成品样品给甲方确认，在甲方出具样品确认书并封存成品样品外观尺寸后，乙方才能按样生产，并以此样品作为验收样品；每台货物上均应有产品质量检验合格标志。</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4、货物制造质量出现问题，乙方应负责三包（包修、包换、包退），费用由乙方负担，甲方有权到乙方生产场地检查货物质量和生产进度。</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5、货到现场后由于甲方保管不当造成的质量问题，乙方亦应负责修理，但费用由甲方负担。</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四、交货及验收</w:t>
      </w:r>
    </w:p>
    <w:p>
      <w:pPr>
        <w:spacing w:line="360" w:lineRule="auto"/>
        <w:rPr>
          <w:rFonts w:ascii="Times New Roman" w:hAnsi="Times New Roman" w:eastAsia="仿宋_GB2312"/>
          <w:color w:val="auto"/>
          <w:szCs w:val="21"/>
          <w:highlight w:val="none"/>
        </w:rPr>
      </w:pP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五、付款方式</w:t>
      </w:r>
    </w:p>
    <w:p>
      <w:pPr>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 xml:space="preserve">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六、售后服务</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1、质保期为验收合格后XX年，质保期内出现质量问题，乙方在接到通知后   小时内响应到场，    小时内完成维修或更换，并承担修理调换的费用；如货物经乙方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2、乙方须指派专人负责与甲方联系售后服务事宜。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七、违约责任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1、甲方违约责任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 甲方无正当理由拒收货物的，甲方应偿付合同总价百分之  的违约金；</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 甲方逾期支付货款的，除应及时付足货款外，应向乙方偿付欠款总额万分之   /天的违约金；逾期付款超过  天的，乙方有权终止合同；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 甲方偿付的违约金不足以弥补乙方损失的，还应按乙方损失尚未弥补的部分，支付赔偿金给乙方。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2、乙方违约责任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（1）乙方交付的货物质量不符合合同规定的，乙方应向甲方支付合同总价的百分之  的违约金，并须在合同规定的交货时间内更换合格的货物给甲方，否则，视作乙方不能交付货物而违约，按本条本款下述第“（2）”项规定由乙方偿付违约赔偿金给甲方。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（2）乙方不能交付货物或逾期交付货物而违约的，除应及时交足货物外，应向甲方偿付逾期交货部分货款总额的万分之   /天的违约金；逾期交货超过XX天，甲方有权终止合同，乙方则应按合同总价的百分之  的款额向甲方偿付赔偿金，并须全额退还甲方已经付给乙方的货款及其利息。</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（3）乙方货物经甲方送交具有法定资格条件的质量技术监督机构检测后，如检测结果认定货物质量不符合本合同规定标准的，则视为乙方没有按时交货而违约，乙方须在   天内无条件更换合格的货物，如逾期不能更换合格的货物，甲方有权终止本合同，乙方应另付合同总价的百分之   的赔偿金给甲方。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向甲方支付违约金并赔偿因此给甲方造成的一切损失。</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（5）乙方偿付的违约金不足以弥补甲方损失的，还应按甲方损失尚未弥补的部分，支付赔偿金给甲方。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八、解决合同纠纷的方式</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1、在执行本合同中发生的或与本合同有关的争端，双方应通过友好协商解决，经协商在XX天内不能达成协议时，由甲方所在地人民法院诉讼管辖。</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2、诉讼费、律师费、保全费等应由败诉方负担。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3、在诉讼期间，除正在进行诉讼部分外，合同其他部分继续执行。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九、其他</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1、如有未尽事宜，由双方依法订立补充合同。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2、本合同一式七份，自双方签章之日起生效。甲方三份，乙方、政府采购管理部门、采购代理机构各一份。</w:t>
      </w:r>
    </w:p>
    <w:p>
      <w:pPr>
        <w:spacing w:line="360" w:lineRule="auto"/>
        <w:rPr>
          <w:rFonts w:ascii="Times New Roman" w:hAnsi="Times New Roman" w:eastAsia="仿宋_GB2312"/>
          <w:color w:val="auto"/>
          <w:szCs w:val="21"/>
          <w:highlight w:val="none"/>
        </w:rPr>
      </w:pP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甲方：   （盖章）   </w:t>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 xml:space="preserve">       乙方：   （盖章）</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法定代表人（授权代表）：            法定代表人（授权代表）：</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地    址：                         地    址：</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开户银行：                         开户银行：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账号：                             账号：</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电    话：                         电    话：</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传    真：                         传    真：</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签约日期：XX年XX月XX日 </w:t>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签约日期：XX年XX月XX日</w:t>
      </w:r>
    </w:p>
    <w:p>
      <w:pPr>
        <w:spacing w:line="360" w:lineRule="auto"/>
        <w:rPr>
          <w:color w:val="auto"/>
          <w:highlight w:val="none"/>
        </w:rPr>
        <w:sectPr>
          <w:footerReference r:id="rId23" w:type="default"/>
          <w:pgSz w:w="11906" w:h="16838"/>
          <w:pgMar w:top="1440" w:right="1274" w:bottom="1440" w:left="1418" w:header="851" w:footer="992" w:gutter="0"/>
          <w:cols w:space="720" w:num="1"/>
          <w:docGrid w:type="lines" w:linePitch="312" w:charSpace="0"/>
        </w:sectPr>
      </w:pPr>
      <w:r>
        <w:rPr>
          <w:rFonts w:hint="eastAsia" w:ascii="Times New Roman" w:hAnsi="Times New Roman" w:eastAsia="仿宋_GB2312"/>
          <w:color w:val="auto"/>
          <w:szCs w:val="21"/>
          <w:highlight w:val="none"/>
        </w:rPr>
        <w:t>注：1、以上合同条款采购人与</w:t>
      </w:r>
      <w:r>
        <w:rPr>
          <w:rFonts w:hint="eastAsia" w:ascii="Times New Roman" w:hAnsi="Times New Roman" w:eastAsia="仿宋_GB2312"/>
          <w:color w:val="auto"/>
          <w:szCs w:val="21"/>
          <w:highlight w:val="none"/>
          <w:lang w:eastAsia="zh-CN"/>
        </w:rPr>
        <w:t>成交供应商</w:t>
      </w:r>
      <w:r>
        <w:rPr>
          <w:rFonts w:hint="eastAsia" w:ascii="Times New Roman" w:hAnsi="Times New Roman" w:eastAsia="仿宋_GB2312"/>
          <w:color w:val="auto"/>
          <w:szCs w:val="21"/>
          <w:highlight w:val="none"/>
        </w:rPr>
        <w:t>签订合同时可根据实际情况进行调整、修改或重新起草合同条</w:t>
      </w:r>
      <w:bookmarkEnd w:id="547"/>
      <w:bookmarkEnd w:id="548"/>
      <w:bookmarkEnd w:id="549"/>
    </w:p>
    <w:bookmarkEnd w:id="550"/>
    <w:p>
      <w:pPr>
        <w:widowControl/>
        <w:tabs>
          <w:tab w:val="left" w:pos="720"/>
        </w:tabs>
        <w:spacing w:beforeLines="50" w:afterLines="50" w:line="276" w:lineRule="auto"/>
        <w:jc w:val="left"/>
        <w:rPr>
          <w:b/>
          <w:bCs/>
          <w:color w:val="auto"/>
          <w:highlight w:val="none"/>
        </w:rPr>
      </w:pPr>
      <w:r>
        <w:rPr>
          <w:rFonts w:hint="eastAsia"/>
          <w:b/>
          <w:bCs/>
          <w:color w:val="auto"/>
          <w:highlight w:val="none"/>
        </w:rPr>
        <w:t>附件</w:t>
      </w:r>
    </w:p>
    <w:p>
      <w:pPr>
        <w:rPr>
          <w:color w:val="auto"/>
          <w:highlight w:val="none"/>
        </w:rPr>
      </w:pPr>
    </w:p>
    <w:p>
      <w:pPr>
        <w:jc w:val="center"/>
        <w:rPr>
          <w:color w:val="auto"/>
          <w:highlight w:val="none"/>
        </w:rPr>
      </w:pPr>
      <w:r>
        <w:rPr>
          <w:color w:val="auto"/>
          <w:highlight w:val="none"/>
        </w:rPr>
        <w:drawing>
          <wp:inline distT="0" distB="0" distL="114300" distR="114300">
            <wp:extent cx="4907280" cy="6797040"/>
            <wp:effectExtent l="0" t="0" r="7620"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5"/>
                    <a:stretch>
                      <a:fillRect/>
                    </a:stretch>
                  </pic:blipFill>
                  <pic:spPr>
                    <a:xfrm>
                      <a:off x="0" y="0"/>
                      <a:ext cx="4907280" cy="6797040"/>
                    </a:xfrm>
                    <a:prstGeom prst="rect">
                      <a:avLst/>
                    </a:prstGeom>
                    <a:noFill/>
                    <a:ln>
                      <a:noFill/>
                    </a:ln>
                  </pic:spPr>
                </pic:pic>
              </a:graphicData>
            </a:graphic>
          </wp:inline>
        </w:drawing>
      </w:r>
    </w:p>
    <w:p>
      <w:pPr>
        <w:jc w:val="center"/>
        <w:rPr>
          <w:color w:val="auto"/>
          <w:highlight w:val="none"/>
        </w:rPr>
      </w:pPr>
      <w:r>
        <w:rPr>
          <w:color w:val="auto"/>
          <w:highlight w:val="none"/>
        </w:rPr>
        <w:drawing>
          <wp:inline distT="0" distB="0" distL="114300" distR="114300">
            <wp:extent cx="4991100" cy="6675120"/>
            <wp:effectExtent l="0" t="0" r="0" b="1143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6"/>
                    <a:stretch>
                      <a:fillRect/>
                    </a:stretch>
                  </pic:blipFill>
                  <pic:spPr>
                    <a:xfrm>
                      <a:off x="0" y="0"/>
                      <a:ext cx="4991100" cy="6675120"/>
                    </a:xfrm>
                    <a:prstGeom prst="rect">
                      <a:avLst/>
                    </a:prstGeom>
                    <a:noFill/>
                    <a:ln>
                      <a:noFill/>
                    </a:ln>
                  </pic:spPr>
                </pic:pic>
              </a:graphicData>
            </a:graphic>
          </wp:inline>
        </w:drawing>
      </w:r>
    </w:p>
    <w:p>
      <w:pPr>
        <w:rPr>
          <w:color w:val="auto"/>
          <w:highlight w:val="none"/>
        </w:rPr>
      </w:pPr>
    </w:p>
    <w:p>
      <w:pPr>
        <w:rPr>
          <w:color w:val="auto"/>
          <w:highlight w:val="none"/>
        </w:rPr>
      </w:pPr>
    </w:p>
    <w:p>
      <w:pPr>
        <w:jc w:val="center"/>
        <w:rPr>
          <w:color w:val="auto"/>
          <w:highlight w:val="none"/>
        </w:rPr>
        <w:sectPr>
          <w:footerReference r:id="rId24" w:type="default"/>
          <w:pgSz w:w="11906" w:h="16838"/>
          <w:pgMar w:top="1440" w:right="1800" w:bottom="1440" w:left="1800" w:header="851" w:footer="992" w:gutter="0"/>
          <w:cols w:space="720" w:num="1"/>
          <w:docGrid w:type="lines" w:linePitch="312" w:charSpace="0"/>
        </w:sectPr>
      </w:pPr>
    </w:p>
    <w:p>
      <w:pPr>
        <w:jc w:val="center"/>
        <w:rPr>
          <w:color w:val="auto"/>
          <w:highlight w:val="none"/>
        </w:rPr>
        <w:sectPr>
          <w:pgSz w:w="16838" w:h="11906" w:orient="landscape"/>
          <w:pgMar w:top="1800" w:right="1440" w:bottom="1800" w:left="1440" w:header="851" w:footer="992" w:gutter="0"/>
          <w:cols w:space="720" w:num="1"/>
          <w:docGrid w:type="lines" w:linePitch="312" w:charSpace="0"/>
        </w:sectPr>
      </w:pPr>
      <w:r>
        <w:rPr>
          <w:color w:val="auto"/>
          <w:highlight w:val="none"/>
        </w:rPr>
        <w:drawing>
          <wp:inline distT="0" distB="0" distL="114300" distR="114300">
            <wp:extent cx="7559675" cy="4876800"/>
            <wp:effectExtent l="0" t="0" r="317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7"/>
                    <a:stretch>
                      <a:fillRect/>
                    </a:stretch>
                  </pic:blipFill>
                  <pic:spPr>
                    <a:xfrm>
                      <a:off x="0" y="0"/>
                      <a:ext cx="7559675" cy="4876800"/>
                    </a:xfrm>
                    <a:prstGeom prst="rect">
                      <a:avLst/>
                    </a:prstGeom>
                    <a:noFill/>
                    <a:ln>
                      <a:noFill/>
                    </a:ln>
                  </pic:spPr>
                </pic:pic>
              </a:graphicData>
            </a:graphic>
          </wp:inline>
        </w:drawing>
      </w:r>
    </w:p>
    <w:p>
      <w:pPr>
        <w:rPr>
          <w:color w:val="auto"/>
          <w:highlight w:val="none"/>
        </w:rPr>
      </w:pPr>
      <w:r>
        <w:rPr>
          <w:color w:val="auto"/>
          <w:highlight w:val="none"/>
        </w:rPr>
        <w:drawing>
          <wp:inline distT="0" distB="0" distL="114300" distR="114300">
            <wp:extent cx="5105400" cy="6530340"/>
            <wp:effectExtent l="0" t="0" r="0" b="381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48"/>
                    <a:stretch>
                      <a:fillRect/>
                    </a:stretch>
                  </pic:blipFill>
                  <pic:spPr>
                    <a:xfrm>
                      <a:off x="0" y="0"/>
                      <a:ext cx="5105400" cy="6530340"/>
                    </a:xfrm>
                    <a:prstGeom prst="rect">
                      <a:avLst/>
                    </a:prstGeom>
                    <a:noFill/>
                    <a:ln>
                      <a:noFill/>
                    </a:ln>
                  </pic:spPr>
                </pic:pic>
              </a:graphicData>
            </a:graphic>
          </wp:inline>
        </w:drawing>
      </w:r>
    </w:p>
    <w:p>
      <w:pPr>
        <w:tabs>
          <w:tab w:val="left" w:pos="937"/>
        </w:tabs>
        <w:adjustRightInd w:val="0"/>
        <w:snapToGrid w:val="0"/>
        <w:spacing w:line="560" w:lineRule="exac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4"/>
        <w:spacing w:before="270" w:line="240" w:lineRule="atLeast"/>
        <w:rPr>
          <w:color w:val="auto"/>
          <w:sz w:val="27"/>
          <w:szCs w:val="27"/>
          <w:highlight w:val="none"/>
        </w:rPr>
      </w:pPr>
      <w:bookmarkStart w:id="551" w:name="_Toc14474"/>
      <w:bookmarkStart w:id="552" w:name="_Toc76459766"/>
      <w:bookmarkStart w:id="553" w:name="_Toc2092"/>
      <w:bookmarkStart w:id="554" w:name="_Toc9608"/>
      <w:bookmarkStart w:id="555" w:name="_Toc12737"/>
      <w:bookmarkStart w:id="556" w:name="_Toc25527"/>
      <w:bookmarkStart w:id="557" w:name="_Toc6698"/>
      <w:bookmarkStart w:id="558" w:name="_Toc13225"/>
      <w:bookmarkStart w:id="559" w:name="_Toc19872"/>
      <w:r>
        <w:rPr>
          <w:rFonts w:hint="eastAsia"/>
          <w:b w:val="0"/>
          <w:bCs w:val="0"/>
          <w:color w:val="auto"/>
          <w:sz w:val="27"/>
          <w:szCs w:val="27"/>
          <w:highlight w:val="none"/>
          <w:shd w:val="clear" w:color="auto" w:fill="FFFFFF"/>
        </w:rPr>
        <w:t>成都市温江区财政局关于公布温江区首批支持中小企业政府采购信用融资银行名单的公告</w:t>
      </w:r>
      <w:bookmarkEnd w:id="551"/>
      <w:bookmarkEnd w:id="552"/>
      <w:bookmarkEnd w:id="553"/>
      <w:bookmarkEnd w:id="554"/>
      <w:bookmarkEnd w:id="555"/>
      <w:bookmarkEnd w:id="556"/>
      <w:bookmarkEnd w:id="557"/>
      <w:bookmarkEnd w:id="558"/>
      <w:bookmarkEnd w:id="559"/>
    </w:p>
    <w:p>
      <w:pPr>
        <w:spacing w:before="270"/>
        <w:rPr>
          <w:color w:val="auto"/>
          <w:sz w:val="21"/>
          <w:szCs w:val="21"/>
          <w:highlight w:val="none"/>
        </w:rPr>
      </w:pPr>
      <w:r>
        <w:rPr>
          <w:rFonts w:hint="eastAsia" w:ascii="方正仿宋简体" w:eastAsia="方正仿宋简体"/>
          <w:color w:val="auto"/>
          <w:sz w:val="28"/>
          <w:szCs w:val="28"/>
          <w:highlight w:val="none"/>
          <w:shd w:val="clear" w:color="auto" w:fill="FFFFFF"/>
        </w:rPr>
        <w:t xml:space="preserve">    按照《成都市温江区支持中小企业政府采购信用融资实施方案》有关规定，我局于2019年7月11日公开发布征集温江区政府采购信用融资银行的公告，截止8月7日共收到7家银行的报名材料，现将名单公布如下：</w:t>
      </w:r>
    </w:p>
    <w:tbl>
      <w:tblPr>
        <w:tblStyle w:val="17"/>
        <w:tblW w:w="0" w:type="auto"/>
        <w:tblInd w:w="187" w:type="dxa"/>
        <w:tblLayout w:type="fixed"/>
        <w:tblCellMar>
          <w:top w:w="15" w:type="dxa"/>
          <w:left w:w="15" w:type="dxa"/>
          <w:bottom w:w="15" w:type="dxa"/>
          <w:right w:w="15" w:type="dxa"/>
        </w:tblCellMar>
      </w:tblPr>
      <w:tblGrid>
        <w:gridCol w:w="585"/>
        <w:gridCol w:w="1474"/>
        <w:gridCol w:w="1706"/>
        <w:gridCol w:w="928"/>
        <w:gridCol w:w="1822"/>
        <w:gridCol w:w="1819"/>
      </w:tblGrid>
      <w:tr>
        <w:tblPrEx>
          <w:tblCellMar>
            <w:top w:w="15" w:type="dxa"/>
            <w:left w:w="15" w:type="dxa"/>
            <w:bottom w:w="15" w:type="dxa"/>
            <w:right w:w="15" w:type="dxa"/>
          </w:tblCellMar>
        </w:tblPrEx>
        <w:trPr>
          <w:trHeight w:val="700" w:hRule="atLeast"/>
        </w:trPr>
        <w:tc>
          <w:tcPr>
            <w:tcW w:w="585" w:type="dxa"/>
            <w:tcBorders>
              <w:top w:val="single" w:color="000000" w:sz="8" w:space="0"/>
              <w:left w:val="single" w:color="000000" w:sz="8" w:space="0"/>
              <w:bottom w:val="single" w:color="000000" w:sz="8" w:space="0"/>
              <w:right w:val="single" w:color="000000"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序号</w:t>
            </w:r>
          </w:p>
        </w:tc>
        <w:tc>
          <w:tcPr>
            <w:tcW w:w="1474"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银行名称</w:t>
            </w:r>
          </w:p>
        </w:tc>
        <w:tc>
          <w:tcPr>
            <w:tcW w:w="1706"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部门名称</w:t>
            </w:r>
          </w:p>
        </w:tc>
        <w:tc>
          <w:tcPr>
            <w:tcW w:w="928"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联系人</w:t>
            </w:r>
          </w:p>
        </w:tc>
        <w:tc>
          <w:tcPr>
            <w:tcW w:w="1822"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联系电话</w:t>
            </w:r>
          </w:p>
        </w:tc>
        <w:tc>
          <w:tcPr>
            <w:tcW w:w="1819"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微软雅黑" w:hAnsi="微软雅黑" w:eastAsia="微软雅黑"/>
                <w:b/>
                <w:bCs/>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公司银行部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徐文博</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18628071700、028-82682256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98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2</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中国工商银行股份有限公司成都温江支行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法人营销部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席蕾</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13194885084、028-86291335</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3</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中国农业银行股份有限公司成都温江支行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向淑阳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13908185957、028-63931924</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4</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公司金融部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涂杰钧</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18200571237、028-82725091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5</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中国建设银行股份有限公司成都温江支行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普惠金融事业部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杨冰浩</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18382396093、028-82727576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6</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交通银行股份有限公司成都温江支行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公司科</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吴晋阳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13880416649、028-82764348</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7</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成都农村商业银行股份有限公司温江支行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郭金芬</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13568999424、028-82721831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bl>
    <w:p>
      <w:pPr>
        <w:spacing w:line="560" w:lineRule="atLeast"/>
        <w:ind w:firstLine="560"/>
        <w:rPr>
          <w:rFonts w:ascii="Calibri" w:hAnsi="Calibri"/>
          <w:color w:val="auto"/>
          <w:kern w:val="2"/>
          <w:sz w:val="21"/>
          <w:szCs w:val="21"/>
          <w:highlight w:val="none"/>
        </w:rPr>
      </w:pPr>
      <w:r>
        <w:rPr>
          <w:rFonts w:hint="eastAsia" w:ascii="方正仿宋简体" w:eastAsia="方正仿宋简体"/>
          <w:color w:val="auto"/>
          <w:sz w:val="28"/>
          <w:szCs w:val="28"/>
          <w:highlight w:val="none"/>
          <w:shd w:val="clear" w:color="auto" w:fill="FFFFFF"/>
        </w:rPr>
        <w:t>即日起，参与温江区政府采购项目的中标（成交）供应商在采购结果公告发布或领取中标（成交）通知书后，若有贷款融资需求，即可联系上述银行咨询贷款融资事宜。</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注：成都市财政局已于2019年6月28日公布成都市首批在线开展政府采购信用融资业务银行名单（详见附件），参与温江区政府采购项目的中标（成交）供应商也可联系市级名单内融资机构咨询贷款融资事宜。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成都市温江区财政局</w:t>
      </w:r>
    </w:p>
    <w:p>
      <w:pPr>
        <w:spacing w:line="560" w:lineRule="atLeast"/>
        <w:rPr>
          <w:color w:val="auto"/>
          <w:highlight w:val="none"/>
        </w:rPr>
      </w:pPr>
      <w:r>
        <w:rPr>
          <w:rFonts w:hint="eastAsia" w:ascii="方正仿宋简体" w:eastAsia="方正仿宋简体"/>
          <w:color w:val="auto"/>
          <w:sz w:val="28"/>
          <w:szCs w:val="28"/>
          <w:highlight w:val="none"/>
          <w:shd w:val="clear" w:color="auto" w:fill="FFFFFF"/>
        </w:rPr>
        <w:t xml:space="preserve">                                             2019年8月8日</w:t>
      </w:r>
    </w:p>
    <w:p>
      <w:pPr>
        <w:rPr>
          <w:color w:val="auto"/>
          <w:highlight w:val="none"/>
        </w:rPr>
      </w:pPr>
      <w:r>
        <w:rPr>
          <w:color w:val="auto"/>
          <w:highlight w:val="none"/>
        </w:rPr>
        <w:t xml:space="preserve"> </w:t>
      </w:r>
    </w:p>
    <w:p>
      <w:pPr>
        <w:rPr>
          <w:color w:val="auto"/>
          <w:highlight w:val="none"/>
        </w:rPr>
      </w:pPr>
    </w:p>
    <w:p>
      <w:pPr>
        <w:pStyle w:val="3"/>
        <w:rPr>
          <w:rFonts w:hint="eastAsia"/>
          <w:color w:val="auto"/>
          <w:highlight w:val="none"/>
        </w:rPr>
      </w:pPr>
    </w:p>
    <w:p>
      <w:pPr>
        <w:rPr>
          <w:color w:val="auto"/>
          <w:highlight w:val="none"/>
        </w:rPr>
      </w:pPr>
    </w:p>
    <w:p>
      <w:pPr>
        <w:rPr>
          <w:color w:val="auto"/>
          <w:highlight w:val="none"/>
        </w:rPr>
      </w:pPr>
    </w:p>
    <w:p>
      <w:pPr>
        <w:rPr>
          <w:color w:val="auto"/>
          <w:highlight w:val="none"/>
        </w:rPr>
      </w:pPr>
    </w:p>
    <w:sectPr>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
    <w:altName w:val="仿宋"/>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86"/>
    <w:family w:val="swiss"/>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highlight w:val="white"/>
      </w:rPr>
      <w:instrText xml:space="preserve">PAGE  </w:instrText>
    </w:r>
    <w:r>
      <w:fldChar w:fldCharType="separate"/>
    </w:r>
    <w:r>
      <w:rPr>
        <w:rStyle w:val="20"/>
        <w:highlight w:val="white"/>
      </w:rPr>
      <w:t>92</w:t>
    </w:r>
    <w:r>
      <w:fldChar w:fldCharType="end"/>
    </w:r>
  </w:p>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5211003"/>
    </w:sdtPr>
    <w:sdtContent>
      <w:p>
        <w:pPr>
          <w:pStyle w:val="12"/>
          <w:ind w:firstLine="360"/>
          <w:jc w:val="center"/>
        </w:pPr>
        <w:r>
          <w:fldChar w:fldCharType="begin"/>
        </w:r>
        <w:r>
          <w:instrText xml:space="preserve">PAGE   \* MERGEFORMAT</w:instrText>
        </w:r>
        <w:r>
          <w:fldChar w:fldCharType="separate"/>
        </w:r>
        <w:r>
          <w:rPr>
            <w:lang w:val="zh-CN"/>
          </w:rPr>
          <w:t>5</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9983220"/>
    </w:sdtPr>
    <w:sdtContent>
      <w:sdt>
        <w:sdtPr>
          <w:id w:val="-1669238322"/>
        </w:sdtPr>
        <w:sdtContent>
          <w:p>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41</w:t>
            </w:r>
            <w:r>
              <w:rPr>
                <w:b/>
                <w:bCs/>
                <w:sz w:val="24"/>
                <w:szCs w:val="24"/>
              </w:rPr>
              <w:fldChar w:fldCharType="end"/>
            </w:r>
          </w:p>
        </w:sdtContent>
      </w:sdt>
    </w:sdtContent>
  </w:sdt>
  <w:p>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640"/>
      <w:jc w:val="center"/>
    </w:pPr>
    <w:r>
      <w:fldChar w:fldCharType="begin"/>
    </w:r>
    <w:r>
      <w:instrText xml:space="preserve">PAGE   \* MERGEFORMAT</w:instrText>
    </w:r>
    <w:r>
      <w:fldChar w:fldCharType="separate"/>
    </w:r>
    <w:r>
      <w:rPr>
        <w:lang w:val="zh-CN"/>
      </w:rPr>
      <w:t>79</w:t>
    </w:r>
    <w:r>
      <w:rPr>
        <w:lang w:val="zh-CN"/>
      </w:rPr>
      <w:fldChar w:fldCharType="end"/>
    </w:r>
  </w:p>
  <w:p>
    <w:pPr>
      <w:pStyle w:val="12"/>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highlight w:val="white"/>
      </w:rPr>
      <w:instrText xml:space="preserve">PAGE  </w:instrText>
    </w:r>
    <w:r>
      <w:fldChar w:fldCharType="separate"/>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rPr>
        <w:highlight w:val="white"/>
      </w:rPr>
      <w:instrText xml:space="preserve"> PAGE   \* MERGEFORMAT </w:instrText>
    </w:r>
    <w:r>
      <w:fldChar w:fldCharType="separate"/>
    </w:r>
    <w:r>
      <w:rPr>
        <w:highlight w:val="white"/>
        <w:lang w:val="zh-CN"/>
      </w:rPr>
      <w:t>1</w:t>
    </w:r>
    <w:r>
      <w:rPr>
        <w:lang w:val="zh-CN"/>
      </w:rP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8627214"/>
    </w:sdtPr>
    <w:sdtContent>
      <w:p>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8627214"/>
    </w:sdtPr>
    <w:sdtContent>
      <w:p>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pPr>
      <w:pStyle w:val="1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2DB72"/>
    <w:multiLevelType w:val="singleLevel"/>
    <w:tmpl w:val="9302DB72"/>
    <w:lvl w:ilvl="0" w:tentative="0">
      <w:start w:val="1"/>
      <w:numFmt w:val="chineseCounting"/>
      <w:suff w:val="nothing"/>
      <w:lvlText w:val="%1、"/>
      <w:lvlJc w:val="left"/>
      <w:rPr>
        <w:rFonts w:hint="eastAsia"/>
      </w:rPr>
    </w:lvl>
  </w:abstractNum>
  <w:abstractNum w:abstractNumId="1">
    <w:nsid w:val="AB1EFBBF"/>
    <w:multiLevelType w:val="singleLevel"/>
    <w:tmpl w:val="AB1EFBBF"/>
    <w:lvl w:ilvl="0" w:tentative="0">
      <w:start w:val="1"/>
      <w:numFmt w:val="decimal"/>
      <w:suff w:val="nothing"/>
      <w:lvlText w:val="%1、"/>
      <w:lvlJc w:val="left"/>
    </w:lvl>
  </w:abstractNum>
  <w:abstractNum w:abstractNumId="2">
    <w:nsid w:val="B0512D14"/>
    <w:multiLevelType w:val="singleLevel"/>
    <w:tmpl w:val="B0512D14"/>
    <w:lvl w:ilvl="0" w:tentative="0">
      <w:start w:val="1"/>
      <w:numFmt w:val="decimal"/>
      <w:lvlText w:val="%1"/>
      <w:lvlJc w:val="left"/>
      <w:pPr>
        <w:tabs>
          <w:tab w:val="left" w:pos="420"/>
        </w:tabs>
        <w:ind w:left="425" w:hanging="425"/>
      </w:pPr>
      <w:rPr>
        <w:rFonts w:hint="default"/>
      </w:rPr>
    </w:lvl>
  </w:abstractNum>
  <w:abstractNum w:abstractNumId="3">
    <w:nsid w:val="D6D6624F"/>
    <w:multiLevelType w:val="singleLevel"/>
    <w:tmpl w:val="D6D6624F"/>
    <w:lvl w:ilvl="0" w:tentative="0">
      <w:start w:val="1"/>
      <w:numFmt w:val="chineseCounting"/>
      <w:suff w:val="nothing"/>
      <w:lvlText w:val="%1、"/>
      <w:lvlJc w:val="left"/>
      <w:rPr>
        <w:rFonts w:hint="eastAsia"/>
      </w:rPr>
    </w:lvl>
  </w:abstractNum>
  <w:abstractNum w:abstractNumId="4">
    <w:nsid w:val="DD337C3B"/>
    <w:multiLevelType w:val="singleLevel"/>
    <w:tmpl w:val="DD337C3B"/>
    <w:lvl w:ilvl="0" w:tentative="0">
      <w:start w:val="1"/>
      <w:numFmt w:val="decimal"/>
      <w:suff w:val="nothing"/>
      <w:lvlText w:val="%1、"/>
      <w:lvlJc w:val="left"/>
    </w:lvl>
  </w:abstractNum>
  <w:abstractNum w:abstractNumId="5">
    <w:nsid w:val="E965CE75"/>
    <w:multiLevelType w:val="singleLevel"/>
    <w:tmpl w:val="E965CE75"/>
    <w:lvl w:ilvl="0" w:tentative="0">
      <w:start w:val="1"/>
      <w:numFmt w:val="decimal"/>
      <w:suff w:val="nothing"/>
      <w:lvlText w:val="%1、"/>
      <w:lvlJc w:val="left"/>
    </w:lvl>
  </w:abstractNum>
  <w:abstractNum w:abstractNumId="6">
    <w:nsid w:val="EECBE888"/>
    <w:multiLevelType w:val="singleLevel"/>
    <w:tmpl w:val="EECBE888"/>
    <w:lvl w:ilvl="0" w:tentative="0">
      <w:start w:val="2"/>
      <w:numFmt w:val="decimal"/>
      <w:suff w:val="nothing"/>
      <w:lvlText w:val="%1、"/>
      <w:lvlJc w:val="left"/>
    </w:lvl>
  </w:abstractNum>
  <w:abstractNum w:abstractNumId="7">
    <w:nsid w:val="F0B97EC2"/>
    <w:multiLevelType w:val="singleLevel"/>
    <w:tmpl w:val="F0B97EC2"/>
    <w:lvl w:ilvl="0" w:tentative="0">
      <w:start w:val="1"/>
      <w:numFmt w:val="decimal"/>
      <w:lvlText w:val="%1"/>
      <w:lvlJc w:val="left"/>
      <w:pPr>
        <w:tabs>
          <w:tab w:val="left" w:pos="420"/>
        </w:tabs>
        <w:ind w:left="425" w:hanging="425"/>
      </w:pPr>
      <w:rPr>
        <w:rFonts w:hint="default"/>
      </w:rPr>
    </w:lvl>
  </w:abstractNum>
  <w:abstractNum w:abstractNumId="8">
    <w:nsid w:val="FBBC9188"/>
    <w:multiLevelType w:val="singleLevel"/>
    <w:tmpl w:val="FBBC9188"/>
    <w:lvl w:ilvl="0" w:tentative="0">
      <w:start w:val="1"/>
      <w:numFmt w:val="decimal"/>
      <w:suff w:val="nothing"/>
      <w:lvlText w:val="%1、"/>
      <w:lvlJc w:val="left"/>
    </w:lvl>
  </w:abstractNum>
  <w:abstractNum w:abstractNumId="9">
    <w:nsid w:val="FBD4BFBD"/>
    <w:multiLevelType w:val="singleLevel"/>
    <w:tmpl w:val="FBD4BFBD"/>
    <w:lvl w:ilvl="0" w:tentative="0">
      <w:start w:val="1"/>
      <w:numFmt w:val="decimal"/>
      <w:suff w:val="nothing"/>
      <w:lvlText w:val="%1、"/>
      <w:lvlJc w:val="left"/>
    </w:lvl>
  </w:abstractNum>
  <w:abstractNum w:abstractNumId="10">
    <w:nsid w:val="FD542297"/>
    <w:multiLevelType w:val="singleLevel"/>
    <w:tmpl w:val="FD542297"/>
    <w:lvl w:ilvl="0" w:tentative="0">
      <w:start w:val="1"/>
      <w:numFmt w:val="chineseCounting"/>
      <w:suff w:val="nothing"/>
      <w:lvlText w:val="%1、"/>
      <w:lvlJc w:val="left"/>
      <w:pPr>
        <w:ind w:left="148"/>
      </w:pPr>
      <w:rPr>
        <w:rFonts w:hint="eastAsia"/>
      </w:rPr>
    </w:lvl>
  </w:abstractNum>
  <w:abstractNum w:abstractNumId="11">
    <w:nsid w:val="FFA900B9"/>
    <w:multiLevelType w:val="singleLevel"/>
    <w:tmpl w:val="FFA900B9"/>
    <w:lvl w:ilvl="0" w:tentative="0">
      <w:start w:val="1"/>
      <w:numFmt w:val="decimal"/>
      <w:suff w:val="nothing"/>
      <w:lvlText w:val="%1、"/>
      <w:lvlJc w:val="left"/>
    </w:lvl>
  </w:abstractNum>
  <w:abstractNum w:abstractNumId="1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
    <w:nsid w:val="19C55BA9"/>
    <w:multiLevelType w:val="multilevel"/>
    <w:tmpl w:val="19C55BA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1">
    <w:nsid w:val="363F0207"/>
    <w:multiLevelType w:val="singleLevel"/>
    <w:tmpl w:val="363F0207"/>
    <w:lvl w:ilvl="0" w:tentative="0">
      <w:start w:val="1"/>
      <w:numFmt w:val="decimal"/>
      <w:suff w:val="nothing"/>
      <w:lvlText w:val="%1、"/>
      <w:lvlJc w:val="left"/>
    </w:lvl>
  </w:abstractNum>
  <w:abstractNum w:abstractNumId="2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8">
    <w:nsid w:val="5283430A"/>
    <w:multiLevelType w:val="multilevel"/>
    <w:tmpl w:val="5283430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5DCE77AF"/>
    <w:multiLevelType w:val="multilevel"/>
    <w:tmpl w:val="5DCE77A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5F7BA310"/>
    <w:multiLevelType w:val="singleLevel"/>
    <w:tmpl w:val="5F7BA310"/>
    <w:lvl w:ilvl="0" w:tentative="0">
      <w:start w:val="3"/>
      <w:numFmt w:val="decimal"/>
      <w:suff w:val="space"/>
      <w:lvlText w:val="第%1章"/>
      <w:lvlJc w:val="left"/>
    </w:lvl>
  </w:abstractNum>
  <w:abstractNum w:abstractNumId="3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6">
    <w:nsid w:val="670BACA5"/>
    <w:multiLevelType w:val="singleLevel"/>
    <w:tmpl w:val="670BACA5"/>
    <w:lvl w:ilvl="0" w:tentative="0">
      <w:start w:val="1"/>
      <w:numFmt w:val="chineseCounting"/>
      <w:suff w:val="nothing"/>
      <w:lvlText w:val="%1、"/>
      <w:lvlJc w:val="left"/>
      <w:rPr>
        <w:rFonts w:hint="eastAsia"/>
      </w:rPr>
    </w:lvl>
  </w:abstractNum>
  <w:abstractNum w:abstractNumId="37">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39">
    <w:nsid w:val="6B8CC3BB"/>
    <w:multiLevelType w:val="singleLevel"/>
    <w:tmpl w:val="6B8CC3BB"/>
    <w:lvl w:ilvl="0" w:tentative="0">
      <w:start w:val="2"/>
      <w:numFmt w:val="chineseCounting"/>
      <w:suff w:val="space"/>
      <w:lvlText w:val="第%1章"/>
      <w:lvlJc w:val="left"/>
      <w:rPr>
        <w:rFonts w:hint="eastAsia"/>
      </w:rPr>
    </w:lvl>
  </w:abstractNum>
  <w:abstractNum w:abstractNumId="40">
    <w:nsid w:val="78645AC5"/>
    <w:multiLevelType w:val="multilevel"/>
    <w:tmpl w:val="78645AC5"/>
    <w:lvl w:ilvl="0" w:tentative="0">
      <w:start w:val="2"/>
      <w:numFmt w:val="japaneseCounting"/>
      <w:lvlText w:val="%1、"/>
      <w:lvlJc w:val="left"/>
      <w:pPr>
        <w:ind w:left="1280" w:hanging="720"/>
      </w:pPr>
    </w:lvl>
    <w:lvl w:ilvl="1" w:tentative="0">
      <w:start w:val="1"/>
      <w:numFmt w:val="japaneseCounting"/>
      <w:lvlText w:val="（%2）"/>
      <w:lvlJc w:val="left"/>
      <w:pPr>
        <w:ind w:left="1820" w:hanging="84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2"/>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5"/>
  </w:num>
  <w:num w:numId="10">
    <w:abstractNumId w:val="30"/>
  </w:num>
  <w:num w:numId="11">
    <w:abstractNumId w:val="35"/>
  </w:num>
  <w:num w:numId="12">
    <w:abstractNumId w:val="32"/>
  </w:num>
  <w:num w:numId="13">
    <w:abstractNumId w:val="0"/>
  </w:num>
  <w:num w:numId="14">
    <w:abstractNumId w:val="10"/>
  </w:num>
  <w:num w:numId="15">
    <w:abstractNumId w:val="36"/>
  </w:num>
  <w:num w:numId="16">
    <w:abstractNumId w:val="28"/>
  </w:num>
  <w:num w:numId="17">
    <w:abstractNumId w:val="16"/>
  </w:num>
  <w:num w:numId="18">
    <w:abstractNumId w:val="31"/>
  </w:num>
  <w:num w:numId="19">
    <w:abstractNumId w:val="39"/>
  </w:num>
  <w:num w:numId="20">
    <w:abstractNumId w:val="6"/>
  </w:num>
  <w:num w:numId="21">
    <w:abstractNumId w:val="7"/>
  </w:num>
  <w:num w:numId="22">
    <w:abstractNumId w:val="4"/>
  </w:num>
  <w:num w:numId="23">
    <w:abstractNumId w:val="11"/>
  </w:num>
  <w:num w:numId="24">
    <w:abstractNumId w:val="9"/>
  </w:num>
  <w:num w:numId="25">
    <w:abstractNumId w:val="2"/>
  </w:num>
  <w:num w:numId="26">
    <w:abstractNumId w:val="1"/>
  </w:num>
  <w:num w:numId="27">
    <w:abstractNumId w:val="21"/>
  </w:num>
  <w:num w:numId="28">
    <w:abstractNumId w:val="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48610D"/>
    <w:rsid w:val="00091187"/>
    <w:rsid w:val="00096B7D"/>
    <w:rsid w:val="000B0260"/>
    <w:rsid w:val="00165D17"/>
    <w:rsid w:val="002B5DA9"/>
    <w:rsid w:val="0040568A"/>
    <w:rsid w:val="005B0928"/>
    <w:rsid w:val="005B62EE"/>
    <w:rsid w:val="0072544D"/>
    <w:rsid w:val="007B461F"/>
    <w:rsid w:val="008F7C4E"/>
    <w:rsid w:val="00917D8F"/>
    <w:rsid w:val="009C1D5C"/>
    <w:rsid w:val="009E466C"/>
    <w:rsid w:val="00AE58BC"/>
    <w:rsid w:val="00D26FD0"/>
    <w:rsid w:val="00D94541"/>
    <w:rsid w:val="010646BD"/>
    <w:rsid w:val="01161C0C"/>
    <w:rsid w:val="011E43B8"/>
    <w:rsid w:val="01275530"/>
    <w:rsid w:val="01292A97"/>
    <w:rsid w:val="012D071F"/>
    <w:rsid w:val="0136736C"/>
    <w:rsid w:val="01580A86"/>
    <w:rsid w:val="015C3DB3"/>
    <w:rsid w:val="016443C0"/>
    <w:rsid w:val="01755ACA"/>
    <w:rsid w:val="01814FF9"/>
    <w:rsid w:val="01A13D6E"/>
    <w:rsid w:val="01BF1A0A"/>
    <w:rsid w:val="01E82102"/>
    <w:rsid w:val="01F3339A"/>
    <w:rsid w:val="01FE51F0"/>
    <w:rsid w:val="02040C65"/>
    <w:rsid w:val="0206713A"/>
    <w:rsid w:val="02120984"/>
    <w:rsid w:val="0246422D"/>
    <w:rsid w:val="02654DF8"/>
    <w:rsid w:val="02667CC1"/>
    <w:rsid w:val="02740CB9"/>
    <w:rsid w:val="027648E5"/>
    <w:rsid w:val="028153A6"/>
    <w:rsid w:val="02834D45"/>
    <w:rsid w:val="028862A7"/>
    <w:rsid w:val="02A238A0"/>
    <w:rsid w:val="02C975A3"/>
    <w:rsid w:val="02D07ACC"/>
    <w:rsid w:val="03024D84"/>
    <w:rsid w:val="03083240"/>
    <w:rsid w:val="03097D7A"/>
    <w:rsid w:val="030D1BD2"/>
    <w:rsid w:val="031722B4"/>
    <w:rsid w:val="033073D0"/>
    <w:rsid w:val="036D611B"/>
    <w:rsid w:val="036E71B1"/>
    <w:rsid w:val="0370442B"/>
    <w:rsid w:val="037D49D8"/>
    <w:rsid w:val="03887114"/>
    <w:rsid w:val="03953662"/>
    <w:rsid w:val="039A595D"/>
    <w:rsid w:val="03A00ADC"/>
    <w:rsid w:val="03A33C3E"/>
    <w:rsid w:val="03AC1457"/>
    <w:rsid w:val="03BD4C8F"/>
    <w:rsid w:val="03EB3D9A"/>
    <w:rsid w:val="03F14FFF"/>
    <w:rsid w:val="03F30027"/>
    <w:rsid w:val="03F67D1B"/>
    <w:rsid w:val="03FA50F4"/>
    <w:rsid w:val="03FD6281"/>
    <w:rsid w:val="040A32F5"/>
    <w:rsid w:val="040D553C"/>
    <w:rsid w:val="04166B6C"/>
    <w:rsid w:val="04200890"/>
    <w:rsid w:val="04256CD2"/>
    <w:rsid w:val="044A75EC"/>
    <w:rsid w:val="044B513A"/>
    <w:rsid w:val="044E7800"/>
    <w:rsid w:val="046929DC"/>
    <w:rsid w:val="046C6944"/>
    <w:rsid w:val="048A0322"/>
    <w:rsid w:val="04A62969"/>
    <w:rsid w:val="04A80CC6"/>
    <w:rsid w:val="04A826E5"/>
    <w:rsid w:val="04AF7751"/>
    <w:rsid w:val="04B2100D"/>
    <w:rsid w:val="04B26183"/>
    <w:rsid w:val="04BB368B"/>
    <w:rsid w:val="04CF4B89"/>
    <w:rsid w:val="04D814AF"/>
    <w:rsid w:val="04D95304"/>
    <w:rsid w:val="04E40FEA"/>
    <w:rsid w:val="04EC5472"/>
    <w:rsid w:val="04F44056"/>
    <w:rsid w:val="04F76342"/>
    <w:rsid w:val="04F967EE"/>
    <w:rsid w:val="04FC276D"/>
    <w:rsid w:val="0519735F"/>
    <w:rsid w:val="053539DD"/>
    <w:rsid w:val="05353CC8"/>
    <w:rsid w:val="05371BC4"/>
    <w:rsid w:val="053C401F"/>
    <w:rsid w:val="05417585"/>
    <w:rsid w:val="055E164E"/>
    <w:rsid w:val="056A26AE"/>
    <w:rsid w:val="05776C01"/>
    <w:rsid w:val="057A4182"/>
    <w:rsid w:val="057B61D5"/>
    <w:rsid w:val="059233D3"/>
    <w:rsid w:val="05A728D7"/>
    <w:rsid w:val="05AC7A27"/>
    <w:rsid w:val="05B4332C"/>
    <w:rsid w:val="05DE05EB"/>
    <w:rsid w:val="05E34260"/>
    <w:rsid w:val="05E66CC8"/>
    <w:rsid w:val="05F6620A"/>
    <w:rsid w:val="05F9455E"/>
    <w:rsid w:val="060F6629"/>
    <w:rsid w:val="061367C1"/>
    <w:rsid w:val="061E5C8A"/>
    <w:rsid w:val="062729E7"/>
    <w:rsid w:val="062B3724"/>
    <w:rsid w:val="0639703D"/>
    <w:rsid w:val="064037DE"/>
    <w:rsid w:val="064D48F4"/>
    <w:rsid w:val="0652026E"/>
    <w:rsid w:val="065E5A55"/>
    <w:rsid w:val="06642CFF"/>
    <w:rsid w:val="067C3714"/>
    <w:rsid w:val="068A2FE4"/>
    <w:rsid w:val="06975DEE"/>
    <w:rsid w:val="069C1941"/>
    <w:rsid w:val="06CA3326"/>
    <w:rsid w:val="06F4295D"/>
    <w:rsid w:val="06FB3281"/>
    <w:rsid w:val="07004EFA"/>
    <w:rsid w:val="07051F00"/>
    <w:rsid w:val="071679A5"/>
    <w:rsid w:val="0717536C"/>
    <w:rsid w:val="07213414"/>
    <w:rsid w:val="07304CD4"/>
    <w:rsid w:val="073E0117"/>
    <w:rsid w:val="07595908"/>
    <w:rsid w:val="0771429D"/>
    <w:rsid w:val="07734F81"/>
    <w:rsid w:val="077758D2"/>
    <w:rsid w:val="077B5AFC"/>
    <w:rsid w:val="07904E11"/>
    <w:rsid w:val="07913A26"/>
    <w:rsid w:val="0797558A"/>
    <w:rsid w:val="07AC49D6"/>
    <w:rsid w:val="07AD416F"/>
    <w:rsid w:val="07AF7C88"/>
    <w:rsid w:val="07B06E97"/>
    <w:rsid w:val="07B8001D"/>
    <w:rsid w:val="07BE4CCC"/>
    <w:rsid w:val="07BF65E8"/>
    <w:rsid w:val="07C11154"/>
    <w:rsid w:val="0811203C"/>
    <w:rsid w:val="082A196E"/>
    <w:rsid w:val="082A3F59"/>
    <w:rsid w:val="082B5EB1"/>
    <w:rsid w:val="08374374"/>
    <w:rsid w:val="08381BDD"/>
    <w:rsid w:val="08387BD6"/>
    <w:rsid w:val="08642D82"/>
    <w:rsid w:val="087026DA"/>
    <w:rsid w:val="087E6CB5"/>
    <w:rsid w:val="0880378F"/>
    <w:rsid w:val="08904212"/>
    <w:rsid w:val="0893029E"/>
    <w:rsid w:val="08951AFB"/>
    <w:rsid w:val="089D230E"/>
    <w:rsid w:val="08AD157F"/>
    <w:rsid w:val="08B46AD9"/>
    <w:rsid w:val="08BE507D"/>
    <w:rsid w:val="08CF4DEB"/>
    <w:rsid w:val="08E02E5A"/>
    <w:rsid w:val="08E65F8D"/>
    <w:rsid w:val="08EA7425"/>
    <w:rsid w:val="08F86EB3"/>
    <w:rsid w:val="08FA1516"/>
    <w:rsid w:val="08FF19A6"/>
    <w:rsid w:val="090058CC"/>
    <w:rsid w:val="090777D4"/>
    <w:rsid w:val="09093634"/>
    <w:rsid w:val="090C1CBD"/>
    <w:rsid w:val="090E25DC"/>
    <w:rsid w:val="091614EE"/>
    <w:rsid w:val="09173121"/>
    <w:rsid w:val="0923304D"/>
    <w:rsid w:val="09247C61"/>
    <w:rsid w:val="0929363F"/>
    <w:rsid w:val="09293C78"/>
    <w:rsid w:val="092D4132"/>
    <w:rsid w:val="093B60A8"/>
    <w:rsid w:val="093C29E0"/>
    <w:rsid w:val="09434FC2"/>
    <w:rsid w:val="0956417B"/>
    <w:rsid w:val="097117FB"/>
    <w:rsid w:val="098132FD"/>
    <w:rsid w:val="098C51B0"/>
    <w:rsid w:val="098E75B6"/>
    <w:rsid w:val="099C7783"/>
    <w:rsid w:val="099E610E"/>
    <w:rsid w:val="09A77C97"/>
    <w:rsid w:val="09B63671"/>
    <w:rsid w:val="09BB40A9"/>
    <w:rsid w:val="09C56480"/>
    <w:rsid w:val="09D07958"/>
    <w:rsid w:val="09D417FF"/>
    <w:rsid w:val="09D6160B"/>
    <w:rsid w:val="09E923FD"/>
    <w:rsid w:val="09EA5F3C"/>
    <w:rsid w:val="0A0F7972"/>
    <w:rsid w:val="0A150BCB"/>
    <w:rsid w:val="0A1B78F3"/>
    <w:rsid w:val="0A1C1727"/>
    <w:rsid w:val="0A230725"/>
    <w:rsid w:val="0A327EA1"/>
    <w:rsid w:val="0A3C0275"/>
    <w:rsid w:val="0A4B6CD1"/>
    <w:rsid w:val="0A58624D"/>
    <w:rsid w:val="0A5E66F8"/>
    <w:rsid w:val="0A63115A"/>
    <w:rsid w:val="0A696234"/>
    <w:rsid w:val="0A6F1E58"/>
    <w:rsid w:val="0A701930"/>
    <w:rsid w:val="0A790EF1"/>
    <w:rsid w:val="0A8F1FEC"/>
    <w:rsid w:val="0A923179"/>
    <w:rsid w:val="0AA22DBF"/>
    <w:rsid w:val="0AA248C2"/>
    <w:rsid w:val="0AAF346B"/>
    <w:rsid w:val="0AB212B6"/>
    <w:rsid w:val="0AB30CDE"/>
    <w:rsid w:val="0ABC1CF3"/>
    <w:rsid w:val="0AD12316"/>
    <w:rsid w:val="0AD479B3"/>
    <w:rsid w:val="0ADA1EBB"/>
    <w:rsid w:val="0AE433DC"/>
    <w:rsid w:val="0B0114EA"/>
    <w:rsid w:val="0B1E32A3"/>
    <w:rsid w:val="0B245333"/>
    <w:rsid w:val="0B3410E7"/>
    <w:rsid w:val="0B416B31"/>
    <w:rsid w:val="0B491CFC"/>
    <w:rsid w:val="0B4F6839"/>
    <w:rsid w:val="0B545E54"/>
    <w:rsid w:val="0B565401"/>
    <w:rsid w:val="0B6608DC"/>
    <w:rsid w:val="0B792A0C"/>
    <w:rsid w:val="0B832E44"/>
    <w:rsid w:val="0B895133"/>
    <w:rsid w:val="0B8C698C"/>
    <w:rsid w:val="0B8D5649"/>
    <w:rsid w:val="0BA53D1B"/>
    <w:rsid w:val="0BB3162D"/>
    <w:rsid w:val="0BBC4DCA"/>
    <w:rsid w:val="0BD74B62"/>
    <w:rsid w:val="0BDD7F82"/>
    <w:rsid w:val="0BE82396"/>
    <w:rsid w:val="0BFD164B"/>
    <w:rsid w:val="0C0104A7"/>
    <w:rsid w:val="0C137C33"/>
    <w:rsid w:val="0C1451A3"/>
    <w:rsid w:val="0C274BD7"/>
    <w:rsid w:val="0C2B6E32"/>
    <w:rsid w:val="0C373A44"/>
    <w:rsid w:val="0C3A2691"/>
    <w:rsid w:val="0C611801"/>
    <w:rsid w:val="0C6632C1"/>
    <w:rsid w:val="0C6B6A22"/>
    <w:rsid w:val="0C6F6440"/>
    <w:rsid w:val="0C7E5F26"/>
    <w:rsid w:val="0C834D2E"/>
    <w:rsid w:val="0C874012"/>
    <w:rsid w:val="0C941D18"/>
    <w:rsid w:val="0C9D07E0"/>
    <w:rsid w:val="0CC12238"/>
    <w:rsid w:val="0CCC3ABF"/>
    <w:rsid w:val="0CCE448A"/>
    <w:rsid w:val="0CDB3C11"/>
    <w:rsid w:val="0CDE172F"/>
    <w:rsid w:val="0CF31F6E"/>
    <w:rsid w:val="0D0B1F21"/>
    <w:rsid w:val="0D2536D2"/>
    <w:rsid w:val="0D285C21"/>
    <w:rsid w:val="0D291879"/>
    <w:rsid w:val="0D320DDD"/>
    <w:rsid w:val="0D3A0A4B"/>
    <w:rsid w:val="0D3C6AD5"/>
    <w:rsid w:val="0D4971AA"/>
    <w:rsid w:val="0D4B02A0"/>
    <w:rsid w:val="0D4B6341"/>
    <w:rsid w:val="0D6978E3"/>
    <w:rsid w:val="0D7A4D23"/>
    <w:rsid w:val="0D857951"/>
    <w:rsid w:val="0D8D2442"/>
    <w:rsid w:val="0D8F71DE"/>
    <w:rsid w:val="0D9321F7"/>
    <w:rsid w:val="0D937A12"/>
    <w:rsid w:val="0DA24296"/>
    <w:rsid w:val="0DA26CE5"/>
    <w:rsid w:val="0DAD58AE"/>
    <w:rsid w:val="0DCC60D4"/>
    <w:rsid w:val="0DD57E0E"/>
    <w:rsid w:val="0DDD4C6B"/>
    <w:rsid w:val="0DE41608"/>
    <w:rsid w:val="0DEA4264"/>
    <w:rsid w:val="0DF0631B"/>
    <w:rsid w:val="0DF26B17"/>
    <w:rsid w:val="0DF756E5"/>
    <w:rsid w:val="0E0A25B2"/>
    <w:rsid w:val="0E0A2BB6"/>
    <w:rsid w:val="0E1554D1"/>
    <w:rsid w:val="0E303F99"/>
    <w:rsid w:val="0E306DED"/>
    <w:rsid w:val="0E462F8B"/>
    <w:rsid w:val="0E4755B3"/>
    <w:rsid w:val="0E590054"/>
    <w:rsid w:val="0E6A790B"/>
    <w:rsid w:val="0E6B6B31"/>
    <w:rsid w:val="0E743C60"/>
    <w:rsid w:val="0E821A65"/>
    <w:rsid w:val="0E8A443A"/>
    <w:rsid w:val="0E936136"/>
    <w:rsid w:val="0E9C26AA"/>
    <w:rsid w:val="0EA8605E"/>
    <w:rsid w:val="0EAC2E26"/>
    <w:rsid w:val="0EBD4F77"/>
    <w:rsid w:val="0EC7460F"/>
    <w:rsid w:val="0EC81D6F"/>
    <w:rsid w:val="0EC91BDA"/>
    <w:rsid w:val="0ED96C59"/>
    <w:rsid w:val="0EDB5E0A"/>
    <w:rsid w:val="0EE25C14"/>
    <w:rsid w:val="0EEB6F7D"/>
    <w:rsid w:val="0EF03CE2"/>
    <w:rsid w:val="0EF2507D"/>
    <w:rsid w:val="0EFE7A4D"/>
    <w:rsid w:val="0F072F04"/>
    <w:rsid w:val="0F0F463C"/>
    <w:rsid w:val="0F1A7D39"/>
    <w:rsid w:val="0F3066C7"/>
    <w:rsid w:val="0F321778"/>
    <w:rsid w:val="0F410EEB"/>
    <w:rsid w:val="0F44756F"/>
    <w:rsid w:val="0F447DC1"/>
    <w:rsid w:val="0F4C417B"/>
    <w:rsid w:val="0F690725"/>
    <w:rsid w:val="0F6945CD"/>
    <w:rsid w:val="0F6D2EE9"/>
    <w:rsid w:val="0F9032B3"/>
    <w:rsid w:val="0F9169A7"/>
    <w:rsid w:val="0FA51B2C"/>
    <w:rsid w:val="0FC579A7"/>
    <w:rsid w:val="0FC962D0"/>
    <w:rsid w:val="0FCB3C04"/>
    <w:rsid w:val="0FCC0D35"/>
    <w:rsid w:val="0FD979A8"/>
    <w:rsid w:val="0FDC3F31"/>
    <w:rsid w:val="0FE46C3B"/>
    <w:rsid w:val="10011D2B"/>
    <w:rsid w:val="10135BDA"/>
    <w:rsid w:val="10260D6F"/>
    <w:rsid w:val="103475E7"/>
    <w:rsid w:val="10362136"/>
    <w:rsid w:val="104A1D7F"/>
    <w:rsid w:val="10563CBE"/>
    <w:rsid w:val="105B730B"/>
    <w:rsid w:val="108153C2"/>
    <w:rsid w:val="10830C7C"/>
    <w:rsid w:val="108C2370"/>
    <w:rsid w:val="1093431F"/>
    <w:rsid w:val="109F6AE6"/>
    <w:rsid w:val="10A750D9"/>
    <w:rsid w:val="10AE2063"/>
    <w:rsid w:val="10C402CD"/>
    <w:rsid w:val="10C509EF"/>
    <w:rsid w:val="10CB6044"/>
    <w:rsid w:val="10E75F41"/>
    <w:rsid w:val="10EB0AB4"/>
    <w:rsid w:val="10EB368F"/>
    <w:rsid w:val="10EC4FD4"/>
    <w:rsid w:val="11074472"/>
    <w:rsid w:val="110C1389"/>
    <w:rsid w:val="1133037F"/>
    <w:rsid w:val="113907A5"/>
    <w:rsid w:val="114A7507"/>
    <w:rsid w:val="11520E33"/>
    <w:rsid w:val="11561FDE"/>
    <w:rsid w:val="116E2166"/>
    <w:rsid w:val="117E68C1"/>
    <w:rsid w:val="11923635"/>
    <w:rsid w:val="11AA536F"/>
    <w:rsid w:val="11B82475"/>
    <w:rsid w:val="11B86733"/>
    <w:rsid w:val="11CA4978"/>
    <w:rsid w:val="11D601FA"/>
    <w:rsid w:val="11EA55C7"/>
    <w:rsid w:val="11F602D6"/>
    <w:rsid w:val="11FB2711"/>
    <w:rsid w:val="1205103C"/>
    <w:rsid w:val="1208444A"/>
    <w:rsid w:val="120B73C0"/>
    <w:rsid w:val="123051CA"/>
    <w:rsid w:val="123A482D"/>
    <w:rsid w:val="12413D6E"/>
    <w:rsid w:val="124476BB"/>
    <w:rsid w:val="12476FB6"/>
    <w:rsid w:val="12581567"/>
    <w:rsid w:val="126028B0"/>
    <w:rsid w:val="126F0CB0"/>
    <w:rsid w:val="1271621B"/>
    <w:rsid w:val="127A39C6"/>
    <w:rsid w:val="12820E25"/>
    <w:rsid w:val="12852F48"/>
    <w:rsid w:val="128F3839"/>
    <w:rsid w:val="12996196"/>
    <w:rsid w:val="12B24A1C"/>
    <w:rsid w:val="12B81F5C"/>
    <w:rsid w:val="12C27969"/>
    <w:rsid w:val="12E273A7"/>
    <w:rsid w:val="12FF3A59"/>
    <w:rsid w:val="13041F5F"/>
    <w:rsid w:val="130D05A4"/>
    <w:rsid w:val="131872D8"/>
    <w:rsid w:val="132A7CFD"/>
    <w:rsid w:val="134724AA"/>
    <w:rsid w:val="13482029"/>
    <w:rsid w:val="13524071"/>
    <w:rsid w:val="135B72E8"/>
    <w:rsid w:val="135E17E8"/>
    <w:rsid w:val="1362716E"/>
    <w:rsid w:val="138041BE"/>
    <w:rsid w:val="1383613A"/>
    <w:rsid w:val="13920D1E"/>
    <w:rsid w:val="13C4589F"/>
    <w:rsid w:val="13C73DD2"/>
    <w:rsid w:val="13CE6E68"/>
    <w:rsid w:val="13CF11C0"/>
    <w:rsid w:val="13D065DD"/>
    <w:rsid w:val="13D1003C"/>
    <w:rsid w:val="13DA1EDE"/>
    <w:rsid w:val="1402027E"/>
    <w:rsid w:val="140651A7"/>
    <w:rsid w:val="14101C26"/>
    <w:rsid w:val="14154D32"/>
    <w:rsid w:val="141B4C6E"/>
    <w:rsid w:val="141F6492"/>
    <w:rsid w:val="142165BE"/>
    <w:rsid w:val="14262CF2"/>
    <w:rsid w:val="142853E5"/>
    <w:rsid w:val="14334ADE"/>
    <w:rsid w:val="144D102B"/>
    <w:rsid w:val="144F27C2"/>
    <w:rsid w:val="14753220"/>
    <w:rsid w:val="14837EDB"/>
    <w:rsid w:val="148E617C"/>
    <w:rsid w:val="14957EE2"/>
    <w:rsid w:val="14985FF0"/>
    <w:rsid w:val="14A21529"/>
    <w:rsid w:val="14CC6019"/>
    <w:rsid w:val="14DB31C5"/>
    <w:rsid w:val="14EA2DEE"/>
    <w:rsid w:val="150B7334"/>
    <w:rsid w:val="151D6E7B"/>
    <w:rsid w:val="152232D6"/>
    <w:rsid w:val="152B6063"/>
    <w:rsid w:val="154079FA"/>
    <w:rsid w:val="15432ADD"/>
    <w:rsid w:val="154F57DC"/>
    <w:rsid w:val="155C38BE"/>
    <w:rsid w:val="15615F6A"/>
    <w:rsid w:val="15664A96"/>
    <w:rsid w:val="157E1C27"/>
    <w:rsid w:val="15900F0E"/>
    <w:rsid w:val="159F7D3F"/>
    <w:rsid w:val="15A575EF"/>
    <w:rsid w:val="15A70FAC"/>
    <w:rsid w:val="15B77563"/>
    <w:rsid w:val="15BF065D"/>
    <w:rsid w:val="15C87902"/>
    <w:rsid w:val="15CC3E2F"/>
    <w:rsid w:val="15F43703"/>
    <w:rsid w:val="15F740F2"/>
    <w:rsid w:val="15FC503E"/>
    <w:rsid w:val="161C618D"/>
    <w:rsid w:val="161E454C"/>
    <w:rsid w:val="162241DC"/>
    <w:rsid w:val="16290680"/>
    <w:rsid w:val="167A16D5"/>
    <w:rsid w:val="168D49B1"/>
    <w:rsid w:val="16982C4A"/>
    <w:rsid w:val="16A05927"/>
    <w:rsid w:val="16B43F76"/>
    <w:rsid w:val="16B96506"/>
    <w:rsid w:val="16BC7FED"/>
    <w:rsid w:val="16C331A5"/>
    <w:rsid w:val="16D2161B"/>
    <w:rsid w:val="16D35C47"/>
    <w:rsid w:val="16D42E04"/>
    <w:rsid w:val="16E95280"/>
    <w:rsid w:val="16EA4AA1"/>
    <w:rsid w:val="16F23C10"/>
    <w:rsid w:val="16F33AC6"/>
    <w:rsid w:val="1701056F"/>
    <w:rsid w:val="170E0EFC"/>
    <w:rsid w:val="171F48FB"/>
    <w:rsid w:val="172D033C"/>
    <w:rsid w:val="17306DD2"/>
    <w:rsid w:val="175C25EE"/>
    <w:rsid w:val="17625F3E"/>
    <w:rsid w:val="176378CD"/>
    <w:rsid w:val="176856DF"/>
    <w:rsid w:val="177C3771"/>
    <w:rsid w:val="178E771A"/>
    <w:rsid w:val="178F3B44"/>
    <w:rsid w:val="179341EA"/>
    <w:rsid w:val="179A0513"/>
    <w:rsid w:val="179B79D2"/>
    <w:rsid w:val="17A467DF"/>
    <w:rsid w:val="17C15522"/>
    <w:rsid w:val="17C67CA8"/>
    <w:rsid w:val="17D0448A"/>
    <w:rsid w:val="17EA7135"/>
    <w:rsid w:val="17FB15C3"/>
    <w:rsid w:val="1844274E"/>
    <w:rsid w:val="18493731"/>
    <w:rsid w:val="18495052"/>
    <w:rsid w:val="184C624B"/>
    <w:rsid w:val="1854752B"/>
    <w:rsid w:val="18574E4F"/>
    <w:rsid w:val="187B61D4"/>
    <w:rsid w:val="187C2701"/>
    <w:rsid w:val="18896377"/>
    <w:rsid w:val="18922F2B"/>
    <w:rsid w:val="18A61E51"/>
    <w:rsid w:val="18B72BC8"/>
    <w:rsid w:val="18C56DA7"/>
    <w:rsid w:val="18C836B8"/>
    <w:rsid w:val="18D2308F"/>
    <w:rsid w:val="18D66299"/>
    <w:rsid w:val="18D93A85"/>
    <w:rsid w:val="18E81FC5"/>
    <w:rsid w:val="18ED0402"/>
    <w:rsid w:val="18F374C6"/>
    <w:rsid w:val="18F82BC0"/>
    <w:rsid w:val="18FD05FE"/>
    <w:rsid w:val="1906329C"/>
    <w:rsid w:val="1907462E"/>
    <w:rsid w:val="19132033"/>
    <w:rsid w:val="19193ADA"/>
    <w:rsid w:val="19290B92"/>
    <w:rsid w:val="193901AE"/>
    <w:rsid w:val="193965B2"/>
    <w:rsid w:val="193A4C09"/>
    <w:rsid w:val="193C3E71"/>
    <w:rsid w:val="19501EC5"/>
    <w:rsid w:val="19625F10"/>
    <w:rsid w:val="19697BC5"/>
    <w:rsid w:val="19733D2D"/>
    <w:rsid w:val="197672A9"/>
    <w:rsid w:val="197B76B0"/>
    <w:rsid w:val="19891440"/>
    <w:rsid w:val="198A1C31"/>
    <w:rsid w:val="199B2E84"/>
    <w:rsid w:val="19AF0AB7"/>
    <w:rsid w:val="19BD4FD3"/>
    <w:rsid w:val="19BF00F6"/>
    <w:rsid w:val="19CD2623"/>
    <w:rsid w:val="19D71CA5"/>
    <w:rsid w:val="19DC586F"/>
    <w:rsid w:val="19E23C25"/>
    <w:rsid w:val="19E64A64"/>
    <w:rsid w:val="19F07953"/>
    <w:rsid w:val="1A0928D0"/>
    <w:rsid w:val="1A0A38A0"/>
    <w:rsid w:val="1A122D9A"/>
    <w:rsid w:val="1A1346A9"/>
    <w:rsid w:val="1A1665FE"/>
    <w:rsid w:val="1A1878C6"/>
    <w:rsid w:val="1A194330"/>
    <w:rsid w:val="1A1A1CE2"/>
    <w:rsid w:val="1A206030"/>
    <w:rsid w:val="1A2F3E5B"/>
    <w:rsid w:val="1A4237BC"/>
    <w:rsid w:val="1A430374"/>
    <w:rsid w:val="1A551BC8"/>
    <w:rsid w:val="1A573894"/>
    <w:rsid w:val="1A575DE6"/>
    <w:rsid w:val="1A5E2B92"/>
    <w:rsid w:val="1A7C4190"/>
    <w:rsid w:val="1A7F38D6"/>
    <w:rsid w:val="1A802F1C"/>
    <w:rsid w:val="1A8124BE"/>
    <w:rsid w:val="1A957313"/>
    <w:rsid w:val="1A9937D7"/>
    <w:rsid w:val="1AA2316D"/>
    <w:rsid w:val="1AB71B22"/>
    <w:rsid w:val="1AF82F58"/>
    <w:rsid w:val="1B012D01"/>
    <w:rsid w:val="1B0A0D30"/>
    <w:rsid w:val="1B0D099B"/>
    <w:rsid w:val="1B495B93"/>
    <w:rsid w:val="1B656D8A"/>
    <w:rsid w:val="1B724F4A"/>
    <w:rsid w:val="1BA14D01"/>
    <w:rsid w:val="1BA200DC"/>
    <w:rsid w:val="1BA372BD"/>
    <w:rsid w:val="1BB44282"/>
    <w:rsid w:val="1BBA121C"/>
    <w:rsid w:val="1BCA5B12"/>
    <w:rsid w:val="1BCB7451"/>
    <w:rsid w:val="1BCE6245"/>
    <w:rsid w:val="1BD9068F"/>
    <w:rsid w:val="1BE50D6A"/>
    <w:rsid w:val="1BF3505C"/>
    <w:rsid w:val="1BFB2250"/>
    <w:rsid w:val="1C0035EB"/>
    <w:rsid w:val="1C294B60"/>
    <w:rsid w:val="1C363364"/>
    <w:rsid w:val="1C557B37"/>
    <w:rsid w:val="1C574AD6"/>
    <w:rsid w:val="1C5C67FC"/>
    <w:rsid w:val="1C5D42E0"/>
    <w:rsid w:val="1C5F52A1"/>
    <w:rsid w:val="1C6A0075"/>
    <w:rsid w:val="1C714822"/>
    <w:rsid w:val="1C7469AF"/>
    <w:rsid w:val="1C765EFB"/>
    <w:rsid w:val="1C816754"/>
    <w:rsid w:val="1C88754C"/>
    <w:rsid w:val="1C9307F3"/>
    <w:rsid w:val="1C9E0876"/>
    <w:rsid w:val="1C9F043D"/>
    <w:rsid w:val="1CAA61A1"/>
    <w:rsid w:val="1CB20480"/>
    <w:rsid w:val="1CB7672C"/>
    <w:rsid w:val="1CC36302"/>
    <w:rsid w:val="1CC80D33"/>
    <w:rsid w:val="1CC9362C"/>
    <w:rsid w:val="1CDB2387"/>
    <w:rsid w:val="1CDD3295"/>
    <w:rsid w:val="1CDE4886"/>
    <w:rsid w:val="1CDF6237"/>
    <w:rsid w:val="1CE323BB"/>
    <w:rsid w:val="1CED3BD2"/>
    <w:rsid w:val="1CFB0038"/>
    <w:rsid w:val="1D0477D0"/>
    <w:rsid w:val="1D10751F"/>
    <w:rsid w:val="1D1D64C4"/>
    <w:rsid w:val="1D312576"/>
    <w:rsid w:val="1D3558A5"/>
    <w:rsid w:val="1D41769B"/>
    <w:rsid w:val="1D466A8A"/>
    <w:rsid w:val="1D49581D"/>
    <w:rsid w:val="1D5D3D28"/>
    <w:rsid w:val="1D643EEA"/>
    <w:rsid w:val="1D7B7009"/>
    <w:rsid w:val="1D8C2232"/>
    <w:rsid w:val="1D973689"/>
    <w:rsid w:val="1DB76684"/>
    <w:rsid w:val="1DD167D9"/>
    <w:rsid w:val="1DD2685E"/>
    <w:rsid w:val="1DD450A4"/>
    <w:rsid w:val="1DD8365E"/>
    <w:rsid w:val="1DD92171"/>
    <w:rsid w:val="1E10178C"/>
    <w:rsid w:val="1E135E6B"/>
    <w:rsid w:val="1E1A4B2E"/>
    <w:rsid w:val="1E234F87"/>
    <w:rsid w:val="1E2B4D14"/>
    <w:rsid w:val="1E2F00E5"/>
    <w:rsid w:val="1E387C33"/>
    <w:rsid w:val="1E456B52"/>
    <w:rsid w:val="1E4E6D0C"/>
    <w:rsid w:val="1E5D7846"/>
    <w:rsid w:val="1E681CD0"/>
    <w:rsid w:val="1E77589B"/>
    <w:rsid w:val="1E882130"/>
    <w:rsid w:val="1E88502A"/>
    <w:rsid w:val="1E8C788A"/>
    <w:rsid w:val="1E8D1353"/>
    <w:rsid w:val="1E8F2FBA"/>
    <w:rsid w:val="1EA84572"/>
    <w:rsid w:val="1EB4180C"/>
    <w:rsid w:val="1EB82C1C"/>
    <w:rsid w:val="1EBD594A"/>
    <w:rsid w:val="1EBE46E9"/>
    <w:rsid w:val="1ECA110B"/>
    <w:rsid w:val="1ECF06E1"/>
    <w:rsid w:val="1EDE60C0"/>
    <w:rsid w:val="1EE44FFA"/>
    <w:rsid w:val="1EEC6A1F"/>
    <w:rsid w:val="1EF64900"/>
    <w:rsid w:val="1EFA33F9"/>
    <w:rsid w:val="1F130BF8"/>
    <w:rsid w:val="1F282E78"/>
    <w:rsid w:val="1F2B4A2F"/>
    <w:rsid w:val="1F2C6F81"/>
    <w:rsid w:val="1F353017"/>
    <w:rsid w:val="1F3601E3"/>
    <w:rsid w:val="1F462E44"/>
    <w:rsid w:val="1F557073"/>
    <w:rsid w:val="1F5A5840"/>
    <w:rsid w:val="1F7B0A97"/>
    <w:rsid w:val="1F806FAD"/>
    <w:rsid w:val="1F81587A"/>
    <w:rsid w:val="1F886291"/>
    <w:rsid w:val="1FB520F8"/>
    <w:rsid w:val="1FD35CD5"/>
    <w:rsid w:val="1FDF7C11"/>
    <w:rsid w:val="1FE67CD6"/>
    <w:rsid w:val="1FF25040"/>
    <w:rsid w:val="1FF56B58"/>
    <w:rsid w:val="1FF7757B"/>
    <w:rsid w:val="1FFF43E3"/>
    <w:rsid w:val="2012573D"/>
    <w:rsid w:val="203329B3"/>
    <w:rsid w:val="20342DD0"/>
    <w:rsid w:val="20404737"/>
    <w:rsid w:val="204401B8"/>
    <w:rsid w:val="204D4C9F"/>
    <w:rsid w:val="20510A33"/>
    <w:rsid w:val="206207F0"/>
    <w:rsid w:val="206B124B"/>
    <w:rsid w:val="20824259"/>
    <w:rsid w:val="20873273"/>
    <w:rsid w:val="20AC485A"/>
    <w:rsid w:val="20B24349"/>
    <w:rsid w:val="20B508E2"/>
    <w:rsid w:val="20B52DA0"/>
    <w:rsid w:val="20BB788E"/>
    <w:rsid w:val="20BC355B"/>
    <w:rsid w:val="20C141AE"/>
    <w:rsid w:val="20C20A7C"/>
    <w:rsid w:val="20C904E2"/>
    <w:rsid w:val="20D92972"/>
    <w:rsid w:val="20DC500F"/>
    <w:rsid w:val="20E8782F"/>
    <w:rsid w:val="20F75C4B"/>
    <w:rsid w:val="20FC5089"/>
    <w:rsid w:val="210C3D72"/>
    <w:rsid w:val="213263BF"/>
    <w:rsid w:val="21373DA5"/>
    <w:rsid w:val="2139056F"/>
    <w:rsid w:val="21393748"/>
    <w:rsid w:val="213F6E04"/>
    <w:rsid w:val="214652C6"/>
    <w:rsid w:val="214A016D"/>
    <w:rsid w:val="214E7994"/>
    <w:rsid w:val="2157138F"/>
    <w:rsid w:val="216158DC"/>
    <w:rsid w:val="21722565"/>
    <w:rsid w:val="21862C70"/>
    <w:rsid w:val="21904FB6"/>
    <w:rsid w:val="219421A5"/>
    <w:rsid w:val="21987F0E"/>
    <w:rsid w:val="21A853EF"/>
    <w:rsid w:val="21AB52A9"/>
    <w:rsid w:val="21C77D42"/>
    <w:rsid w:val="21C87A6D"/>
    <w:rsid w:val="21D7476A"/>
    <w:rsid w:val="21DC70A8"/>
    <w:rsid w:val="22076649"/>
    <w:rsid w:val="22123A26"/>
    <w:rsid w:val="22141359"/>
    <w:rsid w:val="22275707"/>
    <w:rsid w:val="222A24E5"/>
    <w:rsid w:val="223C1E58"/>
    <w:rsid w:val="223D3A4B"/>
    <w:rsid w:val="22470A7E"/>
    <w:rsid w:val="224A66E2"/>
    <w:rsid w:val="225472B9"/>
    <w:rsid w:val="225B21A0"/>
    <w:rsid w:val="225D4A0C"/>
    <w:rsid w:val="2265194F"/>
    <w:rsid w:val="226F6333"/>
    <w:rsid w:val="227F7093"/>
    <w:rsid w:val="22805558"/>
    <w:rsid w:val="22914FD8"/>
    <w:rsid w:val="229C2AB5"/>
    <w:rsid w:val="229D0F6E"/>
    <w:rsid w:val="22A14893"/>
    <w:rsid w:val="22AE59E2"/>
    <w:rsid w:val="22BF54B4"/>
    <w:rsid w:val="22C7065F"/>
    <w:rsid w:val="22C743AC"/>
    <w:rsid w:val="22C90B7A"/>
    <w:rsid w:val="22D11C5E"/>
    <w:rsid w:val="22D979EE"/>
    <w:rsid w:val="22D97DE5"/>
    <w:rsid w:val="22EF6DA7"/>
    <w:rsid w:val="22FB5ED9"/>
    <w:rsid w:val="232108C0"/>
    <w:rsid w:val="23262438"/>
    <w:rsid w:val="23360B71"/>
    <w:rsid w:val="2366422D"/>
    <w:rsid w:val="236A2715"/>
    <w:rsid w:val="236B1607"/>
    <w:rsid w:val="23747B14"/>
    <w:rsid w:val="238A55B3"/>
    <w:rsid w:val="239872D2"/>
    <w:rsid w:val="23A9740C"/>
    <w:rsid w:val="23B4327D"/>
    <w:rsid w:val="23D01D9C"/>
    <w:rsid w:val="23E55399"/>
    <w:rsid w:val="23F30FA5"/>
    <w:rsid w:val="23FA57DE"/>
    <w:rsid w:val="240D43D4"/>
    <w:rsid w:val="241046DC"/>
    <w:rsid w:val="24105740"/>
    <w:rsid w:val="24133168"/>
    <w:rsid w:val="243700A7"/>
    <w:rsid w:val="24383DCB"/>
    <w:rsid w:val="243A7F03"/>
    <w:rsid w:val="24401C6A"/>
    <w:rsid w:val="2453419F"/>
    <w:rsid w:val="24542D84"/>
    <w:rsid w:val="245935BD"/>
    <w:rsid w:val="245B5B80"/>
    <w:rsid w:val="24667BA0"/>
    <w:rsid w:val="2471521D"/>
    <w:rsid w:val="24757399"/>
    <w:rsid w:val="248041F0"/>
    <w:rsid w:val="24827BD7"/>
    <w:rsid w:val="248456A3"/>
    <w:rsid w:val="248D358A"/>
    <w:rsid w:val="249F1FE5"/>
    <w:rsid w:val="24A7384B"/>
    <w:rsid w:val="24A803E4"/>
    <w:rsid w:val="24B11EBB"/>
    <w:rsid w:val="24BA7404"/>
    <w:rsid w:val="24BE105B"/>
    <w:rsid w:val="24D03A13"/>
    <w:rsid w:val="24D8573A"/>
    <w:rsid w:val="24D935C7"/>
    <w:rsid w:val="24EA2FA3"/>
    <w:rsid w:val="24F25DEF"/>
    <w:rsid w:val="24F538FD"/>
    <w:rsid w:val="250E3C50"/>
    <w:rsid w:val="25102AA1"/>
    <w:rsid w:val="25130AC8"/>
    <w:rsid w:val="2517027A"/>
    <w:rsid w:val="25213B55"/>
    <w:rsid w:val="25246ACF"/>
    <w:rsid w:val="25252BED"/>
    <w:rsid w:val="252966B2"/>
    <w:rsid w:val="253909A6"/>
    <w:rsid w:val="25396A79"/>
    <w:rsid w:val="25434645"/>
    <w:rsid w:val="254362E0"/>
    <w:rsid w:val="2552147B"/>
    <w:rsid w:val="25566745"/>
    <w:rsid w:val="255D595C"/>
    <w:rsid w:val="255F0BC8"/>
    <w:rsid w:val="256A310C"/>
    <w:rsid w:val="256B602A"/>
    <w:rsid w:val="25892410"/>
    <w:rsid w:val="258B02E5"/>
    <w:rsid w:val="258D76BA"/>
    <w:rsid w:val="25925E55"/>
    <w:rsid w:val="25A33399"/>
    <w:rsid w:val="25B576F9"/>
    <w:rsid w:val="25B57DCB"/>
    <w:rsid w:val="25C46E76"/>
    <w:rsid w:val="25E36E8B"/>
    <w:rsid w:val="25E5521D"/>
    <w:rsid w:val="25E9658A"/>
    <w:rsid w:val="25F36540"/>
    <w:rsid w:val="25F77492"/>
    <w:rsid w:val="25FD1CFA"/>
    <w:rsid w:val="261C76D9"/>
    <w:rsid w:val="2625360E"/>
    <w:rsid w:val="26291D07"/>
    <w:rsid w:val="26336E54"/>
    <w:rsid w:val="26437F87"/>
    <w:rsid w:val="264A020D"/>
    <w:rsid w:val="265052C5"/>
    <w:rsid w:val="26636042"/>
    <w:rsid w:val="26636CC1"/>
    <w:rsid w:val="267E0278"/>
    <w:rsid w:val="269C1750"/>
    <w:rsid w:val="26A5692A"/>
    <w:rsid w:val="26A82746"/>
    <w:rsid w:val="26AC030A"/>
    <w:rsid w:val="26AF2AA7"/>
    <w:rsid w:val="26C634B6"/>
    <w:rsid w:val="26E255CE"/>
    <w:rsid w:val="26ED594C"/>
    <w:rsid w:val="26EE1ADC"/>
    <w:rsid w:val="270870AF"/>
    <w:rsid w:val="270B52DE"/>
    <w:rsid w:val="271A2B3B"/>
    <w:rsid w:val="271F7A5D"/>
    <w:rsid w:val="27215EB4"/>
    <w:rsid w:val="2726571C"/>
    <w:rsid w:val="272E6283"/>
    <w:rsid w:val="27327336"/>
    <w:rsid w:val="27383D8B"/>
    <w:rsid w:val="273E013B"/>
    <w:rsid w:val="27415068"/>
    <w:rsid w:val="27440A3D"/>
    <w:rsid w:val="27462CBA"/>
    <w:rsid w:val="275C6737"/>
    <w:rsid w:val="277E4AA8"/>
    <w:rsid w:val="2796028C"/>
    <w:rsid w:val="27C81FF6"/>
    <w:rsid w:val="27CB3A64"/>
    <w:rsid w:val="27D05F1D"/>
    <w:rsid w:val="27D40FC4"/>
    <w:rsid w:val="27E0446B"/>
    <w:rsid w:val="27E13B3F"/>
    <w:rsid w:val="27EA20CD"/>
    <w:rsid w:val="27F77080"/>
    <w:rsid w:val="27F779B1"/>
    <w:rsid w:val="280C00DD"/>
    <w:rsid w:val="28105923"/>
    <w:rsid w:val="281617B2"/>
    <w:rsid w:val="28191476"/>
    <w:rsid w:val="28342E0B"/>
    <w:rsid w:val="284F024E"/>
    <w:rsid w:val="28700B93"/>
    <w:rsid w:val="287075C0"/>
    <w:rsid w:val="288A51DB"/>
    <w:rsid w:val="28AF4618"/>
    <w:rsid w:val="28B22F2F"/>
    <w:rsid w:val="28BB735D"/>
    <w:rsid w:val="28CB4779"/>
    <w:rsid w:val="28D915EB"/>
    <w:rsid w:val="28E10C86"/>
    <w:rsid w:val="28EF2D8F"/>
    <w:rsid w:val="290536FD"/>
    <w:rsid w:val="290D6CAB"/>
    <w:rsid w:val="290F7C09"/>
    <w:rsid w:val="2946133D"/>
    <w:rsid w:val="295D27F5"/>
    <w:rsid w:val="29643740"/>
    <w:rsid w:val="2965439E"/>
    <w:rsid w:val="296D6B3A"/>
    <w:rsid w:val="297076AD"/>
    <w:rsid w:val="297E6BBC"/>
    <w:rsid w:val="29806D0F"/>
    <w:rsid w:val="29AC6CCB"/>
    <w:rsid w:val="29AD6FDA"/>
    <w:rsid w:val="29B2486F"/>
    <w:rsid w:val="29C003B4"/>
    <w:rsid w:val="29C53C05"/>
    <w:rsid w:val="29CC642F"/>
    <w:rsid w:val="29D200FB"/>
    <w:rsid w:val="29D74A4A"/>
    <w:rsid w:val="29EF48D7"/>
    <w:rsid w:val="2A045FE4"/>
    <w:rsid w:val="2A1359B0"/>
    <w:rsid w:val="2A14567B"/>
    <w:rsid w:val="2A193BB0"/>
    <w:rsid w:val="2A1C70C4"/>
    <w:rsid w:val="2A284F4D"/>
    <w:rsid w:val="2A333C94"/>
    <w:rsid w:val="2A3E03C4"/>
    <w:rsid w:val="2A464CAA"/>
    <w:rsid w:val="2A5219B0"/>
    <w:rsid w:val="2A5662ED"/>
    <w:rsid w:val="2A6F325B"/>
    <w:rsid w:val="2A720D40"/>
    <w:rsid w:val="2A816286"/>
    <w:rsid w:val="2A890327"/>
    <w:rsid w:val="2A897224"/>
    <w:rsid w:val="2A8A2037"/>
    <w:rsid w:val="2A8D3484"/>
    <w:rsid w:val="2A8F1C3F"/>
    <w:rsid w:val="2A9E3219"/>
    <w:rsid w:val="2AA03162"/>
    <w:rsid w:val="2AA93C63"/>
    <w:rsid w:val="2AC23872"/>
    <w:rsid w:val="2AD11ADB"/>
    <w:rsid w:val="2AED04CD"/>
    <w:rsid w:val="2AEE7698"/>
    <w:rsid w:val="2AF43AF9"/>
    <w:rsid w:val="2B074C62"/>
    <w:rsid w:val="2B085E22"/>
    <w:rsid w:val="2B282862"/>
    <w:rsid w:val="2B3767DC"/>
    <w:rsid w:val="2B3C298D"/>
    <w:rsid w:val="2B411BB1"/>
    <w:rsid w:val="2B4F6BFA"/>
    <w:rsid w:val="2B57178B"/>
    <w:rsid w:val="2B612612"/>
    <w:rsid w:val="2B693DBF"/>
    <w:rsid w:val="2B715D76"/>
    <w:rsid w:val="2B83612F"/>
    <w:rsid w:val="2B931CC0"/>
    <w:rsid w:val="2B9745EE"/>
    <w:rsid w:val="2BA4591D"/>
    <w:rsid w:val="2BAF2166"/>
    <w:rsid w:val="2BD5179E"/>
    <w:rsid w:val="2BD82331"/>
    <w:rsid w:val="2BDB259A"/>
    <w:rsid w:val="2BDF0EFB"/>
    <w:rsid w:val="2BDF7D7F"/>
    <w:rsid w:val="2C1B4E2B"/>
    <w:rsid w:val="2C467A4B"/>
    <w:rsid w:val="2C55695F"/>
    <w:rsid w:val="2C576BC3"/>
    <w:rsid w:val="2C5F745E"/>
    <w:rsid w:val="2C6B6B70"/>
    <w:rsid w:val="2C6D5571"/>
    <w:rsid w:val="2C724626"/>
    <w:rsid w:val="2C92343B"/>
    <w:rsid w:val="2C940695"/>
    <w:rsid w:val="2CA214C0"/>
    <w:rsid w:val="2CA94952"/>
    <w:rsid w:val="2CBC7C70"/>
    <w:rsid w:val="2CCF06AB"/>
    <w:rsid w:val="2CD4004D"/>
    <w:rsid w:val="2CEF568B"/>
    <w:rsid w:val="2CFA16DE"/>
    <w:rsid w:val="2D022409"/>
    <w:rsid w:val="2D0F30AC"/>
    <w:rsid w:val="2D1872ED"/>
    <w:rsid w:val="2D1B7FC9"/>
    <w:rsid w:val="2D470DB6"/>
    <w:rsid w:val="2D554277"/>
    <w:rsid w:val="2D5A6193"/>
    <w:rsid w:val="2D5D6794"/>
    <w:rsid w:val="2D616F0D"/>
    <w:rsid w:val="2D6A07AF"/>
    <w:rsid w:val="2D6C4688"/>
    <w:rsid w:val="2D6E317B"/>
    <w:rsid w:val="2D904925"/>
    <w:rsid w:val="2D907059"/>
    <w:rsid w:val="2D944701"/>
    <w:rsid w:val="2D951954"/>
    <w:rsid w:val="2D9537BA"/>
    <w:rsid w:val="2D963E5D"/>
    <w:rsid w:val="2DA52F4D"/>
    <w:rsid w:val="2DAB1294"/>
    <w:rsid w:val="2DBE3E8B"/>
    <w:rsid w:val="2DC00470"/>
    <w:rsid w:val="2DD0666F"/>
    <w:rsid w:val="2DE11A7F"/>
    <w:rsid w:val="2DE400C5"/>
    <w:rsid w:val="2DE419C0"/>
    <w:rsid w:val="2DE51EEB"/>
    <w:rsid w:val="2E0C5651"/>
    <w:rsid w:val="2E1958B0"/>
    <w:rsid w:val="2E2C1643"/>
    <w:rsid w:val="2E2E3A93"/>
    <w:rsid w:val="2E326EF4"/>
    <w:rsid w:val="2E455B87"/>
    <w:rsid w:val="2E527C96"/>
    <w:rsid w:val="2E5428FE"/>
    <w:rsid w:val="2E5C1AFB"/>
    <w:rsid w:val="2E6A67D1"/>
    <w:rsid w:val="2E7A7998"/>
    <w:rsid w:val="2E7C616E"/>
    <w:rsid w:val="2E7F6431"/>
    <w:rsid w:val="2E875051"/>
    <w:rsid w:val="2EA27472"/>
    <w:rsid w:val="2EAF7526"/>
    <w:rsid w:val="2EB16135"/>
    <w:rsid w:val="2EB863E3"/>
    <w:rsid w:val="2EBF4937"/>
    <w:rsid w:val="2EE418A2"/>
    <w:rsid w:val="2EE81101"/>
    <w:rsid w:val="2EF8768A"/>
    <w:rsid w:val="2F0E2170"/>
    <w:rsid w:val="2F105D7C"/>
    <w:rsid w:val="2F1412E1"/>
    <w:rsid w:val="2F1E3D70"/>
    <w:rsid w:val="2F33156F"/>
    <w:rsid w:val="2F4F5DDB"/>
    <w:rsid w:val="2F85500C"/>
    <w:rsid w:val="2F8A06E6"/>
    <w:rsid w:val="2F8B7B09"/>
    <w:rsid w:val="2F8E5C30"/>
    <w:rsid w:val="2F955C15"/>
    <w:rsid w:val="2FA40942"/>
    <w:rsid w:val="2FC164E9"/>
    <w:rsid w:val="2FD60B9B"/>
    <w:rsid w:val="2FF24CA4"/>
    <w:rsid w:val="2FF523FF"/>
    <w:rsid w:val="2FF86431"/>
    <w:rsid w:val="30173D71"/>
    <w:rsid w:val="30181DBC"/>
    <w:rsid w:val="301E1082"/>
    <w:rsid w:val="30225B05"/>
    <w:rsid w:val="30406862"/>
    <w:rsid w:val="30463112"/>
    <w:rsid w:val="30616213"/>
    <w:rsid w:val="30755F41"/>
    <w:rsid w:val="307D29DC"/>
    <w:rsid w:val="3083290B"/>
    <w:rsid w:val="308C0A2F"/>
    <w:rsid w:val="308E0040"/>
    <w:rsid w:val="308F537E"/>
    <w:rsid w:val="30995733"/>
    <w:rsid w:val="30A85271"/>
    <w:rsid w:val="30E72FB8"/>
    <w:rsid w:val="30E87B1F"/>
    <w:rsid w:val="31036B29"/>
    <w:rsid w:val="31104D26"/>
    <w:rsid w:val="314E2B4F"/>
    <w:rsid w:val="31505593"/>
    <w:rsid w:val="3156418F"/>
    <w:rsid w:val="315A5FD8"/>
    <w:rsid w:val="317A32EF"/>
    <w:rsid w:val="317B6B7D"/>
    <w:rsid w:val="318C7452"/>
    <w:rsid w:val="31A469D0"/>
    <w:rsid w:val="31AD4DCC"/>
    <w:rsid w:val="31B93C87"/>
    <w:rsid w:val="31BA166B"/>
    <w:rsid w:val="31F32513"/>
    <w:rsid w:val="31FA24E8"/>
    <w:rsid w:val="31FE3FDB"/>
    <w:rsid w:val="320C20F8"/>
    <w:rsid w:val="320D2488"/>
    <w:rsid w:val="3213222B"/>
    <w:rsid w:val="32140414"/>
    <w:rsid w:val="322A5907"/>
    <w:rsid w:val="323D578F"/>
    <w:rsid w:val="325910CA"/>
    <w:rsid w:val="32636152"/>
    <w:rsid w:val="32671134"/>
    <w:rsid w:val="32672196"/>
    <w:rsid w:val="3278007B"/>
    <w:rsid w:val="32786C89"/>
    <w:rsid w:val="3281006F"/>
    <w:rsid w:val="32850AB9"/>
    <w:rsid w:val="328E66C2"/>
    <w:rsid w:val="32A11B40"/>
    <w:rsid w:val="32A20E6B"/>
    <w:rsid w:val="32C05E91"/>
    <w:rsid w:val="32C27EA1"/>
    <w:rsid w:val="32ED4B3F"/>
    <w:rsid w:val="32F34889"/>
    <w:rsid w:val="331A7758"/>
    <w:rsid w:val="332764B5"/>
    <w:rsid w:val="332B7DFF"/>
    <w:rsid w:val="33364C65"/>
    <w:rsid w:val="333D3A05"/>
    <w:rsid w:val="333E225C"/>
    <w:rsid w:val="334027EF"/>
    <w:rsid w:val="335C10A4"/>
    <w:rsid w:val="337040EE"/>
    <w:rsid w:val="337E28E6"/>
    <w:rsid w:val="338D380E"/>
    <w:rsid w:val="339031C9"/>
    <w:rsid w:val="33B149A9"/>
    <w:rsid w:val="33B45651"/>
    <w:rsid w:val="33B677FA"/>
    <w:rsid w:val="33C028E8"/>
    <w:rsid w:val="33C23ADF"/>
    <w:rsid w:val="33CA7C56"/>
    <w:rsid w:val="33D423DA"/>
    <w:rsid w:val="33DE16D9"/>
    <w:rsid w:val="33E07FA1"/>
    <w:rsid w:val="33E47ECB"/>
    <w:rsid w:val="33E87CF5"/>
    <w:rsid w:val="33F07F9D"/>
    <w:rsid w:val="33F4720B"/>
    <w:rsid w:val="33FB7DBA"/>
    <w:rsid w:val="340B6AB1"/>
    <w:rsid w:val="341363E5"/>
    <w:rsid w:val="343314FB"/>
    <w:rsid w:val="344C2326"/>
    <w:rsid w:val="344D5592"/>
    <w:rsid w:val="34510C56"/>
    <w:rsid w:val="34563935"/>
    <w:rsid w:val="34570D7F"/>
    <w:rsid w:val="34626D35"/>
    <w:rsid w:val="347C4C41"/>
    <w:rsid w:val="348B7246"/>
    <w:rsid w:val="349A12E7"/>
    <w:rsid w:val="34A90550"/>
    <w:rsid w:val="34AA70AA"/>
    <w:rsid w:val="34C22DBC"/>
    <w:rsid w:val="34C67B31"/>
    <w:rsid w:val="34D85D8A"/>
    <w:rsid w:val="34DF7F86"/>
    <w:rsid w:val="34EE02CD"/>
    <w:rsid w:val="34F40FD6"/>
    <w:rsid w:val="34F81D19"/>
    <w:rsid w:val="35066C64"/>
    <w:rsid w:val="350E5F78"/>
    <w:rsid w:val="350F6AAF"/>
    <w:rsid w:val="351A51AF"/>
    <w:rsid w:val="351C15DF"/>
    <w:rsid w:val="351C38B9"/>
    <w:rsid w:val="35306DFA"/>
    <w:rsid w:val="35371490"/>
    <w:rsid w:val="35535275"/>
    <w:rsid w:val="35662467"/>
    <w:rsid w:val="356E308B"/>
    <w:rsid w:val="35A60523"/>
    <w:rsid w:val="35AB61C4"/>
    <w:rsid w:val="35AE5E3B"/>
    <w:rsid w:val="35AE772D"/>
    <w:rsid w:val="35C70C5F"/>
    <w:rsid w:val="35D069F8"/>
    <w:rsid w:val="35D637A5"/>
    <w:rsid w:val="35DC4916"/>
    <w:rsid w:val="35E41054"/>
    <w:rsid w:val="35EF30C0"/>
    <w:rsid w:val="35F0345B"/>
    <w:rsid w:val="360D4B8B"/>
    <w:rsid w:val="360D6EC3"/>
    <w:rsid w:val="36351CD1"/>
    <w:rsid w:val="36575A1D"/>
    <w:rsid w:val="366F3C55"/>
    <w:rsid w:val="368E57C0"/>
    <w:rsid w:val="369F7AF3"/>
    <w:rsid w:val="36AD3B9A"/>
    <w:rsid w:val="36B22F81"/>
    <w:rsid w:val="36BA4E03"/>
    <w:rsid w:val="36C652D2"/>
    <w:rsid w:val="36D40E9E"/>
    <w:rsid w:val="36EA3AAA"/>
    <w:rsid w:val="36EF649B"/>
    <w:rsid w:val="36F3595C"/>
    <w:rsid w:val="36FD7BC7"/>
    <w:rsid w:val="37067363"/>
    <w:rsid w:val="370C62A6"/>
    <w:rsid w:val="372943BC"/>
    <w:rsid w:val="37440910"/>
    <w:rsid w:val="37445980"/>
    <w:rsid w:val="3754420E"/>
    <w:rsid w:val="37652826"/>
    <w:rsid w:val="3769503C"/>
    <w:rsid w:val="376A5D18"/>
    <w:rsid w:val="376E3C15"/>
    <w:rsid w:val="378A6349"/>
    <w:rsid w:val="37AB27F0"/>
    <w:rsid w:val="37B40530"/>
    <w:rsid w:val="37B80094"/>
    <w:rsid w:val="37BE6444"/>
    <w:rsid w:val="37C769B4"/>
    <w:rsid w:val="37C93931"/>
    <w:rsid w:val="37CB2653"/>
    <w:rsid w:val="37CD63CA"/>
    <w:rsid w:val="37EA214C"/>
    <w:rsid w:val="37EC2F96"/>
    <w:rsid w:val="37ED440F"/>
    <w:rsid w:val="37F118A3"/>
    <w:rsid w:val="3802231C"/>
    <w:rsid w:val="380A028D"/>
    <w:rsid w:val="380A715C"/>
    <w:rsid w:val="381F1B50"/>
    <w:rsid w:val="383642C1"/>
    <w:rsid w:val="383C7D2F"/>
    <w:rsid w:val="383D569F"/>
    <w:rsid w:val="385014BA"/>
    <w:rsid w:val="3869436A"/>
    <w:rsid w:val="38995C12"/>
    <w:rsid w:val="38AE33DF"/>
    <w:rsid w:val="38AF20FD"/>
    <w:rsid w:val="38AF2322"/>
    <w:rsid w:val="38B440C5"/>
    <w:rsid w:val="38B55A97"/>
    <w:rsid w:val="38B86187"/>
    <w:rsid w:val="38CA1A10"/>
    <w:rsid w:val="38D340D7"/>
    <w:rsid w:val="38DD5782"/>
    <w:rsid w:val="38E25E83"/>
    <w:rsid w:val="38EC1778"/>
    <w:rsid w:val="38EF2245"/>
    <w:rsid w:val="390242FC"/>
    <w:rsid w:val="390534FB"/>
    <w:rsid w:val="39063727"/>
    <w:rsid w:val="39077018"/>
    <w:rsid w:val="39085EEC"/>
    <w:rsid w:val="39105FD5"/>
    <w:rsid w:val="39122CDE"/>
    <w:rsid w:val="3914765E"/>
    <w:rsid w:val="39193306"/>
    <w:rsid w:val="391C299E"/>
    <w:rsid w:val="391F738F"/>
    <w:rsid w:val="3929674B"/>
    <w:rsid w:val="39464645"/>
    <w:rsid w:val="395B68F4"/>
    <w:rsid w:val="39606A70"/>
    <w:rsid w:val="39622B9D"/>
    <w:rsid w:val="39677807"/>
    <w:rsid w:val="396E47BD"/>
    <w:rsid w:val="39783775"/>
    <w:rsid w:val="39822258"/>
    <w:rsid w:val="399047F5"/>
    <w:rsid w:val="399675AC"/>
    <w:rsid w:val="399758A9"/>
    <w:rsid w:val="39A53782"/>
    <w:rsid w:val="39B4765C"/>
    <w:rsid w:val="39BE50B8"/>
    <w:rsid w:val="39C1258F"/>
    <w:rsid w:val="39D22557"/>
    <w:rsid w:val="39E30C22"/>
    <w:rsid w:val="3A26748A"/>
    <w:rsid w:val="3A3E7E37"/>
    <w:rsid w:val="3A433677"/>
    <w:rsid w:val="3A4C2609"/>
    <w:rsid w:val="3A5D6811"/>
    <w:rsid w:val="3A723866"/>
    <w:rsid w:val="3A761FA3"/>
    <w:rsid w:val="3A90352D"/>
    <w:rsid w:val="3A983CB6"/>
    <w:rsid w:val="3AAC2D77"/>
    <w:rsid w:val="3AC07F80"/>
    <w:rsid w:val="3ACA063C"/>
    <w:rsid w:val="3ACB478C"/>
    <w:rsid w:val="3AEC1E20"/>
    <w:rsid w:val="3AFB0305"/>
    <w:rsid w:val="3AFC0903"/>
    <w:rsid w:val="3B1337E4"/>
    <w:rsid w:val="3B1B6855"/>
    <w:rsid w:val="3B1C245A"/>
    <w:rsid w:val="3B216F69"/>
    <w:rsid w:val="3B2515C5"/>
    <w:rsid w:val="3B3B1620"/>
    <w:rsid w:val="3B3E59AD"/>
    <w:rsid w:val="3B4D4592"/>
    <w:rsid w:val="3B4F340D"/>
    <w:rsid w:val="3B6265D2"/>
    <w:rsid w:val="3B8B0C2A"/>
    <w:rsid w:val="3B9E1294"/>
    <w:rsid w:val="3BA13C3F"/>
    <w:rsid w:val="3BB37A60"/>
    <w:rsid w:val="3BC1478E"/>
    <w:rsid w:val="3BC94B90"/>
    <w:rsid w:val="3BD6064C"/>
    <w:rsid w:val="3BE235E5"/>
    <w:rsid w:val="3BEE33FF"/>
    <w:rsid w:val="3BEF19CF"/>
    <w:rsid w:val="3BFD660B"/>
    <w:rsid w:val="3C0D1E40"/>
    <w:rsid w:val="3C1B013C"/>
    <w:rsid w:val="3C201995"/>
    <w:rsid w:val="3C2258A4"/>
    <w:rsid w:val="3C240005"/>
    <w:rsid w:val="3C283B25"/>
    <w:rsid w:val="3C342C2F"/>
    <w:rsid w:val="3C4014F0"/>
    <w:rsid w:val="3C540EF4"/>
    <w:rsid w:val="3C5A2204"/>
    <w:rsid w:val="3C6D6FAB"/>
    <w:rsid w:val="3C730BFE"/>
    <w:rsid w:val="3C765079"/>
    <w:rsid w:val="3C767B24"/>
    <w:rsid w:val="3C792F92"/>
    <w:rsid w:val="3C794CB3"/>
    <w:rsid w:val="3C7B4BDD"/>
    <w:rsid w:val="3C80798E"/>
    <w:rsid w:val="3C8B103D"/>
    <w:rsid w:val="3CA5794D"/>
    <w:rsid w:val="3CAE4956"/>
    <w:rsid w:val="3CAF4AA9"/>
    <w:rsid w:val="3CB439E4"/>
    <w:rsid w:val="3CC85E4A"/>
    <w:rsid w:val="3CDD3181"/>
    <w:rsid w:val="3CE851CA"/>
    <w:rsid w:val="3CF813E3"/>
    <w:rsid w:val="3D0A0E8C"/>
    <w:rsid w:val="3D1428C6"/>
    <w:rsid w:val="3D19364E"/>
    <w:rsid w:val="3D224B2B"/>
    <w:rsid w:val="3D2827B6"/>
    <w:rsid w:val="3D387DAE"/>
    <w:rsid w:val="3D42351A"/>
    <w:rsid w:val="3D643A99"/>
    <w:rsid w:val="3D6B2A9F"/>
    <w:rsid w:val="3D7526DC"/>
    <w:rsid w:val="3D843FC9"/>
    <w:rsid w:val="3D8A2EC1"/>
    <w:rsid w:val="3DC12BA0"/>
    <w:rsid w:val="3DCD35D3"/>
    <w:rsid w:val="3DE139F8"/>
    <w:rsid w:val="3DE931D9"/>
    <w:rsid w:val="3DEB40A3"/>
    <w:rsid w:val="3DEB571A"/>
    <w:rsid w:val="3DF6408E"/>
    <w:rsid w:val="3DFB12DF"/>
    <w:rsid w:val="3E031A35"/>
    <w:rsid w:val="3E0A0F0A"/>
    <w:rsid w:val="3E1645E1"/>
    <w:rsid w:val="3E1A07B8"/>
    <w:rsid w:val="3E1A78AB"/>
    <w:rsid w:val="3E211661"/>
    <w:rsid w:val="3E21681E"/>
    <w:rsid w:val="3E2A7227"/>
    <w:rsid w:val="3E317BE6"/>
    <w:rsid w:val="3E350638"/>
    <w:rsid w:val="3E3914D0"/>
    <w:rsid w:val="3E4D2827"/>
    <w:rsid w:val="3E5433E0"/>
    <w:rsid w:val="3E555240"/>
    <w:rsid w:val="3E5712A2"/>
    <w:rsid w:val="3E5F1E6A"/>
    <w:rsid w:val="3E6B44AD"/>
    <w:rsid w:val="3E837F14"/>
    <w:rsid w:val="3E870D30"/>
    <w:rsid w:val="3E893EC6"/>
    <w:rsid w:val="3E9924B1"/>
    <w:rsid w:val="3E9E33FD"/>
    <w:rsid w:val="3EA31D25"/>
    <w:rsid w:val="3EA6328D"/>
    <w:rsid w:val="3EA942B5"/>
    <w:rsid w:val="3ED06B49"/>
    <w:rsid w:val="3ED2600A"/>
    <w:rsid w:val="3EE756E0"/>
    <w:rsid w:val="3EEE6C94"/>
    <w:rsid w:val="3F11362C"/>
    <w:rsid w:val="3F154E2B"/>
    <w:rsid w:val="3F167874"/>
    <w:rsid w:val="3F2A29C3"/>
    <w:rsid w:val="3F321060"/>
    <w:rsid w:val="3F355461"/>
    <w:rsid w:val="3F3C4800"/>
    <w:rsid w:val="3F423004"/>
    <w:rsid w:val="3F432002"/>
    <w:rsid w:val="3F5A3510"/>
    <w:rsid w:val="3F6D6E77"/>
    <w:rsid w:val="3F6E7298"/>
    <w:rsid w:val="3F712C12"/>
    <w:rsid w:val="3F776BC6"/>
    <w:rsid w:val="3F7C2B2A"/>
    <w:rsid w:val="3F8044A3"/>
    <w:rsid w:val="3F862DC9"/>
    <w:rsid w:val="3F9428EE"/>
    <w:rsid w:val="3FA35B4A"/>
    <w:rsid w:val="3FB45C20"/>
    <w:rsid w:val="3FD5135B"/>
    <w:rsid w:val="3FD96BB5"/>
    <w:rsid w:val="3FF21C2D"/>
    <w:rsid w:val="3FF70569"/>
    <w:rsid w:val="4002230A"/>
    <w:rsid w:val="400511F1"/>
    <w:rsid w:val="400C1965"/>
    <w:rsid w:val="401702D1"/>
    <w:rsid w:val="40286725"/>
    <w:rsid w:val="40463DD8"/>
    <w:rsid w:val="4050645C"/>
    <w:rsid w:val="405159BA"/>
    <w:rsid w:val="4053573D"/>
    <w:rsid w:val="40577D85"/>
    <w:rsid w:val="4092739D"/>
    <w:rsid w:val="40944D19"/>
    <w:rsid w:val="409A64A9"/>
    <w:rsid w:val="409E1D34"/>
    <w:rsid w:val="40B10089"/>
    <w:rsid w:val="40C57FC9"/>
    <w:rsid w:val="40E95542"/>
    <w:rsid w:val="40EA7504"/>
    <w:rsid w:val="40EC4545"/>
    <w:rsid w:val="40F5234D"/>
    <w:rsid w:val="41097AA2"/>
    <w:rsid w:val="4111451E"/>
    <w:rsid w:val="4125256C"/>
    <w:rsid w:val="4128251D"/>
    <w:rsid w:val="412D5330"/>
    <w:rsid w:val="415C0F18"/>
    <w:rsid w:val="415E2F46"/>
    <w:rsid w:val="4163212B"/>
    <w:rsid w:val="416735D2"/>
    <w:rsid w:val="417C36F8"/>
    <w:rsid w:val="417F15A6"/>
    <w:rsid w:val="41865312"/>
    <w:rsid w:val="418B0297"/>
    <w:rsid w:val="41901667"/>
    <w:rsid w:val="41B52ABA"/>
    <w:rsid w:val="41D168BF"/>
    <w:rsid w:val="41D71A5D"/>
    <w:rsid w:val="41DA7A82"/>
    <w:rsid w:val="41DD6377"/>
    <w:rsid w:val="41E071E9"/>
    <w:rsid w:val="41E577E1"/>
    <w:rsid w:val="41EA17E8"/>
    <w:rsid w:val="42025779"/>
    <w:rsid w:val="420A7886"/>
    <w:rsid w:val="421407F8"/>
    <w:rsid w:val="42273AEC"/>
    <w:rsid w:val="42471D3E"/>
    <w:rsid w:val="424C0C77"/>
    <w:rsid w:val="425C6834"/>
    <w:rsid w:val="42681BFD"/>
    <w:rsid w:val="427B7E61"/>
    <w:rsid w:val="427C2326"/>
    <w:rsid w:val="428600C4"/>
    <w:rsid w:val="428E2E42"/>
    <w:rsid w:val="42903410"/>
    <w:rsid w:val="42961F2E"/>
    <w:rsid w:val="429B7A4A"/>
    <w:rsid w:val="42AE6D42"/>
    <w:rsid w:val="42B93BAB"/>
    <w:rsid w:val="42BE7E56"/>
    <w:rsid w:val="42C278C3"/>
    <w:rsid w:val="42C67487"/>
    <w:rsid w:val="42C9041B"/>
    <w:rsid w:val="42E13BEB"/>
    <w:rsid w:val="42E4499E"/>
    <w:rsid w:val="42E851C5"/>
    <w:rsid w:val="42F14B32"/>
    <w:rsid w:val="42F967BD"/>
    <w:rsid w:val="43191C71"/>
    <w:rsid w:val="43216AB6"/>
    <w:rsid w:val="432C1418"/>
    <w:rsid w:val="43327E8A"/>
    <w:rsid w:val="433A294C"/>
    <w:rsid w:val="43510300"/>
    <w:rsid w:val="43532029"/>
    <w:rsid w:val="436A5160"/>
    <w:rsid w:val="437F272D"/>
    <w:rsid w:val="43832062"/>
    <w:rsid w:val="43853D07"/>
    <w:rsid w:val="43870E02"/>
    <w:rsid w:val="43874C76"/>
    <w:rsid w:val="438F265F"/>
    <w:rsid w:val="43A40E39"/>
    <w:rsid w:val="43B7263C"/>
    <w:rsid w:val="43BE14B9"/>
    <w:rsid w:val="43C06A74"/>
    <w:rsid w:val="43CC7B24"/>
    <w:rsid w:val="43E7097B"/>
    <w:rsid w:val="43E75DCD"/>
    <w:rsid w:val="43EA7C8E"/>
    <w:rsid w:val="43EC16AB"/>
    <w:rsid w:val="43EF73F0"/>
    <w:rsid w:val="440469FF"/>
    <w:rsid w:val="44121FE1"/>
    <w:rsid w:val="44157D06"/>
    <w:rsid w:val="44182491"/>
    <w:rsid w:val="44337B2F"/>
    <w:rsid w:val="444B524C"/>
    <w:rsid w:val="445167A2"/>
    <w:rsid w:val="44603EF7"/>
    <w:rsid w:val="44852226"/>
    <w:rsid w:val="44875A12"/>
    <w:rsid w:val="449647AE"/>
    <w:rsid w:val="449A6B44"/>
    <w:rsid w:val="449A70A8"/>
    <w:rsid w:val="44A40F9E"/>
    <w:rsid w:val="44B519DD"/>
    <w:rsid w:val="44C61ED0"/>
    <w:rsid w:val="44C91AF7"/>
    <w:rsid w:val="44CB139C"/>
    <w:rsid w:val="44DD0799"/>
    <w:rsid w:val="44E31C82"/>
    <w:rsid w:val="44E507DB"/>
    <w:rsid w:val="44F47FB0"/>
    <w:rsid w:val="44FD0EE5"/>
    <w:rsid w:val="451D1B29"/>
    <w:rsid w:val="452418DF"/>
    <w:rsid w:val="452D1B5C"/>
    <w:rsid w:val="4539024E"/>
    <w:rsid w:val="45397DE2"/>
    <w:rsid w:val="453C588B"/>
    <w:rsid w:val="45570C9B"/>
    <w:rsid w:val="45605BBE"/>
    <w:rsid w:val="456C4755"/>
    <w:rsid w:val="457200CD"/>
    <w:rsid w:val="45726C51"/>
    <w:rsid w:val="45730FF9"/>
    <w:rsid w:val="45837B36"/>
    <w:rsid w:val="45866EF3"/>
    <w:rsid w:val="45876CD0"/>
    <w:rsid w:val="458C3F67"/>
    <w:rsid w:val="458F4F38"/>
    <w:rsid w:val="458F7591"/>
    <w:rsid w:val="45957842"/>
    <w:rsid w:val="459A4DD6"/>
    <w:rsid w:val="45C33B77"/>
    <w:rsid w:val="45D553BD"/>
    <w:rsid w:val="45D85B10"/>
    <w:rsid w:val="45E57F3E"/>
    <w:rsid w:val="45E85DA0"/>
    <w:rsid w:val="46070D9A"/>
    <w:rsid w:val="46092239"/>
    <w:rsid w:val="461205B2"/>
    <w:rsid w:val="46127AD8"/>
    <w:rsid w:val="461341DB"/>
    <w:rsid w:val="46250082"/>
    <w:rsid w:val="46345B30"/>
    <w:rsid w:val="463676B8"/>
    <w:rsid w:val="46485CEB"/>
    <w:rsid w:val="464E45E3"/>
    <w:rsid w:val="46534543"/>
    <w:rsid w:val="465C6B91"/>
    <w:rsid w:val="46601DBC"/>
    <w:rsid w:val="467E7EA2"/>
    <w:rsid w:val="46844F41"/>
    <w:rsid w:val="468B7E6E"/>
    <w:rsid w:val="46972651"/>
    <w:rsid w:val="46A45344"/>
    <w:rsid w:val="46A810C5"/>
    <w:rsid w:val="46BB3A68"/>
    <w:rsid w:val="46DB10C3"/>
    <w:rsid w:val="46DD12D1"/>
    <w:rsid w:val="46E43E1D"/>
    <w:rsid w:val="46ED455C"/>
    <w:rsid w:val="46EF7D75"/>
    <w:rsid w:val="46F163DB"/>
    <w:rsid w:val="4701306B"/>
    <w:rsid w:val="47121A49"/>
    <w:rsid w:val="47241B15"/>
    <w:rsid w:val="472467BD"/>
    <w:rsid w:val="472E20FA"/>
    <w:rsid w:val="47427420"/>
    <w:rsid w:val="474539D8"/>
    <w:rsid w:val="474761B2"/>
    <w:rsid w:val="47504DDE"/>
    <w:rsid w:val="47552AB6"/>
    <w:rsid w:val="47570683"/>
    <w:rsid w:val="475B2DA4"/>
    <w:rsid w:val="475C0A8C"/>
    <w:rsid w:val="4761484B"/>
    <w:rsid w:val="47785851"/>
    <w:rsid w:val="477C0D7E"/>
    <w:rsid w:val="479F0F5E"/>
    <w:rsid w:val="47AE19DE"/>
    <w:rsid w:val="47B6552C"/>
    <w:rsid w:val="47DD148A"/>
    <w:rsid w:val="47F0616A"/>
    <w:rsid w:val="480C50C4"/>
    <w:rsid w:val="480E4767"/>
    <w:rsid w:val="480E6E4C"/>
    <w:rsid w:val="482D7C77"/>
    <w:rsid w:val="48371F64"/>
    <w:rsid w:val="4848610D"/>
    <w:rsid w:val="48537BC4"/>
    <w:rsid w:val="4860294E"/>
    <w:rsid w:val="48603B4F"/>
    <w:rsid w:val="486B5A3F"/>
    <w:rsid w:val="48760DB3"/>
    <w:rsid w:val="48857E9A"/>
    <w:rsid w:val="488D57CA"/>
    <w:rsid w:val="4897064C"/>
    <w:rsid w:val="489A0207"/>
    <w:rsid w:val="489C2B28"/>
    <w:rsid w:val="48A81C64"/>
    <w:rsid w:val="48C4431E"/>
    <w:rsid w:val="48D37DDD"/>
    <w:rsid w:val="48DE6F99"/>
    <w:rsid w:val="48EE7E04"/>
    <w:rsid w:val="48F07AA3"/>
    <w:rsid w:val="4902230D"/>
    <w:rsid w:val="490B1621"/>
    <w:rsid w:val="490C30E8"/>
    <w:rsid w:val="490F03CB"/>
    <w:rsid w:val="4914151C"/>
    <w:rsid w:val="492040AD"/>
    <w:rsid w:val="492E7F6B"/>
    <w:rsid w:val="49334703"/>
    <w:rsid w:val="49344890"/>
    <w:rsid w:val="493A5E25"/>
    <w:rsid w:val="493C58C6"/>
    <w:rsid w:val="49552572"/>
    <w:rsid w:val="49600A00"/>
    <w:rsid w:val="496A618D"/>
    <w:rsid w:val="49754522"/>
    <w:rsid w:val="4978015A"/>
    <w:rsid w:val="49793664"/>
    <w:rsid w:val="497B4612"/>
    <w:rsid w:val="49820FE6"/>
    <w:rsid w:val="49821AD8"/>
    <w:rsid w:val="498F46E5"/>
    <w:rsid w:val="4997045A"/>
    <w:rsid w:val="49A15ED4"/>
    <w:rsid w:val="49A554B7"/>
    <w:rsid w:val="49A92FB8"/>
    <w:rsid w:val="49AD3339"/>
    <w:rsid w:val="49BA72B6"/>
    <w:rsid w:val="49BD260E"/>
    <w:rsid w:val="49BE1E84"/>
    <w:rsid w:val="49BF7FE8"/>
    <w:rsid w:val="49C12BD2"/>
    <w:rsid w:val="49C95341"/>
    <w:rsid w:val="4A045A40"/>
    <w:rsid w:val="4A054788"/>
    <w:rsid w:val="4A0C7685"/>
    <w:rsid w:val="4A15510C"/>
    <w:rsid w:val="4A211A5A"/>
    <w:rsid w:val="4A340357"/>
    <w:rsid w:val="4A455871"/>
    <w:rsid w:val="4A461F3D"/>
    <w:rsid w:val="4A4D1A9C"/>
    <w:rsid w:val="4A583BEE"/>
    <w:rsid w:val="4A5C7F09"/>
    <w:rsid w:val="4A784B80"/>
    <w:rsid w:val="4A816CCD"/>
    <w:rsid w:val="4A917CD4"/>
    <w:rsid w:val="4A95672E"/>
    <w:rsid w:val="4ABF5879"/>
    <w:rsid w:val="4AC760F7"/>
    <w:rsid w:val="4AED4ADF"/>
    <w:rsid w:val="4AEF0357"/>
    <w:rsid w:val="4AF91AC0"/>
    <w:rsid w:val="4AFA3BC0"/>
    <w:rsid w:val="4B172BFC"/>
    <w:rsid w:val="4B1E191C"/>
    <w:rsid w:val="4B2A3088"/>
    <w:rsid w:val="4B3323C0"/>
    <w:rsid w:val="4B3E1D21"/>
    <w:rsid w:val="4B435AAA"/>
    <w:rsid w:val="4B4429E8"/>
    <w:rsid w:val="4B444BC8"/>
    <w:rsid w:val="4B4D0979"/>
    <w:rsid w:val="4B557160"/>
    <w:rsid w:val="4B5605F2"/>
    <w:rsid w:val="4B603B8B"/>
    <w:rsid w:val="4B6A0CFC"/>
    <w:rsid w:val="4B79210A"/>
    <w:rsid w:val="4B7C4697"/>
    <w:rsid w:val="4B8425D1"/>
    <w:rsid w:val="4B856EFB"/>
    <w:rsid w:val="4B8E5EB4"/>
    <w:rsid w:val="4B983936"/>
    <w:rsid w:val="4BA61067"/>
    <w:rsid w:val="4BCC093E"/>
    <w:rsid w:val="4BD14F64"/>
    <w:rsid w:val="4BE6033C"/>
    <w:rsid w:val="4BE60F0E"/>
    <w:rsid w:val="4BF2793C"/>
    <w:rsid w:val="4BF7670B"/>
    <w:rsid w:val="4BFA7922"/>
    <w:rsid w:val="4C241CC4"/>
    <w:rsid w:val="4C2656A8"/>
    <w:rsid w:val="4C3F0D95"/>
    <w:rsid w:val="4C4B634D"/>
    <w:rsid w:val="4C4E055B"/>
    <w:rsid w:val="4C5E40F4"/>
    <w:rsid w:val="4C6465E2"/>
    <w:rsid w:val="4C6D16D9"/>
    <w:rsid w:val="4C701AB6"/>
    <w:rsid w:val="4C7D0FCE"/>
    <w:rsid w:val="4C8A605F"/>
    <w:rsid w:val="4C9D159B"/>
    <w:rsid w:val="4CA910BF"/>
    <w:rsid w:val="4CB2586B"/>
    <w:rsid w:val="4CB31B15"/>
    <w:rsid w:val="4CB5255D"/>
    <w:rsid w:val="4CB77B86"/>
    <w:rsid w:val="4CB80CA7"/>
    <w:rsid w:val="4CCD0F47"/>
    <w:rsid w:val="4CD322AF"/>
    <w:rsid w:val="4CD710F7"/>
    <w:rsid w:val="4CE021BC"/>
    <w:rsid w:val="4CE942B4"/>
    <w:rsid w:val="4CED4298"/>
    <w:rsid w:val="4CF04550"/>
    <w:rsid w:val="4CF35D04"/>
    <w:rsid w:val="4D0570A9"/>
    <w:rsid w:val="4D0C1326"/>
    <w:rsid w:val="4D1907E5"/>
    <w:rsid w:val="4D34561E"/>
    <w:rsid w:val="4D502C19"/>
    <w:rsid w:val="4D5247E7"/>
    <w:rsid w:val="4D673ECB"/>
    <w:rsid w:val="4D736726"/>
    <w:rsid w:val="4D7E4DBB"/>
    <w:rsid w:val="4DA17175"/>
    <w:rsid w:val="4DA232F5"/>
    <w:rsid w:val="4DA64E30"/>
    <w:rsid w:val="4DAA1ACF"/>
    <w:rsid w:val="4DC709C8"/>
    <w:rsid w:val="4DC836FD"/>
    <w:rsid w:val="4DCD5F92"/>
    <w:rsid w:val="4DD335A1"/>
    <w:rsid w:val="4DD91780"/>
    <w:rsid w:val="4DF0097B"/>
    <w:rsid w:val="4E0C21DD"/>
    <w:rsid w:val="4E1355E0"/>
    <w:rsid w:val="4E18227A"/>
    <w:rsid w:val="4E1B4EBB"/>
    <w:rsid w:val="4E1E5F2F"/>
    <w:rsid w:val="4E255E7F"/>
    <w:rsid w:val="4E2A62D4"/>
    <w:rsid w:val="4E4225D2"/>
    <w:rsid w:val="4E4B4C14"/>
    <w:rsid w:val="4E50783D"/>
    <w:rsid w:val="4E561E0D"/>
    <w:rsid w:val="4E564F5E"/>
    <w:rsid w:val="4E5975C0"/>
    <w:rsid w:val="4E743807"/>
    <w:rsid w:val="4E787F44"/>
    <w:rsid w:val="4E97046B"/>
    <w:rsid w:val="4EA90EE9"/>
    <w:rsid w:val="4EAA0875"/>
    <w:rsid w:val="4EAA709B"/>
    <w:rsid w:val="4EB3245C"/>
    <w:rsid w:val="4EB47469"/>
    <w:rsid w:val="4EB94357"/>
    <w:rsid w:val="4EC81F7A"/>
    <w:rsid w:val="4ECA3753"/>
    <w:rsid w:val="4ED133F1"/>
    <w:rsid w:val="4ED810F6"/>
    <w:rsid w:val="4EDC3686"/>
    <w:rsid w:val="4EED2C2C"/>
    <w:rsid w:val="4EFE4846"/>
    <w:rsid w:val="4F14552B"/>
    <w:rsid w:val="4F196C7D"/>
    <w:rsid w:val="4F2014C4"/>
    <w:rsid w:val="4F227CC8"/>
    <w:rsid w:val="4F3A2A41"/>
    <w:rsid w:val="4F4053AE"/>
    <w:rsid w:val="4F4D6EC7"/>
    <w:rsid w:val="4F5E6070"/>
    <w:rsid w:val="4F69480C"/>
    <w:rsid w:val="4F696AD6"/>
    <w:rsid w:val="4F6E2002"/>
    <w:rsid w:val="4F71018E"/>
    <w:rsid w:val="4F757DDC"/>
    <w:rsid w:val="4F78136D"/>
    <w:rsid w:val="4F880290"/>
    <w:rsid w:val="4F8A189F"/>
    <w:rsid w:val="4F963AC3"/>
    <w:rsid w:val="4F9A1C2B"/>
    <w:rsid w:val="4F9C0F8C"/>
    <w:rsid w:val="4FA30254"/>
    <w:rsid w:val="4FAB0D70"/>
    <w:rsid w:val="4FBF7A1F"/>
    <w:rsid w:val="4FC34ADE"/>
    <w:rsid w:val="4FCF226E"/>
    <w:rsid w:val="4FDA2E49"/>
    <w:rsid w:val="4FDD550A"/>
    <w:rsid w:val="501718B2"/>
    <w:rsid w:val="502935C1"/>
    <w:rsid w:val="502F698C"/>
    <w:rsid w:val="50364BF8"/>
    <w:rsid w:val="503D24A0"/>
    <w:rsid w:val="504E02C7"/>
    <w:rsid w:val="504F01D0"/>
    <w:rsid w:val="504F3280"/>
    <w:rsid w:val="50527EF7"/>
    <w:rsid w:val="505A4045"/>
    <w:rsid w:val="50635A5A"/>
    <w:rsid w:val="506C35FE"/>
    <w:rsid w:val="5071773E"/>
    <w:rsid w:val="50793193"/>
    <w:rsid w:val="508068C2"/>
    <w:rsid w:val="50837BC9"/>
    <w:rsid w:val="50A06EC7"/>
    <w:rsid w:val="50B02761"/>
    <w:rsid w:val="50B11092"/>
    <w:rsid w:val="50BC2C4F"/>
    <w:rsid w:val="50C32DE3"/>
    <w:rsid w:val="50C6701E"/>
    <w:rsid w:val="50CA65ED"/>
    <w:rsid w:val="50CB6540"/>
    <w:rsid w:val="50CC2493"/>
    <w:rsid w:val="50CE0ECE"/>
    <w:rsid w:val="50ED1614"/>
    <w:rsid w:val="50F02E5F"/>
    <w:rsid w:val="50F37526"/>
    <w:rsid w:val="50FD4159"/>
    <w:rsid w:val="5101549C"/>
    <w:rsid w:val="510752A8"/>
    <w:rsid w:val="51152EC5"/>
    <w:rsid w:val="512436EB"/>
    <w:rsid w:val="51431CD1"/>
    <w:rsid w:val="514425B4"/>
    <w:rsid w:val="51581A81"/>
    <w:rsid w:val="515A6B7F"/>
    <w:rsid w:val="51654C27"/>
    <w:rsid w:val="518417BD"/>
    <w:rsid w:val="51855E72"/>
    <w:rsid w:val="518B7FBC"/>
    <w:rsid w:val="51925455"/>
    <w:rsid w:val="51A15B8E"/>
    <w:rsid w:val="51AC197B"/>
    <w:rsid w:val="51BA4304"/>
    <w:rsid w:val="51D56A3A"/>
    <w:rsid w:val="51DB4267"/>
    <w:rsid w:val="52160768"/>
    <w:rsid w:val="52324FD9"/>
    <w:rsid w:val="52410024"/>
    <w:rsid w:val="52495CB4"/>
    <w:rsid w:val="524F6F3C"/>
    <w:rsid w:val="52591FF5"/>
    <w:rsid w:val="526444E4"/>
    <w:rsid w:val="52692221"/>
    <w:rsid w:val="52696713"/>
    <w:rsid w:val="527F106F"/>
    <w:rsid w:val="52853B99"/>
    <w:rsid w:val="52DB2275"/>
    <w:rsid w:val="52EE778A"/>
    <w:rsid w:val="52EF079F"/>
    <w:rsid w:val="53094C41"/>
    <w:rsid w:val="53183C4E"/>
    <w:rsid w:val="53272946"/>
    <w:rsid w:val="533A24B3"/>
    <w:rsid w:val="534942DF"/>
    <w:rsid w:val="53534FF5"/>
    <w:rsid w:val="535940D0"/>
    <w:rsid w:val="5359732B"/>
    <w:rsid w:val="536A3F02"/>
    <w:rsid w:val="538674DD"/>
    <w:rsid w:val="539239F4"/>
    <w:rsid w:val="539C6A27"/>
    <w:rsid w:val="53B05FA4"/>
    <w:rsid w:val="53BD6BA7"/>
    <w:rsid w:val="53C9797F"/>
    <w:rsid w:val="53CF2027"/>
    <w:rsid w:val="53D008B1"/>
    <w:rsid w:val="53D72C26"/>
    <w:rsid w:val="53F01A34"/>
    <w:rsid w:val="53F6446D"/>
    <w:rsid w:val="53FB7535"/>
    <w:rsid w:val="54011776"/>
    <w:rsid w:val="54074A13"/>
    <w:rsid w:val="541072DA"/>
    <w:rsid w:val="54195FDD"/>
    <w:rsid w:val="541A0712"/>
    <w:rsid w:val="54244CAB"/>
    <w:rsid w:val="542A43CD"/>
    <w:rsid w:val="542E70DF"/>
    <w:rsid w:val="542F22AA"/>
    <w:rsid w:val="54326F1A"/>
    <w:rsid w:val="54383638"/>
    <w:rsid w:val="54624D21"/>
    <w:rsid w:val="546D67B3"/>
    <w:rsid w:val="54721E7E"/>
    <w:rsid w:val="5492638E"/>
    <w:rsid w:val="54A232B8"/>
    <w:rsid w:val="54B40236"/>
    <w:rsid w:val="54BB54C6"/>
    <w:rsid w:val="54CB0333"/>
    <w:rsid w:val="54CE2963"/>
    <w:rsid w:val="54D8221F"/>
    <w:rsid w:val="54E23522"/>
    <w:rsid w:val="54E56AB6"/>
    <w:rsid w:val="54EB1081"/>
    <w:rsid w:val="54EB233E"/>
    <w:rsid w:val="54EE47F9"/>
    <w:rsid w:val="54F82768"/>
    <w:rsid w:val="54FC7D66"/>
    <w:rsid w:val="55102B0E"/>
    <w:rsid w:val="5518295E"/>
    <w:rsid w:val="551B04D9"/>
    <w:rsid w:val="55233CFA"/>
    <w:rsid w:val="553677C7"/>
    <w:rsid w:val="55461C5F"/>
    <w:rsid w:val="555B6052"/>
    <w:rsid w:val="557B1460"/>
    <w:rsid w:val="5591052D"/>
    <w:rsid w:val="5599073C"/>
    <w:rsid w:val="559C63E1"/>
    <w:rsid w:val="55BE3E74"/>
    <w:rsid w:val="55C10165"/>
    <w:rsid w:val="55C465D7"/>
    <w:rsid w:val="55DC7057"/>
    <w:rsid w:val="55E576EA"/>
    <w:rsid w:val="55EA4016"/>
    <w:rsid w:val="55EB1EED"/>
    <w:rsid w:val="560E1F94"/>
    <w:rsid w:val="561B2694"/>
    <w:rsid w:val="56217F08"/>
    <w:rsid w:val="56316F3F"/>
    <w:rsid w:val="5632657B"/>
    <w:rsid w:val="56397EFF"/>
    <w:rsid w:val="564C5305"/>
    <w:rsid w:val="564E3F05"/>
    <w:rsid w:val="56592CC4"/>
    <w:rsid w:val="5679497A"/>
    <w:rsid w:val="56845004"/>
    <w:rsid w:val="5689335B"/>
    <w:rsid w:val="568A401A"/>
    <w:rsid w:val="5697228A"/>
    <w:rsid w:val="56AA1DE4"/>
    <w:rsid w:val="56BC4F6A"/>
    <w:rsid w:val="56CD4FBE"/>
    <w:rsid w:val="56D01E15"/>
    <w:rsid w:val="56DF0B2A"/>
    <w:rsid w:val="56FA0484"/>
    <w:rsid w:val="5701723B"/>
    <w:rsid w:val="570560B1"/>
    <w:rsid w:val="57094ACF"/>
    <w:rsid w:val="5715008E"/>
    <w:rsid w:val="572B5672"/>
    <w:rsid w:val="57350840"/>
    <w:rsid w:val="573E52C7"/>
    <w:rsid w:val="57452CD9"/>
    <w:rsid w:val="57454B64"/>
    <w:rsid w:val="575949D0"/>
    <w:rsid w:val="578D5901"/>
    <w:rsid w:val="579C38AF"/>
    <w:rsid w:val="57A7477F"/>
    <w:rsid w:val="57B96529"/>
    <w:rsid w:val="57C827F6"/>
    <w:rsid w:val="57CE16A3"/>
    <w:rsid w:val="57DA51A3"/>
    <w:rsid w:val="57E1161E"/>
    <w:rsid w:val="57EA45B1"/>
    <w:rsid w:val="580362F6"/>
    <w:rsid w:val="58071BC4"/>
    <w:rsid w:val="580841EA"/>
    <w:rsid w:val="5810515B"/>
    <w:rsid w:val="581922D1"/>
    <w:rsid w:val="5819389A"/>
    <w:rsid w:val="5838150D"/>
    <w:rsid w:val="583C31AF"/>
    <w:rsid w:val="58623097"/>
    <w:rsid w:val="58691DEA"/>
    <w:rsid w:val="5869584B"/>
    <w:rsid w:val="586A0AD3"/>
    <w:rsid w:val="587D7BA9"/>
    <w:rsid w:val="58877FC2"/>
    <w:rsid w:val="58894A32"/>
    <w:rsid w:val="58912C63"/>
    <w:rsid w:val="5898467F"/>
    <w:rsid w:val="58A54036"/>
    <w:rsid w:val="58B52921"/>
    <w:rsid w:val="58C85E21"/>
    <w:rsid w:val="58C930C9"/>
    <w:rsid w:val="58DA58B5"/>
    <w:rsid w:val="5910043F"/>
    <w:rsid w:val="59162D39"/>
    <w:rsid w:val="591E340F"/>
    <w:rsid w:val="59375199"/>
    <w:rsid w:val="59622C8F"/>
    <w:rsid w:val="596642F4"/>
    <w:rsid w:val="596C5BD4"/>
    <w:rsid w:val="59744FFD"/>
    <w:rsid w:val="598243B2"/>
    <w:rsid w:val="59836A28"/>
    <w:rsid w:val="59862F6B"/>
    <w:rsid w:val="598D01E1"/>
    <w:rsid w:val="59B27622"/>
    <w:rsid w:val="59CC6CD3"/>
    <w:rsid w:val="59CD1DAB"/>
    <w:rsid w:val="59DC3634"/>
    <w:rsid w:val="59E01DB6"/>
    <w:rsid w:val="59ED2C8B"/>
    <w:rsid w:val="59F07E3B"/>
    <w:rsid w:val="59F22A5B"/>
    <w:rsid w:val="59F86A07"/>
    <w:rsid w:val="5A181BA0"/>
    <w:rsid w:val="5A186C15"/>
    <w:rsid w:val="5A2B43C9"/>
    <w:rsid w:val="5A353AAF"/>
    <w:rsid w:val="5A4F7239"/>
    <w:rsid w:val="5A530D2D"/>
    <w:rsid w:val="5A5D2B92"/>
    <w:rsid w:val="5A6D326E"/>
    <w:rsid w:val="5A6F5CCA"/>
    <w:rsid w:val="5A7E2033"/>
    <w:rsid w:val="5A9436DA"/>
    <w:rsid w:val="5AA34214"/>
    <w:rsid w:val="5AAB3124"/>
    <w:rsid w:val="5ABC6B9C"/>
    <w:rsid w:val="5AC03EFE"/>
    <w:rsid w:val="5ACF5717"/>
    <w:rsid w:val="5AE545FB"/>
    <w:rsid w:val="5AEB22FF"/>
    <w:rsid w:val="5B070C4F"/>
    <w:rsid w:val="5B087B99"/>
    <w:rsid w:val="5B1D3F8E"/>
    <w:rsid w:val="5B324B56"/>
    <w:rsid w:val="5B3F0DB9"/>
    <w:rsid w:val="5B637688"/>
    <w:rsid w:val="5B6B2D3F"/>
    <w:rsid w:val="5B766023"/>
    <w:rsid w:val="5B817CB6"/>
    <w:rsid w:val="5B850849"/>
    <w:rsid w:val="5B864488"/>
    <w:rsid w:val="5B9D3299"/>
    <w:rsid w:val="5B9F60E5"/>
    <w:rsid w:val="5BA205BD"/>
    <w:rsid w:val="5BA34269"/>
    <w:rsid w:val="5BA7071E"/>
    <w:rsid w:val="5BAC34B5"/>
    <w:rsid w:val="5BB422E8"/>
    <w:rsid w:val="5BBE29DF"/>
    <w:rsid w:val="5BF17B95"/>
    <w:rsid w:val="5BF620F0"/>
    <w:rsid w:val="5BF76EAD"/>
    <w:rsid w:val="5C096072"/>
    <w:rsid w:val="5C0C4037"/>
    <w:rsid w:val="5C195176"/>
    <w:rsid w:val="5C20445A"/>
    <w:rsid w:val="5C244D94"/>
    <w:rsid w:val="5C2E1EAB"/>
    <w:rsid w:val="5C540473"/>
    <w:rsid w:val="5C573BBC"/>
    <w:rsid w:val="5C5806A5"/>
    <w:rsid w:val="5C5B47C4"/>
    <w:rsid w:val="5C613F30"/>
    <w:rsid w:val="5C644077"/>
    <w:rsid w:val="5C690531"/>
    <w:rsid w:val="5C6909AC"/>
    <w:rsid w:val="5C706F44"/>
    <w:rsid w:val="5C725040"/>
    <w:rsid w:val="5C7B3A24"/>
    <w:rsid w:val="5C7D0A8F"/>
    <w:rsid w:val="5C806BEC"/>
    <w:rsid w:val="5C814B25"/>
    <w:rsid w:val="5C894603"/>
    <w:rsid w:val="5CA60CED"/>
    <w:rsid w:val="5CA74598"/>
    <w:rsid w:val="5CAF4F89"/>
    <w:rsid w:val="5CB016C8"/>
    <w:rsid w:val="5CBA44DE"/>
    <w:rsid w:val="5CBC6F17"/>
    <w:rsid w:val="5CC931D0"/>
    <w:rsid w:val="5CD6788B"/>
    <w:rsid w:val="5CF824F9"/>
    <w:rsid w:val="5CF86D2D"/>
    <w:rsid w:val="5CFE53D1"/>
    <w:rsid w:val="5D047D2C"/>
    <w:rsid w:val="5D153086"/>
    <w:rsid w:val="5D177AA3"/>
    <w:rsid w:val="5D2B2CB4"/>
    <w:rsid w:val="5D302764"/>
    <w:rsid w:val="5D3745DF"/>
    <w:rsid w:val="5D376C69"/>
    <w:rsid w:val="5D3A27D7"/>
    <w:rsid w:val="5D445FAE"/>
    <w:rsid w:val="5D5910F4"/>
    <w:rsid w:val="5D5B6586"/>
    <w:rsid w:val="5D760DA3"/>
    <w:rsid w:val="5D904CE7"/>
    <w:rsid w:val="5D9F4852"/>
    <w:rsid w:val="5DA9495C"/>
    <w:rsid w:val="5DB25ED3"/>
    <w:rsid w:val="5DBA5AF1"/>
    <w:rsid w:val="5DC02273"/>
    <w:rsid w:val="5DCA0181"/>
    <w:rsid w:val="5DD040F8"/>
    <w:rsid w:val="5DD34EB8"/>
    <w:rsid w:val="5DD71FEC"/>
    <w:rsid w:val="5DD9744C"/>
    <w:rsid w:val="5DD9760D"/>
    <w:rsid w:val="5DDB6DB6"/>
    <w:rsid w:val="5DED21B8"/>
    <w:rsid w:val="5DF103AA"/>
    <w:rsid w:val="5DF75A85"/>
    <w:rsid w:val="5E1B0DAC"/>
    <w:rsid w:val="5E31053D"/>
    <w:rsid w:val="5E3B7705"/>
    <w:rsid w:val="5E47085B"/>
    <w:rsid w:val="5E4D4B16"/>
    <w:rsid w:val="5E4D573C"/>
    <w:rsid w:val="5E550C3D"/>
    <w:rsid w:val="5E5C4FC4"/>
    <w:rsid w:val="5E6516FD"/>
    <w:rsid w:val="5E687FE1"/>
    <w:rsid w:val="5E6958E5"/>
    <w:rsid w:val="5E6B02FB"/>
    <w:rsid w:val="5E7B2F7B"/>
    <w:rsid w:val="5E830942"/>
    <w:rsid w:val="5E85184C"/>
    <w:rsid w:val="5E8D36D0"/>
    <w:rsid w:val="5EB8679B"/>
    <w:rsid w:val="5EBB22C5"/>
    <w:rsid w:val="5EED4281"/>
    <w:rsid w:val="5EEF7524"/>
    <w:rsid w:val="5F190088"/>
    <w:rsid w:val="5F21437E"/>
    <w:rsid w:val="5F23469E"/>
    <w:rsid w:val="5F2C4D3D"/>
    <w:rsid w:val="5F2E2F86"/>
    <w:rsid w:val="5F5F2531"/>
    <w:rsid w:val="5F633B85"/>
    <w:rsid w:val="5F666914"/>
    <w:rsid w:val="5F8304D3"/>
    <w:rsid w:val="5F884FAE"/>
    <w:rsid w:val="5FAC1DF8"/>
    <w:rsid w:val="5FB47983"/>
    <w:rsid w:val="5FB81203"/>
    <w:rsid w:val="5FDD304A"/>
    <w:rsid w:val="5FDE26C3"/>
    <w:rsid w:val="5FE40A19"/>
    <w:rsid w:val="5FEB7F5F"/>
    <w:rsid w:val="5FF62802"/>
    <w:rsid w:val="5FF737DF"/>
    <w:rsid w:val="5FFC074D"/>
    <w:rsid w:val="6002480C"/>
    <w:rsid w:val="60160CEA"/>
    <w:rsid w:val="601E0A1F"/>
    <w:rsid w:val="60270EE9"/>
    <w:rsid w:val="6031360E"/>
    <w:rsid w:val="604618C4"/>
    <w:rsid w:val="605850D3"/>
    <w:rsid w:val="605912E2"/>
    <w:rsid w:val="6063690B"/>
    <w:rsid w:val="606A2FDB"/>
    <w:rsid w:val="606C166C"/>
    <w:rsid w:val="606F0DB0"/>
    <w:rsid w:val="60723D9D"/>
    <w:rsid w:val="607836C5"/>
    <w:rsid w:val="60855B0D"/>
    <w:rsid w:val="608C398C"/>
    <w:rsid w:val="608D0D59"/>
    <w:rsid w:val="60A036FA"/>
    <w:rsid w:val="60AB5D3E"/>
    <w:rsid w:val="60CA4620"/>
    <w:rsid w:val="60DA14D1"/>
    <w:rsid w:val="60EC2905"/>
    <w:rsid w:val="611724B6"/>
    <w:rsid w:val="611F0735"/>
    <w:rsid w:val="612E71C5"/>
    <w:rsid w:val="6133219E"/>
    <w:rsid w:val="61392C84"/>
    <w:rsid w:val="61515B06"/>
    <w:rsid w:val="61527B84"/>
    <w:rsid w:val="615764BD"/>
    <w:rsid w:val="61610BD0"/>
    <w:rsid w:val="61672CA5"/>
    <w:rsid w:val="617B5D74"/>
    <w:rsid w:val="617C4790"/>
    <w:rsid w:val="617F79FF"/>
    <w:rsid w:val="618B77D0"/>
    <w:rsid w:val="618F7A6D"/>
    <w:rsid w:val="61B03F86"/>
    <w:rsid w:val="61B61FFA"/>
    <w:rsid w:val="61E16E08"/>
    <w:rsid w:val="61EE23EB"/>
    <w:rsid w:val="61F200BF"/>
    <w:rsid w:val="61F91B0B"/>
    <w:rsid w:val="61FD34E9"/>
    <w:rsid w:val="6206637D"/>
    <w:rsid w:val="622F4E93"/>
    <w:rsid w:val="623944B1"/>
    <w:rsid w:val="623C300A"/>
    <w:rsid w:val="625E3CA4"/>
    <w:rsid w:val="62782C93"/>
    <w:rsid w:val="627B334C"/>
    <w:rsid w:val="627D0100"/>
    <w:rsid w:val="62860A66"/>
    <w:rsid w:val="62A1317A"/>
    <w:rsid w:val="62A4173C"/>
    <w:rsid w:val="62AC1573"/>
    <w:rsid w:val="62B4750E"/>
    <w:rsid w:val="62D37A19"/>
    <w:rsid w:val="62DC0737"/>
    <w:rsid w:val="62DD3F59"/>
    <w:rsid w:val="62E04481"/>
    <w:rsid w:val="62E05B52"/>
    <w:rsid w:val="62E82A08"/>
    <w:rsid w:val="633007F8"/>
    <w:rsid w:val="633E67E8"/>
    <w:rsid w:val="6346475F"/>
    <w:rsid w:val="63625FDD"/>
    <w:rsid w:val="636F4DF8"/>
    <w:rsid w:val="637A5FA6"/>
    <w:rsid w:val="637A7431"/>
    <w:rsid w:val="639D4DF6"/>
    <w:rsid w:val="63B749BC"/>
    <w:rsid w:val="63D5455E"/>
    <w:rsid w:val="63D56DC3"/>
    <w:rsid w:val="63D714CF"/>
    <w:rsid w:val="63D71540"/>
    <w:rsid w:val="63E3213F"/>
    <w:rsid w:val="63E63785"/>
    <w:rsid w:val="63E640A6"/>
    <w:rsid w:val="63E76807"/>
    <w:rsid w:val="63EB2511"/>
    <w:rsid w:val="63EB4AF2"/>
    <w:rsid w:val="63F77E3A"/>
    <w:rsid w:val="64076BB7"/>
    <w:rsid w:val="640F18EE"/>
    <w:rsid w:val="64245237"/>
    <w:rsid w:val="642E5360"/>
    <w:rsid w:val="643C56EC"/>
    <w:rsid w:val="64662AED"/>
    <w:rsid w:val="646B6A72"/>
    <w:rsid w:val="647172A7"/>
    <w:rsid w:val="6482303A"/>
    <w:rsid w:val="64967D77"/>
    <w:rsid w:val="64981FB9"/>
    <w:rsid w:val="64A26B48"/>
    <w:rsid w:val="64B65921"/>
    <w:rsid w:val="64B8767B"/>
    <w:rsid w:val="64CA2CC1"/>
    <w:rsid w:val="64CB3FA7"/>
    <w:rsid w:val="64D92AF9"/>
    <w:rsid w:val="64E10869"/>
    <w:rsid w:val="650233B0"/>
    <w:rsid w:val="65211173"/>
    <w:rsid w:val="653B3C04"/>
    <w:rsid w:val="656F0B05"/>
    <w:rsid w:val="6578477C"/>
    <w:rsid w:val="657E08D7"/>
    <w:rsid w:val="657E3D4B"/>
    <w:rsid w:val="657F01C8"/>
    <w:rsid w:val="6597122F"/>
    <w:rsid w:val="659A3F53"/>
    <w:rsid w:val="659E1AA4"/>
    <w:rsid w:val="65A938C8"/>
    <w:rsid w:val="65C03310"/>
    <w:rsid w:val="65C7645E"/>
    <w:rsid w:val="65CC6D2E"/>
    <w:rsid w:val="65DF2013"/>
    <w:rsid w:val="65EA0558"/>
    <w:rsid w:val="661C4803"/>
    <w:rsid w:val="661E361F"/>
    <w:rsid w:val="661F3D6E"/>
    <w:rsid w:val="662B4E77"/>
    <w:rsid w:val="663554C9"/>
    <w:rsid w:val="66371AC5"/>
    <w:rsid w:val="663C06CD"/>
    <w:rsid w:val="664277A1"/>
    <w:rsid w:val="6646604B"/>
    <w:rsid w:val="664F0359"/>
    <w:rsid w:val="6652794B"/>
    <w:rsid w:val="66563085"/>
    <w:rsid w:val="665C7DB5"/>
    <w:rsid w:val="66676E52"/>
    <w:rsid w:val="667E1CCE"/>
    <w:rsid w:val="668077DB"/>
    <w:rsid w:val="66831DCE"/>
    <w:rsid w:val="66961EF3"/>
    <w:rsid w:val="669B6DBB"/>
    <w:rsid w:val="66A30298"/>
    <w:rsid w:val="66B22C81"/>
    <w:rsid w:val="66B81788"/>
    <w:rsid w:val="66C70A8C"/>
    <w:rsid w:val="66D01248"/>
    <w:rsid w:val="66ED06F1"/>
    <w:rsid w:val="66F07906"/>
    <w:rsid w:val="66FA7DCE"/>
    <w:rsid w:val="66FB78A4"/>
    <w:rsid w:val="66FD3923"/>
    <w:rsid w:val="67060296"/>
    <w:rsid w:val="67183F97"/>
    <w:rsid w:val="67241C35"/>
    <w:rsid w:val="672B44CC"/>
    <w:rsid w:val="67397598"/>
    <w:rsid w:val="6740363F"/>
    <w:rsid w:val="67424C6B"/>
    <w:rsid w:val="67450325"/>
    <w:rsid w:val="67453DD5"/>
    <w:rsid w:val="675030B4"/>
    <w:rsid w:val="67632AA2"/>
    <w:rsid w:val="67682C7A"/>
    <w:rsid w:val="676B4C6B"/>
    <w:rsid w:val="676E1A48"/>
    <w:rsid w:val="67830D1C"/>
    <w:rsid w:val="678F32D5"/>
    <w:rsid w:val="67912B21"/>
    <w:rsid w:val="6792298F"/>
    <w:rsid w:val="67975675"/>
    <w:rsid w:val="67A029E9"/>
    <w:rsid w:val="67A90AB8"/>
    <w:rsid w:val="67AC1818"/>
    <w:rsid w:val="67AD13BC"/>
    <w:rsid w:val="67C05E55"/>
    <w:rsid w:val="67CE68BC"/>
    <w:rsid w:val="67DA2C68"/>
    <w:rsid w:val="67DA7E1C"/>
    <w:rsid w:val="67E11B07"/>
    <w:rsid w:val="67E80AE0"/>
    <w:rsid w:val="67EC3B0D"/>
    <w:rsid w:val="680D5765"/>
    <w:rsid w:val="68151F46"/>
    <w:rsid w:val="6825025A"/>
    <w:rsid w:val="68331594"/>
    <w:rsid w:val="68365831"/>
    <w:rsid w:val="684D34AD"/>
    <w:rsid w:val="68511A9D"/>
    <w:rsid w:val="68570403"/>
    <w:rsid w:val="68580C6C"/>
    <w:rsid w:val="685B01AB"/>
    <w:rsid w:val="68616506"/>
    <w:rsid w:val="689324A2"/>
    <w:rsid w:val="689638CE"/>
    <w:rsid w:val="689B56ED"/>
    <w:rsid w:val="689F1703"/>
    <w:rsid w:val="68A429B6"/>
    <w:rsid w:val="68AA05D9"/>
    <w:rsid w:val="68B51603"/>
    <w:rsid w:val="68C12433"/>
    <w:rsid w:val="68C373D5"/>
    <w:rsid w:val="68C6269C"/>
    <w:rsid w:val="68C8068F"/>
    <w:rsid w:val="68E5323D"/>
    <w:rsid w:val="68F20894"/>
    <w:rsid w:val="68F442DC"/>
    <w:rsid w:val="690B0268"/>
    <w:rsid w:val="691A3BFB"/>
    <w:rsid w:val="693131D6"/>
    <w:rsid w:val="69436CB8"/>
    <w:rsid w:val="694925A7"/>
    <w:rsid w:val="694F0020"/>
    <w:rsid w:val="695D4B06"/>
    <w:rsid w:val="696E4B4E"/>
    <w:rsid w:val="69702A48"/>
    <w:rsid w:val="69743318"/>
    <w:rsid w:val="69744BE1"/>
    <w:rsid w:val="69751E61"/>
    <w:rsid w:val="697E3CD3"/>
    <w:rsid w:val="69873285"/>
    <w:rsid w:val="69A05FC6"/>
    <w:rsid w:val="69A5699A"/>
    <w:rsid w:val="69AA1E18"/>
    <w:rsid w:val="69CD6BD9"/>
    <w:rsid w:val="69DA3637"/>
    <w:rsid w:val="69E33260"/>
    <w:rsid w:val="69EA5AFD"/>
    <w:rsid w:val="69EE5C93"/>
    <w:rsid w:val="69F03B9D"/>
    <w:rsid w:val="69F17D2D"/>
    <w:rsid w:val="69F2461F"/>
    <w:rsid w:val="69F52088"/>
    <w:rsid w:val="69FA54E2"/>
    <w:rsid w:val="6A0875DC"/>
    <w:rsid w:val="6A0B61C2"/>
    <w:rsid w:val="6A105C2D"/>
    <w:rsid w:val="6A175791"/>
    <w:rsid w:val="6A1B52CC"/>
    <w:rsid w:val="6A2748A5"/>
    <w:rsid w:val="6A381F30"/>
    <w:rsid w:val="6A456D6C"/>
    <w:rsid w:val="6A4E6791"/>
    <w:rsid w:val="6A541013"/>
    <w:rsid w:val="6A5457E9"/>
    <w:rsid w:val="6A5E101B"/>
    <w:rsid w:val="6A6D0EFC"/>
    <w:rsid w:val="6A834635"/>
    <w:rsid w:val="6A895810"/>
    <w:rsid w:val="6A945D5C"/>
    <w:rsid w:val="6A9D4829"/>
    <w:rsid w:val="6A9D77CE"/>
    <w:rsid w:val="6AA04459"/>
    <w:rsid w:val="6AB3398E"/>
    <w:rsid w:val="6ACC009C"/>
    <w:rsid w:val="6AD15589"/>
    <w:rsid w:val="6ADF624B"/>
    <w:rsid w:val="6AEE5C88"/>
    <w:rsid w:val="6AF16F03"/>
    <w:rsid w:val="6B0654A9"/>
    <w:rsid w:val="6B0B6320"/>
    <w:rsid w:val="6B0F71F6"/>
    <w:rsid w:val="6B162383"/>
    <w:rsid w:val="6B1B32AC"/>
    <w:rsid w:val="6B216562"/>
    <w:rsid w:val="6B3F1954"/>
    <w:rsid w:val="6B6D1CC0"/>
    <w:rsid w:val="6B6F4EB9"/>
    <w:rsid w:val="6B7A6DE6"/>
    <w:rsid w:val="6B7B0849"/>
    <w:rsid w:val="6B7B14F3"/>
    <w:rsid w:val="6B8D58DA"/>
    <w:rsid w:val="6B96391A"/>
    <w:rsid w:val="6B996E2B"/>
    <w:rsid w:val="6B9E44A6"/>
    <w:rsid w:val="6BAC659F"/>
    <w:rsid w:val="6BAD0116"/>
    <w:rsid w:val="6BBB002B"/>
    <w:rsid w:val="6BBC1A36"/>
    <w:rsid w:val="6BC54172"/>
    <w:rsid w:val="6BC92C26"/>
    <w:rsid w:val="6BCB6E64"/>
    <w:rsid w:val="6BE51A33"/>
    <w:rsid w:val="6BED5684"/>
    <w:rsid w:val="6BFF1251"/>
    <w:rsid w:val="6C210BAA"/>
    <w:rsid w:val="6C2465F4"/>
    <w:rsid w:val="6C2B7179"/>
    <w:rsid w:val="6C34349D"/>
    <w:rsid w:val="6C3A5E7B"/>
    <w:rsid w:val="6C3C1FE1"/>
    <w:rsid w:val="6C4E7396"/>
    <w:rsid w:val="6C5022EF"/>
    <w:rsid w:val="6C5C5FF0"/>
    <w:rsid w:val="6C7E5489"/>
    <w:rsid w:val="6C7F12B5"/>
    <w:rsid w:val="6C864268"/>
    <w:rsid w:val="6C9A2D5A"/>
    <w:rsid w:val="6CA1591C"/>
    <w:rsid w:val="6CBD3AC1"/>
    <w:rsid w:val="6CC454C5"/>
    <w:rsid w:val="6CCD3A47"/>
    <w:rsid w:val="6CD70D9C"/>
    <w:rsid w:val="6CE352A9"/>
    <w:rsid w:val="6CF77F03"/>
    <w:rsid w:val="6D0216E0"/>
    <w:rsid w:val="6D0A194F"/>
    <w:rsid w:val="6D0E6708"/>
    <w:rsid w:val="6D0F2B98"/>
    <w:rsid w:val="6D0F5D5F"/>
    <w:rsid w:val="6D18197D"/>
    <w:rsid w:val="6D1C428C"/>
    <w:rsid w:val="6D3F5B71"/>
    <w:rsid w:val="6D4A098E"/>
    <w:rsid w:val="6D4D7028"/>
    <w:rsid w:val="6D640E1E"/>
    <w:rsid w:val="6D6C353F"/>
    <w:rsid w:val="6D6C56D2"/>
    <w:rsid w:val="6D7C741B"/>
    <w:rsid w:val="6D7D395A"/>
    <w:rsid w:val="6D816AE6"/>
    <w:rsid w:val="6D8534A9"/>
    <w:rsid w:val="6D897AE8"/>
    <w:rsid w:val="6D8C3D35"/>
    <w:rsid w:val="6D9E788E"/>
    <w:rsid w:val="6D9F4B7C"/>
    <w:rsid w:val="6D9F6812"/>
    <w:rsid w:val="6DC71FDC"/>
    <w:rsid w:val="6DD34F3D"/>
    <w:rsid w:val="6DD447B6"/>
    <w:rsid w:val="6DE26910"/>
    <w:rsid w:val="6DE657A0"/>
    <w:rsid w:val="6DF4441E"/>
    <w:rsid w:val="6DF77A2D"/>
    <w:rsid w:val="6E065156"/>
    <w:rsid w:val="6E140F73"/>
    <w:rsid w:val="6E150746"/>
    <w:rsid w:val="6E2A7E82"/>
    <w:rsid w:val="6E407516"/>
    <w:rsid w:val="6E41193A"/>
    <w:rsid w:val="6E4B6FAF"/>
    <w:rsid w:val="6E623D87"/>
    <w:rsid w:val="6E692B66"/>
    <w:rsid w:val="6E6B143D"/>
    <w:rsid w:val="6E773726"/>
    <w:rsid w:val="6E7B259D"/>
    <w:rsid w:val="6E9024F2"/>
    <w:rsid w:val="6E922E2B"/>
    <w:rsid w:val="6E9662D3"/>
    <w:rsid w:val="6E9E0587"/>
    <w:rsid w:val="6EAC3E68"/>
    <w:rsid w:val="6EB367F3"/>
    <w:rsid w:val="6EC211F2"/>
    <w:rsid w:val="6EC43D0B"/>
    <w:rsid w:val="6ED37F05"/>
    <w:rsid w:val="6ED92685"/>
    <w:rsid w:val="6EDD3AD7"/>
    <w:rsid w:val="6EDF7599"/>
    <w:rsid w:val="6EE4766A"/>
    <w:rsid w:val="6EFB420A"/>
    <w:rsid w:val="6F096C75"/>
    <w:rsid w:val="6F0C571D"/>
    <w:rsid w:val="6F224617"/>
    <w:rsid w:val="6F296A6C"/>
    <w:rsid w:val="6F300658"/>
    <w:rsid w:val="6F347B87"/>
    <w:rsid w:val="6F37397A"/>
    <w:rsid w:val="6F3E2324"/>
    <w:rsid w:val="6F673B2D"/>
    <w:rsid w:val="6F8D0E80"/>
    <w:rsid w:val="6F977AA3"/>
    <w:rsid w:val="6FC51295"/>
    <w:rsid w:val="6FD4417C"/>
    <w:rsid w:val="6FDF33AF"/>
    <w:rsid w:val="6FE70BE3"/>
    <w:rsid w:val="6FF5415A"/>
    <w:rsid w:val="6FF91CA3"/>
    <w:rsid w:val="70127F02"/>
    <w:rsid w:val="701A2A94"/>
    <w:rsid w:val="701D395A"/>
    <w:rsid w:val="701D4AEC"/>
    <w:rsid w:val="70292F88"/>
    <w:rsid w:val="70314580"/>
    <w:rsid w:val="70395398"/>
    <w:rsid w:val="703E6AA7"/>
    <w:rsid w:val="70443A24"/>
    <w:rsid w:val="705804F9"/>
    <w:rsid w:val="705C52A0"/>
    <w:rsid w:val="705F5ADF"/>
    <w:rsid w:val="706558DC"/>
    <w:rsid w:val="70656CA4"/>
    <w:rsid w:val="70693E01"/>
    <w:rsid w:val="70825BFC"/>
    <w:rsid w:val="708531F2"/>
    <w:rsid w:val="708755BA"/>
    <w:rsid w:val="708C4300"/>
    <w:rsid w:val="708D47EA"/>
    <w:rsid w:val="709078C0"/>
    <w:rsid w:val="70A11D5B"/>
    <w:rsid w:val="70AE4E9E"/>
    <w:rsid w:val="70B359E9"/>
    <w:rsid w:val="70B750DB"/>
    <w:rsid w:val="70C019B0"/>
    <w:rsid w:val="70C70D13"/>
    <w:rsid w:val="70E024DF"/>
    <w:rsid w:val="70E76B96"/>
    <w:rsid w:val="71092D94"/>
    <w:rsid w:val="710D778C"/>
    <w:rsid w:val="71185FC4"/>
    <w:rsid w:val="711E2CA5"/>
    <w:rsid w:val="712004D5"/>
    <w:rsid w:val="71200B85"/>
    <w:rsid w:val="712E06F3"/>
    <w:rsid w:val="712E79A7"/>
    <w:rsid w:val="71351BF4"/>
    <w:rsid w:val="713B70C4"/>
    <w:rsid w:val="714B524E"/>
    <w:rsid w:val="714D1BD8"/>
    <w:rsid w:val="71592B6A"/>
    <w:rsid w:val="71646BEE"/>
    <w:rsid w:val="718130C0"/>
    <w:rsid w:val="71866F32"/>
    <w:rsid w:val="71886B85"/>
    <w:rsid w:val="719C6A7E"/>
    <w:rsid w:val="71AF6C7A"/>
    <w:rsid w:val="71BF0DA0"/>
    <w:rsid w:val="71D46313"/>
    <w:rsid w:val="71D606B3"/>
    <w:rsid w:val="71E4055C"/>
    <w:rsid w:val="71ED037B"/>
    <w:rsid w:val="720D5DD3"/>
    <w:rsid w:val="721331BB"/>
    <w:rsid w:val="72585A38"/>
    <w:rsid w:val="72650CF0"/>
    <w:rsid w:val="72660C3C"/>
    <w:rsid w:val="726E3D4F"/>
    <w:rsid w:val="72894143"/>
    <w:rsid w:val="72921D7A"/>
    <w:rsid w:val="72A2293A"/>
    <w:rsid w:val="72AE3BC8"/>
    <w:rsid w:val="72C70245"/>
    <w:rsid w:val="72CD263F"/>
    <w:rsid w:val="72CD54FE"/>
    <w:rsid w:val="72D57281"/>
    <w:rsid w:val="72DC48DB"/>
    <w:rsid w:val="72E06B57"/>
    <w:rsid w:val="72E10A8B"/>
    <w:rsid w:val="72E15B8C"/>
    <w:rsid w:val="730A0A7E"/>
    <w:rsid w:val="731320D4"/>
    <w:rsid w:val="731E5A7C"/>
    <w:rsid w:val="731F014D"/>
    <w:rsid w:val="732463CF"/>
    <w:rsid w:val="73263335"/>
    <w:rsid w:val="73276F1F"/>
    <w:rsid w:val="7328685E"/>
    <w:rsid w:val="732F0E2C"/>
    <w:rsid w:val="73334DD7"/>
    <w:rsid w:val="733563B7"/>
    <w:rsid w:val="734B664C"/>
    <w:rsid w:val="73600EC0"/>
    <w:rsid w:val="73616CE2"/>
    <w:rsid w:val="7386714B"/>
    <w:rsid w:val="738B0DE4"/>
    <w:rsid w:val="73915642"/>
    <w:rsid w:val="73961B3E"/>
    <w:rsid w:val="73A55F06"/>
    <w:rsid w:val="73BA3B34"/>
    <w:rsid w:val="73C42C21"/>
    <w:rsid w:val="73CD667D"/>
    <w:rsid w:val="73D703EB"/>
    <w:rsid w:val="73D86CF8"/>
    <w:rsid w:val="73E22D3A"/>
    <w:rsid w:val="74074FAC"/>
    <w:rsid w:val="74145632"/>
    <w:rsid w:val="74182BEE"/>
    <w:rsid w:val="741F383A"/>
    <w:rsid w:val="743C7570"/>
    <w:rsid w:val="7442311A"/>
    <w:rsid w:val="74462ABD"/>
    <w:rsid w:val="74497A3A"/>
    <w:rsid w:val="744F405D"/>
    <w:rsid w:val="74501E27"/>
    <w:rsid w:val="74692F48"/>
    <w:rsid w:val="74717DF7"/>
    <w:rsid w:val="74842117"/>
    <w:rsid w:val="748962E5"/>
    <w:rsid w:val="748A4C7E"/>
    <w:rsid w:val="749645AB"/>
    <w:rsid w:val="749965E0"/>
    <w:rsid w:val="749D37FA"/>
    <w:rsid w:val="749F1C4D"/>
    <w:rsid w:val="74AF1873"/>
    <w:rsid w:val="74B57C76"/>
    <w:rsid w:val="74C2392A"/>
    <w:rsid w:val="74C61ABB"/>
    <w:rsid w:val="74CA2ABF"/>
    <w:rsid w:val="74E97EBA"/>
    <w:rsid w:val="74FA704E"/>
    <w:rsid w:val="74FF1EB4"/>
    <w:rsid w:val="75060C77"/>
    <w:rsid w:val="751B4F66"/>
    <w:rsid w:val="752418D4"/>
    <w:rsid w:val="752F112F"/>
    <w:rsid w:val="754C0824"/>
    <w:rsid w:val="755121B1"/>
    <w:rsid w:val="75532FB0"/>
    <w:rsid w:val="755A685D"/>
    <w:rsid w:val="756D166D"/>
    <w:rsid w:val="75765D92"/>
    <w:rsid w:val="75835C78"/>
    <w:rsid w:val="758617A8"/>
    <w:rsid w:val="758F2FC0"/>
    <w:rsid w:val="759702D0"/>
    <w:rsid w:val="759C3928"/>
    <w:rsid w:val="759D7B65"/>
    <w:rsid w:val="759E5564"/>
    <w:rsid w:val="75A03ADD"/>
    <w:rsid w:val="75A8100D"/>
    <w:rsid w:val="75B32FD8"/>
    <w:rsid w:val="75B720EC"/>
    <w:rsid w:val="75CC2956"/>
    <w:rsid w:val="75DB3900"/>
    <w:rsid w:val="75FA36BC"/>
    <w:rsid w:val="76041276"/>
    <w:rsid w:val="761505AA"/>
    <w:rsid w:val="76253D17"/>
    <w:rsid w:val="762B33E2"/>
    <w:rsid w:val="764F7E68"/>
    <w:rsid w:val="76671484"/>
    <w:rsid w:val="766C5B4E"/>
    <w:rsid w:val="76906E8B"/>
    <w:rsid w:val="76AF74F4"/>
    <w:rsid w:val="76B419D3"/>
    <w:rsid w:val="76B961C2"/>
    <w:rsid w:val="76C40E78"/>
    <w:rsid w:val="76CB5D21"/>
    <w:rsid w:val="76D3188C"/>
    <w:rsid w:val="76EA5296"/>
    <w:rsid w:val="77004369"/>
    <w:rsid w:val="770B3071"/>
    <w:rsid w:val="771B5867"/>
    <w:rsid w:val="771F4E2C"/>
    <w:rsid w:val="77274409"/>
    <w:rsid w:val="77373C24"/>
    <w:rsid w:val="774978D5"/>
    <w:rsid w:val="774B5E89"/>
    <w:rsid w:val="774E446C"/>
    <w:rsid w:val="77514DE7"/>
    <w:rsid w:val="77584C4A"/>
    <w:rsid w:val="775E0D52"/>
    <w:rsid w:val="77703CB9"/>
    <w:rsid w:val="77770A51"/>
    <w:rsid w:val="777B3172"/>
    <w:rsid w:val="77854678"/>
    <w:rsid w:val="77902163"/>
    <w:rsid w:val="779F3575"/>
    <w:rsid w:val="77A043E8"/>
    <w:rsid w:val="77AC586B"/>
    <w:rsid w:val="77BE202E"/>
    <w:rsid w:val="77DA121A"/>
    <w:rsid w:val="77DF694A"/>
    <w:rsid w:val="77F02960"/>
    <w:rsid w:val="77F411B2"/>
    <w:rsid w:val="780F268E"/>
    <w:rsid w:val="78104026"/>
    <w:rsid w:val="78117A75"/>
    <w:rsid w:val="781677A5"/>
    <w:rsid w:val="783E3AD3"/>
    <w:rsid w:val="78427895"/>
    <w:rsid w:val="78446B04"/>
    <w:rsid w:val="784D069C"/>
    <w:rsid w:val="785B75A2"/>
    <w:rsid w:val="786C7A79"/>
    <w:rsid w:val="78757415"/>
    <w:rsid w:val="78792F12"/>
    <w:rsid w:val="787E7AC5"/>
    <w:rsid w:val="788C78D0"/>
    <w:rsid w:val="78AA7DC3"/>
    <w:rsid w:val="78B94248"/>
    <w:rsid w:val="78C61C4C"/>
    <w:rsid w:val="78C66D8D"/>
    <w:rsid w:val="78CE6DEA"/>
    <w:rsid w:val="78D17448"/>
    <w:rsid w:val="78D42DAB"/>
    <w:rsid w:val="78D97769"/>
    <w:rsid w:val="78DF6CF6"/>
    <w:rsid w:val="78E23F85"/>
    <w:rsid w:val="78E52A0D"/>
    <w:rsid w:val="78E85A98"/>
    <w:rsid w:val="78EB3A29"/>
    <w:rsid w:val="78F152EB"/>
    <w:rsid w:val="78FB4DEB"/>
    <w:rsid w:val="790A5A7F"/>
    <w:rsid w:val="792D7886"/>
    <w:rsid w:val="79317B18"/>
    <w:rsid w:val="79381345"/>
    <w:rsid w:val="794C68AA"/>
    <w:rsid w:val="79506624"/>
    <w:rsid w:val="795C29E6"/>
    <w:rsid w:val="79752FCF"/>
    <w:rsid w:val="797E11B0"/>
    <w:rsid w:val="79803A7F"/>
    <w:rsid w:val="798A1359"/>
    <w:rsid w:val="7993661E"/>
    <w:rsid w:val="799620D6"/>
    <w:rsid w:val="799D7772"/>
    <w:rsid w:val="79A04071"/>
    <w:rsid w:val="79A13454"/>
    <w:rsid w:val="79B02730"/>
    <w:rsid w:val="79B71BC4"/>
    <w:rsid w:val="79BE37F3"/>
    <w:rsid w:val="79BF4AD9"/>
    <w:rsid w:val="79C425B9"/>
    <w:rsid w:val="79CB20C6"/>
    <w:rsid w:val="79D10E88"/>
    <w:rsid w:val="79D44A56"/>
    <w:rsid w:val="79DD559F"/>
    <w:rsid w:val="79EC3DAD"/>
    <w:rsid w:val="7A016776"/>
    <w:rsid w:val="7A075357"/>
    <w:rsid w:val="7A0C3CB7"/>
    <w:rsid w:val="7A1C7158"/>
    <w:rsid w:val="7A2C1A99"/>
    <w:rsid w:val="7A357C44"/>
    <w:rsid w:val="7A3A0983"/>
    <w:rsid w:val="7A516845"/>
    <w:rsid w:val="7A58304C"/>
    <w:rsid w:val="7A696F4A"/>
    <w:rsid w:val="7A6D6B9D"/>
    <w:rsid w:val="7A8C5F0F"/>
    <w:rsid w:val="7A8E4DC2"/>
    <w:rsid w:val="7A8E6DF8"/>
    <w:rsid w:val="7A9035CD"/>
    <w:rsid w:val="7AAB5F32"/>
    <w:rsid w:val="7AB462B5"/>
    <w:rsid w:val="7ACB6B04"/>
    <w:rsid w:val="7AD67262"/>
    <w:rsid w:val="7AF63018"/>
    <w:rsid w:val="7AFD4FF1"/>
    <w:rsid w:val="7B1240BF"/>
    <w:rsid w:val="7B2238D0"/>
    <w:rsid w:val="7B244FF4"/>
    <w:rsid w:val="7B324E7B"/>
    <w:rsid w:val="7B36286F"/>
    <w:rsid w:val="7B3C61FF"/>
    <w:rsid w:val="7B4F2FAA"/>
    <w:rsid w:val="7B571057"/>
    <w:rsid w:val="7B5D5F44"/>
    <w:rsid w:val="7B5F5947"/>
    <w:rsid w:val="7B6E6A30"/>
    <w:rsid w:val="7B71528D"/>
    <w:rsid w:val="7B8479EF"/>
    <w:rsid w:val="7B886CD3"/>
    <w:rsid w:val="7B996EB6"/>
    <w:rsid w:val="7B9B74F7"/>
    <w:rsid w:val="7B9D2152"/>
    <w:rsid w:val="7B9E512B"/>
    <w:rsid w:val="7BA50646"/>
    <w:rsid w:val="7BAA452E"/>
    <w:rsid w:val="7BBA5BFA"/>
    <w:rsid w:val="7BD22183"/>
    <w:rsid w:val="7BE52087"/>
    <w:rsid w:val="7BF75820"/>
    <w:rsid w:val="7BF9055E"/>
    <w:rsid w:val="7BFD4686"/>
    <w:rsid w:val="7C225830"/>
    <w:rsid w:val="7C2A5B94"/>
    <w:rsid w:val="7C2E1CA4"/>
    <w:rsid w:val="7C374B77"/>
    <w:rsid w:val="7C3F2C65"/>
    <w:rsid w:val="7C417243"/>
    <w:rsid w:val="7C46045B"/>
    <w:rsid w:val="7C4A6473"/>
    <w:rsid w:val="7C5024FD"/>
    <w:rsid w:val="7C5B04E8"/>
    <w:rsid w:val="7C6C4074"/>
    <w:rsid w:val="7C6D0303"/>
    <w:rsid w:val="7C780709"/>
    <w:rsid w:val="7C8831B1"/>
    <w:rsid w:val="7C895A12"/>
    <w:rsid w:val="7CC6113C"/>
    <w:rsid w:val="7CE642F5"/>
    <w:rsid w:val="7D0A2B60"/>
    <w:rsid w:val="7D0A46E2"/>
    <w:rsid w:val="7D19647F"/>
    <w:rsid w:val="7D255070"/>
    <w:rsid w:val="7D282F70"/>
    <w:rsid w:val="7D4C11F0"/>
    <w:rsid w:val="7D6C0093"/>
    <w:rsid w:val="7D715862"/>
    <w:rsid w:val="7D741DF3"/>
    <w:rsid w:val="7D811841"/>
    <w:rsid w:val="7D82563E"/>
    <w:rsid w:val="7D845680"/>
    <w:rsid w:val="7D870E70"/>
    <w:rsid w:val="7D87345B"/>
    <w:rsid w:val="7DAD79A0"/>
    <w:rsid w:val="7DB161A3"/>
    <w:rsid w:val="7DBA10EA"/>
    <w:rsid w:val="7DD65B9F"/>
    <w:rsid w:val="7DD84377"/>
    <w:rsid w:val="7DE23314"/>
    <w:rsid w:val="7DF21CA0"/>
    <w:rsid w:val="7DF36E9E"/>
    <w:rsid w:val="7E147258"/>
    <w:rsid w:val="7E165F3C"/>
    <w:rsid w:val="7E7E43BF"/>
    <w:rsid w:val="7E927615"/>
    <w:rsid w:val="7E95125C"/>
    <w:rsid w:val="7EA71032"/>
    <w:rsid w:val="7EAE0A9A"/>
    <w:rsid w:val="7EB362D9"/>
    <w:rsid w:val="7EB94457"/>
    <w:rsid w:val="7EE033E6"/>
    <w:rsid w:val="7EE04B06"/>
    <w:rsid w:val="7EED4391"/>
    <w:rsid w:val="7EF9508E"/>
    <w:rsid w:val="7EFF6C63"/>
    <w:rsid w:val="7F0763D8"/>
    <w:rsid w:val="7F0C0F90"/>
    <w:rsid w:val="7F1068C8"/>
    <w:rsid w:val="7F2C7C5A"/>
    <w:rsid w:val="7F2F6B87"/>
    <w:rsid w:val="7F314D60"/>
    <w:rsid w:val="7F4B492E"/>
    <w:rsid w:val="7F5520C3"/>
    <w:rsid w:val="7F7037E4"/>
    <w:rsid w:val="7F741BBF"/>
    <w:rsid w:val="7F754064"/>
    <w:rsid w:val="7F826292"/>
    <w:rsid w:val="7F881352"/>
    <w:rsid w:val="7F916AB7"/>
    <w:rsid w:val="7FA61A41"/>
    <w:rsid w:val="7FAA652D"/>
    <w:rsid w:val="7FAB3D12"/>
    <w:rsid w:val="7FBF24EE"/>
    <w:rsid w:val="7FC145FD"/>
    <w:rsid w:val="7FCD22FC"/>
    <w:rsid w:val="7FD43227"/>
    <w:rsid w:val="7FDC22EC"/>
    <w:rsid w:val="7FDD1490"/>
    <w:rsid w:val="7FE91EF0"/>
    <w:rsid w:val="7FFC3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1"/>
      <w:szCs w:val="22"/>
      <w:lang w:val="en-US" w:eastAsia="zh-CN" w:bidi="ar-SA"/>
    </w:rPr>
  </w:style>
  <w:style w:type="paragraph" w:styleId="4">
    <w:name w:val="heading 1"/>
    <w:basedOn w:val="1"/>
    <w:next w:val="1"/>
    <w:qFormat/>
    <w:uiPriority w:val="0"/>
    <w:pPr>
      <w:keepNext/>
      <w:keepLines/>
      <w:spacing w:before="340" w:after="330" w:line="360" w:lineRule="auto"/>
      <w:jc w:val="center"/>
      <w:outlineLvl w:val="0"/>
    </w:pPr>
    <w:rPr>
      <w:rFonts w:cs="Times New Roman"/>
      <w:b/>
      <w:bCs/>
      <w:kern w:val="44"/>
      <w:sz w:val="30"/>
      <w:szCs w:val="32"/>
    </w:rPr>
  </w:style>
  <w:style w:type="paragraph" w:styleId="5">
    <w:name w:val="heading 2"/>
    <w:basedOn w:val="1"/>
    <w:next w:val="1"/>
    <w:qFormat/>
    <w:uiPriority w:val="0"/>
    <w:pPr>
      <w:keepNext/>
      <w:keepLines/>
      <w:widowControl w:val="0"/>
      <w:numPr>
        <w:ilvl w:val="1"/>
        <w:numId w:val="1"/>
      </w:numPr>
      <w:tabs>
        <w:tab w:val="left" w:pos="426"/>
        <w:tab w:val="left" w:pos="567"/>
      </w:tabs>
      <w:spacing w:before="50" w:beforeLines="50" w:after="50" w:afterLines="50" w:line="360" w:lineRule="auto"/>
      <w:outlineLvl w:val="1"/>
    </w:pPr>
    <w:rPr>
      <w:rFonts w:cs="Times New Roman"/>
      <w:b/>
      <w:bCs/>
      <w:iCs/>
      <w:kern w:val="0"/>
      <w:sz w:val="28"/>
      <w:szCs w:val="28"/>
    </w:rPr>
  </w:style>
  <w:style w:type="paragraph" w:styleId="6">
    <w:name w:val="heading 3"/>
    <w:basedOn w:val="1"/>
    <w:next w:val="1"/>
    <w:qFormat/>
    <w:uiPriority w:val="0"/>
    <w:pPr>
      <w:keepNext/>
      <w:keepLines/>
      <w:widowControl w:val="0"/>
      <w:numPr>
        <w:ilvl w:val="2"/>
        <w:numId w:val="1"/>
      </w:numPr>
      <w:spacing w:line="360" w:lineRule="auto"/>
      <w:outlineLvl w:val="2"/>
    </w:pPr>
    <w:rPr>
      <w:rFonts w:cs="Times New Roman"/>
      <w:b/>
      <w:bCs/>
      <w:color w:val="000000"/>
      <w:sz w:val="24"/>
      <w:szCs w:val="28"/>
    </w:rPr>
  </w:style>
  <w:style w:type="paragraph" w:styleId="7">
    <w:name w:val="heading 4"/>
    <w:basedOn w:val="1"/>
    <w:next w:val="1"/>
    <w:link w:val="24"/>
    <w:qFormat/>
    <w:uiPriority w:val="0"/>
    <w:pPr>
      <w:keepNext/>
      <w:keepLines/>
      <w:widowControl w:val="0"/>
      <w:tabs>
        <w:tab w:val="left" w:pos="851"/>
      </w:tabs>
      <w:spacing w:line="360" w:lineRule="auto"/>
      <w:ind w:firstLine="198"/>
      <w:outlineLvl w:val="3"/>
    </w:pPr>
    <w:rPr>
      <w:rFonts w:cs="Times New Roman"/>
      <w:b/>
      <w:bCs/>
      <w:kern w:val="0"/>
      <w:sz w:val="24"/>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100" w:firstLineChars="100"/>
    </w:pPr>
    <w:rPr>
      <w:sz w:val="21"/>
    </w:rPr>
  </w:style>
  <w:style w:type="paragraph" w:styleId="3">
    <w:name w:val="Body Text"/>
    <w:basedOn w:val="1"/>
    <w:next w:val="1"/>
    <w:qFormat/>
    <w:uiPriority w:val="0"/>
    <w:pPr>
      <w:spacing w:after="120"/>
    </w:pPr>
    <w:rPr>
      <w:rFonts w:ascii="Times New Roman" w:hAnsi="Times New Roman" w:cs="Times New Roman"/>
      <w:kern w:val="0"/>
      <w:sz w:val="24"/>
      <w:szCs w:val="24"/>
    </w:rPr>
  </w:style>
  <w:style w:type="paragraph" w:styleId="8">
    <w:name w:val="Normal Indent"/>
    <w:basedOn w:val="1"/>
    <w:qFormat/>
    <w:uiPriority w:val="0"/>
    <w:pPr>
      <w:widowControl w:val="0"/>
      <w:spacing w:line="360" w:lineRule="auto"/>
      <w:ind w:firstLine="420" w:firstLineChars="200"/>
      <w:jc w:val="both"/>
    </w:pPr>
    <w:rPr>
      <w:rFonts w:ascii="Times New Roman" w:hAnsi="Times New Roman" w:cs="Times New Roman"/>
      <w:szCs w:val="24"/>
    </w:rPr>
  </w:style>
  <w:style w:type="paragraph" w:styleId="9">
    <w:name w:val="toc 3"/>
    <w:basedOn w:val="1"/>
    <w:next w:val="1"/>
    <w:qFormat/>
    <w:uiPriority w:val="39"/>
    <w:pPr>
      <w:widowControl w:val="0"/>
      <w:ind w:left="200" w:leftChars="200"/>
    </w:pPr>
    <w:rPr>
      <w:kern w:val="2"/>
      <w:sz w:val="20"/>
      <w:szCs w:val="20"/>
    </w:rPr>
  </w:style>
  <w:style w:type="paragraph" w:styleId="10">
    <w:name w:val="Plain Text"/>
    <w:basedOn w:val="1"/>
    <w:qFormat/>
    <w:uiPriority w:val="0"/>
    <w:pPr>
      <w:widowControl w:val="0"/>
      <w:autoSpaceDE w:val="0"/>
      <w:autoSpaceDN w:val="0"/>
      <w:adjustRightInd w:val="0"/>
      <w:jc w:val="both"/>
    </w:pPr>
    <w:rPr>
      <w:rFonts w:hAnsi="Tms Rmn" w:cs="Times New Roman"/>
      <w:kern w:val="0"/>
      <w:szCs w:val="21"/>
    </w:rPr>
  </w:style>
  <w:style w:type="paragraph" w:styleId="11">
    <w:name w:val="Body Text Indent 2"/>
    <w:basedOn w:val="1"/>
    <w:unhideWhenUsed/>
    <w:qFormat/>
    <w:uiPriority w:val="0"/>
    <w:pPr>
      <w:spacing w:after="120" w:line="480" w:lineRule="auto"/>
      <w:ind w:left="420" w:leftChars="200"/>
    </w:pPr>
  </w:style>
  <w:style w:type="paragraph" w:styleId="12">
    <w:name w:val="footer"/>
    <w:basedOn w:val="1"/>
    <w:qFormat/>
    <w:uiPriority w:val="99"/>
    <w:pPr>
      <w:tabs>
        <w:tab w:val="center" w:pos="4153"/>
        <w:tab w:val="right" w:pos="8306"/>
      </w:tabs>
      <w:snapToGrid w:val="0"/>
    </w:pPr>
    <w:rPr>
      <w:rFonts w:ascii="Times New Roman" w:hAnsi="Times New Roman" w:cs="Times New Roman"/>
      <w:kern w:val="0"/>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4">
    <w:name w:val="toc 1"/>
    <w:basedOn w:val="1"/>
    <w:next w:val="1"/>
    <w:qFormat/>
    <w:uiPriority w:val="39"/>
    <w:pPr>
      <w:tabs>
        <w:tab w:val="left" w:pos="840"/>
        <w:tab w:val="right" w:leader="dot" w:pos="9204"/>
      </w:tabs>
      <w:spacing w:before="120" w:after="120"/>
    </w:pPr>
    <w:rPr>
      <w:bCs/>
      <w:caps/>
      <w:sz w:val="20"/>
      <w:szCs w:val="20"/>
    </w:rPr>
  </w:style>
  <w:style w:type="paragraph" w:styleId="15">
    <w:name w:val="toc 2"/>
    <w:basedOn w:val="1"/>
    <w:next w:val="1"/>
    <w:qFormat/>
    <w:uiPriority w:val="39"/>
    <w:pPr>
      <w:ind w:left="100" w:leftChars="100"/>
    </w:pPr>
    <w:rPr>
      <w:smallCaps/>
      <w:sz w:val="20"/>
      <w:szCs w:val="20"/>
    </w:rPr>
  </w:style>
  <w:style w:type="paragraph" w:styleId="1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Hyperlink"/>
    <w:qFormat/>
    <w:uiPriority w:val="99"/>
    <w:rPr>
      <w:color w:val="0000FF"/>
      <w:u w:val="single"/>
    </w:rPr>
  </w:style>
  <w:style w:type="paragraph" w:customStyle="1" w:styleId="22">
    <w:name w:val="*正文"/>
    <w:basedOn w:val="1"/>
    <w:qFormat/>
    <w:uiPriority w:val="0"/>
    <w:pPr>
      <w:widowControl/>
      <w:spacing w:line="360" w:lineRule="auto"/>
      <w:ind w:firstLine="200" w:firstLineChars="200"/>
      <w:jc w:val="left"/>
    </w:pPr>
    <w:rPr>
      <w:rFonts w:ascii="宋体" w:hAnsi="宋体" w:eastAsia="宋体" w:cs="宋体"/>
      <w:sz w:val="24"/>
      <w:szCs w:val="28"/>
    </w:rPr>
  </w:style>
  <w:style w:type="paragraph" w:customStyle="1" w:styleId="23">
    <w:name w:val="标书（正文）"/>
    <w:basedOn w:val="1"/>
    <w:qFormat/>
    <w:uiPriority w:val="0"/>
    <w:pPr>
      <w:widowControl w:val="0"/>
      <w:spacing w:line="360" w:lineRule="auto"/>
      <w:ind w:firstLine="560" w:firstLineChars="200"/>
      <w:jc w:val="both"/>
    </w:pPr>
    <w:rPr>
      <w:rFonts w:cs="Times New Roman"/>
      <w:kern w:val="10"/>
      <w:sz w:val="24"/>
      <w:szCs w:val="20"/>
    </w:rPr>
  </w:style>
  <w:style w:type="character" w:customStyle="1" w:styleId="24">
    <w:name w:val="标题 4 Char"/>
    <w:link w:val="7"/>
    <w:qFormat/>
    <w:uiPriority w:val="0"/>
    <w:rPr>
      <w:rFonts w:cs="Times New Roman"/>
      <w:b/>
      <w:bCs/>
      <w:kern w:val="0"/>
      <w:sz w:val="24"/>
      <w:szCs w:val="28"/>
    </w:rPr>
  </w:style>
  <w:style w:type="paragraph" w:customStyle="1" w:styleId="2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6">
    <w:name w:val="CD正文"/>
    <w:basedOn w:val="27"/>
    <w:qFormat/>
    <w:uiPriority w:val="0"/>
    <w:pPr>
      <w:widowControl w:val="0"/>
      <w:spacing w:line="360" w:lineRule="auto"/>
      <w:ind w:firstLine="493"/>
      <w:jc w:val="both"/>
    </w:pPr>
    <w:rPr>
      <w:rFonts w:ascii="Times New Roman" w:hAnsi="Times New Roman" w:cs="Times New Roman"/>
      <w:sz w:val="30"/>
      <w:szCs w:val="28"/>
    </w:rPr>
  </w:style>
  <w:style w:type="paragraph" w:customStyle="1" w:styleId="27">
    <w:name w:val="文章正文"/>
    <w:basedOn w:val="1"/>
    <w:qFormat/>
    <w:uiPriority w:val="0"/>
    <w:pPr>
      <w:widowControl w:val="0"/>
      <w:spacing w:line="360" w:lineRule="auto"/>
      <w:ind w:firstLine="420"/>
      <w:jc w:val="both"/>
    </w:pPr>
    <w:rPr>
      <w:rFonts w:ascii="Times New Roman" w:hAnsi="Times New Roman" w:cs="Times New Roman"/>
      <w:sz w:val="24"/>
      <w:szCs w:val="24"/>
    </w:rPr>
  </w:style>
  <w:style w:type="paragraph" w:styleId="28">
    <w:name w:val="List Paragraph"/>
    <w:basedOn w:val="1"/>
    <w:qFormat/>
    <w:uiPriority w:val="0"/>
    <w:pPr>
      <w:ind w:firstLine="420" w:firstLineChars="200"/>
    </w:pPr>
    <w:rPr>
      <w:rFonts w:ascii="Times New Roman" w:hAnsi="Times New Roman" w:cs="Times New Roman"/>
      <w:kern w:val="0"/>
      <w:sz w:val="24"/>
      <w:szCs w:val="24"/>
    </w:rPr>
  </w:style>
  <w:style w:type="paragraph" w:customStyle="1" w:styleId="29">
    <w:name w:val="列出段落1"/>
    <w:basedOn w:val="1"/>
    <w:qFormat/>
    <w:uiPriority w:val="0"/>
    <w:pPr>
      <w:ind w:firstLine="420" w:firstLineChars="200"/>
    </w:pPr>
    <w:rPr>
      <w:lang w:val="zh-CN"/>
    </w:rPr>
  </w:style>
  <w:style w:type="paragraph" w:customStyle="1" w:styleId="30">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Normal_1"/>
    <w:qFormat/>
    <w:uiPriority w:val="0"/>
    <w:rPr>
      <w:rFonts w:ascii="黑体" w:hAnsi="黑体" w:eastAsia="黑体" w:cs="Times New Roman"/>
      <w:b/>
      <w:sz w:val="32"/>
      <w:szCs w:val="24"/>
      <w:lang w:bidi="ar-SA"/>
    </w:rPr>
  </w:style>
  <w:style w:type="paragraph" w:customStyle="1" w:styleId="32">
    <w:name w:val="标书（正文）_0"/>
    <w:basedOn w:val="33"/>
    <w:qFormat/>
    <w:uiPriority w:val="0"/>
    <w:pPr>
      <w:spacing w:line="360" w:lineRule="auto"/>
      <w:ind w:firstLine="560" w:firstLineChars="200"/>
    </w:pPr>
    <w:rPr>
      <w:rFonts w:ascii="宋体" w:hAnsi="宋体"/>
      <w:kern w:val="10"/>
      <w:sz w:val="24"/>
      <w:szCs w:val="20"/>
    </w:rPr>
  </w:style>
  <w:style w:type="paragraph" w:customStyle="1" w:styleId="33">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
    <w:name w:val="Normal_3"/>
    <w:qFormat/>
    <w:uiPriority w:val="0"/>
    <w:pPr>
      <w:widowControl w:val="0"/>
      <w:jc w:val="both"/>
    </w:pPr>
    <w:rPr>
      <w:rFonts w:ascii="Calibri" w:hAnsi="Calibri" w:eastAsia="宋体" w:cs="Times New Roman"/>
      <w:kern w:val="2"/>
      <w:sz w:val="21"/>
      <w:szCs w:val="22"/>
      <w:lang w:bidi="ar-SA"/>
    </w:rPr>
  </w:style>
  <w:style w:type="paragraph" w:customStyle="1" w:styleId="35">
    <w:name w:val="标书（正文）_1"/>
    <w:basedOn w:val="36"/>
    <w:qFormat/>
    <w:uiPriority w:val="0"/>
    <w:pPr>
      <w:spacing w:line="360" w:lineRule="auto"/>
      <w:ind w:firstLine="560" w:firstLineChars="200"/>
    </w:pPr>
    <w:rPr>
      <w:rFonts w:ascii="宋体" w:hAnsi="宋体" w:eastAsia="宋体"/>
      <w:kern w:val="10"/>
      <w:sz w:val="24"/>
      <w:szCs w:val="20"/>
    </w:rPr>
  </w:style>
  <w:style w:type="paragraph" w:customStyle="1" w:styleId="36">
    <w:name w:val="正文_2"/>
    <w:next w:val="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正文文本_0"/>
    <w:basedOn w:val="36"/>
    <w:qFormat/>
    <w:uiPriority w:val="1"/>
    <w:pPr>
      <w:adjustRightInd w:val="0"/>
      <w:spacing w:after="60" w:line="360" w:lineRule="atLeast"/>
      <w:ind w:left="72" w:leftChars="30" w:right="30" w:rightChars="30"/>
      <w:jc w:val="center"/>
      <w:textAlignment w:val="baseline"/>
    </w:pPr>
  </w:style>
  <w:style w:type="paragraph" w:customStyle="1" w:styleId="38">
    <w:name w:val="Normal_5"/>
    <w:next w:val="39"/>
    <w:qFormat/>
    <w:uiPriority w:val="0"/>
    <w:pPr>
      <w:widowControl w:val="0"/>
      <w:jc w:val="both"/>
    </w:pPr>
    <w:rPr>
      <w:rFonts w:ascii="Calibri" w:hAnsi="Calibri" w:eastAsia="宋体" w:cs="Calibri"/>
      <w:kern w:val="2"/>
      <w:sz w:val="21"/>
      <w:szCs w:val="21"/>
      <w:lang w:val="en-US" w:eastAsia="zh-CN" w:bidi="ar-SA"/>
    </w:rPr>
  </w:style>
  <w:style w:type="paragraph" w:customStyle="1" w:styleId="39">
    <w:name w:val="Body Text"/>
    <w:basedOn w:val="38"/>
    <w:next w:val="38"/>
    <w:qFormat/>
    <w:uiPriority w:val="0"/>
    <w:pPr>
      <w:spacing w:after="120"/>
    </w:pPr>
  </w:style>
  <w:style w:type="paragraph" w:customStyle="1" w:styleId="40">
    <w:name w:val="*正文_0_0"/>
    <w:basedOn w:val="41"/>
    <w:qFormat/>
    <w:uiPriority w:val="0"/>
    <w:pPr>
      <w:widowControl/>
      <w:spacing w:line="360" w:lineRule="auto"/>
      <w:ind w:firstLine="200" w:firstLineChars="200"/>
      <w:jc w:val="left"/>
    </w:pPr>
    <w:rPr>
      <w:rFonts w:ascii="宋体" w:hAnsi="Times New Roman" w:eastAsia="宋体"/>
      <w:sz w:val="24"/>
      <w:szCs w:val="28"/>
    </w:rPr>
  </w:style>
  <w:style w:type="paragraph" w:customStyle="1" w:styleId="41">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标书（正文）_0_0"/>
    <w:basedOn w:val="41"/>
    <w:qFormat/>
    <w:uiPriority w:val="0"/>
    <w:pPr>
      <w:spacing w:line="360" w:lineRule="auto"/>
      <w:ind w:firstLine="560" w:firstLineChars="200"/>
    </w:pPr>
    <w:rPr>
      <w:rFonts w:ascii="宋体" w:hAnsi="宋体"/>
      <w:kern w:val="10"/>
      <w:sz w:val="24"/>
      <w:szCs w:val="20"/>
    </w:rPr>
  </w:style>
  <w:style w:type="paragraph" w:customStyle="1" w:styleId="43">
    <w:name w:val="Normal_16"/>
    <w:qFormat/>
    <w:uiPriority w:val="0"/>
    <w:rPr>
      <w:rFonts w:ascii="黑体" w:hAnsi="黑体" w:eastAsia="黑体" w:cs="Times New Roman"/>
      <w:b/>
      <w:sz w:val="32"/>
      <w:szCs w:val="24"/>
      <w:lang w:bidi="ar-SA"/>
    </w:rPr>
  </w:style>
  <w:style w:type="paragraph" w:customStyle="1" w:styleId="44">
    <w:name w:val="CD正文_0_0"/>
    <w:basedOn w:val="45"/>
    <w:qFormat/>
    <w:uiPriority w:val="0"/>
    <w:pPr>
      <w:spacing w:line="360" w:lineRule="auto"/>
      <w:ind w:firstLine="493"/>
    </w:pPr>
    <w:rPr>
      <w:rFonts w:eastAsia="宋体"/>
      <w:sz w:val="30"/>
      <w:szCs w:val="28"/>
    </w:rPr>
  </w:style>
  <w:style w:type="paragraph" w:customStyle="1" w:styleId="45">
    <w:name w:val="文章正文_0"/>
    <w:basedOn w:val="46"/>
    <w:qFormat/>
    <w:uiPriority w:val="0"/>
    <w:pPr>
      <w:spacing w:line="360" w:lineRule="auto"/>
      <w:ind w:firstLine="420"/>
    </w:pPr>
    <w:rPr>
      <w:rFonts w:ascii="Times New Roman" w:hAnsi="Times New Roman"/>
      <w:sz w:val="24"/>
      <w:szCs w:val="24"/>
    </w:rPr>
  </w:style>
  <w:style w:type="paragraph" w:customStyle="1" w:styleId="46">
    <w:name w:val="Normal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47">
    <w:name w:val="Normal_18"/>
    <w:qFormat/>
    <w:uiPriority w:val="0"/>
    <w:rPr>
      <w:rFonts w:ascii="黑体" w:hAnsi="黑体" w:eastAsia="黑体" w:cs="Times New Roman"/>
      <w:b/>
      <w:sz w:val="32"/>
      <w:szCs w:val="24"/>
      <w:lang w:bidi="ar-SA"/>
    </w:rPr>
  </w:style>
  <w:style w:type="paragraph" w:customStyle="1" w:styleId="48">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文本_1_1"/>
    <w:basedOn w:val="50"/>
    <w:qFormat/>
    <w:uiPriority w:val="1"/>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50">
    <w:name w:val="正文_7_1"/>
    <w:next w:val="49"/>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1">
    <w:name w:val="Normal_19"/>
    <w:next w:val="52"/>
    <w:qFormat/>
    <w:uiPriority w:val="0"/>
    <w:rPr>
      <w:rFonts w:ascii="Times New Roman" w:hAnsi="Times New Roman" w:eastAsia="宋体" w:cs="Times New Roman"/>
      <w:sz w:val="24"/>
      <w:szCs w:val="24"/>
      <w:lang w:val="en-US" w:eastAsia="zh-CN" w:bidi="ar-SA"/>
    </w:rPr>
  </w:style>
  <w:style w:type="paragraph" w:customStyle="1" w:styleId="52">
    <w:name w:val="Body Text_1"/>
    <w:basedOn w:val="51"/>
    <w:next w:val="51"/>
    <w:qFormat/>
    <w:uiPriority w:val="0"/>
    <w:pPr>
      <w:spacing w:after="120"/>
    </w:pPr>
  </w:style>
  <w:style w:type="paragraph" w:customStyle="1" w:styleId="53">
    <w:name w:val="Normal_11"/>
    <w:qFormat/>
    <w:uiPriority w:val="0"/>
    <w:rPr>
      <w:rFonts w:ascii="黑体" w:hAnsi="黑体" w:eastAsia="黑体" w:cs="Times New Roman"/>
      <w:b/>
      <w:sz w:val="32"/>
      <w:szCs w:val="24"/>
      <w:lang w:bidi="ar-SA"/>
    </w:rPr>
  </w:style>
  <w:style w:type="paragraph" w:customStyle="1" w:styleId="54">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Normal_13"/>
    <w:qFormat/>
    <w:uiPriority w:val="0"/>
    <w:rPr>
      <w:rFonts w:ascii="黑体" w:hAnsi="黑体" w:eastAsia="黑体" w:cs="Times New Roman"/>
      <w:b/>
      <w:sz w:val="32"/>
      <w:szCs w:val="24"/>
      <w:lang w:bidi="ar-SA"/>
    </w:rPr>
  </w:style>
  <w:style w:type="paragraph" w:customStyle="1" w:styleId="56">
    <w:name w:val="Normal_6"/>
    <w:qFormat/>
    <w:uiPriority w:val="0"/>
    <w:rPr>
      <w:rFonts w:ascii="黑体" w:hAnsi="黑体" w:eastAsia="黑体" w:cs="Times New Roman"/>
      <w:b/>
      <w:sz w:val="32"/>
      <w:szCs w:val="24"/>
      <w:lang w:bidi="ar-SA"/>
    </w:rPr>
  </w:style>
  <w:style w:type="paragraph" w:customStyle="1" w:styleId="57">
    <w:name w:val="CD正文_0"/>
    <w:basedOn w:val="58"/>
    <w:qFormat/>
    <w:uiPriority w:val="0"/>
    <w:pPr>
      <w:spacing w:line="360" w:lineRule="auto"/>
      <w:ind w:firstLine="493"/>
    </w:pPr>
    <w:rPr>
      <w:rFonts w:ascii="Times New Roman" w:hAnsi="Times New Roman"/>
      <w:sz w:val="30"/>
      <w:szCs w:val="28"/>
    </w:rPr>
  </w:style>
  <w:style w:type="paragraph" w:customStyle="1" w:styleId="58">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标书（正文）_7"/>
    <w:basedOn w:val="58"/>
    <w:qFormat/>
    <w:uiPriority w:val="0"/>
    <w:pPr>
      <w:spacing w:line="360" w:lineRule="auto"/>
      <w:ind w:firstLine="560" w:firstLineChars="200"/>
    </w:pPr>
    <w:rPr>
      <w:rFonts w:ascii="宋体" w:hAnsi="宋体"/>
      <w:kern w:val="10"/>
      <w:sz w:val="24"/>
      <w:szCs w:val="20"/>
    </w:rPr>
  </w:style>
  <w:style w:type="paragraph" w:customStyle="1" w:styleId="60">
    <w:name w:val="Body text|1"/>
    <w:basedOn w:val="61"/>
    <w:qFormat/>
    <w:uiPriority w:val="0"/>
    <w:pPr>
      <w:widowControl w:val="0"/>
      <w:shd w:val="clear" w:color="auto" w:fill="auto"/>
      <w:spacing w:line="295" w:lineRule="auto"/>
    </w:pPr>
    <w:rPr>
      <w:rFonts w:ascii="宋体" w:hAnsi="宋体" w:eastAsia="宋体" w:cs="宋体"/>
      <w:sz w:val="26"/>
      <w:szCs w:val="26"/>
      <w:u w:val="none"/>
      <w:shd w:val="clear" w:color="auto" w:fill="auto"/>
      <w:lang w:val="zh-TW" w:eastAsia="zh-TW" w:bidi="zh-TW"/>
    </w:rPr>
  </w:style>
  <w:style w:type="paragraph" w:customStyle="1" w:styleId="61">
    <w:name w:val="Normal_21"/>
    <w:next w:val="62"/>
    <w:qFormat/>
    <w:uiPriority w:val="0"/>
    <w:pPr>
      <w:widowControl w:val="0"/>
      <w:jc w:val="both"/>
    </w:pPr>
    <w:rPr>
      <w:rFonts w:ascii="Calibri" w:hAnsi="Calibri" w:eastAsia="方正仿宋" w:cs="Times New Roman"/>
      <w:kern w:val="2"/>
      <w:sz w:val="32"/>
      <w:szCs w:val="24"/>
      <w:lang w:val="en-US" w:eastAsia="zh-CN" w:bidi="ar-SA"/>
    </w:rPr>
  </w:style>
  <w:style w:type="paragraph" w:customStyle="1" w:styleId="62">
    <w:name w:val="Body Text_2"/>
    <w:basedOn w:val="61"/>
    <w:next w:val="61"/>
    <w:qFormat/>
    <w:uiPriority w:val="0"/>
    <w:pPr>
      <w:spacing w:after="120"/>
    </w:pPr>
    <w:rPr>
      <w:rFonts w:eastAsia="宋体"/>
      <w:sz w:val="21"/>
      <w:szCs w:val="20"/>
    </w:rPr>
  </w:style>
  <w:style w:type="paragraph" w:customStyle="1" w:styleId="63">
    <w:name w:val="彩色列表 - 强调文字颜色 11"/>
    <w:basedOn w:val="1"/>
    <w:qFormat/>
    <w:uiPriority w:val="0"/>
    <w:pPr>
      <w:widowControl w:val="0"/>
      <w:ind w:firstLine="420" w:firstLineChars="200"/>
      <w:jc w:val="both"/>
    </w:pPr>
    <w:rPr>
      <w:rFonts w:ascii="Calibri" w:hAnsi="Calibri" w:eastAsia="宋体" w:cs="Times New Roman"/>
      <w:kern w:val="2"/>
      <w:sz w:val="21"/>
      <w:szCs w:val="22"/>
    </w:rPr>
  </w:style>
  <w:style w:type="table" w:customStyle="1" w:styleId="64">
    <w:name w:val="网格型1"/>
    <w:basedOn w:val="17"/>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6">
    <w:name w:val="_Style 23"/>
    <w:basedOn w:val="1"/>
    <w:qFormat/>
    <w:uiPriority w:val="0"/>
    <w:pPr>
      <w:ind w:firstLine="420" w:firstLineChars="200"/>
    </w:pPr>
  </w:style>
  <w:style w:type="paragraph" w:customStyle="1" w:styleId="67">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footer" Target="footer1.xml"/><Relationship Id="rId39" Type="http://schemas.openxmlformats.org/officeDocument/2006/relationships/image" Target="media/image14.jpe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177</Pages>
  <Words>83754</Words>
  <Characters>93717</Characters>
  <Lines>0</Lines>
  <Paragraphs>0</Paragraphs>
  <TotalTime>6</TotalTime>
  <ScaleCrop>false</ScaleCrop>
  <LinksUpToDate>false</LinksUpToDate>
  <CharactersWithSpaces>95802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2021-07-27T11:23:00Z</dcterms:created>
  <dc:creator>雨菡</dc:creator>
  <cp:lastModifiedBy>达令希</cp:lastModifiedBy>
  <cp:lastPrinted>2021-09-22T09:00:00Z</cp:lastPrinted>
  <dcterms:modified xsi:type="dcterms:W3CDTF">2021-09-29T03:12:17Z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478021380_btnclosed</vt:lpwstr>
  </property>
  <property fmtid="{D5CDD505-2E9C-101B-9397-08002B2CF9AE}" pid="4" name="ICV">
    <vt:lpwstr>9CEE3D67BB0545EF860C09FC0D61DF41</vt:lpwstr>
  </property>
</Properties>
</file>