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华文中宋" w:hAnsi="华文中宋" w:eastAsia="华文中宋"/>
        </w:rPr>
      </w:pPr>
    </w:p>
    <w:p>
      <w:pPr>
        <w:pStyle w:val="2"/>
      </w:pPr>
    </w:p>
    <w:p>
      <w:pPr>
        <w:pStyle w:val="2"/>
        <w:rPr>
          <w:rFonts w:ascii="华文中宋" w:hAnsi="华文中宋" w:eastAsia="华文中宋"/>
        </w:rPr>
      </w:pPr>
    </w:p>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询价通知书</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成都市郫都区总工会油电混动汽车采购项目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项目编号：</w:t>
      </w:r>
      <w:r>
        <w:rPr>
          <w:rFonts w:hint="eastAsia" w:ascii="华文中宋" w:hAnsi="华文中宋" w:eastAsia="华文中宋"/>
          <w:sz w:val="32"/>
          <w:szCs w:val="32"/>
          <w:lang w:eastAsia="zh-CN"/>
        </w:rPr>
        <w:t>郫都政采（2021）A0058-1号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 xml:space="preserve">成都市郫都区总工会 </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成都市</w:t>
      </w:r>
      <w:r>
        <w:rPr>
          <w:rFonts w:hint="eastAsia" w:ascii="华文中宋" w:hAnsi="华文中宋" w:eastAsia="华文中宋"/>
          <w:sz w:val="32"/>
          <w:szCs w:val="32"/>
          <w:lang w:eastAsia="zh-CN"/>
        </w:rPr>
        <w:t>温江区</w:t>
      </w:r>
      <w:r>
        <w:rPr>
          <w:rFonts w:hint="eastAsia" w:ascii="华文中宋" w:hAnsi="华文中宋" w:eastAsia="华文中宋"/>
          <w:sz w:val="32"/>
          <w:szCs w:val="32"/>
        </w:rPr>
        <w:t>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highlight w:val="yellow"/>
        </w:rPr>
      </w:pPr>
      <w:r>
        <w:rPr>
          <w:rFonts w:hint="eastAsia" w:ascii="华文中宋" w:hAnsi="华文中宋" w:eastAsia="华文中宋"/>
          <w:sz w:val="32"/>
          <w:szCs w:val="32"/>
        </w:rPr>
        <w:t>二○二一年</w:t>
      </w:r>
      <w:r>
        <w:rPr>
          <w:rFonts w:hint="eastAsia" w:ascii="华文中宋" w:hAnsi="华文中宋" w:eastAsia="华文中宋"/>
          <w:sz w:val="32"/>
          <w:szCs w:val="32"/>
          <w:lang w:eastAsia="zh-CN"/>
        </w:rPr>
        <w:t>十</w:t>
      </w:r>
      <w:r>
        <w:rPr>
          <w:rFonts w:hint="eastAsia" w:ascii="华文中宋" w:hAnsi="华文中宋" w:eastAsia="华文中宋"/>
          <w:sz w:val="32"/>
          <w:szCs w:val="32"/>
          <w:lang w:val="en-US" w:eastAsia="zh-CN"/>
        </w:rPr>
        <w:t>一</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highlight w:val="none"/>
        </w:rPr>
        <w:t>目 录</w:t>
      </w:r>
    </w:p>
    <w:p>
      <w:pPr>
        <w:pStyle w:val="31"/>
        <w:tabs>
          <w:tab w:val="right" w:leader="dot" w:pos="9214"/>
          <w:tab w:val="clear" w:pos="840"/>
          <w:tab w:val="clear" w:pos="9204"/>
        </w:tabs>
      </w:pPr>
      <w:r>
        <w:rPr>
          <w:rFonts w:ascii="宋体" w:hAnsi="宋体"/>
          <w:b w:val="0"/>
          <w:sz w:val="36"/>
          <w:szCs w:val="36"/>
          <w:highlight w:val="yellow"/>
        </w:rPr>
        <w:fldChar w:fldCharType="begin"/>
      </w:r>
      <w:r>
        <w:rPr>
          <w:rFonts w:hint="eastAsia" w:ascii="宋体" w:hAnsi="宋体"/>
          <w:sz w:val="36"/>
          <w:szCs w:val="36"/>
          <w:highlight w:val="yellow"/>
        </w:rPr>
        <w:instrText xml:space="preserve">TOC \o "1-2" \h \z \u</w:instrText>
      </w:r>
      <w:r>
        <w:rPr>
          <w:rFonts w:ascii="宋体" w:hAnsi="宋体"/>
          <w:b w:val="0"/>
          <w:sz w:val="36"/>
          <w:szCs w:val="36"/>
          <w:highlight w:val="yellow"/>
        </w:rPr>
        <w:fldChar w:fldCharType="separate"/>
      </w:r>
      <w:r>
        <w:rPr>
          <w:rFonts w:ascii="宋体" w:hAnsi="宋体"/>
          <w:szCs w:val="36"/>
          <w:highlight w:val="yellow"/>
        </w:rPr>
        <w:fldChar w:fldCharType="begin"/>
      </w:r>
      <w:r>
        <w:rPr>
          <w:rFonts w:ascii="宋体" w:hAnsi="宋体"/>
          <w:szCs w:val="36"/>
          <w:highlight w:val="yellow"/>
        </w:rPr>
        <w:instrText xml:space="preserve"> HYPERLINK \l _Toc19211 </w:instrText>
      </w:r>
      <w:r>
        <w:rPr>
          <w:rFonts w:ascii="宋体" w:hAnsi="宋体"/>
          <w:szCs w:val="36"/>
          <w:highlight w:val="yellow"/>
        </w:rPr>
        <w:fldChar w:fldCharType="separate"/>
      </w:r>
      <w:r>
        <w:rPr>
          <w:rFonts w:hint="default" w:ascii="Times New Roman" w:hAnsi="Times New Roman" w:eastAsia="宋体"/>
          <w:i w:val="0"/>
          <w:szCs w:val="32"/>
        </w:rPr>
        <w:t xml:space="preserve">第1章 </w:t>
      </w:r>
      <w:r>
        <w:rPr>
          <w:rFonts w:hint="eastAsia"/>
        </w:rPr>
        <w:t>询价邀请</w:t>
      </w:r>
      <w:r>
        <w:tab/>
      </w:r>
      <w:r>
        <w:fldChar w:fldCharType="begin"/>
      </w:r>
      <w:r>
        <w:instrText xml:space="preserve"> PAGEREF _Toc19211 \h </w:instrText>
      </w:r>
      <w:r>
        <w:fldChar w:fldCharType="separate"/>
      </w:r>
      <w:r>
        <w:t>3</w:t>
      </w:r>
      <w:r>
        <w:fldChar w:fldCharType="end"/>
      </w:r>
      <w:r>
        <w:rPr>
          <w:rFonts w:ascii="宋体" w:hAnsi="宋体"/>
          <w:szCs w:val="36"/>
          <w:highlight w:val="yellow"/>
        </w:rPr>
        <w:fldChar w:fldCharType="end"/>
      </w:r>
    </w:p>
    <w:p>
      <w:pPr>
        <w:pStyle w:val="31"/>
        <w:tabs>
          <w:tab w:val="right" w:leader="dot" w:pos="9214"/>
          <w:tab w:val="clear" w:pos="840"/>
          <w:tab w:val="clear" w:pos="9204"/>
        </w:tabs>
      </w:pPr>
      <w:r>
        <w:rPr>
          <w:rFonts w:ascii="宋体" w:hAnsi="宋体"/>
          <w:bCs w:val="0"/>
          <w:szCs w:val="36"/>
          <w:highlight w:val="yellow"/>
        </w:rPr>
        <w:fldChar w:fldCharType="begin"/>
      </w:r>
      <w:r>
        <w:rPr>
          <w:rFonts w:ascii="宋体" w:hAnsi="宋体"/>
          <w:bCs w:val="0"/>
          <w:szCs w:val="36"/>
          <w:highlight w:val="yellow"/>
        </w:rPr>
        <w:instrText xml:space="preserve"> HYPERLINK \l _Toc8548 </w:instrText>
      </w:r>
      <w:r>
        <w:rPr>
          <w:rFonts w:ascii="宋体" w:hAnsi="宋体"/>
          <w:bCs w:val="0"/>
          <w:szCs w:val="36"/>
          <w:highlight w:val="yellow"/>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_Toc8548 \h </w:instrText>
      </w:r>
      <w:r>
        <w:fldChar w:fldCharType="separate"/>
      </w:r>
      <w:r>
        <w:t>7</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_Toc9158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_Toc9158 \h </w:instrText>
      </w:r>
      <w:r>
        <w:fldChar w:fldCharType="separate"/>
      </w:r>
      <w:r>
        <w:t>7</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_Toc13453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_Toc13453 \h </w:instrText>
      </w:r>
      <w:r>
        <w:fldChar w:fldCharType="separate"/>
      </w:r>
      <w:r>
        <w:t>10</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_Toc487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2.3 </w:t>
      </w:r>
      <w:r>
        <w:rPr>
          <w:rFonts w:hint="eastAsia"/>
        </w:rPr>
        <w:t>询价通知书</w:t>
      </w:r>
      <w:r>
        <w:tab/>
      </w:r>
      <w:r>
        <w:fldChar w:fldCharType="begin"/>
      </w:r>
      <w:r>
        <w:instrText xml:space="preserve"> PAGEREF _Toc487 \h </w:instrText>
      </w:r>
      <w:r>
        <w:fldChar w:fldCharType="separate"/>
      </w:r>
      <w:r>
        <w:t>12</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_Toc1149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2.4 </w:t>
      </w:r>
      <w:r>
        <w:rPr>
          <w:rFonts w:hint="eastAsia"/>
        </w:rPr>
        <w:t>响应文件</w:t>
      </w:r>
      <w:r>
        <w:tab/>
      </w:r>
      <w:r>
        <w:fldChar w:fldCharType="begin"/>
      </w:r>
      <w:r>
        <w:instrText xml:space="preserve"> PAGEREF _Toc1149 \h </w:instrText>
      </w:r>
      <w:r>
        <w:fldChar w:fldCharType="separate"/>
      </w:r>
      <w:r>
        <w:t>13</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_Toc16319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_Toc16319 \h </w:instrText>
      </w:r>
      <w:r>
        <w:fldChar w:fldCharType="separate"/>
      </w:r>
      <w:r>
        <w:t>20</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_Toc31772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2.6 </w:t>
      </w:r>
      <w:r>
        <w:t>成交通知书</w:t>
      </w:r>
      <w:r>
        <w:tab/>
      </w:r>
      <w:r>
        <w:fldChar w:fldCharType="begin"/>
      </w:r>
      <w:r>
        <w:instrText xml:space="preserve"> PAGEREF _Toc31772 \h </w:instrText>
      </w:r>
      <w:r>
        <w:fldChar w:fldCharType="separate"/>
      </w:r>
      <w:r>
        <w:t>21</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_Toc5896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2.7 </w:t>
      </w:r>
      <w:r>
        <w:rPr>
          <w:rFonts w:hint="eastAsia"/>
        </w:rPr>
        <w:t>签订及履行合同和验收</w:t>
      </w:r>
      <w:r>
        <w:tab/>
      </w:r>
      <w:r>
        <w:fldChar w:fldCharType="begin"/>
      </w:r>
      <w:r>
        <w:instrText xml:space="preserve"> PAGEREF _Toc5896 \h </w:instrText>
      </w:r>
      <w:r>
        <w:fldChar w:fldCharType="separate"/>
      </w:r>
      <w:r>
        <w:t>21</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_Toc18151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2.8 </w:t>
      </w:r>
      <w:r>
        <w:rPr>
          <w:rFonts w:hint="eastAsia"/>
        </w:rPr>
        <w:t>询价</w:t>
      </w:r>
      <w:r>
        <w:t>采购</w:t>
      </w:r>
      <w:r>
        <w:rPr>
          <w:rFonts w:hint="eastAsia"/>
        </w:rPr>
        <w:t>工作纪律及要求</w:t>
      </w:r>
      <w:r>
        <w:tab/>
      </w:r>
      <w:r>
        <w:fldChar w:fldCharType="begin"/>
      </w:r>
      <w:r>
        <w:instrText xml:space="preserve"> PAGEREF _Toc18151 \h </w:instrText>
      </w:r>
      <w:r>
        <w:fldChar w:fldCharType="separate"/>
      </w:r>
      <w:r>
        <w:t>24</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_Toc9042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2.9 </w:t>
      </w:r>
      <w:r>
        <w:rPr>
          <w:rFonts w:hint="eastAsia"/>
        </w:rPr>
        <w:t>询问、质疑和投诉</w:t>
      </w:r>
      <w:r>
        <w:tab/>
      </w:r>
      <w:r>
        <w:fldChar w:fldCharType="begin"/>
      </w:r>
      <w:r>
        <w:instrText xml:space="preserve"> PAGEREF _Toc9042 \h </w:instrText>
      </w:r>
      <w:r>
        <w:fldChar w:fldCharType="separate"/>
      </w:r>
      <w:r>
        <w:t>26</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_Toc16426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2.10 </w:t>
      </w:r>
      <w:r>
        <w:rPr>
          <w:rFonts w:hint="eastAsia"/>
        </w:rPr>
        <w:t>中小企业政府采购信用融资</w:t>
      </w:r>
      <w:r>
        <w:tab/>
      </w:r>
      <w:r>
        <w:fldChar w:fldCharType="begin"/>
      </w:r>
      <w:r>
        <w:instrText xml:space="preserve"> PAGEREF _Toc16426 \h </w:instrText>
      </w:r>
      <w:r>
        <w:fldChar w:fldCharType="separate"/>
      </w:r>
      <w:r>
        <w:t>27</w:t>
      </w:r>
      <w:r>
        <w:fldChar w:fldCharType="end"/>
      </w:r>
      <w:r>
        <w:rPr>
          <w:rFonts w:ascii="宋体" w:hAnsi="宋体"/>
          <w:bCs w:val="0"/>
          <w:szCs w:val="36"/>
          <w:highlight w:val="yellow"/>
        </w:rPr>
        <w:fldChar w:fldCharType="end"/>
      </w:r>
    </w:p>
    <w:p>
      <w:pPr>
        <w:pStyle w:val="31"/>
        <w:tabs>
          <w:tab w:val="right" w:leader="dot" w:pos="9214"/>
          <w:tab w:val="clear" w:pos="840"/>
          <w:tab w:val="clear" w:pos="9204"/>
        </w:tabs>
      </w:pPr>
      <w:r>
        <w:rPr>
          <w:rFonts w:ascii="宋体" w:hAnsi="宋体"/>
          <w:bCs w:val="0"/>
          <w:szCs w:val="36"/>
          <w:highlight w:val="yellow"/>
        </w:rPr>
        <w:fldChar w:fldCharType="begin"/>
      </w:r>
      <w:r>
        <w:rPr>
          <w:rFonts w:ascii="宋体" w:hAnsi="宋体"/>
          <w:bCs w:val="0"/>
          <w:szCs w:val="36"/>
          <w:highlight w:val="yellow"/>
        </w:rPr>
        <w:instrText xml:space="preserve"> HYPERLINK \l _Toc12490 </w:instrText>
      </w:r>
      <w:r>
        <w:rPr>
          <w:rFonts w:ascii="宋体" w:hAnsi="宋体"/>
          <w:bCs w:val="0"/>
          <w:szCs w:val="36"/>
          <w:highlight w:val="yellow"/>
        </w:rPr>
        <w:fldChar w:fldCharType="separate"/>
      </w:r>
      <w:r>
        <w:rPr>
          <w:rFonts w:hint="default" w:ascii="Times New Roman" w:hAnsi="Times New Roman" w:eastAsia="宋体"/>
          <w:i w:val="0"/>
          <w:szCs w:val="32"/>
        </w:rPr>
        <w:t xml:space="preserve">第3章 </w:t>
      </w:r>
      <w:r>
        <w:rPr>
          <w:rFonts w:hint="eastAsia"/>
        </w:rPr>
        <w:t>响应文件格式</w:t>
      </w:r>
      <w:r>
        <w:tab/>
      </w:r>
      <w:r>
        <w:fldChar w:fldCharType="begin"/>
      </w:r>
      <w:r>
        <w:instrText xml:space="preserve"> PAGEREF _Toc12490 \h </w:instrText>
      </w:r>
      <w:r>
        <w:fldChar w:fldCharType="separate"/>
      </w:r>
      <w:r>
        <w:t>28</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_Toc12583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3.1 </w:t>
      </w:r>
      <w:r>
        <w:rPr>
          <w:rFonts w:hint="eastAsia"/>
        </w:rPr>
        <w:t>响应文件格式</w:t>
      </w:r>
      <w:r>
        <w:tab/>
      </w:r>
      <w:r>
        <w:fldChar w:fldCharType="begin"/>
      </w:r>
      <w:r>
        <w:instrText xml:space="preserve"> PAGEREF _Toc12583 \h </w:instrText>
      </w:r>
      <w:r>
        <w:fldChar w:fldCharType="separate"/>
      </w:r>
      <w:r>
        <w:t>28</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_Toc583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3.2 </w:t>
      </w:r>
      <w:r>
        <w:rPr>
          <w:rFonts w:hint="eastAsia"/>
        </w:rPr>
        <w:t>资格响应文件</w:t>
      </w:r>
      <w:r>
        <w:tab/>
      </w:r>
      <w:r>
        <w:fldChar w:fldCharType="begin"/>
      </w:r>
      <w:r>
        <w:instrText xml:space="preserve"> PAGEREF _Toc583 \h </w:instrText>
      </w:r>
      <w:r>
        <w:fldChar w:fldCharType="separate"/>
      </w:r>
      <w:r>
        <w:t>29</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_Toc32112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3.3 </w:t>
      </w:r>
      <w:r>
        <w:rPr>
          <w:rFonts w:hint="eastAsia"/>
        </w:rPr>
        <w:t>商务技术响应文件</w:t>
      </w:r>
      <w:r>
        <w:tab/>
      </w:r>
      <w:r>
        <w:fldChar w:fldCharType="begin"/>
      </w:r>
      <w:r>
        <w:instrText xml:space="preserve"> PAGEREF _Toc32112 \h </w:instrText>
      </w:r>
      <w:r>
        <w:fldChar w:fldCharType="separate"/>
      </w:r>
      <w:r>
        <w:t>33</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_Toc20680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3.4 </w:t>
      </w:r>
      <w:r>
        <w:rPr>
          <w:rFonts w:hint="eastAsia"/>
        </w:rPr>
        <w:t>报价要求</w:t>
      </w:r>
      <w:r>
        <w:t>响应文件</w:t>
      </w:r>
      <w:r>
        <w:tab/>
      </w:r>
      <w:r>
        <w:fldChar w:fldCharType="begin"/>
      </w:r>
      <w:r>
        <w:instrText xml:space="preserve"> PAGEREF _Toc20680 \h </w:instrText>
      </w:r>
      <w:r>
        <w:fldChar w:fldCharType="separate"/>
      </w:r>
      <w:r>
        <w:t>39</w:t>
      </w:r>
      <w:r>
        <w:fldChar w:fldCharType="end"/>
      </w:r>
      <w:r>
        <w:rPr>
          <w:rFonts w:ascii="宋体" w:hAnsi="宋体"/>
          <w:bCs w:val="0"/>
          <w:szCs w:val="36"/>
          <w:highlight w:val="yellow"/>
        </w:rPr>
        <w:fldChar w:fldCharType="end"/>
      </w:r>
    </w:p>
    <w:p>
      <w:pPr>
        <w:pStyle w:val="31"/>
        <w:tabs>
          <w:tab w:val="right" w:leader="dot" w:pos="9214"/>
          <w:tab w:val="clear" w:pos="840"/>
          <w:tab w:val="clear" w:pos="9204"/>
        </w:tabs>
      </w:pPr>
      <w:r>
        <w:rPr>
          <w:rFonts w:ascii="宋体" w:hAnsi="宋体"/>
          <w:bCs w:val="0"/>
          <w:szCs w:val="36"/>
          <w:highlight w:val="yellow"/>
        </w:rPr>
        <w:fldChar w:fldCharType="begin"/>
      </w:r>
      <w:r>
        <w:rPr>
          <w:rFonts w:ascii="宋体" w:hAnsi="宋体"/>
          <w:bCs w:val="0"/>
          <w:szCs w:val="36"/>
          <w:highlight w:val="yellow"/>
        </w:rPr>
        <w:instrText xml:space="preserve"> HYPERLINK \l _Toc5877 </w:instrText>
      </w:r>
      <w:r>
        <w:rPr>
          <w:rFonts w:ascii="宋体" w:hAnsi="宋体"/>
          <w:bCs w:val="0"/>
          <w:szCs w:val="36"/>
          <w:highlight w:val="yellow"/>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_Toc5877 \h </w:instrText>
      </w:r>
      <w:r>
        <w:fldChar w:fldCharType="separate"/>
      </w:r>
      <w:r>
        <w:t>45</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_Toc6081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4.1 </w:t>
      </w:r>
      <w:r>
        <w:rPr>
          <w:rFonts w:hint="eastAsia"/>
        </w:rPr>
        <w:t>采购内容</w:t>
      </w:r>
      <w:r>
        <w:tab/>
      </w:r>
      <w:r>
        <w:fldChar w:fldCharType="begin"/>
      </w:r>
      <w:r>
        <w:instrText xml:space="preserve"> PAGEREF _Toc6081 \h </w:instrText>
      </w:r>
      <w:r>
        <w:fldChar w:fldCharType="separate"/>
      </w:r>
      <w:r>
        <w:t>45</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_Toc8084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4.2 </w:t>
      </w:r>
      <w:r>
        <w:rPr>
          <w:rFonts w:hint="eastAsia" w:ascii="宋体" w:hAnsi="宋体" w:eastAsia="宋体" w:cs="Times New Roman"/>
          <w:bCs/>
          <w:szCs w:val="28"/>
        </w:rPr>
        <w:t>★</w:t>
      </w:r>
      <w:r>
        <w:rPr>
          <w:rFonts w:hint="eastAsia" w:cs="Times New Roman"/>
          <w:bCs/>
          <w:szCs w:val="28"/>
          <w:lang w:val="en-US" w:eastAsia="zh-CN"/>
        </w:rPr>
        <w:t>1.</w:t>
      </w:r>
      <w:r>
        <w:rPr>
          <w:rFonts w:hint="eastAsia"/>
        </w:rPr>
        <w:t>技术参数</w:t>
      </w:r>
      <w:r>
        <w:t>及要求</w:t>
      </w:r>
      <w:r>
        <w:tab/>
      </w:r>
      <w:r>
        <w:fldChar w:fldCharType="begin"/>
      </w:r>
      <w:r>
        <w:instrText xml:space="preserve"> PAGEREF _Toc8084 \h </w:instrText>
      </w:r>
      <w:r>
        <w:fldChar w:fldCharType="separate"/>
      </w:r>
      <w:r>
        <w:t>45</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_Toc7399 </w:instrText>
      </w:r>
      <w:r>
        <w:rPr>
          <w:rFonts w:ascii="宋体" w:hAnsi="宋体"/>
          <w:bCs w:val="0"/>
          <w:szCs w:val="36"/>
          <w:highlight w:val="yellow"/>
        </w:rPr>
        <w:fldChar w:fldCharType="separate"/>
      </w:r>
      <w:r>
        <w:rPr>
          <w:rFonts w:hint="default" w:ascii="Times New Roman" w:hAnsi="Times New Roman" w:eastAsia="宋体" w:cs="Times New Roman"/>
          <w:i w:val="0"/>
          <w:szCs w:val="28"/>
          <w:lang w:val="en-US" w:eastAsia="zh-CN"/>
        </w:rPr>
        <w:t xml:space="preserve">4.3 </w:t>
      </w:r>
      <w:r>
        <w:rPr>
          <w:rFonts w:hint="eastAsia" w:ascii="宋体" w:hAnsi="宋体" w:eastAsia="宋体" w:cs="Times New Roman"/>
          <w:highlight w:val="none"/>
          <w:lang w:val="en-US" w:eastAsia="zh-CN"/>
        </w:rPr>
        <w:t>售后服务要求</w:t>
      </w:r>
      <w:r>
        <w:tab/>
      </w:r>
      <w:r>
        <w:fldChar w:fldCharType="begin"/>
      </w:r>
      <w:r>
        <w:instrText xml:space="preserve"> PAGEREF _Toc7399 \h </w:instrText>
      </w:r>
      <w:r>
        <w:fldChar w:fldCharType="separate"/>
      </w:r>
      <w:r>
        <w:t>46</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_Toc3126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4.4 </w:t>
      </w:r>
      <w:r>
        <w:rPr>
          <w:rFonts w:hint="eastAsia"/>
        </w:rPr>
        <w:t>商务要求</w:t>
      </w:r>
      <w:r>
        <w:tab/>
      </w:r>
      <w:r>
        <w:fldChar w:fldCharType="begin"/>
      </w:r>
      <w:r>
        <w:instrText xml:space="preserve"> PAGEREF _Toc3126 \h </w:instrText>
      </w:r>
      <w:r>
        <w:fldChar w:fldCharType="separate"/>
      </w:r>
      <w:r>
        <w:t>46</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_Toc22373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4.5 </w:t>
      </w:r>
      <w:r>
        <w:rPr>
          <w:rFonts w:hint="eastAsia" w:ascii="宋体" w:hAnsi="宋体" w:eastAsia="宋体" w:cs="Times New Roman"/>
        </w:rPr>
        <w:t>其他要求</w:t>
      </w:r>
      <w:r>
        <w:tab/>
      </w:r>
      <w:r>
        <w:fldChar w:fldCharType="begin"/>
      </w:r>
      <w:r>
        <w:instrText xml:space="preserve"> PAGEREF _Toc22373 \h </w:instrText>
      </w:r>
      <w:r>
        <w:fldChar w:fldCharType="separate"/>
      </w:r>
      <w:r>
        <w:t>47</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_Toc32182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4.6 </w:t>
      </w:r>
      <w:r>
        <w:rPr>
          <w:rFonts w:hint="eastAsia"/>
          <w:szCs w:val="20"/>
        </w:rPr>
        <w:t>★</w:t>
      </w:r>
      <w:r>
        <w:rPr>
          <w:rFonts w:hint="eastAsia"/>
        </w:rPr>
        <w:t>最高限价</w:t>
      </w:r>
      <w:r>
        <w:tab/>
      </w:r>
      <w:r>
        <w:fldChar w:fldCharType="begin"/>
      </w:r>
      <w:r>
        <w:instrText xml:space="preserve"> PAGEREF _Toc32182 \h </w:instrText>
      </w:r>
      <w:r>
        <w:fldChar w:fldCharType="separate"/>
      </w:r>
      <w:r>
        <w:t>48</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_Toc14743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4.7 </w:t>
      </w:r>
      <w:r>
        <w:rPr>
          <w:rFonts w:hint="eastAsia"/>
        </w:rPr>
        <w:t>满足采购需求的最低要求</w:t>
      </w:r>
      <w:r>
        <w:tab/>
      </w:r>
      <w:r>
        <w:fldChar w:fldCharType="begin"/>
      </w:r>
      <w:r>
        <w:instrText xml:space="preserve"> PAGEREF _Toc14743 \h </w:instrText>
      </w:r>
      <w:r>
        <w:fldChar w:fldCharType="separate"/>
      </w:r>
      <w:r>
        <w:t>48</w:t>
      </w:r>
      <w:r>
        <w:fldChar w:fldCharType="end"/>
      </w:r>
      <w:r>
        <w:rPr>
          <w:rFonts w:ascii="宋体" w:hAnsi="宋体"/>
          <w:bCs w:val="0"/>
          <w:szCs w:val="36"/>
          <w:highlight w:val="yellow"/>
        </w:rPr>
        <w:fldChar w:fldCharType="end"/>
      </w:r>
    </w:p>
    <w:p>
      <w:pPr>
        <w:pStyle w:val="31"/>
        <w:tabs>
          <w:tab w:val="right" w:leader="dot" w:pos="9214"/>
          <w:tab w:val="clear" w:pos="840"/>
          <w:tab w:val="clear" w:pos="9204"/>
        </w:tabs>
      </w:pPr>
      <w:r>
        <w:rPr>
          <w:rFonts w:ascii="宋体" w:hAnsi="宋体"/>
          <w:bCs w:val="0"/>
          <w:szCs w:val="36"/>
          <w:highlight w:val="yellow"/>
        </w:rPr>
        <w:fldChar w:fldCharType="begin"/>
      </w:r>
      <w:r>
        <w:rPr>
          <w:rFonts w:ascii="宋体" w:hAnsi="宋体"/>
          <w:bCs w:val="0"/>
          <w:szCs w:val="36"/>
          <w:highlight w:val="yellow"/>
        </w:rPr>
        <w:instrText xml:space="preserve"> HYPERLINK \l _Toc26154 </w:instrText>
      </w:r>
      <w:r>
        <w:rPr>
          <w:rFonts w:ascii="宋体" w:hAnsi="宋体"/>
          <w:bCs w:val="0"/>
          <w:szCs w:val="36"/>
          <w:highlight w:val="yellow"/>
        </w:rPr>
        <w:fldChar w:fldCharType="separate"/>
      </w:r>
      <w:r>
        <w:rPr>
          <w:rFonts w:hint="default" w:ascii="Times New Roman" w:hAnsi="Times New Roman" w:eastAsia="宋体"/>
          <w:i w:val="0"/>
          <w:szCs w:val="32"/>
        </w:rPr>
        <w:t xml:space="preserve">第5章 </w:t>
      </w:r>
      <w:r>
        <w:rPr>
          <w:rFonts w:hint="eastAsia"/>
        </w:rPr>
        <w:t>询价办法</w:t>
      </w:r>
      <w:r>
        <w:tab/>
      </w:r>
      <w:r>
        <w:fldChar w:fldCharType="begin"/>
      </w:r>
      <w:r>
        <w:instrText xml:space="preserve"> PAGEREF _Toc26154 \h </w:instrText>
      </w:r>
      <w:r>
        <w:fldChar w:fldCharType="separate"/>
      </w:r>
      <w:r>
        <w:t>49</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_Toc14782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_Toc14782 \h </w:instrText>
      </w:r>
      <w:r>
        <w:fldChar w:fldCharType="separate"/>
      </w:r>
      <w:r>
        <w:t>49</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_Toc1350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5.2 </w:t>
      </w:r>
      <w:r>
        <w:rPr>
          <w:rFonts w:hint="eastAsia"/>
        </w:rPr>
        <w:t>询价</w:t>
      </w:r>
      <w:r>
        <w:t>采购活动</w:t>
      </w:r>
      <w:r>
        <w:rPr>
          <w:rFonts w:hint="eastAsia"/>
        </w:rPr>
        <w:t>程序</w:t>
      </w:r>
      <w:r>
        <w:tab/>
      </w:r>
      <w:r>
        <w:fldChar w:fldCharType="begin"/>
      </w:r>
      <w:r>
        <w:instrText xml:space="preserve"> PAGEREF _Toc1350 \h </w:instrText>
      </w:r>
      <w:r>
        <w:fldChar w:fldCharType="separate"/>
      </w:r>
      <w:r>
        <w:t>50</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_Toc6485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5.3 </w:t>
      </w:r>
      <w:r>
        <w:rPr>
          <w:rFonts w:hint="eastAsia"/>
        </w:rPr>
        <w:t>争议处理规则</w:t>
      </w:r>
      <w:r>
        <w:tab/>
      </w:r>
      <w:r>
        <w:fldChar w:fldCharType="begin"/>
      </w:r>
      <w:r>
        <w:instrText xml:space="preserve"> PAGEREF _Toc6485 \h </w:instrText>
      </w:r>
      <w:r>
        <w:fldChar w:fldCharType="separate"/>
      </w:r>
      <w:r>
        <w:t>61</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_Toc23783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5.4 </w:t>
      </w:r>
      <w:r>
        <w:rPr>
          <w:rFonts w:hint="eastAsia"/>
        </w:rPr>
        <w:t>采购失败情形</w:t>
      </w:r>
      <w:r>
        <w:tab/>
      </w:r>
      <w:r>
        <w:fldChar w:fldCharType="begin"/>
      </w:r>
      <w:r>
        <w:instrText xml:space="preserve"> PAGEREF _Toc23783 \h </w:instrText>
      </w:r>
      <w:r>
        <w:fldChar w:fldCharType="separate"/>
      </w:r>
      <w:r>
        <w:t>61</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_Toc10208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5.5 </w:t>
      </w:r>
      <w:r>
        <w:rPr>
          <w:rFonts w:hint="eastAsia"/>
        </w:rPr>
        <w:t>确定成交供应商</w:t>
      </w:r>
      <w:r>
        <w:tab/>
      </w:r>
      <w:r>
        <w:fldChar w:fldCharType="begin"/>
      </w:r>
      <w:r>
        <w:instrText xml:space="preserve"> PAGEREF _Toc10208 \h </w:instrText>
      </w:r>
      <w:r>
        <w:fldChar w:fldCharType="separate"/>
      </w:r>
      <w:r>
        <w:t>61</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_Toc1816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5.6 </w:t>
      </w:r>
      <w:r>
        <w:rPr>
          <w:rFonts w:hint="eastAsia"/>
        </w:rPr>
        <w:t>询价小组成员义务</w:t>
      </w:r>
      <w:r>
        <w:tab/>
      </w:r>
      <w:r>
        <w:fldChar w:fldCharType="begin"/>
      </w:r>
      <w:r>
        <w:instrText xml:space="preserve"> PAGEREF _Toc1816 \h </w:instrText>
      </w:r>
      <w:r>
        <w:fldChar w:fldCharType="separate"/>
      </w:r>
      <w:r>
        <w:t>63</w:t>
      </w:r>
      <w:r>
        <w:fldChar w:fldCharType="end"/>
      </w:r>
      <w:r>
        <w:rPr>
          <w:rFonts w:ascii="宋体" w:hAnsi="宋体"/>
          <w:bCs w:val="0"/>
          <w:szCs w:val="36"/>
          <w:highlight w:val="yellow"/>
        </w:rPr>
        <w:fldChar w:fldCharType="end"/>
      </w:r>
    </w:p>
    <w:p>
      <w:pPr>
        <w:pStyle w:val="38"/>
        <w:tabs>
          <w:tab w:val="right" w:leader="dot" w:pos="9214"/>
        </w:tabs>
      </w:pPr>
      <w:r>
        <w:rPr>
          <w:rFonts w:ascii="宋体" w:hAnsi="宋体"/>
          <w:bCs w:val="0"/>
          <w:szCs w:val="36"/>
          <w:highlight w:val="yellow"/>
        </w:rPr>
        <w:fldChar w:fldCharType="begin"/>
      </w:r>
      <w:r>
        <w:rPr>
          <w:rFonts w:ascii="宋体" w:hAnsi="宋体"/>
          <w:bCs w:val="0"/>
          <w:szCs w:val="36"/>
          <w:highlight w:val="yellow"/>
        </w:rPr>
        <w:instrText xml:space="preserve"> HYPERLINK \l _Toc25972 </w:instrText>
      </w:r>
      <w:r>
        <w:rPr>
          <w:rFonts w:ascii="宋体" w:hAnsi="宋体"/>
          <w:bCs w:val="0"/>
          <w:szCs w:val="36"/>
          <w:highlight w:val="yellow"/>
        </w:rPr>
        <w:fldChar w:fldCharType="separate"/>
      </w:r>
      <w:r>
        <w:rPr>
          <w:rFonts w:hint="default" w:ascii="Times New Roman" w:hAnsi="Times New Roman" w:eastAsia="宋体" w:cs="Times New Roman"/>
          <w:i w:val="0"/>
          <w:szCs w:val="28"/>
        </w:rPr>
        <w:t xml:space="preserve">5.7 </w:t>
      </w:r>
      <w:r>
        <w:rPr>
          <w:rFonts w:hint="eastAsia"/>
        </w:rPr>
        <w:t>询价采购</w:t>
      </w:r>
      <w:r>
        <w:t>活动</w:t>
      </w:r>
      <w:r>
        <w:rPr>
          <w:rFonts w:hint="eastAsia"/>
        </w:rPr>
        <w:t>纪律</w:t>
      </w:r>
      <w:r>
        <w:tab/>
      </w:r>
      <w:r>
        <w:fldChar w:fldCharType="begin"/>
      </w:r>
      <w:r>
        <w:instrText xml:space="preserve"> PAGEREF _Toc25972 \h </w:instrText>
      </w:r>
      <w:r>
        <w:fldChar w:fldCharType="separate"/>
      </w:r>
      <w:r>
        <w:t>64</w:t>
      </w:r>
      <w:r>
        <w:fldChar w:fldCharType="end"/>
      </w:r>
      <w:r>
        <w:rPr>
          <w:rFonts w:ascii="宋体" w:hAnsi="宋体"/>
          <w:bCs w:val="0"/>
          <w:szCs w:val="36"/>
          <w:highlight w:val="yellow"/>
        </w:rPr>
        <w:fldChar w:fldCharType="end"/>
      </w:r>
    </w:p>
    <w:p>
      <w:pPr>
        <w:pStyle w:val="31"/>
        <w:tabs>
          <w:tab w:val="right" w:leader="dot" w:pos="9214"/>
          <w:tab w:val="clear" w:pos="840"/>
          <w:tab w:val="clear" w:pos="9204"/>
        </w:tabs>
      </w:pPr>
      <w:r>
        <w:rPr>
          <w:rFonts w:ascii="宋体" w:hAnsi="宋体"/>
          <w:bCs w:val="0"/>
          <w:szCs w:val="36"/>
          <w:highlight w:val="yellow"/>
        </w:rPr>
        <w:fldChar w:fldCharType="begin"/>
      </w:r>
      <w:r>
        <w:rPr>
          <w:rFonts w:ascii="宋体" w:hAnsi="宋体"/>
          <w:bCs w:val="0"/>
          <w:szCs w:val="36"/>
          <w:highlight w:val="yellow"/>
        </w:rPr>
        <w:instrText xml:space="preserve"> HYPERLINK \l _Toc24838 </w:instrText>
      </w:r>
      <w:r>
        <w:rPr>
          <w:rFonts w:ascii="宋体" w:hAnsi="宋体"/>
          <w:bCs w:val="0"/>
          <w:szCs w:val="36"/>
          <w:highlight w:val="yellow"/>
        </w:rPr>
        <w:fldChar w:fldCharType="separate"/>
      </w:r>
      <w:r>
        <w:rPr>
          <w:rFonts w:hint="default" w:ascii="Times New Roman" w:hAnsi="Times New Roman" w:eastAsia="宋体"/>
          <w:i w:val="0"/>
          <w:szCs w:val="32"/>
        </w:rPr>
        <w:t xml:space="preserve">第6章 </w:t>
      </w:r>
      <w:r>
        <w:rPr>
          <w:rFonts w:hint="eastAsia"/>
          <w:highlight w:val="none"/>
        </w:rPr>
        <w:t>政府</w:t>
      </w:r>
      <w:r>
        <w:rPr>
          <w:highlight w:val="none"/>
        </w:rPr>
        <w:t>采购</w:t>
      </w:r>
      <w:r>
        <w:rPr>
          <w:rFonts w:hint="eastAsia"/>
          <w:highlight w:val="none"/>
        </w:rPr>
        <w:t>合同草案</w:t>
      </w:r>
      <w:r>
        <w:tab/>
      </w:r>
      <w:r>
        <w:fldChar w:fldCharType="begin"/>
      </w:r>
      <w:r>
        <w:instrText xml:space="preserve"> PAGEREF _Toc24838 \h </w:instrText>
      </w:r>
      <w:r>
        <w:fldChar w:fldCharType="separate"/>
      </w:r>
      <w:r>
        <w:t>66</w:t>
      </w:r>
      <w:r>
        <w:fldChar w:fldCharType="end"/>
      </w:r>
      <w:r>
        <w:rPr>
          <w:rFonts w:ascii="宋体" w:hAnsi="宋体"/>
          <w:bCs w:val="0"/>
          <w:szCs w:val="36"/>
          <w:highlight w:val="yellow"/>
        </w:rPr>
        <w:fldChar w:fldCharType="end"/>
      </w:r>
    </w:p>
    <w:p>
      <w:pPr>
        <w:pStyle w:val="31"/>
        <w:spacing w:line="300" w:lineRule="exact"/>
        <w:rPr>
          <w:rFonts w:ascii="宋体" w:hAnsi="宋体"/>
          <w:b w:val="0"/>
          <w:bCs w:val="0"/>
          <w:sz w:val="36"/>
          <w:szCs w:val="36"/>
          <w:highlight w:val="yellow"/>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highlight w:val="yellow"/>
        </w:rPr>
        <w:fldChar w:fldCharType="end"/>
      </w:r>
    </w:p>
    <w:p>
      <w:pPr>
        <w:pStyle w:val="3"/>
        <w:numPr>
          <w:ilvl w:val="0"/>
          <w:numId w:val="1"/>
        </w:numPr>
        <w:spacing w:before="0" w:after="0"/>
        <w:ind w:left="0" w:firstLine="0"/>
      </w:pPr>
      <w:bookmarkStart w:id="0" w:name="_Toc19211"/>
      <w:bookmarkStart w:id="1" w:name="_Toc83554008"/>
      <w:bookmarkStart w:id="2" w:name="_Toc391885334"/>
      <w:bookmarkStart w:id="3" w:name="_Toc381263230"/>
      <w:bookmarkStart w:id="4" w:name="_Toc287623638"/>
      <w:r>
        <w:rPr>
          <w:rFonts w:hint="eastAsia"/>
        </w:rPr>
        <w:t>询价邀请</w:t>
      </w:r>
      <w:bookmarkEnd w:id="0"/>
      <w:bookmarkEnd w:id="1"/>
    </w:p>
    <w:p>
      <w:pPr>
        <w:spacing w:line="600" w:lineRule="exact"/>
        <w:ind w:right="-24" w:rightChars="-10" w:firstLine="565" w:firstLineChars="201"/>
        <w:rPr>
          <w:rFonts w:ascii="宋体" w:hAnsi="宋体"/>
          <w:sz w:val="28"/>
          <w:szCs w:val="28"/>
        </w:rPr>
      </w:pPr>
      <w:r>
        <w:rPr>
          <w:rFonts w:hint="eastAsia" w:ascii="宋体" w:hAnsi="宋体"/>
          <w:b/>
          <w:sz w:val="28"/>
          <w:szCs w:val="28"/>
        </w:rPr>
        <w:t>成都市</w:t>
      </w:r>
      <w:r>
        <w:rPr>
          <w:rFonts w:hint="eastAsia" w:ascii="宋体" w:hAnsi="宋体"/>
          <w:b/>
          <w:sz w:val="28"/>
          <w:szCs w:val="28"/>
          <w:lang w:eastAsia="zh-CN"/>
        </w:rPr>
        <w:t>温江区</w:t>
      </w:r>
      <w:r>
        <w:rPr>
          <w:rFonts w:hint="eastAsia" w:ascii="宋体" w:hAnsi="宋体"/>
          <w:b/>
          <w:sz w:val="28"/>
          <w:szCs w:val="28"/>
        </w:rPr>
        <w:t>公共资源交易服务中心</w:t>
      </w:r>
      <w:r>
        <w:rPr>
          <w:rFonts w:hint="eastAsia" w:ascii="宋体" w:hAnsi="宋体"/>
          <w:sz w:val="28"/>
          <w:szCs w:val="28"/>
        </w:rPr>
        <w:t>(以下简称“</w:t>
      </w:r>
      <w:r>
        <w:rPr>
          <w:rFonts w:hint="eastAsia" w:ascii="宋体" w:hAnsi="宋体"/>
          <w:sz w:val="28"/>
          <w:szCs w:val="28"/>
          <w:lang w:eastAsia="zh-CN"/>
        </w:rPr>
        <w:t>区</w:t>
      </w:r>
      <w:r>
        <w:rPr>
          <w:rFonts w:hint="eastAsia" w:ascii="宋体" w:hAnsi="宋体"/>
          <w:sz w:val="28"/>
          <w:szCs w:val="28"/>
        </w:rPr>
        <w:t>公资交易中心”)受</w:t>
      </w:r>
      <w:r>
        <w:rPr>
          <w:rFonts w:hint="eastAsia" w:ascii="宋体" w:hAnsi="宋体"/>
          <w:b/>
          <w:sz w:val="28"/>
          <w:szCs w:val="28"/>
          <w:lang w:eastAsia="zh-CN"/>
        </w:rPr>
        <w:t>成都市郫都区总工会</w:t>
      </w:r>
      <w:r>
        <w:rPr>
          <w:rFonts w:hint="eastAsia" w:ascii="宋体" w:hAnsi="宋体"/>
          <w:sz w:val="28"/>
          <w:szCs w:val="28"/>
        </w:rPr>
        <w:t>委托,拟对</w:t>
      </w:r>
      <w:r>
        <w:rPr>
          <w:rFonts w:hint="eastAsia" w:ascii="宋体" w:hAnsi="宋体"/>
          <w:b/>
          <w:sz w:val="28"/>
          <w:szCs w:val="28"/>
          <w:lang w:eastAsia="zh-CN"/>
        </w:rPr>
        <w:t>成都市郫都区总工会油电混动汽车采购项目</w:t>
      </w:r>
      <w:r>
        <w:rPr>
          <w:rFonts w:hint="eastAsia" w:ascii="宋体" w:hAnsi="宋体"/>
          <w:sz w:val="28"/>
          <w:szCs w:val="28"/>
        </w:rPr>
        <w:t>采用询价采购方式进行采购，欢迎供应商参加该项目的询价采购活动。</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eastAsia="zh-CN"/>
        </w:rPr>
        <w:t>郫都政采（2021）A0058-1号</w:t>
      </w:r>
    </w:p>
    <w:p>
      <w:pPr>
        <w:spacing w:line="600" w:lineRule="exact"/>
        <w:ind w:firstLine="562" w:firstLineChars="200"/>
        <w:rPr>
          <w:rFonts w:ascii="宋体" w:hAnsi="宋体"/>
          <w:b/>
          <w:sz w:val="28"/>
          <w:szCs w:val="28"/>
        </w:rPr>
      </w:pPr>
      <w:r>
        <w:rPr>
          <w:rFonts w:hint="eastAsia" w:ascii="宋体" w:hAnsi="宋体"/>
          <w:b/>
          <w:sz w:val="28"/>
          <w:szCs w:val="28"/>
        </w:rPr>
        <w:t>（采购项目编号：510124202100253）</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eastAsia="zh-CN"/>
        </w:rPr>
        <w:t>成都市郫都区总工会油电混动汽车采购项目</w:t>
      </w:r>
    </w:p>
    <w:p>
      <w:pPr>
        <w:numPr>
          <w:ilvl w:val="0"/>
          <w:numId w:val="2"/>
        </w:numPr>
        <w:spacing w:line="600" w:lineRule="exact"/>
        <w:ind w:left="0" w:firstLine="567"/>
        <w:jc w:val="both"/>
        <w:rPr>
          <w:rFonts w:ascii="宋体" w:hAnsi="宋体"/>
          <w:b/>
          <w:sz w:val="28"/>
          <w:szCs w:val="28"/>
          <w:highlight w:val="none"/>
        </w:rPr>
      </w:pPr>
      <w:r>
        <w:rPr>
          <w:rFonts w:hint="eastAsia" w:ascii="宋体" w:hAnsi="宋体"/>
          <w:b/>
          <w:sz w:val="28"/>
          <w:szCs w:val="28"/>
        </w:rPr>
        <w:t>资金来源、预算金额及最高限价：</w:t>
      </w:r>
      <w:r>
        <w:rPr>
          <w:rFonts w:hint="eastAsia" w:ascii="宋体" w:hAnsi="宋体"/>
          <w:sz w:val="28"/>
          <w:szCs w:val="28"/>
        </w:rPr>
        <w:t>财政性资金，政府采购实施计划</w:t>
      </w:r>
      <w:r>
        <w:rPr>
          <w:rFonts w:hint="eastAsia" w:ascii="宋体" w:hAnsi="宋体"/>
          <w:sz w:val="28"/>
          <w:szCs w:val="28"/>
          <w:lang w:eastAsia="zh-CN"/>
        </w:rPr>
        <w:t>文号</w:t>
      </w:r>
      <w:r>
        <w:rPr>
          <w:rFonts w:hint="eastAsia" w:ascii="宋体" w:hAnsi="宋体"/>
          <w:sz w:val="28"/>
          <w:szCs w:val="28"/>
        </w:rPr>
        <w:t>：SCZC510124505501_20210001；预算品目：A0203车辆；预算金额：</w:t>
      </w:r>
      <w:r>
        <w:rPr>
          <w:rFonts w:hint="eastAsia" w:ascii="宋体" w:hAnsi="宋体"/>
          <w:sz w:val="28"/>
          <w:szCs w:val="28"/>
          <w:lang w:val="en-US" w:eastAsia="zh-CN"/>
        </w:rPr>
        <w:t>18</w:t>
      </w:r>
      <w:r>
        <w:rPr>
          <w:rFonts w:hint="eastAsia" w:ascii="宋体" w:hAnsi="宋体"/>
          <w:sz w:val="28"/>
          <w:szCs w:val="28"/>
        </w:rPr>
        <w:t>万元</w:t>
      </w:r>
      <w:r>
        <w:rPr>
          <w:rFonts w:hint="eastAsia" w:ascii="宋体" w:hAnsi="宋体"/>
          <w:sz w:val="28"/>
          <w:szCs w:val="28"/>
          <w:highlight w:val="none"/>
        </w:rPr>
        <w:t>，最高限价：18万元。</w:t>
      </w:r>
    </w:p>
    <w:p>
      <w:pPr>
        <w:numPr>
          <w:ilvl w:val="0"/>
          <w:numId w:val="2"/>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采购项目简介</w:t>
      </w:r>
    </w:p>
    <w:tbl>
      <w:tblPr>
        <w:tblStyle w:val="45"/>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167"/>
        <w:gridCol w:w="2245"/>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pStyle w:val="371"/>
              <w:ind w:firstLine="0" w:firstLineChars="0"/>
              <w:jc w:val="center"/>
              <w:rPr>
                <w:rFonts w:ascii="宋体" w:hAnsi="宋体"/>
                <w:sz w:val="28"/>
                <w:szCs w:val="32"/>
                <w:highlight w:val="none"/>
              </w:rPr>
            </w:pPr>
            <w:r>
              <w:rPr>
                <w:rFonts w:hint="eastAsia" w:ascii="宋体" w:hAnsi="宋体"/>
                <w:sz w:val="28"/>
                <w:szCs w:val="32"/>
                <w:highlight w:val="none"/>
              </w:rPr>
              <w:t>序号</w:t>
            </w:r>
          </w:p>
        </w:tc>
        <w:tc>
          <w:tcPr>
            <w:tcW w:w="4167" w:type="dxa"/>
          </w:tcPr>
          <w:p>
            <w:pPr>
              <w:pStyle w:val="371"/>
              <w:ind w:firstLine="0" w:firstLineChars="0"/>
              <w:jc w:val="center"/>
              <w:rPr>
                <w:rFonts w:hint="eastAsia" w:ascii="宋体" w:hAnsi="宋体" w:eastAsiaTheme="minorEastAsia"/>
                <w:sz w:val="28"/>
                <w:szCs w:val="32"/>
                <w:highlight w:val="none"/>
                <w:lang w:val="en-US" w:eastAsia="zh-CN"/>
              </w:rPr>
            </w:pPr>
            <w:r>
              <w:rPr>
                <w:rFonts w:hint="eastAsia" w:ascii="宋体" w:hAnsi="宋体"/>
                <w:sz w:val="28"/>
                <w:szCs w:val="32"/>
                <w:highlight w:val="none"/>
              </w:rPr>
              <w:t>标的</w:t>
            </w:r>
            <w:r>
              <w:rPr>
                <w:rFonts w:hint="eastAsia" w:ascii="宋体" w:hAnsi="宋体"/>
                <w:sz w:val="28"/>
                <w:szCs w:val="32"/>
                <w:highlight w:val="none"/>
                <w:lang w:val="en-US" w:eastAsia="zh-CN"/>
              </w:rPr>
              <w:t>物</w:t>
            </w:r>
          </w:p>
        </w:tc>
        <w:tc>
          <w:tcPr>
            <w:tcW w:w="2245" w:type="dxa"/>
          </w:tcPr>
          <w:p>
            <w:pPr>
              <w:pStyle w:val="371"/>
              <w:ind w:firstLine="0" w:firstLineChars="0"/>
              <w:jc w:val="center"/>
              <w:rPr>
                <w:rFonts w:ascii="宋体" w:hAnsi="宋体"/>
                <w:sz w:val="28"/>
                <w:szCs w:val="32"/>
                <w:highlight w:val="none"/>
              </w:rPr>
            </w:pPr>
            <w:r>
              <w:rPr>
                <w:rFonts w:hint="eastAsia" w:ascii="宋体" w:hAnsi="宋体"/>
                <w:sz w:val="28"/>
                <w:szCs w:val="32"/>
                <w:highlight w:val="none"/>
              </w:rPr>
              <w:t>数量</w:t>
            </w:r>
          </w:p>
        </w:tc>
        <w:tc>
          <w:tcPr>
            <w:tcW w:w="1958" w:type="dxa"/>
          </w:tcPr>
          <w:p>
            <w:pPr>
              <w:pStyle w:val="371"/>
              <w:ind w:firstLine="0" w:firstLineChars="0"/>
              <w:jc w:val="center"/>
              <w:rPr>
                <w:rFonts w:ascii="宋体" w:hAnsi="宋体"/>
                <w:sz w:val="28"/>
                <w:szCs w:val="32"/>
                <w:highlight w:val="none"/>
              </w:rPr>
            </w:pPr>
            <w:r>
              <w:rPr>
                <w:rFonts w:hint="eastAsia" w:ascii="宋体" w:hAnsi="宋体"/>
                <w:sz w:val="28"/>
                <w:szCs w:val="32"/>
                <w:highlight w:val="none"/>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34" w:type="dxa"/>
          </w:tcPr>
          <w:p>
            <w:pPr>
              <w:pStyle w:val="371"/>
              <w:ind w:firstLine="280" w:firstLineChars="100"/>
              <w:rPr>
                <w:rFonts w:ascii="宋体" w:hAnsi="宋体"/>
                <w:sz w:val="28"/>
                <w:szCs w:val="32"/>
                <w:highlight w:val="none"/>
              </w:rPr>
            </w:pPr>
            <w:r>
              <w:rPr>
                <w:rFonts w:hint="eastAsia" w:ascii="宋体" w:hAnsi="宋体"/>
                <w:sz w:val="28"/>
                <w:szCs w:val="32"/>
                <w:highlight w:val="none"/>
              </w:rPr>
              <w:t>1</w:t>
            </w:r>
          </w:p>
        </w:tc>
        <w:tc>
          <w:tcPr>
            <w:tcW w:w="4167" w:type="dxa"/>
          </w:tcPr>
          <w:p>
            <w:pPr>
              <w:pStyle w:val="371"/>
              <w:ind w:firstLine="0" w:firstLineChars="0"/>
              <w:jc w:val="center"/>
              <w:rPr>
                <w:rFonts w:ascii="宋体" w:hAnsi="宋体"/>
                <w:sz w:val="28"/>
                <w:szCs w:val="28"/>
                <w:highlight w:val="none"/>
              </w:rPr>
            </w:pPr>
            <w:r>
              <w:rPr>
                <w:rFonts w:hint="eastAsia" w:ascii="宋体" w:hAnsi="宋体"/>
                <w:sz w:val="28"/>
                <w:szCs w:val="28"/>
                <w:highlight w:val="none"/>
              </w:rPr>
              <w:t>油电混动汽车</w:t>
            </w:r>
          </w:p>
        </w:tc>
        <w:tc>
          <w:tcPr>
            <w:tcW w:w="2245" w:type="dxa"/>
          </w:tcPr>
          <w:p>
            <w:pPr>
              <w:pStyle w:val="371"/>
              <w:ind w:firstLine="0" w:firstLineChars="0"/>
              <w:jc w:val="center"/>
              <w:rPr>
                <w:rFonts w:hint="eastAsia" w:ascii="宋体" w:hAnsi="宋体" w:eastAsiaTheme="minorEastAsia"/>
                <w:sz w:val="28"/>
                <w:szCs w:val="32"/>
                <w:highlight w:val="none"/>
                <w:lang w:eastAsia="zh-CN"/>
              </w:rPr>
            </w:pPr>
            <w:r>
              <w:rPr>
                <w:rFonts w:hint="eastAsia" w:ascii="宋体" w:hAnsi="宋体"/>
                <w:sz w:val="28"/>
                <w:szCs w:val="28"/>
                <w:highlight w:val="none"/>
              </w:rPr>
              <w:t>1</w:t>
            </w:r>
            <w:r>
              <w:rPr>
                <w:rFonts w:hint="eastAsia" w:ascii="宋体" w:hAnsi="宋体"/>
                <w:sz w:val="28"/>
                <w:szCs w:val="28"/>
                <w:highlight w:val="none"/>
                <w:lang w:eastAsia="zh-CN"/>
              </w:rPr>
              <w:t>辆</w:t>
            </w:r>
          </w:p>
        </w:tc>
        <w:tc>
          <w:tcPr>
            <w:tcW w:w="1958" w:type="dxa"/>
          </w:tcPr>
          <w:p>
            <w:pPr>
              <w:pStyle w:val="371"/>
              <w:ind w:firstLine="0" w:firstLineChars="0"/>
              <w:jc w:val="center"/>
              <w:rPr>
                <w:rFonts w:ascii="宋体" w:hAnsi="宋体"/>
                <w:sz w:val="28"/>
                <w:szCs w:val="32"/>
                <w:highlight w:val="none"/>
              </w:rPr>
            </w:pPr>
            <w:r>
              <w:rPr>
                <w:rFonts w:hint="eastAsia" w:ascii="宋体" w:hAnsi="宋体"/>
                <w:sz w:val="28"/>
                <w:szCs w:val="32"/>
                <w:highlight w:val="none"/>
              </w:rPr>
              <w:t>工业</w:t>
            </w:r>
          </w:p>
        </w:tc>
      </w:tr>
    </w:tbl>
    <w:p>
      <w:pPr>
        <w:tabs>
          <w:tab w:val="left" w:pos="851"/>
        </w:tabs>
        <w:snapToGrid w:val="0"/>
        <w:spacing w:line="640" w:lineRule="exact"/>
        <w:ind w:firstLine="560" w:firstLineChars="200"/>
        <w:rPr>
          <w:rFonts w:ascii="宋体" w:hAnsi="宋体"/>
          <w:sz w:val="28"/>
          <w:szCs w:val="28"/>
        </w:rPr>
      </w:pPr>
      <w:r>
        <w:rPr>
          <w:rFonts w:hint="eastAsia" w:ascii="宋体" w:hAnsi="宋体"/>
          <w:sz w:val="28"/>
          <w:szCs w:val="28"/>
        </w:rPr>
        <w:t>供应商必须对所有货物及服务内容进行报价，并响应询价通知书的要求，详细的技术、服务、商务及其他要求见第4章。</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禁止参加询价的供应商；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w:t>
      </w:r>
      <w:r>
        <w:rPr>
          <w:rFonts w:ascii="宋体" w:hAnsi="宋体"/>
          <w:sz w:val="28"/>
          <w:szCs w:val="28"/>
        </w:rPr>
        <w:t>活动</w:t>
      </w:r>
      <w:r>
        <w:rPr>
          <w:rFonts w:hint="eastAsia" w:ascii="宋体" w:hAnsi="宋体"/>
          <w:sz w:val="28"/>
          <w:szCs w:val="28"/>
        </w:rPr>
        <w:t>。</w:t>
      </w:r>
    </w:p>
    <w:p>
      <w:pPr>
        <w:numPr>
          <w:ilvl w:val="0"/>
          <w:numId w:val="2"/>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询价通知书获取时间</w:t>
      </w:r>
    </w:p>
    <w:p>
      <w:pPr>
        <w:spacing w:line="600" w:lineRule="exact"/>
        <w:ind w:firstLine="562" w:firstLineChars="200"/>
        <w:rPr>
          <w:rFonts w:ascii="宋体" w:hAnsi="宋体"/>
          <w:b/>
          <w:sz w:val="28"/>
          <w:szCs w:val="28"/>
          <w:highlight w:val="none"/>
        </w:rPr>
      </w:pPr>
      <w:r>
        <w:rPr>
          <w:rFonts w:hint="eastAsia" w:ascii="宋体" w:hAnsi="宋体"/>
          <w:b/>
          <w:sz w:val="28"/>
          <w:szCs w:val="28"/>
          <w:highlight w:val="none"/>
        </w:rPr>
        <w:t>（一）询价</w:t>
      </w:r>
      <w:r>
        <w:rPr>
          <w:rFonts w:ascii="宋体" w:hAnsi="宋体"/>
          <w:b/>
          <w:sz w:val="28"/>
          <w:szCs w:val="28"/>
          <w:highlight w:val="none"/>
        </w:rPr>
        <w:t>通知书</w:t>
      </w:r>
      <w:r>
        <w:rPr>
          <w:rFonts w:hint="eastAsia" w:ascii="宋体" w:hAnsi="宋体"/>
          <w:b/>
          <w:sz w:val="28"/>
          <w:szCs w:val="28"/>
          <w:highlight w:val="none"/>
        </w:rPr>
        <w:t>获取时间：2021年</w:t>
      </w:r>
      <w:r>
        <w:rPr>
          <w:rFonts w:hint="eastAsia" w:ascii="宋体" w:hAnsi="宋体"/>
          <w:b/>
          <w:sz w:val="28"/>
          <w:szCs w:val="28"/>
          <w:highlight w:val="none"/>
          <w:lang w:val="en-US" w:eastAsia="zh-CN"/>
        </w:rPr>
        <w:t>11</w:t>
      </w:r>
      <w:r>
        <w:rPr>
          <w:rFonts w:hint="eastAsia" w:ascii="宋体" w:hAnsi="宋体"/>
          <w:b/>
          <w:sz w:val="28"/>
          <w:szCs w:val="28"/>
          <w:highlight w:val="none"/>
        </w:rPr>
        <w:t>月</w:t>
      </w:r>
      <w:r>
        <w:rPr>
          <w:rFonts w:hint="eastAsia" w:ascii="宋体" w:hAnsi="宋体"/>
          <w:b/>
          <w:sz w:val="28"/>
          <w:szCs w:val="28"/>
          <w:highlight w:val="none"/>
          <w:lang w:val="en-US" w:eastAsia="zh-CN"/>
        </w:rPr>
        <w:t>4</w:t>
      </w:r>
      <w:r>
        <w:rPr>
          <w:rFonts w:hint="eastAsia" w:ascii="宋体" w:hAnsi="宋体"/>
          <w:b/>
          <w:sz w:val="28"/>
          <w:szCs w:val="28"/>
          <w:highlight w:val="none"/>
        </w:rPr>
        <w:t>日至1</w:t>
      </w:r>
      <w:r>
        <w:rPr>
          <w:rFonts w:hint="eastAsia" w:ascii="宋体" w:hAnsi="宋体"/>
          <w:b/>
          <w:sz w:val="28"/>
          <w:szCs w:val="28"/>
          <w:highlight w:val="none"/>
          <w:lang w:val="en-US" w:eastAsia="zh-CN"/>
        </w:rPr>
        <w:t>1</w:t>
      </w:r>
      <w:r>
        <w:rPr>
          <w:rFonts w:hint="eastAsia" w:ascii="宋体" w:hAnsi="宋体"/>
          <w:b/>
          <w:sz w:val="28"/>
          <w:szCs w:val="28"/>
          <w:highlight w:val="none"/>
        </w:rPr>
        <w:t>月</w:t>
      </w:r>
      <w:r>
        <w:rPr>
          <w:rFonts w:hint="eastAsia" w:ascii="宋体" w:hAnsi="宋体"/>
          <w:b/>
          <w:sz w:val="28"/>
          <w:szCs w:val="28"/>
          <w:highlight w:val="none"/>
          <w:lang w:val="en-US" w:eastAsia="zh-CN"/>
        </w:rPr>
        <w:t>8</w:t>
      </w:r>
      <w:r>
        <w:rPr>
          <w:rFonts w:hint="eastAsia" w:ascii="宋体" w:hAnsi="宋体"/>
          <w:b/>
          <w:sz w:val="28"/>
          <w:szCs w:val="28"/>
          <w:highlight w:val="none"/>
        </w:rPr>
        <w:t>日。</w:t>
      </w:r>
    </w:p>
    <w:p>
      <w:pPr>
        <w:spacing w:line="600" w:lineRule="exact"/>
        <w:ind w:firstLine="562" w:firstLineChars="200"/>
        <w:rPr>
          <w:rFonts w:ascii="宋体" w:hAnsi="宋体"/>
          <w:b/>
          <w:sz w:val="28"/>
          <w:szCs w:val="28"/>
          <w:highlight w:val="none"/>
        </w:rPr>
      </w:pPr>
      <w:r>
        <w:rPr>
          <w:rFonts w:hint="eastAsia" w:ascii="宋体" w:hAnsi="宋体"/>
          <w:b/>
          <w:sz w:val="28"/>
          <w:szCs w:val="28"/>
          <w:highlight w:val="none"/>
        </w:rPr>
        <w:t>（二）公告期限：2021年</w:t>
      </w:r>
      <w:r>
        <w:rPr>
          <w:rFonts w:hint="eastAsia" w:ascii="宋体" w:hAnsi="宋体"/>
          <w:b/>
          <w:sz w:val="28"/>
          <w:szCs w:val="28"/>
          <w:highlight w:val="none"/>
          <w:lang w:val="en-US" w:eastAsia="zh-CN"/>
        </w:rPr>
        <w:t>11</w:t>
      </w:r>
      <w:r>
        <w:rPr>
          <w:rFonts w:hint="eastAsia" w:ascii="宋体" w:hAnsi="宋体"/>
          <w:b/>
          <w:sz w:val="28"/>
          <w:szCs w:val="28"/>
          <w:highlight w:val="none"/>
        </w:rPr>
        <w:t>月</w:t>
      </w:r>
      <w:r>
        <w:rPr>
          <w:rFonts w:hint="eastAsia" w:ascii="宋体" w:hAnsi="宋体"/>
          <w:b/>
          <w:sz w:val="28"/>
          <w:szCs w:val="28"/>
          <w:highlight w:val="none"/>
          <w:lang w:val="en-US" w:eastAsia="zh-CN"/>
        </w:rPr>
        <w:t>4</w:t>
      </w:r>
      <w:r>
        <w:rPr>
          <w:rFonts w:hint="eastAsia" w:ascii="宋体" w:hAnsi="宋体"/>
          <w:b/>
          <w:sz w:val="28"/>
          <w:szCs w:val="28"/>
          <w:highlight w:val="none"/>
        </w:rPr>
        <w:t>日至</w:t>
      </w:r>
      <w:r>
        <w:rPr>
          <w:rFonts w:hint="eastAsia" w:ascii="宋体" w:hAnsi="宋体"/>
          <w:b/>
          <w:sz w:val="28"/>
          <w:szCs w:val="28"/>
          <w:highlight w:val="none"/>
          <w:lang w:val="en-US" w:eastAsia="zh-CN"/>
        </w:rPr>
        <w:t>11</w:t>
      </w:r>
      <w:r>
        <w:rPr>
          <w:rFonts w:hint="eastAsia" w:ascii="宋体" w:hAnsi="宋体"/>
          <w:b/>
          <w:sz w:val="28"/>
          <w:szCs w:val="28"/>
          <w:highlight w:val="none"/>
        </w:rPr>
        <w:t>月</w:t>
      </w:r>
      <w:r>
        <w:rPr>
          <w:rFonts w:hint="eastAsia" w:ascii="宋体" w:hAnsi="宋体"/>
          <w:b/>
          <w:sz w:val="28"/>
          <w:szCs w:val="28"/>
          <w:highlight w:val="none"/>
          <w:lang w:val="en-US" w:eastAsia="zh-CN"/>
        </w:rPr>
        <w:t>8</w:t>
      </w:r>
      <w:r>
        <w:rPr>
          <w:rFonts w:hint="eastAsia" w:ascii="宋体" w:hAnsi="宋体"/>
          <w:b/>
          <w:sz w:val="28"/>
          <w:szCs w:val="28"/>
          <w:highlight w:val="none"/>
        </w:rPr>
        <w:t>日。</w:t>
      </w:r>
    </w:p>
    <w:p>
      <w:pPr>
        <w:numPr>
          <w:ilvl w:val="0"/>
          <w:numId w:val="2"/>
        </w:numPr>
        <w:spacing w:line="600" w:lineRule="exact"/>
        <w:ind w:left="0" w:firstLine="567"/>
        <w:jc w:val="both"/>
        <w:rPr>
          <w:rFonts w:ascii="宋体" w:hAnsi="宋体"/>
          <w:b/>
          <w:sz w:val="28"/>
          <w:highlight w:val="none"/>
        </w:rPr>
      </w:pPr>
      <w:r>
        <w:rPr>
          <w:rFonts w:hint="eastAsia" w:ascii="宋体" w:hAnsi="宋体"/>
          <w:b/>
          <w:sz w:val="28"/>
          <w:szCs w:val="28"/>
          <w:highlight w:val="none"/>
        </w:rPr>
        <w:t>询价通知书</w:t>
      </w:r>
      <w:r>
        <w:rPr>
          <w:rFonts w:hint="eastAsia" w:ascii="宋体" w:hAnsi="宋体"/>
          <w:b/>
          <w:sz w:val="28"/>
          <w:highlight w:val="none"/>
        </w:rPr>
        <w:t>获取方式</w:t>
      </w:r>
    </w:p>
    <w:p>
      <w:pPr>
        <w:spacing w:line="360" w:lineRule="auto"/>
        <w:ind w:firstLine="560" w:firstLineChars="200"/>
        <w:rPr>
          <w:rFonts w:ascii="宋体" w:hAnsi="宋体"/>
          <w:sz w:val="28"/>
          <w:szCs w:val="28"/>
        </w:rPr>
      </w:pPr>
      <w:r>
        <w:rPr>
          <w:rFonts w:hint="eastAsia" w:ascii="宋体" w:hAnsi="宋体"/>
          <w:sz w:val="28"/>
          <w:szCs w:val="28"/>
        </w:rPr>
        <w:t>供应商要参加询价，应在成都市公共资源交易服务中心“政府采购云平台”获取询价通知书。登录成都市公共资源交易服务中心门户网站（https://www.cdggzy.com/）—用户中心—政府采购云平台—项目采购—获取询价通知书—申请获取询价通知书。</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（1）本项目询价通知书免费获取。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引起的响应文件无效责任自负。</w:t>
      </w:r>
    </w:p>
    <w:p>
      <w:pPr>
        <w:spacing w:line="360" w:lineRule="auto"/>
        <w:ind w:firstLine="565" w:firstLineChars="202"/>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5" w:firstLineChars="202"/>
        <w:rPr>
          <w:rFonts w:ascii="宋体" w:hAnsi="宋体"/>
          <w:sz w:val="28"/>
          <w:szCs w:val="28"/>
        </w:rPr>
      </w:pPr>
      <w:r>
        <w:rPr>
          <w:rFonts w:hint="eastAsia" w:ascii="宋体" w:hAnsi="宋体"/>
          <w:sz w:val="28"/>
          <w:szCs w:val="28"/>
        </w:rPr>
        <w:t>（4）本项目为电子询</w:t>
      </w:r>
      <w:r>
        <w:rPr>
          <w:rFonts w:ascii="宋体" w:hAnsi="宋体"/>
          <w:sz w:val="28"/>
          <w:szCs w:val="28"/>
        </w:rPr>
        <w:t>价</w:t>
      </w:r>
      <w:r>
        <w:rPr>
          <w:rFonts w:hint="eastAsia" w:ascii="宋体" w:hAnsi="宋体"/>
          <w:sz w:val="28"/>
          <w:szCs w:val="28"/>
        </w:rPr>
        <w:t>项目，供应商参与本项目全过程中凡涉及系统操作请详见《成都市全流程电子化采购系统操作指南——供应商版》。（操作指南请登录政府采购云平台后，点击“前台大厅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询价通知书获取地点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响应文件递交截止时间及开启时间（北京时间）、地点、方式</w:t>
      </w:r>
    </w:p>
    <w:p>
      <w:pPr>
        <w:pStyle w:val="154"/>
        <w:numPr>
          <w:ilvl w:val="0"/>
          <w:numId w:val="4"/>
        </w:numPr>
        <w:tabs>
          <w:tab w:val="left" w:pos="1418"/>
        </w:tabs>
        <w:spacing w:line="600" w:lineRule="exact"/>
        <w:ind w:left="0" w:firstLine="567" w:firstLineChars="0"/>
        <w:jc w:val="both"/>
        <w:rPr>
          <w:rFonts w:ascii="宋体" w:hAnsi="宋体" w:eastAsia="宋体"/>
          <w:b/>
          <w:sz w:val="28"/>
          <w:szCs w:val="28"/>
          <w:highlight w:val="none"/>
        </w:rPr>
      </w:pPr>
      <w:r>
        <w:rPr>
          <w:rFonts w:hint="eastAsia" w:ascii="宋体" w:hAnsi="宋体" w:eastAsia="宋体"/>
          <w:b/>
          <w:sz w:val="28"/>
          <w:szCs w:val="28"/>
          <w:highlight w:val="none"/>
        </w:rPr>
        <w:t>响应文件递交截止时间及开启时间：2021</w:t>
      </w:r>
      <w:r>
        <w:rPr>
          <w:rFonts w:ascii="宋体" w:hAnsi="宋体" w:eastAsia="宋体"/>
          <w:b/>
          <w:sz w:val="28"/>
          <w:szCs w:val="28"/>
          <w:highlight w:val="none"/>
        </w:rPr>
        <w:t>年</w:t>
      </w:r>
      <w:r>
        <w:rPr>
          <w:rFonts w:hint="eastAsia" w:ascii="宋体" w:hAnsi="宋体"/>
          <w:b/>
          <w:sz w:val="28"/>
          <w:szCs w:val="28"/>
          <w:highlight w:val="none"/>
          <w:lang w:val="en-US" w:eastAsia="zh-CN"/>
        </w:rPr>
        <w:t>11</w:t>
      </w:r>
      <w:r>
        <w:rPr>
          <w:rFonts w:ascii="宋体" w:hAnsi="宋体" w:eastAsia="宋体"/>
          <w:b/>
          <w:sz w:val="28"/>
          <w:szCs w:val="28"/>
          <w:highlight w:val="none"/>
        </w:rPr>
        <w:t>月</w:t>
      </w:r>
      <w:r>
        <w:rPr>
          <w:rFonts w:hint="eastAsia" w:ascii="宋体" w:hAnsi="宋体"/>
          <w:b/>
          <w:sz w:val="28"/>
          <w:szCs w:val="28"/>
          <w:highlight w:val="none"/>
          <w:lang w:val="en-US" w:eastAsia="zh-CN"/>
        </w:rPr>
        <w:t>9</w:t>
      </w:r>
      <w:r>
        <w:rPr>
          <w:rFonts w:ascii="宋体" w:hAnsi="宋体" w:eastAsia="宋体"/>
          <w:b/>
          <w:sz w:val="28"/>
          <w:szCs w:val="28"/>
          <w:highlight w:val="none"/>
        </w:rPr>
        <w:t>日</w:t>
      </w:r>
      <w:r>
        <w:rPr>
          <w:rFonts w:hint="eastAsia" w:ascii="宋体" w:hAnsi="宋体" w:eastAsia="宋体"/>
          <w:b/>
          <w:sz w:val="28"/>
          <w:szCs w:val="28"/>
          <w:highlight w:val="none"/>
        </w:rPr>
        <w:t>上午9</w:t>
      </w:r>
      <w:r>
        <w:rPr>
          <w:rFonts w:ascii="宋体" w:hAnsi="宋体" w:eastAsia="宋体"/>
          <w:b/>
          <w:sz w:val="28"/>
          <w:szCs w:val="28"/>
          <w:highlight w:val="none"/>
        </w:rPr>
        <w:t>:</w:t>
      </w:r>
      <w:r>
        <w:rPr>
          <w:rFonts w:hint="eastAsia" w:ascii="宋体" w:hAnsi="宋体" w:eastAsia="宋体"/>
          <w:b/>
          <w:sz w:val="28"/>
          <w:szCs w:val="28"/>
          <w:highlight w:val="none"/>
        </w:rPr>
        <w:t>30。</w:t>
      </w:r>
    </w:p>
    <w:p>
      <w:pPr>
        <w:pStyle w:val="154"/>
        <w:numPr>
          <w:ilvl w:val="0"/>
          <w:numId w:val="4"/>
        </w:numPr>
        <w:tabs>
          <w:tab w:val="left" w:pos="1418"/>
        </w:tabs>
        <w:spacing w:line="600" w:lineRule="exact"/>
        <w:ind w:left="0" w:firstLine="567" w:firstLineChars="0"/>
        <w:jc w:val="both"/>
        <w:rPr>
          <w:rFonts w:ascii="宋体" w:hAnsi="宋体" w:eastAsia="宋体"/>
          <w:b/>
          <w:sz w:val="28"/>
          <w:szCs w:val="28"/>
          <w:highlight w:val="none"/>
        </w:rPr>
      </w:pPr>
      <w:r>
        <w:rPr>
          <w:rFonts w:hint="eastAsia" w:ascii="宋体" w:hAnsi="宋体" w:eastAsia="宋体"/>
          <w:b/>
          <w:sz w:val="28"/>
          <w:szCs w:val="28"/>
          <w:highlight w:val="none"/>
        </w:rPr>
        <w:t>响应文件递交方式、地点：响应文件递交截止时间前，供应商应将加密的电子响应文件递交至“政府采购云平台”对应项目（包件）。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询价地点</w:t>
      </w:r>
    </w:p>
    <w:p>
      <w:pPr>
        <w:spacing w:line="360" w:lineRule="auto"/>
        <w:ind w:firstLine="580" w:firstLineChars="200"/>
        <w:rPr>
          <w:sz w:val="29"/>
          <w:szCs w:val="29"/>
        </w:rPr>
      </w:pPr>
      <w:r>
        <w:rPr>
          <w:rFonts w:hint="eastAsia"/>
          <w:sz w:val="29"/>
          <w:szCs w:val="29"/>
        </w:rPr>
        <w:t>本项目询价为不见面开标。</w:t>
      </w:r>
    </w:p>
    <w:p>
      <w:pPr>
        <w:spacing w:line="360" w:lineRule="auto"/>
        <w:ind w:firstLine="565" w:firstLineChars="194"/>
        <w:rPr>
          <w:rFonts w:ascii="宋体" w:hAnsi="宋体"/>
          <w:sz w:val="28"/>
          <w:szCs w:val="28"/>
        </w:rPr>
      </w:pPr>
      <w:r>
        <w:rPr>
          <w:rFonts w:hint="eastAsia"/>
          <w:b/>
          <w:sz w:val="29"/>
          <w:szCs w:val="29"/>
        </w:rPr>
        <w:t>询价地点：</w:t>
      </w:r>
      <w:r>
        <w:rPr>
          <w:rFonts w:hint="eastAsia" w:ascii="宋体" w:hAnsi="宋体"/>
          <w:sz w:val="28"/>
          <w:szCs w:val="28"/>
        </w:rPr>
        <w:t>成都市公共资源交易服务中心“政府采购云平台”。登录成都市公共资源交易服务中心门户网站（https://www.cdggzy.com）—用户中心—政府采购云平台。</w:t>
      </w:r>
    </w:p>
    <w:p>
      <w:pPr>
        <w:spacing w:line="360" w:lineRule="auto"/>
        <w:ind w:firstLine="420" w:firstLineChars="150"/>
        <w:rPr>
          <w:rFonts w:ascii="宋体" w:hAnsi="宋体"/>
          <w:sz w:val="28"/>
          <w:szCs w:val="28"/>
        </w:rPr>
      </w:pPr>
      <w:r>
        <w:rPr>
          <w:rFonts w:hint="eastAsia" w:ascii="宋体" w:hAnsi="宋体"/>
          <w:sz w:val="28"/>
          <w:szCs w:val="28"/>
        </w:rPr>
        <w:t>本项目只接受供应</w:t>
      </w:r>
      <w:r>
        <w:rPr>
          <w:rFonts w:ascii="宋体" w:hAnsi="宋体"/>
          <w:sz w:val="28"/>
          <w:szCs w:val="28"/>
        </w:rPr>
        <w:t>商</w:t>
      </w:r>
      <w:r>
        <w:rPr>
          <w:rFonts w:hint="eastAsia" w:ascii="宋体" w:hAnsi="宋体"/>
          <w:sz w:val="28"/>
          <w:szCs w:val="28"/>
        </w:rPr>
        <w:t>加密并递交至“政府采购云平台”的响应文件。</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pacing w:line="360" w:lineRule="auto"/>
        <w:ind w:firstLine="543" w:firstLineChars="194"/>
        <w:rPr>
          <w:rFonts w:ascii="宋体" w:hAnsi="宋体" w:eastAsia="宋体" w:cs="Times New Roman"/>
          <w:sz w:val="28"/>
          <w:szCs w:val="28"/>
        </w:rPr>
      </w:pPr>
      <w:r>
        <w:rPr>
          <w:rFonts w:ascii="宋体" w:hAnsi="宋体" w:eastAsia="宋体" w:cs="Times New Roman"/>
          <w:sz w:val="28"/>
          <w:szCs w:val="28"/>
        </w:rPr>
        <w:t>参加本次招标活动的中小企业供应商无需提供财产抵押或第三方担保，凭借政府采购合同可向融资机构申请融资。具体内容见招标文件附件详见《成都市财政局 中国人民银行成都分行营业管理部关于印发〈成都市中小企业政府采购信用融资暂行办法〉和〈成都市级支持中小企业政府采购信用融资实施方案〉的通知》（成财采[2021]17号）。</w:t>
      </w:r>
    </w:p>
    <w:p>
      <w:pPr>
        <w:numPr>
          <w:ilvl w:val="0"/>
          <w:numId w:val="2"/>
        </w:numPr>
        <w:spacing w:line="600" w:lineRule="exact"/>
        <w:ind w:left="0" w:firstLine="567"/>
        <w:jc w:val="both"/>
        <w:rPr>
          <w:rFonts w:ascii="宋体" w:hAnsi="宋体"/>
          <w:b/>
          <w:bCs/>
          <w:sz w:val="28"/>
          <w:szCs w:val="28"/>
        </w:rPr>
      </w:pPr>
      <w:r>
        <w:rPr>
          <w:rFonts w:hint="eastAsia" w:ascii="宋体" w:hAnsi="宋体"/>
          <w:b/>
          <w:bCs/>
          <w:sz w:val="28"/>
          <w:szCs w:val="28"/>
        </w:rPr>
        <w:t>本询价邀请在“四川政府采购网”和“成都市公共资源交易服务中心”网站上以公告形式发布</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联系方式</w:t>
      </w:r>
    </w:p>
    <w:p>
      <w:pPr>
        <w:spacing w:line="600" w:lineRule="exact"/>
        <w:ind w:firstLine="562" w:firstLineChars="200"/>
        <w:rPr>
          <w:rFonts w:hint="eastAsia" w:ascii="宋体" w:hAnsi="宋体" w:eastAsia="宋体"/>
          <w:b/>
          <w:sz w:val="28"/>
          <w:szCs w:val="28"/>
          <w:lang w:eastAsia="zh-CN"/>
        </w:rPr>
      </w:pPr>
      <w:r>
        <w:rPr>
          <w:rFonts w:hint="eastAsia" w:ascii="宋体" w:hAnsi="宋体"/>
          <w:b/>
          <w:sz w:val="28"/>
          <w:szCs w:val="28"/>
        </w:rPr>
        <w:t>采购人：</w:t>
      </w:r>
      <w:r>
        <w:rPr>
          <w:rFonts w:hint="eastAsia" w:ascii="宋体" w:hAnsi="宋体"/>
          <w:b/>
          <w:sz w:val="28"/>
          <w:szCs w:val="28"/>
          <w:lang w:eastAsia="zh-CN"/>
        </w:rPr>
        <w:t xml:space="preserve">成都市郫都区总工会 </w:t>
      </w:r>
    </w:p>
    <w:p>
      <w:pPr>
        <w:spacing w:line="400" w:lineRule="exact"/>
        <w:ind w:firstLine="551" w:firstLineChars="197"/>
        <w:rPr>
          <w:rFonts w:ascii="宋体" w:hAnsi="宋体"/>
          <w:color w:val="000000" w:themeColor="text1"/>
          <w:sz w:val="28"/>
          <w:szCs w:val="28"/>
          <w:highlight w:val="none"/>
          <w14:textFill>
            <w14:solidFill>
              <w14:schemeClr w14:val="tx1"/>
            </w14:solidFill>
          </w14:textFill>
        </w:rPr>
      </w:pPr>
      <w:r>
        <w:rPr>
          <w:rFonts w:hint="eastAsia" w:ascii="宋体" w:hAnsi="宋体"/>
          <w:sz w:val="28"/>
          <w:szCs w:val="28"/>
        </w:rPr>
        <w:t>地  址：</w:t>
      </w:r>
      <w:r>
        <w:rPr>
          <w:rFonts w:hint="eastAsia" w:ascii="宋体" w:hAnsi="宋体"/>
          <w:color w:val="000000" w:themeColor="text1"/>
          <w:sz w:val="28"/>
          <w:szCs w:val="28"/>
          <w:highlight w:val="none"/>
          <w14:textFill>
            <w14:solidFill>
              <w14:schemeClr w14:val="tx1"/>
            </w14:solidFill>
          </w14:textFill>
        </w:rPr>
        <w:t>成都市郫筒镇德源北路二段647号</w:t>
      </w:r>
    </w:p>
    <w:p>
      <w:pPr>
        <w:spacing w:line="600" w:lineRule="exact"/>
        <w:ind w:firstLine="560" w:firstLineChars="200"/>
        <w:rPr>
          <w:rFonts w:hint="eastAsia" w:ascii="宋体" w:hAnsi="宋体" w:eastAsia="宋体" w:cs="Times New Roman"/>
          <w:sz w:val="28"/>
          <w:szCs w:val="28"/>
          <w:lang w:val="en-US" w:eastAsia="zh-CN"/>
        </w:rPr>
      </w:pPr>
      <w:r>
        <w:rPr>
          <w:rFonts w:hint="eastAsia" w:ascii="宋体" w:hAnsi="宋体" w:eastAsia="宋体" w:cs="Times New Roman"/>
          <w:sz w:val="28"/>
          <w:szCs w:val="28"/>
        </w:rPr>
        <w:t>联系人：</w:t>
      </w:r>
      <w:r>
        <w:rPr>
          <w:rFonts w:hint="eastAsia" w:ascii="宋体" w:hAnsi="宋体" w:eastAsia="宋体" w:cs="Times New Roman"/>
          <w:sz w:val="28"/>
          <w:szCs w:val="28"/>
          <w:lang w:val="en-US" w:eastAsia="zh-CN"/>
        </w:rPr>
        <w:t>张燕</w:t>
      </w:r>
    </w:p>
    <w:p>
      <w:pPr>
        <w:spacing w:line="600" w:lineRule="exact"/>
        <w:ind w:firstLine="560" w:firstLineChars="200"/>
        <w:rPr>
          <w:rFonts w:ascii="宋体" w:hAnsi="宋体"/>
          <w:sz w:val="28"/>
          <w:szCs w:val="28"/>
        </w:rPr>
      </w:pPr>
      <w:r>
        <w:rPr>
          <w:rFonts w:hint="eastAsia" w:ascii="宋体" w:hAnsi="宋体" w:eastAsia="宋体" w:cs="Times New Roman"/>
          <w:sz w:val="28"/>
          <w:szCs w:val="28"/>
        </w:rPr>
        <w:t>联系电话：028-62402016</w:t>
      </w:r>
    </w:p>
    <w:p>
      <w:pPr>
        <w:spacing w:line="600" w:lineRule="exact"/>
        <w:ind w:firstLine="562" w:firstLineChars="200"/>
        <w:rPr>
          <w:rFonts w:ascii="宋体" w:hAnsi="宋体"/>
          <w:b/>
          <w:sz w:val="28"/>
          <w:szCs w:val="28"/>
        </w:rPr>
      </w:pPr>
      <w:r>
        <w:rPr>
          <w:rFonts w:hint="eastAsia" w:ascii="宋体" w:hAnsi="宋体"/>
          <w:b/>
          <w:sz w:val="28"/>
          <w:szCs w:val="28"/>
        </w:rPr>
        <w:t>成都市</w:t>
      </w:r>
      <w:r>
        <w:rPr>
          <w:rFonts w:hint="eastAsia" w:ascii="宋体" w:hAnsi="宋体"/>
          <w:b/>
          <w:sz w:val="28"/>
          <w:szCs w:val="28"/>
          <w:lang w:eastAsia="zh-CN"/>
        </w:rPr>
        <w:t>温江区</w:t>
      </w:r>
      <w:r>
        <w:rPr>
          <w:rFonts w:hint="eastAsia" w:ascii="宋体" w:hAnsi="宋体"/>
          <w:b/>
          <w:sz w:val="28"/>
          <w:szCs w:val="28"/>
        </w:rPr>
        <w:t>公共资源交易服务中心</w:t>
      </w:r>
    </w:p>
    <w:p>
      <w:pPr>
        <w:pStyle w:val="193"/>
        <w:spacing w:line="560" w:lineRule="exact"/>
        <w:ind w:left="0" w:leftChars="0" w:firstLine="560" w:firstLineChars="200"/>
        <w:rPr>
          <w:rFonts w:ascii="宋体" w:hAnsi="宋体"/>
          <w:kern w:val="0"/>
          <w:sz w:val="28"/>
          <w:szCs w:val="22"/>
        </w:rPr>
      </w:pPr>
      <w:r>
        <w:rPr>
          <w:rFonts w:hint="eastAsia" w:ascii="宋体" w:hAnsi="宋体"/>
          <w:sz w:val="28"/>
          <w:szCs w:val="28"/>
        </w:rPr>
        <w:t>地  址：成都市温江区锦绣大道南段43号天府智谷C栋3楼</w:t>
      </w:r>
    </w:p>
    <w:p>
      <w:pPr>
        <w:pStyle w:val="193"/>
        <w:spacing w:line="560" w:lineRule="exact"/>
        <w:ind w:left="0" w:leftChars="0" w:firstLine="560" w:firstLineChars="200"/>
        <w:rPr>
          <w:rFonts w:hint="eastAsia" w:ascii="宋体" w:hAnsi="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胥怡希</w:t>
      </w:r>
    </w:p>
    <w:p>
      <w:pPr>
        <w:pStyle w:val="193"/>
        <w:spacing w:line="560" w:lineRule="exact"/>
        <w:rPr>
          <w:rFonts w:hint="default" w:ascii="宋体" w:hAnsi="宋体"/>
          <w:sz w:val="28"/>
          <w:szCs w:val="28"/>
          <w:lang w:val="en-US" w:eastAsia="zh-CN"/>
        </w:rPr>
      </w:pPr>
      <w:r>
        <w:rPr>
          <w:rFonts w:hint="eastAsia" w:ascii="宋体" w:hAnsi="宋体"/>
          <w:sz w:val="28"/>
          <w:szCs w:val="28"/>
        </w:rPr>
        <w:t>联系电话：028-</w:t>
      </w:r>
      <w:r>
        <w:rPr>
          <w:rFonts w:hint="eastAsia" w:ascii="宋体" w:hAnsi="宋体"/>
          <w:sz w:val="28"/>
          <w:szCs w:val="28"/>
          <w:lang w:val="en-US" w:eastAsia="zh-CN"/>
        </w:rPr>
        <w:t>82746656</w:t>
      </w:r>
    </w:p>
    <w:p>
      <w:pPr>
        <w:spacing w:line="600" w:lineRule="exact"/>
        <w:ind w:firstLine="562" w:firstLineChars="200"/>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pStyle w:val="207"/>
        <w:tabs>
          <w:tab w:val="left" w:pos="900"/>
        </w:tabs>
        <w:spacing w:line="560" w:lineRule="exact"/>
        <w:ind w:left="0" w:leftChars="0" w:firstLine="562" w:firstLineChars="200"/>
        <w:jc w:val="left"/>
        <w:rPr>
          <w:rFonts w:hint="eastAsia" w:ascii="宋体" w:hAnsi="宋体" w:eastAsia="宋体" w:cs="Times New Roman"/>
          <w:b/>
          <w:kern w:val="0"/>
          <w:sz w:val="28"/>
          <w:szCs w:val="28"/>
          <w:lang w:val="en-US" w:eastAsia="zh-CN" w:bidi="ar-SA"/>
        </w:rPr>
      </w:pPr>
      <w:r>
        <w:rPr>
          <w:rFonts w:hint="eastAsia" w:ascii="宋体" w:hAnsi="宋体" w:eastAsia="宋体" w:cs="Times New Roman"/>
          <w:b/>
          <w:kern w:val="0"/>
          <w:sz w:val="28"/>
          <w:szCs w:val="28"/>
          <w:lang w:val="en-US" w:eastAsia="zh-CN" w:bidi="ar-SA"/>
        </w:rPr>
        <w:t>政府采购监督机构：成都市郫都区财政局</w:t>
      </w:r>
    </w:p>
    <w:p>
      <w:pPr>
        <w:pStyle w:val="207"/>
        <w:tabs>
          <w:tab w:val="left" w:pos="900"/>
        </w:tabs>
        <w:spacing w:line="560" w:lineRule="exact"/>
        <w:ind w:firstLine="560"/>
        <w:jc w:val="left"/>
        <w:rPr>
          <w:rFonts w:hint="eastAsia" w:ascii="宋体" w:hAnsi="宋体" w:cs="Times New Roman"/>
          <w:sz w:val="28"/>
          <w:lang w:eastAsia="zh-CN"/>
        </w:rPr>
      </w:pPr>
      <w:r>
        <w:rPr>
          <w:rFonts w:hint="eastAsia" w:ascii="宋体" w:hAnsi="宋体" w:cs="Times New Roman"/>
          <w:sz w:val="28"/>
        </w:rPr>
        <w:t>地 址：成都市郫都区望丛中路998号机关第一办公区1号楼615室</w:t>
      </w:r>
    </w:p>
    <w:p>
      <w:pPr>
        <w:pStyle w:val="207"/>
        <w:tabs>
          <w:tab w:val="left" w:pos="900"/>
        </w:tabs>
        <w:spacing w:line="560" w:lineRule="exact"/>
        <w:ind w:firstLine="560"/>
        <w:jc w:val="left"/>
        <w:rPr>
          <w:rFonts w:hint="default" w:ascii="宋体" w:hAnsi="宋体" w:eastAsiaTheme="minorEastAsia"/>
          <w:sz w:val="28"/>
          <w:szCs w:val="28"/>
          <w:lang w:val="en-US" w:eastAsia="zh-CN"/>
        </w:rPr>
      </w:pPr>
      <w:r>
        <w:rPr>
          <w:rFonts w:hint="eastAsia" w:ascii="宋体" w:hAnsi="宋体" w:cs="Times New Roman"/>
          <w:sz w:val="28"/>
        </w:rPr>
        <w:t>联系电话：028-87882979</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5" w:name="_Toc8548"/>
      <w:r>
        <w:rPr>
          <w:rFonts w:hint="eastAsia"/>
        </w:rPr>
        <w:t>供应商须知</w:t>
      </w:r>
      <w:bookmarkEnd w:id="2"/>
      <w:bookmarkEnd w:id="5"/>
    </w:p>
    <w:p>
      <w:pPr>
        <w:pStyle w:val="4"/>
        <w:ind w:left="851" w:hanging="851"/>
      </w:pPr>
      <w:bookmarkStart w:id="6" w:name="_Toc9158"/>
      <w:r>
        <w:rPr>
          <w:rFonts w:hint="eastAsia"/>
        </w:rPr>
        <w:t>供应商须知前附表</w:t>
      </w:r>
      <w:bookmarkEnd w:id="6"/>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sz w:val="28"/>
                <w:szCs w:val="28"/>
                <w:lang w:val="en-US" w:eastAsia="zh-CN"/>
              </w:rPr>
              <w:t>18</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最高限价</w:t>
            </w:r>
          </w:p>
        </w:tc>
        <w:tc>
          <w:tcPr>
            <w:tcW w:w="6383" w:type="dxa"/>
            <w:vAlign w:val="center"/>
          </w:tcPr>
          <w:p>
            <w:pPr>
              <w:pStyle w:val="148"/>
              <w:spacing w:line="360" w:lineRule="auto"/>
              <w:ind w:left="38" w:hanging="24"/>
              <w:rPr>
                <w:b/>
                <w:lang w:val="zh-CN"/>
              </w:rPr>
            </w:pPr>
            <w:r>
              <w:rPr>
                <w:rFonts w:hint="eastAsia" w:cs="Times New Roman"/>
                <w:b/>
                <w:kern w:val="2"/>
              </w:rPr>
              <w:t>本项目最高限价为人民币</w:t>
            </w:r>
            <w:r>
              <w:rPr>
                <w:rFonts w:hint="eastAsia"/>
                <w:b/>
                <w:sz w:val="28"/>
                <w:szCs w:val="28"/>
                <w:lang w:val="en-US" w:eastAsia="zh-CN"/>
              </w:rPr>
              <w:t>18</w:t>
            </w:r>
            <w:r>
              <w:rPr>
                <w:rFonts w:hint="eastAsia" w:cs="Times New Roman"/>
                <w:b/>
                <w:kern w:val="2"/>
              </w:rPr>
              <w:t>万元，供应商报价高于最高限价的则其响应文件将按无效响应文件处理。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p>
        </w:tc>
        <w:tc>
          <w:tcPr>
            <w:tcW w:w="6383" w:type="dxa"/>
            <w:vAlign w:val="center"/>
          </w:tcPr>
          <w:p>
            <w:pPr>
              <w:adjustRightInd w:val="0"/>
              <w:snapToGrid w:val="0"/>
              <w:spacing w:line="400" w:lineRule="exact"/>
              <w:ind w:firstLine="480" w:firstLineChars="200"/>
              <w:rPr>
                <w:rFonts w:ascii="宋体" w:hAnsi="宋体" w:cs="宋体"/>
                <w:lang w:val="zh-CN"/>
              </w:rPr>
            </w:pPr>
            <w:r>
              <w:rPr>
                <w:rFonts w:hint="eastAsia" w:ascii="宋体" w:hAnsi="宋体" w:cs="宋体"/>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adjustRightInd w:val="0"/>
              <w:snapToGrid w:val="0"/>
              <w:spacing w:line="400" w:lineRule="exact"/>
              <w:ind w:firstLine="480" w:firstLineChars="200"/>
              <w:rPr>
                <w:rFonts w:ascii="宋体" w:hAnsi="宋体"/>
                <w:b/>
              </w:rPr>
            </w:pPr>
            <w:r>
              <w:rPr>
                <w:rFonts w:hint="eastAsia" w:ascii="宋体" w:hAnsi="宋体" w:cs="宋体"/>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小微企业价格扣除</w:t>
            </w:r>
          </w:p>
        </w:tc>
        <w:tc>
          <w:tcPr>
            <w:tcW w:w="6383" w:type="dxa"/>
            <w:vAlign w:val="center"/>
          </w:tcPr>
          <w:p>
            <w:pPr>
              <w:spacing w:line="360" w:lineRule="auto"/>
              <w:rPr>
                <w:rFonts w:ascii="宋体" w:hAnsi="宋体" w:cs="宋体"/>
                <w:lang w:val="zh-CN"/>
              </w:rPr>
            </w:pPr>
            <w:r>
              <w:rPr>
                <w:rFonts w:ascii="宋体" w:hAnsi="宋体" w:cs="宋体"/>
                <w:lang w:val="zh-CN"/>
              </w:rPr>
              <w:t>1、根据</w:t>
            </w:r>
            <w:r>
              <w:rPr>
                <w:rFonts w:hint="eastAsia" w:ascii="宋体" w:hAnsi="宋体" w:cs="宋体"/>
                <w:lang w:val="zh-CN"/>
              </w:rPr>
              <w:t>财政部 工业</w:t>
            </w:r>
            <w:r>
              <w:rPr>
                <w:rFonts w:ascii="宋体" w:hAnsi="宋体" w:cs="宋体"/>
                <w:lang w:val="zh-CN"/>
              </w:rPr>
              <w:t>和信息化部《</w:t>
            </w:r>
            <w:r>
              <w:rPr>
                <w:rFonts w:hint="eastAsia" w:ascii="宋体" w:hAnsi="宋体" w:cs="宋体"/>
                <w:lang w:val="zh-CN"/>
              </w:rPr>
              <w:t>关于</w:t>
            </w:r>
            <w:r>
              <w:rPr>
                <w:rFonts w:ascii="宋体" w:hAnsi="宋体" w:cs="宋体"/>
                <w:lang w:val="zh-CN"/>
              </w:rPr>
              <w:t>印发</w:t>
            </w:r>
            <w:r>
              <w:rPr>
                <w:rFonts w:hint="eastAsia" w:ascii="宋体" w:hAnsi="宋体" w:cs="宋体"/>
                <w:lang w:val="zh-CN"/>
              </w:rPr>
              <w:t>&lt;政府采购</w:t>
            </w:r>
            <w:r>
              <w:rPr>
                <w:rFonts w:ascii="宋体" w:hAnsi="宋体" w:cs="宋体"/>
                <w:lang w:val="zh-CN"/>
              </w:rPr>
              <w:t>促进中小企业发展管理办法</w:t>
            </w:r>
            <w:r>
              <w:rPr>
                <w:rFonts w:hint="eastAsia" w:ascii="宋体" w:hAnsi="宋体" w:cs="宋体"/>
                <w:lang w:val="zh-CN"/>
              </w:rPr>
              <w:t>&gt;的</w:t>
            </w:r>
            <w:r>
              <w:rPr>
                <w:rFonts w:ascii="宋体" w:hAnsi="宋体" w:cs="宋体"/>
                <w:lang w:val="zh-CN"/>
              </w:rPr>
              <w:t>通知</w:t>
            </w:r>
            <w:r>
              <w:rPr>
                <w:rFonts w:hint="eastAsia" w:ascii="宋体" w:hAnsi="宋体" w:cs="宋体"/>
                <w:lang w:val="zh-CN"/>
              </w:rPr>
              <w:t>》</w:t>
            </w:r>
            <w:r>
              <w:rPr>
                <w:rFonts w:ascii="宋体" w:hAnsi="宋体" w:cs="宋体"/>
                <w:lang w:val="zh-CN"/>
              </w:rPr>
              <w:t>（财库[2020]46号）的规定，对小微企业</w:t>
            </w:r>
            <w:r>
              <w:rPr>
                <w:rFonts w:hint="eastAsia" w:ascii="宋体" w:hAnsi="宋体" w:cs="宋体"/>
                <w:lang w:val="zh-CN"/>
              </w:rPr>
              <w:t>制造的货物的价格</w:t>
            </w:r>
            <w:r>
              <w:rPr>
                <w:rFonts w:ascii="宋体" w:hAnsi="宋体" w:cs="宋体"/>
                <w:lang w:val="zh-CN"/>
              </w:rPr>
              <w:t>给予</w:t>
            </w:r>
            <w:r>
              <w:rPr>
                <w:rFonts w:hint="eastAsia" w:ascii="宋体" w:hAnsi="宋体" w:cs="宋体"/>
                <w:lang w:val="zh-CN"/>
              </w:rPr>
              <w:t>10</w:t>
            </w:r>
            <w:r>
              <w:rPr>
                <w:rFonts w:ascii="宋体" w:hAnsi="宋体" w:cs="宋体"/>
                <w:lang w:val="zh-CN"/>
              </w:rPr>
              <w:t>%的价格扣除，用扣除后的价格</w:t>
            </w:r>
            <w:r>
              <w:rPr>
                <w:rFonts w:hint="eastAsia" w:ascii="宋体" w:hAnsi="宋体" w:cs="宋体"/>
                <w:lang w:val="zh-CN"/>
              </w:rPr>
              <w:t>参加评审</w:t>
            </w:r>
            <w:r>
              <w:rPr>
                <w:rFonts w:ascii="宋体" w:hAnsi="宋体" w:cs="宋体"/>
                <w:lang w:val="zh-CN"/>
              </w:rPr>
              <w:t>。</w:t>
            </w:r>
            <w:r>
              <w:rPr>
                <w:rFonts w:hint="eastAsia" w:ascii="宋体" w:hAnsi="宋体" w:cs="宋体"/>
                <w:lang w:val="zh-CN"/>
              </w:rPr>
              <w:t>供应商</w:t>
            </w:r>
            <w:r>
              <w:rPr>
                <w:rFonts w:ascii="宋体" w:hAnsi="宋体" w:cs="宋体"/>
                <w:lang w:val="zh-CN"/>
              </w:rPr>
              <w:t>提供的货物既有中小企业制造货物，也有大型企业制造货物的，不享受</w:t>
            </w:r>
            <w:r>
              <w:rPr>
                <w:rFonts w:hint="eastAsia" w:ascii="宋体" w:hAnsi="宋体" w:cs="宋体"/>
                <w:lang w:val="zh-CN"/>
              </w:rPr>
              <w:t>价格扣除。</w:t>
            </w:r>
          </w:p>
          <w:p>
            <w:pPr>
              <w:adjustRightInd w:val="0"/>
              <w:snapToGrid w:val="0"/>
              <w:spacing w:line="400" w:lineRule="exact"/>
              <w:rPr>
                <w:rFonts w:ascii="宋体" w:hAnsi="宋体" w:cs="宋体"/>
                <w:lang w:val="zh-CN"/>
              </w:rPr>
            </w:pPr>
            <w:r>
              <w:rPr>
                <w:rFonts w:hint="eastAsia" w:ascii="宋体" w:hAnsi="宋体" w:cs="宋体"/>
                <w:lang w:val="zh-CN"/>
              </w:rPr>
              <w:t>2</w:t>
            </w:r>
            <w:r>
              <w:rPr>
                <w:rFonts w:ascii="宋体" w:hAnsi="宋体" w:cs="宋体"/>
                <w:lang w:val="zh-CN"/>
              </w:rPr>
              <w:t>、</w:t>
            </w:r>
            <w:r>
              <w:rPr>
                <w:rFonts w:hint="eastAsia" w:ascii="宋体" w:hAnsi="宋体" w:cs="宋体"/>
                <w:lang w:val="zh-CN"/>
              </w:rPr>
              <w:t>供应商应提供</w:t>
            </w:r>
            <w:r>
              <w:rPr>
                <w:rFonts w:ascii="宋体" w:hAnsi="宋体" w:cs="宋体"/>
                <w:lang w:val="zh-CN"/>
              </w:rPr>
              <w:t>《中小企业声明函》</w:t>
            </w:r>
            <w:r>
              <w:rPr>
                <w:rFonts w:hint="eastAsia" w:ascii="宋体" w:hAnsi="宋体" w:cs="宋体"/>
                <w:lang w:val="zh-CN"/>
              </w:rPr>
              <w:t>原件</w:t>
            </w:r>
            <w:r>
              <w:rPr>
                <w:rFonts w:ascii="宋体" w:hAnsi="宋体" w:cs="宋体"/>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监狱企业价格扣除</w:t>
            </w:r>
          </w:p>
        </w:tc>
        <w:tc>
          <w:tcPr>
            <w:tcW w:w="6383" w:type="dxa"/>
            <w:vAlign w:val="center"/>
          </w:tcPr>
          <w:p>
            <w:pPr>
              <w:spacing w:line="360" w:lineRule="auto"/>
              <w:rPr>
                <w:rFonts w:ascii="宋体" w:hAnsi="宋体" w:cs="宋体"/>
                <w:lang w:val="zh-CN"/>
              </w:rPr>
            </w:pPr>
            <w:r>
              <w:rPr>
                <w:rFonts w:hint="eastAsia" w:ascii="宋体" w:hAnsi="宋体" w:cs="宋体"/>
                <w:lang w:val="zh-CN"/>
              </w:rPr>
              <w:t>1.根据《关于政府采购支持监狱企业发展有关问题的通知》（财库[2014]68号）的规定，监狱企业视同小型和微型企业，对监狱企业制造的货物的价格给予10%的价格扣除，用扣除后的价格参与评审。</w:t>
            </w:r>
          </w:p>
          <w:p>
            <w:pPr>
              <w:adjustRightInd w:val="0"/>
              <w:snapToGrid w:val="0"/>
              <w:spacing w:line="400" w:lineRule="exact"/>
              <w:rPr>
                <w:rFonts w:ascii="宋体" w:hAnsi="宋体" w:cs="宋体"/>
                <w:lang w:val="zh-CN"/>
              </w:rPr>
            </w:pPr>
            <w:r>
              <w:rPr>
                <w:rFonts w:hint="eastAsia" w:ascii="宋体" w:hAnsi="宋体" w:cs="宋体"/>
                <w:lang w:val="zh-CN"/>
              </w:rPr>
              <w:t>2.产品中为监狱企业生产的产品应提供由省级以上监狱管理局、戒毒管理局（含新疆生产建设兵团）出具的供应商属于监狱企业的证明文件复印件。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残疾人福利性单位价格扣除</w:t>
            </w:r>
          </w:p>
        </w:tc>
        <w:tc>
          <w:tcPr>
            <w:tcW w:w="6383" w:type="dxa"/>
            <w:vAlign w:val="center"/>
          </w:tcPr>
          <w:p>
            <w:pPr>
              <w:spacing w:line="360" w:lineRule="auto"/>
              <w:rPr>
                <w:rFonts w:ascii="宋体" w:hAnsi="宋体"/>
              </w:rPr>
            </w:pPr>
            <w:r>
              <w:rPr>
                <w:rFonts w:hint="eastAsia" w:ascii="宋体" w:hAnsi="宋体"/>
              </w:rPr>
              <w:t>1、根据《三部门联合发布关于促进残疾人就业政府采购政策的通知》（财库[2017]141号）的规定，残疾人福利性单位视同小型和微型企业，对残疾人福利性单位</w:t>
            </w:r>
            <w:r>
              <w:rPr>
                <w:rFonts w:hint="eastAsia" w:ascii="宋体" w:hAnsi="宋体"/>
                <w:lang w:val="zh-CN"/>
              </w:rPr>
              <w:t>制造的货物</w:t>
            </w:r>
            <w:r>
              <w:rPr>
                <w:rFonts w:hint="eastAsia" w:ascii="宋体" w:hAnsi="宋体"/>
              </w:rPr>
              <w:t>的价格给予10%的价格扣除，用扣除后的价格参与评审。</w:t>
            </w:r>
          </w:p>
          <w:p>
            <w:pPr>
              <w:adjustRightInd w:val="0"/>
              <w:snapToGrid w:val="0"/>
              <w:spacing w:line="400" w:lineRule="exact"/>
              <w:rPr>
                <w:rFonts w:ascii="宋体" w:hAnsi="宋体" w:cs="宋体"/>
                <w:lang w:val="zh-CN"/>
              </w:rPr>
            </w:pPr>
            <w:r>
              <w:rPr>
                <w:rFonts w:hint="eastAsia" w:ascii="宋体" w:hAnsi="宋体"/>
              </w:rPr>
              <w:t>2、供应商应提供《残疾人福利性单位声明函》原件。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询价保证金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本项目不收取询价保证金。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rPr>
              <w:t>详见供应商须知2.7.4。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响应文件的制作</w:t>
            </w:r>
            <w:r>
              <w:rPr>
                <w:rFonts w:ascii="宋体" w:hAnsi="宋体"/>
              </w:rPr>
              <w:t>和</w:t>
            </w:r>
            <w:r>
              <w:rPr>
                <w:rFonts w:hint="eastAsia" w:ascii="宋体" w:hAnsi="宋体"/>
              </w:rPr>
              <w:t>签章、加密</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响应文件的递交</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分钟内，使用对响应文件进行加密的CA证书在线完成对供应商递交至政府采购云平台的响应文件的解密。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对询价通知书中供应商参加本次政府采购活动应当具备的条件、项目技术、服务、商务及其他要求的询问、质疑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对询价通知书中的其他内容、采购过程及成交结果的询问、质疑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区</w:t>
            </w:r>
            <w:r>
              <w:rPr>
                <w:rFonts w:hint="eastAsia" w:ascii="宋体" w:hAnsi="宋体"/>
              </w:rPr>
              <w:t>公资交易中心提出，并由</w:t>
            </w:r>
            <w:r>
              <w:rPr>
                <w:rFonts w:hint="eastAsia" w:ascii="宋体" w:hAnsi="宋体"/>
                <w:lang w:eastAsia="zh-CN"/>
              </w:rPr>
              <w:t>区</w:t>
            </w:r>
            <w:r>
              <w:rPr>
                <w:rFonts w:hint="eastAsia" w:ascii="宋体" w:hAnsi="宋体"/>
              </w:rPr>
              <w:t>公资交易中心按相关规定作出答复（详见供应商须知2.9）。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highlight w:val="none"/>
              </w:rPr>
            </w:pPr>
            <w:r>
              <w:rPr>
                <w:rFonts w:hint="eastAsia" w:ascii="宋体" w:hAnsi="宋体"/>
                <w:highlight w:val="none"/>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hint="eastAsia" w:ascii="宋体" w:hAnsi="宋体"/>
                <w:highlight w:val="none"/>
              </w:rPr>
            </w:pPr>
            <w:r>
              <w:rPr>
                <w:rFonts w:hint="eastAsia" w:ascii="宋体" w:hAnsi="宋体"/>
                <w:highlight w:val="none"/>
              </w:rPr>
              <w:t>投诉受理单位：本项目同级财政部门，即成都市</w:t>
            </w:r>
            <w:r>
              <w:rPr>
                <w:rFonts w:hint="eastAsia" w:ascii="宋体" w:hAnsi="宋体"/>
                <w:highlight w:val="none"/>
                <w:lang w:eastAsia="zh-CN"/>
              </w:rPr>
              <w:t>郫都区</w:t>
            </w:r>
            <w:r>
              <w:rPr>
                <w:rFonts w:hint="eastAsia" w:ascii="宋体" w:hAnsi="宋体"/>
                <w:highlight w:val="none"/>
              </w:rPr>
              <w:t>财</w:t>
            </w:r>
          </w:p>
          <w:p>
            <w:pPr>
              <w:tabs>
                <w:tab w:val="left" w:pos="7665"/>
              </w:tabs>
              <w:snapToGrid w:val="0"/>
              <w:spacing w:line="360" w:lineRule="auto"/>
              <w:ind w:left="209" w:right="240" w:rightChars="100" w:hanging="208" w:hangingChars="87"/>
              <w:rPr>
                <w:rFonts w:ascii="宋体" w:hAnsi="宋体" w:cs="宋体"/>
                <w:highlight w:val="none"/>
              </w:rPr>
            </w:pPr>
            <w:r>
              <w:rPr>
                <w:rFonts w:hint="eastAsia" w:ascii="宋体" w:hAnsi="宋体"/>
                <w:highlight w:val="none"/>
              </w:rPr>
              <w:t>政局。</w:t>
            </w:r>
          </w:p>
          <w:p>
            <w:pPr>
              <w:tabs>
                <w:tab w:val="left" w:pos="7665"/>
              </w:tabs>
              <w:snapToGrid w:val="0"/>
              <w:spacing w:line="360" w:lineRule="auto"/>
              <w:rPr>
                <w:rFonts w:ascii="宋体" w:hAnsi="宋体"/>
                <w:highlight w:val="none"/>
              </w:rPr>
            </w:pPr>
            <w:r>
              <w:rPr>
                <w:rFonts w:hint="eastAsia" w:ascii="宋体" w:hAnsi="宋体"/>
                <w:highlight w:val="none"/>
              </w:rPr>
              <w:t>联系电话：028-87882979。</w:t>
            </w:r>
          </w:p>
          <w:p>
            <w:pPr>
              <w:tabs>
                <w:tab w:val="left" w:pos="7665"/>
              </w:tabs>
              <w:snapToGrid w:val="0"/>
              <w:spacing w:line="360" w:lineRule="auto"/>
              <w:rPr>
                <w:rFonts w:ascii="宋体" w:hAnsi="宋体"/>
                <w:highlight w:val="none"/>
              </w:rPr>
            </w:pPr>
            <w:r>
              <w:rPr>
                <w:rFonts w:hint="eastAsia" w:ascii="宋体" w:hAnsi="宋体"/>
                <w:highlight w:val="none"/>
              </w:rPr>
              <w:t>地址：成都市郫都区望丛中路998号机关第一办公区1号楼615室</w:t>
            </w:r>
            <w:r>
              <w:rPr>
                <w:rFonts w:ascii="宋体" w:hAnsi="宋体"/>
                <w:highlight w:val="none"/>
              </w:rPr>
              <w:t>。</w:t>
            </w:r>
          </w:p>
          <w:p>
            <w:pPr>
              <w:tabs>
                <w:tab w:val="left" w:pos="7665"/>
              </w:tabs>
              <w:snapToGrid w:val="0"/>
              <w:spacing w:line="360" w:lineRule="auto"/>
              <w:rPr>
                <w:rFonts w:ascii="宋体" w:hAnsi="宋体"/>
                <w:highlight w:val="none"/>
              </w:rPr>
            </w:pPr>
            <w:r>
              <w:rPr>
                <w:rFonts w:hint="eastAsia" w:ascii="宋体" w:hAnsi="宋体"/>
                <w:highlight w:val="none"/>
              </w:rPr>
              <w:t>邮编：611730</w:t>
            </w:r>
            <w:r>
              <w:rPr>
                <w:rFonts w:ascii="宋体" w:hAnsi="宋体"/>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资格性检查情况、响应文件符合性检查情况、评审结果等将在“成都市公共资源交易服务中心网”、“四川政府采购网”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r>
              <w:rPr>
                <w:rFonts w:hint="eastAsia" w:ascii="宋体" w:hAnsi="宋体"/>
                <w:lang w:eastAsia="zh-CN"/>
              </w:rPr>
              <w:t>郫都区</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及向本采购项目同级财政部门，即成都市</w:t>
            </w:r>
            <w:r>
              <w:rPr>
                <w:rFonts w:hint="eastAsia" w:ascii="宋体" w:hAnsi="宋体"/>
                <w:lang w:eastAsia="zh-CN"/>
              </w:rPr>
              <w:t>郫都区</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highlight w:val="none"/>
              </w:rPr>
            </w:pPr>
            <w:r>
              <w:rPr>
                <w:rFonts w:hint="eastAsia" w:ascii="宋体" w:hAnsi="宋体"/>
                <w:highlight w:val="none"/>
              </w:rPr>
              <w:t>中小企业政府采购信用融资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highlight w:val="yellow"/>
              </w:rPr>
            </w:pPr>
            <w:r>
              <w:rPr>
                <w:rFonts w:ascii="宋体" w:hAnsi="宋体" w:eastAsia="宋体" w:cs="宋体"/>
                <w:sz w:val="24"/>
                <w:szCs w:val="24"/>
              </w:rPr>
              <w:t>参加本次招标活动的中小企业供应商无需提供财产抵押或第三方担保，凭借政府采购合同可向融资机构申请融资。具体内容见招标文件附件详见《成都市财政局 中国人民银行成都分行营业管理部关于印发〈成都市中小企业政府采购信用融资暂行办法〉和〈成都市级支持中小企业政府采购信用融资实施方案〉的通知》（成财采[2021]17号）。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095619"/>
      <w:bookmarkEnd w:id="7"/>
      <w:bookmarkStart w:id="8" w:name="_Toc494356973"/>
      <w:bookmarkEnd w:id="8"/>
      <w:bookmarkStart w:id="9" w:name="_Toc13453"/>
      <w:r>
        <w:rPr>
          <w:rFonts w:hint="eastAsia"/>
        </w:rPr>
        <w:t>总则</w:t>
      </w:r>
      <w:bookmarkEnd w:id="9"/>
    </w:p>
    <w:p>
      <w:pPr>
        <w:pStyle w:val="5"/>
        <w:spacing w:line="600" w:lineRule="exact"/>
        <w:ind w:left="807" w:leftChars="0" w:firstLineChars="0"/>
        <w:rPr>
          <w:color w:val="auto"/>
        </w:rPr>
      </w:pPr>
      <w:r>
        <w:rPr>
          <w:rFonts w:hint="eastAsia"/>
          <w:color w:val="auto"/>
        </w:rPr>
        <w:t>适用范围</w:t>
      </w:r>
      <w:bookmarkEnd w:id="3"/>
      <w:bookmarkEnd w:id="4"/>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本询价通知书仅适用于本询价邀请中所叙述项目的采购。</w:t>
      </w:r>
    </w:p>
    <w:p>
      <w:pPr>
        <w:widowControl w:val="0"/>
        <w:numPr>
          <w:ilvl w:val="0"/>
          <w:numId w:val="6"/>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本询价通知书的最终解释权由采购人或</w:t>
      </w:r>
      <w:r>
        <w:rPr>
          <w:rFonts w:hint="eastAsia" w:ascii="宋体" w:hAnsi="宋体"/>
          <w:sz w:val="28"/>
          <w:szCs w:val="28"/>
          <w:lang w:eastAsia="zh-CN"/>
        </w:rPr>
        <w:t>区</w:t>
      </w:r>
      <w:r>
        <w:rPr>
          <w:rFonts w:hint="eastAsia" w:ascii="宋体" w:hAnsi="宋体"/>
          <w:sz w:val="28"/>
          <w:szCs w:val="28"/>
        </w:rPr>
        <w:t>公资交易中心享有。询价通知书中供应商参加本次政府采购活动应当具备的条件、技术、服务及其他要求由采购人负责解释。除上述询价通知书内容，其他内容由</w:t>
      </w:r>
      <w:r>
        <w:rPr>
          <w:rFonts w:hint="eastAsia" w:ascii="宋体" w:hAnsi="宋体"/>
          <w:sz w:val="28"/>
          <w:szCs w:val="28"/>
          <w:lang w:eastAsia="zh-CN"/>
        </w:rPr>
        <w:t>区</w:t>
      </w:r>
      <w:r>
        <w:rPr>
          <w:rFonts w:hint="eastAsia" w:ascii="宋体" w:hAnsi="宋体"/>
          <w:sz w:val="28"/>
          <w:szCs w:val="28"/>
        </w:rPr>
        <w:t>公资交易中心负责解释。</w:t>
      </w:r>
    </w:p>
    <w:p>
      <w:pPr>
        <w:pStyle w:val="5"/>
        <w:spacing w:line="600" w:lineRule="exact"/>
        <w:ind w:left="807" w:leftChars="0" w:firstLineChars="0"/>
        <w:rPr>
          <w:color w:val="auto"/>
        </w:rPr>
      </w:pPr>
      <w:bookmarkStart w:id="10" w:name="_Toc287623639"/>
      <w:r>
        <w:rPr>
          <w:rFonts w:hint="eastAsia"/>
          <w:color w:val="auto"/>
        </w:rPr>
        <w:t>有关定义</w:t>
      </w:r>
      <w:bookmarkEnd w:id="10"/>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“采购人”、“甲方”系指依法进行政府采购的成都市</w:t>
      </w:r>
      <w:r>
        <w:rPr>
          <w:rFonts w:hint="eastAsia" w:ascii="宋体" w:hAnsi="宋体"/>
          <w:sz w:val="28"/>
          <w:szCs w:val="28"/>
          <w:lang w:eastAsia="zh-CN"/>
        </w:rPr>
        <w:t>郫都区区级</w:t>
      </w:r>
      <w:r>
        <w:rPr>
          <w:rFonts w:hint="eastAsia" w:ascii="宋体" w:hAnsi="宋体"/>
          <w:sz w:val="28"/>
          <w:szCs w:val="28"/>
        </w:rPr>
        <w:t>机关、事业单位、团体组织。本次询价采购项目的采购人是</w:t>
      </w:r>
      <w:r>
        <w:rPr>
          <w:rFonts w:hint="eastAsia" w:ascii="宋体" w:hAnsi="宋体"/>
          <w:b/>
          <w:sz w:val="28"/>
          <w:szCs w:val="28"/>
          <w:u w:val="single"/>
          <w:lang w:eastAsia="zh-CN"/>
        </w:rPr>
        <w:t xml:space="preserve">成都市郫都区总工会 </w:t>
      </w:r>
      <w:r>
        <w:rPr>
          <w:rFonts w:hint="eastAsia" w:ascii="宋体" w:hAnsi="宋体"/>
          <w:b/>
          <w:sz w:val="28"/>
          <w:szCs w:val="28"/>
          <w:u w:val="single"/>
        </w:rPr>
        <w:t>。</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“供应商”系指拟参加询价采购和向采购人提供工程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询价通知书</w:t>
      </w:r>
      <w:r>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询价通知书中所称的“以上”、“以下”、“内”、“以内”，包括本数；所称的“不足”，不包括本数。</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r>
        <w:rPr>
          <w:rFonts w:ascii="宋体" w:hAnsi="宋体"/>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sz w:val="28"/>
          <w:szCs w:val="28"/>
        </w:rPr>
        <w:t>。</w:t>
      </w:r>
    </w:p>
    <w:p>
      <w:pPr>
        <w:widowControl w:val="0"/>
        <w:numPr>
          <w:ilvl w:val="0"/>
          <w:numId w:val="7"/>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w:t>
      </w:r>
      <w:r>
        <w:rPr>
          <w:rFonts w:hint="eastAsia" w:ascii="宋体" w:hAnsi="宋体"/>
          <w:sz w:val="28"/>
          <w:szCs w:val="28"/>
        </w:rPr>
        <w:t>公资交易中心依托政府采购云平台组织询价采购活动，供应商在线参与询价</w:t>
      </w:r>
      <w:r>
        <w:rPr>
          <w:rFonts w:ascii="宋体" w:hAnsi="宋体"/>
          <w:sz w:val="28"/>
          <w:szCs w:val="28"/>
        </w:rPr>
        <w:t>采购活动</w:t>
      </w:r>
      <w:r>
        <w:rPr>
          <w:rFonts w:hint="eastAsia" w:ascii="宋体" w:hAnsi="宋体"/>
          <w:sz w:val="28"/>
          <w:szCs w:val="28"/>
        </w:rPr>
        <w:t>的一种组织形式。</w:t>
      </w:r>
    </w:p>
    <w:p>
      <w:pPr>
        <w:pStyle w:val="5"/>
        <w:spacing w:line="600" w:lineRule="exact"/>
        <w:ind w:left="807" w:leftChars="0" w:firstLineChars="0"/>
        <w:rPr>
          <w:color w:val="auto"/>
        </w:rPr>
      </w:pPr>
      <w:r>
        <w:rPr>
          <w:rFonts w:hint="eastAsia"/>
          <w:color w:val="auto"/>
        </w:rPr>
        <w:t>合格的供应商</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合格的供应商应具备以下条件：</w:t>
      </w:r>
    </w:p>
    <w:p>
      <w:pPr>
        <w:pStyle w:val="80"/>
        <w:numPr>
          <w:ilvl w:val="0"/>
          <w:numId w:val="8"/>
        </w:numPr>
        <w:tabs>
          <w:tab w:val="left" w:pos="1134"/>
        </w:tabs>
        <w:spacing w:line="600" w:lineRule="exact"/>
        <w:ind w:firstLineChars="0"/>
        <w:rPr>
          <w:rFonts w:ascii="宋体" w:hAnsi="宋体"/>
          <w:spacing w:val="-4"/>
          <w:sz w:val="28"/>
          <w:szCs w:val="28"/>
        </w:rPr>
      </w:pPr>
      <w:r>
        <w:rPr>
          <w:rFonts w:hint="eastAsia" w:ascii="宋体" w:hAnsi="宋体"/>
          <w:sz w:val="28"/>
          <w:szCs w:val="28"/>
        </w:rPr>
        <w:t>符合询价邀请第五条规定的条件</w:t>
      </w:r>
      <w:r>
        <w:rPr>
          <w:rFonts w:hint="eastAsia" w:ascii="宋体" w:hAnsi="宋体"/>
          <w:spacing w:val="-4"/>
          <w:sz w:val="28"/>
          <w:szCs w:val="28"/>
        </w:rPr>
        <w:t>。</w:t>
      </w:r>
    </w:p>
    <w:p>
      <w:pPr>
        <w:widowControl w:val="0"/>
        <w:numPr>
          <w:ilvl w:val="0"/>
          <w:numId w:val="8"/>
        </w:numPr>
        <w:tabs>
          <w:tab w:val="left" w:pos="1134"/>
        </w:tabs>
        <w:spacing w:after="200"/>
        <w:ind w:left="0" w:firstLine="560"/>
        <w:jc w:val="both"/>
        <w:rPr>
          <w:rFonts w:ascii="宋体" w:hAnsi="宋体"/>
          <w:sz w:val="28"/>
          <w:szCs w:val="28"/>
        </w:rPr>
      </w:pPr>
      <w:r>
        <w:rPr>
          <w:rFonts w:hint="eastAsia" w:ascii="宋体" w:hAnsi="宋体"/>
          <w:sz w:val="28"/>
          <w:szCs w:val="28"/>
        </w:rPr>
        <w:t>按照询价通知书“询</w:t>
      </w:r>
      <w:r>
        <w:rPr>
          <w:rFonts w:ascii="宋体" w:hAnsi="宋体"/>
          <w:sz w:val="28"/>
          <w:szCs w:val="28"/>
        </w:rPr>
        <w:t>价</w:t>
      </w:r>
      <w:r>
        <w:rPr>
          <w:rFonts w:hint="eastAsia" w:ascii="宋体" w:hAnsi="宋体"/>
          <w:sz w:val="28"/>
          <w:szCs w:val="28"/>
        </w:rPr>
        <w:t>邀请”中第六、七、八条规定获取了询</w:t>
      </w:r>
      <w:r>
        <w:rPr>
          <w:rFonts w:ascii="宋体" w:hAnsi="宋体"/>
          <w:sz w:val="28"/>
          <w:szCs w:val="28"/>
        </w:rPr>
        <w:t>价通知书</w:t>
      </w:r>
      <w:r>
        <w:rPr>
          <w:rFonts w:hint="eastAsia" w:ascii="宋体" w:hAnsi="宋体"/>
          <w:sz w:val="28"/>
          <w:szCs w:val="28"/>
        </w:rPr>
        <w:t>。</w:t>
      </w:r>
    </w:p>
    <w:p>
      <w:pPr>
        <w:pStyle w:val="5"/>
        <w:spacing w:line="600" w:lineRule="exact"/>
        <w:ind w:left="807" w:leftChars="0" w:firstLineChars="0"/>
        <w:rPr>
          <w:color w:val="auto"/>
        </w:rPr>
      </w:pPr>
      <w:bookmarkStart w:id="11" w:name="_Toc287623640"/>
      <w:bookmarkStart w:id="12" w:name="_Toc320698717"/>
      <w:r>
        <w:rPr>
          <w:rFonts w:hint="eastAsia"/>
          <w:color w:val="auto"/>
        </w:rPr>
        <w:t>参加询价采购的费用</w:t>
      </w:r>
      <w:bookmarkEnd w:id="11"/>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供应商应自行承担参加询价采购活动的全部费用。</w:t>
      </w:r>
    </w:p>
    <w:p>
      <w:pPr>
        <w:pStyle w:val="5"/>
        <w:spacing w:line="600" w:lineRule="exact"/>
        <w:ind w:left="807" w:leftChars="0" w:firstLineChars="0"/>
        <w:rPr>
          <w:color w:val="auto"/>
        </w:rPr>
      </w:pPr>
      <w:r>
        <w:rPr>
          <w:rFonts w:hint="eastAsia"/>
          <w:color w:val="auto"/>
        </w:rPr>
        <w:t>充分、公平竞争保障措施</w:t>
      </w:r>
    </w:p>
    <w:p>
      <w:pPr>
        <w:pStyle w:val="163"/>
        <w:tabs>
          <w:tab w:val="left" w:pos="851"/>
        </w:tabs>
        <w:snapToGrid w:val="0"/>
        <w:spacing w:line="640" w:lineRule="exact"/>
        <w:ind w:firstLine="565" w:firstLineChars="202"/>
        <w:rPr>
          <w:rFonts w:hAnsi="宋体"/>
          <w:sz w:val="28"/>
          <w:szCs w:val="28"/>
        </w:rPr>
      </w:pPr>
      <w:r>
        <w:rPr>
          <w:rFonts w:hint="eastAsia" w:hAnsi="宋体"/>
          <w:sz w:val="28"/>
          <w:szCs w:val="28"/>
        </w:rPr>
        <w:t>一、单位负责人为同一人或者存在直接控股、管理关系的不同供应商，不得参加同一项目的询价采购活动。</w:t>
      </w:r>
    </w:p>
    <w:p>
      <w:pPr>
        <w:widowControl w:val="0"/>
        <w:tabs>
          <w:tab w:val="left" w:pos="1134"/>
        </w:tabs>
        <w:snapToGrid w:val="0"/>
        <w:spacing w:line="640" w:lineRule="exact"/>
        <w:ind w:firstLine="560" w:firstLineChars="200"/>
        <w:jc w:val="both"/>
        <w:rPr>
          <w:rFonts w:ascii="宋体" w:hAnsi="宋体"/>
          <w:sz w:val="28"/>
          <w:szCs w:val="28"/>
        </w:rPr>
      </w:pPr>
      <w:r>
        <w:rPr>
          <w:rFonts w:hint="eastAsia" w:hAnsi="宋体"/>
          <w:sz w:val="28"/>
          <w:szCs w:val="28"/>
        </w:rPr>
        <w:t>二、为采购项目提供整体设计、规范编制或者项目管理、监理、检测等服务的供应商，不得再参加该采购项目的其他采购活动。</w:t>
      </w:r>
      <w:r>
        <w:rPr>
          <w:rFonts w:hAnsi="宋体"/>
          <w:sz w:val="28"/>
          <w:szCs w:val="28"/>
        </w:rPr>
        <w:t>供应商为采购人、</w:t>
      </w:r>
      <w:r>
        <w:rPr>
          <w:rFonts w:hint="eastAsia" w:cs="Arial"/>
          <w:sz w:val="28"/>
          <w:szCs w:val="28"/>
          <w:lang w:eastAsia="zh-CN"/>
        </w:rPr>
        <w:t>区</w:t>
      </w:r>
      <w:r>
        <w:rPr>
          <w:rFonts w:hint="eastAsia" w:cs="Arial"/>
          <w:sz w:val="28"/>
          <w:szCs w:val="28"/>
        </w:rPr>
        <w:t>公资交易中心</w:t>
      </w:r>
      <w:r>
        <w:rPr>
          <w:rFonts w:hAnsi="宋体"/>
          <w:sz w:val="28"/>
          <w:szCs w:val="28"/>
        </w:rPr>
        <w:t>在确定采购需求、编制采购文件过程中提供咨询论证，其提供的咨询论证意见成为采购文件中规定的供应商资格条件、技术</w:t>
      </w:r>
      <w:r>
        <w:rPr>
          <w:rFonts w:hint="eastAsia" w:hAnsi="宋体"/>
          <w:sz w:val="28"/>
          <w:szCs w:val="28"/>
        </w:rPr>
        <w:t>、</w:t>
      </w:r>
      <w:r>
        <w:rPr>
          <w:rFonts w:hAnsi="宋体"/>
          <w:sz w:val="28"/>
          <w:szCs w:val="28"/>
        </w:rPr>
        <w:t>服务</w:t>
      </w:r>
      <w:r>
        <w:rPr>
          <w:rFonts w:hint="eastAsia" w:hAnsi="宋体"/>
          <w:sz w:val="28"/>
          <w:szCs w:val="28"/>
        </w:rPr>
        <w:t>要求</w:t>
      </w:r>
      <w:r>
        <w:rPr>
          <w:rFonts w:hAnsi="宋体"/>
          <w:sz w:val="28"/>
          <w:szCs w:val="28"/>
        </w:rPr>
        <w:t>、</w:t>
      </w:r>
      <w:r>
        <w:rPr>
          <w:rFonts w:hint="eastAsia" w:hAnsi="宋体" w:cs="宋体"/>
          <w:sz w:val="28"/>
          <w:szCs w:val="28"/>
        </w:rPr>
        <w:t>评审因素和标准、</w:t>
      </w:r>
      <w:r>
        <w:rPr>
          <w:rFonts w:hAnsi="宋体"/>
          <w:sz w:val="28"/>
          <w:szCs w:val="28"/>
        </w:rPr>
        <w:t>政府采购合同等实质性内容条款的，视同为采购项目提供规范编制。</w:t>
      </w:r>
      <w:r>
        <w:rPr>
          <w:rFonts w:hint="eastAsia" w:hAnsi="宋体"/>
          <w:b/>
          <w:sz w:val="28"/>
          <w:szCs w:val="28"/>
        </w:rPr>
        <w:t>（说明：无供应商为本项目提供整体设计、规范编制或者项目管理、监理、检测等服务）。</w:t>
      </w:r>
    </w:p>
    <w:p>
      <w:pPr>
        <w:pStyle w:val="4"/>
        <w:spacing w:line="600" w:lineRule="exact"/>
      </w:pPr>
      <w:bookmarkStart w:id="13" w:name="_Toc487"/>
      <w:r>
        <w:rPr>
          <w:rFonts w:hint="eastAsia"/>
        </w:rPr>
        <w:t>询价通知书</w:t>
      </w:r>
      <w:bookmarkEnd w:id="13"/>
    </w:p>
    <w:p>
      <w:pPr>
        <w:pStyle w:val="5"/>
        <w:spacing w:line="600" w:lineRule="exact"/>
        <w:ind w:left="807" w:leftChars="0" w:firstLineChars="0"/>
        <w:rPr>
          <w:color w:val="auto"/>
        </w:rPr>
      </w:pPr>
      <w:r>
        <w:rPr>
          <w:rFonts w:hint="eastAsia"/>
          <w:color w:val="auto"/>
        </w:rPr>
        <w:t>询价通知书的构成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一、询价通知书是供应商准备响应文件和参加询价采购</w:t>
      </w:r>
      <w:r>
        <w:rPr>
          <w:rFonts w:ascii="宋体" w:hAnsi="宋体"/>
          <w:sz w:val="28"/>
          <w:szCs w:val="28"/>
        </w:rPr>
        <w:t>活动</w:t>
      </w:r>
      <w:r>
        <w:rPr>
          <w:rFonts w:hint="eastAsia" w:ascii="宋体" w:hAnsi="宋体"/>
          <w:sz w:val="28"/>
          <w:szCs w:val="28"/>
        </w:rPr>
        <w:t>的依据，同时也是评审的重要依据。询价通知书用以阐明采购项目所需的资质、技术、服务及报价等要求、询价采购</w:t>
      </w:r>
      <w:r>
        <w:rPr>
          <w:rFonts w:ascii="宋体" w:hAnsi="宋体"/>
          <w:sz w:val="28"/>
          <w:szCs w:val="28"/>
        </w:rPr>
        <w:t>活动</w:t>
      </w:r>
      <w:r>
        <w:rPr>
          <w:rFonts w:hint="eastAsia" w:ascii="宋体" w:hAnsi="宋体"/>
          <w:sz w:val="28"/>
          <w:szCs w:val="28"/>
        </w:rPr>
        <w:t>程序、有关规定和注意事项以及合同草案条款等。本询价通知书包括以下内容：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（五）询价办法；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二、供应商应认真阅读和充分理解询价通知书中所有的事项、格式条款和规范要求。按照询价通知书的要求提供响应文件，并保证所提供的全部资料的真实性和有效性，一经发现有虚假行为的，将取消其参加询价</w:t>
      </w:r>
      <w:r>
        <w:rPr>
          <w:rFonts w:ascii="宋体" w:hAnsi="宋体"/>
          <w:sz w:val="28"/>
          <w:szCs w:val="28"/>
        </w:rPr>
        <w:t>采购活动</w:t>
      </w:r>
      <w:r>
        <w:rPr>
          <w:rFonts w:hint="eastAsia" w:ascii="宋体" w:hAnsi="宋体"/>
          <w:sz w:val="28"/>
          <w:szCs w:val="28"/>
        </w:rPr>
        <w:t>或成交资格，并承担相应的法律责任。供应商没有对询价通知书全面做出实质性响应所产生的风险由供应商承担。</w:t>
      </w:r>
      <w:bookmarkEnd w:id="12"/>
    </w:p>
    <w:p>
      <w:pPr>
        <w:pStyle w:val="5"/>
        <w:spacing w:line="600" w:lineRule="exact"/>
        <w:ind w:left="807" w:leftChars="0" w:firstLineChars="0"/>
        <w:rPr>
          <w:color w:val="auto"/>
        </w:rPr>
      </w:pPr>
      <w:bookmarkStart w:id="14" w:name="_Toc183582211"/>
      <w:bookmarkStart w:id="15" w:name="_Toc183682348"/>
      <w:bookmarkStart w:id="16" w:name="_Toc217446040"/>
      <w:r>
        <w:rPr>
          <w:rFonts w:hint="eastAsia"/>
          <w:color w:val="auto"/>
        </w:rPr>
        <w:t>询价</w:t>
      </w:r>
      <w:r>
        <w:rPr>
          <w:color w:val="auto"/>
        </w:rPr>
        <w:t>通知书</w:t>
      </w:r>
      <w:r>
        <w:rPr>
          <w:rFonts w:hint="eastAsia"/>
          <w:color w:val="auto"/>
        </w:rPr>
        <w:t>的澄清</w:t>
      </w:r>
      <w:bookmarkEnd w:id="14"/>
      <w:bookmarkEnd w:id="15"/>
      <w:r>
        <w:rPr>
          <w:rFonts w:hint="eastAsia"/>
          <w:color w:val="auto"/>
        </w:rPr>
        <w:t>和修改</w:t>
      </w:r>
      <w:bookmarkEnd w:id="16"/>
    </w:p>
    <w:p>
      <w:pPr>
        <w:widowControl w:val="0"/>
        <w:numPr>
          <w:ilvl w:val="0"/>
          <w:numId w:val="9"/>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在递交响应文件截止时间前，采购人或者</w:t>
      </w:r>
      <w:r>
        <w:rPr>
          <w:rFonts w:hint="eastAsia" w:cs="Arial"/>
          <w:sz w:val="28"/>
          <w:szCs w:val="28"/>
          <w:lang w:eastAsia="zh-CN"/>
        </w:rPr>
        <w:t>区</w:t>
      </w:r>
      <w:r>
        <w:rPr>
          <w:rFonts w:hint="eastAsia" w:cs="Arial"/>
          <w:sz w:val="28"/>
          <w:szCs w:val="28"/>
        </w:rPr>
        <w:t>公资交易中心</w:t>
      </w:r>
      <w:r>
        <w:rPr>
          <w:rFonts w:hint="eastAsia" w:ascii="宋体" w:hAnsi="宋体"/>
          <w:sz w:val="28"/>
          <w:szCs w:val="28"/>
        </w:rPr>
        <w:t>可以对已发出的询价通知书进行必要的澄清或者修改。</w:t>
      </w:r>
    </w:p>
    <w:p>
      <w:pPr>
        <w:widowControl w:val="0"/>
        <w:numPr>
          <w:ilvl w:val="0"/>
          <w:numId w:val="9"/>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w:t>
      </w:r>
      <w:r>
        <w:rPr>
          <w:rFonts w:hint="eastAsia" w:ascii="宋体" w:hAnsi="宋体"/>
          <w:sz w:val="28"/>
          <w:szCs w:val="28"/>
        </w:rPr>
        <w:t>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和“成都市公共资源交易服务中心”网站上发布澄清公告，同时通过政府采购云平台将澄清或者修改的内容告知所有在系统中成功获取询价通知书的潜在供应商（供应商通过账号或C</w:t>
      </w:r>
      <w:r>
        <w:rPr>
          <w:rFonts w:ascii="宋体" w:hAnsi="宋体"/>
          <w:sz w:val="28"/>
          <w:szCs w:val="28"/>
        </w:rPr>
        <w:t>A</w:t>
      </w:r>
      <w:r>
        <w:rPr>
          <w:rFonts w:hint="eastAsia" w:ascii="宋体" w:hAnsi="宋体"/>
          <w:sz w:val="28"/>
          <w:szCs w:val="28"/>
        </w:rPr>
        <w:t>证书登录云平台查看），该澄清或者修改的内容为询价通知书的组成部分。</w:t>
      </w:r>
    </w:p>
    <w:p>
      <w:pPr>
        <w:widowControl w:val="0"/>
        <w:numPr>
          <w:ilvl w:val="0"/>
          <w:numId w:val="9"/>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ascii="宋体" w:hAnsi="宋体"/>
          <w:sz w:val="28"/>
          <w:szCs w:val="28"/>
          <w:lang w:eastAsia="zh-CN"/>
        </w:rPr>
        <w:t>区</w:t>
      </w:r>
      <w:r>
        <w:rPr>
          <w:rFonts w:hint="eastAsia" w:ascii="宋体" w:hAnsi="宋体"/>
          <w:sz w:val="28"/>
          <w:szCs w:val="28"/>
        </w:rPr>
        <w:t>公资交易中心</w:t>
      </w:r>
      <w:r>
        <w:rPr>
          <w:rFonts w:ascii="宋体" w:hAnsi="宋体"/>
          <w:sz w:val="28"/>
          <w:szCs w:val="28"/>
        </w:rPr>
        <w:t>应当在提交首次响应文件截止时间至少3</w:t>
      </w:r>
      <w:r>
        <w:rPr>
          <w:rFonts w:hint="eastAsia" w:ascii="宋体" w:hAnsi="宋体"/>
          <w:sz w:val="28"/>
          <w:szCs w:val="28"/>
        </w:rPr>
        <w:t>个</w:t>
      </w:r>
      <w:r>
        <w:rPr>
          <w:rFonts w:ascii="宋体" w:hAnsi="宋体"/>
          <w:sz w:val="28"/>
          <w:szCs w:val="28"/>
        </w:rPr>
        <w:t>工作日前，</w:t>
      </w:r>
      <w:r>
        <w:rPr>
          <w:rFonts w:hint="eastAsia" w:ascii="宋体" w:hAnsi="宋体"/>
          <w:sz w:val="28"/>
          <w:szCs w:val="28"/>
        </w:rPr>
        <w:t>通过政府采购云平台通知所有获取询价通知书的潜在供应商</w:t>
      </w:r>
      <w:r>
        <w:rPr>
          <w:rFonts w:ascii="宋体" w:hAnsi="宋体"/>
          <w:sz w:val="28"/>
          <w:szCs w:val="28"/>
        </w:rPr>
        <w:t>；不足3</w:t>
      </w:r>
      <w:r>
        <w:rPr>
          <w:rFonts w:hint="eastAsia" w:ascii="宋体" w:hAnsi="宋体"/>
          <w:sz w:val="28"/>
          <w:szCs w:val="28"/>
        </w:rPr>
        <w:t>个</w:t>
      </w:r>
      <w:r>
        <w:rPr>
          <w:rFonts w:ascii="宋体" w:hAnsi="宋体"/>
          <w:sz w:val="28"/>
          <w:szCs w:val="28"/>
        </w:rPr>
        <w:t>工作日的，</w:t>
      </w:r>
      <w:r>
        <w:rPr>
          <w:rFonts w:hint="eastAsia" w:ascii="宋体" w:hAnsi="宋体"/>
          <w:sz w:val="28"/>
          <w:szCs w:val="28"/>
        </w:rPr>
        <w:t>采购人或</w:t>
      </w:r>
      <w:r>
        <w:rPr>
          <w:rFonts w:hint="eastAsia" w:ascii="宋体" w:hAnsi="宋体"/>
          <w:sz w:val="28"/>
          <w:szCs w:val="28"/>
          <w:lang w:eastAsia="zh-CN"/>
        </w:rPr>
        <w:t>区</w:t>
      </w:r>
      <w:r>
        <w:rPr>
          <w:rFonts w:hint="eastAsia" w:ascii="宋体" w:hAnsi="宋体"/>
          <w:sz w:val="28"/>
          <w:szCs w:val="28"/>
        </w:rPr>
        <w:t>公资交易中心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1149"/>
      <w:bookmarkStart w:id="18" w:name="_Toc320698720"/>
      <w:r>
        <w:rPr>
          <w:rFonts w:hint="eastAsia"/>
        </w:rPr>
        <w:t>响应文件</w:t>
      </w:r>
      <w:bookmarkEnd w:id="17"/>
      <w:bookmarkEnd w:id="18"/>
    </w:p>
    <w:p>
      <w:pPr>
        <w:pStyle w:val="5"/>
        <w:spacing w:line="600" w:lineRule="exact"/>
        <w:ind w:left="807" w:leftChars="0" w:firstLineChars="0"/>
        <w:rPr>
          <w:color w:val="auto"/>
        </w:rPr>
      </w:pPr>
      <w:bookmarkStart w:id="19" w:name="_Toc320698721"/>
      <w:r>
        <w:rPr>
          <w:rFonts w:hint="eastAsia"/>
          <w:color w:val="auto"/>
        </w:rPr>
        <w:t>响应文件的语言</w:t>
      </w:r>
      <w:bookmarkEnd w:id="19"/>
    </w:p>
    <w:p>
      <w:pPr>
        <w:widowControl w:val="0"/>
        <w:numPr>
          <w:ilvl w:val="0"/>
          <w:numId w:val="10"/>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w:t>
      </w:r>
      <w:r>
        <w:rPr>
          <w:rFonts w:hint="eastAsia" w:ascii="宋体" w:hAnsi="宋体"/>
          <w:sz w:val="28"/>
          <w:szCs w:val="28"/>
          <w:lang w:eastAsia="zh-CN"/>
        </w:rPr>
        <w:t>区</w:t>
      </w:r>
      <w:r>
        <w:rPr>
          <w:rFonts w:hint="eastAsia" w:ascii="宋体" w:hAnsi="宋体"/>
          <w:sz w:val="28"/>
          <w:szCs w:val="28"/>
        </w:rPr>
        <w:t>公资交易中心就有关询价采购活动的所有来往书面文件均须使用中文，响应文件中所附或引用的外文资料，应翻译成中文附在相关外文资料后面（说明：供应商的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0"/>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对不同文字文本响应文件的解释发生异议的，以中文文本为准。若供应商响应文件中提供的外文资料未翻译成中文，则询价小组可将其视为无效材料。</w:t>
      </w:r>
    </w:p>
    <w:p>
      <w:pPr>
        <w:pStyle w:val="5"/>
        <w:spacing w:line="600" w:lineRule="exact"/>
        <w:ind w:left="807" w:leftChars="0" w:firstLineChars="0"/>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5"/>
        <w:spacing w:line="600" w:lineRule="exact"/>
        <w:ind w:left="807" w:leftChars="0" w:firstLineChars="0"/>
        <w:rPr>
          <w:color w:val="auto"/>
        </w:rPr>
      </w:pPr>
      <w:bookmarkStart w:id="20" w:name="_Toc320698722"/>
      <w:r>
        <w:rPr>
          <w:rFonts w:hint="eastAsia"/>
          <w:color w:val="auto"/>
        </w:rPr>
        <w:t>报价货币及报价要求</w:t>
      </w:r>
      <w:bookmarkEnd w:id="20"/>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1"/>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pStyle w:val="5"/>
        <w:spacing w:line="600" w:lineRule="exact"/>
        <w:ind w:left="807" w:leftChars="0" w:firstLineChars="0"/>
        <w:rPr>
          <w:color w:val="auto"/>
        </w:rPr>
      </w:pPr>
      <w:r>
        <w:rPr>
          <w:rFonts w:hint="eastAsia"/>
          <w:color w:val="auto"/>
        </w:rPr>
        <w:t>联合体</w:t>
      </w:r>
      <w:bookmarkEnd w:id="21"/>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5"/>
        <w:spacing w:line="600" w:lineRule="exact"/>
        <w:ind w:left="240" w:leftChars="0" w:firstLine="0" w:firstLineChars="0"/>
        <w:rPr>
          <w:color w:val="auto"/>
        </w:rPr>
      </w:pPr>
      <w:bookmarkStart w:id="22" w:name="_Toc217446047"/>
      <w:r>
        <w:rPr>
          <w:rFonts w:hint="eastAsia"/>
          <w:color w:val="auto"/>
        </w:rPr>
        <w:t>知识产权</w:t>
      </w:r>
      <w:bookmarkEnd w:id="22"/>
    </w:p>
    <w:p>
      <w:pPr>
        <w:pStyle w:val="154"/>
        <w:widowControl w:val="0"/>
        <w:numPr>
          <w:ilvl w:val="0"/>
          <w:numId w:val="12"/>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2"/>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4"/>
        <w:widowControl w:val="0"/>
        <w:numPr>
          <w:ilvl w:val="0"/>
          <w:numId w:val="12"/>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2"/>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ind w:left="807" w:leftChars="0" w:firstLineChars="0"/>
        <w:rPr>
          <w:color w:val="auto"/>
        </w:rPr>
      </w:pPr>
      <w:bookmarkStart w:id="23" w:name="_Toc320698724"/>
      <w:bookmarkStart w:id="24" w:name="_Toc320698725"/>
      <w:r>
        <w:rPr>
          <w:rFonts w:hint="eastAsia"/>
          <w:color w:val="auto"/>
        </w:rPr>
        <w:t>响应文件的</w:t>
      </w:r>
      <w:bookmarkEnd w:id="23"/>
      <w:r>
        <w:rPr>
          <w:rFonts w:hint="eastAsia"/>
          <w:color w:val="auto"/>
        </w:rPr>
        <w:t>组成</w:t>
      </w:r>
    </w:p>
    <w:p>
      <w:pPr>
        <w:pStyle w:val="154"/>
        <w:tabs>
          <w:tab w:val="left" w:pos="1200"/>
        </w:tabs>
        <w:spacing w:line="600" w:lineRule="exact"/>
        <w:ind w:firstLine="560"/>
      </w:pPr>
      <w:r>
        <w:rPr>
          <w:rFonts w:hint="eastAsia" w:ascii="宋体" w:hAnsi="宋体"/>
          <w:sz w:val="28"/>
          <w:szCs w:val="28"/>
        </w:rPr>
        <w:t>供应商应按照询价通知书的规定和要求编制响应文件。供应商编写的响应文件应包括下列部分：</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：用于报价审查，供应商应按询价通知书的规定一次报出不得更改的价格。</w:t>
      </w:r>
    </w:p>
    <w:bookmarkEnd w:id="24"/>
    <w:p>
      <w:pPr>
        <w:pStyle w:val="5"/>
        <w:numPr>
          <w:ilvl w:val="3"/>
          <w:numId w:val="1"/>
        </w:numPr>
        <w:spacing w:line="600" w:lineRule="exact"/>
        <w:ind w:left="1843" w:hanging="1843"/>
        <w:rPr>
          <w:color w:val="auto"/>
        </w:rPr>
      </w:pPr>
      <w:bookmarkStart w:id="25" w:name="_Toc320698726"/>
      <w:r>
        <w:rPr>
          <w:rFonts w:hint="eastAsia"/>
          <w:color w:val="auto"/>
        </w:rPr>
        <w:t>响应文件</w:t>
      </w:r>
      <w:bookmarkEnd w:id="25"/>
    </w:p>
    <w:p>
      <w:pPr>
        <w:pStyle w:val="5"/>
        <w:numPr>
          <w:ilvl w:val="4"/>
          <w:numId w:val="1"/>
        </w:numPr>
        <w:spacing w:line="600" w:lineRule="exact"/>
        <w:ind w:left="993" w:hanging="993"/>
        <w:rPr>
          <w:color w:val="auto"/>
        </w:rPr>
      </w:pPr>
      <w:r>
        <w:rPr>
          <w:rFonts w:hint="eastAsia"/>
          <w:color w:val="auto"/>
        </w:rPr>
        <w:t>资格响应文件</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供应商资格</w:t>
      </w:r>
      <w:r>
        <w:rPr>
          <w:rFonts w:ascii="宋体" w:hAnsi="宋体"/>
          <w:sz w:val="28"/>
          <w:szCs w:val="28"/>
        </w:rPr>
        <w:t>申明的函</w:t>
      </w:r>
      <w:r>
        <w:rPr>
          <w:rFonts w:hint="eastAsia" w:ascii="宋体" w:hAnsi="宋体"/>
          <w:sz w:val="28"/>
          <w:szCs w:val="28"/>
        </w:rPr>
        <w:t>；</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供应商应提交的相关资格证明材料：</w:t>
      </w:r>
    </w:p>
    <w:p>
      <w:pPr>
        <w:pStyle w:val="154"/>
        <w:widowControl w:val="0"/>
        <w:numPr>
          <w:ilvl w:val="0"/>
          <w:numId w:val="15"/>
        </w:numPr>
        <w:tabs>
          <w:tab w:val="left" w:pos="1134"/>
        </w:tabs>
        <w:spacing w:line="600" w:lineRule="exact"/>
        <w:ind w:firstLine="560"/>
        <w:jc w:val="both"/>
        <w:rPr>
          <w:rFonts w:hint="eastAsia" w:ascii="宋体" w:hAnsi="宋体"/>
          <w:sz w:val="28"/>
          <w:szCs w:val="28"/>
          <w:lang w:val="en-US"/>
        </w:rPr>
      </w:pPr>
      <w:r>
        <w:rPr>
          <w:rFonts w:hint="eastAsia" w:ascii="宋体" w:hAnsi="宋体"/>
          <w:sz w:val="28"/>
          <w:szCs w:val="28"/>
          <w:lang w:val="en-US"/>
        </w:rPr>
        <w:t>营业执照复印件（正本或副本）或法人证书复印件（正本或副本）；</w:t>
      </w:r>
    </w:p>
    <w:p>
      <w:pPr>
        <w:pStyle w:val="154"/>
        <w:widowControl w:val="0"/>
        <w:numPr>
          <w:ilvl w:val="0"/>
          <w:numId w:val="15"/>
        </w:numPr>
        <w:tabs>
          <w:tab w:val="left" w:pos="1134"/>
        </w:tabs>
        <w:spacing w:line="600" w:lineRule="exact"/>
        <w:ind w:firstLine="560"/>
        <w:jc w:val="both"/>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供应商声明具有良好的商业信誉和健全的财务会计制度即可，可不提供其他证明材料；</w:t>
      </w:r>
    </w:p>
    <w:p>
      <w:pPr>
        <w:pStyle w:val="154"/>
        <w:widowControl w:val="0"/>
        <w:numPr>
          <w:ilvl w:val="0"/>
          <w:numId w:val="15"/>
        </w:numPr>
        <w:tabs>
          <w:tab w:val="left" w:pos="1134"/>
        </w:tabs>
        <w:spacing w:line="600" w:lineRule="exact"/>
        <w:ind w:firstLine="560"/>
        <w:jc w:val="both"/>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供应商声明具有依法缴纳税收和社会保障资金的良好记录即可，可不提供其他证明材料；</w:t>
      </w:r>
    </w:p>
    <w:p>
      <w:pPr>
        <w:pStyle w:val="154"/>
        <w:widowControl w:val="0"/>
        <w:numPr>
          <w:ilvl w:val="0"/>
          <w:numId w:val="15"/>
        </w:numPr>
        <w:tabs>
          <w:tab w:val="left" w:pos="1134"/>
        </w:tabs>
        <w:spacing w:line="600" w:lineRule="exact"/>
        <w:ind w:firstLine="560"/>
        <w:jc w:val="both"/>
        <w:rPr>
          <w:rFonts w:ascii="宋体" w:hAnsi="宋体"/>
          <w:sz w:val="28"/>
          <w:szCs w:val="28"/>
          <w:lang w:val="en-US"/>
        </w:rPr>
      </w:pPr>
      <w:r>
        <w:rPr>
          <w:rFonts w:hint="eastAsia" w:ascii="宋体" w:hAnsi="宋体" w:eastAsia="宋体" w:cs="Times New Roman"/>
          <w:kern w:val="0"/>
          <w:sz w:val="28"/>
          <w:szCs w:val="28"/>
          <w:lang w:val="en-US" w:eastAsia="zh-CN" w:bidi="ar-SA"/>
        </w:rPr>
        <w:t>采购人对供应商履行合同所必须的设备和专业技术能力无其他特殊要求，供应商具有有效的营业执照或法人证书即可，可不提供其他证明材料；</w:t>
      </w:r>
    </w:p>
    <w:p>
      <w:pPr>
        <w:pStyle w:val="154"/>
        <w:widowControl w:val="0"/>
        <w:numPr>
          <w:ilvl w:val="0"/>
          <w:numId w:val="15"/>
        </w:numPr>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5"/>
        <w:numPr>
          <w:ilvl w:val="4"/>
          <w:numId w:val="1"/>
        </w:numPr>
        <w:spacing w:line="600" w:lineRule="exact"/>
        <w:ind w:left="993" w:hanging="993"/>
        <w:rPr>
          <w:color w:val="auto"/>
        </w:rPr>
      </w:pPr>
      <w:r>
        <w:rPr>
          <w:rFonts w:hint="eastAsia"/>
          <w:color w:val="auto"/>
        </w:rPr>
        <w:t>商务技术响应文件</w:t>
      </w:r>
    </w:p>
    <w:p>
      <w:pPr>
        <w:pStyle w:val="80"/>
        <w:numPr>
          <w:ilvl w:val="0"/>
          <w:numId w:val="16"/>
        </w:numPr>
        <w:tabs>
          <w:tab w:val="left" w:pos="1276"/>
        </w:tabs>
        <w:ind w:left="0" w:firstLine="709" w:firstLineChars="0"/>
        <w:rPr>
          <w:rFonts w:ascii="宋体" w:hAnsi="宋体"/>
          <w:sz w:val="28"/>
          <w:szCs w:val="28"/>
        </w:rPr>
      </w:pPr>
      <w:r>
        <w:rPr>
          <w:rFonts w:hint="eastAsia" w:ascii="宋体" w:hAnsi="宋体"/>
          <w:sz w:val="28"/>
          <w:szCs w:val="28"/>
        </w:rPr>
        <w:t>报价书；</w:t>
      </w:r>
    </w:p>
    <w:p>
      <w:pPr>
        <w:pStyle w:val="80"/>
        <w:numPr>
          <w:ilvl w:val="0"/>
          <w:numId w:val="16"/>
        </w:numPr>
        <w:tabs>
          <w:tab w:val="left" w:pos="1276"/>
        </w:tabs>
        <w:ind w:left="0" w:firstLine="709" w:firstLineChars="0"/>
        <w:rPr>
          <w:rFonts w:ascii="宋体" w:hAnsi="宋体"/>
          <w:sz w:val="28"/>
          <w:szCs w:val="28"/>
        </w:rPr>
      </w:pPr>
      <w:r>
        <w:rPr>
          <w:rFonts w:hint="eastAsia" w:ascii="宋体" w:hAnsi="宋体"/>
          <w:sz w:val="28"/>
          <w:szCs w:val="28"/>
        </w:rPr>
        <w:t>法定代表人身份证明书；</w:t>
      </w:r>
    </w:p>
    <w:p>
      <w:pPr>
        <w:pStyle w:val="80"/>
        <w:numPr>
          <w:ilvl w:val="0"/>
          <w:numId w:val="16"/>
        </w:numPr>
        <w:tabs>
          <w:tab w:val="left" w:pos="1276"/>
        </w:tabs>
        <w:ind w:left="0" w:firstLine="709" w:firstLineChars="0"/>
        <w:rPr>
          <w:rFonts w:ascii="宋体" w:hAnsi="宋体"/>
          <w:sz w:val="28"/>
          <w:szCs w:val="28"/>
        </w:rPr>
      </w:pPr>
      <w:r>
        <w:rPr>
          <w:rFonts w:hint="eastAsia" w:ascii="宋体" w:hAnsi="宋体"/>
          <w:sz w:val="28"/>
          <w:szCs w:val="28"/>
        </w:rPr>
        <w:t>报价产品技术性能、技术参数和配置的详细描述</w:t>
      </w:r>
      <w:r>
        <w:rPr>
          <w:rFonts w:hint="eastAsia" w:ascii="宋体" w:hAnsi="宋体"/>
          <w:sz w:val="28"/>
          <w:szCs w:val="28"/>
          <w:lang w:eastAsia="zh-CN"/>
        </w:rPr>
        <w:t>；</w:t>
      </w:r>
    </w:p>
    <w:p>
      <w:pPr>
        <w:pStyle w:val="80"/>
        <w:numPr>
          <w:ilvl w:val="0"/>
          <w:numId w:val="16"/>
        </w:numPr>
        <w:tabs>
          <w:tab w:val="left" w:pos="1276"/>
        </w:tabs>
        <w:ind w:left="0" w:firstLine="709" w:firstLineChars="0"/>
        <w:rPr>
          <w:rFonts w:ascii="宋体" w:hAnsi="宋体"/>
          <w:sz w:val="28"/>
          <w:szCs w:val="28"/>
        </w:rPr>
      </w:pPr>
      <w:r>
        <w:rPr>
          <w:rFonts w:hint="eastAsia" w:ascii="宋体" w:hAnsi="宋体"/>
          <w:sz w:val="28"/>
          <w:szCs w:val="28"/>
        </w:rPr>
        <w:t>售后服务</w:t>
      </w:r>
      <w:r>
        <w:rPr>
          <w:rFonts w:ascii="宋体" w:hAnsi="宋体"/>
          <w:sz w:val="28"/>
          <w:szCs w:val="28"/>
        </w:rPr>
        <w:t>及承诺；</w:t>
      </w:r>
    </w:p>
    <w:p>
      <w:pPr>
        <w:pStyle w:val="80"/>
        <w:numPr>
          <w:ilvl w:val="0"/>
          <w:numId w:val="16"/>
        </w:numPr>
        <w:tabs>
          <w:tab w:val="left" w:pos="1276"/>
        </w:tabs>
        <w:ind w:left="0" w:firstLine="709" w:firstLineChars="0"/>
        <w:rPr>
          <w:rFonts w:ascii="宋体" w:hAnsi="宋体"/>
          <w:sz w:val="28"/>
          <w:szCs w:val="28"/>
        </w:rPr>
      </w:pPr>
      <w:r>
        <w:rPr>
          <w:rFonts w:hint="eastAsia" w:ascii="宋体" w:hAnsi="宋体"/>
          <w:sz w:val="28"/>
          <w:szCs w:val="28"/>
        </w:rPr>
        <w:t>承诺函。</w:t>
      </w:r>
    </w:p>
    <w:p>
      <w:pPr>
        <w:pStyle w:val="5"/>
        <w:numPr>
          <w:ilvl w:val="4"/>
          <w:numId w:val="1"/>
        </w:numPr>
        <w:spacing w:line="600" w:lineRule="exact"/>
        <w:ind w:left="993" w:hanging="993"/>
        <w:rPr>
          <w:color w:val="auto"/>
        </w:rPr>
      </w:pPr>
      <w:r>
        <w:rPr>
          <w:rFonts w:hint="eastAsia"/>
          <w:color w:val="auto"/>
        </w:rPr>
        <w:t>报价要求</w:t>
      </w:r>
      <w:r>
        <w:rPr>
          <w:color w:val="auto"/>
        </w:rPr>
        <w:t>响应文件</w:t>
      </w:r>
    </w:p>
    <w:p>
      <w:pPr>
        <w:ind w:firstLine="562" w:firstLineChars="200"/>
        <w:rPr>
          <w:rFonts w:ascii="宋体" w:hAnsi="宋体"/>
          <w:b/>
          <w:sz w:val="28"/>
          <w:szCs w:val="28"/>
        </w:rPr>
      </w:pPr>
      <w:r>
        <w:rPr>
          <w:rFonts w:hint="eastAsia" w:ascii="宋体" w:hAnsi="宋体"/>
          <w:b/>
          <w:sz w:val="28"/>
          <w:szCs w:val="28"/>
        </w:rPr>
        <w:t>一、</w:t>
      </w:r>
      <w:r>
        <w:rPr>
          <w:rFonts w:hint="eastAsia" w:ascii="宋体" w:hAnsi="宋体"/>
          <w:b/>
          <w:sz w:val="28"/>
          <w:szCs w:val="28"/>
        </w:rPr>
        <w:tab/>
      </w:r>
      <w:r>
        <w:rPr>
          <w:rFonts w:hint="eastAsia" w:ascii="宋体" w:hAnsi="宋体"/>
          <w:b/>
          <w:sz w:val="28"/>
          <w:szCs w:val="28"/>
        </w:rPr>
        <w:t>开标一览表（报价以供应商在政府采购云平台开标一览表中填写的报价为准。）；</w:t>
      </w:r>
    </w:p>
    <w:p>
      <w:pPr>
        <w:tabs>
          <w:tab w:val="left" w:pos="1134"/>
        </w:tabs>
        <w:spacing w:line="360" w:lineRule="auto"/>
        <w:ind w:firstLine="562" w:firstLineChars="200"/>
        <w:rPr>
          <w:rFonts w:ascii="宋体" w:hAnsi="宋体"/>
          <w:b/>
          <w:sz w:val="28"/>
          <w:szCs w:val="28"/>
        </w:rPr>
      </w:pPr>
      <w:r>
        <w:rPr>
          <w:rFonts w:hint="eastAsia" w:ascii="宋体" w:hAnsi="宋体"/>
          <w:b/>
          <w:sz w:val="28"/>
          <w:szCs w:val="28"/>
        </w:rPr>
        <w:t>二、</w:t>
      </w:r>
      <w:r>
        <w:rPr>
          <w:rFonts w:hint="eastAsia" w:ascii="宋体" w:hAnsi="宋体"/>
          <w:b/>
          <w:sz w:val="28"/>
          <w:szCs w:val="28"/>
        </w:rPr>
        <w:tab/>
      </w:r>
      <w:r>
        <w:rPr>
          <w:rFonts w:hint="eastAsia" w:ascii="宋体" w:hAnsi="宋体"/>
          <w:b/>
          <w:sz w:val="28"/>
          <w:szCs w:val="28"/>
        </w:rPr>
        <w:t>分项报价明细表(报价</w:t>
      </w:r>
      <w:r>
        <w:rPr>
          <w:rFonts w:ascii="宋体" w:hAnsi="宋体"/>
          <w:b/>
          <w:sz w:val="28"/>
          <w:szCs w:val="28"/>
        </w:rPr>
        <w:t>明细以供应商</w:t>
      </w:r>
      <w:r>
        <w:rPr>
          <w:rFonts w:hint="eastAsia" w:ascii="宋体" w:hAnsi="宋体"/>
          <w:b/>
          <w:sz w:val="28"/>
          <w:szCs w:val="28"/>
        </w:rPr>
        <w:t>在政府采购云平台报价明细</w:t>
      </w:r>
      <w:r>
        <w:rPr>
          <w:rFonts w:ascii="宋体" w:hAnsi="宋体"/>
          <w:b/>
          <w:sz w:val="28"/>
          <w:szCs w:val="28"/>
        </w:rPr>
        <w:t>表</w:t>
      </w:r>
      <w:r>
        <w:rPr>
          <w:rFonts w:hint="eastAsia" w:ascii="宋体" w:hAnsi="宋体"/>
          <w:b/>
          <w:sz w:val="28"/>
          <w:szCs w:val="28"/>
        </w:rPr>
        <w:t>中填写的为准。）</w:t>
      </w:r>
    </w:p>
    <w:p>
      <w:pPr>
        <w:widowControl w:val="0"/>
        <w:tabs>
          <w:tab w:val="left" w:pos="851"/>
        </w:tabs>
        <w:spacing w:line="360" w:lineRule="auto"/>
        <w:ind w:firstLine="571" w:firstLineChars="203"/>
        <w:jc w:val="both"/>
        <w:rPr>
          <w:rFonts w:ascii="宋体" w:hAnsi="宋体"/>
          <w:b/>
          <w:sz w:val="28"/>
          <w:szCs w:val="28"/>
        </w:rPr>
      </w:pPr>
      <w:r>
        <w:rPr>
          <w:rFonts w:hint="eastAsia" w:ascii="宋体" w:hAnsi="宋体"/>
          <w:b/>
          <w:sz w:val="28"/>
          <w:szCs w:val="28"/>
        </w:rPr>
        <w:t>三</w:t>
      </w:r>
      <w:r>
        <w:rPr>
          <w:rFonts w:ascii="宋体" w:hAnsi="宋体"/>
          <w:b/>
          <w:sz w:val="28"/>
          <w:szCs w:val="28"/>
        </w:rPr>
        <w:t>、</w:t>
      </w:r>
      <w:r>
        <w:rPr>
          <w:rFonts w:hint="eastAsia" w:ascii="宋体" w:hAnsi="宋体"/>
          <w:b/>
          <w:sz w:val="28"/>
          <w:szCs w:val="28"/>
        </w:rPr>
        <w:t>监狱</w:t>
      </w:r>
      <w:r>
        <w:rPr>
          <w:rFonts w:ascii="宋体" w:hAnsi="宋体"/>
          <w:b/>
          <w:sz w:val="28"/>
          <w:szCs w:val="28"/>
        </w:rPr>
        <w:t>企业、残疾人福利性单位制造的货物清单及价格（</w:t>
      </w:r>
      <w:r>
        <w:rPr>
          <w:rFonts w:hint="eastAsia" w:ascii="宋体" w:hAnsi="宋体"/>
          <w:b/>
          <w:sz w:val="28"/>
          <w:szCs w:val="28"/>
        </w:rPr>
        <w:t>如</w:t>
      </w:r>
      <w:r>
        <w:rPr>
          <w:rFonts w:ascii="宋体" w:hAnsi="宋体"/>
          <w:b/>
          <w:sz w:val="28"/>
          <w:szCs w:val="28"/>
        </w:rPr>
        <w:t>未提供监狱企业、残疾人福利性单位制造的货物清单及价格，则其</w:t>
      </w:r>
      <w:r>
        <w:rPr>
          <w:rFonts w:hint="eastAsia" w:ascii="宋体" w:hAnsi="宋体"/>
          <w:b/>
          <w:sz w:val="28"/>
          <w:szCs w:val="28"/>
        </w:rPr>
        <w:t>报</w:t>
      </w:r>
      <w:r>
        <w:rPr>
          <w:rFonts w:ascii="宋体" w:hAnsi="宋体"/>
          <w:b/>
          <w:sz w:val="28"/>
          <w:szCs w:val="28"/>
        </w:rPr>
        <w:t>价产品中的监狱企业、残疾人福利性单位制造的货物不能享受询价通知书规定的价格扣除，但不影响</w:t>
      </w:r>
      <w:r>
        <w:rPr>
          <w:rFonts w:hint="eastAsia" w:ascii="宋体" w:hAnsi="宋体"/>
          <w:b/>
          <w:sz w:val="28"/>
          <w:szCs w:val="28"/>
        </w:rPr>
        <w:t>供应商</w:t>
      </w:r>
      <w:r>
        <w:rPr>
          <w:rFonts w:ascii="宋体" w:hAnsi="宋体"/>
          <w:b/>
          <w:sz w:val="28"/>
          <w:szCs w:val="28"/>
        </w:rPr>
        <w:t>响应文件的有效性）</w:t>
      </w:r>
    </w:p>
    <w:p>
      <w:pPr>
        <w:widowControl w:val="0"/>
        <w:tabs>
          <w:tab w:val="left" w:pos="851"/>
        </w:tabs>
        <w:spacing w:line="360" w:lineRule="auto"/>
        <w:ind w:firstLine="571" w:firstLineChars="203"/>
        <w:jc w:val="both"/>
        <w:rPr>
          <w:rFonts w:ascii="宋体" w:hAnsi="宋体"/>
          <w:b/>
          <w:sz w:val="28"/>
          <w:szCs w:val="28"/>
        </w:rPr>
      </w:pPr>
      <w:r>
        <w:rPr>
          <w:rFonts w:hint="eastAsia" w:ascii="宋体" w:hAnsi="宋体"/>
          <w:b/>
          <w:sz w:val="28"/>
          <w:szCs w:val="28"/>
        </w:rPr>
        <w:t>四</w:t>
      </w:r>
      <w:r>
        <w:rPr>
          <w:rFonts w:ascii="宋体" w:hAnsi="宋体"/>
          <w:b/>
          <w:sz w:val="28"/>
          <w:szCs w:val="28"/>
        </w:rPr>
        <w:t>、</w:t>
      </w:r>
      <w:r>
        <w:rPr>
          <w:rFonts w:hint="eastAsia" w:ascii="宋体" w:hAnsi="宋体"/>
          <w:b/>
          <w:sz w:val="28"/>
          <w:szCs w:val="28"/>
        </w:rPr>
        <w:t>中小企业声明函（如未提供中小企业声明函，则其报价产品中的小型、微型企业制造的货物不能享受询价通知书规定的价格扣除，但不影响供应商响应文件的有效性）；</w:t>
      </w:r>
    </w:p>
    <w:p>
      <w:pPr>
        <w:widowControl w:val="0"/>
        <w:tabs>
          <w:tab w:val="left" w:pos="851"/>
        </w:tabs>
        <w:spacing w:line="360" w:lineRule="auto"/>
        <w:ind w:firstLine="562" w:firstLineChars="200"/>
        <w:jc w:val="both"/>
        <w:rPr>
          <w:rFonts w:ascii="宋体" w:hAnsi="宋体"/>
          <w:b/>
          <w:sz w:val="28"/>
          <w:szCs w:val="28"/>
        </w:rPr>
      </w:pPr>
      <w:r>
        <w:rPr>
          <w:rFonts w:hint="eastAsia" w:ascii="宋体" w:hAnsi="宋体"/>
          <w:b/>
          <w:sz w:val="28"/>
          <w:szCs w:val="28"/>
        </w:rPr>
        <w:t>五、残疾人福利性单位声明函（如未提供残疾人福利性单位声明函，则其报价产品中的残疾人福利性单位制造的货物不能享受询价通知书规定的价格扣除，但不影响供应商响应文件的有效性）。</w:t>
      </w:r>
    </w:p>
    <w:p>
      <w:pPr>
        <w:pStyle w:val="80"/>
        <w:widowControl w:val="0"/>
        <w:tabs>
          <w:tab w:val="left" w:pos="1134"/>
        </w:tabs>
        <w:spacing w:line="360" w:lineRule="auto"/>
        <w:ind w:firstLine="565" w:firstLineChars="201"/>
        <w:jc w:val="both"/>
        <w:rPr>
          <w:rFonts w:ascii="宋体" w:hAnsi="宋体"/>
          <w:b/>
          <w:sz w:val="28"/>
          <w:szCs w:val="28"/>
        </w:rPr>
      </w:pPr>
      <w:r>
        <w:rPr>
          <w:rFonts w:hint="eastAsia" w:ascii="宋体" w:hAnsi="宋体" w:eastAsia="宋体" w:cs="Times New Roman"/>
          <w:b/>
          <w:kern w:val="0"/>
          <w:sz w:val="28"/>
          <w:szCs w:val="28"/>
        </w:rPr>
        <w:t>六</w:t>
      </w:r>
      <w:r>
        <w:rPr>
          <w:rFonts w:ascii="宋体" w:hAnsi="宋体" w:eastAsia="宋体" w:cs="Times New Roman"/>
          <w:b/>
          <w:kern w:val="0"/>
          <w:sz w:val="28"/>
          <w:szCs w:val="28"/>
        </w:rPr>
        <w:t>、</w:t>
      </w:r>
      <w:r>
        <w:rPr>
          <w:rFonts w:hint="eastAsia" w:ascii="宋体" w:hAnsi="宋体" w:eastAsia="宋体" w:cs="Times New Roman"/>
          <w:b/>
          <w:kern w:val="0"/>
          <w:sz w:val="28"/>
          <w:szCs w:val="28"/>
        </w:rPr>
        <w:t>投标产品</w:t>
      </w:r>
      <w:r>
        <w:rPr>
          <w:rFonts w:ascii="宋体" w:hAnsi="宋体"/>
          <w:b/>
          <w:sz w:val="28"/>
          <w:szCs w:val="28"/>
        </w:rPr>
        <w:t>制造商属于监狱企业的证明文件复印件</w:t>
      </w:r>
      <w:r>
        <w:rPr>
          <w:rFonts w:hint="eastAsia" w:ascii="宋体" w:hAnsi="宋体"/>
          <w:b/>
          <w:sz w:val="28"/>
          <w:szCs w:val="28"/>
        </w:rPr>
        <w:t>（1、报</w:t>
      </w:r>
      <w:r>
        <w:rPr>
          <w:rFonts w:ascii="宋体" w:hAnsi="宋体"/>
          <w:b/>
          <w:sz w:val="28"/>
          <w:szCs w:val="28"/>
        </w:rPr>
        <w:t>价产品中为监狱企业制造的货物应提供由省级以上监狱管理局、戒毒管理局（含新疆生产建设兵团）出具的制造商属于监狱企业的证明文件复印件</w:t>
      </w:r>
      <w:r>
        <w:rPr>
          <w:rFonts w:hint="eastAsia" w:ascii="宋体" w:hAnsi="宋体"/>
          <w:b/>
          <w:sz w:val="28"/>
          <w:szCs w:val="28"/>
        </w:rPr>
        <w:t>；2、如未提供</w:t>
      </w:r>
      <w:r>
        <w:rPr>
          <w:rFonts w:ascii="宋体" w:hAnsi="宋体"/>
          <w:b/>
          <w:sz w:val="28"/>
          <w:szCs w:val="28"/>
        </w:rPr>
        <w:t>监狱企业的证明文件</w:t>
      </w:r>
      <w:r>
        <w:rPr>
          <w:rFonts w:hint="eastAsia" w:ascii="宋体" w:hAnsi="宋体"/>
          <w:b/>
          <w:sz w:val="28"/>
          <w:szCs w:val="28"/>
        </w:rPr>
        <w:t>复印件，则其报</w:t>
      </w:r>
      <w:r>
        <w:rPr>
          <w:rFonts w:ascii="宋体" w:hAnsi="宋体"/>
          <w:b/>
          <w:sz w:val="28"/>
          <w:szCs w:val="28"/>
        </w:rPr>
        <w:t>价产品中为监狱企业制造的货物</w:t>
      </w:r>
      <w:r>
        <w:rPr>
          <w:rFonts w:hint="eastAsia" w:ascii="宋体" w:hAnsi="宋体"/>
          <w:b/>
          <w:sz w:val="28"/>
          <w:szCs w:val="28"/>
        </w:rPr>
        <w:t>不能享受询</w:t>
      </w:r>
      <w:r>
        <w:rPr>
          <w:rFonts w:ascii="宋体" w:hAnsi="宋体"/>
          <w:b/>
          <w:sz w:val="28"/>
          <w:szCs w:val="28"/>
        </w:rPr>
        <w:t>价通知书</w:t>
      </w:r>
      <w:r>
        <w:rPr>
          <w:rFonts w:hint="eastAsia" w:ascii="宋体" w:hAnsi="宋体"/>
          <w:b/>
          <w:sz w:val="28"/>
          <w:szCs w:val="28"/>
        </w:rPr>
        <w:t>规定的价格扣除，但不影响供应商</w:t>
      </w:r>
      <w:r>
        <w:rPr>
          <w:rFonts w:ascii="宋体" w:hAnsi="宋体"/>
          <w:b/>
          <w:sz w:val="28"/>
          <w:szCs w:val="28"/>
        </w:rPr>
        <w:t>响应</w:t>
      </w:r>
      <w:r>
        <w:rPr>
          <w:rFonts w:hint="eastAsia" w:ascii="宋体" w:hAnsi="宋体"/>
          <w:b/>
          <w:sz w:val="28"/>
          <w:szCs w:val="28"/>
        </w:rPr>
        <w:t>文件的有效性。）。</w:t>
      </w:r>
    </w:p>
    <w:p>
      <w:pPr>
        <w:pStyle w:val="5"/>
        <w:spacing w:line="600" w:lineRule="exact"/>
        <w:ind w:left="807" w:leftChars="0" w:firstLineChars="0"/>
        <w:rPr>
          <w:color w:val="auto"/>
        </w:rPr>
      </w:pPr>
      <w:bookmarkStart w:id="26" w:name="_Toc320698727"/>
      <w:r>
        <w:rPr>
          <w:rFonts w:hint="eastAsia"/>
          <w:color w:val="auto"/>
        </w:rPr>
        <w:t>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spacing w:line="600" w:lineRule="exact"/>
        <w:ind w:left="807" w:leftChars="0" w:firstLineChars="0"/>
        <w:rPr>
          <w:color w:val="auto"/>
        </w:rPr>
      </w:pPr>
      <w:r>
        <w:rPr>
          <w:rFonts w:hint="eastAsia"/>
          <w:color w:val="auto"/>
        </w:rPr>
        <w:t>报价</w:t>
      </w:r>
    </w:p>
    <w:p>
      <w:pPr>
        <w:widowControl w:val="0"/>
        <w:numPr>
          <w:ilvl w:val="0"/>
          <w:numId w:val="17"/>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供应商的报价是供应商响应采购项目要求的价格体现，包括供应商完成本项目所需的一切费用。</w:t>
      </w:r>
    </w:p>
    <w:p>
      <w:pPr>
        <w:widowControl w:val="0"/>
        <w:numPr>
          <w:ilvl w:val="0"/>
          <w:numId w:val="17"/>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bookmarkEnd w:id="26"/>
    <w:p>
      <w:pPr>
        <w:pStyle w:val="5"/>
        <w:spacing w:line="600" w:lineRule="exact"/>
        <w:ind w:left="807" w:leftChars="0" w:firstLineChars="0"/>
        <w:rPr>
          <w:color w:val="auto"/>
        </w:rPr>
      </w:pPr>
      <w:bookmarkStart w:id="27" w:name="_Toc320698728"/>
      <w:r>
        <w:rPr>
          <w:rFonts w:hint="eastAsia"/>
          <w:color w:val="auto"/>
        </w:rPr>
        <w:t>询价保证金</w:t>
      </w:r>
    </w:p>
    <w:p>
      <w:pPr>
        <w:spacing w:line="600" w:lineRule="exact"/>
        <w:ind w:firstLine="560" w:firstLineChars="200"/>
        <w:rPr>
          <w:rFonts w:ascii="宋体" w:hAnsi="宋体"/>
          <w:sz w:val="28"/>
          <w:szCs w:val="28"/>
        </w:rPr>
      </w:pPr>
      <w:r>
        <w:rPr>
          <w:rFonts w:hint="eastAsia" w:ascii="宋体" w:hAnsi="宋体"/>
          <w:sz w:val="28"/>
          <w:szCs w:val="28"/>
        </w:rPr>
        <w:t>本项目不收取询价保证金。</w:t>
      </w:r>
    </w:p>
    <w:p>
      <w:pPr>
        <w:pStyle w:val="5"/>
        <w:spacing w:line="600" w:lineRule="exact"/>
        <w:ind w:left="807" w:leftChars="0" w:firstLineChars="0"/>
        <w:rPr>
          <w:color w:val="auto"/>
        </w:rPr>
      </w:pPr>
      <w:r>
        <w:rPr>
          <w:rFonts w:hint="eastAsia"/>
          <w:color w:val="auto"/>
        </w:rPr>
        <w:t>响应文件有效期</w:t>
      </w:r>
      <w:bookmarkEnd w:id="27"/>
    </w:p>
    <w:p>
      <w:pPr>
        <w:pStyle w:val="80"/>
        <w:numPr>
          <w:ilvl w:val="0"/>
          <w:numId w:val="18"/>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0"/>
        <w:numPr>
          <w:ilvl w:val="0"/>
          <w:numId w:val="18"/>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询价保证金不被没收。同意延长响应文件有效期的供应商不能修改其响应文件，关于询价保证金的有关规定在延长的响应文件有效期内继续有效。</w:t>
      </w:r>
    </w:p>
    <w:p>
      <w:pPr>
        <w:pStyle w:val="5"/>
        <w:spacing w:line="600" w:lineRule="exact"/>
        <w:ind w:left="807" w:leftChars="0" w:firstLineChars="0"/>
        <w:rPr>
          <w:color w:val="auto"/>
        </w:rPr>
      </w:pPr>
      <w:bookmarkStart w:id="28" w:name="_Toc320698729"/>
      <w:bookmarkStart w:id="29" w:name="_Toc320698730"/>
      <w:r>
        <w:rPr>
          <w:rFonts w:hint="eastAsia"/>
          <w:color w:val="auto"/>
        </w:rPr>
        <w:t>响应文件的制作和签章和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一、响应文件应根据询价通知书的要求进行制作。（说明：1、响应文件中要求提供复印件证明材料的，包含提供原件的影印件或复印件。2、要求提供复印件的证明材料须清晰可辨。）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ascii="宋体" w:hAnsi="宋体"/>
          <w:sz w:val="28"/>
          <w:szCs w:val="28"/>
        </w:rPr>
        <w:t>.</w:t>
      </w:r>
      <w:r>
        <w:rPr>
          <w:rFonts w:hint="eastAsia" w:ascii="宋体" w:hAnsi="宋体"/>
          <w:b/>
          <w:sz w:val="28"/>
          <w:szCs w:val="28"/>
        </w:rPr>
        <w:t>响应文件应加盖有供应商（法定名称）电子签章，不得使用供应商专用章（如经济合同章、投标专用章等）或下属单位印章代替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w:t>
      </w:r>
      <w:r>
        <w:rPr>
          <w:rFonts w:ascii="宋体" w:hAnsi="宋体"/>
          <w:sz w:val="28"/>
          <w:szCs w:val="28"/>
        </w:rPr>
        <w:t>.</w:t>
      </w:r>
      <w:r>
        <w:rPr>
          <w:rFonts w:hint="eastAsia" w:ascii="宋体" w:hAnsi="宋体"/>
          <w:b/>
          <w:sz w:val="28"/>
          <w:szCs w:val="28"/>
        </w:rPr>
        <w:t>供应</w:t>
      </w:r>
      <w:r>
        <w:rPr>
          <w:rFonts w:ascii="宋体" w:hAnsi="宋体"/>
          <w:b/>
          <w:sz w:val="28"/>
          <w:szCs w:val="28"/>
        </w:rPr>
        <w:t>商</w:t>
      </w:r>
      <w:r>
        <w:rPr>
          <w:rFonts w:hint="eastAsia" w:ascii="宋体" w:hAnsi="宋体"/>
          <w:b/>
          <w:sz w:val="28"/>
          <w:szCs w:val="28"/>
        </w:rPr>
        <w:t>应使用本企业CA数字证书对响应文件进行加密。</w:t>
      </w:r>
    </w:p>
    <w:p>
      <w:pPr>
        <w:spacing w:line="360" w:lineRule="auto"/>
        <w:ind w:firstLine="560" w:firstLineChars="200"/>
        <w:rPr>
          <w:rFonts w:ascii="宋体" w:hAnsi="宋体"/>
          <w:sz w:val="28"/>
          <w:szCs w:val="28"/>
        </w:rPr>
      </w:pPr>
      <w:r>
        <w:rPr>
          <w:rFonts w:ascii="宋体" w:hAnsi="宋体"/>
          <w:sz w:val="28"/>
          <w:szCs w:val="28"/>
        </w:rPr>
        <w:t>4.</w:t>
      </w:r>
      <w:r>
        <w:rPr>
          <w:rFonts w:hint="eastAsia" w:ascii="宋体" w:hAnsi="宋体"/>
          <w:sz w:val="28"/>
          <w:szCs w:val="28"/>
        </w:rPr>
        <w:t>询价</w:t>
      </w:r>
      <w:r>
        <w:rPr>
          <w:rFonts w:ascii="宋体" w:hAnsi="宋体"/>
          <w:sz w:val="28"/>
          <w:szCs w:val="28"/>
        </w:rPr>
        <w:t>通知书</w:t>
      </w:r>
      <w:r>
        <w:rPr>
          <w:rFonts w:hint="eastAsia" w:ascii="宋体" w:hAnsi="宋体"/>
          <w:sz w:val="28"/>
          <w:szCs w:val="28"/>
        </w:rPr>
        <w:t>有修改的，供应商须下载修改</w:t>
      </w:r>
      <w:r>
        <w:rPr>
          <w:rFonts w:ascii="宋体" w:hAnsi="宋体"/>
          <w:sz w:val="28"/>
          <w:szCs w:val="28"/>
        </w:rPr>
        <w:t>通知</w:t>
      </w:r>
      <w:r>
        <w:rPr>
          <w:rFonts w:hint="eastAsia" w:ascii="宋体" w:hAnsi="宋体"/>
          <w:sz w:val="28"/>
          <w:szCs w:val="28"/>
        </w:rPr>
        <w:t>（修改</w:t>
      </w:r>
      <w:r>
        <w:rPr>
          <w:rFonts w:ascii="宋体" w:hAnsi="宋体"/>
          <w:sz w:val="28"/>
          <w:szCs w:val="28"/>
        </w:rPr>
        <w:t>通知</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spacing w:line="360" w:lineRule="auto"/>
        <w:ind w:firstLine="560" w:firstLineChars="200"/>
      </w:pPr>
      <w:r>
        <w:rPr>
          <w:rFonts w:ascii="宋体" w:hAnsi="宋体"/>
          <w:sz w:val="28"/>
          <w:szCs w:val="28"/>
        </w:rPr>
        <w:t>5.</w:t>
      </w:r>
      <w:r>
        <w:rPr>
          <w:rFonts w:hint="eastAsia" w:ascii="宋体" w:hAnsi="宋体"/>
          <w:sz w:val="28"/>
          <w:szCs w:val="28"/>
        </w:rPr>
        <w:t>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9"/>
    <w:p>
      <w:pPr>
        <w:pStyle w:val="5"/>
        <w:spacing w:line="600" w:lineRule="exact"/>
        <w:ind w:left="807" w:leftChars="0" w:firstLineChars="0"/>
        <w:rPr>
          <w:color w:val="auto"/>
        </w:rPr>
      </w:pPr>
      <w:bookmarkStart w:id="30" w:name="_Toc320698731"/>
      <w:r>
        <w:rPr>
          <w:rFonts w:hint="eastAsia"/>
          <w:color w:val="auto"/>
        </w:rPr>
        <w:t>响应文件的递交</w:t>
      </w:r>
      <w:bookmarkEnd w:id="30"/>
    </w:p>
    <w:p>
      <w:pPr>
        <w:widowControl w:val="0"/>
        <w:numPr>
          <w:ilvl w:val="0"/>
          <w:numId w:val="19"/>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widowControl w:val="0"/>
        <w:numPr>
          <w:ilvl w:val="0"/>
          <w:numId w:val="19"/>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w:t>
      </w:r>
      <w:r>
        <w:rPr>
          <w:rFonts w:hint="eastAsia" w:ascii="宋体" w:hAnsi="宋体"/>
          <w:bCs/>
          <w:sz w:val="28"/>
          <w:szCs w:val="28"/>
          <w:lang w:eastAsia="zh-CN"/>
        </w:rPr>
        <w:t>区</w:t>
      </w:r>
      <w:r>
        <w:rPr>
          <w:rFonts w:hint="eastAsia" w:ascii="宋体" w:hAnsi="宋体"/>
          <w:bCs/>
          <w:sz w:val="28"/>
          <w:szCs w:val="28"/>
        </w:rPr>
        <w:t>公资交易中心在“四川政府采购网”和“成都市公共资源交易服务中心”网站上发布的澄清公告中修改的时间递交响应文件，同时通过“政府采购云平台”将澄清或者修改的内容告知所有在系统中成功获取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widowControl w:val="0"/>
        <w:numPr>
          <w:ilvl w:val="0"/>
          <w:numId w:val="19"/>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ind w:left="807" w:leftChars="0" w:firstLineChars="0"/>
        <w:rPr>
          <w:color w:val="auto"/>
        </w:rPr>
      </w:pPr>
      <w:bookmarkStart w:id="31" w:name="_Toc446487098"/>
      <w:r>
        <w:rPr>
          <w:rFonts w:hint="eastAsia"/>
          <w:color w:val="auto"/>
        </w:rPr>
        <w:t>响应文件的补充、修改和撤回</w:t>
      </w:r>
      <w:bookmarkEnd w:id="31"/>
    </w:p>
    <w:p>
      <w:pPr>
        <w:widowControl w:val="0"/>
        <w:numPr>
          <w:ilvl w:val="0"/>
          <w:numId w:val="20"/>
        </w:numPr>
        <w:tabs>
          <w:tab w:val="left" w:pos="1134"/>
        </w:tabs>
        <w:spacing w:line="360" w:lineRule="auto"/>
        <w:ind w:left="0" w:firstLine="567"/>
        <w:jc w:val="both"/>
        <w:rPr>
          <w:rFonts w:ascii="宋体" w:hAnsi="宋体"/>
          <w:sz w:val="28"/>
          <w:szCs w:val="28"/>
        </w:rPr>
      </w:pPr>
      <w:bookmarkStart w:id="32" w:name="_Toc494356977"/>
      <w:bookmarkEnd w:id="32"/>
      <w:bookmarkStart w:id="33" w:name="_Toc494095623"/>
      <w:bookmarkEnd w:id="33"/>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20"/>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20"/>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ind w:left="807" w:leftChars="0" w:firstLineChars="0"/>
        <w:rPr>
          <w:color w:val="auto"/>
        </w:rPr>
      </w:pPr>
      <w:r>
        <w:rPr>
          <w:rFonts w:hint="eastAsia"/>
          <w:color w:val="auto"/>
        </w:rPr>
        <w:t>响应文件的解密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w:t>
      </w:r>
      <w:r>
        <w:rPr>
          <w:rFonts w:hint="eastAsia" w:ascii="宋体" w:hAnsi="宋体"/>
          <w:sz w:val="28"/>
          <w:szCs w:val="28"/>
        </w:rPr>
        <w:t>公资交易中心开启解密后，</w:t>
      </w:r>
      <w:r>
        <w:rPr>
          <w:rFonts w:hint="eastAsia" w:ascii="宋体" w:hAnsi="宋体" w:cs="宋体"/>
          <w:sz w:val="28"/>
          <w:szCs w:val="28"/>
        </w:rPr>
        <w:t>进行线上解密。</w:t>
      </w:r>
      <w:r>
        <w:rPr>
          <w:rFonts w:hint="eastAsia" w:ascii="宋体" w:hAnsi="宋体"/>
          <w:bCs/>
          <w:sz w:val="28"/>
          <w:szCs w:val="28"/>
        </w:rPr>
        <w:t>除因</w:t>
      </w:r>
      <w:r>
        <w:rPr>
          <w:rFonts w:hint="eastAsia" w:ascii="宋体" w:hAnsi="宋体"/>
          <w:sz w:val="28"/>
          <w:szCs w:val="28"/>
          <w:lang w:eastAsia="zh-CN"/>
        </w:rPr>
        <w:t>区</w:t>
      </w:r>
      <w:r>
        <w:rPr>
          <w:rFonts w:hint="eastAsia" w:ascii="宋体" w:hAnsi="宋体"/>
          <w:sz w:val="28"/>
          <w:szCs w:val="28"/>
        </w:rPr>
        <w:t>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tabs>
          <w:tab w:val="clear" w:pos="567"/>
        </w:tabs>
        <w:spacing w:line="600" w:lineRule="exact"/>
        <w:ind w:left="0" w:firstLine="0"/>
      </w:pPr>
      <w:bookmarkStart w:id="34" w:name="_Toc217446057"/>
      <w:bookmarkStart w:id="35" w:name="_Toc183682369"/>
      <w:bookmarkStart w:id="36" w:name="_Toc183582232"/>
      <w:bookmarkStart w:id="37" w:name="_Toc16319"/>
      <w:r>
        <w:rPr>
          <w:rFonts w:hint="eastAsia"/>
        </w:rPr>
        <w:t>开标</w:t>
      </w:r>
      <w:bookmarkEnd w:id="34"/>
      <w:bookmarkEnd w:id="35"/>
      <w:bookmarkEnd w:id="36"/>
      <w:r>
        <w:rPr>
          <w:rFonts w:hint="eastAsia"/>
        </w:rPr>
        <w:t>及开标程序</w:t>
      </w:r>
      <w:bookmarkEnd w:id="37"/>
    </w:p>
    <w:p>
      <w:pPr>
        <w:pStyle w:val="80"/>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0"/>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w:t>
      </w:r>
      <w:r>
        <w:rPr>
          <w:rFonts w:hint="eastAsia" w:ascii="宋体" w:hAnsi="宋体" w:eastAsia="宋体" w:cs="宋体"/>
          <w:b/>
          <w:sz w:val="28"/>
          <w:szCs w:val="28"/>
          <w:lang w:eastAsia="zh-CN"/>
        </w:rPr>
        <w:t>区</w:t>
      </w:r>
      <w:r>
        <w:rPr>
          <w:rFonts w:hint="eastAsia" w:ascii="宋体" w:hAnsi="宋体" w:eastAsia="宋体" w:cs="宋体"/>
          <w:b/>
          <w:sz w:val="28"/>
          <w:szCs w:val="28"/>
        </w:rPr>
        <w:t>公资交易中心开启解密后，供应商进行线上解密。开启解密后，供应商应在60分钟内，使用加密该响应文件的CA数字证书在线完成响应文件的解密。除因</w:t>
      </w:r>
      <w:r>
        <w:rPr>
          <w:rFonts w:hint="eastAsia" w:ascii="宋体" w:hAnsi="宋体" w:eastAsia="宋体" w:cs="宋体"/>
          <w:b/>
          <w:sz w:val="28"/>
          <w:szCs w:val="28"/>
          <w:lang w:eastAsia="zh-CN"/>
        </w:rPr>
        <w:t>区</w:t>
      </w:r>
      <w:r>
        <w:rPr>
          <w:rFonts w:hint="eastAsia" w:ascii="宋体" w:hAnsi="宋体" w:eastAsia="宋体" w:cs="宋体"/>
          <w:b/>
          <w:sz w:val="28"/>
          <w:szCs w:val="28"/>
        </w:rPr>
        <w:t>公资交易中心断电、断网、系统故障或其他不可抗力等因素，导致系统无法使用外，供应商在规定的解密时间内，未成功解密的响应文件将视为无效响应文件。</w:t>
      </w:r>
    </w:p>
    <w:p>
      <w:pPr>
        <w:pStyle w:val="80"/>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w:t>
      </w:r>
      <w:r>
        <w:rPr>
          <w:rFonts w:hint="eastAsia" w:ascii="宋体" w:hAnsi="宋体" w:cs="宋体"/>
          <w:b/>
          <w:sz w:val="28"/>
          <w:szCs w:val="28"/>
        </w:rPr>
        <w:t>由“政府采购云平台”系统展示供应商名称、响应文件解密情况等内容。供应商对开标记录（包含解密情况、其他情况等）在规定时间内确认，如未确认，视为认同开标记录。</w:t>
      </w:r>
    </w:p>
    <w:p>
      <w:pPr>
        <w:pStyle w:val="80"/>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区</w:t>
      </w:r>
      <w:r>
        <w:rPr>
          <w:rFonts w:hint="eastAsia" w:ascii="宋体" w:hAnsi="宋体" w:eastAsia="宋体" w:cs="宋体"/>
          <w:b/>
          <w:sz w:val="28"/>
          <w:szCs w:val="28"/>
        </w:rPr>
        <w:t>公资交易中心相关工作人员有需要回避的情形的，及时向工作人员提出询问或者回避申请。采购人、</w:t>
      </w:r>
      <w:r>
        <w:rPr>
          <w:rFonts w:hint="eastAsia" w:ascii="宋体" w:hAnsi="宋体" w:eastAsia="宋体" w:cs="宋体"/>
          <w:b/>
          <w:sz w:val="28"/>
          <w:szCs w:val="28"/>
          <w:lang w:eastAsia="zh-CN"/>
        </w:rPr>
        <w:t>区</w:t>
      </w:r>
      <w:r>
        <w:rPr>
          <w:rFonts w:hint="eastAsia" w:ascii="宋体" w:hAnsi="宋体" w:eastAsia="宋体" w:cs="宋体"/>
          <w:b/>
          <w:sz w:val="28"/>
          <w:szCs w:val="28"/>
        </w:rPr>
        <w:t>公资交易中心对供应商提出的询问或者回避申请应当及时处理。</w:t>
      </w:r>
    </w:p>
    <w:p>
      <w:pPr>
        <w:pStyle w:val="80"/>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w:t>
      </w:r>
      <w:r>
        <w:rPr>
          <w:rFonts w:hint="eastAsia" w:ascii="宋体" w:hAnsi="宋体" w:eastAsia="宋体" w:cs="宋体"/>
          <w:b/>
          <w:sz w:val="28"/>
          <w:szCs w:val="28"/>
        </w:rPr>
        <w:t>公资交易中心断电、断网、系统故障或其他不可抗力等因素导致不见面开标系统无法正常运行的，开标活动中止或延迟，待系统恢复正常后继续进行开标活动。</w:t>
      </w:r>
    </w:p>
    <w:p>
      <w:pPr>
        <w:pStyle w:val="80"/>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spacing w:line="600" w:lineRule="exact"/>
      </w:pPr>
      <w:bookmarkStart w:id="38" w:name="_Toc31772"/>
      <w:r>
        <w:t>成交通知书</w:t>
      </w:r>
      <w:bookmarkEnd w:id="38"/>
    </w:p>
    <w:p>
      <w:pPr>
        <w:pStyle w:val="80"/>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9" w:name="_Toc5896"/>
      <w:bookmarkStart w:id="40" w:name="_Toc287623650"/>
      <w:r>
        <w:rPr>
          <w:rFonts w:hint="eastAsia"/>
        </w:rPr>
        <w:t>签订及履行合同和验收</w:t>
      </w:r>
      <w:bookmarkEnd w:id="39"/>
    </w:p>
    <w:p>
      <w:pPr>
        <w:pStyle w:val="5"/>
        <w:spacing w:line="600" w:lineRule="exact"/>
        <w:ind w:left="807" w:leftChars="0" w:firstLineChars="0"/>
        <w:rPr>
          <w:color w:val="auto"/>
        </w:rPr>
      </w:pPr>
      <w:r>
        <w:rPr>
          <w:rFonts w:hint="eastAsia"/>
          <w:color w:val="auto"/>
        </w:rPr>
        <w:t>签订合同</w:t>
      </w:r>
      <w:bookmarkEnd w:id="40"/>
    </w:p>
    <w:p>
      <w:pPr>
        <w:widowControl w:val="0"/>
        <w:numPr>
          <w:ilvl w:val="0"/>
          <w:numId w:val="23"/>
        </w:numPr>
        <w:tabs>
          <w:tab w:val="left" w:pos="1134"/>
        </w:tabs>
        <w:spacing w:line="360" w:lineRule="auto"/>
        <w:ind w:left="0" w:firstLine="565" w:firstLineChars="202"/>
        <w:jc w:val="both"/>
        <w:rPr>
          <w:rFonts w:ascii="宋体" w:hAnsi="宋体"/>
          <w:sz w:val="28"/>
          <w:szCs w:val="28"/>
        </w:rPr>
      </w:pPr>
      <w:bookmarkStart w:id="41"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ind w:left="807" w:leftChars="0" w:firstLineChars="0"/>
        <w:rPr>
          <w:color w:val="auto"/>
        </w:rPr>
      </w:pPr>
      <w:bookmarkStart w:id="42" w:name="_Toc217446066"/>
      <w:r>
        <w:rPr>
          <w:rFonts w:hint="eastAsia"/>
          <w:color w:val="auto"/>
        </w:rPr>
        <w:t>合同分包</w:t>
      </w:r>
      <w:bookmarkEnd w:id="42"/>
      <w:r>
        <w:rPr>
          <w:rFonts w:hint="eastAsia"/>
          <w:color w:val="auto"/>
        </w:rPr>
        <w:t>和转包</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5"/>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5"/>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ind w:left="807" w:leftChars="0" w:firstLineChars="0"/>
        <w:rPr>
          <w:color w:val="auto"/>
        </w:rPr>
      </w:pPr>
      <w:bookmarkStart w:id="43" w:name="_Toc217446067"/>
      <w:r>
        <w:rPr>
          <w:rFonts w:hint="eastAsia"/>
          <w:color w:val="auto"/>
        </w:rPr>
        <w:t>采购人增加合同标的的权</w:t>
      </w:r>
      <w:bookmarkEnd w:id="43"/>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ind w:left="807" w:leftChars="0" w:firstLineChars="0"/>
        <w:rPr>
          <w:color w:val="auto"/>
        </w:rPr>
      </w:pPr>
      <w:bookmarkStart w:id="44" w:name="_Toc217446068"/>
      <w:r>
        <w:rPr>
          <w:rFonts w:hint="eastAsia"/>
          <w:color w:val="auto"/>
        </w:rPr>
        <w:t>履约保证金</w:t>
      </w:r>
      <w:bookmarkEnd w:id="44"/>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ind w:left="807" w:leftChars="0" w:firstLineChars="0"/>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ind w:left="807" w:leftChars="0" w:firstLineChars="0"/>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w:t>
      </w:r>
      <w:r>
        <w:rPr>
          <w:rFonts w:hint="eastAsia" w:ascii="宋体" w:hAnsi="宋体"/>
          <w:sz w:val="28"/>
          <w:szCs w:val="28"/>
          <w:lang w:eastAsia="zh-CN"/>
        </w:rPr>
        <w:t>郫都区</w:t>
      </w:r>
      <w:r>
        <w:rPr>
          <w:rFonts w:hint="eastAsia" w:ascii="宋体" w:hAnsi="宋体"/>
          <w:sz w:val="28"/>
          <w:szCs w:val="28"/>
        </w:rPr>
        <w:t>财政局的要求完成合同备案工作。</w:t>
      </w:r>
    </w:p>
    <w:bookmarkEnd w:id="41"/>
    <w:p>
      <w:pPr>
        <w:pStyle w:val="5"/>
        <w:spacing w:line="600" w:lineRule="exact"/>
        <w:ind w:left="807" w:leftChars="0" w:firstLineChars="0"/>
        <w:rPr>
          <w:color w:val="auto"/>
        </w:rPr>
      </w:pPr>
      <w:bookmarkStart w:id="45" w:name="_Toc217446070"/>
      <w:r>
        <w:rPr>
          <w:rFonts w:hint="eastAsia" w:cs="宋体"/>
          <w:color w:val="auto"/>
        </w:rPr>
        <w:t>履行</w:t>
      </w:r>
      <w:r>
        <w:rPr>
          <w:rFonts w:hint="eastAsia"/>
          <w:color w:val="auto"/>
        </w:rPr>
        <w:t>合同</w:t>
      </w:r>
    </w:p>
    <w:p>
      <w:pPr>
        <w:widowControl w:val="0"/>
        <w:numPr>
          <w:ilvl w:val="0"/>
          <w:numId w:val="26"/>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6"/>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ind w:left="807" w:leftChars="0" w:firstLineChars="0"/>
        <w:rPr>
          <w:color w:val="auto"/>
        </w:rPr>
      </w:pPr>
      <w:r>
        <w:rPr>
          <w:rFonts w:hint="eastAsia"/>
          <w:color w:val="auto"/>
        </w:rPr>
        <w:t>验收</w:t>
      </w:r>
      <w:bookmarkEnd w:id="45"/>
      <w:r>
        <w:rPr>
          <w:rFonts w:hint="eastAsia"/>
          <w:color w:val="auto"/>
        </w:rPr>
        <w:t>或</w:t>
      </w:r>
      <w:r>
        <w:rPr>
          <w:color w:val="auto"/>
        </w:rPr>
        <w:t>考核</w:t>
      </w:r>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ind w:left="807" w:leftChars="0" w:firstLineChars="0"/>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6" w:name="_Toc18151"/>
      <w:r>
        <w:rPr>
          <w:rFonts w:hint="eastAsia"/>
        </w:rPr>
        <w:t>询价</w:t>
      </w:r>
      <w:r>
        <w:t>采购</w:t>
      </w:r>
      <w:r>
        <w:rPr>
          <w:rFonts w:hint="eastAsia"/>
        </w:rPr>
        <w:t>工作纪律及要求</w:t>
      </w:r>
      <w:bookmarkEnd w:id="46"/>
    </w:p>
    <w:p>
      <w:pPr>
        <w:pStyle w:val="5"/>
        <w:spacing w:line="600" w:lineRule="exact"/>
        <w:ind w:left="240" w:leftChars="0" w:firstLine="0" w:firstLineChars="0"/>
        <w:rPr>
          <w:color w:val="auto"/>
        </w:rPr>
      </w:pPr>
      <w:bookmarkStart w:id="47" w:name="_Toc217446075"/>
      <w:r>
        <w:rPr>
          <w:rFonts w:hint="eastAsia"/>
          <w:color w:val="auto"/>
        </w:rPr>
        <w:t>供应商不得具有的情形</w:t>
      </w:r>
      <w:bookmarkEnd w:id="47"/>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有下列情形之一的，视为供应商串通参加本次询价采购活动：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（二）不同供应商委托同一单位或者个人办理询价采购</w:t>
      </w:r>
      <w:r>
        <w:rPr>
          <w:rFonts w:ascii="宋体" w:hAnsi="宋体"/>
          <w:sz w:val="28"/>
          <w:szCs w:val="28"/>
        </w:rPr>
        <w:t>活动</w:t>
      </w:r>
      <w:r>
        <w:rPr>
          <w:rFonts w:hint="eastAsia" w:ascii="宋体" w:hAnsi="宋体"/>
          <w:sz w:val="28"/>
          <w:szCs w:val="28"/>
        </w:rPr>
        <w:t>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（六）不同供应商的询价保证金从同一单位或者个人的账户转出；</w:t>
      </w:r>
      <w:r>
        <w:rPr>
          <w:rFonts w:ascii="宋体" w:hAnsi="宋体"/>
          <w:sz w:val="28"/>
          <w:szCs w:val="28"/>
        </w:rPr>
        <w:t xml:space="preserve"> </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区</w:t>
      </w:r>
      <w:r>
        <w:rPr>
          <w:rFonts w:hint="eastAsia" w:ascii="宋体" w:hAnsi="宋体"/>
          <w:sz w:val="28"/>
          <w:szCs w:val="28"/>
        </w:rPr>
        <w:t>公资交易中心、其他供应商恶意串通；</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区</w:t>
      </w:r>
      <w:r>
        <w:rPr>
          <w:rFonts w:hint="eastAsia" w:ascii="宋体" w:hAnsi="宋体"/>
          <w:sz w:val="28"/>
          <w:szCs w:val="28"/>
        </w:rPr>
        <w:t>公资交易中心、询价小组成员行贿或者提供其他不正当利益；</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7"/>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供应商有上述情形的，按照规定追究法律责任，具备一至十三条情形之一的，同时将认定供应商响应文件无效或不确定其为成交供应商，或者取消成交资格或认定成交无效。</w:t>
      </w:r>
    </w:p>
    <w:p>
      <w:pPr>
        <w:pStyle w:val="5"/>
        <w:spacing w:line="600" w:lineRule="exact"/>
        <w:ind w:left="240" w:leftChars="0" w:firstLine="0" w:firstLineChars="0"/>
        <w:rPr>
          <w:color w:val="auto"/>
        </w:rPr>
      </w:pPr>
      <w:bookmarkStart w:id="48" w:name="_Toc314574786"/>
      <w:r>
        <w:rPr>
          <w:rFonts w:hint="eastAsia"/>
          <w:color w:val="auto"/>
        </w:rPr>
        <w:t>保密</w:t>
      </w:r>
      <w:bookmarkEnd w:id="48"/>
    </w:p>
    <w:p>
      <w:pPr>
        <w:pStyle w:val="13"/>
        <w:numPr>
          <w:ilvl w:val="0"/>
          <w:numId w:val="28"/>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28"/>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有关响应文件的审查、澄清、评估和比较以及合同授予意向等情况都不得对外透露。</w:t>
      </w:r>
    </w:p>
    <w:p>
      <w:pPr>
        <w:pStyle w:val="5"/>
        <w:spacing w:line="600" w:lineRule="exact"/>
        <w:ind w:left="240" w:leftChars="0" w:firstLine="0" w:firstLineChars="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49" w:name="_Toc405886181"/>
      <w:bookmarkStart w:id="50" w:name="_Toc9042"/>
      <w:r>
        <w:rPr>
          <w:rFonts w:hint="eastAsia"/>
        </w:rPr>
        <w:t>询问、质疑</w:t>
      </w:r>
      <w:bookmarkEnd w:id="49"/>
      <w:r>
        <w:rPr>
          <w:rFonts w:hint="eastAsia"/>
        </w:rPr>
        <w:t>和投诉</w:t>
      </w:r>
      <w:bookmarkEnd w:id="50"/>
    </w:p>
    <w:p>
      <w:pPr>
        <w:pStyle w:val="27"/>
        <w:numPr>
          <w:ilvl w:val="0"/>
          <w:numId w:val="29"/>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供应商认为询价通知书、询价过程和成交结果使自己的合法权益受到损害的，可以依法进行质疑。</w:t>
      </w:r>
    </w:p>
    <w:p>
      <w:pPr>
        <w:pStyle w:val="80"/>
        <w:numPr>
          <w:ilvl w:val="0"/>
          <w:numId w:val="29"/>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0"/>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供应商对询价通知书中供应商参加本次政府采购活动应当具备的条件、项目技术、服务、商务及其他要求提出询问或质疑的，应通过</w:t>
      </w:r>
      <w:r>
        <w:rPr>
          <w:rFonts w:ascii="宋体" w:hAnsi="宋体"/>
          <w:sz w:val="28"/>
          <w:szCs w:val="28"/>
        </w:rPr>
        <w:t>政府采购云平台</w:t>
      </w:r>
      <w:r>
        <w:rPr>
          <w:rFonts w:hint="eastAsia" w:ascii="宋体" w:hAnsi="宋体"/>
          <w:sz w:val="28"/>
          <w:szCs w:val="28"/>
        </w:rPr>
        <w:t>向采购人提出；</w:t>
      </w:r>
    </w:p>
    <w:p>
      <w:pPr>
        <w:pStyle w:val="27"/>
        <w:numPr>
          <w:ilvl w:val="1"/>
          <w:numId w:val="30"/>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供应商对除上述询价通知书中的其他内容、采购过程及成交结果提出询问、质疑的，应通过</w:t>
      </w:r>
      <w:r>
        <w:rPr>
          <w:rFonts w:ascii="宋体" w:hAnsi="宋体"/>
          <w:sz w:val="28"/>
          <w:szCs w:val="28"/>
        </w:rPr>
        <w:t>政府采购云平台</w:t>
      </w:r>
      <w:r>
        <w:rPr>
          <w:rFonts w:hint="eastAsia" w:ascii="宋体" w:hAnsi="宋体"/>
          <w:sz w:val="28"/>
          <w:szCs w:val="28"/>
        </w:rPr>
        <w:t>向</w:t>
      </w:r>
      <w:r>
        <w:rPr>
          <w:rFonts w:hint="eastAsia" w:ascii="宋体" w:hAnsi="宋体"/>
          <w:sz w:val="28"/>
          <w:szCs w:val="28"/>
          <w:lang w:eastAsia="zh-CN"/>
        </w:rPr>
        <w:t>区</w:t>
      </w:r>
      <w:r>
        <w:rPr>
          <w:rFonts w:hint="eastAsia" w:ascii="宋体" w:hAnsi="宋体"/>
          <w:sz w:val="28"/>
          <w:szCs w:val="28"/>
        </w:rPr>
        <w:t>公资交易中心提出。</w:t>
      </w:r>
    </w:p>
    <w:p>
      <w:pPr>
        <w:pStyle w:val="27"/>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1" w:name="_Toc376425021"/>
      <w:bookmarkEnd w:id="51"/>
      <w:bookmarkStart w:id="52" w:name="_Toc3363724"/>
      <w:bookmarkStart w:id="53" w:name="_Toc16426"/>
      <w:r>
        <w:rPr>
          <w:rFonts w:hint="eastAsia"/>
        </w:rPr>
        <w:t>中小企业政府采购信用融资</w:t>
      </w:r>
      <w:bookmarkEnd w:id="52"/>
      <w:bookmarkEnd w:id="53"/>
    </w:p>
    <w:p>
      <w:pPr>
        <w:ind w:firstLine="560" w:firstLineChars="200"/>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参加本次招标活动的中小企业供应商无需提供财产抵押或第三方担保，凭借政府采购合同可向融资机构申请融资。具体内容见招标文件附件详见《成都市财政局 中国人民银行成都分行营业管理部关于印发〈成都市中小企业政府采购信用融资暂行办法〉和〈成都市级支持中小企业政府采购信用融资实施方案〉的通知》（成财采[2021]17号）。</w:t>
      </w:r>
    </w:p>
    <w:p>
      <w:pPr>
        <w:pStyle w:val="2"/>
        <w:rPr>
          <w:rFonts w:hint="eastAsia" w:ascii="宋体" w:hAnsi="宋体" w:eastAsiaTheme="minorEastAsia" w:cstheme="minorBidi"/>
          <w:kern w:val="2"/>
          <w:sz w:val="28"/>
          <w:szCs w:val="28"/>
          <w:lang w:val="en-US" w:eastAsia="zh-CN" w:bidi="ar-SA"/>
        </w:rPr>
      </w:pPr>
    </w:p>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4" w:name="_Toc12490"/>
      <w:r>
        <w:rPr>
          <w:rFonts w:hint="eastAsia"/>
        </w:rPr>
        <w:t>响应文件格式</w:t>
      </w:r>
      <w:bookmarkEnd w:id="54"/>
    </w:p>
    <w:p>
      <w:pPr>
        <w:pStyle w:val="4"/>
      </w:pPr>
      <w:bookmarkStart w:id="55" w:name="_Toc12583"/>
      <w:bookmarkStart w:id="56" w:name="_Toc448403805"/>
      <w:bookmarkStart w:id="57" w:name="_Toc320698765"/>
      <w:r>
        <w:rPr>
          <w:rFonts w:hint="eastAsia"/>
        </w:rPr>
        <w:t>响应文件格式</w:t>
      </w:r>
      <w:bookmarkEnd w:id="55"/>
    </w:p>
    <w:p>
      <w:pPr>
        <w:pStyle w:val="5"/>
        <w:tabs>
          <w:tab w:val="left" w:pos="709"/>
        </w:tabs>
        <w:ind w:left="1375" w:leftChars="0" w:hanging="1135" w:firstLineChars="0"/>
        <w:jc w:val="left"/>
        <w:rPr>
          <w:color w:val="auto"/>
        </w:rPr>
      </w:pPr>
      <w:r>
        <w:rPr>
          <w:rFonts w:hint="eastAsia"/>
          <w:color w:val="auto"/>
        </w:rPr>
        <w:t>响应文件封面格式</w:t>
      </w:r>
      <w:bookmarkEnd w:id="56"/>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w:t>
      </w:r>
      <w:r>
        <w:rPr>
          <w:rFonts w:hint="eastAsia" w:ascii="宋体" w:hAnsi="宋体"/>
          <w:b/>
          <w:bCs/>
          <w:sz w:val="32"/>
          <w:szCs w:val="32"/>
          <w:lang w:eastAsia="zh-CN"/>
        </w:rPr>
        <w:t>成都市郫都区总工会油电混动汽车采购项目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郫都政采（2021）A0058-1号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4"/>
      </w:pPr>
      <w:bookmarkStart w:id="58" w:name="_Toc583"/>
      <w:r>
        <w:rPr>
          <w:rFonts w:hint="eastAsia"/>
        </w:rPr>
        <w:t>资格响应文件</w:t>
      </w:r>
      <w:bookmarkEnd w:id="58"/>
    </w:p>
    <w:p>
      <w:pPr>
        <w:pStyle w:val="5"/>
        <w:tabs>
          <w:tab w:val="left" w:pos="709"/>
        </w:tabs>
        <w:ind w:left="1375" w:leftChars="0" w:hanging="1135" w:firstLineChars="0"/>
        <w:jc w:val="left"/>
        <w:rPr>
          <w:color w:val="auto"/>
        </w:rPr>
      </w:pPr>
      <w:r>
        <w:rPr>
          <w:rFonts w:hint="eastAsia"/>
          <w:color w:val="auto"/>
        </w:rPr>
        <w:t>供应商资格</w:t>
      </w:r>
      <w:r>
        <w:rPr>
          <w:color w:val="auto"/>
        </w:rPr>
        <w:t>申明的函</w:t>
      </w:r>
    </w:p>
    <w:p>
      <w:pPr>
        <w:snapToGrid w:val="0"/>
        <w:spacing w:line="620" w:lineRule="exact"/>
        <w:rPr>
          <w:rFonts w:ascii="宋体" w:hAnsi="宋体"/>
          <w:sz w:val="28"/>
          <w:szCs w:val="28"/>
        </w:rPr>
      </w:pPr>
      <w:bookmarkStart w:id="59" w:name="_Toc238581782"/>
      <w:bookmarkStart w:id="60" w:name="_Toc52184753"/>
      <w:bookmarkStart w:id="61" w:name="_Toc119296788"/>
      <w:bookmarkStart w:id="62" w:name="_Toc119295087"/>
      <w:bookmarkStart w:id="63" w:name="_Toc146903609"/>
      <w:bookmarkStart w:id="64" w:name="_Toc119203988"/>
      <w:r>
        <w:rPr>
          <w:rFonts w:hint="eastAsia" w:ascii="宋体" w:hAnsi="宋体"/>
          <w:sz w:val="28"/>
          <w:szCs w:val="28"/>
        </w:rPr>
        <w:t>成都市</w:t>
      </w:r>
      <w:r>
        <w:rPr>
          <w:rFonts w:hint="eastAsia" w:ascii="宋体" w:hAnsi="宋体"/>
          <w:sz w:val="28"/>
          <w:szCs w:val="28"/>
          <w:lang w:eastAsia="zh-CN"/>
        </w:rPr>
        <w:t>温江区</w:t>
      </w:r>
      <w:r>
        <w:rPr>
          <w:rFonts w:hint="eastAsia" w:ascii="宋体" w:hAnsi="宋体"/>
          <w:sz w:val="28"/>
          <w:szCs w:val="28"/>
        </w:rPr>
        <w:t>公共资源交易服务中心</w:t>
      </w:r>
      <w:bookmarkEnd w:id="59"/>
      <w:r>
        <w:rPr>
          <w:rFonts w:hint="eastAsia" w:ascii="宋体" w:hAnsi="宋体"/>
          <w:sz w:val="28"/>
          <w:szCs w:val="28"/>
        </w:rPr>
        <w:t>：</w:t>
      </w:r>
    </w:p>
    <w:p>
      <w:pPr>
        <w:spacing w:line="360" w:lineRule="auto"/>
        <w:ind w:firstLine="560" w:firstLineChars="200"/>
        <w:rPr>
          <w:rFonts w:ascii="宋体" w:hAnsi="宋体"/>
          <w:b/>
          <w:sz w:val="28"/>
          <w:szCs w:val="28"/>
          <w:u w:val="single"/>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lang w:eastAsia="zh-CN"/>
        </w:rPr>
        <w:t>成都市郫都区总工会油电混动汽车采购项目</w:t>
      </w:r>
      <w:r>
        <w:rPr>
          <w:rFonts w:hint="eastAsia" w:ascii="宋体" w:hAnsi="宋体"/>
          <w:b/>
          <w:bCs/>
          <w:sz w:val="28"/>
          <w:szCs w:val="28"/>
          <w:u w:val="single"/>
        </w:rPr>
        <w:t>”（项目编号：</w:t>
      </w:r>
      <w:r>
        <w:rPr>
          <w:rFonts w:hint="eastAsia" w:ascii="宋体" w:hAnsi="宋体"/>
          <w:b/>
          <w:bCs/>
          <w:sz w:val="28"/>
          <w:szCs w:val="28"/>
          <w:u w:val="single"/>
          <w:lang w:eastAsia="zh-CN"/>
        </w:rPr>
        <w:t>郫都政采（2021）A0058-1号</w:t>
      </w:r>
      <w:r>
        <w:rPr>
          <w:rFonts w:hint="eastAsia" w:ascii="宋体" w:hAnsi="宋体"/>
          <w:b/>
          <w:bCs/>
          <w:sz w:val="28"/>
          <w:szCs w:val="28"/>
          <w:u w:val="single"/>
        </w:rPr>
        <w:t>）</w:t>
      </w:r>
      <w:r>
        <w:rPr>
          <w:rFonts w:hint="eastAsia" w:ascii="宋体" w:hAnsi="宋体"/>
          <w:bCs/>
          <w:sz w:val="28"/>
          <w:szCs w:val="28"/>
        </w:rPr>
        <w:t>的询价通知书，决定参加贵单位组织的本项目的询价采购活动。</w:t>
      </w:r>
      <w:r>
        <w:rPr>
          <w:rFonts w:hint="eastAsia" w:ascii="宋体" w:hAnsi="宋体"/>
          <w:sz w:val="28"/>
          <w:szCs w:val="28"/>
        </w:rPr>
        <w:t>提交的下列文件和说明是准确的和真实的。</w:t>
      </w:r>
    </w:p>
    <w:p>
      <w:pPr>
        <w:widowControl w:val="0"/>
        <w:numPr>
          <w:ilvl w:val="0"/>
          <w:numId w:val="32"/>
        </w:numPr>
        <w:tabs>
          <w:tab w:val="left" w:pos="1134"/>
        </w:tabs>
        <w:spacing w:line="360" w:lineRule="auto"/>
        <w:jc w:val="both"/>
        <w:rPr>
          <w:rFonts w:ascii="宋体" w:hAnsi="宋体"/>
          <w:sz w:val="28"/>
          <w:szCs w:val="28"/>
          <w:u w:val="single"/>
        </w:rPr>
      </w:pPr>
      <w:r>
        <w:rPr>
          <w:rFonts w:hint="eastAsia" w:ascii="宋体" w:hAnsi="宋体"/>
          <w:sz w:val="28"/>
          <w:szCs w:val="28"/>
        </w:rPr>
        <w:t>供应商名称及概况：</w:t>
      </w:r>
    </w:p>
    <w:p>
      <w:pPr>
        <w:numPr>
          <w:ilvl w:val="0"/>
          <w:numId w:val="33"/>
        </w:numPr>
        <w:spacing w:line="500" w:lineRule="exact"/>
        <w:ind w:left="0"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rPr>
        <w:t>XX</w:t>
      </w:r>
    </w:p>
    <w:p>
      <w:pPr>
        <w:numPr>
          <w:ilvl w:val="0"/>
          <w:numId w:val="33"/>
        </w:numPr>
        <w:spacing w:line="500" w:lineRule="exact"/>
        <w:ind w:left="0" w:firstLine="560" w:firstLineChars="200"/>
        <w:rPr>
          <w:rFonts w:ascii="宋体" w:hAnsi="宋体"/>
          <w:sz w:val="28"/>
          <w:szCs w:val="28"/>
        </w:rPr>
      </w:pPr>
      <w:r>
        <w:rPr>
          <w:rFonts w:hint="eastAsia" w:ascii="宋体" w:hAnsi="宋体"/>
          <w:sz w:val="28"/>
          <w:szCs w:val="28"/>
        </w:rPr>
        <w:t>地址：</w:t>
      </w:r>
      <w:r>
        <w:rPr>
          <w:rFonts w:ascii="宋体" w:hAnsi="宋体"/>
          <w:sz w:val="28"/>
          <w:szCs w:val="28"/>
        </w:rPr>
        <w:t xml:space="preserve">XX           </w:t>
      </w:r>
      <w:r>
        <w:rPr>
          <w:rFonts w:hint="eastAsia" w:ascii="宋体" w:hAnsi="宋体"/>
          <w:sz w:val="28"/>
          <w:szCs w:val="28"/>
        </w:rPr>
        <w:t>邮编：</w:t>
      </w:r>
      <w:r>
        <w:rPr>
          <w:rFonts w:ascii="宋体" w:hAnsi="宋体"/>
          <w:sz w:val="28"/>
          <w:szCs w:val="28"/>
        </w:rPr>
        <w:t>XX</w:t>
      </w:r>
    </w:p>
    <w:p>
      <w:pPr>
        <w:spacing w:line="500" w:lineRule="exact"/>
        <w:ind w:left="641" w:leftChars="267" w:firstLine="700" w:firstLineChars="250"/>
        <w:rPr>
          <w:rFonts w:ascii="宋体" w:hAnsi="宋体"/>
          <w:sz w:val="28"/>
          <w:szCs w:val="28"/>
          <w:u w:val="single"/>
        </w:rPr>
      </w:pPr>
      <w:r>
        <w:rPr>
          <w:rFonts w:hint="eastAsia" w:ascii="宋体" w:hAnsi="宋体"/>
          <w:sz w:val="28"/>
          <w:szCs w:val="28"/>
        </w:rPr>
        <w:t>传真</w:t>
      </w:r>
      <w:r>
        <w:rPr>
          <w:rFonts w:ascii="宋体" w:hAnsi="宋体"/>
          <w:sz w:val="28"/>
          <w:szCs w:val="28"/>
        </w:rPr>
        <w:t>/电话：XX</w:t>
      </w:r>
    </w:p>
    <w:p>
      <w:pPr>
        <w:numPr>
          <w:ilvl w:val="0"/>
          <w:numId w:val="33"/>
        </w:numPr>
        <w:spacing w:line="500" w:lineRule="exact"/>
        <w:ind w:left="0" w:firstLine="560" w:firstLineChars="200"/>
        <w:rPr>
          <w:rFonts w:ascii="宋体" w:hAnsi="宋体"/>
          <w:sz w:val="28"/>
          <w:szCs w:val="28"/>
        </w:rPr>
      </w:pPr>
      <w:r>
        <w:rPr>
          <w:rFonts w:hint="eastAsia" w:ascii="宋体" w:hAnsi="宋体"/>
          <w:sz w:val="28"/>
          <w:szCs w:val="28"/>
        </w:rPr>
        <w:t>成立日期或注册日期：</w:t>
      </w:r>
      <w:r>
        <w:rPr>
          <w:rFonts w:ascii="宋体" w:hAnsi="宋体"/>
          <w:sz w:val="28"/>
          <w:szCs w:val="28"/>
        </w:rPr>
        <w:t>XX</w:t>
      </w:r>
    </w:p>
    <w:p>
      <w:pPr>
        <w:numPr>
          <w:ilvl w:val="0"/>
          <w:numId w:val="33"/>
        </w:numPr>
        <w:spacing w:line="500" w:lineRule="exact"/>
        <w:ind w:left="0" w:firstLine="560" w:firstLineChars="200"/>
        <w:rPr>
          <w:rFonts w:ascii="宋体" w:hAnsi="宋体"/>
          <w:sz w:val="28"/>
          <w:szCs w:val="28"/>
          <w:u w:val="single"/>
        </w:rPr>
      </w:pPr>
      <w:r>
        <w:rPr>
          <w:rFonts w:hint="eastAsia" w:ascii="宋体" w:hAnsi="宋体"/>
          <w:sz w:val="28"/>
          <w:szCs w:val="28"/>
        </w:rPr>
        <w:t>法定代表人姓名：</w:t>
      </w:r>
      <w:r>
        <w:rPr>
          <w:rFonts w:ascii="宋体" w:hAnsi="宋体"/>
          <w:sz w:val="28"/>
          <w:szCs w:val="28"/>
        </w:rPr>
        <w:t>XX</w:t>
      </w:r>
    </w:p>
    <w:p>
      <w:pPr>
        <w:widowControl w:val="0"/>
        <w:numPr>
          <w:ilvl w:val="0"/>
          <w:numId w:val="32"/>
        </w:numPr>
        <w:tabs>
          <w:tab w:val="left" w:pos="1134"/>
        </w:tabs>
        <w:spacing w:line="360" w:lineRule="auto"/>
        <w:jc w:val="both"/>
        <w:rPr>
          <w:rFonts w:ascii="宋体" w:hAnsi="宋体"/>
          <w:sz w:val="28"/>
          <w:szCs w:val="28"/>
        </w:rPr>
      </w:pPr>
      <w:r>
        <w:rPr>
          <w:rFonts w:hint="eastAsia" w:ascii="宋体" w:hAnsi="宋体"/>
          <w:sz w:val="28"/>
          <w:szCs w:val="28"/>
        </w:rPr>
        <w:t>开户银行名称：</w:t>
      </w:r>
      <w:r>
        <w:rPr>
          <w:rFonts w:ascii="宋体" w:hAnsi="宋体"/>
          <w:sz w:val="28"/>
          <w:szCs w:val="28"/>
        </w:rPr>
        <w:t>XX</w:t>
      </w:r>
    </w:p>
    <w:p>
      <w:pPr>
        <w:spacing w:line="500" w:lineRule="exact"/>
        <w:ind w:firstLine="1260" w:firstLineChars="450"/>
        <w:rPr>
          <w:rFonts w:ascii="宋体" w:hAnsi="宋体"/>
          <w:sz w:val="28"/>
          <w:szCs w:val="28"/>
          <w:u w:val="single"/>
        </w:rPr>
      </w:pPr>
      <w:r>
        <w:rPr>
          <w:rFonts w:hint="eastAsia" w:ascii="宋体" w:hAnsi="宋体"/>
          <w:sz w:val="28"/>
          <w:szCs w:val="28"/>
        </w:rPr>
        <w:t>地址：</w:t>
      </w:r>
      <w:r>
        <w:rPr>
          <w:rFonts w:ascii="宋体" w:hAnsi="宋体"/>
          <w:sz w:val="28"/>
          <w:szCs w:val="28"/>
        </w:rPr>
        <w:t>XX</w:t>
      </w:r>
    </w:p>
    <w:p>
      <w:pPr>
        <w:spacing w:line="500" w:lineRule="exact"/>
        <w:ind w:firstLine="1260" w:firstLineChars="450"/>
        <w:rPr>
          <w:rFonts w:ascii="宋体" w:hAnsi="宋体"/>
          <w:sz w:val="28"/>
          <w:szCs w:val="28"/>
        </w:rPr>
      </w:pPr>
      <w:r>
        <w:rPr>
          <w:rFonts w:hint="eastAsia" w:ascii="宋体" w:hAnsi="宋体"/>
          <w:sz w:val="28"/>
          <w:szCs w:val="28"/>
        </w:rPr>
        <w:t>账号：</w:t>
      </w:r>
      <w:r>
        <w:rPr>
          <w:rFonts w:ascii="宋体" w:hAnsi="宋体"/>
          <w:sz w:val="28"/>
          <w:szCs w:val="28"/>
        </w:rPr>
        <w:t>XX</w:t>
      </w: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r>
        <w:rPr>
          <w:rFonts w:hint="eastAsia" w:ascii="宋体" w:hAnsi="宋体"/>
          <w:bCs/>
          <w:sz w:val="28"/>
          <w:szCs w:val="28"/>
        </w:rPr>
        <w:t>供应商名称：</w:t>
      </w:r>
      <w:r>
        <w:rPr>
          <w:rFonts w:ascii="宋体" w:hAnsi="宋体"/>
          <w:sz w:val="28"/>
          <w:szCs w:val="28"/>
          <w:u w:val="single"/>
        </w:rPr>
        <w:t>XXXXXX</w:t>
      </w:r>
    </w:p>
    <w:p>
      <w:pPr>
        <w:pStyle w:val="27"/>
        <w:snapToGrid w:val="0"/>
        <w:spacing w:line="620" w:lineRule="exact"/>
        <w:ind w:firstLine="560" w:firstLineChars="200"/>
        <w:rPr>
          <w:rFonts w:ascii="宋体" w:hAnsi="宋体"/>
          <w:sz w:val="28"/>
          <w:szCs w:val="28"/>
          <w:u w:val="single"/>
        </w:rPr>
      </w:pPr>
      <w:r>
        <w:rPr>
          <w:rFonts w:hint="eastAsia" w:ascii="宋体" w:hAnsi="宋体"/>
          <w:sz w:val="28"/>
          <w:szCs w:val="28"/>
        </w:rPr>
        <w:t>日期：</w:t>
      </w:r>
      <w:r>
        <w:rPr>
          <w:rFonts w:ascii="宋体" w:hAnsi="宋体"/>
          <w:sz w:val="28"/>
          <w:szCs w:val="28"/>
          <w:u w:val="single"/>
        </w:rPr>
        <w:t>202X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bookmarkEnd w:id="60"/>
    <w:bookmarkEnd w:id="61"/>
    <w:bookmarkEnd w:id="62"/>
    <w:bookmarkEnd w:id="63"/>
    <w:bookmarkEnd w:id="64"/>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tabs>
          <w:tab w:val="left" w:pos="709"/>
        </w:tabs>
        <w:ind w:left="1375" w:leftChars="0" w:hanging="1135" w:firstLineChars="0"/>
        <w:jc w:val="left"/>
        <w:rPr>
          <w:color w:val="auto"/>
        </w:rPr>
      </w:pPr>
      <w:r>
        <w:rPr>
          <w:rFonts w:hint="eastAsia"/>
          <w:color w:val="auto"/>
        </w:rPr>
        <w:t>声明</w:t>
      </w:r>
    </w:p>
    <w:p>
      <w:pPr>
        <w:spacing w:line="360" w:lineRule="auto"/>
        <w:rPr>
          <w:rFonts w:ascii="宋体" w:hAnsi="宋体"/>
          <w:b/>
          <w:sz w:val="28"/>
          <w:szCs w:val="28"/>
        </w:rPr>
      </w:pPr>
      <w:r>
        <w:rPr>
          <w:rFonts w:hint="eastAsia" w:ascii="宋体" w:hAnsi="宋体"/>
          <w:b/>
          <w:sz w:val="28"/>
          <w:szCs w:val="28"/>
        </w:rPr>
        <w:t>致：成都</w:t>
      </w:r>
      <w:r>
        <w:rPr>
          <w:rFonts w:hint="eastAsia" w:ascii="宋体" w:hAnsi="宋体"/>
          <w:b/>
          <w:sz w:val="28"/>
          <w:szCs w:val="28"/>
          <w:lang w:eastAsia="zh-CN"/>
        </w:rPr>
        <w:t>温江区</w:t>
      </w:r>
      <w:r>
        <w:rPr>
          <w:rFonts w:hint="eastAsia" w:ascii="宋体" w:hAnsi="宋体"/>
          <w:b/>
          <w:sz w:val="28"/>
          <w:szCs w:val="28"/>
        </w:rPr>
        <w:t>公共资源交易服务中心</w:t>
      </w:r>
    </w:p>
    <w:p>
      <w:pPr>
        <w:spacing w:line="600" w:lineRule="exact"/>
        <w:ind w:firstLine="560" w:firstLineChars="200"/>
        <w:rPr>
          <w:rFonts w:ascii="宋体" w:hAnsi="宋体"/>
          <w:highlight w:val="none"/>
        </w:rPr>
      </w:pPr>
      <w:r>
        <w:rPr>
          <w:rFonts w:hint="eastAsia" w:ascii="宋体" w:hAnsi="宋体"/>
          <w:sz w:val="28"/>
        </w:rPr>
        <w:t>我单位作为</w:t>
      </w:r>
      <w:r>
        <w:rPr>
          <w:rFonts w:hint="eastAsia" w:ascii="宋体" w:hAnsi="宋体"/>
          <w:b/>
          <w:sz w:val="28"/>
          <w:szCs w:val="28"/>
          <w:lang w:eastAsia="zh-CN"/>
        </w:rPr>
        <w:t>成都市郫都区总工会油电混动汽车采购项目</w:t>
      </w:r>
      <w:r>
        <w:rPr>
          <w:rFonts w:hint="eastAsia" w:ascii="宋体" w:hAnsi="宋体"/>
          <w:sz w:val="28"/>
        </w:rPr>
        <w:t>的供应商，在此郑重</w:t>
      </w:r>
      <w:r>
        <w:rPr>
          <w:rFonts w:hint="eastAsia" w:ascii="宋体" w:hAnsi="宋体"/>
          <w:sz w:val="28"/>
          <w:highlight w:val="none"/>
        </w:rPr>
        <w:t>声明：</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一、我</w:t>
      </w:r>
      <w:r>
        <w:rPr>
          <w:rFonts w:hint="eastAsia" w:ascii="宋体" w:hAnsi="宋体"/>
          <w:sz w:val="28"/>
          <w:highlight w:val="none"/>
        </w:rPr>
        <w:t>单位</w:t>
      </w:r>
      <w:r>
        <w:rPr>
          <w:rFonts w:hint="eastAsia" w:ascii="宋体" w:hAnsi="宋体"/>
          <w:sz w:val="28"/>
          <w:szCs w:val="28"/>
          <w:highlight w:val="none"/>
        </w:rPr>
        <w:t>参加政府采购活动前三年内，在经营活动中</w:t>
      </w:r>
      <w:r>
        <w:rPr>
          <w:rFonts w:hint="eastAsia" w:ascii="宋体" w:hAnsi="宋体"/>
          <w:b/>
          <w:sz w:val="28"/>
          <w:szCs w:val="28"/>
          <w:highlight w:val="none"/>
          <w:u w:val="single"/>
        </w:rPr>
        <w:t>（说明：填写“无”或“有”</w:t>
      </w:r>
      <w:r>
        <w:rPr>
          <w:rFonts w:hint="eastAsia" w:ascii="宋体" w:hAnsi="宋体"/>
          <w:sz w:val="28"/>
          <w:szCs w:val="28"/>
          <w:highlight w:val="none"/>
          <w:u w:val="single"/>
        </w:rPr>
        <w:t>）</w:t>
      </w:r>
      <w:r>
        <w:rPr>
          <w:rFonts w:hint="eastAsia" w:ascii="宋体" w:hAnsi="宋体"/>
          <w:sz w:val="28"/>
          <w:szCs w:val="28"/>
          <w:highlight w:val="none"/>
        </w:rPr>
        <w:t>重大违法记录。</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二、我</w:t>
      </w:r>
      <w:r>
        <w:rPr>
          <w:rFonts w:hint="eastAsia" w:ascii="宋体" w:hAnsi="宋体"/>
          <w:sz w:val="28"/>
          <w:highlight w:val="none"/>
        </w:rPr>
        <w:t>单位</w:t>
      </w:r>
      <w:r>
        <w:rPr>
          <w:rFonts w:hint="eastAsia" w:ascii="宋体" w:hAnsi="宋体"/>
          <w:b/>
          <w:sz w:val="28"/>
          <w:szCs w:val="28"/>
          <w:highlight w:val="none"/>
          <w:u w:val="single"/>
        </w:rPr>
        <w:t>（说明：填写“具有”或“不具有”</w:t>
      </w:r>
      <w:r>
        <w:rPr>
          <w:rFonts w:hint="eastAsia" w:ascii="宋体" w:hAnsi="宋体"/>
          <w:sz w:val="28"/>
          <w:szCs w:val="28"/>
          <w:highlight w:val="none"/>
          <w:u w:val="single"/>
        </w:rPr>
        <w:t>）</w:t>
      </w:r>
      <w:r>
        <w:rPr>
          <w:rFonts w:hint="eastAsia" w:ascii="宋体" w:hAnsi="宋体"/>
          <w:sz w:val="28"/>
          <w:szCs w:val="28"/>
          <w:highlight w:val="none"/>
        </w:rPr>
        <w:t>良好的商业信誉。</w:t>
      </w:r>
    </w:p>
    <w:p>
      <w:pPr>
        <w:spacing w:line="360" w:lineRule="auto"/>
        <w:ind w:firstLine="560" w:firstLineChars="200"/>
        <w:rPr>
          <w:rFonts w:ascii="宋体" w:hAnsi="宋体"/>
          <w:b/>
          <w:sz w:val="28"/>
          <w:szCs w:val="28"/>
          <w:highlight w:val="none"/>
        </w:rPr>
      </w:pPr>
      <w:r>
        <w:rPr>
          <w:rFonts w:hint="eastAsia" w:ascii="宋体" w:hAnsi="宋体"/>
          <w:sz w:val="28"/>
          <w:szCs w:val="28"/>
          <w:highlight w:val="none"/>
        </w:rPr>
        <w:t>三、与我</w:t>
      </w:r>
      <w:r>
        <w:rPr>
          <w:rFonts w:hint="eastAsia" w:ascii="宋体" w:hAnsi="宋体"/>
          <w:sz w:val="28"/>
          <w:highlight w:val="none"/>
        </w:rPr>
        <w:t>单位</w:t>
      </w:r>
      <w:r>
        <w:rPr>
          <w:rFonts w:hint="eastAsia" w:ascii="宋体" w:hAnsi="宋体"/>
          <w:sz w:val="28"/>
          <w:szCs w:val="28"/>
          <w:highlight w:val="none"/>
        </w:rPr>
        <w:t>存在单位负责人为同一人、直接控股、管理关系的相关供应商：</w:t>
      </w:r>
      <w:r>
        <w:rPr>
          <w:rFonts w:hint="eastAsia" w:ascii="宋体" w:hAnsi="宋体"/>
          <w:b/>
          <w:sz w:val="28"/>
          <w:szCs w:val="28"/>
          <w:highlight w:val="none"/>
          <w:u w:val="single"/>
        </w:rPr>
        <w:t>（说明：填写“无”或“（一）供应商名称１；（二）供应商名称２ ；（三）……”）</w:t>
      </w:r>
      <w:r>
        <w:rPr>
          <w:rFonts w:hint="eastAsia" w:ascii="宋体" w:hAnsi="宋体"/>
          <w:b/>
          <w:sz w:val="28"/>
          <w:szCs w:val="28"/>
          <w:highlight w:val="none"/>
        </w:rPr>
        <w:t>。</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四、在行贿犯罪信息查询期限内，我单位及我单位现任法定代表人、主要负责人</w:t>
      </w:r>
      <w:r>
        <w:rPr>
          <w:rFonts w:hint="eastAsia" w:ascii="宋体" w:hAnsi="宋体"/>
          <w:b/>
          <w:sz w:val="28"/>
          <w:szCs w:val="28"/>
          <w:highlight w:val="none"/>
          <w:u w:val="single"/>
        </w:rPr>
        <w:t>（说明：填写“没有”或“有”）</w:t>
      </w:r>
      <w:r>
        <w:rPr>
          <w:rFonts w:hint="eastAsia" w:ascii="宋体" w:hAnsi="宋体"/>
          <w:sz w:val="28"/>
          <w:szCs w:val="28"/>
          <w:highlight w:val="none"/>
        </w:rPr>
        <w:t>行贿犯罪记录。</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五、我单位</w:t>
      </w:r>
      <w:r>
        <w:rPr>
          <w:rFonts w:hint="eastAsia" w:ascii="宋体" w:hAnsi="宋体"/>
          <w:b/>
          <w:sz w:val="28"/>
          <w:szCs w:val="28"/>
          <w:highlight w:val="none"/>
          <w:u w:val="single"/>
        </w:rPr>
        <w:t>（说明：填写“未列入”或“被列入”</w:t>
      </w:r>
      <w:r>
        <w:rPr>
          <w:rFonts w:hint="eastAsia" w:ascii="宋体" w:hAnsi="宋体"/>
          <w:sz w:val="28"/>
          <w:szCs w:val="28"/>
          <w:highlight w:val="none"/>
          <w:u w:val="single"/>
        </w:rPr>
        <w:t>）</w:t>
      </w:r>
      <w:r>
        <w:rPr>
          <w:rFonts w:hint="eastAsia" w:ascii="宋体" w:hAnsi="宋体"/>
          <w:sz w:val="28"/>
          <w:szCs w:val="28"/>
          <w:highlight w:val="none"/>
        </w:rPr>
        <w:t>失信被执行人、重大税收违法案件当事人名单。</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lang w:val="en-US" w:eastAsia="zh-CN"/>
        </w:rPr>
        <w:t>六、</w:t>
      </w:r>
      <w:r>
        <w:rPr>
          <w:rFonts w:hint="eastAsia" w:ascii="宋体" w:hAnsi="宋体"/>
          <w:sz w:val="28"/>
          <w:szCs w:val="28"/>
          <w:highlight w:val="none"/>
        </w:rPr>
        <w:t>我单位</w:t>
      </w:r>
      <w:r>
        <w:rPr>
          <w:rFonts w:hint="eastAsia" w:ascii="宋体" w:hAnsi="宋体"/>
          <w:b/>
          <w:sz w:val="28"/>
          <w:szCs w:val="28"/>
          <w:highlight w:val="none"/>
          <w:u w:val="single"/>
        </w:rPr>
        <w:t>（说明：填写“未列入”或“被列入”</w:t>
      </w:r>
      <w:r>
        <w:rPr>
          <w:rFonts w:hint="eastAsia" w:ascii="宋体" w:hAnsi="宋体"/>
          <w:sz w:val="28"/>
          <w:szCs w:val="28"/>
          <w:highlight w:val="none"/>
          <w:u w:val="single"/>
        </w:rPr>
        <w:t>）</w:t>
      </w:r>
      <w:r>
        <w:rPr>
          <w:rFonts w:hint="eastAsia" w:ascii="宋体" w:hAnsi="宋体"/>
          <w:sz w:val="28"/>
          <w:szCs w:val="28"/>
          <w:highlight w:val="none"/>
        </w:rPr>
        <w:t>政府采购严重违法失信行为记录名单。</w:t>
      </w:r>
    </w:p>
    <w:p>
      <w:pPr>
        <w:numPr>
          <w:ilvl w:val="0"/>
          <w:numId w:val="0"/>
        </w:numPr>
        <w:spacing w:line="360" w:lineRule="auto"/>
        <w:ind w:firstLine="560" w:firstLineChars="200"/>
        <w:rPr>
          <w:rFonts w:hint="eastAsia" w:ascii="宋体" w:hAnsi="宋体"/>
          <w:sz w:val="28"/>
          <w:szCs w:val="28"/>
          <w:highlight w:val="none"/>
        </w:rPr>
      </w:pPr>
      <w:r>
        <w:rPr>
          <w:rFonts w:hint="eastAsia" w:ascii="宋体" w:hAnsi="宋体"/>
          <w:sz w:val="28"/>
          <w:szCs w:val="28"/>
          <w:highlight w:val="none"/>
          <w:lang w:val="en-US" w:eastAsia="zh-CN"/>
        </w:rPr>
        <w:t>七、</w:t>
      </w:r>
      <w:r>
        <w:rPr>
          <w:rFonts w:hint="eastAsia" w:ascii="宋体" w:hAnsi="宋体"/>
          <w:sz w:val="28"/>
          <w:szCs w:val="28"/>
          <w:highlight w:val="none"/>
        </w:rPr>
        <w:t>我单位</w:t>
      </w:r>
      <w:r>
        <w:rPr>
          <w:rFonts w:hint="eastAsia" w:ascii="宋体" w:hAnsi="宋体"/>
          <w:b/>
          <w:sz w:val="28"/>
          <w:szCs w:val="28"/>
          <w:highlight w:val="none"/>
          <w:u w:val="single"/>
        </w:rPr>
        <w:t>（说明：填写“未处于”或“处于”）</w:t>
      </w:r>
      <w:r>
        <w:rPr>
          <w:rFonts w:hint="eastAsia" w:ascii="宋体" w:hAnsi="宋体"/>
          <w:bCs/>
          <w:sz w:val="28"/>
          <w:szCs w:val="28"/>
          <w:highlight w:val="none"/>
        </w:rPr>
        <w:t>被行政部门禁止参与政府采购活动的期限内</w:t>
      </w:r>
      <w:r>
        <w:rPr>
          <w:rFonts w:hint="eastAsia" w:ascii="宋体" w:hAnsi="宋体"/>
          <w:sz w:val="28"/>
          <w:szCs w:val="28"/>
          <w:highlight w:val="none"/>
        </w:rPr>
        <w:t>。</w:t>
      </w:r>
    </w:p>
    <w:p>
      <w:pPr>
        <w:spacing w:line="360" w:lineRule="auto"/>
        <w:ind w:firstLine="480" w:firstLineChars="200"/>
        <w:rPr>
          <w:rFonts w:hint="eastAsia" w:ascii="宋体" w:hAnsi="宋体"/>
          <w:sz w:val="28"/>
          <w:highlight w:val="none"/>
        </w:rPr>
      </w:pPr>
      <w:r>
        <w:rPr>
          <w:rFonts w:hint="eastAsia" w:ascii="宋体" w:hAnsi="宋体"/>
          <w:highlight w:val="none"/>
          <w:lang w:val="en-US" w:eastAsia="zh-CN"/>
        </w:rPr>
        <w:t xml:space="preserve">  八、</w:t>
      </w:r>
      <w:r>
        <w:rPr>
          <w:rFonts w:hint="eastAsia" w:ascii="宋体" w:hAnsi="宋体"/>
          <w:sz w:val="28"/>
          <w:highlight w:val="none"/>
        </w:rPr>
        <w:t>我单位</w:t>
      </w:r>
      <w:r>
        <w:rPr>
          <w:rFonts w:hint="eastAsia" w:ascii="宋体" w:hAnsi="宋体"/>
          <w:b/>
          <w:sz w:val="28"/>
          <w:highlight w:val="none"/>
          <w:u w:val="single"/>
        </w:rPr>
        <w:t>（说明：填写“具有”或“不具有”）</w:t>
      </w:r>
      <w:r>
        <w:rPr>
          <w:rFonts w:hint="eastAsia" w:ascii="宋体" w:hAnsi="宋体"/>
          <w:sz w:val="28"/>
          <w:highlight w:val="none"/>
        </w:rPr>
        <w:t>健全的</w:t>
      </w:r>
      <w:r>
        <w:rPr>
          <w:rFonts w:ascii="宋体" w:hAnsi="宋体"/>
          <w:sz w:val="28"/>
          <w:highlight w:val="none"/>
        </w:rPr>
        <w:t>财务会计制度</w:t>
      </w:r>
      <w:r>
        <w:rPr>
          <w:rFonts w:hint="eastAsia" w:ascii="宋体" w:hAnsi="宋体"/>
          <w:sz w:val="28"/>
          <w:highlight w:val="none"/>
        </w:rPr>
        <w:t>。</w:t>
      </w:r>
    </w:p>
    <w:p>
      <w:pPr>
        <w:pStyle w:val="2"/>
        <w:ind w:firstLine="560" w:firstLineChars="200"/>
        <w:rPr>
          <w:rFonts w:ascii="宋体" w:hAnsi="宋体"/>
          <w:bCs/>
          <w:sz w:val="28"/>
          <w:szCs w:val="28"/>
        </w:rPr>
      </w:pPr>
      <w:r>
        <w:rPr>
          <w:rFonts w:hint="eastAsia" w:ascii="宋体" w:hAnsi="宋体"/>
          <w:bCs/>
          <w:sz w:val="28"/>
          <w:szCs w:val="28"/>
        </w:rPr>
        <w:t>九、我单位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2"/>
        <w:ind w:firstLine="560" w:firstLineChars="200"/>
        <w:rPr>
          <w:rFonts w:ascii="宋体" w:hAnsi="宋体"/>
          <w:bCs/>
          <w:sz w:val="28"/>
          <w:szCs w:val="28"/>
        </w:rPr>
      </w:pPr>
      <w:r>
        <w:rPr>
          <w:rFonts w:hint="eastAsia" w:ascii="宋体" w:hAnsi="宋体"/>
          <w:bCs/>
          <w:sz w:val="28"/>
          <w:szCs w:val="28"/>
        </w:rPr>
        <w:t>十</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pStyle w:val="2"/>
      </w:pPr>
    </w:p>
    <w:p>
      <w:pPr>
        <w:rPr>
          <w:rFonts w:hint="default" w:ascii="宋体" w:hAnsi="宋体" w:eastAsia="宋体"/>
          <w:lang w:val="en-US" w:eastAsia="zh-CN"/>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1.对声明中第一条的说明：如供应商在参加政府采购活动前三年内，在经营活动中有重大违法记录的，应填写“有”，供应商将被认定响应无效或被取消成交资格。</w:t>
      </w:r>
      <w:r>
        <w:rPr>
          <w:rFonts w:ascii="宋体" w:hAnsi="宋体"/>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将被认定响应无效或被取消成交资格；</w:t>
      </w:r>
    </w:p>
    <w:p>
      <w:pPr>
        <w:tabs>
          <w:tab w:val="left" w:pos="1260"/>
        </w:tabs>
        <w:spacing w:line="560" w:lineRule="exact"/>
        <w:ind w:firstLine="560" w:firstLineChars="200"/>
        <w:rPr>
          <w:rFonts w:hint="eastAsia" w:ascii="宋体" w:hAnsi="宋体"/>
          <w:sz w:val="28"/>
          <w:szCs w:val="28"/>
        </w:rPr>
      </w:pPr>
      <w:r>
        <w:rPr>
          <w:rFonts w:hint="eastAsia" w:ascii="宋体" w:hAnsi="宋体"/>
          <w:sz w:val="28"/>
          <w:szCs w:val="28"/>
        </w:rPr>
        <w:t>4.对声明中第五条的说明：供应商如被列入失信被执行人、重大税收违法案件当事人名单，应填写“被列入”，供应商将被认定响应无效或被取消成交资格；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lang w:val="en-US" w:eastAsia="zh-CN"/>
        </w:rPr>
        <w:t>5.</w:t>
      </w:r>
      <w:r>
        <w:rPr>
          <w:rFonts w:hint="eastAsia" w:ascii="宋体" w:hAnsi="宋体"/>
          <w:sz w:val="28"/>
          <w:szCs w:val="28"/>
        </w:rPr>
        <w:t>对声明中第</w:t>
      </w:r>
      <w:r>
        <w:rPr>
          <w:rFonts w:hint="eastAsia" w:ascii="宋体" w:hAnsi="宋体"/>
          <w:sz w:val="28"/>
          <w:szCs w:val="28"/>
          <w:lang w:val="en-US" w:eastAsia="zh-CN"/>
        </w:rPr>
        <w:t>六</w:t>
      </w:r>
      <w:r>
        <w:rPr>
          <w:rFonts w:hint="eastAsia" w:ascii="宋体" w:hAnsi="宋体"/>
          <w:sz w:val="28"/>
          <w:szCs w:val="28"/>
        </w:rPr>
        <w:t>条的说明</w:t>
      </w:r>
      <w:r>
        <w:rPr>
          <w:rFonts w:hint="eastAsia" w:ascii="宋体" w:hAnsi="宋体"/>
          <w:sz w:val="28"/>
          <w:szCs w:val="28"/>
          <w:lang w:eastAsia="zh-CN"/>
        </w:rPr>
        <w:t>：</w:t>
      </w:r>
      <w:r>
        <w:rPr>
          <w:rFonts w:hint="eastAsia" w:ascii="宋体" w:hAnsi="宋体"/>
          <w:sz w:val="28"/>
          <w:szCs w:val="28"/>
        </w:rPr>
        <w:t>供应商如被列入政府采购严重违法失信行为记录名单，应填写“被列入”，供应商将被认定响应无效或被取消成交资格；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lang w:val="en-US" w:eastAsia="zh-CN"/>
        </w:rPr>
        <w:t>6</w:t>
      </w:r>
      <w:bookmarkStart w:id="158" w:name="_GoBack"/>
      <w:bookmarkEnd w:id="158"/>
      <w:r>
        <w:rPr>
          <w:rFonts w:hint="eastAsia" w:ascii="宋体" w:hAnsi="宋体"/>
          <w:sz w:val="28"/>
          <w:szCs w:val="28"/>
        </w:rPr>
        <w:t>.对声明中第</w:t>
      </w:r>
      <w:r>
        <w:rPr>
          <w:rFonts w:hint="eastAsia" w:ascii="宋体" w:hAnsi="宋体"/>
          <w:sz w:val="28"/>
          <w:szCs w:val="28"/>
          <w:lang w:val="en-US" w:eastAsia="zh-CN"/>
        </w:rPr>
        <w:t>七</w:t>
      </w:r>
      <w:r>
        <w:rPr>
          <w:rFonts w:hint="eastAsia" w:ascii="宋体" w:hAnsi="宋体"/>
          <w:sz w:val="28"/>
          <w:szCs w:val="28"/>
        </w:rPr>
        <w:t>条的说明：如供应商处于被行政部门禁止参加政府采购活动期限内的，该声明填“处于”，供应商将被认定响应无效或被取消成交资格。</w:t>
      </w:r>
    </w:p>
    <w:p>
      <w:pPr>
        <w:pStyle w:val="82"/>
        <w:snapToGrid w:val="0"/>
        <w:ind w:firstLineChars="176"/>
        <w:rPr>
          <w:sz w:val="28"/>
        </w:rPr>
      </w:pPr>
    </w:p>
    <w:p>
      <w:pPr>
        <w:pStyle w:val="82"/>
        <w:snapToGrid w:val="0"/>
        <w:ind w:left="0" w:leftChars="0" w:firstLine="0" w:firstLineChars="0"/>
        <w:rPr>
          <w:sz w:val="28"/>
        </w:rPr>
      </w:pPr>
    </w:p>
    <w:p>
      <w:pPr>
        <w:tabs>
          <w:tab w:val="left" w:pos="3969"/>
        </w:tabs>
        <w:spacing w:line="588" w:lineRule="exact"/>
        <w:ind w:right="-58"/>
        <w:jc w:val="right"/>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pPr>
    </w:p>
    <w:p>
      <w:pPr>
        <w:pStyle w:val="5"/>
        <w:tabs>
          <w:tab w:val="left" w:pos="709"/>
        </w:tabs>
        <w:ind w:left="1375" w:leftChars="0" w:hanging="1135" w:firstLineChars="0"/>
        <w:jc w:val="left"/>
        <w:rPr>
          <w:color w:val="auto"/>
          <w:lang w:val="zh-CN"/>
        </w:rPr>
      </w:pPr>
      <w:r>
        <w:rPr>
          <w:rFonts w:hint="eastAsia"/>
          <w:color w:val="auto"/>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80"/>
        <w:tabs>
          <w:tab w:val="left" w:pos="1418"/>
        </w:tabs>
        <w:spacing w:after="0" w:line="560" w:lineRule="exact"/>
        <w:ind w:left="0" w:leftChars="0" w:firstLine="560" w:firstLineChars="200"/>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二、供应商声明具有良好的商业信誉和健全的财务会计制度即可，可不提供其他证明材料；</w:t>
      </w:r>
    </w:p>
    <w:p>
      <w:pPr>
        <w:pStyle w:val="80"/>
        <w:tabs>
          <w:tab w:val="left" w:pos="1418"/>
        </w:tabs>
        <w:spacing w:after="0" w:line="560" w:lineRule="exact"/>
        <w:ind w:firstLine="562"/>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三、供应商声明具有依法缴纳税收和社会保障资金的良好记录即可，可不提供其他证明材料；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eastAsia="宋体" w:cs="Times New Roman"/>
          <w:kern w:val="0"/>
          <w:sz w:val="28"/>
          <w:szCs w:val="28"/>
          <w:lang w:val="en-US" w:eastAsia="zh-CN" w:bidi="ar-SA"/>
        </w:rPr>
        <w:t>四、</w:t>
      </w:r>
      <w:r>
        <w:rPr>
          <w:rFonts w:hint="eastAsia" w:ascii="宋体" w:hAnsi="宋体"/>
          <w:sz w:val="28"/>
          <w:szCs w:val="28"/>
          <w:lang w:val="en-US"/>
        </w:rPr>
        <w:tab/>
      </w:r>
      <w:r>
        <w:rPr>
          <w:rFonts w:hint="eastAsia" w:ascii="宋体" w:hAnsi="宋体"/>
          <w:sz w:val="28"/>
          <w:szCs w:val="28"/>
          <w:lang w:val="en-US"/>
        </w:rPr>
        <w:t>采购人对供应商履行合同所必须的设备和专业技术能力无其他特殊要求，供应商具有有效的营业执照或法人证书即可，可不提供其他证明材料；</w:t>
      </w:r>
    </w:p>
    <w:p>
      <w:pPr>
        <w:pStyle w:val="154"/>
        <w:widowControl w:val="0"/>
        <w:spacing w:line="600" w:lineRule="exact"/>
        <w:ind w:left="0" w:leftChars="0" w:firstLine="560" w:firstLineChars="200"/>
        <w:jc w:val="both"/>
        <w:rPr>
          <w:rFonts w:ascii="宋体" w:hAnsi="宋体"/>
          <w:sz w:val="28"/>
          <w:szCs w:val="28"/>
          <w:lang w:val="en-US"/>
        </w:rPr>
      </w:pPr>
      <w:r>
        <w:rPr>
          <w:rFonts w:hint="eastAsia" w:ascii="宋体" w:hAnsi="宋体"/>
          <w:sz w:val="28"/>
          <w:szCs w:val="28"/>
          <w:lang w:val="en-US" w:eastAsia="zh-CN"/>
        </w:rPr>
        <w:t>五</w:t>
      </w:r>
      <w:r>
        <w:rPr>
          <w:rFonts w:hint="eastAsia" w:ascii="宋体" w:hAnsi="宋体"/>
          <w:sz w:val="28"/>
          <w:szCs w:val="28"/>
          <w:lang w:val="en-US"/>
        </w:rPr>
        <w:t>、采购人对法律、行政法规规定的其他条件无其他特殊要求，供应商具有有效的营业执照或法人证书即可，可不提供其他证明材料。</w:t>
      </w:r>
    </w:p>
    <w:p>
      <w:pPr>
        <w:pStyle w:val="2"/>
        <w:rPr>
          <w:rFonts w:ascii="宋体" w:hAnsi="宋体"/>
        </w:rPr>
      </w:pPr>
    </w:p>
    <w:p/>
    <w:p>
      <w:pPr>
        <w:pStyle w:val="2"/>
      </w:pPr>
    </w:p>
    <w:p/>
    <w:p>
      <w:pPr>
        <w:pStyle w:val="2"/>
      </w:pPr>
    </w:p>
    <w:p/>
    <w:p>
      <w:pPr>
        <w:pStyle w:val="2"/>
      </w:pPr>
    </w:p>
    <w:p/>
    <w:p>
      <w:pPr>
        <w:pStyle w:val="2"/>
      </w:pPr>
    </w:p>
    <w:p/>
    <w:p>
      <w:pPr>
        <w:pStyle w:val="2"/>
      </w:pPr>
    </w:p>
    <w:p/>
    <w:p>
      <w:pPr>
        <w:pStyle w:val="2"/>
      </w:pPr>
    </w:p>
    <w:p/>
    <w:p>
      <w:pPr>
        <w:pStyle w:val="4"/>
      </w:pPr>
      <w:bookmarkStart w:id="65" w:name="_Toc32112"/>
      <w:r>
        <w:rPr>
          <w:rFonts w:hint="eastAsia"/>
        </w:rPr>
        <w:t>商务技术响应文件</w:t>
      </w:r>
      <w:bookmarkEnd w:id="65"/>
    </w:p>
    <w:p>
      <w:pPr>
        <w:pStyle w:val="5"/>
        <w:tabs>
          <w:tab w:val="left" w:pos="709"/>
        </w:tabs>
        <w:ind w:left="1375" w:leftChars="0" w:hanging="1135" w:firstLineChars="0"/>
        <w:jc w:val="left"/>
        <w:rPr>
          <w:color w:val="auto"/>
        </w:rPr>
      </w:pPr>
      <w:r>
        <w:rPr>
          <w:rFonts w:hint="eastAsia"/>
          <w:color w:val="auto"/>
        </w:rPr>
        <w:t>报价书</w:t>
      </w:r>
    </w:p>
    <w:p>
      <w:pPr>
        <w:spacing w:line="560" w:lineRule="exact"/>
        <w:rPr>
          <w:rFonts w:ascii="宋体" w:hAnsi="宋体"/>
          <w:bCs/>
          <w:sz w:val="28"/>
          <w:szCs w:val="28"/>
        </w:rPr>
      </w:pPr>
      <w:r>
        <w:rPr>
          <w:rFonts w:hint="eastAsia" w:ascii="宋体" w:hAnsi="宋体"/>
          <w:bCs/>
          <w:sz w:val="28"/>
          <w:szCs w:val="28"/>
        </w:rPr>
        <w:t>成都市</w:t>
      </w:r>
      <w:r>
        <w:rPr>
          <w:rFonts w:hint="eastAsia" w:ascii="宋体" w:hAnsi="宋体"/>
          <w:bCs/>
          <w:sz w:val="28"/>
          <w:szCs w:val="28"/>
          <w:lang w:eastAsia="zh-CN"/>
        </w:rPr>
        <w:t>温江区</w:t>
      </w:r>
      <w:r>
        <w:rPr>
          <w:rFonts w:hint="eastAsia" w:ascii="宋体" w:hAnsi="宋体"/>
          <w:bCs/>
          <w:sz w:val="28"/>
          <w:szCs w:val="28"/>
        </w:rPr>
        <w:t>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bCs/>
          <w:sz w:val="28"/>
          <w:szCs w:val="28"/>
          <w:u w:val="single"/>
          <w:lang w:eastAsia="zh-CN"/>
        </w:rPr>
        <w:t>成都市郫都区总工会油电混动汽车采购项目</w:t>
      </w:r>
      <w:r>
        <w:rPr>
          <w:rFonts w:hint="eastAsia" w:ascii="宋体" w:hAnsi="宋体"/>
          <w:b/>
          <w:bCs/>
          <w:sz w:val="28"/>
          <w:szCs w:val="28"/>
          <w:u w:val="single"/>
        </w:rPr>
        <w:t>”（项目编号：</w:t>
      </w:r>
      <w:r>
        <w:rPr>
          <w:rFonts w:hint="eastAsia" w:ascii="宋体" w:hAnsi="宋体"/>
          <w:b/>
          <w:bCs/>
          <w:sz w:val="28"/>
          <w:szCs w:val="28"/>
          <w:u w:val="single"/>
          <w:lang w:eastAsia="zh-CN"/>
        </w:rPr>
        <w:t>郫都政采（2021）A0058-1号</w:t>
      </w:r>
      <w:r>
        <w:rPr>
          <w:rFonts w:hint="eastAsia" w:ascii="宋体" w:hAnsi="宋体"/>
          <w:b/>
          <w:bCs/>
          <w:sz w:val="28"/>
          <w:szCs w:val="28"/>
          <w:u w:val="single"/>
        </w:rPr>
        <w:t>）</w:t>
      </w:r>
      <w:r>
        <w:rPr>
          <w:rFonts w:hint="eastAsia" w:ascii="宋体" w:hAnsi="宋体"/>
          <w:bCs/>
          <w:sz w:val="28"/>
          <w:szCs w:val="28"/>
        </w:rPr>
        <w:t>询价通知书，决定参加贵单位组织的本项目采购</w:t>
      </w:r>
      <w:r>
        <w:rPr>
          <w:rFonts w:ascii="宋体" w:hAnsi="宋体"/>
          <w:bCs/>
          <w:sz w:val="28"/>
          <w:szCs w:val="28"/>
        </w:rPr>
        <w:t>活动</w:t>
      </w:r>
      <w:r>
        <w:rPr>
          <w:rFonts w:hint="eastAsia" w:ascii="宋体" w:hAnsi="宋体"/>
          <w:bCs/>
          <w:sz w:val="28"/>
          <w:szCs w:val="28"/>
        </w:rPr>
        <w:t>。我方授权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XXXX（供应商名称）</w:t>
      </w:r>
      <w:r>
        <w:rPr>
          <w:rFonts w:hint="eastAsia" w:ascii="宋体" w:hAnsi="宋体"/>
          <w:bCs/>
          <w:sz w:val="28"/>
          <w:szCs w:val="28"/>
        </w:rPr>
        <w:t>全权处理本项目询价采购</w:t>
      </w:r>
      <w:r>
        <w:rPr>
          <w:rFonts w:ascii="宋体" w:hAnsi="宋体"/>
          <w:bCs/>
          <w:sz w:val="28"/>
          <w:szCs w:val="28"/>
        </w:rPr>
        <w:t>活动</w:t>
      </w:r>
      <w:r>
        <w:rPr>
          <w:rFonts w:hint="eastAsia" w:ascii="宋体" w:hAnsi="宋体"/>
          <w:bCs/>
          <w:sz w:val="28"/>
          <w:szCs w:val="28"/>
        </w:rPr>
        <w:t>的有关事宜。</w:t>
      </w:r>
    </w:p>
    <w:p>
      <w:pPr>
        <w:widowControl w:val="0"/>
        <w:numPr>
          <w:ilvl w:val="1"/>
          <w:numId w:val="34"/>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我方自愿按照询价通知书规定的各项要求向采购人提供所需货物及服务，</w:t>
      </w:r>
      <w:r>
        <w:rPr>
          <w:rFonts w:hint="eastAsia" w:ascii="宋体" w:hAnsi="宋体"/>
          <w:b/>
          <w:sz w:val="28"/>
          <w:szCs w:val="28"/>
        </w:rPr>
        <w:t>报价以《开标一览表》为准</w:t>
      </w:r>
      <w:r>
        <w:rPr>
          <w:rFonts w:hint="eastAsia" w:ascii="宋体" w:hAnsi="宋体"/>
          <w:sz w:val="28"/>
          <w:szCs w:val="28"/>
        </w:rPr>
        <w:t>。</w:t>
      </w:r>
    </w:p>
    <w:p>
      <w:pPr>
        <w:widowControl w:val="0"/>
        <w:numPr>
          <w:ilvl w:val="1"/>
          <w:numId w:val="34"/>
        </w:numPr>
        <w:tabs>
          <w:tab w:val="left" w:pos="1134"/>
        </w:tabs>
        <w:spacing w:line="560" w:lineRule="exact"/>
        <w:ind w:left="0" w:firstLine="567"/>
        <w:jc w:val="both"/>
        <w:rPr>
          <w:rFonts w:ascii="宋体" w:hAnsi="宋体"/>
          <w:sz w:val="28"/>
          <w:szCs w:val="28"/>
        </w:rPr>
      </w:pPr>
      <w:r>
        <w:rPr>
          <w:rFonts w:hint="eastAsia" w:ascii="宋体" w:hAnsi="宋体"/>
          <w:sz w:val="28"/>
          <w:szCs w:val="28"/>
        </w:rPr>
        <w:t>如果我方成交，我方将严格履行合同规定的责任和义务，否则将承担由此产生的一切责任。</w:t>
      </w:r>
    </w:p>
    <w:p>
      <w:pPr>
        <w:widowControl w:val="0"/>
        <w:numPr>
          <w:ilvl w:val="1"/>
          <w:numId w:val="34"/>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我方已知晓全部询价通知书的内容，包括修改文件（如有）以及全部相关资料和有关附件，并对上述文件均无异议。</w:t>
      </w:r>
    </w:p>
    <w:p>
      <w:pPr>
        <w:widowControl w:val="0"/>
        <w:numPr>
          <w:ilvl w:val="1"/>
          <w:numId w:val="34"/>
        </w:numPr>
        <w:tabs>
          <w:tab w:val="left" w:pos="1134"/>
        </w:tabs>
        <w:spacing w:line="560" w:lineRule="exact"/>
        <w:ind w:left="0" w:firstLine="567"/>
        <w:jc w:val="both"/>
        <w:rPr>
          <w:rFonts w:ascii="宋体" w:hAnsi="宋体"/>
          <w:sz w:val="28"/>
          <w:szCs w:val="28"/>
        </w:rPr>
      </w:pPr>
      <w:r>
        <w:rPr>
          <w:rFonts w:hint="eastAsia" w:ascii="宋体" w:hAnsi="宋体"/>
          <w:sz w:val="28"/>
          <w:szCs w:val="28"/>
        </w:rPr>
        <w:t>本</w:t>
      </w:r>
      <w:r>
        <w:rPr>
          <w:rFonts w:ascii="宋体" w:hAnsi="宋体"/>
          <w:sz w:val="28"/>
          <w:szCs w:val="28"/>
        </w:rPr>
        <w:t>响应文件</w:t>
      </w:r>
      <w:r>
        <w:rPr>
          <w:rFonts w:hint="eastAsia" w:ascii="宋体" w:hAnsi="宋体"/>
          <w:sz w:val="28"/>
          <w:szCs w:val="28"/>
        </w:rPr>
        <w:t>有效期为从</w:t>
      </w:r>
      <w:r>
        <w:rPr>
          <w:rFonts w:hint="eastAsia" w:ascii="宋体" w:hAnsi="宋体" w:cs="宋体"/>
          <w:bCs/>
          <w:kern w:val="2"/>
          <w:sz w:val="28"/>
          <w:szCs w:val="28"/>
        </w:rPr>
        <w:t>递交响应文件</w:t>
      </w:r>
      <w:r>
        <w:rPr>
          <w:rFonts w:hint="eastAsia" w:ascii="宋体" w:hAnsi="宋体"/>
          <w:sz w:val="28"/>
          <w:szCs w:val="28"/>
        </w:rPr>
        <w:t>截止之日起120天。</w:t>
      </w:r>
    </w:p>
    <w:p>
      <w:pPr>
        <w:widowControl w:val="0"/>
        <w:numPr>
          <w:ilvl w:val="1"/>
          <w:numId w:val="34"/>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我方愿意提供贵中心可能另外要求的，与询价</w:t>
      </w:r>
      <w:r>
        <w:rPr>
          <w:rFonts w:ascii="宋体" w:hAnsi="宋体"/>
          <w:sz w:val="28"/>
          <w:szCs w:val="28"/>
        </w:rPr>
        <w:t>采购活动</w:t>
      </w:r>
      <w:r>
        <w:rPr>
          <w:rFonts w:hint="eastAsia" w:ascii="宋体" w:hAnsi="宋体"/>
          <w:sz w:val="28"/>
          <w:szCs w:val="28"/>
        </w:rPr>
        <w:t>有关的文件资料，并保证我方已提供和将要提供的文件资料是真实、准确的，并对此承担一切法律后果。</w:t>
      </w:r>
    </w:p>
    <w:p>
      <w:pPr>
        <w:widowControl w:val="0"/>
        <w:numPr>
          <w:ilvl w:val="1"/>
          <w:numId w:val="34"/>
        </w:numPr>
        <w:tabs>
          <w:tab w:val="left" w:pos="1134"/>
        </w:tabs>
        <w:spacing w:line="360" w:lineRule="auto"/>
        <w:ind w:left="0" w:firstLine="567"/>
        <w:jc w:val="both"/>
        <w:rPr>
          <w:rFonts w:ascii="宋体" w:hAnsi="宋体"/>
          <w:sz w:val="28"/>
          <w:szCs w:val="28"/>
        </w:rPr>
      </w:pPr>
      <w:r>
        <w:rPr>
          <w:rFonts w:hint="eastAsia" w:ascii="宋体" w:hAnsi="宋体"/>
          <w:sz w:val="28"/>
          <w:szCs w:val="28"/>
        </w:rPr>
        <w:t>我单位联系方式：</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r>
        <w:rPr>
          <w:rFonts w:ascii="宋体" w:hAnsi="宋体"/>
          <w:sz w:val="28"/>
          <w:szCs w:val="28"/>
        </w:rPr>
        <w:t xml:space="preserve">               </w:t>
      </w:r>
      <w:r>
        <w:rPr>
          <w:rFonts w:hint="eastAsia" w:ascii="宋体" w:hAnsi="宋体"/>
          <w:sz w:val="28"/>
          <w:szCs w:val="28"/>
        </w:rPr>
        <w:t>邮政编码：</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r>
        <w:rPr>
          <w:rFonts w:ascii="宋体" w:hAnsi="宋体"/>
          <w:sz w:val="28"/>
          <w:szCs w:val="28"/>
        </w:rPr>
        <w:t xml:space="preserve">               </w:t>
      </w:r>
      <w:r>
        <w:rPr>
          <w:rFonts w:hint="eastAsia" w:ascii="宋体" w:hAnsi="宋体"/>
          <w:sz w:val="28"/>
          <w:szCs w:val="28"/>
        </w:rPr>
        <w:t>联系</w:t>
      </w:r>
      <w:r>
        <w:rPr>
          <w:rFonts w:ascii="宋体" w:hAnsi="宋体"/>
          <w:sz w:val="28"/>
          <w:szCs w:val="28"/>
        </w:rPr>
        <w:t>电话：</w:t>
      </w:r>
      <w:r>
        <w:rPr>
          <w:rFonts w:hint="eastAsia" w:ascii="宋体" w:hAnsi="宋体"/>
          <w:sz w:val="28"/>
          <w:szCs w:val="28"/>
          <w:u w:val="single"/>
        </w:rPr>
        <w:t>XXXX</w:t>
      </w:r>
    </w:p>
    <w:p>
      <w:pPr>
        <w:spacing w:after="120" w:line="360" w:lineRule="auto"/>
        <w:ind w:left="480" w:leftChars="200" w:firstLine="560" w:firstLine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spacing w:line="360" w:lineRule="auto"/>
        <w:ind w:left="324" w:leftChars="135" w:firstLine="700" w:firstLineChars="250"/>
        <w:rPr>
          <w:rFonts w:hint="eastAsia" w:ascii="宋体" w:hAnsi="宋体"/>
          <w:bCs/>
          <w:sz w:val="28"/>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hint="eastAsia" w:ascii="宋体" w:hAnsi="宋体"/>
          <w:bCs/>
          <w:sz w:val="28"/>
        </w:rPr>
      </w:pPr>
    </w:p>
    <w:p>
      <w:pPr>
        <w:pStyle w:val="5"/>
        <w:tabs>
          <w:tab w:val="left" w:pos="709"/>
        </w:tabs>
        <w:ind w:left="1375" w:leftChars="0" w:hanging="1135" w:firstLineChars="0"/>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snapToGrid w:val="0"/>
        <w:spacing w:line="360" w:lineRule="auto"/>
        <w:rPr>
          <w:rFonts w:ascii="宋体" w:hAnsi="宋体"/>
          <w:b/>
          <w:sz w:val="28"/>
          <w:szCs w:val="28"/>
        </w:rPr>
      </w:pPr>
    </w:p>
    <w:p>
      <w:pPr>
        <w:adjustRightInd w:val="0"/>
        <w:spacing w:line="400" w:lineRule="exact"/>
        <w:rPr>
          <w:rFonts w:ascii="宋体" w:hAnsi="宋体"/>
          <w:bCs/>
          <w:sz w:val="28"/>
          <w:u w:val="single"/>
        </w:rPr>
      </w:pPr>
      <w:bookmarkStart w:id="66" w:name="_Toc263768877"/>
      <w:bookmarkStart w:id="67" w:name="_Toc302997928"/>
      <w:bookmarkStart w:id="68" w:name="_Toc263753619"/>
    </w:p>
    <w:bookmarkEnd w:id="66"/>
    <w:bookmarkEnd w:id="67"/>
    <w:bookmarkEnd w:id="68"/>
    <w:p>
      <w:pPr>
        <w:pStyle w:val="5"/>
        <w:tabs>
          <w:tab w:val="left" w:pos="709"/>
        </w:tabs>
        <w:ind w:left="1375" w:leftChars="0" w:hanging="1135" w:firstLineChars="0"/>
        <w:jc w:val="left"/>
        <w:rPr>
          <w:b w:val="0"/>
          <w:bCs w:val="0"/>
          <w:color w:val="auto"/>
        </w:rPr>
      </w:pPr>
      <w:r>
        <w:rPr>
          <w:rFonts w:hint="eastAsia"/>
          <w:color w:val="auto"/>
        </w:rPr>
        <w:t>报</w:t>
      </w:r>
      <w:r>
        <w:rPr>
          <w:color w:val="auto"/>
        </w:rPr>
        <w:t>价</w:t>
      </w:r>
      <w:r>
        <w:rPr>
          <w:rFonts w:hint="eastAsia"/>
          <w:color w:val="auto"/>
        </w:rPr>
        <w:t>产品技术性能、技术参数和配置的详细描述</w:t>
      </w:r>
    </w:p>
    <w:p>
      <w:pPr>
        <w:snapToGrid w:val="0"/>
        <w:spacing w:line="360" w:lineRule="auto"/>
        <w:ind w:right="-713" w:rightChars="-297"/>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szCs w:val="28"/>
          <w:u w:val="single"/>
          <w:lang w:eastAsia="zh-CN"/>
        </w:rPr>
        <w:t>成都市郫都区总工会油电混动汽车采购项目</w:t>
      </w:r>
    </w:p>
    <w:p>
      <w:pPr>
        <w:snapToGrid w:val="0"/>
        <w:spacing w:line="360" w:lineRule="auto"/>
        <w:ind w:right="-713" w:rightChars="-297"/>
        <w:rPr>
          <w:rFonts w:hint="eastAsia" w:ascii="宋体" w:hAnsi="宋体" w:eastAsia="宋体"/>
          <w:b/>
          <w:sz w:val="28"/>
          <w:szCs w:val="28"/>
          <w:u w:val="single"/>
          <w:lang w:eastAsia="zh-CN"/>
        </w:rPr>
      </w:pPr>
      <w:r>
        <w:rPr>
          <w:rFonts w:hint="eastAsia" w:ascii="宋体" w:hAnsi="宋体"/>
          <w:b/>
          <w:sz w:val="28"/>
        </w:rPr>
        <w:t>项目编号：</w:t>
      </w:r>
      <w:r>
        <w:rPr>
          <w:rFonts w:hint="eastAsia" w:ascii="宋体" w:hAnsi="宋体"/>
          <w:b/>
          <w:sz w:val="28"/>
          <w:szCs w:val="28"/>
          <w:u w:val="single"/>
          <w:lang w:eastAsia="zh-CN"/>
        </w:rPr>
        <w:t>郫都政采（2021）A0058-1号</w:t>
      </w:r>
    </w:p>
    <w:p>
      <w:pPr>
        <w:snapToGrid w:val="0"/>
        <w:spacing w:line="360" w:lineRule="auto"/>
        <w:ind w:right="-713" w:rightChars="-297" w:firstLine="565" w:firstLineChars="201"/>
        <w:rPr>
          <w:rFonts w:ascii="宋体" w:hAnsi="宋体"/>
        </w:rPr>
      </w:pPr>
      <w:r>
        <w:rPr>
          <w:rFonts w:hint="eastAsia" w:ascii="宋体" w:hAnsi="宋体"/>
          <w:b/>
          <w:sz w:val="28"/>
          <w:szCs w:val="28"/>
        </w:rPr>
        <w:t>一</w:t>
      </w:r>
      <w:r>
        <w:rPr>
          <w:rFonts w:ascii="宋体" w:hAnsi="宋体"/>
          <w:b/>
          <w:sz w:val="28"/>
          <w:szCs w:val="28"/>
        </w:rPr>
        <w:t>、报价产品基本信息</w:t>
      </w:r>
      <w:r>
        <w:rPr>
          <w:rFonts w:hint="eastAsia" w:ascii="宋体" w:hAnsi="宋体"/>
          <w:b/>
          <w:sz w:val="28"/>
          <w:szCs w:val="28"/>
        </w:rPr>
        <w:t>表</w:t>
      </w:r>
    </w:p>
    <w:tbl>
      <w:tblPr>
        <w:tblStyle w:val="45"/>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835"/>
        <w:gridCol w:w="998"/>
        <w:gridCol w:w="1275"/>
        <w:gridCol w:w="987"/>
        <w:gridCol w:w="15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2835"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货物名称（标</w:t>
            </w:r>
            <w:r>
              <w:rPr>
                <w:rFonts w:ascii="宋体" w:hAnsi="宋体"/>
                <w:b/>
              </w:rPr>
              <w:t>的名称</w:t>
            </w:r>
            <w:r>
              <w:rPr>
                <w:rFonts w:hint="eastAsia" w:ascii="宋体" w:hAnsi="宋体"/>
                <w:b/>
              </w:rPr>
              <w:t>）</w:t>
            </w:r>
          </w:p>
        </w:tc>
        <w:tc>
          <w:tcPr>
            <w:tcW w:w="99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品牌</w:t>
            </w:r>
          </w:p>
        </w:tc>
        <w:tc>
          <w:tcPr>
            <w:tcW w:w="1275"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98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制造商</w:t>
            </w:r>
          </w:p>
        </w:tc>
        <w:tc>
          <w:tcPr>
            <w:tcW w:w="1560"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rPr>
              <w:t>进口或国产</w:t>
            </w:r>
          </w:p>
        </w:tc>
        <w:tc>
          <w:tcPr>
            <w:tcW w:w="85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1</w:t>
            </w:r>
          </w:p>
        </w:tc>
        <w:tc>
          <w:tcPr>
            <w:tcW w:w="2835" w:type="dxa"/>
            <w:tcBorders>
              <w:top w:val="single" w:color="auto" w:sz="4" w:space="0"/>
              <w:left w:val="single" w:color="auto" w:sz="4" w:space="0"/>
              <w:bottom w:val="single" w:color="auto" w:sz="4" w:space="0"/>
              <w:right w:val="single" w:color="auto" w:sz="4" w:space="0"/>
            </w:tcBorders>
          </w:tcPr>
          <w:p>
            <w:pPr>
              <w:spacing w:line="480" w:lineRule="exact"/>
              <w:rPr>
                <w:rFonts w:asciiTheme="minorEastAsia" w:hAnsiTheme="minorEastAsia" w:eastAsiaTheme="minorEastAsia"/>
              </w:rPr>
            </w:pPr>
            <w:r>
              <w:rPr>
                <w:rFonts w:hint="eastAsia" w:eastAsia="宋体" w:cs="Times New Roman" w:asciiTheme="minorEastAsia" w:hAnsiTheme="minorEastAsia"/>
              </w:rPr>
              <w:t>油电混动汽车</w:t>
            </w:r>
          </w:p>
        </w:tc>
        <w:tc>
          <w:tcPr>
            <w:tcW w:w="99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98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56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85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eastAsia="宋体"/>
                <w:lang w:eastAsia="zh-CN"/>
              </w:rPr>
            </w:pPr>
            <w:r>
              <w:rPr>
                <w:rFonts w:asciiTheme="minorEastAsia" w:hAnsiTheme="minorEastAsia"/>
              </w:rPr>
              <w:t>1</w:t>
            </w:r>
            <w:r>
              <w:rPr>
                <w:rFonts w:hint="eastAsia" w:asciiTheme="minorEastAsia" w:hAnsiTheme="minorEastAsia"/>
                <w:lang w:eastAsia="zh-CN"/>
              </w:rPr>
              <w:t>辆</w:t>
            </w:r>
          </w:p>
        </w:tc>
      </w:tr>
    </w:tbl>
    <w:p>
      <w:pPr>
        <w:snapToGrid w:val="0"/>
        <w:spacing w:line="360" w:lineRule="auto"/>
        <w:ind w:right="-713" w:rightChars="-297"/>
        <w:rPr>
          <w:rFonts w:hint="eastAsia" w:ascii="宋体" w:hAnsi="宋体"/>
          <w:b/>
          <w:sz w:val="28"/>
          <w:szCs w:val="28"/>
        </w:rPr>
      </w:pPr>
      <w:r>
        <w:rPr>
          <w:rFonts w:hint="eastAsia" w:ascii="宋体" w:hAnsi="宋体"/>
          <w:b/>
          <w:sz w:val="28"/>
          <w:szCs w:val="28"/>
        </w:rPr>
        <w:t>说明</w:t>
      </w:r>
      <w:r>
        <w:rPr>
          <w:rFonts w:ascii="宋体" w:hAnsi="宋体"/>
          <w:b/>
          <w:sz w:val="28"/>
          <w:szCs w:val="28"/>
        </w:rPr>
        <w:t>：</w:t>
      </w:r>
      <w:r>
        <w:rPr>
          <w:rFonts w:hint="eastAsia" w:ascii="宋体" w:hAnsi="宋体"/>
          <w:b/>
          <w:sz w:val="28"/>
          <w:szCs w:val="28"/>
        </w:rPr>
        <w:t>1.报价产品</w:t>
      </w:r>
      <w:r>
        <w:rPr>
          <w:rFonts w:ascii="宋体" w:hAnsi="宋体"/>
          <w:b/>
          <w:sz w:val="28"/>
          <w:szCs w:val="28"/>
        </w:rPr>
        <w:t>基本</w:t>
      </w:r>
      <w:r>
        <w:rPr>
          <w:rFonts w:hint="eastAsia" w:ascii="宋体" w:hAnsi="宋体"/>
          <w:b/>
          <w:sz w:val="28"/>
          <w:szCs w:val="28"/>
        </w:rPr>
        <w:t>信息表中要求填写报</w:t>
      </w:r>
      <w:r>
        <w:rPr>
          <w:rFonts w:ascii="宋体" w:hAnsi="宋体"/>
          <w:b/>
          <w:sz w:val="28"/>
          <w:szCs w:val="28"/>
        </w:rPr>
        <w:t>价产品的</w:t>
      </w:r>
      <w:r>
        <w:rPr>
          <w:rFonts w:hint="eastAsia" w:ascii="宋体" w:hAnsi="宋体"/>
          <w:b/>
          <w:sz w:val="28"/>
          <w:szCs w:val="28"/>
        </w:rPr>
        <w:t>品牌、规格型号、制造商、进口或国产的，供应商必须载明其报</w:t>
      </w:r>
      <w:r>
        <w:rPr>
          <w:rFonts w:ascii="宋体" w:hAnsi="宋体"/>
          <w:b/>
          <w:sz w:val="28"/>
          <w:szCs w:val="28"/>
        </w:rPr>
        <w:t>价</w:t>
      </w:r>
      <w:r>
        <w:rPr>
          <w:rFonts w:hint="eastAsia" w:ascii="宋体" w:hAnsi="宋体"/>
          <w:b/>
          <w:sz w:val="28"/>
          <w:szCs w:val="28"/>
        </w:rPr>
        <w:t>产品的品牌、规格型号、制造商、进口或国产。</w:t>
      </w:r>
    </w:p>
    <w:p>
      <w:pPr>
        <w:snapToGrid w:val="0"/>
        <w:spacing w:line="360" w:lineRule="auto"/>
        <w:ind w:right="-713" w:rightChars="-297"/>
        <w:rPr>
          <w:rFonts w:ascii="宋体" w:hAnsi="宋体"/>
          <w:b/>
          <w:sz w:val="28"/>
          <w:szCs w:val="28"/>
        </w:rPr>
      </w:pPr>
      <w:r>
        <w:rPr>
          <w:rFonts w:hint="eastAsia" w:ascii="宋体" w:hAnsi="宋体"/>
          <w:b/>
          <w:sz w:val="28"/>
          <w:szCs w:val="28"/>
        </w:rPr>
        <w:t>2.进口产品是指通过中国海关报关验放进入中国境内且产自关境外的产品。</w:t>
      </w:r>
    </w:p>
    <w:p>
      <w:pPr>
        <w:snapToGrid w:val="0"/>
        <w:spacing w:line="360" w:lineRule="auto"/>
        <w:ind w:right="-713" w:rightChars="-297" w:firstLine="424" w:firstLineChars="151"/>
        <w:rPr>
          <w:rFonts w:ascii="宋体" w:hAnsi="宋体"/>
          <w:b/>
          <w:sz w:val="28"/>
          <w:szCs w:val="28"/>
        </w:rPr>
      </w:pPr>
      <w:r>
        <w:rPr>
          <w:rFonts w:hint="eastAsia" w:ascii="宋体" w:hAnsi="宋体"/>
          <w:b/>
          <w:sz w:val="28"/>
          <w:szCs w:val="28"/>
        </w:rPr>
        <w:t>二</w:t>
      </w:r>
      <w:r>
        <w:rPr>
          <w:rFonts w:ascii="宋体" w:hAnsi="宋体"/>
          <w:b/>
          <w:sz w:val="28"/>
          <w:szCs w:val="28"/>
        </w:rPr>
        <w:t>、</w:t>
      </w:r>
      <w:r>
        <w:rPr>
          <w:rFonts w:hint="eastAsia" w:ascii="宋体" w:hAnsi="宋体"/>
          <w:b/>
          <w:sz w:val="28"/>
          <w:szCs w:val="28"/>
        </w:rPr>
        <w:t>技术性能、技术参数和配置的详细描述</w:t>
      </w:r>
    </w:p>
    <w:p>
      <w:pPr>
        <w:spacing w:line="360" w:lineRule="auto"/>
        <w:ind w:firstLine="723" w:firstLineChars="300"/>
        <w:rPr>
          <w:rFonts w:ascii="宋体" w:hAnsi="宋体"/>
          <w:b/>
        </w:rPr>
      </w:pPr>
      <w:r>
        <w:rPr>
          <w:rFonts w:ascii="宋体" w:hAnsi="宋体"/>
          <w:b/>
        </w:rPr>
        <w:t>......</w:t>
      </w: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pStyle w:val="5"/>
        <w:tabs>
          <w:tab w:val="left" w:pos="709"/>
        </w:tabs>
        <w:ind w:left="1375" w:leftChars="0" w:hanging="1135" w:firstLineChars="0"/>
        <w:jc w:val="left"/>
        <w:rPr>
          <w:b w:val="0"/>
          <w:bCs w:val="0"/>
          <w:color w:val="auto"/>
        </w:rPr>
      </w:pPr>
      <w:r>
        <w:rPr>
          <w:rFonts w:hint="eastAsia"/>
          <w:color w:val="auto"/>
        </w:rPr>
        <w:t>售后服务及承诺</w:t>
      </w:r>
    </w:p>
    <w:p>
      <w:pPr>
        <w:snapToGrid w:val="0"/>
        <w:spacing w:line="360" w:lineRule="auto"/>
        <w:ind w:right="-713" w:rightChars="-297"/>
        <w:rPr>
          <w:rFonts w:hint="eastAsia" w:ascii="宋体" w:hAnsi="宋体" w:eastAsia="宋体"/>
          <w:b/>
          <w:bCs/>
          <w:sz w:val="28"/>
          <w:szCs w:val="28"/>
          <w:u w:val="single"/>
          <w:lang w:eastAsia="zh-CN"/>
        </w:rPr>
      </w:pPr>
      <w:r>
        <w:rPr>
          <w:rFonts w:hint="eastAsia" w:ascii="宋体" w:hAnsi="宋体"/>
          <w:b/>
          <w:sz w:val="28"/>
        </w:rPr>
        <w:t>项目名称：</w:t>
      </w:r>
      <w:r>
        <w:rPr>
          <w:rFonts w:hint="eastAsia" w:ascii="宋体" w:hAnsi="宋体"/>
          <w:b/>
          <w:bCs/>
          <w:sz w:val="28"/>
          <w:szCs w:val="28"/>
          <w:u w:val="single"/>
          <w:lang w:eastAsia="zh-CN"/>
        </w:rPr>
        <w:t>成都市郫都区总工会油电混动汽车采购项目</w:t>
      </w:r>
    </w:p>
    <w:p>
      <w:pPr>
        <w:snapToGrid w:val="0"/>
        <w:spacing w:line="360" w:lineRule="auto"/>
        <w:ind w:right="-713" w:rightChars="-297"/>
        <w:rPr>
          <w:rFonts w:hint="eastAsia" w:ascii="宋体" w:hAnsi="宋体" w:eastAsia="宋体"/>
          <w:b/>
          <w:sz w:val="28"/>
          <w:lang w:eastAsia="zh-CN"/>
        </w:rPr>
      </w:pPr>
      <w:r>
        <w:rPr>
          <w:rFonts w:hint="eastAsia" w:ascii="宋体" w:hAnsi="宋体"/>
          <w:b/>
          <w:sz w:val="28"/>
        </w:rPr>
        <w:t>项目编号：</w:t>
      </w:r>
      <w:r>
        <w:rPr>
          <w:rFonts w:hint="eastAsia" w:ascii="宋体" w:hAnsi="宋体"/>
          <w:b/>
          <w:sz w:val="28"/>
          <w:u w:val="single"/>
          <w:lang w:eastAsia="zh-CN"/>
        </w:rPr>
        <w:t>郫都政采（2021）A0058-1号</w:t>
      </w:r>
    </w:p>
    <w:p>
      <w:pPr>
        <w:ind w:firstLine="565" w:firstLineChars="202"/>
        <w:rPr>
          <w:rFonts w:ascii="宋体" w:hAnsi="宋体"/>
          <w:sz w:val="28"/>
        </w:rPr>
      </w:pPr>
    </w:p>
    <w:p>
      <w:pPr>
        <w:spacing w:after="120" w:line="360" w:lineRule="auto"/>
        <w:rPr>
          <w:rFonts w:hint="eastAsia" w:ascii="宋体" w:hAnsi="宋体"/>
          <w:sz w:val="28"/>
          <w:lang w:val="en-US" w:eastAsia="zh-CN"/>
        </w:rPr>
      </w:pPr>
      <w:r>
        <w:rPr>
          <w:rFonts w:hint="eastAsia" w:ascii="宋体" w:hAnsi="宋体"/>
          <w:sz w:val="28"/>
          <w:lang w:val="en-US" w:eastAsia="zh-CN"/>
        </w:rPr>
        <w:t xml:space="preserve"> </w:t>
      </w:r>
    </w:p>
    <w:p>
      <w:pPr>
        <w:pStyle w:val="2"/>
        <w:rPr>
          <w:rFonts w:hint="eastAsia" w:ascii="宋体" w:hAnsi="宋体"/>
          <w:sz w:val="28"/>
          <w:lang w:val="en-US" w:eastAsia="zh-CN"/>
        </w:rPr>
      </w:pPr>
    </w:p>
    <w:p>
      <w:pPr>
        <w:rPr>
          <w:rFonts w:hint="eastAsia" w:ascii="宋体" w:hAnsi="宋体"/>
          <w:sz w:val="28"/>
          <w:lang w:val="en-US" w:eastAsia="zh-CN"/>
        </w:rPr>
      </w:pPr>
    </w:p>
    <w:p>
      <w:pPr>
        <w:pStyle w:val="2"/>
        <w:rPr>
          <w:rFonts w:hint="eastAsia" w:ascii="宋体" w:hAnsi="宋体"/>
          <w:sz w:val="28"/>
          <w:lang w:val="en-US" w:eastAsia="zh-CN"/>
        </w:rPr>
      </w:pPr>
    </w:p>
    <w:p>
      <w:pPr>
        <w:rPr>
          <w:rFonts w:hint="eastAsia" w:ascii="宋体" w:hAnsi="宋体"/>
          <w:sz w:val="28"/>
          <w:lang w:val="en-US" w:eastAsia="zh-CN"/>
        </w:rPr>
      </w:pPr>
    </w:p>
    <w:p>
      <w:pPr>
        <w:pStyle w:val="2"/>
        <w:rPr>
          <w:rFonts w:hint="eastAsia" w:ascii="宋体" w:hAnsi="宋体"/>
          <w:sz w:val="28"/>
          <w:lang w:val="en-US" w:eastAsia="zh-CN"/>
        </w:rPr>
      </w:pPr>
    </w:p>
    <w:p>
      <w:pPr>
        <w:rPr>
          <w:rFonts w:hint="eastAsia" w:ascii="宋体" w:hAnsi="宋体"/>
          <w:sz w:val="28"/>
          <w:lang w:val="en-US" w:eastAsia="zh-CN"/>
        </w:rPr>
      </w:pPr>
    </w:p>
    <w:p>
      <w:pPr>
        <w:pStyle w:val="2"/>
        <w:rPr>
          <w:rFonts w:hint="eastAsia" w:ascii="宋体" w:hAnsi="宋体"/>
          <w:sz w:val="28"/>
          <w:lang w:val="en-US" w:eastAsia="zh-CN"/>
        </w:rPr>
      </w:pPr>
    </w:p>
    <w:p>
      <w:pPr>
        <w:rPr>
          <w:rFonts w:hint="eastAsia" w:ascii="宋体" w:hAnsi="宋体"/>
          <w:sz w:val="28"/>
          <w:lang w:val="en-US" w:eastAsia="zh-CN"/>
        </w:rPr>
      </w:pPr>
    </w:p>
    <w:p>
      <w:pPr>
        <w:pStyle w:val="2"/>
        <w:rPr>
          <w:rFonts w:hint="eastAsia" w:ascii="宋体" w:hAnsi="宋体"/>
          <w:sz w:val="28"/>
          <w:lang w:val="en-US" w:eastAsia="zh-CN"/>
        </w:rPr>
      </w:pPr>
    </w:p>
    <w:p>
      <w:pPr>
        <w:rPr>
          <w:rFonts w:hint="eastAsia" w:ascii="宋体" w:hAnsi="宋体"/>
          <w:sz w:val="28"/>
          <w:lang w:val="en-US" w:eastAsia="zh-CN"/>
        </w:rPr>
      </w:pPr>
    </w:p>
    <w:p>
      <w:pPr>
        <w:pStyle w:val="2"/>
        <w:rPr>
          <w:rFonts w:hint="eastAsia" w:ascii="宋体" w:hAnsi="宋体"/>
          <w:sz w:val="28"/>
          <w:lang w:val="en-US" w:eastAsia="zh-CN"/>
        </w:rPr>
      </w:pPr>
    </w:p>
    <w:p>
      <w:pPr>
        <w:rPr>
          <w:rFonts w:hint="eastAsia" w:ascii="宋体" w:hAnsi="宋体"/>
          <w:sz w:val="28"/>
          <w:lang w:val="en-US" w:eastAsia="zh-CN"/>
        </w:rPr>
      </w:pPr>
    </w:p>
    <w:p>
      <w:pPr>
        <w:pStyle w:val="2"/>
        <w:rPr>
          <w:rFonts w:hint="eastAsia"/>
          <w:lang w:eastAsia="zh-CN"/>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hint="eastAsia" w:ascii="宋体" w:hAnsi="宋体"/>
          <w:bCs/>
          <w:sz w:val="28"/>
        </w:rPr>
      </w:pPr>
    </w:p>
    <w:p>
      <w:pPr>
        <w:pStyle w:val="5"/>
        <w:tabs>
          <w:tab w:val="left" w:pos="709"/>
        </w:tabs>
        <w:ind w:left="1375" w:leftChars="0" w:hanging="1135" w:firstLineChars="0"/>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bCs/>
          <w:sz w:val="28"/>
          <w:szCs w:val="28"/>
          <w:u w:val="single"/>
          <w:lang w:eastAsia="zh-CN"/>
        </w:rPr>
        <w:t>成都市郫都区总工会油电混动汽车采购项目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郫都政采（2021）A0058-1号</w:t>
      </w:r>
    </w:p>
    <w:p>
      <w:pPr>
        <w:snapToGrid w:val="0"/>
        <w:spacing w:line="360" w:lineRule="auto"/>
        <w:ind w:firstLine="560" w:firstLineChars="200"/>
        <w:rPr>
          <w:rFonts w:ascii="宋体" w:hAnsi="宋体"/>
          <w:sz w:val="28"/>
        </w:rPr>
      </w:pPr>
      <w:r>
        <w:rPr>
          <w:rFonts w:hint="eastAsia" w:ascii="宋体" w:hAnsi="宋体"/>
          <w:sz w:val="28"/>
        </w:rPr>
        <w:t>我公司作为本项目供应商，在此郑重承诺：</w:t>
      </w:r>
    </w:p>
    <w:p>
      <w:pPr>
        <w:pStyle w:val="154"/>
        <w:widowControl w:val="0"/>
        <w:numPr>
          <w:ilvl w:val="0"/>
          <w:numId w:val="35"/>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sz w:val="28"/>
          <w:szCs w:val="28"/>
        </w:rPr>
        <w:t>为本项目提供的所有产品、辅材中</w:t>
      </w:r>
      <w:r>
        <w:rPr>
          <w:rFonts w:ascii="宋体" w:hAnsi="宋体" w:cs="宋体"/>
          <w:sz w:val="28"/>
          <w:szCs w:val="28"/>
        </w:rPr>
        <w:t>属于《国家强制性产品认证目录》范围内产品的，均通过国家强制性产品认证并取得认证证书。</w:t>
      </w:r>
    </w:p>
    <w:p>
      <w:pPr>
        <w:pStyle w:val="154"/>
        <w:widowControl w:val="0"/>
        <w:numPr>
          <w:ilvl w:val="0"/>
          <w:numId w:val="35"/>
        </w:numPr>
        <w:tabs>
          <w:tab w:val="left" w:pos="1134"/>
        </w:tabs>
        <w:snapToGrid w:val="0"/>
        <w:spacing w:before="60" w:after="200" w:line="360" w:lineRule="auto"/>
        <w:ind w:left="0" w:right="210" w:firstLine="567" w:firstLineChars="0"/>
        <w:jc w:val="both"/>
        <w:rPr>
          <w:rFonts w:ascii="宋体" w:hAnsi="宋体" w:cs="宋体"/>
          <w:sz w:val="28"/>
          <w:szCs w:val="28"/>
        </w:rPr>
      </w:pPr>
      <w:r>
        <w:rPr>
          <w:rFonts w:hint="eastAsia" w:ascii="宋体" w:hAnsi="宋体"/>
          <w:sz w:val="28"/>
          <w:szCs w:val="28"/>
        </w:rPr>
        <w:t>为本项目提供的所有产品、辅材符合现行的强制性国家相关标准、行业标准。</w:t>
      </w:r>
    </w:p>
    <w:p>
      <w:pPr>
        <w:pStyle w:val="154"/>
        <w:widowControl w:val="0"/>
        <w:numPr>
          <w:ilvl w:val="0"/>
          <w:numId w:val="35"/>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sz w:val="28"/>
          <w:szCs w:val="28"/>
        </w:rPr>
        <w:t>我方为本项目提供的所有产品中属于节能产品政府采购品目清单中的政府强制采购产品的，均应具有国家确定的认证机构出具的有效期内的节能产品认证证书。</w:t>
      </w:r>
    </w:p>
    <w:p>
      <w:pPr>
        <w:pStyle w:val="154"/>
        <w:widowControl w:val="0"/>
        <w:numPr>
          <w:ilvl w:val="0"/>
          <w:numId w:val="35"/>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bCs/>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我方承担。</w:t>
      </w:r>
    </w:p>
    <w:p>
      <w:pPr>
        <w:pStyle w:val="80"/>
        <w:numPr>
          <w:ilvl w:val="0"/>
          <w:numId w:val="0"/>
        </w:numPr>
        <w:tabs>
          <w:tab w:val="left" w:pos="1134"/>
        </w:tabs>
        <w:snapToGrid w:val="0"/>
        <w:spacing w:line="360" w:lineRule="auto"/>
        <w:ind w:firstLine="560" w:firstLineChars="200"/>
        <w:rPr>
          <w:rFonts w:ascii="宋体" w:hAnsi="宋体"/>
          <w:sz w:val="28"/>
          <w:szCs w:val="28"/>
        </w:rPr>
      </w:pPr>
      <w:r>
        <w:rPr>
          <w:rFonts w:hint="eastAsia" w:ascii="宋体" w:hAnsi="宋体" w:eastAsia="宋体" w:cs="Times New Roman"/>
          <w:bCs/>
          <w:color w:val="000000"/>
          <w:sz w:val="28"/>
          <w:szCs w:val="28"/>
          <w:highlight w:val="none"/>
          <w:shd w:val="clear" w:color="auto" w:fill="FFFFFF"/>
          <w:lang w:val="en-US" w:eastAsia="zh-CN"/>
        </w:rPr>
        <w:t>五、</w:t>
      </w:r>
      <w:r>
        <w:rPr>
          <w:rFonts w:hint="eastAsia" w:ascii="宋体" w:hAnsi="宋体" w:eastAsia="宋体" w:cs="Times New Roman"/>
          <w:bCs/>
          <w:color w:val="000000"/>
          <w:sz w:val="28"/>
          <w:szCs w:val="28"/>
          <w:highlight w:val="none"/>
          <w:shd w:val="clear" w:color="auto" w:fill="FFFFFF"/>
          <w:lang w:val="zh-CN"/>
        </w:rPr>
        <w:t>为本项目提供的所有产品中属于3C认证产品的，均具有3C产品认证证书，并在中标后签订合同之前提供证书复印件加盖公章。</w:t>
      </w: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rPr>
          <w:rFonts w:ascii="宋体" w:hAnsi="宋体"/>
          <w:bCs/>
          <w:sz w:val="28"/>
        </w:rPr>
      </w:pPr>
    </w:p>
    <w:p>
      <w:pPr>
        <w:adjustRightInd w:val="0"/>
        <w:spacing w:line="400" w:lineRule="exact"/>
        <w:ind w:firstLine="420" w:firstLineChars="150"/>
        <w:rPr>
          <w:rFonts w:ascii="宋体" w:hAnsi="宋体"/>
          <w:bCs/>
          <w:sz w:val="28"/>
        </w:rPr>
      </w:pPr>
    </w:p>
    <w:p>
      <w:pPr>
        <w:pStyle w:val="4"/>
      </w:pPr>
      <w:bookmarkStart w:id="69" w:name="_Toc20680"/>
      <w:r>
        <w:rPr>
          <w:rFonts w:hint="eastAsia"/>
        </w:rPr>
        <w:t>报价要求</w:t>
      </w:r>
      <w:r>
        <w:t>响应文件</w:t>
      </w:r>
      <w:bookmarkEnd w:id="69"/>
    </w:p>
    <w:p>
      <w:pPr>
        <w:pStyle w:val="5"/>
        <w:tabs>
          <w:tab w:val="left" w:pos="709"/>
        </w:tabs>
        <w:ind w:left="1375" w:leftChars="0" w:hanging="1135" w:firstLineChars="0"/>
        <w:jc w:val="left"/>
        <w:rPr>
          <w:color w:val="auto"/>
        </w:rPr>
      </w:pPr>
      <w:r>
        <w:rPr>
          <w:rFonts w:hint="eastAsia"/>
          <w:color w:val="auto"/>
        </w:rPr>
        <w:t>开标一览</w:t>
      </w:r>
      <w:r>
        <w:rPr>
          <w:color w:val="auto"/>
        </w:rPr>
        <w:t>表</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标项1：</w:t>
      </w:r>
      <w:r>
        <w:rPr>
          <w:rFonts w:hint="eastAsia" w:ascii="宋体" w:hAnsi="宋体"/>
          <w:b/>
          <w:bCs/>
          <w:sz w:val="28"/>
          <w:szCs w:val="28"/>
          <w:u w:val="single"/>
          <w:lang w:eastAsia="zh-CN"/>
        </w:rPr>
        <w:t>成都市郫都区总工会油电混动汽车采购项目</w:t>
      </w:r>
    </w:p>
    <w:tbl>
      <w:tblPr>
        <w:tblStyle w:val="4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w:t>
            </w:r>
            <w:r>
              <w:rPr>
                <w:rFonts w:hint="eastAsia" w:ascii="宋体" w:hAnsi="宋体"/>
                <w:sz w:val="28"/>
                <w:szCs w:val="28"/>
                <w:lang w:val="en-US" w:eastAsia="zh-CN"/>
              </w:rPr>
              <w:t>万</w:t>
            </w:r>
            <w:r>
              <w:rPr>
                <w:rFonts w:hint="eastAsia" w:ascii="宋体" w:hAnsi="宋体"/>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报价以供应商在政府采购云平台开标一览表中填写的报价为准。</w:t>
      </w: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360" w:lineRule="auto"/>
        <w:rPr>
          <w:rFonts w:ascii="宋体" w:hAnsi="宋体"/>
          <w:spacing w:val="6"/>
          <w:sz w:val="28"/>
          <w:szCs w:val="28"/>
        </w:rPr>
      </w:pPr>
    </w:p>
    <w:p>
      <w:pPr>
        <w:snapToGrid w:val="0"/>
        <w:spacing w:line="360" w:lineRule="auto"/>
        <w:rPr>
          <w:rFonts w:ascii="宋体" w:hAnsi="宋体"/>
          <w:spacing w:val="6"/>
          <w:sz w:val="28"/>
          <w:szCs w:val="28"/>
        </w:rPr>
      </w:pPr>
    </w:p>
    <w:p>
      <w:pPr>
        <w:pStyle w:val="5"/>
        <w:tabs>
          <w:tab w:val="left" w:pos="709"/>
        </w:tabs>
        <w:ind w:left="1375" w:leftChars="0" w:hanging="1135" w:firstLineChars="0"/>
        <w:jc w:val="left"/>
        <w:rPr>
          <w:color w:val="auto"/>
        </w:rPr>
      </w:pPr>
      <w:r>
        <w:rPr>
          <w:rFonts w:hint="eastAsia"/>
          <w:color w:val="auto"/>
        </w:rPr>
        <w:t>分项</w:t>
      </w:r>
      <w:r>
        <w:rPr>
          <w:color w:val="auto"/>
        </w:rPr>
        <w:t>报价</w:t>
      </w:r>
      <w:r>
        <w:rPr>
          <w:rFonts w:hint="eastAsia"/>
          <w:color w:val="auto"/>
        </w:rPr>
        <w:t>明细</w:t>
      </w:r>
      <w:r>
        <w:rPr>
          <w:color w:val="auto"/>
        </w:rPr>
        <w:t>表</w:t>
      </w:r>
    </w:p>
    <w:tbl>
      <w:tblPr>
        <w:tblStyle w:val="45"/>
        <w:tblW w:w="7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436"/>
        <w:gridCol w:w="1782"/>
        <w:gridCol w:w="788"/>
        <w:gridCol w:w="1417"/>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1" w:type="dxa"/>
            <w:vAlign w:val="center"/>
          </w:tcPr>
          <w:p>
            <w:pPr>
              <w:spacing w:before="156" w:beforeLines="50" w:line="360" w:lineRule="auto"/>
              <w:jc w:val="center"/>
              <w:rPr>
                <w:rFonts w:ascii="宋体" w:hAnsi="宋体"/>
                <w:b/>
              </w:rPr>
            </w:pPr>
            <w:r>
              <w:rPr>
                <w:rFonts w:hint="eastAsia" w:ascii="宋体" w:hAnsi="宋体"/>
                <w:b/>
              </w:rPr>
              <w:t>序号</w:t>
            </w:r>
          </w:p>
        </w:tc>
        <w:tc>
          <w:tcPr>
            <w:tcW w:w="1436" w:type="dxa"/>
            <w:vAlign w:val="center"/>
          </w:tcPr>
          <w:p>
            <w:pPr>
              <w:spacing w:before="156" w:beforeLines="50" w:line="360" w:lineRule="auto"/>
              <w:jc w:val="center"/>
              <w:rPr>
                <w:rFonts w:ascii="宋体" w:hAnsi="宋体"/>
                <w:b/>
              </w:rPr>
            </w:pPr>
            <w:r>
              <w:rPr>
                <w:rFonts w:hint="eastAsia" w:ascii="宋体" w:hAnsi="宋体"/>
                <w:b/>
              </w:rPr>
              <w:t>货物名称</w:t>
            </w:r>
          </w:p>
        </w:tc>
        <w:tc>
          <w:tcPr>
            <w:tcW w:w="1782" w:type="dxa"/>
            <w:vAlign w:val="center"/>
          </w:tcPr>
          <w:p>
            <w:pPr>
              <w:spacing w:before="156" w:beforeLines="50" w:line="360" w:lineRule="auto"/>
              <w:jc w:val="center"/>
              <w:rPr>
                <w:rFonts w:hint="default" w:ascii="宋体" w:hAnsi="宋体" w:eastAsia="宋体"/>
                <w:b/>
                <w:lang w:val="en-US" w:eastAsia="zh-CN"/>
              </w:rPr>
            </w:pPr>
            <w:r>
              <w:rPr>
                <w:rFonts w:hint="eastAsia" w:ascii="宋体" w:hAnsi="宋体"/>
                <w:b/>
                <w:lang w:val="en-US" w:eastAsia="zh-CN"/>
              </w:rPr>
              <w:t>生产厂家、品牌及规格型号</w:t>
            </w:r>
          </w:p>
        </w:tc>
        <w:tc>
          <w:tcPr>
            <w:tcW w:w="788" w:type="dxa"/>
            <w:vAlign w:val="center"/>
          </w:tcPr>
          <w:p>
            <w:pPr>
              <w:spacing w:before="156" w:beforeLines="50" w:line="360" w:lineRule="auto"/>
              <w:jc w:val="center"/>
              <w:rPr>
                <w:rFonts w:hint="eastAsia" w:ascii="宋体" w:hAnsi="宋体" w:eastAsia="宋体"/>
                <w:b/>
                <w:lang w:eastAsia="zh-CN"/>
              </w:rPr>
            </w:pPr>
            <w:r>
              <w:rPr>
                <w:rFonts w:hint="eastAsia" w:ascii="宋体" w:hAnsi="宋体"/>
                <w:b/>
                <w:lang w:val="en-US" w:eastAsia="zh-CN"/>
              </w:rPr>
              <w:t>数量</w:t>
            </w:r>
          </w:p>
        </w:tc>
        <w:tc>
          <w:tcPr>
            <w:tcW w:w="1417" w:type="dxa"/>
            <w:vAlign w:val="center"/>
          </w:tcPr>
          <w:p>
            <w:pPr>
              <w:spacing w:before="156" w:beforeLines="50" w:line="360" w:lineRule="auto"/>
              <w:jc w:val="center"/>
              <w:rPr>
                <w:rFonts w:hint="default" w:ascii="宋体" w:hAnsi="宋体" w:eastAsia="宋体"/>
                <w:b/>
                <w:lang w:val="en-US" w:eastAsia="zh-CN"/>
              </w:rPr>
            </w:pPr>
            <w:r>
              <w:rPr>
                <w:rFonts w:hint="eastAsia" w:ascii="宋体" w:hAnsi="宋体"/>
                <w:b/>
                <w:lang w:val="en-US" w:eastAsia="zh-CN"/>
              </w:rPr>
              <w:t>交货时间及地点</w:t>
            </w:r>
          </w:p>
        </w:tc>
        <w:tc>
          <w:tcPr>
            <w:tcW w:w="851" w:type="dxa"/>
            <w:vAlign w:val="center"/>
          </w:tcPr>
          <w:p>
            <w:pPr>
              <w:spacing w:before="156" w:beforeLines="50" w:line="360" w:lineRule="auto"/>
              <w:jc w:val="center"/>
              <w:rPr>
                <w:rFonts w:hint="default" w:ascii="宋体" w:hAnsi="宋体" w:eastAsia="宋体"/>
                <w:b/>
                <w:lang w:val="en-US" w:eastAsia="zh-CN"/>
              </w:rPr>
            </w:pPr>
            <w:r>
              <w:rPr>
                <w:rFonts w:hint="eastAsia" w:ascii="宋体" w:hAnsi="宋体"/>
                <w:b/>
                <w:lang w:val="en-US" w:eastAsia="zh-CN"/>
              </w:rPr>
              <w:t>是否进口产品</w:t>
            </w:r>
          </w:p>
        </w:tc>
        <w:tc>
          <w:tcPr>
            <w:tcW w:w="992" w:type="dxa"/>
            <w:vAlign w:val="center"/>
          </w:tcPr>
          <w:p>
            <w:pPr>
              <w:spacing w:before="156" w:beforeLines="50" w:line="360" w:lineRule="auto"/>
              <w:jc w:val="center"/>
              <w:rPr>
                <w:rFonts w:ascii="宋体" w:hAnsi="宋体"/>
                <w:b/>
              </w:rPr>
            </w:pPr>
            <w:r>
              <w:rPr>
                <w:rFonts w:hint="eastAsia" w:ascii="宋体" w:hAnsi="宋体"/>
                <w:b/>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1" w:type="dxa"/>
            <w:vAlign w:val="center"/>
          </w:tcPr>
          <w:p>
            <w:pPr>
              <w:snapToGrid w:val="0"/>
              <w:spacing w:line="360" w:lineRule="auto"/>
              <w:jc w:val="center"/>
              <w:rPr>
                <w:rFonts w:ascii="宋体" w:hAnsi="宋体"/>
              </w:rPr>
            </w:pPr>
          </w:p>
        </w:tc>
        <w:tc>
          <w:tcPr>
            <w:tcW w:w="1436" w:type="dxa"/>
            <w:vAlign w:val="center"/>
          </w:tcPr>
          <w:p>
            <w:pPr>
              <w:spacing w:line="360" w:lineRule="auto"/>
              <w:jc w:val="center"/>
              <w:rPr>
                <w:rFonts w:ascii="宋体" w:hAnsi="宋体"/>
              </w:rPr>
            </w:pPr>
          </w:p>
        </w:tc>
        <w:tc>
          <w:tcPr>
            <w:tcW w:w="1782" w:type="dxa"/>
            <w:vAlign w:val="center"/>
          </w:tcPr>
          <w:p>
            <w:pPr>
              <w:spacing w:line="360" w:lineRule="auto"/>
              <w:jc w:val="center"/>
              <w:rPr>
                <w:rFonts w:ascii="宋体" w:hAnsi="宋体"/>
              </w:rPr>
            </w:pPr>
          </w:p>
        </w:tc>
        <w:tc>
          <w:tcPr>
            <w:tcW w:w="78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r>
    </w:tbl>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spacing w:line="440" w:lineRule="atLeast"/>
        <w:ind w:firstLine="565" w:firstLineChars="201"/>
        <w:rPr>
          <w:rFonts w:ascii="宋体" w:hAnsi="宋体"/>
          <w:b/>
          <w:sz w:val="28"/>
        </w:rPr>
      </w:pPr>
    </w:p>
    <w:p>
      <w:pPr>
        <w:pStyle w:val="2"/>
      </w:pPr>
    </w:p>
    <w:p>
      <w:pPr>
        <w:spacing w:line="440" w:lineRule="atLeast"/>
        <w:ind w:firstLine="565" w:firstLineChars="201"/>
        <w:rPr>
          <w:rFonts w:ascii="宋体" w:hAnsi="宋体"/>
          <w:b/>
          <w:sz w:val="28"/>
        </w:rPr>
      </w:pPr>
    </w:p>
    <w:p>
      <w:pPr>
        <w:pStyle w:val="5"/>
        <w:tabs>
          <w:tab w:val="left" w:pos="709"/>
        </w:tabs>
        <w:ind w:left="1375" w:leftChars="0" w:hanging="1135" w:firstLineChars="0"/>
        <w:jc w:val="left"/>
        <w:rPr>
          <w:b w:val="0"/>
          <w:bCs w:val="0"/>
          <w:color w:val="auto"/>
        </w:rPr>
      </w:pPr>
      <w:r>
        <w:rPr>
          <w:rFonts w:hint="eastAsia"/>
          <w:color w:val="auto"/>
        </w:rPr>
        <w:t>监狱企业、残疾人福利性单位制造的货物清单及价格</w:t>
      </w:r>
    </w:p>
    <w:p>
      <w:pPr>
        <w:widowControl w:val="0"/>
        <w:numPr>
          <w:ilvl w:val="0"/>
          <w:numId w:val="36"/>
        </w:numPr>
        <w:tabs>
          <w:tab w:val="left" w:pos="1134"/>
          <w:tab w:val="clear" w:pos="720"/>
        </w:tabs>
        <w:spacing w:after="200" w:line="360" w:lineRule="auto"/>
        <w:ind w:left="0" w:firstLine="565" w:firstLineChars="201"/>
        <w:jc w:val="both"/>
        <w:rPr>
          <w:rFonts w:ascii="宋体" w:hAnsi="宋体"/>
          <w:b/>
          <w:sz w:val="28"/>
        </w:rPr>
      </w:pPr>
      <w:r>
        <w:rPr>
          <w:rFonts w:hint="eastAsia" w:ascii="宋体" w:hAnsi="宋体"/>
          <w:b/>
          <w:sz w:val="28"/>
          <w:szCs w:val="28"/>
        </w:rPr>
        <w:t>供应商</w:t>
      </w:r>
      <w:r>
        <w:rPr>
          <w:rFonts w:ascii="宋体" w:hAnsi="宋体"/>
          <w:b/>
          <w:sz w:val="28"/>
          <w:szCs w:val="28"/>
        </w:rPr>
        <w:t>报价</w:t>
      </w:r>
      <w:r>
        <w:rPr>
          <w:rFonts w:hint="eastAsia" w:ascii="宋体" w:hAnsi="宋体"/>
          <w:b/>
          <w:sz w:val="28"/>
        </w:rPr>
        <w:t>产品中为监狱企业制造的货物清单及价格（说明：</w:t>
      </w:r>
      <w:r>
        <w:rPr>
          <w:rFonts w:ascii="宋体" w:hAnsi="宋体"/>
          <w:b/>
          <w:sz w:val="28"/>
        </w:rPr>
        <w:t>1、提供由省级以上监狱管理局、戒毒管理局（含新疆生产建设兵团）出具的</w:t>
      </w:r>
      <w:r>
        <w:rPr>
          <w:rFonts w:hint="eastAsia" w:ascii="宋体" w:hAnsi="宋体"/>
          <w:b/>
          <w:sz w:val="28"/>
        </w:rPr>
        <w:t>制造</w:t>
      </w:r>
      <w:r>
        <w:rPr>
          <w:rFonts w:ascii="宋体" w:hAnsi="宋体"/>
          <w:b/>
          <w:sz w:val="28"/>
        </w:rPr>
        <w:t>商属于监狱企业的证明文件复印件；2、如未提供</w:t>
      </w:r>
      <w:r>
        <w:rPr>
          <w:rFonts w:hint="eastAsia" w:ascii="宋体" w:hAnsi="宋体"/>
          <w:b/>
          <w:sz w:val="28"/>
        </w:rPr>
        <w:t>货物</w:t>
      </w:r>
      <w:r>
        <w:rPr>
          <w:rFonts w:ascii="宋体" w:hAnsi="宋体"/>
          <w:b/>
          <w:sz w:val="28"/>
        </w:rPr>
        <w:t>清单及价格以及相关证明材料复印件，则不能享受对监狱企业</w:t>
      </w:r>
      <w:r>
        <w:rPr>
          <w:rFonts w:hint="eastAsia" w:ascii="宋体" w:hAnsi="宋体"/>
          <w:b/>
          <w:sz w:val="28"/>
        </w:rPr>
        <w:t>制造的货物</w:t>
      </w:r>
      <w:r>
        <w:rPr>
          <w:rFonts w:ascii="宋体" w:hAnsi="宋体"/>
          <w:b/>
          <w:sz w:val="28"/>
        </w:rPr>
        <w:t>的价格扣除，但不影响</w:t>
      </w:r>
      <w:r>
        <w:rPr>
          <w:rFonts w:hint="eastAsia" w:ascii="宋体" w:hAnsi="宋体"/>
          <w:b/>
          <w:sz w:val="28"/>
        </w:rPr>
        <w:t>供应</w:t>
      </w:r>
      <w:r>
        <w:rPr>
          <w:rFonts w:ascii="宋体" w:hAnsi="宋体"/>
          <w:b/>
          <w:sz w:val="28"/>
        </w:rPr>
        <w:t>商</w:t>
      </w:r>
      <w:r>
        <w:rPr>
          <w:rFonts w:hint="eastAsia" w:ascii="宋体" w:hAnsi="宋体"/>
          <w:b/>
          <w:sz w:val="28"/>
        </w:rPr>
        <w:t>响应</w:t>
      </w:r>
      <w:r>
        <w:rPr>
          <w:rFonts w:ascii="宋体" w:hAnsi="宋体"/>
          <w:b/>
          <w:sz w:val="28"/>
        </w:rPr>
        <w:t>文件的有效性。）</w:t>
      </w:r>
    </w:p>
    <w:tbl>
      <w:tblPr>
        <w:tblStyle w:val="45"/>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80"/>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rPr>
            </w:pPr>
            <w:r>
              <w:rPr>
                <w:rFonts w:hint="eastAsia" w:ascii="宋体" w:hAnsi="宋体"/>
                <w:b/>
              </w:rPr>
              <w:t>序号</w:t>
            </w:r>
          </w:p>
        </w:tc>
        <w:tc>
          <w:tcPr>
            <w:tcW w:w="1720" w:type="dxa"/>
            <w:vAlign w:val="center"/>
          </w:tcPr>
          <w:p>
            <w:pPr>
              <w:spacing w:before="156" w:beforeLines="50" w:line="360" w:lineRule="auto"/>
              <w:jc w:val="center"/>
              <w:rPr>
                <w:rFonts w:ascii="宋体" w:hAnsi="宋体"/>
                <w:b/>
              </w:rPr>
            </w:pPr>
            <w:r>
              <w:rPr>
                <w:rFonts w:hint="eastAsia" w:ascii="宋体" w:hAnsi="宋体"/>
                <w:b/>
              </w:rPr>
              <w:t>货物名称</w:t>
            </w:r>
          </w:p>
        </w:tc>
        <w:tc>
          <w:tcPr>
            <w:tcW w:w="694" w:type="dxa"/>
            <w:vAlign w:val="center"/>
          </w:tcPr>
          <w:p>
            <w:pPr>
              <w:spacing w:before="156" w:beforeLines="50" w:line="360" w:lineRule="auto"/>
              <w:jc w:val="center"/>
              <w:rPr>
                <w:rFonts w:ascii="宋体" w:hAnsi="宋体"/>
                <w:b/>
              </w:rPr>
            </w:pPr>
            <w:r>
              <w:rPr>
                <w:rFonts w:hint="eastAsia" w:ascii="宋体" w:hAnsi="宋体"/>
                <w:b/>
              </w:rPr>
              <w:t>品牌</w:t>
            </w:r>
          </w:p>
        </w:tc>
        <w:tc>
          <w:tcPr>
            <w:tcW w:w="1253" w:type="dxa"/>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vAlign w:val="center"/>
          </w:tcPr>
          <w:p>
            <w:pPr>
              <w:spacing w:before="156" w:beforeLines="50" w:line="360" w:lineRule="auto"/>
              <w:jc w:val="center"/>
              <w:rPr>
                <w:rFonts w:ascii="宋体" w:hAnsi="宋体"/>
                <w:b/>
              </w:rPr>
            </w:pPr>
            <w:r>
              <w:rPr>
                <w:rFonts w:hint="eastAsia" w:ascii="宋体" w:hAnsi="宋体"/>
                <w:b/>
              </w:rPr>
              <w:t>制造商</w:t>
            </w:r>
          </w:p>
        </w:tc>
        <w:tc>
          <w:tcPr>
            <w:tcW w:w="851" w:type="dxa"/>
            <w:vAlign w:val="center"/>
          </w:tcPr>
          <w:p>
            <w:pPr>
              <w:spacing w:before="156" w:beforeLines="50" w:line="360" w:lineRule="auto"/>
              <w:jc w:val="center"/>
              <w:rPr>
                <w:rFonts w:ascii="宋体" w:hAnsi="宋体"/>
                <w:b/>
              </w:rPr>
            </w:pPr>
            <w:r>
              <w:rPr>
                <w:rFonts w:hint="eastAsia" w:ascii="宋体" w:hAnsi="宋体"/>
                <w:b/>
              </w:rPr>
              <w:t>数量</w:t>
            </w:r>
          </w:p>
        </w:tc>
        <w:tc>
          <w:tcPr>
            <w:tcW w:w="992" w:type="dxa"/>
            <w:gridSpan w:val="2"/>
            <w:vAlign w:val="center"/>
          </w:tcPr>
          <w:p>
            <w:pPr>
              <w:spacing w:before="156" w:beforeLines="50" w:line="360" w:lineRule="auto"/>
              <w:jc w:val="center"/>
              <w:rPr>
                <w:rFonts w:ascii="宋体" w:hAnsi="宋体"/>
                <w:b/>
              </w:rPr>
            </w:pPr>
            <w:r>
              <w:rPr>
                <w:rFonts w:hint="eastAsia" w:ascii="宋体" w:hAnsi="宋体"/>
                <w:b/>
              </w:rPr>
              <w:t>单价</w:t>
            </w:r>
          </w:p>
        </w:tc>
        <w:tc>
          <w:tcPr>
            <w:tcW w:w="1406" w:type="dxa"/>
            <w:vAlign w:val="center"/>
          </w:tcPr>
          <w:p>
            <w:pPr>
              <w:spacing w:before="156"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gridSpan w:val="2"/>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gridSpan w:val="2"/>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gridSpan w:val="2"/>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875" w:type="dxa"/>
            <w:gridSpan w:val="7"/>
            <w:vAlign w:val="center"/>
          </w:tcPr>
          <w:p>
            <w:pPr>
              <w:spacing w:line="360" w:lineRule="auto"/>
              <w:jc w:val="center"/>
              <w:rPr>
                <w:rFonts w:ascii="宋体" w:hAnsi="宋体"/>
              </w:rPr>
            </w:pPr>
            <w:r>
              <w:rPr>
                <w:rFonts w:hint="eastAsia" w:ascii="宋体" w:hAnsi="宋体" w:cs="宋体"/>
                <w:b/>
              </w:rPr>
              <w:t>监狱企业制造的货物</w:t>
            </w:r>
            <w:r>
              <w:rPr>
                <w:rFonts w:hint="eastAsia" w:ascii="宋体" w:hAnsi="宋体"/>
                <w:b/>
              </w:rPr>
              <w:t>总价合计</w:t>
            </w:r>
          </w:p>
        </w:tc>
        <w:tc>
          <w:tcPr>
            <w:tcW w:w="1418" w:type="dxa"/>
            <w:gridSpan w:val="2"/>
            <w:vAlign w:val="center"/>
          </w:tcPr>
          <w:p>
            <w:pPr>
              <w:spacing w:line="360" w:lineRule="auto"/>
              <w:rPr>
                <w:rFonts w:ascii="宋体" w:hAnsi="宋体"/>
              </w:rPr>
            </w:pPr>
            <w:r>
              <w:rPr>
                <w:rFonts w:hint="eastAsia" w:ascii="宋体" w:hAnsi="宋体"/>
              </w:rPr>
              <w:t>￥</w:t>
            </w:r>
          </w:p>
        </w:tc>
      </w:tr>
    </w:tbl>
    <w:p>
      <w:pPr>
        <w:widowControl w:val="0"/>
        <w:numPr>
          <w:ilvl w:val="0"/>
          <w:numId w:val="36"/>
        </w:numPr>
        <w:tabs>
          <w:tab w:val="left" w:pos="630"/>
          <w:tab w:val="left" w:pos="7560"/>
        </w:tabs>
        <w:spacing w:after="200" w:line="360" w:lineRule="auto"/>
        <w:ind w:left="0" w:firstLine="0"/>
        <w:jc w:val="both"/>
        <w:rPr>
          <w:rFonts w:ascii="宋体" w:hAnsi="宋体"/>
          <w:b/>
          <w:sz w:val="28"/>
        </w:rPr>
      </w:pPr>
      <w:r>
        <w:rPr>
          <w:rFonts w:hint="eastAsia" w:ascii="宋体" w:hAnsi="宋体"/>
          <w:b/>
          <w:sz w:val="28"/>
          <w:szCs w:val="28"/>
        </w:rPr>
        <w:t>供应商</w:t>
      </w:r>
      <w:r>
        <w:rPr>
          <w:rFonts w:ascii="宋体" w:hAnsi="宋体"/>
          <w:b/>
          <w:sz w:val="28"/>
          <w:szCs w:val="28"/>
        </w:rPr>
        <w:t>报价</w:t>
      </w:r>
      <w:r>
        <w:rPr>
          <w:rFonts w:hint="eastAsia" w:ascii="宋体" w:hAnsi="宋体"/>
          <w:b/>
          <w:sz w:val="28"/>
        </w:rPr>
        <w:t>产品中为残疾人福利性单位制造的货物清单及价格（说明：如未提供则不能享受对残疾人福利性单位制造的货物的价格扣除，</w:t>
      </w:r>
      <w:r>
        <w:rPr>
          <w:rFonts w:ascii="宋体" w:hAnsi="宋体"/>
          <w:b/>
          <w:sz w:val="28"/>
        </w:rPr>
        <w:t>但不影响</w:t>
      </w:r>
      <w:r>
        <w:rPr>
          <w:rFonts w:hint="eastAsia" w:ascii="宋体" w:hAnsi="宋体"/>
          <w:b/>
          <w:sz w:val="28"/>
        </w:rPr>
        <w:t>供应商</w:t>
      </w:r>
      <w:r>
        <w:rPr>
          <w:rFonts w:ascii="宋体" w:hAnsi="宋体"/>
          <w:b/>
          <w:sz w:val="28"/>
        </w:rPr>
        <w:t>响应文件的有效性。</w:t>
      </w:r>
      <w:r>
        <w:rPr>
          <w:rFonts w:hint="eastAsia" w:ascii="宋体" w:hAnsi="宋体"/>
          <w:b/>
          <w:sz w:val="28"/>
        </w:rPr>
        <w:t>）</w:t>
      </w:r>
    </w:p>
    <w:tbl>
      <w:tblPr>
        <w:tblStyle w:val="45"/>
        <w:tblW w:w="10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418"/>
        <w:gridCol w:w="1418"/>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rPr>
            </w:pPr>
            <w:r>
              <w:rPr>
                <w:rFonts w:hint="eastAsia" w:ascii="宋体" w:hAnsi="宋体"/>
                <w:b/>
              </w:rPr>
              <w:t>序号</w:t>
            </w:r>
          </w:p>
        </w:tc>
        <w:tc>
          <w:tcPr>
            <w:tcW w:w="1720" w:type="dxa"/>
            <w:vAlign w:val="center"/>
          </w:tcPr>
          <w:p>
            <w:pPr>
              <w:spacing w:before="156" w:beforeLines="50" w:line="360" w:lineRule="auto"/>
              <w:jc w:val="center"/>
              <w:rPr>
                <w:rFonts w:ascii="宋体" w:hAnsi="宋体"/>
                <w:b/>
              </w:rPr>
            </w:pPr>
            <w:r>
              <w:rPr>
                <w:rFonts w:hint="eastAsia" w:ascii="宋体" w:hAnsi="宋体"/>
                <w:b/>
              </w:rPr>
              <w:t>货物名称</w:t>
            </w:r>
          </w:p>
        </w:tc>
        <w:tc>
          <w:tcPr>
            <w:tcW w:w="1418" w:type="dxa"/>
          </w:tcPr>
          <w:p>
            <w:pPr>
              <w:spacing w:before="156" w:beforeLines="50" w:line="360" w:lineRule="auto"/>
              <w:jc w:val="center"/>
              <w:rPr>
                <w:rFonts w:ascii="宋体" w:hAnsi="宋体"/>
                <w:b/>
              </w:rPr>
            </w:pPr>
            <w:r>
              <w:rPr>
                <w:rFonts w:hint="eastAsia" w:ascii="宋体" w:hAnsi="宋体"/>
                <w:b/>
              </w:rPr>
              <w:t>品牌</w:t>
            </w:r>
          </w:p>
        </w:tc>
        <w:tc>
          <w:tcPr>
            <w:tcW w:w="1418" w:type="dxa"/>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vAlign w:val="center"/>
          </w:tcPr>
          <w:p>
            <w:pPr>
              <w:spacing w:before="156" w:beforeLines="50" w:line="360" w:lineRule="auto"/>
              <w:jc w:val="center"/>
              <w:rPr>
                <w:rFonts w:ascii="宋体" w:hAnsi="宋体"/>
                <w:b/>
              </w:rPr>
            </w:pPr>
            <w:r>
              <w:rPr>
                <w:rFonts w:hint="eastAsia" w:ascii="宋体" w:hAnsi="宋体"/>
                <w:b/>
              </w:rPr>
              <w:t>制造商</w:t>
            </w:r>
          </w:p>
        </w:tc>
        <w:tc>
          <w:tcPr>
            <w:tcW w:w="851" w:type="dxa"/>
            <w:vAlign w:val="center"/>
          </w:tcPr>
          <w:p>
            <w:pPr>
              <w:spacing w:before="156" w:beforeLines="50" w:line="360" w:lineRule="auto"/>
              <w:jc w:val="center"/>
              <w:rPr>
                <w:rFonts w:ascii="宋体" w:hAnsi="宋体"/>
                <w:b/>
              </w:rPr>
            </w:pPr>
            <w:r>
              <w:rPr>
                <w:rFonts w:hint="eastAsia" w:ascii="宋体" w:hAnsi="宋体"/>
                <w:b/>
              </w:rPr>
              <w:t>数量</w:t>
            </w:r>
          </w:p>
        </w:tc>
        <w:tc>
          <w:tcPr>
            <w:tcW w:w="992" w:type="dxa"/>
            <w:vAlign w:val="center"/>
          </w:tcPr>
          <w:p>
            <w:pPr>
              <w:spacing w:before="156" w:beforeLines="50" w:line="360" w:lineRule="auto"/>
              <w:jc w:val="center"/>
              <w:rPr>
                <w:rFonts w:ascii="宋体" w:hAnsi="宋体"/>
                <w:b/>
              </w:rPr>
            </w:pPr>
            <w:r>
              <w:rPr>
                <w:rFonts w:hint="eastAsia" w:ascii="宋体" w:hAnsi="宋体"/>
                <w:b/>
              </w:rPr>
              <w:t>单价</w:t>
            </w:r>
          </w:p>
        </w:tc>
        <w:tc>
          <w:tcPr>
            <w:tcW w:w="1346" w:type="dxa"/>
            <w:vAlign w:val="center"/>
          </w:tcPr>
          <w:p>
            <w:pPr>
              <w:spacing w:before="156"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76" w:type="dxa"/>
            <w:gridSpan w:val="7"/>
          </w:tcPr>
          <w:p>
            <w:pPr>
              <w:spacing w:line="360" w:lineRule="auto"/>
              <w:jc w:val="center"/>
              <w:rPr>
                <w:rFonts w:ascii="宋体" w:hAnsi="宋体"/>
              </w:rPr>
            </w:pPr>
            <w:r>
              <w:rPr>
                <w:rFonts w:hint="eastAsia" w:ascii="宋体" w:hAnsi="宋体" w:cs="宋体"/>
                <w:b/>
              </w:rPr>
              <w:t>残疾人福利性单位制造的货物</w:t>
            </w:r>
            <w:r>
              <w:rPr>
                <w:rFonts w:hint="eastAsia" w:ascii="宋体" w:hAnsi="宋体"/>
                <w:b/>
              </w:rPr>
              <w:t>总价合计</w:t>
            </w:r>
          </w:p>
        </w:tc>
        <w:tc>
          <w:tcPr>
            <w:tcW w:w="1346" w:type="dxa"/>
            <w:vAlign w:val="center"/>
          </w:tcPr>
          <w:p>
            <w:pPr>
              <w:spacing w:line="360" w:lineRule="auto"/>
              <w:rPr>
                <w:rFonts w:ascii="宋体" w:hAnsi="宋体"/>
              </w:rPr>
            </w:pPr>
            <w:r>
              <w:rPr>
                <w:rFonts w:hint="eastAsia" w:ascii="宋体" w:hAnsi="宋体"/>
              </w:rPr>
              <w:t>￥</w:t>
            </w:r>
          </w:p>
        </w:tc>
      </w:tr>
    </w:tbl>
    <w:p>
      <w:pPr>
        <w:tabs>
          <w:tab w:val="left" w:pos="630"/>
          <w:tab w:val="left" w:pos="7560"/>
        </w:tabs>
        <w:spacing w:line="360" w:lineRule="auto"/>
        <w:rPr>
          <w:rFonts w:ascii="宋体" w:hAnsi="宋体"/>
          <w:sz w:val="28"/>
          <w:szCs w:val="28"/>
        </w:rPr>
      </w:pPr>
    </w:p>
    <w:p>
      <w:pPr>
        <w:spacing w:line="360" w:lineRule="auto"/>
        <w:rPr>
          <w:rFonts w:ascii="宋体" w:hAnsi="宋体"/>
          <w:sz w:val="28"/>
          <w:lang w:val="zh-CN"/>
        </w:rPr>
      </w:pPr>
      <w:r>
        <w:rPr>
          <w:rFonts w:hint="eastAsia" w:ascii="宋体" w:hAnsi="宋体"/>
          <w:sz w:val="28"/>
          <w:lang w:val="zh-CN"/>
        </w:rPr>
        <w:t>供应商名称：</w:t>
      </w:r>
      <w:r>
        <w:rPr>
          <w:rFonts w:ascii="宋体" w:hAnsi="宋体"/>
          <w:sz w:val="28"/>
          <w:u w:val="single"/>
          <w:lang w:val="zh-CN"/>
        </w:rPr>
        <w:t>XXXXXXXX</w:t>
      </w:r>
    </w:p>
    <w:p>
      <w:pPr>
        <w:spacing w:line="360" w:lineRule="auto"/>
        <w:rPr>
          <w:rFonts w:ascii="宋体" w:hAnsi="宋体"/>
          <w:bCs/>
          <w:sz w:val="28"/>
        </w:rPr>
      </w:pPr>
      <w:r>
        <w:rPr>
          <w:rFonts w:ascii="宋体" w:hAnsi="宋体"/>
          <w:sz w:val="28"/>
        </w:rPr>
        <w:t>日期：</w:t>
      </w:r>
      <w:r>
        <w:rPr>
          <w:rFonts w:ascii="宋体" w:hAnsi="宋体"/>
          <w:bCs/>
          <w:sz w:val="28"/>
        </w:rPr>
        <w:t>202X年XX月XX日</w:t>
      </w:r>
    </w:p>
    <w:p>
      <w:pPr>
        <w:pStyle w:val="5"/>
        <w:tabs>
          <w:tab w:val="left" w:pos="709"/>
        </w:tabs>
        <w:ind w:left="1375" w:leftChars="0" w:hanging="1135" w:firstLineChars="0"/>
        <w:jc w:val="left"/>
        <w:rPr>
          <w:color w:val="auto"/>
        </w:rPr>
      </w:pPr>
      <w:r>
        <w:rPr>
          <w:rFonts w:hint="eastAsia"/>
          <w:color w:val="auto"/>
        </w:rPr>
        <w:t>中小企业声明函</w:t>
      </w:r>
    </w:p>
    <w:p>
      <w:pPr>
        <w:snapToGrid w:val="0"/>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spacing w:line="480" w:lineRule="exact"/>
        <w:ind w:firstLine="561"/>
        <w:rPr>
          <w:rFonts w:ascii="宋体" w:hAnsi="宋体"/>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b/>
          <w:bCs/>
          <w:sz w:val="28"/>
          <w:szCs w:val="28"/>
          <w:u w:val="single"/>
          <w:lang w:eastAsia="zh-CN"/>
        </w:rPr>
        <w:t xml:space="preserve">成都市郫都区总工会 </w:t>
      </w:r>
      <w:r>
        <w:rPr>
          <w:rFonts w:hint="eastAsia" w:ascii="宋体" w:hAnsi="宋体"/>
          <w:sz w:val="28"/>
          <w:szCs w:val="28"/>
        </w:rPr>
        <w:t>（单位名称）的</w:t>
      </w:r>
      <w:r>
        <w:rPr>
          <w:rFonts w:hint="eastAsia" w:ascii="宋体" w:hAnsi="宋体"/>
          <w:b/>
          <w:bCs/>
          <w:sz w:val="28"/>
          <w:szCs w:val="28"/>
          <w:u w:val="single"/>
          <w:lang w:eastAsia="zh-CN"/>
        </w:rPr>
        <w:t>油电混动汽车采购项目</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w:t>
      </w:r>
      <w:r>
        <w:rPr>
          <w:rFonts w:hint="eastAsia" w:ascii="宋体" w:hAnsi="宋体"/>
          <w:sz w:val="28"/>
          <w:szCs w:val="28"/>
          <w:u w:val="single"/>
          <w:lang w:val="en-US" w:eastAsia="zh-CN"/>
        </w:rPr>
        <w:t>油电混动汽车</w:t>
      </w:r>
      <w:r>
        <w:rPr>
          <w:rFonts w:hint="eastAsia" w:ascii="宋体" w:hAnsi="宋体"/>
          <w:sz w:val="28"/>
          <w:szCs w:val="28"/>
        </w:rPr>
        <w:t>（标的名称），属于</w:t>
      </w:r>
      <w:r>
        <w:rPr>
          <w:rFonts w:hint="eastAsia" w:ascii="宋体" w:hAnsi="宋体"/>
          <w:sz w:val="28"/>
          <w:szCs w:val="28"/>
          <w:u w:val="single"/>
        </w:rPr>
        <w:t>_</w:t>
      </w:r>
      <w:r>
        <w:rPr>
          <w:rFonts w:hint="eastAsia" w:ascii="宋体" w:hAnsi="宋体"/>
          <w:sz w:val="28"/>
          <w:szCs w:val="28"/>
          <w:u w:val="single"/>
          <w:lang w:val="en-US" w:eastAsia="zh-CN"/>
        </w:rPr>
        <w:t>工业</w:t>
      </w:r>
      <w:r>
        <w:rPr>
          <w:rFonts w:hint="eastAsia" w:ascii="宋体" w:hAnsi="宋体"/>
          <w:sz w:val="28"/>
          <w:szCs w:val="28"/>
          <w:u w:val="single"/>
        </w:rPr>
        <w:t>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80"/>
        <w:tabs>
          <w:tab w:val="left" w:pos="567"/>
          <w:tab w:val="left" w:pos="709"/>
          <w:tab w:val="left" w:pos="851"/>
        </w:tabs>
        <w:spacing w:line="520" w:lineRule="exact"/>
        <w:ind w:firstLine="0" w:firstLineChars="0"/>
        <w:rPr>
          <w:rFonts w:ascii="宋体" w:hAnsi="宋体" w:eastAsia="宋体"/>
          <w:b/>
          <w:sz w:val="28"/>
          <w:szCs w:val="28"/>
        </w:rPr>
      </w:pPr>
      <w:r>
        <w:rPr>
          <w:rFonts w:hint="eastAsia" w:ascii="宋体" w:hAnsi="宋体" w:eastAsia="宋体"/>
          <w:b/>
          <w:sz w:val="28"/>
          <w:szCs w:val="28"/>
        </w:rPr>
        <w:t>说明：从业人员、营业收入、资产总额填报上一年度数据，无上一年度数据的新成立企业可不填报。</w:t>
      </w: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5"/>
        <w:tabs>
          <w:tab w:val="left" w:pos="709"/>
        </w:tabs>
        <w:ind w:left="1375" w:leftChars="0" w:hanging="1135" w:firstLineChars="0"/>
        <w:jc w:val="left"/>
        <w:rPr>
          <w:b w:val="0"/>
          <w:bCs w:val="0"/>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hint="eastAsia"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p>
    <w:p>
      <w:pPr>
        <w:spacing w:line="588" w:lineRule="exact"/>
        <w:rPr>
          <w:rFonts w:ascii="宋体" w:hAnsi="宋体"/>
          <w:spacing w:val="6"/>
          <w:sz w:val="28"/>
          <w:szCs w:val="28"/>
        </w:rPr>
      </w:pPr>
      <w:r>
        <w:rPr>
          <w:rFonts w:hint="eastAsia" w:ascii="宋体" w:hAnsi="宋体"/>
          <w:b/>
          <w:bCs/>
          <w:sz w:val="28"/>
          <w:szCs w:val="28"/>
          <w:u w:val="single"/>
          <w:lang w:val="en-US" w:eastAsia="zh-CN"/>
        </w:rPr>
        <w:t xml:space="preserve">                         </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8"/>
        <w:jc w:val="right"/>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pStyle w:val="5"/>
        <w:tabs>
          <w:tab w:val="left" w:pos="709"/>
        </w:tabs>
        <w:ind w:left="1375" w:leftChars="0" w:hanging="1135" w:firstLineChars="0"/>
        <w:jc w:val="left"/>
        <w:rPr>
          <w:color w:val="auto"/>
        </w:rPr>
      </w:pPr>
      <w:r>
        <w:rPr>
          <w:rFonts w:hint="eastAsia"/>
          <w:color w:val="auto"/>
        </w:rPr>
        <w:t>报</w:t>
      </w:r>
      <w:r>
        <w:rPr>
          <w:color w:val="auto"/>
        </w:rPr>
        <w:t>价</w:t>
      </w:r>
      <w:r>
        <w:rPr>
          <w:rFonts w:hint="eastAsia"/>
          <w:color w:val="auto"/>
        </w:rPr>
        <w:t>产品</w:t>
      </w:r>
      <w:r>
        <w:rPr>
          <w:color w:val="auto"/>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ascii="宋体" w:hAnsi="宋体"/>
          <w:spacing w:val="6"/>
          <w:sz w:val="28"/>
          <w:szCs w:val="28"/>
        </w:rPr>
      </w:pPr>
      <w:r>
        <w:rPr>
          <w:rFonts w:hint="eastAsia"/>
          <w:sz w:val="28"/>
          <w:szCs w:val="28"/>
        </w:rPr>
        <w:t>报</w:t>
      </w:r>
      <w:r>
        <w:rPr>
          <w:sz w:val="28"/>
          <w:szCs w:val="28"/>
        </w:rPr>
        <w:t>价产品中为监狱企业制造的货物应提供由省级以上监狱管理局、戒毒管理局（含新疆生产建设兵团）出具的制造商属于监狱企业的证明文件复印件</w:t>
      </w:r>
      <w:r>
        <w:rPr>
          <w:rFonts w:hint="eastAsia"/>
          <w:sz w:val="28"/>
          <w:szCs w:val="28"/>
        </w:rPr>
        <w:t>。</w:t>
      </w:r>
    </w:p>
    <w:p>
      <w:pPr>
        <w:spacing w:line="440" w:lineRule="atLeast"/>
        <w:ind w:firstLine="1262" w:firstLineChars="449"/>
        <w:rPr>
          <w:rFonts w:ascii="宋体" w:hAnsi="宋体"/>
          <w:b/>
          <w:sz w:val="28"/>
          <w:szCs w:val="28"/>
        </w:rPr>
      </w:pPr>
    </w:p>
    <w:p>
      <w:pPr>
        <w:spacing w:line="440" w:lineRule="atLeast"/>
        <w:ind w:firstLine="1262" w:firstLineChars="449"/>
        <w:rPr>
          <w:rFonts w:ascii="宋体" w:hAnsi="宋体"/>
          <w:b/>
          <w:sz w:val="28"/>
          <w:szCs w:val="28"/>
        </w:rPr>
      </w:pPr>
    </w:p>
    <w:p>
      <w:pPr>
        <w:spacing w:line="440" w:lineRule="atLeast"/>
        <w:ind w:firstLine="1262" w:firstLineChars="449"/>
        <w:rPr>
          <w:rFonts w:ascii="宋体" w:hAnsi="宋体"/>
          <w:b/>
          <w:sz w:val="28"/>
          <w:szCs w:val="28"/>
        </w:rPr>
      </w:pPr>
    </w:p>
    <w:p>
      <w:pPr>
        <w:spacing w:line="440" w:lineRule="atLeast"/>
        <w:ind w:firstLine="1262" w:firstLineChars="449"/>
        <w:rPr>
          <w:rFonts w:ascii="宋体" w:hAnsi="宋体"/>
          <w:b/>
          <w:sz w:val="28"/>
          <w:szCs w:val="28"/>
        </w:rPr>
      </w:pPr>
    </w:p>
    <w:p>
      <w:pPr>
        <w:spacing w:line="440" w:lineRule="atLeast"/>
        <w:ind w:firstLine="1262" w:firstLineChars="449"/>
        <w:rPr>
          <w:rFonts w:ascii="宋体" w:hAnsi="宋体"/>
          <w:b/>
          <w:sz w:val="28"/>
          <w:szCs w:val="28"/>
        </w:rPr>
      </w:pPr>
    </w:p>
    <w:p>
      <w:pPr>
        <w:spacing w:line="440" w:lineRule="atLeast"/>
        <w:rPr>
          <w:rFonts w:ascii="宋体" w:hAnsi="宋体"/>
          <w:b/>
          <w:sz w:val="28"/>
          <w:szCs w:val="28"/>
        </w:rPr>
      </w:pPr>
    </w:p>
    <w:p>
      <w:pPr>
        <w:spacing w:line="588" w:lineRule="exact"/>
        <w:ind w:firstLine="563"/>
        <w:rPr>
          <w:rFonts w:ascii="宋体" w:hAnsi="宋体"/>
          <w:sz w:val="28"/>
        </w:rPr>
      </w:pPr>
      <w:r>
        <w:rPr>
          <w:rFonts w:hint="eastAsia" w:ascii="宋体" w:hAnsi="宋体"/>
          <w:b/>
          <w:spacing w:val="6"/>
          <w:sz w:val="28"/>
          <w:szCs w:val="28"/>
        </w:rPr>
        <w:t>说明：</w:t>
      </w:r>
      <w:r>
        <w:rPr>
          <w:rFonts w:hint="eastAsia" w:ascii="宋体" w:hAnsi="宋体"/>
          <w:b/>
          <w:sz w:val="28"/>
          <w:szCs w:val="28"/>
        </w:rPr>
        <w:t>如未提供报</w:t>
      </w:r>
      <w:r>
        <w:rPr>
          <w:rFonts w:ascii="宋体" w:hAnsi="宋体"/>
          <w:b/>
          <w:sz w:val="28"/>
          <w:szCs w:val="28"/>
        </w:rPr>
        <w:t>价</w:t>
      </w:r>
      <w:r>
        <w:rPr>
          <w:rFonts w:hint="eastAsia" w:ascii="宋体" w:hAnsi="宋体"/>
          <w:b/>
          <w:sz w:val="28"/>
          <w:szCs w:val="28"/>
        </w:rPr>
        <w:t>产品</w:t>
      </w:r>
      <w:r>
        <w:rPr>
          <w:rFonts w:ascii="宋体" w:hAnsi="宋体"/>
          <w:b/>
          <w:sz w:val="28"/>
          <w:szCs w:val="28"/>
        </w:rPr>
        <w:t>制造商属于监狱企业的证明文件</w:t>
      </w:r>
      <w:r>
        <w:rPr>
          <w:rFonts w:hint="eastAsia" w:ascii="宋体" w:hAnsi="宋体"/>
          <w:b/>
          <w:sz w:val="28"/>
          <w:szCs w:val="28"/>
        </w:rPr>
        <w:t>复印件的，不能享受询</w:t>
      </w:r>
      <w:r>
        <w:rPr>
          <w:rFonts w:ascii="宋体" w:hAnsi="宋体"/>
          <w:b/>
          <w:sz w:val="28"/>
          <w:szCs w:val="28"/>
        </w:rPr>
        <w:t>价通知书</w:t>
      </w:r>
      <w:r>
        <w:rPr>
          <w:rFonts w:hint="eastAsia" w:ascii="宋体" w:hAnsi="宋体"/>
          <w:b/>
          <w:sz w:val="28"/>
          <w:szCs w:val="28"/>
        </w:rPr>
        <w:t>规定的价格扣除，但不影响供应商</w:t>
      </w:r>
      <w:r>
        <w:rPr>
          <w:rFonts w:ascii="宋体" w:hAnsi="宋体"/>
          <w:b/>
          <w:sz w:val="28"/>
          <w:szCs w:val="28"/>
        </w:rPr>
        <w:t>响应</w:t>
      </w:r>
      <w:r>
        <w:rPr>
          <w:rFonts w:hint="eastAsia" w:ascii="宋体" w:hAnsi="宋体"/>
          <w:b/>
          <w:sz w:val="28"/>
          <w:szCs w:val="28"/>
        </w:rPr>
        <w:t>文件的有效性。</w:t>
      </w: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spacing w:line="440" w:lineRule="atLeast"/>
        <w:ind w:firstLine="565" w:firstLineChars="201"/>
        <w:rPr>
          <w:rFonts w:ascii="宋体" w:hAnsi="宋体"/>
          <w:b/>
          <w:sz w:val="28"/>
        </w:rPr>
      </w:pPr>
    </w:p>
    <w:p>
      <w:pPr>
        <w:rPr>
          <w:rFonts w:ascii="宋体" w:hAnsi="宋体"/>
        </w:rPr>
      </w:pPr>
    </w:p>
    <w:p>
      <w:pPr>
        <w:rPr>
          <w:rFonts w:ascii="宋体" w:hAnsi="宋体"/>
        </w:rPr>
      </w:pPr>
    </w:p>
    <w:p>
      <w:pPr>
        <w:rPr>
          <w:rFonts w:ascii="宋体" w:hAnsi="宋体"/>
        </w:rPr>
      </w:pPr>
    </w:p>
    <w:bookmarkEnd w:id="57"/>
    <w:p>
      <w:pPr>
        <w:pStyle w:val="3"/>
        <w:numPr>
          <w:ilvl w:val="0"/>
          <w:numId w:val="1"/>
        </w:numPr>
        <w:spacing w:before="0" w:after="0"/>
        <w:ind w:left="0" w:firstLine="0"/>
      </w:pPr>
      <w:bookmarkStart w:id="70" w:name="_Toc5877"/>
      <w:r>
        <w:rPr>
          <w:rFonts w:hint="eastAsia"/>
        </w:rPr>
        <w:t>技术、服务、商务及其他要求</w:t>
      </w:r>
      <w:bookmarkEnd w:id="70"/>
    </w:p>
    <w:p>
      <w:pPr>
        <w:pStyle w:val="4"/>
      </w:pPr>
      <w:bookmarkStart w:id="71" w:name="_Toc6081"/>
      <w:bookmarkStart w:id="72" w:name="_Toc496702872"/>
      <w:bookmarkStart w:id="73" w:name="_Toc321334066"/>
      <w:r>
        <w:rPr>
          <w:rFonts w:hint="eastAsia"/>
        </w:rPr>
        <w:t>采购内容</w:t>
      </w:r>
      <w:bookmarkEnd w:id="71"/>
    </w:p>
    <w:tbl>
      <w:tblPr>
        <w:tblStyle w:val="46"/>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3857"/>
        <w:gridCol w:w="1527"/>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Pr>
          <w:p>
            <w:pPr>
              <w:pStyle w:val="80"/>
              <w:ind w:firstLine="0" w:firstLineChars="0"/>
              <w:jc w:val="center"/>
              <w:rPr>
                <w:rFonts w:asciiTheme="minorEastAsia" w:hAnsiTheme="minorEastAsia"/>
                <w:b/>
                <w:sz w:val="28"/>
                <w:szCs w:val="32"/>
              </w:rPr>
            </w:pPr>
            <w:r>
              <w:rPr>
                <w:rFonts w:hint="eastAsia" w:asciiTheme="minorEastAsia" w:hAnsiTheme="minorEastAsia"/>
                <w:b/>
                <w:sz w:val="28"/>
                <w:szCs w:val="32"/>
              </w:rPr>
              <w:t>序号</w:t>
            </w:r>
          </w:p>
        </w:tc>
        <w:tc>
          <w:tcPr>
            <w:tcW w:w="3857" w:type="dxa"/>
          </w:tcPr>
          <w:p>
            <w:pPr>
              <w:pStyle w:val="80"/>
              <w:ind w:firstLine="0" w:firstLineChars="0"/>
              <w:jc w:val="center"/>
              <w:rPr>
                <w:rFonts w:asciiTheme="minorEastAsia" w:hAnsiTheme="minorEastAsia"/>
                <w:b/>
                <w:sz w:val="28"/>
                <w:szCs w:val="32"/>
              </w:rPr>
            </w:pPr>
            <w:r>
              <w:rPr>
                <w:rFonts w:hint="eastAsia" w:asciiTheme="minorEastAsia" w:hAnsiTheme="minorEastAsia"/>
                <w:b/>
                <w:sz w:val="28"/>
                <w:szCs w:val="32"/>
              </w:rPr>
              <w:t>货物名称（标的名称）</w:t>
            </w:r>
          </w:p>
        </w:tc>
        <w:tc>
          <w:tcPr>
            <w:tcW w:w="1527" w:type="dxa"/>
          </w:tcPr>
          <w:p>
            <w:pPr>
              <w:pStyle w:val="80"/>
              <w:ind w:firstLine="0" w:firstLineChars="0"/>
              <w:jc w:val="center"/>
              <w:rPr>
                <w:rFonts w:asciiTheme="minorEastAsia" w:hAnsiTheme="minorEastAsia"/>
                <w:b/>
                <w:sz w:val="28"/>
                <w:szCs w:val="32"/>
              </w:rPr>
            </w:pPr>
            <w:r>
              <w:rPr>
                <w:rFonts w:hint="eastAsia" w:asciiTheme="minorEastAsia" w:hAnsiTheme="minorEastAsia"/>
                <w:b/>
                <w:sz w:val="28"/>
                <w:szCs w:val="32"/>
              </w:rPr>
              <w:t>数量</w:t>
            </w:r>
          </w:p>
        </w:tc>
        <w:tc>
          <w:tcPr>
            <w:tcW w:w="2283" w:type="dxa"/>
          </w:tcPr>
          <w:p>
            <w:pPr>
              <w:pStyle w:val="80"/>
              <w:ind w:firstLine="0" w:firstLineChars="0"/>
              <w:jc w:val="center"/>
              <w:rPr>
                <w:rFonts w:asciiTheme="minorEastAsia" w:hAnsiTheme="minorEastAsia"/>
                <w:b/>
                <w:sz w:val="28"/>
                <w:szCs w:val="32"/>
              </w:rPr>
            </w:pPr>
            <w:r>
              <w:rPr>
                <w:rFonts w:hint="eastAsia" w:asciiTheme="minorEastAsia" w:hAnsiTheme="minorEastAsia"/>
                <w:b/>
                <w:sz w:val="28"/>
                <w:szCs w:val="32"/>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833" w:type="dxa"/>
          </w:tcPr>
          <w:p>
            <w:pPr>
              <w:pStyle w:val="80"/>
              <w:ind w:firstLine="280" w:firstLineChars="100"/>
              <w:rPr>
                <w:rFonts w:asciiTheme="minorEastAsia" w:hAnsiTheme="minorEastAsia"/>
                <w:sz w:val="28"/>
                <w:szCs w:val="32"/>
              </w:rPr>
            </w:pPr>
            <w:r>
              <w:rPr>
                <w:rFonts w:hint="eastAsia" w:asciiTheme="minorEastAsia" w:hAnsiTheme="minorEastAsia"/>
                <w:sz w:val="28"/>
                <w:szCs w:val="32"/>
              </w:rPr>
              <w:t>1</w:t>
            </w:r>
          </w:p>
        </w:tc>
        <w:tc>
          <w:tcPr>
            <w:tcW w:w="3857" w:type="dxa"/>
          </w:tcPr>
          <w:p>
            <w:pPr>
              <w:pStyle w:val="80"/>
              <w:ind w:firstLine="0" w:firstLineChars="0"/>
              <w:jc w:val="center"/>
              <w:rPr>
                <w:rFonts w:asciiTheme="minorEastAsia" w:hAnsiTheme="minorEastAsia"/>
                <w:sz w:val="28"/>
                <w:szCs w:val="28"/>
              </w:rPr>
            </w:pPr>
            <w:r>
              <w:rPr>
                <w:rFonts w:hint="eastAsia" w:asciiTheme="minorEastAsia" w:hAnsiTheme="minorEastAsia"/>
                <w:sz w:val="28"/>
                <w:szCs w:val="28"/>
              </w:rPr>
              <w:t>油电混动汽车</w:t>
            </w:r>
          </w:p>
        </w:tc>
        <w:tc>
          <w:tcPr>
            <w:tcW w:w="1527" w:type="dxa"/>
          </w:tcPr>
          <w:p>
            <w:pPr>
              <w:pStyle w:val="80"/>
              <w:ind w:firstLine="0" w:firstLineChars="0"/>
              <w:jc w:val="center"/>
              <w:rPr>
                <w:rFonts w:hint="eastAsia" w:asciiTheme="minorEastAsia" w:hAnsiTheme="minorEastAsia" w:eastAsiaTheme="minorEastAsia"/>
                <w:sz w:val="28"/>
                <w:szCs w:val="32"/>
                <w:lang w:eastAsia="zh-CN"/>
              </w:rPr>
            </w:pPr>
            <w:r>
              <w:rPr>
                <w:rFonts w:asciiTheme="minorEastAsia" w:hAnsiTheme="minorEastAsia"/>
                <w:sz w:val="28"/>
                <w:szCs w:val="28"/>
              </w:rPr>
              <w:t>1</w:t>
            </w:r>
            <w:r>
              <w:rPr>
                <w:rFonts w:hint="eastAsia" w:asciiTheme="minorEastAsia" w:hAnsiTheme="minorEastAsia"/>
                <w:sz w:val="28"/>
                <w:szCs w:val="28"/>
                <w:lang w:eastAsia="zh-CN"/>
              </w:rPr>
              <w:t>辆</w:t>
            </w:r>
          </w:p>
        </w:tc>
        <w:tc>
          <w:tcPr>
            <w:tcW w:w="2283" w:type="dxa"/>
          </w:tcPr>
          <w:p>
            <w:pPr>
              <w:pStyle w:val="80"/>
              <w:ind w:firstLine="0" w:firstLineChars="0"/>
              <w:jc w:val="center"/>
              <w:rPr>
                <w:rFonts w:asciiTheme="minorEastAsia" w:hAnsiTheme="minorEastAsia"/>
                <w:sz w:val="28"/>
                <w:szCs w:val="32"/>
              </w:rPr>
            </w:pPr>
            <w:r>
              <w:rPr>
                <w:rFonts w:hint="eastAsia" w:asciiTheme="minorEastAsia" w:hAnsiTheme="minorEastAsia"/>
                <w:sz w:val="28"/>
                <w:szCs w:val="32"/>
              </w:rPr>
              <w:t>工业</w:t>
            </w:r>
          </w:p>
        </w:tc>
      </w:tr>
    </w:tbl>
    <w:p>
      <w:pPr>
        <w:pStyle w:val="4"/>
        <w:tabs>
          <w:tab w:val="left" w:pos="576"/>
          <w:tab w:val="clear" w:pos="567"/>
        </w:tabs>
      </w:pPr>
      <w:bookmarkStart w:id="74" w:name="_Toc8084"/>
      <w:r>
        <w:rPr>
          <w:rFonts w:hint="eastAsia" w:ascii="宋体" w:hAnsi="宋体" w:eastAsia="宋体" w:cs="Times New Roman"/>
          <w:bCs/>
          <w:sz w:val="28"/>
          <w:szCs w:val="28"/>
        </w:rPr>
        <w:t>★</w:t>
      </w:r>
      <w:r>
        <w:rPr>
          <w:rFonts w:hint="eastAsia" w:cs="Times New Roman"/>
          <w:bCs/>
          <w:sz w:val="28"/>
          <w:szCs w:val="28"/>
          <w:lang w:val="en-US" w:eastAsia="zh-CN"/>
        </w:rPr>
        <w:t>1.</w:t>
      </w:r>
      <w:r>
        <w:rPr>
          <w:rFonts w:hint="eastAsia"/>
        </w:rPr>
        <w:t>技术参数</w:t>
      </w:r>
      <w:r>
        <w:t>及要求</w:t>
      </w:r>
      <w:bookmarkEnd w:id="74"/>
    </w:p>
    <w:tbl>
      <w:tblPr>
        <w:tblStyle w:val="45"/>
        <w:tblW w:w="8421" w:type="dxa"/>
        <w:tblInd w:w="0" w:type="dxa"/>
        <w:tblLayout w:type="autofit"/>
        <w:tblCellMar>
          <w:top w:w="0" w:type="dxa"/>
          <w:left w:w="0" w:type="dxa"/>
          <w:bottom w:w="0" w:type="dxa"/>
          <w:right w:w="0" w:type="dxa"/>
        </w:tblCellMar>
      </w:tblPr>
      <w:tblGrid>
        <w:gridCol w:w="1080"/>
        <w:gridCol w:w="3501"/>
        <w:gridCol w:w="3840"/>
      </w:tblGrid>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b/>
                <w:color w:val="000000" w:themeColor="text1"/>
                <w:kern w:val="2"/>
                <w14:textFill>
                  <w14:solidFill>
                    <w14:schemeClr w14:val="tx1"/>
                  </w14:solidFill>
                </w14:textFill>
              </w:rPr>
            </w:pPr>
            <w:r>
              <w:rPr>
                <w:rFonts w:hint="eastAsia" w:ascii="宋体" w:hAnsi="宋体" w:cs="宋体"/>
                <w:b/>
                <w:color w:val="000000" w:themeColor="text1"/>
                <w:lang w:bidi="ar"/>
                <w14:textFill>
                  <w14:solidFill>
                    <w14:schemeClr w14:val="tx1"/>
                  </w14:solidFill>
                </w14:textFill>
              </w:rPr>
              <w:t>序号</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b/>
                <w:color w:val="000000" w:themeColor="text1"/>
                <w:kern w:val="2"/>
                <w14:textFill>
                  <w14:solidFill>
                    <w14:schemeClr w14:val="tx1"/>
                  </w14:solidFill>
                </w14:textFill>
              </w:rPr>
            </w:pPr>
            <w:r>
              <w:rPr>
                <w:rFonts w:hint="eastAsia" w:ascii="宋体" w:hAnsi="宋体" w:cs="宋体"/>
                <w:b/>
                <w:color w:val="000000" w:themeColor="text1"/>
                <w:lang w:bidi="ar"/>
                <w14:textFill>
                  <w14:solidFill>
                    <w14:schemeClr w14:val="tx1"/>
                  </w14:solidFill>
                </w14:textFill>
              </w:rPr>
              <w:t>单目名称</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b/>
                <w:color w:val="000000" w:themeColor="text1"/>
                <w:kern w:val="2"/>
                <w14:textFill>
                  <w14:solidFill>
                    <w14:schemeClr w14:val="tx1"/>
                  </w14:solidFill>
                </w14:textFill>
              </w:rPr>
            </w:pPr>
            <w:r>
              <w:rPr>
                <w:rFonts w:hint="eastAsia" w:ascii="宋体" w:hAnsi="宋体" w:cs="宋体"/>
                <w:b/>
                <w:color w:val="000000" w:themeColor="text1"/>
                <w:lang w:bidi="ar"/>
                <w14:textFill>
                  <w14:solidFill>
                    <w14:schemeClr w14:val="tx1"/>
                  </w14:solidFill>
                </w14:textFill>
              </w:rPr>
              <w:t>技术</w:t>
            </w:r>
            <w:r>
              <w:rPr>
                <w:rFonts w:hint="eastAsia" w:ascii="宋体" w:hAnsi="宋体" w:cs="宋体"/>
                <w:b/>
                <w:color w:val="000000" w:themeColor="text1"/>
                <w:lang w:eastAsia="zh-CN" w:bidi="ar"/>
                <w14:textFill>
                  <w14:solidFill>
                    <w14:schemeClr w14:val="tx1"/>
                  </w14:solidFill>
                </w14:textFill>
              </w:rPr>
              <w:t>参数</w:t>
            </w:r>
            <w:r>
              <w:rPr>
                <w:rFonts w:hint="eastAsia" w:ascii="宋体" w:hAnsi="宋体" w:cs="宋体"/>
                <w:b/>
                <w:color w:val="000000" w:themeColor="text1"/>
                <w:lang w:bidi="ar"/>
                <w14:textFill>
                  <w14:solidFill>
                    <w14:schemeClr w14:val="tx1"/>
                  </w14:solidFill>
                </w14:textFill>
              </w:rPr>
              <w:t>要求</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1</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车辆类型</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highlight w:val="none"/>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中型轿车</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2</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颜色</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highlight w:val="none"/>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黑色</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3</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总长（mm）</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≥48</w:t>
            </w:r>
            <w:r>
              <w:rPr>
                <w:rFonts w:hint="eastAsia" w:ascii="宋体" w:hAnsi="宋体" w:cs="宋体"/>
                <w:color w:val="000000" w:themeColor="text1"/>
                <w:highlight w:val="none"/>
                <w:lang w:val="en-US" w:eastAsia="zh-CN" w:bidi="ar"/>
                <w14:textFill>
                  <w14:solidFill>
                    <w14:schemeClr w14:val="tx1"/>
                  </w14:solidFill>
                </w14:textFill>
              </w:rPr>
              <w:t>5</w:t>
            </w:r>
            <w:r>
              <w:rPr>
                <w:rFonts w:hint="eastAsia" w:ascii="宋体" w:hAnsi="宋体" w:cs="宋体"/>
                <w:color w:val="000000" w:themeColor="text1"/>
                <w:highlight w:val="none"/>
                <w:lang w:bidi="ar"/>
                <w14:textFill>
                  <w14:solidFill>
                    <w14:schemeClr w14:val="tx1"/>
                  </w14:solidFill>
                </w14:textFill>
              </w:rPr>
              <w:t>0</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4</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总宽（mm）</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≥18</w:t>
            </w:r>
            <w:r>
              <w:rPr>
                <w:rFonts w:hint="eastAsia" w:ascii="宋体" w:hAnsi="宋体" w:cs="宋体"/>
                <w:color w:val="000000" w:themeColor="text1"/>
                <w:highlight w:val="none"/>
                <w:lang w:val="en-US" w:eastAsia="zh-CN" w:bidi="ar"/>
                <w14:textFill>
                  <w14:solidFill>
                    <w14:schemeClr w14:val="tx1"/>
                  </w14:solidFill>
                </w14:textFill>
              </w:rPr>
              <w:t>3</w:t>
            </w:r>
            <w:r>
              <w:rPr>
                <w:rFonts w:hint="eastAsia" w:ascii="宋体" w:hAnsi="宋体" w:cs="宋体"/>
                <w:color w:val="000000" w:themeColor="text1"/>
                <w:highlight w:val="none"/>
                <w:lang w:bidi="ar"/>
                <w14:textFill>
                  <w14:solidFill>
                    <w14:schemeClr w14:val="tx1"/>
                  </w14:solidFill>
                </w14:textFill>
              </w:rPr>
              <w:t>0</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5</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总高（mm）</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≥14</w:t>
            </w:r>
            <w:r>
              <w:rPr>
                <w:rFonts w:hint="eastAsia" w:ascii="宋体" w:hAnsi="宋体" w:cs="宋体"/>
                <w:color w:val="000000" w:themeColor="text1"/>
                <w:highlight w:val="none"/>
                <w:lang w:val="en-US" w:eastAsia="zh-CN" w:bidi="ar"/>
                <w14:textFill>
                  <w14:solidFill>
                    <w14:schemeClr w14:val="tx1"/>
                  </w14:solidFill>
                </w14:textFill>
              </w:rPr>
              <w:t>4</w:t>
            </w:r>
            <w:r>
              <w:rPr>
                <w:rFonts w:hint="eastAsia" w:ascii="宋体" w:hAnsi="宋体" w:cs="宋体"/>
                <w:color w:val="000000" w:themeColor="text1"/>
                <w:highlight w:val="none"/>
                <w:lang w:bidi="ar"/>
                <w14:textFill>
                  <w14:solidFill>
                    <w14:schemeClr w14:val="tx1"/>
                  </w14:solidFill>
                </w14:textFill>
              </w:rPr>
              <w:t>0</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6</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轴距（mm）</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highlight w:val="none"/>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≥2800</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7</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发动机排量（L）</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highlight w:val="none"/>
                <w14:textFill>
                  <w14:solidFill>
                    <w14:schemeClr w14:val="tx1"/>
                  </w14:solidFill>
                </w14:textFill>
              </w:rPr>
            </w:pPr>
            <w:r>
              <w:rPr>
                <w:rFonts w:hint="eastAsia" w:ascii="宋体" w:hAnsi="宋体" w:cs="宋体"/>
                <w:color w:val="000000" w:themeColor="text1"/>
                <w:kern w:val="2"/>
                <w:highlight w:val="none"/>
                <w:lang w:val="en-US" w:eastAsia="zh-CN"/>
                <w14:textFill>
                  <w14:solidFill>
                    <w14:schemeClr w14:val="tx1"/>
                  </w14:solidFill>
                </w14:textFill>
              </w:rPr>
              <w:t>1.4</w:t>
            </w:r>
            <w:r>
              <w:rPr>
                <w:rFonts w:ascii="宋体" w:hAnsi="宋体" w:cs="宋体"/>
                <w:color w:val="000000" w:themeColor="text1"/>
                <w:kern w:val="2"/>
                <w:highlight w:val="none"/>
                <w14:textFill>
                  <w14:solidFill>
                    <w14:schemeClr w14:val="tx1"/>
                  </w14:solidFill>
                </w14:textFill>
              </w:rPr>
              <w:t>≤</w:t>
            </w:r>
            <w:r>
              <w:rPr>
                <w:rFonts w:hint="eastAsia" w:ascii="宋体" w:hAnsi="宋体" w:cs="宋体"/>
                <w:color w:val="000000" w:themeColor="text1"/>
                <w:highlight w:val="none"/>
                <w:lang w:bidi="ar"/>
                <w14:textFill>
                  <w14:solidFill>
                    <w14:schemeClr w14:val="tx1"/>
                  </w14:solidFill>
                </w14:textFill>
              </w:rPr>
              <w:t>发动机排量≤1.6</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8</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发动机型式</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highlight w:val="none"/>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涡轮增压发动机（四缸）</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9</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发动机</w:t>
            </w:r>
            <w:r>
              <w:rPr>
                <w:rFonts w:hint="eastAsia" w:ascii="宋体" w:hAnsi="宋体" w:cs="宋体"/>
                <w:color w:val="000000" w:themeColor="text1"/>
                <w:lang w:val="en-US" w:eastAsia="zh-CN" w:bidi="ar"/>
                <w14:textFill>
                  <w14:solidFill>
                    <w14:schemeClr w14:val="tx1"/>
                  </w14:solidFill>
                </w14:textFill>
              </w:rPr>
              <w:t>最大</w:t>
            </w:r>
            <w:r>
              <w:rPr>
                <w:rFonts w:hint="eastAsia" w:ascii="宋体" w:hAnsi="宋体" w:cs="宋体"/>
                <w:color w:val="000000" w:themeColor="text1"/>
                <w:lang w:bidi="ar"/>
                <w14:textFill>
                  <w14:solidFill>
                    <w14:schemeClr w14:val="tx1"/>
                  </w14:solidFill>
                </w14:textFill>
              </w:rPr>
              <w:t>功率（kW）</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highlight w:val="none"/>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≥110</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10</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发动机最大扭矩（N</w:t>
            </w:r>
            <w:r>
              <w:rPr>
                <w:rFonts w:hint="eastAsia" w:ascii="宋体" w:hAnsi="宋体" w:cs="宋体"/>
                <w:color w:val="000000" w:themeColor="text1"/>
                <w:lang w:val="en-US" w:eastAsia="zh-CN" w:bidi="ar"/>
                <w14:textFill>
                  <w14:solidFill>
                    <w14:schemeClr w14:val="tx1"/>
                  </w14:solidFill>
                </w14:textFill>
              </w:rPr>
              <w:t>.</w:t>
            </w:r>
            <w:r>
              <w:rPr>
                <w:rFonts w:hint="eastAsia" w:ascii="宋体" w:hAnsi="宋体" w:cs="宋体"/>
                <w:color w:val="000000" w:themeColor="text1"/>
                <w:lang w:bidi="ar"/>
                <w14:textFill>
                  <w14:solidFill>
                    <w14:schemeClr w14:val="tx1"/>
                  </w14:solidFill>
                </w14:textFill>
              </w:rPr>
              <w:t>m</w:t>
            </w:r>
            <w:r>
              <w:rPr>
                <w:rFonts w:hint="eastAsia" w:ascii="宋体" w:hAnsi="宋体" w:cs="宋体"/>
                <w:color w:val="000000" w:themeColor="text1"/>
                <w:lang w:val="en-US" w:eastAsia="zh-CN" w:bidi="ar"/>
                <w14:textFill>
                  <w14:solidFill>
                    <w14:schemeClr w14:val="tx1"/>
                  </w14:solidFill>
                </w14:textFill>
              </w:rPr>
              <w:t>/rpm</w:t>
            </w:r>
            <w:r>
              <w:rPr>
                <w:rFonts w:hint="eastAsia" w:ascii="宋体" w:hAnsi="宋体" w:cs="宋体"/>
                <w:color w:val="000000" w:themeColor="text1"/>
                <w:lang w:bidi="ar"/>
                <w14:textFill>
                  <w14:solidFill>
                    <w14:schemeClr w14:val="tx1"/>
                  </w14:solidFill>
                </w14:textFill>
              </w:rPr>
              <w:t>）</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≥250</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11</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电机</w:t>
            </w:r>
            <w:r>
              <w:rPr>
                <w:rFonts w:hint="eastAsia" w:ascii="宋体" w:hAnsi="宋体" w:cs="宋体"/>
                <w:color w:val="000000" w:themeColor="text1"/>
                <w:lang w:val="en-US" w:eastAsia="zh-CN" w:bidi="ar"/>
                <w14:textFill>
                  <w14:solidFill>
                    <w14:schemeClr w14:val="tx1"/>
                  </w14:solidFill>
                </w14:textFill>
              </w:rPr>
              <w:t>最大</w:t>
            </w:r>
            <w:r>
              <w:rPr>
                <w:rFonts w:hint="eastAsia" w:ascii="宋体" w:hAnsi="宋体" w:cs="宋体"/>
                <w:color w:val="000000" w:themeColor="text1"/>
                <w:lang w:bidi="ar"/>
                <w14:textFill>
                  <w14:solidFill>
                    <w14:schemeClr w14:val="tx1"/>
                  </w14:solidFill>
                </w14:textFill>
              </w:rPr>
              <w:t>功率（kW）</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≥80</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12</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电机</w:t>
            </w:r>
            <w:r>
              <w:rPr>
                <w:rFonts w:hint="eastAsia" w:ascii="宋体" w:hAnsi="宋体" w:cs="宋体"/>
                <w:color w:val="000000" w:themeColor="text1"/>
                <w:lang w:val="en-US" w:eastAsia="zh-CN" w:bidi="ar"/>
                <w14:textFill>
                  <w14:solidFill>
                    <w14:schemeClr w14:val="tx1"/>
                  </w14:solidFill>
                </w14:textFill>
              </w:rPr>
              <w:t>最大</w:t>
            </w:r>
            <w:r>
              <w:rPr>
                <w:rFonts w:hint="eastAsia" w:ascii="宋体" w:hAnsi="宋体" w:cs="宋体"/>
                <w:color w:val="000000" w:themeColor="text1"/>
                <w:lang w:bidi="ar"/>
                <w14:textFill>
                  <w14:solidFill>
                    <w14:schemeClr w14:val="tx1"/>
                  </w14:solidFill>
                </w14:textFill>
              </w:rPr>
              <w:t>扭矩（N</w:t>
            </w:r>
            <w:r>
              <w:rPr>
                <w:rFonts w:hint="eastAsia" w:ascii="宋体" w:hAnsi="宋体" w:cs="宋体"/>
                <w:color w:val="000000" w:themeColor="text1"/>
                <w:lang w:val="en-US" w:eastAsia="zh-CN" w:bidi="ar"/>
                <w14:textFill>
                  <w14:solidFill>
                    <w14:schemeClr w14:val="tx1"/>
                  </w14:solidFill>
                </w14:textFill>
              </w:rPr>
              <w:t>.</w:t>
            </w:r>
            <w:r>
              <w:rPr>
                <w:rFonts w:hint="eastAsia" w:ascii="宋体" w:hAnsi="宋体" w:cs="宋体"/>
                <w:color w:val="000000" w:themeColor="text1"/>
                <w:lang w:bidi="ar"/>
                <w14:textFill>
                  <w14:solidFill>
                    <w14:schemeClr w14:val="tx1"/>
                  </w14:solidFill>
                </w14:textFill>
              </w:rPr>
              <w:t>m）</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≥320</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13</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系统综合扭矩（Nim）</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≥360</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14</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电池容量（kWh）</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≥12</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15</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电池类型</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三元锂电池</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16</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纯电续航里程（km）</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≥55</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17</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胎压检测</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配备</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18</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无钥匙进入及启动</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配备</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19</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电动天窗</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配备</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20</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自动空调</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配备</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21</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排放</w:t>
            </w:r>
            <w:r>
              <w:rPr>
                <w:rFonts w:hint="eastAsia" w:ascii="宋体" w:hAnsi="宋体" w:cs="宋体"/>
                <w:color w:val="000000" w:themeColor="text1"/>
                <w:lang w:val="en-US" w:eastAsia="zh-CN" w:bidi="ar"/>
                <w14:textFill>
                  <w14:solidFill>
                    <w14:schemeClr w14:val="tx1"/>
                  </w14:solidFill>
                </w14:textFill>
              </w:rPr>
              <w:t>标准</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国</w:t>
            </w:r>
            <w:r>
              <w:rPr>
                <w:rFonts w:hint="eastAsia" w:ascii="宋体" w:hAnsi="宋体" w:cs="宋体"/>
                <w:color w:val="000000" w:themeColor="text1"/>
                <w:lang w:val="en-US" w:eastAsia="zh-CN" w:bidi="ar"/>
                <w14:textFill>
                  <w14:solidFill>
                    <w14:schemeClr w14:val="tx1"/>
                  </w14:solidFill>
                </w14:textFill>
              </w:rPr>
              <w:t>Ⅵ</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宋体"/>
                <w:color w:val="000000" w:themeColor="text1"/>
                <w:kern w:val="2"/>
                <w14:textFill>
                  <w14:solidFill>
                    <w14:schemeClr w14:val="tx1"/>
                  </w14:solidFill>
                </w14:textFill>
              </w:rPr>
            </w:pPr>
            <w:r>
              <w:rPr>
                <w:rFonts w:hint="eastAsia" w:ascii="宋体" w:hAnsi="宋体" w:cs="宋体"/>
                <w:color w:val="000000" w:themeColor="text1"/>
                <w:lang w:bidi="ar"/>
                <w14:textFill>
                  <w14:solidFill>
                    <w14:schemeClr w14:val="tx1"/>
                  </w14:solidFill>
                </w14:textFill>
              </w:rPr>
              <w:t>22</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000000" w:themeColor="text1"/>
                <w:kern w:val="2"/>
                <w:lang w:val="en-US" w:eastAsia="zh-CN"/>
                <w14:textFill>
                  <w14:solidFill>
                    <w14:schemeClr w14:val="tx1"/>
                  </w14:solidFill>
                </w14:textFill>
              </w:rPr>
            </w:pPr>
            <w:r>
              <w:rPr>
                <w:rFonts w:hint="eastAsia" w:ascii="宋体" w:hAnsi="宋体" w:cs="宋体"/>
                <w:color w:val="000000" w:themeColor="text1"/>
                <w:lang w:val="en-US" w:eastAsia="zh-CN" w:bidi="ar"/>
                <w14:textFill>
                  <w14:solidFill>
                    <w14:schemeClr w14:val="tx1"/>
                  </w14:solidFill>
                </w14:textFill>
              </w:rPr>
              <w:t>能源类型</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宋体"/>
                <w:color w:val="000000" w:themeColor="text1"/>
                <w:kern w:val="2"/>
                <w:lang w:val="en-US" w:eastAsia="zh-CN"/>
                <w14:textFill>
                  <w14:solidFill>
                    <w14:schemeClr w14:val="tx1"/>
                  </w14:solidFill>
                </w14:textFill>
              </w:rPr>
            </w:pPr>
            <w:r>
              <w:rPr>
                <w:rFonts w:hint="eastAsia" w:ascii="宋体" w:hAnsi="宋体" w:cs="宋体"/>
                <w:color w:val="000000" w:themeColor="text1"/>
                <w:lang w:val="en-US" w:eastAsia="zh-CN" w:bidi="ar"/>
                <w14:textFill>
                  <w14:solidFill>
                    <w14:schemeClr w14:val="tx1"/>
                  </w14:solidFill>
                </w14:textFill>
              </w:rPr>
              <w:t>插电式混合动力</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default" w:ascii="宋体" w:hAnsi="宋体" w:eastAsia="宋体" w:cs="宋体"/>
                <w:color w:val="000000" w:themeColor="text1"/>
                <w:lang w:val="en-US" w:eastAsia="zh-CN" w:bidi="ar"/>
                <w14:textFill>
                  <w14:solidFill>
                    <w14:schemeClr w14:val="tx1"/>
                  </w14:solidFill>
                </w14:textFill>
              </w:rPr>
            </w:pPr>
            <w:r>
              <w:rPr>
                <w:rFonts w:hint="eastAsia" w:ascii="宋体" w:hAnsi="宋体" w:cs="宋体"/>
                <w:color w:val="000000" w:themeColor="text1"/>
                <w:lang w:val="en-US" w:eastAsia="zh-CN" w:bidi="ar"/>
                <w14:textFill>
                  <w14:solidFill>
                    <w14:schemeClr w14:val="tx1"/>
                  </w14:solidFill>
                </w14:textFill>
              </w:rPr>
              <w:t>23</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default" w:ascii="宋体" w:hAnsi="宋体" w:eastAsia="宋体" w:cs="宋体"/>
                <w:color w:val="000000" w:themeColor="text1"/>
                <w:lang w:val="en-US" w:eastAsia="zh-CN" w:bidi="ar"/>
                <w14:textFill>
                  <w14:solidFill>
                    <w14:schemeClr w14:val="tx1"/>
                  </w14:solidFill>
                </w14:textFill>
              </w:rPr>
            </w:pPr>
            <w:r>
              <w:rPr>
                <w:rFonts w:hint="eastAsia" w:ascii="宋体" w:hAnsi="宋体" w:cs="宋体"/>
                <w:color w:val="000000" w:themeColor="text1"/>
                <w:lang w:val="en-US" w:eastAsia="zh-CN" w:bidi="ar"/>
                <w14:textFill>
                  <w14:solidFill>
                    <w14:schemeClr w14:val="tx1"/>
                  </w14:solidFill>
                </w14:textFill>
              </w:rPr>
              <w:t>车身类型</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default" w:ascii="宋体" w:hAnsi="宋体" w:eastAsia="宋体" w:cs="宋体"/>
                <w:color w:val="000000" w:themeColor="text1"/>
                <w:lang w:val="en-US" w:eastAsia="zh-CN" w:bidi="ar"/>
                <w14:textFill>
                  <w14:solidFill>
                    <w14:schemeClr w14:val="tx1"/>
                  </w14:solidFill>
                </w14:textFill>
              </w:rPr>
            </w:pPr>
            <w:r>
              <w:rPr>
                <w:rFonts w:hint="eastAsia" w:ascii="宋体" w:hAnsi="宋体" w:cs="宋体"/>
                <w:color w:val="000000" w:themeColor="text1"/>
                <w:lang w:val="en-US" w:eastAsia="zh-CN" w:bidi="ar"/>
                <w14:textFill>
                  <w14:solidFill>
                    <w14:schemeClr w14:val="tx1"/>
                  </w14:solidFill>
                </w14:textFill>
              </w:rPr>
              <w:t>4门5座三厢轿车</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default" w:ascii="宋体" w:hAnsi="宋体" w:eastAsia="宋体" w:cs="宋体"/>
                <w:color w:val="000000" w:themeColor="text1"/>
                <w:highlight w:val="none"/>
                <w:lang w:val="en-US" w:eastAsia="zh-CN" w:bidi="ar"/>
                <w14:textFill>
                  <w14:solidFill>
                    <w14:schemeClr w14:val="tx1"/>
                  </w14:solidFill>
                </w14:textFill>
              </w:rPr>
            </w:pPr>
            <w:r>
              <w:rPr>
                <w:rFonts w:hint="eastAsia" w:ascii="宋体" w:hAnsi="宋体" w:cs="宋体"/>
                <w:color w:val="000000" w:themeColor="text1"/>
                <w:highlight w:val="none"/>
                <w:lang w:val="en-US" w:eastAsia="zh-CN" w:bidi="ar"/>
                <w14:textFill>
                  <w14:solidFill>
                    <w14:schemeClr w14:val="tx1"/>
                  </w14:solidFill>
                </w14:textFill>
              </w:rPr>
              <w:t>24</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default" w:ascii="宋体" w:hAnsi="宋体" w:eastAsia="宋体" w:cs="宋体"/>
                <w:color w:val="000000" w:themeColor="text1"/>
                <w:highlight w:val="none"/>
                <w:lang w:val="en-US" w:eastAsia="zh-CN" w:bidi="ar"/>
                <w14:textFill>
                  <w14:solidFill>
                    <w14:schemeClr w14:val="tx1"/>
                  </w14:solidFill>
                </w14:textFill>
              </w:rPr>
            </w:pPr>
            <w:r>
              <w:rPr>
                <w:rFonts w:hint="eastAsia" w:ascii="宋体" w:hAnsi="宋体" w:cs="宋体"/>
                <w:color w:val="000000" w:themeColor="text1"/>
                <w:highlight w:val="none"/>
                <w:lang w:val="en-US" w:eastAsia="zh-CN" w:bidi="ar"/>
                <w14:textFill>
                  <w14:solidFill>
                    <w14:schemeClr w14:val="tx1"/>
                  </w14:solidFill>
                </w14:textFill>
              </w:rPr>
              <w:t>整车质保</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default" w:ascii="宋体" w:hAnsi="宋体" w:eastAsia="宋体" w:cs="宋体"/>
                <w:color w:val="000000" w:themeColor="text1"/>
                <w:highlight w:val="none"/>
                <w:lang w:val="en-US" w:eastAsia="zh-CN" w:bidi="ar"/>
                <w14:textFill>
                  <w14:solidFill>
                    <w14:schemeClr w14:val="tx1"/>
                  </w14:solidFill>
                </w14:textFill>
              </w:rPr>
            </w:pPr>
            <w:r>
              <w:rPr>
                <w:rFonts w:hint="eastAsia" w:ascii="宋体" w:hAnsi="宋体" w:cs="宋体"/>
                <w:color w:val="000000" w:themeColor="text1"/>
                <w:highlight w:val="none"/>
                <w:lang w:val="en-US" w:eastAsia="zh-CN" w:bidi="ar"/>
                <w14:textFill>
                  <w14:solidFill>
                    <w14:schemeClr w14:val="tx1"/>
                  </w14:solidFill>
                </w14:textFill>
              </w:rPr>
              <w:t>≥3年或≥10万公里</w:t>
            </w:r>
          </w:p>
        </w:tc>
      </w:tr>
      <w:tr>
        <w:tblPrEx>
          <w:tblCellMar>
            <w:top w:w="0" w:type="dxa"/>
            <w:left w:w="0" w:type="dxa"/>
            <w:bottom w:w="0" w:type="dxa"/>
            <w:right w:w="0"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default" w:ascii="宋体" w:hAnsi="宋体" w:eastAsia="宋体" w:cs="宋体"/>
                <w:color w:val="000000" w:themeColor="text1"/>
                <w:highlight w:val="none"/>
                <w:lang w:val="en-US" w:eastAsia="zh-CN" w:bidi="ar"/>
                <w14:textFill>
                  <w14:solidFill>
                    <w14:schemeClr w14:val="tx1"/>
                  </w14:solidFill>
                </w14:textFill>
              </w:rPr>
            </w:pPr>
            <w:r>
              <w:rPr>
                <w:rFonts w:hint="eastAsia" w:ascii="宋体" w:hAnsi="宋体" w:cs="宋体"/>
                <w:color w:val="000000" w:themeColor="text1"/>
                <w:highlight w:val="none"/>
                <w:lang w:val="en-US" w:eastAsia="zh-CN" w:bidi="ar"/>
                <w14:textFill>
                  <w14:solidFill>
                    <w14:schemeClr w14:val="tx1"/>
                  </w14:solidFill>
                </w14:textFill>
              </w:rPr>
              <w:t>25</w:t>
            </w:r>
          </w:p>
        </w:tc>
        <w:tc>
          <w:tcPr>
            <w:tcW w:w="35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default" w:ascii="宋体" w:hAnsi="宋体" w:eastAsia="宋体" w:cs="宋体"/>
                <w:color w:val="000000" w:themeColor="text1"/>
                <w:highlight w:val="none"/>
                <w:lang w:val="en-US" w:eastAsia="zh-CN" w:bidi="ar"/>
                <w14:textFill>
                  <w14:solidFill>
                    <w14:schemeClr w14:val="tx1"/>
                  </w14:solidFill>
                </w14:textFill>
              </w:rPr>
            </w:pPr>
            <w:r>
              <w:rPr>
                <w:rFonts w:hint="eastAsia" w:ascii="宋体" w:hAnsi="宋体" w:cs="宋体"/>
                <w:color w:val="000000" w:themeColor="text1"/>
                <w:highlight w:val="none"/>
                <w:lang w:val="en-US" w:eastAsia="zh-CN" w:bidi="ar"/>
                <w14:textFill>
                  <w14:solidFill>
                    <w14:schemeClr w14:val="tx1"/>
                  </w14:solidFill>
                </w14:textFill>
              </w:rPr>
              <w:t>油箱容积（L）</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default" w:ascii="宋体" w:hAnsi="宋体" w:eastAsia="宋体" w:cs="宋体"/>
                <w:color w:val="000000" w:themeColor="text1"/>
                <w:highlight w:val="none"/>
                <w:lang w:val="en-US" w:eastAsia="zh-CN" w:bidi="ar"/>
                <w14:textFill>
                  <w14:solidFill>
                    <w14:schemeClr w14:val="tx1"/>
                  </w14:solidFill>
                </w14:textFill>
              </w:rPr>
            </w:pPr>
            <w:r>
              <w:rPr>
                <w:rFonts w:hint="eastAsia" w:ascii="宋体" w:hAnsi="宋体" w:cs="宋体"/>
                <w:color w:val="000000" w:themeColor="text1"/>
                <w:highlight w:val="none"/>
                <w:lang w:val="en-US" w:eastAsia="zh-CN" w:bidi="ar"/>
                <w14:textFill>
                  <w14:solidFill>
                    <w14:schemeClr w14:val="tx1"/>
                  </w14:solidFill>
                </w14:textFill>
              </w:rPr>
              <w:t>≥48</w:t>
            </w:r>
          </w:p>
        </w:tc>
      </w:tr>
    </w:tbl>
    <w:p>
      <w:pPr>
        <w:spacing w:line="560" w:lineRule="exact"/>
        <w:ind w:firstLine="560" w:firstLineChars="200"/>
        <w:rPr>
          <w:rFonts w:hint="eastAsia" w:ascii="宋体" w:hAnsi="宋体" w:eastAsia="宋体" w:cs="Times New Roman"/>
          <w:bCs/>
          <w:sz w:val="28"/>
          <w:szCs w:val="28"/>
          <w:highlight w:val="none"/>
        </w:rPr>
      </w:pPr>
      <w:r>
        <w:rPr>
          <w:rFonts w:hint="eastAsia" w:ascii="宋体" w:hAnsi="宋体" w:eastAsia="宋体" w:cs="Times New Roman"/>
          <w:bCs/>
          <w:sz w:val="28"/>
          <w:szCs w:val="28"/>
          <w:highlight w:val="none"/>
        </w:rPr>
        <w:t>★</w:t>
      </w:r>
      <w:r>
        <w:rPr>
          <w:rFonts w:hint="eastAsia" w:ascii="宋体" w:hAnsi="宋体" w:cs="Times New Roman"/>
          <w:bCs/>
          <w:sz w:val="28"/>
          <w:szCs w:val="28"/>
          <w:highlight w:val="none"/>
          <w:lang w:val="en-US" w:eastAsia="zh-CN"/>
        </w:rPr>
        <w:t>2.</w:t>
      </w:r>
      <w:r>
        <w:rPr>
          <w:rFonts w:hint="eastAsia" w:ascii="宋体" w:hAnsi="宋体" w:eastAsia="宋体" w:cs="Times New Roman"/>
          <w:bCs/>
          <w:sz w:val="28"/>
          <w:szCs w:val="28"/>
          <w:highlight w:val="none"/>
        </w:rPr>
        <w:t>属国家发改委或工信部《车辆生产企业及产品》公告中的车型，提供公告的部委名称及公告批次号；</w:t>
      </w:r>
    </w:p>
    <w:p>
      <w:pPr>
        <w:pStyle w:val="4"/>
        <w:rPr>
          <w:rFonts w:hint="eastAsia" w:ascii="宋体" w:hAnsi="宋体" w:eastAsia="宋体" w:cs="Times New Roman"/>
          <w:highlight w:val="none"/>
          <w:lang w:val="en-US" w:eastAsia="zh-CN"/>
        </w:rPr>
      </w:pPr>
      <w:bookmarkStart w:id="75" w:name="_Toc7399"/>
      <w:r>
        <w:rPr>
          <w:rFonts w:hint="eastAsia" w:ascii="宋体" w:hAnsi="宋体" w:eastAsia="宋体" w:cs="Times New Roman"/>
          <w:highlight w:val="none"/>
          <w:lang w:val="en-US" w:eastAsia="zh-CN"/>
        </w:rPr>
        <w:t>售后服务要求</w:t>
      </w:r>
      <w:bookmarkEnd w:id="75"/>
    </w:p>
    <w:p>
      <w:pPr>
        <w:spacing w:line="560" w:lineRule="exact"/>
        <w:ind w:firstLine="560" w:firstLineChars="200"/>
        <w:rPr>
          <w:rFonts w:hint="eastAsia" w:ascii="宋体" w:hAnsi="宋体" w:eastAsia="宋体" w:cs="Times New Roman"/>
          <w:bCs/>
          <w:sz w:val="28"/>
          <w:szCs w:val="28"/>
          <w:highlight w:val="none"/>
          <w:lang w:val="en-US" w:eastAsia="zh-CN"/>
        </w:rPr>
      </w:pPr>
      <w:r>
        <w:rPr>
          <w:rFonts w:hint="eastAsia" w:ascii="宋体" w:hAnsi="宋体" w:eastAsia="宋体" w:cs="Times New Roman"/>
          <w:bCs/>
          <w:sz w:val="28"/>
          <w:szCs w:val="28"/>
          <w:highlight w:val="none"/>
          <w:lang w:val="en-US" w:eastAsia="zh-CN"/>
        </w:rPr>
        <w:t>（1）由供应商为采购人提供质量及售后手册，供应商按照质量及售后手册提供保修服务。</w:t>
      </w:r>
    </w:p>
    <w:p>
      <w:pPr>
        <w:spacing w:line="560" w:lineRule="exact"/>
        <w:ind w:firstLine="560" w:firstLineChars="200"/>
        <w:rPr>
          <w:rFonts w:hint="eastAsia" w:ascii="宋体" w:hAnsi="宋体" w:eastAsia="宋体" w:cs="Times New Roman"/>
          <w:bCs/>
          <w:sz w:val="28"/>
          <w:szCs w:val="28"/>
          <w:highlight w:val="none"/>
          <w:lang w:val="en-US" w:eastAsia="zh-CN"/>
        </w:rPr>
      </w:pPr>
      <w:r>
        <w:rPr>
          <w:rFonts w:hint="eastAsia" w:ascii="宋体" w:hAnsi="宋体" w:eastAsia="宋体" w:cs="Times New Roman"/>
          <w:bCs/>
          <w:sz w:val="28"/>
          <w:szCs w:val="28"/>
          <w:highlight w:val="none"/>
          <w:lang w:val="en-US" w:eastAsia="zh-CN"/>
        </w:rPr>
        <w:t>（2）在</w:t>
      </w:r>
      <w:r>
        <w:rPr>
          <w:rFonts w:hint="eastAsia" w:ascii="宋体" w:hAnsi="宋体" w:cs="Times New Roman"/>
          <w:bCs/>
          <w:sz w:val="28"/>
          <w:szCs w:val="28"/>
          <w:highlight w:val="none"/>
          <w:lang w:val="en-US" w:eastAsia="zh-CN"/>
        </w:rPr>
        <w:t>质保期</w:t>
      </w:r>
      <w:r>
        <w:rPr>
          <w:rFonts w:hint="eastAsia" w:ascii="宋体" w:hAnsi="宋体" w:eastAsia="宋体" w:cs="Times New Roman"/>
          <w:bCs/>
          <w:sz w:val="28"/>
          <w:szCs w:val="28"/>
          <w:highlight w:val="none"/>
          <w:lang w:val="en-US" w:eastAsia="zh-CN"/>
        </w:rPr>
        <w:t>内，一般故障响应时间不超过2小时，到达现场时间不超过48小时。紧急故障响</w:t>
      </w:r>
      <w:r>
        <w:rPr>
          <w:rFonts w:hint="eastAsia" w:ascii="宋体" w:hAnsi="宋体" w:cs="Times New Roman"/>
          <w:bCs/>
          <w:sz w:val="28"/>
          <w:szCs w:val="28"/>
          <w:highlight w:val="none"/>
          <w:lang w:val="en-US" w:eastAsia="zh-CN"/>
        </w:rPr>
        <w:t>4</w:t>
      </w:r>
      <w:r>
        <w:rPr>
          <w:rFonts w:hint="eastAsia" w:ascii="宋体" w:hAnsi="宋体" w:eastAsia="宋体" w:cs="Times New Roman"/>
          <w:bCs/>
          <w:sz w:val="28"/>
          <w:szCs w:val="28"/>
          <w:highlight w:val="none"/>
          <w:lang w:val="en-US" w:eastAsia="zh-CN"/>
        </w:rPr>
        <w:t>应时间不超过1小时，到达现场时间不超过24小时。</w:t>
      </w:r>
    </w:p>
    <w:p>
      <w:pPr>
        <w:spacing w:line="560" w:lineRule="exact"/>
        <w:ind w:firstLine="560" w:firstLineChars="200"/>
        <w:rPr>
          <w:rFonts w:hint="eastAsia" w:ascii="宋体" w:hAnsi="宋体" w:eastAsia="宋体" w:cs="Times New Roman"/>
          <w:bCs/>
          <w:sz w:val="28"/>
          <w:szCs w:val="28"/>
          <w:highlight w:val="none"/>
          <w:lang w:val="en-US" w:eastAsia="zh-CN"/>
        </w:rPr>
      </w:pPr>
      <w:r>
        <w:rPr>
          <w:rFonts w:hint="eastAsia" w:ascii="宋体" w:hAnsi="宋体" w:eastAsia="宋体" w:cs="Times New Roman"/>
          <w:bCs/>
          <w:sz w:val="28"/>
          <w:szCs w:val="28"/>
          <w:highlight w:val="none"/>
          <w:lang w:val="en-US" w:eastAsia="zh-CN"/>
        </w:rPr>
        <w:t>（3）在</w:t>
      </w:r>
      <w:r>
        <w:rPr>
          <w:rFonts w:hint="eastAsia" w:ascii="宋体" w:hAnsi="宋体" w:cs="Times New Roman"/>
          <w:bCs/>
          <w:sz w:val="28"/>
          <w:szCs w:val="28"/>
          <w:highlight w:val="none"/>
          <w:lang w:val="en-US" w:eastAsia="zh-CN"/>
        </w:rPr>
        <w:t>质保期</w:t>
      </w:r>
      <w:r>
        <w:rPr>
          <w:rFonts w:hint="eastAsia" w:ascii="宋体" w:hAnsi="宋体" w:eastAsia="宋体" w:cs="Times New Roman"/>
          <w:bCs/>
          <w:sz w:val="28"/>
          <w:szCs w:val="28"/>
          <w:highlight w:val="none"/>
          <w:lang w:val="en-US" w:eastAsia="zh-CN"/>
        </w:rPr>
        <w:t>内，供应商负责为其提供的系统进行维修、软件维护及升级服务。如果是产品质量问题，由供应商负责所产生的工时费和材料费用。非产品质量问题造成的损坏，按照统一标准收取费用。</w:t>
      </w:r>
    </w:p>
    <w:p>
      <w:pPr>
        <w:spacing w:line="560" w:lineRule="exact"/>
        <w:ind w:firstLine="560" w:firstLineChars="200"/>
        <w:rPr>
          <w:rFonts w:hint="eastAsia" w:ascii="宋体" w:hAnsi="宋体" w:eastAsia="宋体" w:cs="Times New Roman"/>
          <w:bCs/>
          <w:sz w:val="28"/>
          <w:szCs w:val="28"/>
          <w:lang w:val="en-US" w:eastAsia="zh-CN"/>
        </w:rPr>
      </w:pPr>
      <w:r>
        <w:rPr>
          <w:rFonts w:hint="eastAsia" w:ascii="宋体" w:hAnsi="宋体" w:eastAsia="宋体" w:cs="Times New Roman"/>
          <w:bCs/>
          <w:sz w:val="28"/>
          <w:szCs w:val="28"/>
          <w:highlight w:val="none"/>
          <w:lang w:val="en-US" w:eastAsia="zh-CN"/>
        </w:rPr>
        <w:t>（4）所提供的产品在质保期后供应商</w:t>
      </w:r>
      <w:r>
        <w:rPr>
          <w:rFonts w:hint="eastAsia" w:ascii="宋体" w:hAnsi="宋体" w:eastAsia="宋体" w:cs="Times New Roman"/>
          <w:bCs/>
          <w:sz w:val="28"/>
          <w:szCs w:val="28"/>
          <w:lang w:val="en-US" w:eastAsia="zh-CN"/>
        </w:rPr>
        <w:t>须继续提供维修服务以及售后服务，按标准收费。</w:t>
      </w:r>
    </w:p>
    <w:p>
      <w:pPr>
        <w:spacing w:line="560" w:lineRule="exact"/>
        <w:ind w:firstLine="560" w:firstLineChars="200"/>
        <w:rPr>
          <w:rFonts w:hint="default" w:ascii="仿宋_GB2312" w:hAnsi="楷体" w:eastAsia="仿宋_GB2312"/>
          <w:sz w:val="28"/>
          <w:szCs w:val="28"/>
          <w:lang w:val="en-US" w:eastAsia="zh-CN"/>
        </w:rPr>
      </w:pPr>
      <w:r>
        <w:rPr>
          <w:rFonts w:hint="eastAsia" w:ascii="宋体" w:hAnsi="宋体" w:eastAsia="宋体" w:cs="Times New Roman"/>
          <w:bCs/>
          <w:sz w:val="28"/>
          <w:szCs w:val="28"/>
          <w:lang w:val="en-US" w:eastAsia="zh-CN"/>
        </w:rPr>
        <w:t>（5）供应商为采购人提供车辆使用说明书，若有疑难问题，可以致电给供应商热线，由供应商专业人员给予解释以及疑难解答。</w:t>
      </w:r>
    </w:p>
    <w:p>
      <w:pPr>
        <w:pStyle w:val="4"/>
      </w:pPr>
      <w:bookmarkStart w:id="76" w:name="_Toc3126"/>
      <w:r>
        <w:rPr>
          <w:rFonts w:hint="eastAsia"/>
        </w:rPr>
        <w:t>商务要求</w:t>
      </w:r>
      <w:bookmarkEnd w:id="76"/>
    </w:p>
    <w:p>
      <w:pPr>
        <w:spacing w:line="560" w:lineRule="exact"/>
        <w:ind w:firstLine="560" w:firstLineChars="200"/>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（1）交货时间：合同签订后45日内完成交付。</w:t>
      </w:r>
    </w:p>
    <w:p>
      <w:pPr>
        <w:spacing w:line="560" w:lineRule="exact"/>
        <w:ind w:firstLine="560" w:firstLineChars="200"/>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（2）交货地点：供应商将采购车辆送至采购人指定地点。</w:t>
      </w:r>
    </w:p>
    <w:p>
      <w:pPr>
        <w:spacing w:line="560" w:lineRule="exact"/>
        <w:ind w:firstLine="560" w:firstLineChars="200"/>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（3）交货方式：将采购车辆及车辆相关资料送至采购人指定地点。</w:t>
      </w:r>
    </w:p>
    <w:p>
      <w:pPr>
        <w:spacing w:line="560" w:lineRule="exact"/>
        <w:ind w:firstLine="560" w:firstLineChars="200"/>
        <w:rPr>
          <w:rFonts w:hint="eastAsia" w:ascii="宋体" w:hAnsi="宋体" w:eastAsia="宋体" w:cs="Times New Roman"/>
          <w:bCs/>
          <w:sz w:val="28"/>
          <w:szCs w:val="28"/>
          <w:lang w:val="en-US" w:eastAsia="zh-CN"/>
        </w:rPr>
      </w:pPr>
      <w:r>
        <w:rPr>
          <w:rFonts w:hint="eastAsia" w:ascii="宋体" w:hAnsi="宋体" w:eastAsia="宋体" w:cs="Times New Roman"/>
          <w:bCs/>
          <w:sz w:val="28"/>
          <w:szCs w:val="28"/>
          <w:lang w:val="en-US" w:eastAsia="zh-CN"/>
        </w:rPr>
        <w:t>（4）履约验收：车辆验收应于交货当日在约定的交货地点按照《财政部关于进一步加强政府采购和履约验收管理的指导意见》（财库〔2016〕205号）执行。采购人对所购汽车的外观、型号、质量有异议的应在验车当场提出，经供应商确认后负责调换、处理。</w:t>
      </w:r>
    </w:p>
    <w:p>
      <w:pPr>
        <w:spacing w:line="560" w:lineRule="exact"/>
        <w:ind w:firstLine="560" w:firstLineChars="200"/>
        <w:rPr>
          <w:color w:val="auto"/>
        </w:rPr>
      </w:pPr>
      <w:r>
        <w:rPr>
          <w:rFonts w:hint="eastAsia" w:ascii="宋体" w:hAnsi="宋体" w:eastAsia="宋体" w:cs="Times New Roman"/>
          <w:bCs/>
          <w:sz w:val="28"/>
          <w:szCs w:val="28"/>
          <w:lang w:val="en-US" w:eastAsia="zh-CN"/>
        </w:rPr>
        <w:t>（5）付款方式：合同签订后，采购单位在车辆验收合格且成交供应商向釆购单位出具合法有效完整的发票及凭证资料后15日内向供应商支付合同总价百分之百价款。</w:t>
      </w:r>
    </w:p>
    <w:p>
      <w:pPr>
        <w:pStyle w:val="4"/>
        <w:rPr>
          <w:rFonts w:hint="eastAsia" w:ascii="宋体" w:hAnsi="宋体" w:eastAsia="宋体" w:cs="Times New Roman"/>
        </w:rPr>
      </w:pPr>
      <w:bookmarkStart w:id="77" w:name="_Toc22373"/>
      <w:r>
        <w:rPr>
          <w:rFonts w:hint="eastAsia" w:ascii="宋体" w:hAnsi="宋体" w:eastAsia="宋体" w:cs="Times New Roman"/>
        </w:rPr>
        <w:t>其他要求</w:t>
      </w:r>
      <w:bookmarkEnd w:id="77"/>
    </w:p>
    <w:p>
      <w:pPr>
        <w:pStyle w:val="80"/>
        <w:widowControl w:val="0"/>
        <w:numPr>
          <w:ilvl w:val="0"/>
          <w:numId w:val="37"/>
        </w:numPr>
        <w:tabs>
          <w:tab w:val="left" w:pos="1134"/>
        </w:tabs>
        <w:spacing w:after="200" w:line="360" w:lineRule="auto"/>
        <w:ind w:left="0" w:firstLine="561" w:firstLineChars="0"/>
        <w:jc w:val="both"/>
        <w:rPr>
          <w:rFonts w:ascii="宋体" w:hAnsi="宋体"/>
          <w:b/>
          <w:sz w:val="28"/>
          <w:szCs w:val="28"/>
        </w:rPr>
      </w:pPr>
      <w:r>
        <w:rPr>
          <w:rFonts w:hint="eastAsia" w:ascii="宋体" w:hAnsi="宋体" w:eastAsia="宋体"/>
          <w:b/>
          <w:sz w:val="28"/>
          <w:szCs w:val="28"/>
          <w:lang w:val="zh-CN"/>
        </w:rPr>
        <w:t>★</w:t>
      </w:r>
      <w:r>
        <w:rPr>
          <w:rFonts w:hint="eastAsia" w:ascii="宋体" w:hAnsi="宋体" w:eastAsia="宋体" w:cs="Times New Roman"/>
          <w:b/>
          <w:bCs/>
          <w:kern w:val="0"/>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pStyle w:val="80"/>
        <w:widowControl w:val="0"/>
        <w:numPr>
          <w:ilvl w:val="0"/>
          <w:numId w:val="37"/>
        </w:numPr>
        <w:tabs>
          <w:tab w:val="left" w:pos="1276"/>
        </w:tabs>
        <w:snapToGrid w:val="0"/>
        <w:spacing w:line="360" w:lineRule="auto"/>
        <w:ind w:left="0" w:firstLine="710" w:firstLineChars="0"/>
        <w:jc w:val="both"/>
        <w:rPr>
          <w:rFonts w:asciiTheme="minorEastAsia" w:hAnsiTheme="minorEastAsia"/>
          <w:sz w:val="28"/>
          <w:szCs w:val="28"/>
          <w:lang w:val="zh-CN"/>
        </w:rPr>
      </w:pPr>
      <w:r>
        <w:rPr>
          <w:rFonts w:hint="eastAsia" w:asciiTheme="minorEastAsia" w:hAnsiTheme="minorEastAsia"/>
          <w:b/>
          <w:sz w:val="28"/>
          <w:szCs w:val="28"/>
        </w:rPr>
        <w:t>★供应商为本项目提供的所有产品、辅材中属于《国家强制性产品认证目录》范围内产品的，均通过国家强制性产品认证并取得认证证书。</w:t>
      </w:r>
      <w:r>
        <w:rPr>
          <w:rFonts w:hint="eastAsia" w:asciiTheme="minorEastAsia" w:hAnsiTheme="minorEastAsia"/>
          <w:b/>
          <w:bCs/>
          <w:sz w:val="28"/>
          <w:szCs w:val="28"/>
          <w:lang w:val="zh-CN"/>
        </w:rPr>
        <w:t>（</w:t>
      </w:r>
      <w:r>
        <w:rPr>
          <w:rFonts w:hint="eastAsia" w:ascii="宋体" w:hAnsi="宋体"/>
          <w:b/>
          <w:bCs/>
          <w:sz w:val="28"/>
          <w:szCs w:val="28"/>
          <w:lang w:val="zh-CN"/>
        </w:rPr>
        <w:t>说明：供应商应按询价</w:t>
      </w:r>
      <w:r>
        <w:rPr>
          <w:rFonts w:ascii="宋体" w:hAnsi="宋体"/>
          <w:b/>
          <w:bCs/>
          <w:sz w:val="28"/>
          <w:szCs w:val="28"/>
          <w:lang w:val="zh-CN"/>
        </w:rPr>
        <w:t>通知书</w:t>
      </w:r>
      <w:r>
        <w:rPr>
          <w:b/>
          <w:bCs/>
          <w:sz w:val="28"/>
          <w:szCs w:val="28"/>
          <w:lang w:val="zh-CN"/>
        </w:rPr>
        <w:t>3.3.6</w:t>
      </w:r>
      <w:r>
        <w:rPr>
          <w:rFonts w:hint="eastAsia" w:ascii="宋体" w:hAnsi="宋体"/>
          <w:b/>
          <w:bCs/>
          <w:sz w:val="28"/>
          <w:szCs w:val="28"/>
          <w:lang w:val="zh-CN"/>
        </w:rPr>
        <w:t>承诺函的格式及要求提供承诺函。</w:t>
      </w:r>
      <w:r>
        <w:rPr>
          <w:rFonts w:hint="eastAsia" w:asciiTheme="minorEastAsia" w:hAnsiTheme="minorEastAsia"/>
          <w:b/>
          <w:bCs/>
          <w:sz w:val="28"/>
          <w:szCs w:val="28"/>
          <w:lang w:val="zh-CN"/>
        </w:rPr>
        <w:t>）</w:t>
      </w:r>
    </w:p>
    <w:p>
      <w:pPr>
        <w:pStyle w:val="80"/>
        <w:widowControl w:val="0"/>
        <w:numPr>
          <w:ilvl w:val="0"/>
          <w:numId w:val="37"/>
        </w:numPr>
        <w:tabs>
          <w:tab w:val="left" w:pos="1276"/>
        </w:tabs>
        <w:snapToGrid w:val="0"/>
        <w:spacing w:line="360" w:lineRule="auto"/>
        <w:ind w:left="0" w:firstLine="710" w:firstLineChars="0"/>
        <w:jc w:val="both"/>
        <w:rPr>
          <w:rFonts w:asciiTheme="minorEastAsia" w:hAnsiTheme="minorEastAsia"/>
          <w:sz w:val="28"/>
          <w:szCs w:val="28"/>
          <w:lang w:val="zh-CN"/>
        </w:rPr>
      </w:pPr>
      <w:r>
        <w:rPr>
          <w:rFonts w:hint="eastAsia" w:asciiTheme="minorEastAsia" w:hAnsiTheme="minorEastAsia"/>
          <w:b/>
          <w:sz w:val="28"/>
          <w:szCs w:val="28"/>
          <w:lang w:val="zh-CN"/>
        </w:rPr>
        <w:t>★</w:t>
      </w:r>
      <w:r>
        <w:rPr>
          <w:rFonts w:hint="eastAsia" w:asciiTheme="minorEastAsia" w:hAnsiTheme="minorEastAsia"/>
          <w:b/>
          <w:sz w:val="28"/>
          <w:szCs w:val="28"/>
        </w:rPr>
        <w:t>供应商</w:t>
      </w:r>
      <w:r>
        <w:rPr>
          <w:rFonts w:hint="eastAsia" w:asciiTheme="minorEastAsia" w:hAnsiTheme="minorEastAsia"/>
          <w:b/>
          <w:sz w:val="28"/>
          <w:szCs w:val="28"/>
          <w:lang w:val="zh-CN"/>
        </w:rPr>
        <w:t>为本项目提供的所有产品、辅材符合现行的强制性国家相关标准、行业标准。</w:t>
      </w:r>
      <w:r>
        <w:rPr>
          <w:rFonts w:hint="eastAsia" w:asciiTheme="minorEastAsia" w:hAnsiTheme="minorEastAsia"/>
          <w:b/>
          <w:bCs/>
          <w:sz w:val="28"/>
          <w:szCs w:val="28"/>
          <w:lang w:val="zh-CN"/>
        </w:rPr>
        <w:t>（</w:t>
      </w:r>
      <w:r>
        <w:rPr>
          <w:rFonts w:hint="eastAsia" w:ascii="宋体" w:hAnsi="宋体"/>
          <w:b/>
          <w:bCs/>
          <w:sz w:val="28"/>
          <w:szCs w:val="28"/>
          <w:lang w:val="zh-CN"/>
        </w:rPr>
        <w:t>说明：供应商应按询价</w:t>
      </w:r>
      <w:r>
        <w:rPr>
          <w:rFonts w:ascii="宋体" w:hAnsi="宋体"/>
          <w:b/>
          <w:bCs/>
          <w:sz w:val="28"/>
          <w:szCs w:val="28"/>
          <w:lang w:val="zh-CN"/>
        </w:rPr>
        <w:t>通知书</w:t>
      </w:r>
      <w:r>
        <w:rPr>
          <w:b/>
          <w:bCs/>
          <w:sz w:val="28"/>
          <w:szCs w:val="28"/>
          <w:lang w:val="zh-CN"/>
        </w:rPr>
        <w:t>3.3.6</w:t>
      </w:r>
      <w:r>
        <w:rPr>
          <w:rFonts w:hint="eastAsia" w:ascii="宋体" w:hAnsi="宋体"/>
          <w:b/>
          <w:bCs/>
          <w:sz w:val="28"/>
          <w:szCs w:val="28"/>
          <w:lang w:val="zh-CN"/>
        </w:rPr>
        <w:t>承诺函的格式及要求提供承诺函。</w:t>
      </w:r>
      <w:r>
        <w:rPr>
          <w:rFonts w:hint="eastAsia" w:asciiTheme="minorEastAsia" w:hAnsiTheme="minorEastAsia"/>
          <w:b/>
          <w:bCs/>
          <w:sz w:val="28"/>
          <w:szCs w:val="28"/>
          <w:lang w:val="zh-CN"/>
        </w:rPr>
        <w:t>）</w:t>
      </w:r>
    </w:p>
    <w:p>
      <w:pPr>
        <w:pStyle w:val="80"/>
        <w:widowControl w:val="0"/>
        <w:numPr>
          <w:ilvl w:val="0"/>
          <w:numId w:val="37"/>
        </w:numPr>
        <w:tabs>
          <w:tab w:val="left" w:pos="1276"/>
        </w:tabs>
        <w:snapToGrid w:val="0"/>
        <w:spacing w:line="360" w:lineRule="auto"/>
        <w:ind w:left="0" w:firstLine="710" w:firstLineChars="0"/>
        <w:jc w:val="both"/>
        <w:rPr>
          <w:rFonts w:asciiTheme="minorEastAsia" w:hAnsiTheme="minorEastAsia"/>
          <w:b/>
          <w:sz w:val="28"/>
          <w:szCs w:val="28"/>
          <w:lang w:val="zh-CN"/>
        </w:rPr>
      </w:pPr>
      <w:r>
        <w:rPr>
          <w:rFonts w:hint="eastAsia" w:asciiTheme="minorEastAsia" w:hAnsiTheme="minorEastAsia"/>
          <w:b/>
          <w:sz w:val="28"/>
          <w:szCs w:val="28"/>
          <w:lang w:val="zh-CN"/>
        </w:rPr>
        <w:t>★</w:t>
      </w:r>
      <w:r>
        <w:rPr>
          <w:rFonts w:hint="eastAsia" w:asciiTheme="minorEastAsia" w:hAnsiTheme="minorEastAsia"/>
          <w:b/>
          <w:sz w:val="28"/>
          <w:szCs w:val="28"/>
        </w:rPr>
        <w:t>供应商</w:t>
      </w:r>
      <w:r>
        <w:rPr>
          <w:rFonts w:hint="eastAsia" w:asciiTheme="minorEastAsia" w:hAnsiTheme="minorEastAsia"/>
          <w:b/>
          <w:sz w:val="28"/>
          <w:szCs w:val="28"/>
          <w:lang w:val="zh-CN"/>
        </w:rPr>
        <w:t>为本项目提供的所有产品中属于节能产品政府采购品目清单中的政府强制采购产品的，均应具有国家确定的认证机构出具的有效期内的节能产品认证证书。</w:t>
      </w:r>
      <w:r>
        <w:rPr>
          <w:rFonts w:hint="eastAsia" w:asciiTheme="minorEastAsia" w:hAnsiTheme="minorEastAsia"/>
          <w:b/>
          <w:bCs/>
          <w:sz w:val="28"/>
          <w:szCs w:val="28"/>
          <w:lang w:val="zh-CN"/>
        </w:rPr>
        <w:t>（说明：</w:t>
      </w:r>
      <w:r>
        <w:rPr>
          <w:rFonts w:hint="eastAsia" w:ascii="宋体" w:hAnsi="宋体"/>
          <w:b/>
          <w:bCs/>
          <w:sz w:val="28"/>
          <w:szCs w:val="28"/>
          <w:lang w:val="zh-CN"/>
        </w:rPr>
        <w:t>供应商应按询价</w:t>
      </w:r>
      <w:r>
        <w:rPr>
          <w:rFonts w:ascii="宋体" w:hAnsi="宋体"/>
          <w:b/>
          <w:bCs/>
          <w:sz w:val="28"/>
          <w:szCs w:val="28"/>
          <w:lang w:val="zh-CN"/>
        </w:rPr>
        <w:t>通知书</w:t>
      </w:r>
      <w:r>
        <w:rPr>
          <w:b/>
          <w:bCs/>
          <w:sz w:val="28"/>
          <w:szCs w:val="28"/>
          <w:lang w:val="zh-CN"/>
        </w:rPr>
        <w:t>3.3.6</w:t>
      </w:r>
      <w:r>
        <w:rPr>
          <w:rFonts w:hint="eastAsia" w:ascii="宋体" w:hAnsi="宋体"/>
          <w:b/>
          <w:bCs/>
          <w:sz w:val="28"/>
          <w:szCs w:val="28"/>
          <w:lang w:val="zh-CN"/>
        </w:rPr>
        <w:t>承诺函的格式及要求提供承诺函。</w:t>
      </w:r>
      <w:r>
        <w:rPr>
          <w:rFonts w:hint="eastAsia" w:asciiTheme="minorEastAsia" w:hAnsiTheme="minorEastAsia"/>
          <w:b/>
          <w:sz w:val="28"/>
          <w:szCs w:val="28"/>
          <w:lang w:val="zh-CN"/>
        </w:rPr>
        <w:t>）</w:t>
      </w:r>
    </w:p>
    <w:p>
      <w:pPr>
        <w:pStyle w:val="80"/>
        <w:widowControl w:val="0"/>
        <w:numPr>
          <w:ilvl w:val="0"/>
          <w:numId w:val="37"/>
        </w:numPr>
        <w:tabs>
          <w:tab w:val="left" w:pos="1134"/>
          <w:tab w:val="left" w:pos="1276"/>
        </w:tabs>
        <w:snapToGrid w:val="0"/>
        <w:spacing w:line="360" w:lineRule="auto"/>
        <w:ind w:left="0" w:firstLine="562"/>
        <w:jc w:val="both"/>
        <w:rPr>
          <w:rFonts w:asciiTheme="minorEastAsia" w:hAnsiTheme="minorEastAsia"/>
          <w:b/>
          <w:sz w:val="28"/>
          <w:szCs w:val="28"/>
          <w:lang w:val="zh-CN"/>
        </w:rPr>
      </w:pPr>
      <w:r>
        <w:rPr>
          <w:rFonts w:hint="eastAsia" w:asciiTheme="minorEastAsia" w:hAnsiTheme="minorEastAsia"/>
          <w:b/>
          <w:sz w:val="28"/>
          <w:szCs w:val="28"/>
          <w:lang w:val="zh-CN"/>
        </w:rPr>
        <w:t>★</w:t>
      </w:r>
      <w:r>
        <w:rPr>
          <w:rFonts w:hint="eastAsia" w:ascii="宋体" w:hAnsi="宋体"/>
          <w:b/>
          <w:bCs/>
          <w:sz w:val="28"/>
          <w:szCs w:val="28"/>
        </w:rPr>
        <w:t>为本项目实施涉及的商品包装和快递包装，均应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供应商承担。</w:t>
      </w:r>
      <w:r>
        <w:rPr>
          <w:rFonts w:hint="eastAsia" w:asciiTheme="minorEastAsia" w:hAnsiTheme="minorEastAsia"/>
          <w:b/>
          <w:bCs/>
          <w:sz w:val="28"/>
          <w:szCs w:val="28"/>
          <w:lang w:val="zh-CN"/>
        </w:rPr>
        <w:t>（说明：</w:t>
      </w:r>
      <w:r>
        <w:rPr>
          <w:rFonts w:hint="eastAsia" w:ascii="宋体" w:hAnsi="宋体"/>
          <w:b/>
          <w:bCs/>
          <w:sz w:val="28"/>
          <w:szCs w:val="28"/>
          <w:lang w:val="zh-CN"/>
        </w:rPr>
        <w:t>供应商应按询价</w:t>
      </w:r>
      <w:r>
        <w:rPr>
          <w:rFonts w:ascii="宋体" w:hAnsi="宋体"/>
          <w:b/>
          <w:bCs/>
          <w:sz w:val="28"/>
          <w:szCs w:val="28"/>
          <w:lang w:val="zh-CN"/>
        </w:rPr>
        <w:t>通知书</w:t>
      </w:r>
      <w:r>
        <w:rPr>
          <w:b/>
          <w:bCs/>
          <w:sz w:val="28"/>
          <w:szCs w:val="28"/>
          <w:lang w:val="zh-CN"/>
        </w:rPr>
        <w:t>3.3.6</w:t>
      </w:r>
      <w:r>
        <w:rPr>
          <w:rFonts w:hint="eastAsia" w:ascii="宋体" w:hAnsi="宋体"/>
          <w:b/>
          <w:bCs/>
          <w:sz w:val="28"/>
          <w:szCs w:val="28"/>
          <w:lang w:val="zh-CN"/>
        </w:rPr>
        <w:t>承诺函的格式及要求提供承诺函。</w:t>
      </w:r>
      <w:r>
        <w:rPr>
          <w:rFonts w:hint="eastAsia" w:asciiTheme="minorEastAsia" w:hAnsiTheme="minorEastAsia"/>
          <w:b/>
          <w:sz w:val="28"/>
          <w:szCs w:val="28"/>
          <w:lang w:val="zh-CN"/>
        </w:rPr>
        <w:t>）</w:t>
      </w:r>
    </w:p>
    <w:p>
      <w:pPr>
        <w:pStyle w:val="80"/>
        <w:widowControl w:val="0"/>
        <w:numPr>
          <w:ilvl w:val="0"/>
          <w:numId w:val="37"/>
        </w:numPr>
        <w:tabs>
          <w:tab w:val="left" w:pos="1134"/>
          <w:tab w:val="left" w:pos="1276"/>
        </w:tabs>
        <w:snapToGrid w:val="0"/>
        <w:spacing w:line="360" w:lineRule="auto"/>
        <w:ind w:left="0" w:firstLine="562"/>
        <w:jc w:val="both"/>
        <w:rPr>
          <w:rFonts w:asciiTheme="minorEastAsia" w:hAnsiTheme="minorEastAsia"/>
          <w:b/>
          <w:sz w:val="28"/>
          <w:szCs w:val="28"/>
          <w:lang w:val="zh-CN"/>
        </w:rPr>
      </w:pPr>
      <w:r>
        <w:rPr>
          <w:rFonts w:hint="eastAsia" w:asciiTheme="minorEastAsia" w:hAnsiTheme="minorEastAsia"/>
          <w:b/>
          <w:sz w:val="28"/>
          <w:szCs w:val="28"/>
          <w:lang w:val="zh-CN"/>
        </w:rPr>
        <w:t>★为本项目提供的所有产品中属于3C认证产品的，均具有3C产品认证证书，并在中标后签订合同之前提供证书复印件加盖公章。</w:t>
      </w:r>
      <w:r>
        <w:rPr>
          <w:rFonts w:hint="eastAsia" w:asciiTheme="minorEastAsia" w:hAnsiTheme="minorEastAsia"/>
          <w:b/>
          <w:bCs/>
          <w:sz w:val="28"/>
          <w:szCs w:val="28"/>
          <w:lang w:val="zh-CN"/>
        </w:rPr>
        <w:t>（说明：</w:t>
      </w:r>
      <w:r>
        <w:rPr>
          <w:rFonts w:hint="eastAsia" w:ascii="宋体" w:hAnsi="宋体"/>
          <w:b/>
          <w:bCs/>
          <w:sz w:val="28"/>
          <w:szCs w:val="28"/>
          <w:lang w:val="zh-CN"/>
        </w:rPr>
        <w:t>供应商应按询价</w:t>
      </w:r>
      <w:r>
        <w:rPr>
          <w:rFonts w:ascii="宋体" w:hAnsi="宋体"/>
          <w:b/>
          <w:bCs/>
          <w:sz w:val="28"/>
          <w:szCs w:val="28"/>
          <w:lang w:val="zh-CN"/>
        </w:rPr>
        <w:t>通知书</w:t>
      </w:r>
      <w:r>
        <w:rPr>
          <w:b/>
          <w:bCs/>
          <w:sz w:val="28"/>
          <w:szCs w:val="28"/>
          <w:lang w:val="zh-CN"/>
        </w:rPr>
        <w:t>3.3.6</w:t>
      </w:r>
      <w:r>
        <w:rPr>
          <w:rFonts w:hint="eastAsia" w:ascii="宋体" w:hAnsi="宋体"/>
          <w:b/>
          <w:bCs/>
          <w:sz w:val="28"/>
          <w:szCs w:val="28"/>
          <w:lang w:val="zh-CN"/>
        </w:rPr>
        <w:t>承诺函的格式及要求提供承诺函。</w:t>
      </w:r>
      <w:r>
        <w:rPr>
          <w:rFonts w:hint="eastAsia" w:asciiTheme="minorEastAsia" w:hAnsiTheme="minorEastAsia"/>
          <w:b/>
          <w:sz w:val="28"/>
          <w:szCs w:val="28"/>
          <w:lang w:val="zh-CN"/>
        </w:rPr>
        <w:t>）</w:t>
      </w:r>
    </w:p>
    <w:p>
      <w:pPr>
        <w:pStyle w:val="4"/>
        <w:tabs>
          <w:tab w:val="left" w:pos="993"/>
          <w:tab w:val="clear" w:pos="426"/>
          <w:tab w:val="clear" w:pos="567"/>
        </w:tabs>
        <w:ind w:left="0" w:firstLine="0"/>
      </w:pPr>
      <w:bookmarkStart w:id="78" w:name="_Toc32182"/>
      <w:r>
        <w:rPr>
          <w:rFonts w:hint="eastAsia"/>
          <w:b w:val="0"/>
          <w:szCs w:val="20"/>
        </w:rPr>
        <w:t>★</w:t>
      </w:r>
      <w:r>
        <w:rPr>
          <w:rFonts w:hint="eastAsia"/>
        </w:rPr>
        <w:t>最高限价</w:t>
      </w:r>
      <w:bookmarkEnd w:id="78"/>
    </w:p>
    <w:p>
      <w:pPr>
        <w:ind w:firstLine="562" w:firstLineChars="200"/>
      </w:pPr>
      <w:r>
        <w:rPr>
          <w:rFonts w:hint="eastAsia" w:ascii="宋体" w:hAnsi="宋体"/>
          <w:b/>
          <w:bCs/>
          <w:sz w:val="28"/>
          <w:szCs w:val="28"/>
        </w:rPr>
        <w:t>本项目最高限价为</w:t>
      </w:r>
      <w:r>
        <w:rPr>
          <w:rFonts w:hint="eastAsia" w:ascii="宋体" w:hAnsi="宋体"/>
          <w:b/>
          <w:bCs/>
          <w:sz w:val="28"/>
          <w:szCs w:val="28"/>
          <w:lang w:val="en-US" w:eastAsia="zh-CN"/>
        </w:rPr>
        <w:t>18</w:t>
      </w:r>
      <w:r>
        <w:rPr>
          <w:rFonts w:hint="eastAsia" w:ascii="宋体" w:hAnsi="宋体"/>
          <w:b/>
          <w:bCs/>
          <w:sz w:val="28"/>
          <w:szCs w:val="28"/>
        </w:rPr>
        <w:t>万元，供应商报价高于最高限价的则其响应文件将按无效响应文件处理。</w:t>
      </w:r>
    </w:p>
    <w:p>
      <w:pPr>
        <w:pStyle w:val="4"/>
        <w:spacing w:after="200"/>
      </w:pPr>
      <w:bookmarkStart w:id="79" w:name="_Toc71554969"/>
      <w:bookmarkStart w:id="80" w:name="_Toc54948228"/>
      <w:bookmarkStart w:id="81" w:name="_Toc14743"/>
      <w:r>
        <w:rPr>
          <w:rFonts w:hint="eastAsia"/>
        </w:rPr>
        <w:t>满足采购需求的最低要求</w:t>
      </w:r>
      <w:bookmarkEnd w:id="79"/>
      <w:bookmarkEnd w:id="80"/>
      <w:bookmarkEnd w:id="81"/>
    </w:p>
    <w:p>
      <w:pPr>
        <w:tabs>
          <w:tab w:val="left" w:pos="1134"/>
        </w:tabs>
        <w:snapToGrid w:val="0"/>
        <w:spacing w:after="200" w:line="360" w:lineRule="auto"/>
        <w:ind w:firstLine="565" w:firstLineChars="201"/>
        <w:rPr>
          <w:rFonts w:ascii="宋体" w:hAnsi="宋体"/>
          <w:b/>
          <w:bCs/>
          <w:sz w:val="28"/>
          <w:szCs w:val="28"/>
          <w:lang w:val="zh-CN"/>
        </w:rPr>
      </w:pPr>
      <w:r>
        <w:rPr>
          <w:rFonts w:hint="eastAsia" w:ascii="宋体" w:hAnsi="宋体"/>
          <w:b/>
          <w:sz w:val="28"/>
          <w:szCs w:val="20"/>
        </w:rPr>
        <w:t>技术、服务、商务及其他要求中加★号的要求为满足采购需求的最低要求。</w:t>
      </w:r>
    </w:p>
    <w:p/>
    <w:p/>
    <w:p/>
    <w:p/>
    <w:p/>
    <w:p/>
    <w:p/>
    <w:p/>
    <w:p/>
    <w:p/>
    <w:bookmarkEnd w:id="72"/>
    <w:bookmarkEnd w:id="73"/>
    <w:p>
      <w:pPr>
        <w:pStyle w:val="3"/>
        <w:numPr>
          <w:ilvl w:val="0"/>
          <w:numId w:val="1"/>
        </w:numPr>
        <w:spacing w:before="0" w:after="0"/>
        <w:ind w:left="0" w:firstLine="0"/>
      </w:pPr>
      <w:bookmarkStart w:id="82" w:name="_Toc26154"/>
      <w:bookmarkStart w:id="83" w:name="_Toc360696963"/>
      <w:bookmarkStart w:id="84" w:name="_Toc236285891"/>
      <w:bookmarkStart w:id="85" w:name="_Toc205604899"/>
      <w:bookmarkStart w:id="86" w:name="_Toc238273564"/>
      <w:r>
        <w:rPr>
          <w:rFonts w:hint="eastAsia"/>
        </w:rPr>
        <w:t>询价办法</w:t>
      </w:r>
      <w:bookmarkEnd w:id="82"/>
    </w:p>
    <w:p>
      <w:pPr>
        <w:pStyle w:val="4"/>
        <w:tabs>
          <w:tab w:val="left" w:pos="993"/>
          <w:tab w:val="clear" w:pos="426"/>
          <w:tab w:val="clear" w:pos="567"/>
        </w:tabs>
        <w:ind w:left="0" w:firstLine="0"/>
      </w:pPr>
      <w:bookmarkStart w:id="87" w:name="_Toc14782"/>
      <w:r>
        <w:rPr>
          <w:rFonts w:hint="eastAsia"/>
        </w:rPr>
        <w:t>总则</w:t>
      </w:r>
      <w:bookmarkEnd w:id="87"/>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评审工作由</w:t>
      </w:r>
      <w:r>
        <w:rPr>
          <w:rFonts w:hint="eastAsia" w:ascii="宋体" w:hAnsi="宋体"/>
          <w:sz w:val="28"/>
          <w:szCs w:val="28"/>
          <w:lang w:eastAsia="zh-CN"/>
        </w:rPr>
        <w:t>区</w:t>
      </w:r>
      <w:r>
        <w:rPr>
          <w:rFonts w:hint="eastAsia" w:ascii="宋体" w:hAnsi="宋体"/>
          <w:sz w:val="28"/>
          <w:szCs w:val="28"/>
        </w:rPr>
        <w:t>公资交易中心负责组织，具体评审事务由采购人和</w:t>
      </w:r>
      <w:r>
        <w:rPr>
          <w:rFonts w:hint="eastAsia" w:ascii="宋体" w:hAnsi="宋体"/>
          <w:sz w:val="28"/>
          <w:szCs w:val="28"/>
          <w:lang w:eastAsia="zh-CN"/>
        </w:rPr>
        <w:t>区</w:t>
      </w:r>
      <w:r>
        <w:rPr>
          <w:rFonts w:hint="eastAsia" w:ascii="宋体" w:hAnsi="宋体"/>
          <w:sz w:val="28"/>
          <w:szCs w:val="28"/>
        </w:rPr>
        <w:t>公资交易中心依法组建的询价小组负责。询价小组由采购人代表和评审专家组成。</w:t>
      </w:r>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询价小组按照询价通知书规定的询价</w:t>
      </w:r>
      <w:r>
        <w:rPr>
          <w:rFonts w:ascii="宋体" w:hAnsi="宋体"/>
          <w:sz w:val="28"/>
          <w:szCs w:val="28"/>
        </w:rPr>
        <w:t>采购活动</w:t>
      </w:r>
      <w:r>
        <w:rPr>
          <w:rFonts w:hint="eastAsia" w:ascii="宋体" w:hAnsi="宋体"/>
          <w:sz w:val="28"/>
          <w:szCs w:val="28"/>
        </w:rPr>
        <w:t>程序进行评审，并在采购活动中应当履行下列职责：</w:t>
      </w:r>
    </w:p>
    <w:p>
      <w:pPr>
        <w:widowControl w:val="0"/>
        <w:numPr>
          <w:ilvl w:val="1"/>
          <w:numId w:val="39"/>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熟悉和理解询价通知书，确定询价通知书内容是否违反国家有关强制性规定或者询价通知书存在歧义、重大缺陷，根据需要书面要求采购人、采购代理机构对询价通知书作出解释</w:t>
      </w:r>
      <w:r>
        <w:rPr>
          <w:rFonts w:ascii="宋体" w:hAnsi="宋体" w:cs="宋体"/>
          <w:sz w:val="28"/>
          <w:szCs w:val="28"/>
        </w:rPr>
        <w:t>；</w:t>
      </w:r>
    </w:p>
    <w:p>
      <w:pPr>
        <w:widowControl w:val="0"/>
        <w:numPr>
          <w:ilvl w:val="1"/>
          <w:numId w:val="39"/>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审查供应商的响应文件并作出公正评价；</w:t>
      </w:r>
    </w:p>
    <w:p>
      <w:pPr>
        <w:widowControl w:val="0"/>
        <w:numPr>
          <w:ilvl w:val="1"/>
          <w:numId w:val="39"/>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根据需要要求供应商对响应文件中含义不明确、同类问题表述不一致或者有明显文字和计算错误的内容等作出必要的澄清、说明或者更正；</w:t>
      </w:r>
    </w:p>
    <w:p>
      <w:pPr>
        <w:widowControl w:val="0"/>
        <w:numPr>
          <w:ilvl w:val="1"/>
          <w:numId w:val="39"/>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依法、客观、公平、公正开展供应商资格性审查、询价采购</w:t>
      </w:r>
      <w:r>
        <w:rPr>
          <w:rFonts w:ascii="宋体" w:hAnsi="宋体" w:cs="宋体"/>
          <w:sz w:val="28"/>
          <w:szCs w:val="28"/>
        </w:rPr>
        <w:t>活动</w:t>
      </w:r>
      <w:r>
        <w:rPr>
          <w:rFonts w:hint="eastAsia" w:ascii="宋体" w:hAnsi="宋体" w:cs="宋体"/>
          <w:sz w:val="28"/>
          <w:szCs w:val="28"/>
        </w:rPr>
        <w:t>和推荐成交候选供应商；</w:t>
      </w:r>
    </w:p>
    <w:p>
      <w:pPr>
        <w:widowControl w:val="0"/>
        <w:numPr>
          <w:ilvl w:val="1"/>
          <w:numId w:val="39"/>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39"/>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39"/>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39"/>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39"/>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39"/>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widowControl w:val="0"/>
        <w:numPr>
          <w:ilvl w:val="0"/>
          <w:numId w:val="3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询价小组决定响应文件的响应性依据响应文件本身的内容，而不寻求外部的证据，询价通知书有明确约定的除外。</w:t>
      </w:r>
    </w:p>
    <w:p>
      <w:pPr>
        <w:pStyle w:val="4"/>
        <w:tabs>
          <w:tab w:val="left" w:pos="993"/>
          <w:tab w:val="clear" w:pos="426"/>
          <w:tab w:val="clear" w:pos="567"/>
        </w:tabs>
        <w:ind w:left="0" w:firstLine="0"/>
      </w:pPr>
      <w:bookmarkStart w:id="88" w:name="_Toc1350"/>
      <w:r>
        <w:rPr>
          <w:rFonts w:hint="eastAsia"/>
        </w:rPr>
        <w:t>询价</w:t>
      </w:r>
      <w:r>
        <w:t>采购活动</w:t>
      </w:r>
      <w:r>
        <w:rPr>
          <w:rFonts w:hint="eastAsia"/>
        </w:rPr>
        <w:t>程序</w:t>
      </w:r>
      <w:bookmarkEnd w:id="88"/>
    </w:p>
    <w:p>
      <w:pPr>
        <w:spacing w:line="360" w:lineRule="auto"/>
        <w:ind w:firstLine="570"/>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会议在成都市公共资源交易服务中心“政府采购云平台”进行。询价采购</w:t>
      </w:r>
      <w:r>
        <w:rPr>
          <w:rFonts w:ascii="宋体" w:hAnsi="宋体"/>
          <w:sz w:val="28"/>
          <w:szCs w:val="28"/>
        </w:rPr>
        <w:t>活动</w:t>
      </w:r>
      <w:r>
        <w:rPr>
          <w:rFonts w:hint="eastAsia" w:ascii="宋体" w:hAnsi="宋体"/>
          <w:sz w:val="28"/>
          <w:szCs w:val="28"/>
        </w:rPr>
        <w:t>会议由</w:t>
      </w:r>
      <w:r>
        <w:rPr>
          <w:rFonts w:hint="eastAsia" w:ascii="宋体" w:hAnsi="宋体"/>
          <w:sz w:val="28"/>
          <w:szCs w:val="28"/>
          <w:lang w:eastAsia="zh-CN"/>
        </w:rPr>
        <w:t>区</w:t>
      </w:r>
      <w:r>
        <w:rPr>
          <w:rFonts w:hint="eastAsia" w:ascii="宋体" w:hAnsi="宋体"/>
          <w:sz w:val="28"/>
          <w:szCs w:val="28"/>
        </w:rPr>
        <w:t>公资交易中心在线主持，供应商代表在线参加。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应由监督人员在线进行监督，且可根据具体情况邀请有关监督管理部门对采购活动进行现场监督。</w:t>
      </w:r>
    </w:p>
    <w:p>
      <w:pPr>
        <w:pStyle w:val="5"/>
        <w:tabs>
          <w:tab w:val="left" w:pos="709"/>
        </w:tabs>
        <w:ind w:left="1375" w:leftChars="0" w:hanging="1135" w:firstLineChars="0"/>
        <w:jc w:val="left"/>
        <w:rPr>
          <w:color w:val="auto"/>
        </w:rPr>
      </w:pPr>
      <w:bookmarkStart w:id="89" w:name="_Toc320698736"/>
      <w:bookmarkStart w:id="90" w:name="_Toc63437907"/>
      <w:bookmarkStart w:id="91" w:name="_Toc63084321"/>
      <w:r>
        <w:rPr>
          <w:rFonts w:hint="eastAsia"/>
          <w:color w:val="auto"/>
        </w:rPr>
        <w:t>递交响应文件</w:t>
      </w:r>
      <w:bookmarkEnd w:id="89"/>
      <w:bookmarkEnd w:id="90"/>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供应商应按询价通知书要求在</w:t>
      </w:r>
      <w:r>
        <w:rPr>
          <w:rFonts w:ascii="宋体" w:hAnsi="宋体"/>
          <w:sz w:val="28"/>
          <w:szCs w:val="28"/>
        </w:rPr>
        <w:t>政府采购云平台</w:t>
      </w:r>
      <w:r>
        <w:rPr>
          <w:rFonts w:hint="eastAsia" w:ascii="宋体" w:hAnsi="宋体"/>
          <w:sz w:val="28"/>
          <w:szCs w:val="28"/>
        </w:rPr>
        <w:t>递交响应文件。递交响应文件截止时间结束后，递交响应文件的供应商不足3家的，本次询价采购活动终止，发布终止询价采购公告。</w:t>
      </w:r>
    </w:p>
    <w:p>
      <w:pPr>
        <w:pStyle w:val="5"/>
        <w:tabs>
          <w:tab w:val="left" w:pos="709"/>
        </w:tabs>
        <w:ind w:left="1375" w:leftChars="0" w:hanging="1135" w:firstLineChars="0"/>
        <w:jc w:val="left"/>
        <w:rPr>
          <w:color w:val="auto"/>
        </w:rPr>
      </w:pPr>
      <w:bookmarkStart w:id="92" w:name="_Toc63084322"/>
      <w:bookmarkStart w:id="93" w:name="_Toc63437908"/>
      <w:r>
        <w:rPr>
          <w:rFonts w:hint="eastAsia"/>
          <w:color w:val="auto"/>
        </w:rPr>
        <w:t>确定邀请参加询价</w:t>
      </w:r>
      <w:r>
        <w:rPr>
          <w:color w:val="auto"/>
        </w:rPr>
        <w:t>采购活动</w:t>
      </w:r>
      <w:r>
        <w:rPr>
          <w:rFonts w:hint="eastAsia"/>
          <w:color w:val="auto"/>
        </w:rPr>
        <w:t>的供应商数量</w:t>
      </w:r>
      <w:bookmarkEnd w:id="92"/>
      <w:bookmarkEnd w:id="93"/>
    </w:p>
    <w:p>
      <w:pPr>
        <w:tabs>
          <w:tab w:val="left" w:pos="1134"/>
        </w:tabs>
        <w:spacing w:line="360" w:lineRule="auto"/>
        <w:ind w:firstLine="560" w:firstLineChars="200"/>
        <w:rPr>
          <w:rFonts w:ascii="宋体" w:hAnsi="宋体"/>
          <w:sz w:val="28"/>
          <w:szCs w:val="28"/>
        </w:rPr>
      </w:pPr>
      <w:r>
        <w:rPr>
          <w:rFonts w:hint="eastAsia" w:ascii="宋体" w:hAnsi="宋体" w:cs="宋体"/>
          <w:bCs/>
          <w:sz w:val="28"/>
          <w:szCs w:val="28"/>
        </w:rPr>
        <w:t>通过资格审查的供应商为被询价的供应商。</w:t>
      </w:r>
    </w:p>
    <w:p>
      <w:pPr>
        <w:pStyle w:val="5"/>
        <w:tabs>
          <w:tab w:val="left" w:pos="709"/>
        </w:tabs>
        <w:ind w:left="1375" w:leftChars="0" w:hanging="1135" w:firstLineChars="0"/>
        <w:jc w:val="left"/>
        <w:rPr>
          <w:color w:val="auto"/>
        </w:rPr>
      </w:pPr>
      <w:bookmarkStart w:id="94" w:name="_Toc63437909"/>
      <w:bookmarkStart w:id="95" w:name="_Toc287623646"/>
      <w:bookmarkStart w:id="96" w:name="_Toc63084323"/>
      <w:r>
        <w:rPr>
          <w:rFonts w:hint="eastAsia"/>
          <w:color w:val="auto"/>
        </w:rPr>
        <w:t>成立询价小组</w:t>
      </w:r>
      <w:bookmarkEnd w:id="94"/>
      <w:bookmarkEnd w:id="95"/>
      <w:bookmarkEnd w:id="96"/>
    </w:p>
    <w:p>
      <w:pPr>
        <w:pStyle w:val="24"/>
        <w:spacing w:line="360" w:lineRule="auto"/>
        <w:ind w:firstLine="560" w:firstLineChars="200"/>
        <w:rPr>
          <w:rFonts w:hAnsi="宋体" w:eastAsia="宋体"/>
          <w:sz w:val="28"/>
          <w:szCs w:val="28"/>
        </w:rPr>
      </w:pPr>
      <w:r>
        <w:rPr>
          <w:rFonts w:hint="eastAsia" w:hAnsi="宋体" w:eastAsia="宋体"/>
          <w:sz w:val="28"/>
          <w:szCs w:val="28"/>
        </w:rPr>
        <w:t>询价小组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。询价小组</w:t>
      </w:r>
      <w:r>
        <w:rPr>
          <w:rFonts w:hAnsi="宋体" w:eastAsia="宋体"/>
          <w:sz w:val="28"/>
          <w:szCs w:val="28"/>
        </w:rPr>
        <w:t>负责本项目的</w:t>
      </w:r>
      <w:r>
        <w:rPr>
          <w:rFonts w:hint="eastAsia" w:hAnsi="宋体" w:eastAsia="宋体"/>
          <w:sz w:val="28"/>
          <w:szCs w:val="28"/>
        </w:rPr>
        <w:t>询价</w:t>
      </w:r>
      <w:r>
        <w:rPr>
          <w:rFonts w:hAnsi="宋体" w:eastAsia="宋体"/>
          <w:sz w:val="28"/>
          <w:szCs w:val="28"/>
        </w:rPr>
        <w:t>采购活动和评</w:t>
      </w:r>
      <w:r>
        <w:rPr>
          <w:rFonts w:hint="eastAsia" w:hAnsi="宋体" w:eastAsia="宋体"/>
          <w:sz w:val="28"/>
          <w:szCs w:val="28"/>
        </w:rPr>
        <w:t>审</w:t>
      </w:r>
      <w:r>
        <w:rPr>
          <w:rFonts w:hAnsi="宋体" w:eastAsia="宋体"/>
          <w:sz w:val="28"/>
          <w:szCs w:val="28"/>
        </w:rPr>
        <w:t>工作。</w:t>
      </w:r>
    </w:p>
    <w:p>
      <w:pPr>
        <w:pStyle w:val="5"/>
        <w:tabs>
          <w:tab w:val="left" w:pos="709"/>
        </w:tabs>
        <w:ind w:left="1375" w:leftChars="0" w:hanging="1135" w:firstLineChars="0"/>
        <w:jc w:val="left"/>
        <w:rPr>
          <w:color w:val="auto"/>
        </w:rPr>
      </w:pPr>
      <w:r>
        <w:rPr>
          <w:rFonts w:hint="eastAsia"/>
          <w:color w:val="auto"/>
        </w:rPr>
        <w:t>资格审查</w:t>
      </w:r>
    </w:p>
    <w:p>
      <w:pPr>
        <w:pStyle w:val="24"/>
        <w:spacing w:line="360" w:lineRule="auto"/>
        <w:ind w:firstLine="560" w:firstLineChars="200"/>
        <w:rPr>
          <w:rFonts w:hAnsi="宋体" w:eastAsia="宋体"/>
          <w:sz w:val="28"/>
          <w:szCs w:val="28"/>
        </w:rPr>
      </w:pPr>
      <w:r>
        <w:rPr>
          <w:rFonts w:hint="eastAsia" w:hAnsi="宋体"/>
          <w:sz w:val="28"/>
          <w:szCs w:val="28"/>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pPr>
        <w:snapToGrid w:val="0"/>
        <w:spacing w:line="620" w:lineRule="exact"/>
        <w:ind w:firstLine="599" w:firstLineChars="214"/>
        <w:rPr>
          <w:rFonts w:ascii="宋体" w:hAnsi="宋体"/>
          <w:sz w:val="28"/>
          <w:szCs w:val="28"/>
        </w:rPr>
      </w:pPr>
      <w:r>
        <w:rPr>
          <w:rFonts w:hint="eastAsia" w:ascii="宋体" w:hAnsi="宋体"/>
          <w:sz w:val="28"/>
          <w:szCs w:val="28"/>
        </w:rPr>
        <w:t>供应商资格审查的标准：</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437"/>
        <w:gridCol w:w="1671"/>
        <w:gridCol w:w="5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29"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571"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053"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一、具有良好的商业信誉的证明材料</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w:t>
            </w:r>
            <w:r>
              <w:rPr>
                <w:rFonts w:hint="eastAsia"/>
                <w:sz w:val="20"/>
              </w:rPr>
              <w:t>.2.2声明的格式及要求提供书面声明材料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二</w:t>
            </w:r>
            <w:r>
              <w:rPr>
                <w:sz w:val="20"/>
              </w:rPr>
              <w:t>、</w:t>
            </w:r>
            <w:r>
              <w:rPr>
                <w:rFonts w:hint="eastAsia"/>
                <w:sz w:val="20"/>
              </w:rPr>
              <w:t>参加政府采购活动前三年内，在经营活动中没有重大违法记录</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w:t>
            </w:r>
            <w:r>
              <w:rPr>
                <w:rFonts w:hint="eastAsia"/>
                <w:sz w:val="20"/>
              </w:rPr>
              <w:t>.2.2声明的格式及要求提供书面声明材料；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三</w:t>
            </w:r>
            <w:r>
              <w:rPr>
                <w:sz w:val="20"/>
              </w:rPr>
              <w:t>、</w:t>
            </w:r>
            <w:r>
              <w:rPr>
                <w:rFonts w:hint="eastAsia"/>
                <w:sz w:val="20"/>
              </w:rPr>
              <w:t>未被列入失信被执行人、重大税收违法案件当事人名单、政府采购严重违法失信行为记录名单</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w:t>
            </w:r>
            <w:r>
              <w:rPr>
                <w:rFonts w:hint="eastAsia"/>
                <w:sz w:val="20"/>
              </w:rPr>
              <w:t>.2.2声明的格式及要求提供书面声明材料。】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四</w:t>
            </w:r>
            <w:r>
              <w:rPr>
                <w:sz w:val="20"/>
              </w:rPr>
              <w:t>、</w:t>
            </w:r>
            <w:r>
              <w:rPr>
                <w:rFonts w:hint="eastAsia"/>
                <w:sz w:val="20"/>
              </w:rPr>
              <w:t>未处于被行政部门禁止参与政府采购活动的期限内</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w:t>
            </w:r>
            <w:r>
              <w:rPr>
                <w:rFonts w:hint="eastAsia"/>
                <w:sz w:val="20"/>
              </w:rPr>
              <w:t>.2.2声明的格式及要求提供书面声明材料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五</w:t>
            </w:r>
            <w:r>
              <w:rPr>
                <w:sz w:val="20"/>
              </w:rPr>
              <w:t>、</w:t>
            </w:r>
            <w:r>
              <w:rPr>
                <w:rFonts w:hint="eastAsia"/>
                <w:sz w:val="20"/>
              </w:rPr>
              <w:t>行贿犯罪记录</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3.2.2</w:t>
            </w:r>
            <w:r>
              <w:rPr>
                <w:rFonts w:hint="eastAsia"/>
                <w:sz w:val="20"/>
              </w:rPr>
              <w:t>声明的格式及</w:t>
            </w:r>
            <w:r>
              <w:rPr>
                <w:sz w:val="20"/>
              </w:rPr>
              <w:t>要求</w:t>
            </w:r>
            <w:r>
              <w:rPr>
                <w:rFonts w:hint="eastAsia"/>
                <w:sz w:val="20"/>
              </w:rPr>
              <w:t>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六</w:t>
            </w:r>
            <w:r>
              <w:rPr>
                <w:sz w:val="20"/>
              </w:rPr>
              <w:t>、</w:t>
            </w:r>
            <w:r>
              <w:rPr>
                <w:rFonts w:hint="eastAsia"/>
                <w:sz w:val="20"/>
              </w:rPr>
              <w:t>单位负责人为同一人或者存在直接控股、管理关系的不同供应商，不得参加同一项目的询价</w:t>
            </w:r>
            <w:r>
              <w:rPr>
                <w:sz w:val="20"/>
              </w:rPr>
              <w:t>采购活动</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按询价通知书</w:t>
            </w:r>
            <w:r>
              <w:rPr>
                <w:sz w:val="20"/>
              </w:rPr>
              <w:t>3.2.2</w:t>
            </w:r>
            <w:r>
              <w:rPr>
                <w:rFonts w:hint="eastAsia"/>
                <w:sz w:val="20"/>
              </w:rPr>
              <w:t>声明的格式及</w:t>
            </w:r>
            <w:r>
              <w:rPr>
                <w:sz w:val="20"/>
              </w:rPr>
              <w:t>要求</w:t>
            </w:r>
            <w:r>
              <w:rPr>
                <w:rFonts w:hint="eastAsia"/>
                <w:sz w:val="20"/>
              </w:rPr>
              <w:t>提供书面声明材料</w:t>
            </w:r>
            <w:r>
              <w:rPr>
                <w:rFonts w:hint="eastAsia" w:ascii="宋体" w:hAnsi="宋体"/>
                <w:sz w:val="20"/>
                <w:szCs w:val="28"/>
              </w:rPr>
              <w:t>；②参加询价采购</w:t>
            </w:r>
            <w:r>
              <w:rPr>
                <w:rFonts w:ascii="宋体" w:hAnsi="宋体"/>
                <w:sz w:val="20"/>
                <w:szCs w:val="28"/>
              </w:rPr>
              <w:t>活动</w:t>
            </w:r>
            <w:r>
              <w:rPr>
                <w:rFonts w:hint="eastAsia" w:ascii="宋体" w:hAnsi="宋体"/>
                <w:sz w:val="20"/>
                <w:szCs w:val="28"/>
              </w:rPr>
              <w:t>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sz w:val="20"/>
              </w:rPr>
              <w:t>3</w:t>
            </w:r>
          </w:p>
        </w:tc>
        <w:tc>
          <w:tcPr>
            <w:tcW w:w="426"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一</w:t>
            </w:r>
            <w:r>
              <w:rPr>
                <w:sz w:val="20"/>
              </w:rPr>
              <w:t>、</w:t>
            </w:r>
            <w:r>
              <w:rPr>
                <w:rFonts w:hint="eastAsia"/>
                <w:sz w:val="20"/>
              </w:rPr>
              <w:t>具有履行合同所必须的设备和专业技术能力</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二、法律、行政法规规定的其他条件</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三</w:t>
            </w:r>
            <w:r>
              <w:rPr>
                <w:sz w:val="20"/>
              </w:rPr>
              <w:t>、</w:t>
            </w:r>
            <w:r>
              <w:rPr>
                <w:rFonts w:hint="eastAsia"/>
                <w:sz w:val="20"/>
              </w:rPr>
              <w:t>不属于其他国家相关法律法规规定的禁止参加询价采购活动的供应商</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四</w:t>
            </w:r>
            <w:r>
              <w:rPr>
                <w:sz w:val="20"/>
              </w:rPr>
              <w:t>、</w:t>
            </w:r>
            <w:r>
              <w:rPr>
                <w:rFonts w:hint="eastAsia"/>
                <w:sz w:val="20"/>
              </w:rPr>
              <w:t>联合体</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五</w:t>
            </w:r>
            <w:r>
              <w:rPr>
                <w:sz w:val="20"/>
              </w:rPr>
              <w:t>、</w:t>
            </w:r>
            <w:r>
              <w:rPr>
                <w:rFonts w:hint="eastAsia"/>
                <w:sz w:val="20"/>
              </w:rPr>
              <w:t>资质要求</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六</w:t>
            </w:r>
            <w:r>
              <w:rPr>
                <w:sz w:val="20"/>
              </w:rPr>
              <w:t>、</w:t>
            </w:r>
            <w:r>
              <w:rPr>
                <w:rFonts w:hint="eastAsia"/>
                <w:sz w:val="20"/>
              </w:rPr>
              <w:t>询价保证金</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七</w:t>
            </w:r>
            <w:r>
              <w:rPr>
                <w:sz w:val="20"/>
              </w:rPr>
              <w:t>、</w:t>
            </w:r>
            <w:r>
              <w:rPr>
                <w:rFonts w:hint="eastAsia"/>
                <w:sz w:val="20"/>
              </w:rPr>
              <w:t>响应文件解密情况</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八</w:t>
            </w:r>
            <w:r>
              <w:rPr>
                <w:sz w:val="20"/>
              </w:rPr>
              <w:t>、</w:t>
            </w:r>
            <w:r>
              <w:rPr>
                <w:rFonts w:hint="eastAsia"/>
                <w:sz w:val="20"/>
              </w:rPr>
              <w:t>资格响应文件签章</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九</w:t>
            </w:r>
            <w:r>
              <w:rPr>
                <w:sz w:val="20"/>
              </w:rPr>
              <w:t>、</w:t>
            </w:r>
            <w:r>
              <w:rPr>
                <w:rFonts w:hint="eastAsia"/>
                <w:sz w:val="20"/>
              </w:rPr>
              <w:t>资格响应文件语言</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4</w:t>
            </w:r>
          </w:p>
        </w:tc>
        <w:tc>
          <w:tcPr>
            <w:tcW w:w="2053"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资格响应文件组成</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ascii="宋体" w:hAnsi="宋体"/>
                <w:sz w:val="20"/>
                <w:szCs w:val="28"/>
              </w:rPr>
              <w:t>【说明：供应商按招询价</w:t>
            </w:r>
            <w:r>
              <w:rPr>
                <w:rFonts w:ascii="宋体" w:hAnsi="宋体"/>
                <w:sz w:val="20"/>
                <w:szCs w:val="28"/>
              </w:rPr>
              <w:t>通知书</w:t>
            </w:r>
            <w:r>
              <w:rPr>
                <w:rFonts w:hint="eastAsia" w:ascii="宋体" w:hAnsi="宋体"/>
                <w:sz w:val="20"/>
                <w:szCs w:val="28"/>
              </w:rPr>
              <w:t>3.2.1供应商资格申明的函</w:t>
            </w:r>
            <w:r>
              <w:rPr>
                <w:rFonts w:hint="eastAsia"/>
                <w:sz w:val="20"/>
              </w:rPr>
              <w:t>的格式及要求</w:t>
            </w:r>
            <w:r>
              <w:rPr>
                <w:rFonts w:hint="eastAsia" w:ascii="宋体" w:hAnsi="宋体"/>
                <w:sz w:val="20"/>
                <w:szCs w:val="28"/>
              </w:rPr>
              <w:t>提供供应商资格申明的函。】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5</w:t>
            </w:r>
          </w:p>
        </w:tc>
        <w:tc>
          <w:tcPr>
            <w:tcW w:w="205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571" w:type="dxa"/>
            <w:tcBorders>
              <w:top w:val="single" w:color="auto" w:sz="2" w:space="0"/>
              <w:left w:val="single" w:color="auto" w:sz="2" w:space="0"/>
              <w:bottom w:val="single" w:color="auto" w:sz="2" w:space="0"/>
              <w:right w:val="single" w:color="auto" w:sz="2" w:space="0"/>
            </w:tcBorders>
            <w:vAlign w:val="center"/>
          </w:tcPr>
          <w:p>
            <w:pPr>
              <w:pStyle w:val="2"/>
              <w:rPr>
                <w:highlight w:val="none"/>
              </w:rPr>
            </w:pPr>
            <w:r>
              <w:rPr>
                <w:rFonts w:hint="eastAsia" w:ascii="宋体" w:hAnsi="宋体"/>
                <w:sz w:val="20"/>
                <w:szCs w:val="20"/>
                <w:highlight w:val="none"/>
              </w:rPr>
              <w:t>供应商具有</w:t>
            </w:r>
            <w:r>
              <w:rPr>
                <w:rFonts w:ascii="宋体" w:hAnsi="宋体"/>
                <w:sz w:val="20"/>
                <w:szCs w:val="20"/>
                <w:highlight w:val="none"/>
              </w:rPr>
              <w:t>健全的财务会计制度</w:t>
            </w:r>
            <w:r>
              <w:rPr>
                <w:rFonts w:hint="eastAsia" w:ascii="宋体" w:hAnsi="宋体"/>
                <w:sz w:val="20"/>
                <w:szCs w:val="20"/>
                <w:highlight w:val="none"/>
              </w:rPr>
              <w:t>的书面声明材料【说明：①按资格预审文件3.</w:t>
            </w:r>
            <w:r>
              <w:rPr>
                <w:rFonts w:hint="eastAsia" w:ascii="宋体" w:hAnsi="宋体"/>
                <w:sz w:val="20"/>
                <w:szCs w:val="20"/>
                <w:highlight w:val="none"/>
                <w:lang w:val="en-US" w:eastAsia="zh-CN"/>
              </w:rPr>
              <w:t>2.2</w:t>
            </w:r>
            <w:r>
              <w:rPr>
                <w:rFonts w:hint="eastAsia" w:ascii="宋体" w:hAnsi="宋体"/>
                <w:sz w:val="20"/>
                <w:szCs w:val="20"/>
                <w:highlight w:val="none"/>
              </w:rPr>
              <w:t>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6</w:t>
            </w:r>
          </w:p>
        </w:tc>
        <w:tc>
          <w:tcPr>
            <w:tcW w:w="205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highlight w:val="none"/>
              </w:rPr>
            </w:pPr>
            <w:r>
              <w:rPr>
                <w:rFonts w:hint="eastAsia" w:ascii="宋体" w:hAnsi="宋体"/>
                <w:sz w:val="20"/>
                <w:szCs w:val="20"/>
                <w:highlight w:val="none"/>
              </w:rPr>
              <w:t>供应商具有依法缴纳社会保障资金良好记录的书面声明材料【说明：①按资格</w:t>
            </w:r>
            <w:r>
              <w:rPr>
                <w:rFonts w:ascii="宋体" w:hAnsi="宋体"/>
                <w:sz w:val="20"/>
                <w:szCs w:val="20"/>
                <w:highlight w:val="none"/>
              </w:rPr>
              <w:t>预审</w:t>
            </w:r>
            <w:r>
              <w:rPr>
                <w:rFonts w:hint="eastAsia" w:ascii="宋体" w:hAnsi="宋体"/>
                <w:sz w:val="20"/>
                <w:szCs w:val="20"/>
                <w:highlight w:val="none"/>
              </w:rPr>
              <w:t>文件3.</w:t>
            </w:r>
            <w:r>
              <w:rPr>
                <w:rFonts w:hint="eastAsia" w:ascii="宋体" w:hAnsi="宋体"/>
                <w:sz w:val="20"/>
                <w:szCs w:val="20"/>
                <w:highlight w:val="none"/>
                <w:lang w:val="en-US" w:eastAsia="zh-CN"/>
              </w:rPr>
              <w:t>2.2</w:t>
            </w:r>
            <w:r>
              <w:rPr>
                <w:rFonts w:hint="eastAsia" w:ascii="宋体" w:hAnsi="宋体"/>
                <w:sz w:val="20"/>
                <w:szCs w:val="20"/>
                <w:highlight w:val="none"/>
              </w:rPr>
              <w:t>声明的内容</w:t>
            </w:r>
            <w:r>
              <w:rPr>
                <w:rFonts w:ascii="宋体" w:hAnsi="宋体"/>
                <w:sz w:val="20"/>
                <w:szCs w:val="20"/>
                <w:highlight w:val="none"/>
              </w:rPr>
              <w:t>提供书面声明材料</w:t>
            </w:r>
            <w:r>
              <w:rPr>
                <w:rFonts w:hint="eastAsia" w:ascii="宋体" w:hAnsi="宋体"/>
                <w:sz w:val="20"/>
                <w:szCs w:val="20"/>
                <w:highlight w:val="none"/>
              </w:rPr>
              <w:t>；②供应商有依法缴纳社会保障资金的良好记录。】。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7</w:t>
            </w:r>
          </w:p>
        </w:tc>
        <w:tc>
          <w:tcPr>
            <w:tcW w:w="205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57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highlight w:val="none"/>
              </w:rPr>
            </w:pPr>
            <w:r>
              <w:rPr>
                <w:rFonts w:hint="eastAsia" w:ascii="宋体" w:hAnsi="宋体"/>
                <w:sz w:val="20"/>
                <w:szCs w:val="20"/>
                <w:highlight w:val="none"/>
              </w:rPr>
              <w:t>供应商具有依法缴纳税收的书面声明材料【说明：①按资格</w:t>
            </w:r>
            <w:r>
              <w:rPr>
                <w:rFonts w:ascii="宋体" w:hAnsi="宋体"/>
                <w:sz w:val="20"/>
                <w:szCs w:val="20"/>
                <w:highlight w:val="none"/>
              </w:rPr>
              <w:t>预审</w:t>
            </w:r>
            <w:r>
              <w:rPr>
                <w:rFonts w:hint="eastAsia" w:ascii="宋体" w:hAnsi="宋体"/>
                <w:sz w:val="20"/>
                <w:szCs w:val="20"/>
                <w:highlight w:val="none"/>
              </w:rPr>
              <w:t>文件3.</w:t>
            </w:r>
            <w:r>
              <w:rPr>
                <w:rFonts w:hint="eastAsia" w:ascii="宋体" w:hAnsi="宋体"/>
                <w:sz w:val="20"/>
                <w:szCs w:val="20"/>
                <w:highlight w:val="none"/>
                <w:lang w:val="en-US" w:eastAsia="zh-CN"/>
              </w:rPr>
              <w:t>2.2</w:t>
            </w:r>
            <w:r>
              <w:rPr>
                <w:rFonts w:hint="eastAsia" w:ascii="宋体" w:hAnsi="宋体"/>
                <w:sz w:val="20"/>
                <w:szCs w:val="20"/>
                <w:highlight w:val="none"/>
              </w:rPr>
              <w:t>声明的内容</w:t>
            </w:r>
            <w:r>
              <w:rPr>
                <w:rFonts w:ascii="宋体" w:hAnsi="宋体"/>
                <w:sz w:val="20"/>
                <w:szCs w:val="20"/>
                <w:highlight w:val="none"/>
              </w:rPr>
              <w:t>提供书面声明材料</w:t>
            </w:r>
            <w:r>
              <w:rPr>
                <w:rFonts w:hint="eastAsia" w:ascii="宋体" w:hAnsi="宋体"/>
                <w:sz w:val="20"/>
                <w:szCs w:val="20"/>
                <w:highlight w:val="none"/>
              </w:rPr>
              <w:t>；②供应商有依法缴纳税收的良好记录。】。</w:t>
            </w:r>
          </w:p>
        </w:tc>
      </w:tr>
    </w:tbl>
    <w:p>
      <w:pPr>
        <w:tabs>
          <w:tab w:val="left" w:pos="851"/>
        </w:tabs>
        <w:spacing w:line="360" w:lineRule="auto"/>
        <w:ind w:firstLine="560" w:firstLineChars="200"/>
        <w:rPr>
          <w:rFonts w:ascii="宋体" w:hAnsi="宋体"/>
          <w:sz w:val="28"/>
          <w:szCs w:val="28"/>
        </w:rPr>
      </w:pPr>
      <w:bookmarkStart w:id="97" w:name="_Toc63084325"/>
      <w:bookmarkStart w:id="98" w:name="_Toc63437911"/>
      <w:r>
        <w:rPr>
          <w:rFonts w:hint="eastAsia" w:ascii="宋体" w:hAnsi="宋体"/>
          <w:sz w:val="28"/>
          <w:szCs w:val="28"/>
        </w:rPr>
        <w:t>注：一、以上每一项结论均为“通过”的，则供应商的响应文件通过资格性审查；如有其中任意一项结论为“不通过”的，则供应商的响应文件按无效响应文件处理。如果询价小组认为供应商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三、供应商的响应文件资格性审查时被判定为无效的，</w:t>
      </w:r>
      <w:r>
        <w:rPr>
          <w:rFonts w:hint="eastAsia" w:ascii="宋体" w:hAnsi="宋体"/>
          <w:sz w:val="28"/>
          <w:szCs w:val="28"/>
          <w:lang w:eastAsia="zh-CN"/>
        </w:rPr>
        <w:t>区</w:t>
      </w:r>
      <w:r>
        <w:rPr>
          <w:rFonts w:hint="eastAsia" w:ascii="宋体" w:hAnsi="宋体"/>
          <w:sz w:val="28"/>
          <w:szCs w:val="28"/>
        </w:rPr>
        <w:t>公资交易中心将通知供应商（以短信、现场公示、电话、“政府采购云平台”等任一方式）。供应商如对资格审查结论有异议的，应及时向</w:t>
      </w:r>
      <w:r>
        <w:rPr>
          <w:rFonts w:hint="eastAsia" w:ascii="宋体" w:hAnsi="宋体"/>
          <w:sz w:val="28"/>
          <w:szCs w:val="28"/>
          <w:lang w:eastAsia="zh-CN"/>
        </w:rPr>
        <w:t>区</w:t>
      </w:r>
      <w:r>
        <w:rPr>
          <w:rFonts w:hint="eastAsia" w:ascii="宋体" w:hAnsi="宋体"/>
          <w:sz w:val="28"/>
          <w:szCs w:val="28"/>
        </w:rPr>
        <w:t>公资交易中心反馈意见。</w:t>
      </w:r>
      <w:r>
        <w:rPr>
          <w:rFonts w:hint="eastAsia" w:ascii="宋体" w:hAnsi="宋体"/>
          <w:sz w:val="28"/>
          <w:szCs w:val="28"/>
          <w:lang w:eastAsia="zh-CN"/>
        </w:rPr>
        <w:t>区</w:t>
      </w:r>
      <w:r>
        <w:rPr>
          <w:rFonts w:hint="eastAsia" w:ascii="宋体" w:hAnsi="宋体"/>
          <w:sz w:val="28"/>
          <w:szCs w:val="28"/>
        </w:rPr>
        <w:t>公资交易中心将及时告知询价小组。（说明：无论供应商是否收到通知或提供反馈意见，均不影响资格审查和评审工作，且</w:t>
      </w:r>
      <w:r>
        <w:rPr>
          <w:rFonts w:hint="eastAsia" w:ascii="宋体" w:hAnsi="宋体"/>
          <w:sz w:val="28"/>
          <w:szCs w:val="28"/>
          <w:lang w:eastAsia="zh-CN"/>
        </w:rPr>
        <w:t>区</w:t>
      </w:r>
      <w:r>
        <w:rPr>
          <w:rFonts w:hint="eastAsia" w:ascii="宋体" w:hAnsi="宋体"/>
          <w:sz w:val="28"/>
          <w:szCs w:val="28"/>
        </w:rPr>
        <w:t>公资交易中心对此将不承担任何的责任。供应商对资格审查结论有异议的，其反馈意见仅限于询价小组对资格审查结论的正确性进行复核，避免出现审查错误。）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pStyle w:val="5"/>
        <w:tabs>
          <w:tab w:val="left" w:pos="709"/>
        </w:tabs>
        <w:ind w:left="1375" w:leftChars="0" w:hanging="1135" w:firstLineChars="0"/>
        <w:jc w:val="left"/>
        <w:rPr>
          <w:color w:val="auto"/>
        </w:rPr>
      </w:pPr>
      <w:r>
        <w:rPr>
          <w:rFonts w:hint="eastAsia"/>
          <w:color w:val="auto"/>
        </w:rPr>
        <w:t>符合性审查</w:t>
      </w:r>
      <w:bookmarkEnd w:id="97"/>
      <w:bookmarkEnd w:id="98"/>
    </w:p>
    <w:p>
      <w:pPr>
        <w:pStyle w:val="80"/>
        <w:widowControl w:val="0"/>
        <w:numPr>
          <w:ilvl w:val="0"/>
          <w:numId w:val="40"/>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ascii="宋体" w:hAnsi="宋体"/>
          <w:sz w:val="28"/>
          <w:szCs w:val="28"/>
        </w:rPr>
        <w:t>供应商资格审查结束后，由询价小组对供应商响应文件进行符合性审查。</w:t>
      </w:r>
    </w:p>
    <w:p>
      <w:pPr>
        <w:pStyle w:val="80"/>
        <w:widowControl w:val="0"/>
        <w:numPr>
          <w:ilvl w:val="0"/>
          <w:numId w:val="40"/>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0"/>
        <w:widowControl w:val="0"/>
        <w:numPr>
          <w:ilvl w:val="0"/>
          <w:numId w:val="40"/>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询价小组要求供应商澄清、说明或者更正响应文件应当以书面形式作出。供应商的澄清、说明或者更正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80"/>
        <w:widowControl w:val="0"/>
        <w:numPr>
          <w:ilvl w:val="0"/>
          <w:numId w:val="40"/>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询价小组应当积极履行澄清、说明或者更正的职责，不得滥用权力。</w:t>
      </w:r>
    </w:p>
    <w:p>
      <w:pPr>
        <w:pStyle w:val="80"/>
        <w:widowControl w:val="0"/>
        <w:numPr>
          <w:ilvl w:val="0"/>
          <w:numId w:val="40"/>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询价小组在符合性审查过程中，询价小组成员对供应商是否符合规定存在争议的，应当以少数服从多数的原则处理，但不违背政府采购法和询价通知书规定。</w:t>
      </w:r>
    </w:p>
    <w:p>
      <w:pPr>
        <w:pStyle w:val="80"/>
        <w:widowControl w:val="0"/>
        <w:numPr>
          <w:ilvl w:val="0"/>
          <w:numId w:val="40"/>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供应商符合性审查标准（按以下顺序审查）：</w:t>
      </w:r>
    </w:p>
    <w:tbl>
      <w:tblPr>
        <w:tblStyle w:val="45"/>
        <w:tblW w:w="517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527"/>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商务技术响应文件的计量单位、语言、有效期</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计量单位、语言、有效期均符合询价通知书的要求。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442" w:type="pct"/>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0" w:type="auto"/>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0" w:type="auto"/>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商务技术响应文件均实质性响应询价通知书中加★号的技术、服务、商务及其他要求。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442" w:type="pct"/>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0" w:type="auto"/>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进口产品</w:t>
            </w:r>
          </w:p>
        </w:tc>
        <w:tc>
          <w:tcPr>
            <w:tcW w:w="0" w:type="auto"/>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询</w:t>
            </w:r>
            <w:r>
              <w:rPr>
                <w:rFonts w:ascii="宋体" w:hAnsi="宋体"/>
                <w:szCs w:val="28"/>
              </w:rPr>
              <w:t>价通知书</w:t>
            </w:r>
            <w:r>
              <w:rPr>
                <w:rFonts w:hint="eastAsia" w:ascii="宋体" w:hAnsi="宋体"/>
                <w:szCs w:val="28"/>
              </w:rPr>
              <w:t>中未载明“允许采购进口产品”的产品，报</w:t>
            </w:r>
            <w:r>
              <w:rPr>
                <w:rFonts w:ascii="宋体" w:hAnsi="宋体"/>
                <w:szCs w:val="28"/>
              </w:rPr>
              <w:t>价</w:t>
            </w:r>
            <w:r>
              <w:rPr>
                <w:rFonts w:hint="eastAsia" w:ascii="宋体" w:hAnsi="宋体"/>
                <w:szCs w:val="28"/>
              </w:rPr>
              <w:t>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不属于禁止参加询价采购活动或响应文件无效的供应商</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（1）根据询价通知书的要求不属于禁止参加询价采购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（2）询价小组未发现或者未知晓供应商存在属于国家相关法律法规规定的禁止参加询价采购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法定代表人身份证复印件或护照复印件</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7</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除资格性审查要求的证明材料外，询价通知书要求提供的其他证明材料</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both"/>
              <w:rPr>
                <w:rFonts w:cs="仿宋_GB2312" w:asciiTheme="minorEastAsia" w:hAnsiTheme="minorEastAsia" w:eastAsiaTheme="minorEastAsia"/>
              </w:rPr>
            </w:pPr>
            <w:r>
              <w:rPr>
                <w:rFonts w:cs="仿宋_GB2312" w:asciiTheme="minorEastAsia" w:hAnsiTheme="minorEastAsia" w:eastAsiaTheme="minorEastAsia"/>
              </w:rPr>
              <w:t>承诺函【说明：①按3.3.6承诺函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cs="仿宋_GB2312" w:asciiTheme="minorEastAsia" w:hAnsiTheme="minorEastAsia" w:eastAsiaTheme="minorEastAsia"/>
              </w:rPr>
              <w:t>询价通知书</w:t>
            </w:r>
            <w:r>
              <w:rPr>
                <w:rFonts w:cs="仿宋_GB2312" w:asciiTheme="minorEastAsia" w:hAnsiTheme="minorEastAsia" w:eastAsiaTheme="minorEastAsia"/>
              </w:rPr>
              <w:t>的要求。】。</w:t>
            </w:r>
          </w:p>
          <w:p>
            <w:pPr>
              <w:tabs>
                <w:tab w:val="left" w:pos="851"/>
              </w:tabs>
              <w:spacing w:line="360" w:lineRule="auto"/>
              <w:jc w:val="both"/>
              <w:rPr>
                <w:rFonts w:ascii="宋体" w:hAnsi="宋体"/>
                <w:szCs w:val="28"/>
              </w:rPr>
            </w:pPr>
          </w:p>
        </w:tc>
      </w:tr>
    </w:tbl>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询价小组符合性审查结束后，应当出具符合性审查报告，确定参加报价的供应商名单。</w:t>
      </w:r>
      <w:r>
        <w:rPr>
          <w:rFonts w:hint="eastAsia" w:ascii="宋体" w:hAnsi="宋体"/>
          <w:sz w:val="28"/>
          <w:szCs w:val="28"/>
          <w:lang w:eastAsia="zh-CN"/>
        </w:rPr>
        <w:t>区</w:t>
      </w:r>
      <w:r>
        <w:rPr>
          <w:rFonts w:hint="eastAsia" w:ascii="宋体" w:hAnsi="宋体"/>
          <w:sz w:val="28"/>
          <w:szCs w:val="28"/>
        </w:rPr>
        <w:t>公资交易中心将通过和未通过符合性审查的供应商名单以及未通过符合性审查的原因（以短信、站内信、电话、“政府采购云平台”等任一方式）通知所有递交响应文件的供应商，并书面通知未通过符合性审查的供应商。</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通过符合性审查的供应商不足三家的，本次采购活动终止，并发布终止询价采购</w:t>
      </w:r>
      <w:r>
        <w:rPr>
          <w:rFonts w:ascii="宋体" w:hAnsi="宋体"/>
          <w:sz w:val="28"/>
          <w:szCs w:val="28"/>
        </w:rPr>
        <w:t>活动</w:t>
      </w:r>
      <w:r>
        <w:rPr>
          <w:rFonts w:hint="eastAsia" w:ascii="宋体" w:hAnsi="宋体"/>
          <w:sz w:val="28"/>
          <w:szCs w:val="28"/>
        </w:rPr>
        <w:t>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pStyle w:val="5"/>
        <w:tabs>
          <w:tab w:val="left" w:pos="709"/>
        </w:tabs>
        <w:ind w:left="1375" w:leftChars="0" w:hanging="1135" w:firstLineChars="0"/>
        <w:jc w:val="left"/>
        <w:rPr>
          <w:color w:val="auto"/>
        </w:rPr>
      </w:pPr>
      <w:bookmarkStart w:id="99" w:name="_Toc63084326"/>
      <w:bookmarkStart w:id="100" w:name="_Toc63437912"/>
      <w:r>
        <w:rPr>
          <w:rFonts w:hint="eastAsia"/>
          <w:color w:val="auto"/>
        </w:rPr>
        <w:t>报价及</w:t>
      </w:r>
      <w:r>
        <w:rPr>
          <w:color w:val="auto"/>
        </w:rPr>
        <w:t>报价</w:t>
      </w:r>
      <w:r>
        <w:rPr>
          <w:rFonts w:hint="eastAsia"/>
          <w:color w:val="auto"/>
        </w:rPr>
        <w:t>审查</w:t>
      </w:r>
      <w:bookmarkEnd w:id="99"/>
      <w:bookmarkEnd w:id="100"/>
    </w:p>
    <w:p>
      <w:pPr>
        <w:numPr>
          <w:ilvl w:val="0"/>
          <w:numId w:val="41"/>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numPr>
          <w:ilvl w:val="0"/>
          <w:numId w:val="41"/>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numPr>
          <w:ilvl w:val="0"/>
          <w:numId w:val="41"/>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报价为有效报价应符合下列条件：</w:t>
      </w:r>
    </w:p>
    <w:p>
      <w:pPr>
        <w:numPr>
          <w:ilvl w:val="0"/>
          <w:numId w:val="42"/>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numPr>
          <w:ilvl w:val="0"/>
          <w:numId w:val="42"/>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sz w:val="28"/>
          <w:szCs w:val="28"/>
        </w:rPr>
        <w:t>报价应包含本次采购要求的所有货物及服务的费用。</w:t>
      </w:r>
    </w:p>
    <w:p>
      <w:pPr>
        <w:numPr>
          <w:ilvl w:val="0"/>
          <w:numId w:val="42"/>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cs="宋体"/>
          <w:sz w:val="28"/>
          <w:szCs w:val="28"/>
        </w:rPr>
        <w:t>供应商的报价符合询价通知书的要求。</w:t>
      </w:r>
    </w:p>
    <w:p>
      <w:pPr>
        <w:numPr>
          <w:ilvl w:val="0"/>
          <w:numId w:val="42"/>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报价唯一，且不高于最高限价。</w:t>
      </w:r>
    </w:p>
    <w:p>
      <w:pPr>
        <w:numPr>
          <w:ilvl w:val="0"/>
          <w:numId w:val="42"/>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numPr>
          <w:ilvl w:val="0"/>
          <w:numId w:val="41"/>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报价出现下列情况的，不需要供应商澄清，按以下原则处理：</w:t>
      </w:r>
    </w:p>
    <w:p>
      <w:pPr>
        <w:pStyle w:val="207"/>
        <w:numPr>
          <w:ilvl w:val="0"/>
          <w:numId w:val="43"/>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207"/>
        <w:numPr>
          <w:ilvl w:val="0"/>
          <w:numId w:val="43"/>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207"/>
        <w:numPr>
          <w:ilvl w:val="0"/>
          <w:numId w:val="43"/>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报价</w:t>
      </w:r>
      <w:r>
        <w:rPr>
          <w:rFonts w:hint="eastAsia" w:cs="Arial"/>
          <w:sz w:val="28"/>
          <w:szCs w:val="28"/>
        </w:rPr>
        <w:t>经供应商以书面形式进行确认，并加盖公章，或者由法定代表人或其授权的代表签字后产生约束力，供应商不确认的，其</w:t>
      </w:r>
      <w:r>
        <w:rPr>
          <w:rFonts w:hint="eastAsia" w:ascii="宋体" w:hAnsi="宋体"/>
          <w:sz w:val="28"/>
          <w:szCs w:val="28"/>
        </w:rPr>
        <w:t>报价</w:t>
      </w:r>
      <w:r>
        <w:rPr>
          <w:rFonts w:hint="eastAsia" w:cs="Arial"/>
          <w:sz w:val="28"/>
          <w:szCs w:val="28"/>
        </w:rPr>
        <w:t>无效。</w:t>
      </w:r>
    </w:p>
    <w:p>
      <w:pPr>
        <w:pStyle w:val="207"/>
        <w:tabs>
          <w:tab w:val="left" w:pos="1134"/>
        </w:tabs>
        <w:snapToGrid w:val="0"/>
        <w:spacing w:line="620" w:lineRule="exact"/>
        <w:ind w:firstLine="523" w:firstLineChars="187"/>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41"/>
        </w:numPr>
        <w:tabs>
          <w:tab w:val="left" w:pos="1134"/>
        </w:tabs>
        <w:snapToGrid w:val="0"/>
        <w:spacing w:line="620" w:lineRule="exact"/>
        <w:ind w:left="0" w:firstLine="560" w:firstLineChars="200"/>
      </w:pPr>
      <w:r>
        <w:rPr>
          <w:rFonts w:hint="eastAsia" w:ascii="宋体" w:hAnsi="宋体"/>
          <w:sz w:val="28"/>
          <w:szCs w:val="28"/>
        </w:rPr>
        <w:t>有效报价的供应商不足三家的，本次采购活动失败。</w:t>
      </w:r>
    </w:p>
    <w:p>
      <w:pPr>
        <w:pStyle w:val="5"/>
        <w:tabs>
          <w:tab w:val="left" w:pos="709"/>
        </w:tabs>
        <w:ind w:left="1375" w:leftChars="0" w:hanging="1135" w:firstLineChars="0"/>
        <w:jc w:val="left"/>
        <w:rPr>
          <w:color w:val="auto"/>
        </w:rPr>
      </w:pPr>
      <w:bookmarkStart w:id="101" w:name="_Toc63437913"/>
      <w:bookmarkStart w:id="102" w:name="_Toc63084327"/>
      <w:r>
        <w:rPr>
          <w:rFonts w:hint="eastAsia"/>
          <w:color w:val="auto"/>
        </w:rPr>
        <w:t>解释、澄清、说明的有关问题</w:t>
      </w:r>
      <w:bookmarkEnd w:id="101"/>
      <w:bookmarkEnd w:id="102"/>
    </w:p>
    <w:p>
      <w:pPr>
        <w:widowControl w:val="0"/>
        <w:numPr>
          <w:ilvl w:val="0"/>
          <w:numId w:val="4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评审过程中，询价小组认为询价通知书有关事项表述不明确或需要说明的，可以提请</w:t>
      </w:r>
      <w:r>
        <w:rPr>
          <w:rFonts w:hint="eastAsia" w:ascii="宋体" w:hAnsi="宋体"/>
          <w:sz w:val="28"/>
          <w:szCs w:val="28"/>
          <w:lang w:eastAsia="zh-CN"/>
        </w:rPr>
        <w:t>区</w:t>
      </w:r>
      <w:r>
        <w:rPr>
          <w:rFonts w:hint="eastAsia" w:ascii="宋体" w:hAnsi="宋体"/>
          <w:sz w:val="28"/>
          <w:szCs w:val="28"/>
        </w:rPr>
        <w:t>公资交易中心书面解释。</w:t>
      </w:r>
      <w:r>
        <w:rPr>
          <w:rFonts w:hint="eastAsia" w:ascii="宋体" w:hAnsi="宋体"/>
          <w:sz w:val="28"/>
          <w:szCs w:val="28"/>
          <w:lang w:eastAsia="zh-CN"/>
        </w:rPr>
        <w:t>区</w:t>
      </w:r>
      <w:r>
        <w:rPr>
          <w:rFonts w:hint="eastAsia" w:ascii="宋体" w:hAnsi="宋体"/>
          <w:sz w:val="28"/>
          <w:szCs w:val="28"/>
        </w:rPr>
        <w:t>公资交易中心的解释不得改变询价通知书的原义或者影响公平、公正，解释事项如果涉及供应商权益的以有利于供应商的原则进行解释。</w:t>
      </w:r>
    </w:p>
    <w:p>
      <w:pPr>
        <w:widowControl w:val="0"/>
        <w:numPr>
          <w:ilvl w:val="0"/>
          <w:numId w:val="4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结束之前，供应商应随时关注系统提示，及时通过“政府采购云平台”在线响应询价小组发出的澄清、说明或补正要求，签章并确认提交成功。逾时回复将不能提交，视为供应商自行放弃澄清、说明</w:t>
      </w:r>
      <w:r>
        <w:rPr>
          <w:rFonts w:ascii="宋体" w:hAnsi="宋体"/>
          <w:b/>
          <w:sz w:val="28"/>
          <w:szCs w:val="28"/>
        </w:rPr>
        <w:t>或补正</w:t>
      </w:r>
      <w:r>
        <w:rPr>
          <w:rFonts w:hint="eastAsia" w:ascii="宋体" w:hAnsi="宋体"/>
          <w:b/>
          <w:sz w:val="28"/>
          <w:szCs w:val="28"/>
        </w:rPr>
        <w:t>，其损失由供应商承担。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询价小组应当积极履行澄清、说明或者更正的职责，不得滥用权力。</w:t>
      </w:r>
    </w:p>
    <w:p>
      <w:pPr>
        <w:pStyle w:val="5"/>
        <w:tabs>
          <w:tab w:val="left" w:pos="709"/>
        </w:tabs>
        <w:ind w:left="1375" w:leftChars="0" w:hanging="1135" w:firstLineChars="0"/>
        <w:jc w:val="left"/>
        <w:rPr>
          <w:color w:val="auto"/>
        </w:rPr>
      </w:pPr>
      <w:bookmarkStart w:id="103" w:name="_Toc63084328"/>
      <w:bookmarkStart w:id="104" w:name="_Toc63437914"/>
      <w:r>
        <w:rPr>
          <w:rFonts w:hint="eastAsia"/>
          <w:color w:val="auto"/>
        </w:rPr>
        <w:t>比较与评价</w:t>
      </w:r>
      <w:bookmarkEnd w:id="103"/>
      <w:bookmarkEnd w:id="104"/>
    </w:p>
    <w:p>
      <w:pPr>
        <w:tabs>
          <w:tab w:val="left" w:pos="851"/>
        </w:tabs>
        <w:spacing w:line="360" w:lineRule="auto"/>
        <w:ind w:firstLine="565" w:firstLineChars="202"/>
        <w:rPr>
          <w:rFonts w:ascii="宋体" w:hAnsi="宋体"/>
          <w:sz w:val="28"/>
          <w:szCs w:val="28"/>
        </w:rPr>
      </w:pPr>
      <w:bookmarkStart w:id="105" w:name="_Toc63437915"/>
      <w:bookmarkStart w:id="106" w:name="_Toc63084329"/>
      <w:r>
        <w:rPr>
          <w:rFonts w:hint="eastAsia" w:ascii="宋体" w:hAnsi="宋体"/>
          <w:sz w:val="28"/>
          <w:szCs w:val="28"/>
        </w:rPr>
        <w:t>按询价通知书中规定的询价方法，对符合性检查合格的响应文件进行商务和技术评估，综合比较和评价。</w:t>
      </w:r>
    </w:p>
    <w:p>
      <w:pPr>
        <w:pStyle w:val="5"/>
        <w:tabs>
          <w:tab w:val="left" w:pos="709"/>
        </w:tabs>
        <w:ind w:left="1375" w:leftChars="0" w:hanging="1135" w:firstLineChars="0"/>
        <w:jc w:val="left"/>
        <w:rPr>
          <w:color w:val="auto"/>
        </w:rPr>
      </w:pPr>
      <w:r>
        <w:rPr>
          <w:rFonts w:hint="eastAsia"/>
          <w:color w:val="auto"/>
        </w:rPr>
        <w:t>询价小组复核</w:t>
      </w:r>
      <w:bookmarkEnd w:id="105"/>
      <w:bookmarkEnd w:id="106"/>
    </w:p>
    <w:p>
      <w:pPr>
        <w:widowControl w:val="0"/>
        <w:numPr>
          <w:ilvl w:val="0"/>
          <w:numId w:val="4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评审结束后，询价小组应当进行复核，特别要对拟推荐为成交候选供应商的、报价最低的、响应文件被认定为无效的进行重点复核。</w:t>
      </w:r>
    </w:p>
    <w:p>
      <w:pPr>
        <w:widowControl w:val="0"/>
        <w:numPr>
          <w:ilvl w:val="0"/>
          <w:numId w:val="4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评审结果汇总完成后，询价小组拟出具评审报告前，</w:t>
      </w:r>
      <w:r>
        <w:rPr>
          <w:rFonts w:hint="eastAsia" w:ascii="宋体" w:hAnsi="宋体"/>
          <w:sz w:val="28"/>
          <w:szCs w:val="28"/>
          <w:lang w:eastAsia="zh-CN"/>
        </w:rPr>
        <w:t>区</w:t>
      </w:r>
      <w:r>
        <w:rPr>
          <w:rFonts w:hint="eastAsia" w:ascii="宋体" w:hAnsi="宋体"/>
          <w:sz w:val="28"/>
          <w:szCs w:val="28"/>
        </w:rPr>
        <w:t>公资交易中心应当组织2名以上的工作人员，在采购现场监督人员的监督之下，依据有关的法律制度和询价</w:t>
      </w:r>
      <w:r>
        <w:rPr>
          <w:rFonts w:ascii="宋体" w:hAnsi="宋体"/>
          <w:sz w:val="28"/>
          <w:szCs w:val="28"/>
        </w:rPr>
        <w:t>通知书</w:t>
      </w:r>
      <w:r>
        <w:rPr>
          <w:rFonts w:hint="eastAsia" w:ascii="宋体" w:hAnsi="宋体"/>
          <w:sz w:val="28"/>
          <w:szCs w:val="28"/>
        </w:rPr>
        <w:t>对评审结果进行复核，出具复核报告。</w:t>
      </w:r>
    </w:p>
    <w:p>
      <w:pPr>
        <w:widowControl w:val="0"/>
        <w:numPr>
          <w:ilvl w:val="0"/>
          <w:numId w:val="4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采购人、采购代理机构发现询价小组未按照询价通知书规定的评审标准进行评审的，应当重新开展采购活动，并同时书面报告本级财政部门。</w:t>
      </w:r>
    </w:p>
    <w:p>
      <w:pPr>
        <w:pStyle w:val="5"/>
        <w:tabs>
          <w:tab w:val="left" w:pos="709"/>
        </w:tabs>
        <w:ind w:left="1375" w:leftChars="0" w:hanging="1135" w:firstLineChars="0"/>
        <w:jc w:val="left"/>
        <w:rPr>
          <w:color w:val="auto"/>
        </w:rPr>
      </w:pPr>
      <w:bookmarkStart w:id="107" w:name="_Toc63084330"/>
      <w:bookmarkStart w:id="108" w:name="_Toc63437916"/>
      <w:r>
        <w:rPr>
          <w:rFonts w:hint="eastAsia"/>
          <w:color w:val="auto"/>
        </w:rPr>
        <w:t>推荐成交候选供应商</w:t>
      </w:r>
      <w:bookmarkEnd w:id="107"/>
      <w:bookmarkEnd w:id="108"/>
    </w:p>
    <w:p>
      <w:pPr>
        <w:snapToGrid w:val="0"/>
        <w:spacing w:line="620" w:lineRule="exact"/>
        <w:ind w:firstLine="585" w:firstLineChars="209"/>
        <w:rPr>
          <w:rFonts w:ascii="宋体" w:hAnsi="宋体"/>
          <w:sz w:val="28"/>
          <w:szCs w:val="28"/>
        </w:rPr>
      </w:pPr>
      <w:bookmarkStart w:id="109" w:name="_Toc63437917"/>
      <w:bookmarkStart w:id="110" w:name="_Toc63084331"/>
      <w:r>
        <w:rPr>
          <w:rFonts w:hint="eastAsia" w:ascii="宋体" w:hAnsi="宋体"/>
          <w:sz w:val="28"/>
          <w:szCs w:val="28"/>
        </w:rPr>
        <w:t>询价小组应当</w:t>
      </w:r>
      <w:r>
        <w:rPr>
          <w:rFonts w:hint="eastAsia" w:ascii="宋体" w:hAnsi="宋体"/>
          <w:sz w:val="28"/>
        </w:rPr>
        <w:t>按供应商报价由低到高排序，</w:t>
      </w:r>
      <w:r>
        <w:rPr>
          <w:rFonts w:hint="eastAsia" w:ascii="宋体" w:hAnsi="宋体"/>
          <w:sz w:val="28"/>
          <w:szCs w:val="28"/>
        </w:rPr>
        <w:t>推荐</w:t>
      </w:r>
      <w:r>
        <w:rPr>
          <w:rFonts w:ascii="宋体" w:hAnsi="宋体"/>
          <w:sz w:val="28"/>
          <w:szCs w:val="28"/>
        </w:rPr>
        <w:t>3名</w:t>
      </w:r>
      <w:r>
        <w:rPr>
          <w:rFonts w:hint="eastAsia" w:ascii="宋体" w:hAnsi="宋体"/>
          <w:sz w:val="28"/>
          <w:szCs w:val="28"/>
        </w:rPr>
        <w:t>及以上</w:t>
      </w:r>
      <w:r>
        <w:rPr>
          <w:rFonts w:ascii="宋体" w:hAnsi="宋体"/>
          <w:sz w:val="28"/>
          <w:szCs w:val="28"/>
        </w:rPr>
        <w:t>成交候选供应商。</w:t>
      </w:r>
      <w:r>
        <w:rPr>
          <w:rFonts w:hint="eastAsia" w:ascii="宋体" w:hAnsi="宋体"/>
          <w:sz w:val="28"/>
          <w:szCs w:val="28"/>
        </w:rPr>
        <w:t>供应商报价相同的，成交候选供应商并列。</w:t>
      </w:r>
    </w:p>
    <w:p>
      <w:pPr>
        <w:pStyle w:val="5"/>
        <w:tabs>
          <w:tab w:val="left" w:pos="709"/>
        </w:tabs>
        <w:ind w:left="1375" w:leftChars="0" w:hanging="1135" w:firstLineChars="0"/>
        <w:jc w:val="left"/>
        <w:rPr>
          <w:color w:val="auto"/>
        </w:rPr>
      </w:pPr>
      <w:r>
        <w:rPr>
          <w:rFonts w:hint="eastAsia"/>
          <w:color w:val="auto"/>
        </w:rPr>
        <w:t>编写评审报告</w:t>
      </w:r>
      <w:bookmarkEnd w:id="109"/>
      <w:bookmarkEnd w:id="110"/>
    </w:p>
    <w:p>
      <w:pPr>
        <w:spacing w:line="360" w:lineRule="auto"/>
        <w:ind w:firstLine="560" w:firstLineChars="200"/>
        <w:rPr>
          <w:rFonts w:ascii="宋体" w:hAnsi="宋体"/>
          <w:sz w:val="28"/>
          <w:szCs w:val="28"/>
        </w:rPr>
      </w:pPr>
      <w:r>
        <w:rPr>
          <w:rFonts w:hint="eastAsia" w:ascii="宋体" w:hAnsi="宋体"/>
          <w:sz w:val="28"/>
          <w:szCs w:val="28"/>
        </w:rPr>
        <w:t>询价小组推荐成交候选供应商后，应向采购代理机构出具评审报告。评审报告应当包括以下主要内容：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（3）获取询价通知书的供应商名单和询价小组成员名单；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（4）评审情况记录和说明，包括对供应商的资格审查情况、供应商响应文件评审情况、询价</w:t>
      </w:r>
      <w:r>
        <w:rPr>
          <w:rFonts w:ascii="宋体" w:hAnsi="宋体"/>
          <w:sz w:val="28"/>
          <w:szCs w:val="28"/>
        </w:rPr>
        <w:t>采购活动</w:t>
      </w:r>
      <w:r>
        <w:rPr>
          <w:rFonts w:hint="eastAsia" w:ascii="宋体" w:hAnsi="宋体"/>
          <w:sz w:val="28"/>
          <w:szCs w:val="28"/>
        </w:rPr>
        <w:t>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（5）提出的成交候选供应商的排序名单及理由。报价最高的供应商为成交候选人的，询价小组应当对其报价的合理性予以特别说明。</w:t>
      </w:r>
    </w:p>
    <w:p>
      <w:pPr>
        <w:tabs>
          <w:tab w:val="left" w:pos="1155"/>
        </w:tabs>
        <w:snapToGrid w:val="0"/>
        <w:spacing w:line="620" w:lineRule="exact"/>
        <w:ind w:firstLine="523" w:firstLineChars="187"/>
        <w:rPr>
          <w:rFonts w:ascii="宋体" w:hAnsi="宋体"/>
          <w:sz w:val="28"/>
          <w:szCs w:val="28"/>
        </w:rPr>
      </w:pPr>
      <w:bookmarkStart w:id="111" w:name="_Toc54948232"/>
      <w:bookmarkStart w:id="112" w:name="_Toc63084332"/>
      <w:bookmarkStart w:id="113" w:name="_Toc63437918"/>
      <w:r>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sz w:val="28"/>
          <w:szCs w:val="28"/>
        </w:rPr>
        <w:t>评审</w:t>
      </w:r>
      <w:r>
        <w:rPr>
          <w:rFonts w:ascii="宋体" w:hAnsi="宋体"/>
          <w:sz w:val="28"/>
          <w:szCs w:val="28"/>
        </w:rPr>
        <w:t>报告上签字又不书面说明其不同意见和理由的，视为同意评审报告。</w:t>
      </w:r>
    </w:p>
    <w:p>
      <w:pPr>
        <w:pStyle w:val="4"/>
        <w:tabs>
          <w:tab w:val="left" w:pos="993"/>
          <w:tab w:val="clear" w:pos="426"/>
          <w:tab w:val="clear" w:pos="567"/>
        </w:tabs>
        <w:ind w:left="0" w:firstLine="0"/>
      </w:pPr>
      <w:bookmarkStart w:id="114" w:name="_Toc6485"/>
      <w:r>
        <w:rPr>
          <w:rFonts w:hint="eastAsia"/>
        </w:rPr>
        <w:t>争议处理规则</w:t>
      </w:r>
      <w:bookmarkEnd w:id="111"/>
      <w:bookmarkEnd w:id="112"/>
      <w:bookmarkEnd w:id="113"/>
      <w:bookmarkEnd w:id="114"/>
    </w:p>
    <w:p>
      <w:pPr>
        <w:tabs>
          <w:tab w:val="left" w:pos="1155"/>
        </w:tabs>
        <w:snapToGrid w:val="0"/>
        <w:spacing w:line="620" w:lineRule="exact"/>
        <w:ind w:firstLine="523" w:firstLineChars="187"/>
      </w:pPr>
      <w:r>
        <w:rPr>
          <w:rFonts w:hint="eastAsia" w:ascii="宋体" w:hAnsi="宋体"/>
          <w:sz w:val="28"/>
          <w:szCs w:val="28"/>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sz w:val="28"/>
          <w:szCs w:val="28"/>
        </w:rPr>
        <w:t>持不同意见的询价小组成员应当在评审报告上签署不同意见及理由，否则视为同意评审报告。</w:t>
      </w:r>
      <w:r>
        <w:rPr>
          <w:rFonts w:hint="eastAsia" w:ascii="宋体" w:hAnsi="宋体"/>
          <w:sz w:val="28"/>
          <w:szCs w:val="28"/>
        </w:rPr>
        <w:t>持不同意见的询价小组成员认为认定过程和结果不符合法律法规或者询价通知书规定的，应当及时向采购人或</w:t>
      </w:r>
      <w:r>
        <w:rPr>
          <w:rFonts w:hint="eastAsia" w:ascii="宋体" w:hAnsi="宋体"/>
          <w:sz w:val="28"/>
          <w:szCs w:val="28"/>
          <w:lang w:eastAsia="zh-CN"/>
        </w:rPr>
        <w:t>区</w:t>
      </w:r>
      <w:r>
        <w:rPr>
          <w:rFonts w:hint="eastAsia" w:ascii="宋体" w:hAnsi="宋体"/>
          <w:sz w:val="28"/>
          <w:szCs w:val="28"/>
        </w:rPr>
        <w:t>公资交易中心书面反映。采购人或</w:t>
      </w:r>
      <w:r>
        <w:rPr>
          <w:rFonts w:hint="eastAsia" w:ascii="宋体" w:hAnsi="宋体"/>
          <w:sz w:val="28"/>
          <w:szCs w:val="28"/>
          <w:lang w:eastAsia="zh-CN"/>
        </w:rPr>
        <w:t>区</w:t>
      </w:r>
      <w:r>
        <w:rPr>
          <w:rFonts w:hint="eastAsia" w:ascii="宋体" w:hAnsi="宋体"/>
          <w:sz w:val="28"/>
          <w:szCs w:val="28"/>
        </w:rPr>
        <w:t>公资交易中心收到书面反映后，应当书面报告采购项目同级财政部门依法处理。</w:t>
      </w:r>
    </w:p>
    <w:p>
      <w:pPr>
        <w:pStyle w:val="4"/>
        <w:tabs>
          <w:tab w:val="left" w:pos="993"/>
          <w:tab w:val="clear" w:pos="426"/>
          <w:tab w:val="clear" w:pos="567"/>
        </w:tabs>
        <w:ind w:left="0" w:firstLine="0"/>
      </w:pPr>
      <w:bookmarkStart w:id="115" w:name="_Toc494357025"/>
      <w:bookmarkEnd w:id="115"/>
      <w:bookmarkStart w:id="116" w:name="_Toc494357022"/>
      <w:bookmarkEnd w:id="116"/>
      <w:bookmarkStart w:id="117" w:name="_Toc494095680"/>
      <w:bookmarkEnd w:id="117"/>
      <w:bookmarkStart w:id="118" w:name="_Toc494357033"/>
      <w:bookmarkEnd w:id="118"/>
      <w:bookmarkStart w:id="119" w:name="_Toc494357023"/>
      <w:bookmarkEnd w:id="119"/>
      <w:bookmarkStart w:id="120" w:name="_Toc494095675"/>
      <w:bookmarkEnd w:id="120"/>
      <w:bookmarkStart w:id="121" w:name="_Toc494095668"/>
      <w:bookmarkEnd w:id="121"/>
      <w:bookmarkStart w:id="122" w:name="_Toc494357027"/>
      <w:bookmarkEnd w:id="122"/>
      <w:bookmarkStart w:id="123" w:name="_Toc494095678"/>
      <w:bookmarkEnd w:id="123"/>
      <w:bookmarkStart w:id="124" w:name="_Toc494357026"/>
      <w:bookmarkEnd w:id="124"/>
      <w:bookmarkStart w:id="125" w:name="_Toc494095673"/>
      <w:bookmarkEnd w:id="125"/>
      <w:bookmarkStart w:id="126" w:name="_Toc494357029"/>
      <w:bookmarkEnd w:id="126"/>
      <w:bookmarkStart w:id="127" w:name="_Toc494095677"/>
      <w:bookmarkEnd w:id="127"/>
      <w:bookmarkStart w:id="128" w:name="_Toc494095676"/>
      <w:bookmarkEnd w:id="128"/>
      <w:bookmarkStart w:id="129" w:name="_Toc494095670"/>
      <w:bookmarkEnd w:id="129"/>
      <w:bookmarkStart w:id="130" w:name="_Toc494095681"/>
      <w:bookmarkEnd w:id="130"/>
      <w:bookmarkStart w:id="131" w:name="_Toc494357032"/>
      <w:bookmarkEnd w:id="131"/>
      <w:bookmarkStart w:id="132" w:name="_Toc494357031"/>
      <w:bookmarkEnd w:id="132"/>
      <w:bookmarkStart w:id="133" w:name="_Toc494095674"/>
      <w:bookmarkEnd w:id="133"/>
      <w:bookmarkStart w:id="134" w:name="_Toc494357030"/>
      <w:bookmarkEnd w:id="134"/>
      <w:bookmarkStart w:id="135" w:name="_Toc494357021"/>
      <w:bookmarkEnd w:id="135"/>
      <w:bookmarkStart w:id="136" w:name="_Toc494095682"/>
      <w:bookmarkEnd w:id="136"/>
      <w:bookmarkStart w:id="137" w:name="_Toc494095672"/>
      <w:bookmarkEnd w:id="137"/>
      <w:bookmarkStart w:id="138" w:name="_Toc494357024"/>
      <w:bookmarkEnd w:id="138"/>
      <w:bookmarkStart w:id="139" w:name="_Toc494095671"/>
      <w:bookmarkEnd w:id="139"/>
      <w:bookmarkStart w:id="140" w:name="_Toc494357035"/>
      <w:bookmarkEnd w:id="140"/>
      <w:bookmarkStart w:id="141" w:name="_Toc494095669"/>
      <w:bookmarkEnd w:id="141"/>
      <w:bookmarkStart w:id="142" w:name="_Toc494095679"/>
      <w:bookmarkEnd w:id="142"/>
      <w:bookmarkStart w:id="143" w:name="_Toc494357028"/>
      <w:bookmarkEnd w:id="143"/>
      <w:bookmarkStart w:id="144" w:name="_Toc494357034"/>
      <w:bookmarkEnd w:id="144"/>
      <w:bookmarkStart w:id="145" w:name="_Toc54948234"/>
      <w:bookmarkStart w:id="146" w:name="_Toc23783"/>
      <w:r>
        <w:rPr>
          <w:rFonts w:hint="eastAsia"/>
        </w:rPr>
        <w:t>采购失败情形</w:t>
      </w:r>
      <w:bookmarkEnd w:id="145"/>
      <w:bookmarkEnd w:id="146"/>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一、因情况变化，不再符合规定的询价采购方式适用情形的；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六、通过报价审查的供应商不足三家的。</w:t>
      </w:r>
    </w:p>
    <w:p>
      <w:pPr>
        <w:pStyle w:val="4"/>
        <w:tabs>
          <w:tab w:val="left" w:pos="993"/>
          <w:tab w:val="clear" w:pos="426"/>
          <w:tab w:val="clear" w:pos="567"/>
        </w:tabs>
        <w:ind w:left="0" w:firstLine="0"/>
      </w:pPr>
      <w:bookmarkStart w:id="147" w:name="_Toc10208"/>
      <w:bookmarkStart w:id="148" w:name="_Toc54948235"/>
      <w:r>
        <w:rPr>
          <w:rFonts w:hint="eastAsia"/>
        </w:rPr>
        <w:t>确定成交供应商</w:t>
      </w:r>
      <w:bookmarkEnd w:id="147"/>
      <w:bookmarkEnd w:id="148"/>
    </w:p>
    <w:p>
      <w:pPr>
        <w:numPr>
          <w:ilvl w:val="0"/>
          <w:numId w:val="46"/>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采购人根据询价小组推荐的成交候选供应商名单，按顺序确定1名成交供应商，</w:t>
      </w:r>
      <w:r>
        <w:rPr>
          <w:rFonts w:ascii="宋体" w:hAnsi="宋体" w:cs="宋体"/>
          <w:sz w:val="28"/>
          <w:szCs w:val="28"/>
        </w:rPr>
        <w:t>成交候选供应商并列的，由采购人</w:t>
      </w:r>
      <w:r>
        <w:rPr>
          <w:rFonts w:hint="eastAsia" w:ascii="宋体" w:hAnsi="宋体"/>
          <w:sz w:val="28"/>
          <w:szCs w:val="28"/>
        </w:rPr>
        <w:t>随机抽签确定成交供应商。</w:t>
      </w:r>
    </w:p>
    <w:p>
      <w:pPr>
        <w:numPr>
          <w:ilvl w:val="0"/>
          <w:numId w:val="46"/>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区</w:t>
      </w:r>
      <w:r>
        <w:rPr>
          <w:rFonts w:hint="eastAsia" w:ascii="宋体" w:hAnsi="宋体" w:cs="宋体"/>
          <w:sz w:val="28"/>
          <w:szCs w:val="28"/>
        </w:rPr>
        <w:t>公资交易中心在评审结束之日起2个工作日内将评审报告及有关资料送交采购人确定1名成交供应商。</w:t>
      </w:r>
    </w:p>
    <w:p>
      <w:pPr>
        <w:numPr>
          <w:ilvl w:val="0"/>
          <w:numId w:val="46"/>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采购人在收到评审报告后五个工作日内，按照评审报告中推荐的成交候选人顺序确定成交供应商。如果成交候选人及其现任法定代表人、主要负责人存在行贿犯罪记录，采购人将不确定其为中成交人。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46"/>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6"/>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7"/>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49" w:name="_Toc287623649"/>
      <w:r>
        <w:rPr>
          <w:rFonts w:hint="eastAsia" w:ascii="宋体" w:hAnsi="宋体" w:cs="宋体"/>
          <w:sz w:val="28"/>
          <w:szCs w:val="28"/>
        </w:rPr>
        <w:t>成交候选供应商存在违法、违纪行为的；</w:t>
      </w:r>
    </w:p>
    <w:p>
      <w:pPr>
        <w:numPr>
          <w:ilvl w:val="1"/>
          <w:numId w:val="47"/>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47"/>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成交候选供应商未按询价通知书要求，按时足额缴纳履约保证金的。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46"/>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区</w:t>
      </w:r>
      <w:r>
        <w:rPr>
          <w:rFonts w:hint="eastAsia" w:ascii="宋体" w:hAnsi="宋体" w:cs="宋体"/>
          <w:sz w:val="28"/>
          <w:szCs w:val="28"/>
        </w:rPr>
        <w:t>公资交易中心不解释成交或未成交原因，不退回响应文件和其他询价资料。</w:t>
      </w:r>
      <w:bookmarkEnd w:id="149"/>
    </w:p>
    <w:p>
      <w:pPr>
        <w:pStyle w:val="4"/>
        <w:tabs>
          <w:tab w:val="left" w:pos="993"/>
          <w:tab w:val="clear" w:pos="426"/>
          <w:tab w:val="clear" w:pos="567"/>
        </w:tabs>
        <w:ind w:left="0" w:firstLine="0"/>
      </w:pPr>
      <w:bookmarkStart w:id="150" w:name="_Toc54948236"/>
      <w:bookmarkStart w:id="151" w:name="_Toc1816"/>
      <w:r>
        <w:rPr>
          <w:rFonts w:hint="eastAsia"/>
        </w:rPr>
        <w:t>询价小组成员义务</w:t>
      </w:r>
      <w:bookmarkEnd w:id="150"/>
      <w:bookmarkEnd w:id="151"/>
    </w:p>
    <w:p>
      <w:pPr>
        <w:snapToGrid w:val="0"/>
        <w:spacing w:line="360" w:lineRule="auto"/>
        <w:ind w:firstLine="560" w:firstLineChars="200"/>
        <w:rPr>
          <w:sz w:val="28"/>
          <w:szCs w:val="28"/>
        </w:rPr>
      </w:pPr>
      <w:r>
        <w:rPr>
          <w:rFonts w:hint="eastAsia"/>
          <w:sz w:val="28"/>
          <w:szCs w:val="28"/>
        </w:rPr>
        <w:t>询价小组成员在政府采购活动中承担以下义务：</w:t>
      </w:r>
    </w:p>
    <w:p>
      <w:pPr>
        <w:widowControl w:val="0"/>
        <w:numPr>
          <w:ilvl w:val="0"/>
          <w:numId w:val="48"/>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48"/>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按照政府采购法律法规和询价通知书的规定要求对供应商的资格条件、报价、技术、服务等方面严格进行独立评审，提供科学合理、公平公正的评审意见，参与起草评审报告，并予签字确认。</w:t>
      </w:r>
    </w:p>
    <w:p>
      <w:pPr>
        <w:widowControl w:val="0"/>
        <w:numPr>
          <w:ilvl w:val="0"/>
          <w:numId w:val="48"/>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保守秘密。不得泄漏供应商的询价通知书及知悉的商业秘密，不得向供应商透露评审情况。</w:t>
      </w:r>
    </w:p>
    <w:p>
      <w:pPr>
        <w:widowControl w:val="0"/>
        <w:numPr>
          <w:ilvl w:val="0"/>
          <w:numId w:val="48"/>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48"/>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w:t>
      </w:r>
      <w:r>
        <w:rPr>
          <w:rFonts w:hint="eastAsia" w:ascii="宋体" w:hAnsi="宋体"/>
          <w:sz w:val="28"/>
          <w:szCs w:val="28"/>
        </w:rPr>
        <w:t>公资交易中心及其工作人员在政府采购活动中有干预评审、发表倾向性和歧视性言论、受贿或者接受供应商的其他好处及其他违法违规行为，及时向财政部门报告。</w:t>
      </w:r>
    </w:p>
    <w:p>
      <w:pPr>
        <w:widowControl w:val="0"/>
        <w:numPr>
          <w:ilvl w:val="0"/>
          <w:numId w:val="48"/>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w:t>
      </w:r>
      <w:r>
        <w:rPr>
          <w:rFonts w:hint="eastAsia" w:ascii="宋体" w:hAnsi="宋体"/>
          <w:sz w:val="28"/>
          <w:szCs w:val="28"/>
        </w:rPr>
        <w:t>公资交易中心答复供应商的询问、质疑，配合财政部门的投诉处理工作等事宜。</w:t>
      </w:r>
    </w:p>
    <w:p>
      <w:pPr>
        <w:widowControl w:val="0"/>
        <w:numPr>
          <w:ilvl w:val="0"/>
          <w:numId w:val="48"/>
        </w:numPr>
        <w:tabs>
          <w:tab w:val="left" w:pos="1155"/>
        </w:tabs>
        <w:snapToGrid w:val="0"/>
        <w:spacing w:line="620" w:lineRule="exact"/>
        <w:ind w:left="0" w:firstLine="525"/>
        <w:jc w:val="both"/>
        <w:rPr>
          <w:rFonts w:ascii="宋体" w:hAnsi="宋体"/>
          <w:sz w:val="28"/>
          <w:szCs w:val="28"/>
        </w:rPr>
      </w:pPr>
      <w:r>
        <w:rPr>
          <w:rFonts w:hint="eastAsia" w:ascii="宋体" w:hAnsi="宋体"/>
          <w:sz w:val="28"/>
          <w:szCs w:val="28"/>
        </w:rPr>
        <w:t>法律、法规和规章规定的其他义务。</w:t>
      </w:r>
    </w:p>
    <w:p>
      <w:pPr>
        <w:pStyle w:val="4"/>
        <w:tabs>
          <w:tab w:val="left" w:pos="993"/>
          <w:tab w:val="clear" w:pos="426"/>
          <w:tab w:val="clear" w:pos="567"/>
        </w:tabs>
        <w:ind w:left="0" w:firstLine="0"/>
      </w:pPr>
      <w:bookmarkStart w:id="152" w:name="_Toc25972"/>
      <w:bookmarkStart w:id="153" w:name="_Toc54948238"/>
      <w:r>
        <w:rPr>
          <w:rFonts w:hint="eastAsia"/>
        </w:rPr>
        <w:t>询价采购</w:t>
      </w:r>
      <w:r>
        <w:t>活动</w:t>
      </w:r>
      <w:r>
        <w:rPr>
          <w:rFonts w:hint="eastAsia"/>
        </w:rPr>
        <w:t>纪律</w:t>
      </w:r>
      <w:bookmarkEnd w:id="152"/>
      <w:bookmarkEnd w:id="153"/>
    </w:p>
    <w:p>
      <w:pPr>
        <w:snapToGrid w:val="0"/>
        <w:spacing w:line="360" w:lineRule="auto"/>
        <w:ind w:firstLine="560" w:firstLineChars="200"/>
        <w:rPr>
          <w:sz w:val="28"/>
          <w:szCs w:val="28"/>
        </w:rPr>
      </w:pPr>
      <w:r>
        <w:rPr>
          <w:rFonts w:hint="eastAsia"/>
          <w:sz w:val="28"/>
          <w:szCs w:val="28"/>
        </w:rPr>
        <w:t>询价小组成员在政府采购活动中应当遵守以下工作纪律：</w:t>
      </w:r>
    </w:p>
    <w:p>
      <w:pPr>
        <w:widowControl w:val="0"/>
        <w:numPr>
          <w:ilvl w:val="0"/>
          <w:numId w:val="49"/>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49"/>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49"/>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进入评标区之前应将所有的通信设备存入</w:t>
      </w:r>
      <w:r>
        <w:rPr>
          <w:rFonts w:hint="eastAsia" w:ascii="宋体" w:hAnsi="宋体"/>
          <w:sz w:val="28"/>
          <w:szCs w:val="28"/>
          <w:lang w:eastAsia="zh-CN"/>
        </w:rPr>
        <w:t>区</w:t>
      </w:r>
      <w:r>
        <w:rPr>
          <w:rFonts w:hint="eastAsia" w:ascii="宋体" w:hAnsi="宋体"/>
          <w:sz w:val="28"/>
          <w:szCs w:val="28"/>
        </w:rPr>
        <w:t>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区</w:t>
      </w:r>
      <w:r>
        <w:rPr>
          <w:rFonts w:hint="eastAsia" w:ascii="宋体" w:hAnsi="宋体"/>
          <w:sz w:val="28"/>
          <w:szCs w:val="28"/>
        </w:rPr>
        <w:t>公资交易中心，不得私自转托他人。</w:t>
      </w:r>
    </w:p>
    <w:p>
      <w:pPr>
        <w:widowControl w:val="0"/>
        <w:numPr>
          <w:ilvl w:val="0"/>
          <w:numId w:val="49"/>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区</w:t>
      </w:r>
      <w:r>
        <w:rPr>
          <w:rFonts w:hint="eastAsia" w:ascii="宋体" w:hAnsi="宋体"/>
          <w:sz w:val="28"/>
          <w:szCs w:val="28"/>
        </w:rPr>
        <w:t>公资交易中心也可要求该评审专家回避。</w:t>
      </w:r>
    </w:p>
    <w:p>
      <w:pPr>
        <w:widowControl w:val="0"/>
        <w:numPr>
          <w:ilvl w:val="0"/>
          <w:numId w:val="49"/>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49"/>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pPr>
        <w:widowControl w:val="0"/>
        <w:numPr>
          <w:ilvl w:val="0"/>
          <w:numId w:val="49"/>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在询价采购活动过程中和询价采购活动结束后，不得记录、复制或带走任何评审资料，除因规定的义务外，不得向外界透露评审内容。</w:t>
      </w:r>
    </w:p>
    <w:p>
      <w:pPr>
        <w:widowControl w:val="0"/>
        <w:numPr>
          <w:ilvl w:val="0"/>
          <w:numId w:val="49"/>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区</w:t>
      </w:r>
      <w:r>
        <w:rPr>
          <w:rFonts w:hint="eastAsia" w:ascii="宋体" w:hAnsi="宋体"/>
          <w:sz w:val="28"/>
          <w:szCs w:val="28"/>
        </w:rPr>
        <w:t>公资交易中心的现场秩序管理，接受评审现场监督人员的合法监督。</w:t>
      </w:r>
    </w:p>
    <w:p>
      <w:pPr>
        <w:widowControl w:val="0"/>
        <w:numPr>
          <w:ilvl w:val="0"/>
          <w:numId w:val="49"/>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49"/>
        </w:numPr>
        <w:tabs>
          <w:tab w:val="left" w:pos="1155"/>
        </w:tabs>
        <w:snapToGrid w:val="0"/>
        <w:spacing w:line="620" w:lineRule="exact"/>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pStyle w:val="2"/>
        <w:ind w:firstLine="560" w:firstLineChars="200"/>
      </w:pPr>
      <w:r>
        <w:rPr>
          <w:rFonts w:hint="eastAsia" w:ascii="宋体" w:hAnsi="宋体"/>
          <w:sz w:val="28"/>
          <w:szCs w:val="28"/>
        </w:rPr>
        <w:t>十一、有关部门（机构）制定的其他评审工作纪律。</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Pr>
        <w:pStyle w:val="2"/>
      </w:pPr>
    </w:p>
    <w:p>
      <w:pPr>
        <w:pStyle w:val="3"/>
        <w:numPr>
          <w:ilvl w:val="0"/>
          <w:numId w:val="1"/>
        </w:numPr>
        <w:spacing w:before="0" w:after="0"/>
        <w:ind w:left="0" w:firstLine="0"/>
        <w:rPr>
          <w:highlight w:val="none"/>
        </w:rPr>
      </w:pPr>
      <w:bookmarkStart w:id="154" w:name="_Toc24838"/>
      <w:r>
        <w:rPr>
          <w:rFonts w:hint="eastAsia"/>
          <w:highlight w:val="none"/>
        </w:rPr>
        <w:t>政府</w:t>
      </w:r>
      <w:r>
        <w:rPr>
          <w:highlight w:val="none"/>
        </w:rPr>
        <w:t>采购</w:t>
      </w:r>
      <w:r>
        <w:rPr>
          <w:rFonts w:hint="eastAsia"/>
          <w:highlight w:val="none"/>
        </w:rPr>
        <w:t>合同草案</w:t>
      </w:r>
      <w:bookmarkEnd w:id="154"/>
    </w:p>
    <w:p>
      <w:pPr>
        <w:spacing w:line="360" w:lineRule="auto"/>
        <w:jc w:val="center"/>
        <w:rPr>
          <w:rFonts w:ascii="宋体" w:hAnsi="宋体" w:cs="宋体"/>
          <w:sz w:val="40"/>
          <w:szCs w:val="40"/>
          <w:highlight w:val="yellow"/>
        </w:rPr>
      </w:pPr>
      <w:bookmarkStart w:id="155" w:name="_Toc296346614"/>
      <w:bookmarkStart w:id="156" w:name="_Toc337558811"/>
      <w:bookmarkStart w:id="157" w:name="_Toc296503113"/>
    </w:p>
    <w:bookmarkEnd w:id="155"/>
    <w:bookmarkEnd w:id="156"/>
    <w:bookmarkEnd w:id="157"/>
    <w:p>
      <w:pPr>
        <w:widowControl w:val="0"/>
        <w:spacing w:after="0" w:line="57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机动车销售合同</w:t>
      </w:r>
    </w:p>
    <w:p>
      <w:pPr>
        <w:widowControl w:val="0"/>
        <w:spacing w:after="0" w:line="570" w:lineRule="exact"/>
        <w:ind w:firstLine="640" w:firstLineChars="200"/>
        <w:rPr>
          <w:rFonts w:ascii="宋体" w:hAnsi="宋体" w:eastAsia="方正仿宋简体" w:cs="方正仿宋简体"/>
          <w:sz w:val="32"/>
          <w:szCs w:val="32"/>
        </w:rPr>
      </w:pPr>
    </w:p>
    <w:p>
      <w:pPr>
        <w:widowControl w:val="0"/>
        <w:spacing w:after="0" w:line="570" w:lineRule="exact"/>
        <w:rPr>
          <w:rFonts w:hint="eastAsia" w:ascii="宋体" w:hAnsi="宋体" w:eastAsia="方正仿宋简体" w:cs="方正仿宋简体"/>
          <w:sz w:val="32"/>
          <w:szCs w:val="32"/>
        </w:rPr>
      </w:pPr>
      <w:r>
        <w:rPr>
          <w:rFonts w:hint="eastAsia" w:ascii="宋体" w:hAnsi="宋体" w:eastAsia="方正仿宋简体" w:cs="方正仿宋简体"/>
          <w:sz w:val="32"/>
          <w:szCs w:val="32"/>
        </w:rPr>
        <w:t>合同编号：</w:t>
      </w:r>
    </w:p>
    <w:p>
      <w:pPr>
        <w:widowControl w:val="0"/>
        <w:spacing w:after="0" w:line="570" w:lineRule="exact"/>
        <w:rPr>
          <w:rFonts w:hint="eastAsia" w:ascii="宋体" w:hAnsi="宋体" w:eastAsia="方正仿宋简体" w:cs="方正仿宋简体"/>
          <w:sz w:val="32"/>
          <w:szCs w:val="32"/>
          <w:lang w:val="en-US" w:eastAsia="zh-CN"/>
        </w:rPr>
      </w:pPr>
      <w:r>
        <w:rPr>
          <w:rFonts w:hint="eastAsia" w:ascii="宋体" w:hAnsi="宋体" w:eastAsia="方正仿宋简体" w:cs="方正仿宋简体"/>
          <w:sz w:val="32"/>
          <w:szCs w:val="32"/>
        </w:rPr>
        <w:t>采购人（甲方）：</w:t>
      </w:r>
      <w:r>
        <w:rPr>
          <w:rFonts w:hint="eastAsia" w:ascii="宋体" w:hAnsi="宋体" w:eastAsia="方正仿宋简体" w:cs="方正仿宋简体"/>
          <w:sz w:val="32"/>
          <w:szCs w:val="32"/>
          <w:lang w:val="en-US" w:eastAsia="zh-CN"/>
        </w:rPr>
        <w:t xml:space="preserve"> </w:t>
      </w:r>
      <w:r>
        <w:rPr>
          <w:rFonts w:hint="eastAsia" w:ascii="宋体" w:hAnsi="宋体" w:eastAsia="方正仿宋简体" w:cs="方正仿宋简体"/>
          <w:sz w:val="32"/>
          <w:szCs w:val="32"/>
        </w:rPr>
        <w:t>成都市郫都区总工会</w:t>
      </w:r>
    </w:p>
    <w:p>
      <w:pPr>
        <w:widowControl w:val="0"/>
        <w:spacing w:after="0" w:line="570" w:lineRule="exact"/>
        <w:rPr>
          <w:rFonts w:ascii="宋体" w:hAnsi="宋体" w:eastAsia="方正仿宋简体" w:cs="方正仿宋简体"/>
          <w:sz w:val="32"/>
          <w:szCs w:val="32"/>
        </w:rPr>
      </w:pPr>
      <w:r>
        <w:rPr>
          <w:rFonts w:hint="eastAsia" w:ascii="宋体" w:hAnsi="宋体" w:eastAsia="方正仿宋简体" w:cs="方正仿宋简体"/>
          <w:sz w:val="32"/>
          <w:szCs w:val="32"/>
        </w:rPr>
        <w:t xml:space="preserve">供应商（乙方）： </w:t>
      </w:r>
    </w:p>
    <w:p>
      <w:pPr>
        <w:widowControl w:val="0"/>
        <w:spacing w:after="0" w:line="570" w:lineRule="exact"/>
        <w:ind w:firstLine="640" w:firstLineChars="200"/>
        <w:jc w:val="both"/>
        <w:rPr>
          <w:rFonts w:ascii="宋体" w:hAnsi="宋体" w:eastAsia="方正仿宋简体" w:cs="方正仿宋简体"/>
          <w:sz w:val="32"/>
          <w:szCs w:val="32"/>
        </w:rPr>
      </w:pPr>
    </w:p>
    <w:p>
      <w:pPr>
        <w:widowControl w:val="0"/>
        <w:spacing w:after="0" w:line="570" w:lineRule="exact"/>
        <w:ind w:firstLine="640" w:firstLineChars="200"/>
        <w:jc w:val="both"/>
        <w:rPr>
          <w:rFonts w:ascii="宋体" w:hAnsi="宋体" w:eastAsia="方正仿宋简体" w:cs="方正仿宋简体"/>
          <w:sz w:val="32"/>
          <w:szCs w:val="32"/>
        </w:rPr>
      </w:pPr>
      <w:r>
        <w:rPr>
          <w:rFonts w:hint="eastAsia" w:ascii="宋体" w:hAnsi="宋体" w:eastAsia="方正仿宋简体" w:cs="方正仿宋简体"/>
          <w:sz w:val="32"/>
          <w:szCs w:val="32"/>
        </w:rPr>
        <w:t>根据《中华人民共和国政府采购法》《中华人民共和国民法典》及</w:t>
      </w:r>
      <w:r>
        <w:rPr>
          <w:rFonts w:hint="eastAsia" w:ascii="宋体" w:hAnsi="宋体" w:eastAsia="方正仿宋简体" w:cs="方正仿宋简体"/>
          <w:sz w:val="32"/>
          <w:szCs w:val="32"/>
          <w:lang w:val="en-US" w:eastAsia="zh-CN"/>
        </w:rPr>
        <w:t>温江</w:t>
      </w:r>
      <w:r>
        <w:rPr>
          <w:rFonts w:hint="eastAsia" w:ascii="宋体" w:hAnsi="宋体" w:eastAsia="方正仿宋简体" w:cs="方正仿宋简体"/>
          <w:sz w:val="32"/>
          <w:szCs w:val="32"/>
        </w:rPr>
        <w:t>区交易中心、成都市郫都区总工会（项目编号：</w:t>
      </w:r>
      <w:r>
        <w:rPr>
          <w:rFonts w:hint="eastAsia" w:ascii="宋体" w:hAnsi="宋体" w:eastAsia="方正仿宋简体" w:cs="方正仿宋简体"/>
          <w:sz w:val="32"/>
          <w:szCs w:val="32"/>
          <w:lang w:eastAsia="zh-CN"/>
        </w:rPr>
        <w:t>郫都政采（2021）A0058-1号</w:t>
      </w:r>
      <w:r>
        <w:rPr>
          <w:rFonts w:hint="eastAsia" w:ascii="宋体" w:hAnsi="宋体" w:eastAsia="方正仿宋简体" w:cs="方正仿宋简体"/>
          <w:sz w:val="32"/>
          <w:szCs w:val="32"/>
        </w:rPr>
        <w:t>《招标文件》、乙方《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widowControl w:val="0"/>
        <w:spacing w:after="0" w:line="570" w:lineRule="exact"/>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一、合同货物</w:t>
      </w:r>
    </w:p>
    <w:tbl>
      <w:tblPr>
        <w:tblStyle w:val="45"/>
        <w:tblW w:w="8409" w:type="dxa"/>
        <w:jc w:val="center"/>
        <w:shd w:val="clear" w:color="auto" w:fill="FFFFFF"/>
        <w:tblLayout w:type="fixed"/>
        <w:tblCellMar>
          <w:top w:w="0" w:type="dxa"/>
          <w:left w:w="0" w:type="dxa"/>
          <w:bottom w:w="0" w:type="dxa"/>
          <w:right w:w="0" w:type="dxa"/>
        </w:tblCellMar>
      </w:tblPr>
      <w:tblGrid>
        <w:gridCol w:w="1511"/>
        <w:gridCol w:w="1685"/>
        <w:gridCol w:w="702"/>
        <w:gridCol w:w="802"/>
        <w:gridCol w:w="833"/>
        <w:gridCol w:w="1346"/>
        <w:gridCol w:w="1530"/>
      </w:tblGrid>
      <w:tr>
        <w:tblPrEx>
          <w:shd w:val="clear" w:color="auto" w:fill="FFFFFF"/>
          <w:tblCellMar>
            <w:top w:w="0" w:type="dxa"/>
            <w:left w:w="0" w:type="dxa"/>
            <w:bottom w:w="0" w:type="dxa"/>
            <w:right w:w="0" w:type="dxa"/>
          </w:tblCellMar>
        </w:tblPrEx>
        <w:trPr>
          <w:trHeight w:val="1262" w:hRule="atLeast"/>
          <w:jc w:val="center"/>
        </w:trPr>
        <w:tc>
          <w:tcPr>
            <w:tcW w:w="151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黑体简体" w:hAnsi="方正黑体简体" w:eastAsia="方正黑体简体" w:cs="方正黑体简体"/>
                <w:sz w:val="24"/>
                <w:szCs w:val="24"/>
              </w:rPr>
            </w:pPr>
            <w:r>
              <w:rPr>
                <w:rFonts w:hint="eastAsia" w:ascii="方正黑体简体" w:hAnsi="方正黑体简体" w:eastAsia="方正黑体简体" w:cs="方正黑体简体"/>
                <w:sz w:val="24"/>
                <w:szCs w:val="24"/>
              </w:rPr>
              <w:t>货物品名</w:t>
            </w:r>
          </w:p>
        </w:tc>
        <w:tc>
          <w:tcPr>
            <w:tcW w:w="16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黑体简体" w:hAnsi="方正黑体简体" w:eastAsia="方正黑体简体" w:cs="方正黑体简体"/>
                <w:sz w:val="24"/>
                <w:szCs w:val="24"/>
              </w:rPr>
            </w:pPr>
            <w:r>
              <w:rPr>
                <w:rFonts w:hint="eastAsia" w:ascii="方正黑体简体" w:hAnsi="方正黑体简体" w:eastAsia="方正黑体简体" w:cs="方正黑体简体"/>
                <w:sz w:val="24"/>
                <w:szCs w:val="24"/>
              </w:rPr>
              <w:t>规格型号</w:t>
            </w:r>
          </w:p>
        </w:tc>
        <w:tc>
          <w:tcPr>
            <w:tcW w:w="70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黑体简体" w:hAnsi="方正黑体简体" w:eastAsia="方正黑体简体" w:cs="方正黑体简体"/>
                <w:sz w:val="24"/>
                <w:szCs w:val="24"/>
              </w:rPr>
            </w:pPr>
            <w:r>
              <w:rPr>
                <w:rFonts w:hint="eastAsia" w:ascii="方正黑体简体" w:hAnsi="方正黑体简体" w:eastAsia="方正黑体简体" w:cs="方正黑体简体"/>
                <w:sz w:val="24"/>
                <w:szCs w:val="24"/>
              </w:rPr>
              <w:t>单位</w:t>
            </w:r>
          </w:p>
        </w:tc>
        <w:tc>
          <w:tcPr>
            <w:tcW w:w="80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黑体简体" w:hAnsi="方正黑体简体" w:eastAsia="方正黑体简体" w:cs="方正黑体简体"/>
                <w:sz w:val="24"/>
                <w:szCs w:val="24"/>
              </w:rPr>
            </w:pPr>
            <w:r>
              <w:rPr>
                <w:rFonts w:hint="eastAsia" w:ascii="方正黑体简体" w:hAnsi="方正黑体简体" w:eastAsia="方正黑体简体" w:cs="方正黑体简体"/>
                <w:sz w:val="24"/>
                <w:szCs w:val="24"/>
              </w:rPr>
              <w:t>数量</w:t>
            </w:r>
          </w:p>
        </w:tc>
        <w:tc>
          <w:tcPr>
            <w:tcW w:w="833"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黑体简体" w:hAnsi="方正黑体简体" w:eastAsia="方正黑体简体" w:cs="方正黑体简体"/>
                <w:sz w:val="24"/>
                <w:szCs w:val="24"/>
              </w:rPr>
            </w:pPr>
            <w:r>
              <w:rPr>
                <w:rFonts w:hint="eastAsia" w:ascii="方正黑体简体" w:hAnsi="方正黑体简体" w:eastAsia="方正黑体简体" w:cs="方正黑体简体"/>
                <w:sz w:val="24"/>
                <w:szCs w:val="24"/>
              </w:rPr>
              <w:t>车身颜色</w:t>
            </w:r>
          </w:p>
        </w:tc>
        <w:tc>
          <w:tcPr>
            <w:tcW w:w="134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黑体简体" w:hAnsi="方正黑体简体" w:eastAsia="方正黑体简体" w:cs="方正黑体简体"/>
                <w:sz w:val="24"/>
                <w:szCs w:val="24"/>
              </w:rPr>
            </w:pPr>
            <w:r>
              <w:rPr>
                <w:rFonts w:hint="eastAsia" w:ascii="方正黑体简体" w:hAnsi="方正黑体简体" w:eastAsia="方正黑体简体" w:cs="方正黑体简体"/>
                <w:sz w:val="24"/>
                <w:szCs w:val="24"/>
              </w:rPr>
              <w:t>单价（元）</w:t>
            </w:r>
          </w:p>
        </w:tc>
        <w:tc>
          <w:tcPr>
            <w:tcW w:w="15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黑体简体" w:hAnsi="方正黑体简体" w:eastAsia="方正黑体简体" w:cs="方正黑体简体"/>
                <w:sz w:val="24"/>
                <w:szCs w:val="24"/>
              </w:rPr>
            </w:pPr>
            <w:r>
              <w:rPr>
                <w:rFonts w:hint="eastAsia" w:ascii="方正黑体简体" w:hAnsi="方正黑体简体" w:eastAsia="方正黑体简体" w:cs="方正黑体简体"/>
                <w:sz w:val="24"/>
                <w:szCs w:val="24"/>
              </w:rPr>
              <w:t>总价（元）</w:t>
            </w:r>
          </w:p>
        </w:tc>
      </w:tr>
      <w:tr>
        <w:tblPrEx>
          <w:shd w:val="clear" w:color="auto" w:fill="FFFFFF"/>
          <w:tblCellMar>
            <w:top w:w="0" w:type="dxa"/>
            <w:left w:w="0" w:type="dxa"/>
            <w:bottom w:w="0" w:type="dxa"/>
            <w:right w:w="0" w:type="dxa"/>
          </w:tblCellMar>
        </w:tblPrEx>
        <w:trPr>
          <w:trHeight w:val="920" w:hRule="atLeast"/>
          <w:jc w:val="center"/>
        </w:trPr>
        <w:tc>
          <w:tcPr>
            <w:tcW w:w="151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仿宋简体" w:hAnsi="方正仿宋简体" w:eastAsia="方正仿宋简体" w:cs="方正仿宋简体"/>
                <w:sz w:val="24"/>
                <w:szCs w:val="24"/>
              </w:rPr>
            </w:pPr>
          </w:p>
        </w:tc>
        <w:tc>
          <w:tcPr>
            <w:tcW w:w="168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仿宋简体" w:hAnsi="方正仿宋简体" w:eastAsia="方正仿宋简体" w:cs="方正仿宋简体"/>
                <w:sz w:val="24"/>
                <w:szCs w:val="24"/>
              </w:rPr>
            </w:pPr>
          </w:p>
        </w:tc>
        <w:tc>
          <w:tcPr>
            <w:tcW w:w="70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仿宋简体" w:hAnsi="方正仿宋简体" w:eastAsia="方正仿宋简体" w:cs="方正仿宋简体"/>
                <w:sz w:val="24"/>
                <w:szCs w:val="24"/>
              </w:rPr>
            </w:pPr>
          </w:p>
        </w:tc>
        <w:tc>
          <w:tcPr>
            <w:tcW w:w="80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仿宋简体" w:hAnsi="方正仿宋简体" w:eastAsia="方正仿宋简体" w:cs="方正仿宋简体"/>
                <w:sz w:val="24"/>
                <w:szCs w:val="24"/>
              </w:rPr>
            </w:pPr>
          </w:p>
        </w:tc>
        <w:tc>
          <w:tcPr>
            <w:tcW w:w="833"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仿宋简体" w:hAnsi="方正仿宋简体" w:eastAsia="方正仿宋简体" w:cs="方正仿宋简体"/>
                <w:sz w:val="24"/>
                <w:szCs w:val="24"/>
              </w:rPr>
            </w:pPr>
          </w:p>
        </w:tc>
        <w:tc>
          <w:tcPr>
            <w:tcW w:w="134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仿宋简体" w:hAnsi="方正仿宋简体" w:eastAsia="方正仿宋简体" w:cs="方正仿宋简体"/>
                <w:sz w:val="24"/>
                <w:szCs w:val="24"/>
              </w:rPr>
            </w:pPr>
          </w:p>
        </w:tc>
        <w:tc>
          <w:tcPr>
            <w:tcW w:w="15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val="0"/>
              <w:spacing w:after="0" w:line="400" w:lineRule="exact"/>
              <w:jc w:val="center"/>
              <w:rPr>
                <w:rFonts w:ascii="方正仿宋简体" w:hAnsi="方正仿宋简体" w:eastAsia="方正仿宋简体" w:cs="方正仿宋简体"/>
                <w:sz w:val="24"/>
                <w:szCs w:val="24"/>
              </w:rPr>
            </w:pPr>
          </w:p>
        </w:tc>
      </w:tr>
    </w:tbl>
    <w:p>
      <w:pPr>
        <w:widowControl w:val="0"/>
        <w:spacing w:after="0" w:line="570" w:lineRule="exact"/>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二、合同总价</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合同总价为人民币：</w:t>
      </w:r>
      <w:r>
        <w:rPr>
          <w:rFonts w:hint="eastAsia" w:ascii="宋体" w:hAnsi="宋体" w:eastAsia="方正仿宋简体" w:cs="方正仿宋简体"/>
          <w:sz w:val="32"/>
          <w:szCs w:val="32"/>
          <w:lang w:val="en-US" w:eastAsia="zh-CN"/>
        </w:rPr>
        <w:t xml:space="preserve">    </w:t>
      </w:r>
      <w:r>
        <w:rPr>
          <w:rFonts w:hint="eastAsia" w:ascii="宋体" w:hAnsi="宋体" w:eastAsia="方正仿宋简体" w:cs="方正仿宋简体"/>
          <w:sz w:val="32"/>
          <w:szCs w:val="32"/>
        </w:rPr>
        <w:t>元（大写：</w:t>
      </w:r>
      <w:r>
        <w:rPr>
          <w:rFonts w:hint="eastAsia" w:ascii="宋体" w:hAnsi="宋体" w:eastAsia="方正仿宋简体" w:cs="方正仿宋简体"/>
          <w:sz w:val="32"/>
          <w:szCs w:val="32"/>
          <w:lang w:val="en-US" w:eastAsia="zh-CN"/>
        </w:rPr>
        <w:t xml:space="preserve">    </w:t>
      </w:r>
      <w:r>
        <w:rPr>
          <w:rFonts w:hint="eastAsia" w:ascii="宋体" w:hAnsi="宋体" w:eastAsia="方正仿宋简体" w:cs="方正仿宋简体"/>
          <w:sz w:val="32"/>
          <w:szCs w:val="32"/>
        </w:rPr>
        <w:t>）,该合同总价包括货物的运输等费用。</w:t>
      </w:r>
    </w:p>
    <w:p>
      <w:pPr>
        <w:widowControl w:val="0"/>
        <w:spacing w:after="0" w:line="570" w:lineRule="exact"/>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三、付款方式</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车辆交付验收合格后且甲方收到乙方发票后15个工作日内一次性支付款项：</w:t>
      </w:r>
      <w:r>
        <w:rPr>
          <w:rFonts w:hint="eastAsia" w:ascii="宋体" w:hAnsi="宋体" w:eastAsia="方正仿宋简体" w:cs="方正仿宋简体"/>
          <w:sz w:val="32"/>
          <w:szCs w:val="32"/>
          <w:lang w:val="en-US" w:eastAsia="zh-CN"/>
        </w:rPr>
        <w:t xml:space="preserve">     </w:t>
      </w:r>
      <w:r>
        <w:rPr>
          <w:rFonts w:hint="eastAsia" w:ascii="宋体" w:hAnsi="宋体" w:eastAsia="方正仿宋简体" w:cs="方正仿宋简体"/>
          <w:sz w:val="32"/>
          <w:szCs w:val="32"/>
        </w:rPr>
        <w:t>元（大写：</w:t>
      </w:r>
      <w:r>
        <w:rPr>
          <w:rFonts w:hint="eastAsia" w:ascii="宋体" w:hAnsi="宋体" w:eastAsia="方正仿宋简体" w:cs="方正仿宋简体"/>
          <w:sz w:val="32"/>
          <w:szCs w:val="32"/>
          <w:lang w:val="en-US" w:eastAsia="zh-CN"/>
        </w:rPr>
        <w:t xml:space="preserve">      </w:t>
      </w:r>
      <w:r>
        <w:rPr>
          <w:rFonts w:hint="eastAsia" w:ascii="宋体" w:hAnsi="宋体" w:eastAsia="方正仿宋简体" w:cs="方正仿宋简体"/>
          <w:sz w:val="32"/>
          <w:szCs w:val="32"/>
        </w:rPr>
        <w:t>）。</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乙方账户信息：</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账户名：</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账号：</w:t>
      </w:r>
      <w:r>
        <w:rPr>
          <w:rFonts w:ascii="宋体" w:hAnsi="宋体" w:eastAsia="方正仿宋简体" w:cs="方正仿宋简体"/>
          <w:sz w:val="32"/>
          <w:szCs w:val="32"/>
        </w:rPr>
        <w:t xml:space="preserve"> </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 xml:space="preserve">开户行： </w:t>
      </w:r>
    </w:p>
    <w:p>
      <w:pPr>
        <w:widowControl w:val="0"/>
        <w:spacing w:after="0" w:line="570" w:lineRule="exact"/>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四、质量要求</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4.1乙方向甲方出售的车辆，其质量必须符合国家汽车产品标准或行业标准，并符合出厂检验标准；</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4.2乙方向甲方出售的车辆，必须是经国家有关部门公布、备案的汽车产品公告上的产品或合法进口的产品，并符合公安交通管理部门机动车辆注册登记条件；</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4.3乙方保证向甲方出售的车辆为全新商品车，并按生产厂（总经销商）的技术要求完成交车前检查（PDI/PDS）。</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4.4乙方向甲方出售的车辆，严格按照规定的要求标准进行。</w:t>
      </w:r>
    </w:p>
    <w:p>
      <w:pPr>
        <w:widowControl w:val="0"/>
        <w:spacing w:after="0" w:line="570" w:lineRule="exact"/>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五、交车时间与地点、交付</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5.1交车时间：合同签订后45日内</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5.2交车地点：采购人指定地点</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5.3乙方在向甲方交付车辆时须同时提供：</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5.4.1销售发票；</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5.4.2车辆合格证；</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5.4.3三包凭证、维修保养手册、维修网点信息；</w:t>
      </w:r>
    </w:p>
    <w:p>
      <w:pPr>
        <w:widowControl w:val="0"/>
        <w:spacing w:after="0" w:line="570" w:lineRule="exact"/>
        <w:ind w:firstLine="640" w:firstLineChars="200"/>
        <w:rPr>
          <w:rFonts w:ascii="宋体" w:hAnsi="宋体" w:eastAsia="方正仿宋简体" w:cs="方正仿宋简体"/>
          <w:color w:val="auto"/>
          <w:sz w:val="32"/>
          <w:szCs w:val="32"/>
        </w:rPr>
      </w:pPr>
      <w:r>
        <w:rPr>
          <w:rFonts w:hint="eastAsia" w:ascii="宋体" w:hAnsi="宋体" w:eastAsia="方正仿宋简体" w:cs="方正仿宋简体"/>
          <w:color w:val="auto"/>
          <w:sz w:val="32"/>
          <w:szCs w:val="32"/>
        </w:rPr>
        <w:t>5.4.4车辆使用说明书或用户使用手册；</w:t>
      </w:r>
    </w:p>
    <w:p>
      <w:pPr>
        <w:widowControl w:val="0"/>
        <w:spacing w:after="0" w:line="570" w:lineRule="exact"/>
        <w:ind w:firstLine="640" w:firstLineChars="200"/>
        <w:rPr>
          <w:rFonts w:ascii="宋体" w:hAnsi="宋体" w:eastAsia="方正仿宋简体" w:cs="方正仿宋简体"/>
          <w:color w:val="auto"/>
          <w:sz w:val="32"/>
          <w:szCs w:val="32"/>
        </w:rPr>
      </w:pPr>
      <w:r>
        <w:rPr>
          <w:rFonts w:hint="eastAsia" w:ascii="宋体" w:hAnsi="宋体" w:eastAsia="方正仿宋简体" w:cs="方正仿宋简体"/>
          <w:color w:val="auto"/>
          <w:sz w:val="32"/>
          <w:szCs w:val="32"/>
        </w:rPr>
        <w:t>5.4.5随车工具及备件清单；</w:t>
      </w:r>
    </w:p>
    <w:p>
      <w:pPr>
        <w:widowControl w:val="0"/>
        <w:spacing w:after="0" w:line="570" w:lineRule="exact"/>
        <w:ind w:firstLine="640" w:firstLineChars="200"/>
        <w:rPr>
          <w:rFonts w:ascii="宋体" w:hAnsi="宋体" w:eastAsia="方正仿宋简体" w:cs="方正仿宋简体"/>
          <w:color w:val="auto"/>
          <w:sz w:val="32"/>
          <w:szCs w:val="32"/>
        </w:rPr>
      </w:pPr>
      <w:r>
        <w:rPr>
          <w:rFonts w:hint="eastAsia" w:ascii="宋体" w:hAnsi="宋体" w:eastAsia="方正仿宋简体" w:cs="方正仿宋简体"/>
          <w:color w:val="auto"/>
          <w:sz w:val="32"/>
          <w:szCs w:val="32"/>
        </w:rPr>
        <w:t>5.4.6车辆交接时应当场验收，甲方应对所购车辆外观、内饰、配件、随车工具、备胎、警示标志等物件和使用功能等进行验收；</w:t>
      </w:r>
    </w:p>
    <w:p>
      <w:pPr>
        <w:widowControl w:val="0"/>
        <w:spacing w:after="0" w:line="570" w:lineRule="exact"/>
        <w:ind w:firstLine="640" w:firstLineChars="200"/>
        <w:rPr>
          <w:rFonts w:ascii="宋体" w:hAnsi="宋体" w:eastAsia="方正仿宋简体" w:cs="方正仿宋简体"/>
          <w:color w:val="auto"/>
          <w:sz w:val="32"/>
          <w:szCs w:val="32"/>
        </w:rPr>
      </w:pPr>
      <w:r>
        <w:rPr>
          <w:rFonts w:hint="eastAsia" w:ascii="宋体" w:hAnsi="宋体" w:eastAsia="方正仿宋简体" w:cs="方正仿宋简体"/>
          <w:color w:val="auto"/>
          <w:sz w:val="32"/>
          <w:szCs w:val="32"/>
        </w:rPr>
        <w:t>5.4.7乙方向甲方交付汽车及随车文件，双方签署《商品车辆交接书》(见附件一)，即为该车辆正式交付；</w:t>
      </w:r>
    </w:p>
    <w:p>
      <w:pPr>
        <w:widowControl w:val="0"/>
        <w:spacing w:after="0" w:line="570" w:lineRule="exact"/>
        <w:ind w:firstLine="640" w:firstLineChars="200"/>
        <w:rPr>
          <w:rFonts w:ascii="宋体" w:hAnsi="宋体" w:eastAsia="方正仿宋简体" w:cs="方正仿宋简体"/>
          <w:color w:val="auto"/>
          <w:sz w:val="32"/>
          <w:szCs w:val="32"/>
        </w:rPr>
      </w:pPr>
      <w:r>
        <w:rPr>
          <w:rFonts w:hint="eastAsia" w:ascii="宋体" w:hAnsi="宋体" w:eastAsia="方正仿宋简体" w:cs="方正仿宋简体"/>
          <w:color w:val="auto"/>
          <w:sz w:val="32"/>
          <w:szCs w:val="32"/>
        </w:rPr>
        <w:t>5.4.8车辆整车质保期为：3年或10万公里（全国4S均可联保）。</w:t>
      </w:r>
    </w:p>
    <w:p>
      <w:pPr>
        <w:widowControl w:val="0"/>
        <w:spacing w:after="0" w:line="570" w:lineRule="exact"/>
        <w:ind w:firstLine="640" w:firstLineChars="200"/>
        <w:rPr>
          <w:rFonts w:ascii="方正黑体简体" w:hAnsi="方正黑体简体" w:eastAsia="方正黑体简体" w:cs="方正黑体简体"/>
          <w:color w:val="auto"/>
          <w:sz w:val="32"/>
          <w:szCs w:val="32"/>
        </w:rPr>
      </w:pPr>
      <w:r>
        <w:rPr>
          <w:rFonts w:hint="eastAsia" w:ascii="方正黑体简体" w:hAnsi="方正黑体简体" w:eastAsia="方正黑体简体" w:cs="方正黑体简体"/>
          <w:color w:val="auto"/>
          <w:sz w:val="32"/>
          <w:szCs w:val="32"/>
        </w:rPr>
        <w:t>六、交车验收</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6.1验收由甲方组织，乙方配合进行：</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6.1.1货物在乙方交付甲方时进行验收；</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6.1.2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6.1.3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6.1.4如质量验收合格，双方签署质量验收报告。</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6.2货物交付完成后3日内，甲方无故不进行验收工作并已使用货物的，视同已交付完成并验收合格；</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6.3乙方应将所提供货物的装箱清单、配件、随机工具、用户使用手册、原厂保修卡等资料交付给甲方；乙方不能完整交付货物及本款规定的单证和工具的，必须负责补齐，否则视为未按合同约定交货；</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6.4其他未尽事宜应严格按照《财政部关于进一步加强政府采购需求和履约验收管理的指导意见》的要求进行。</w:t>
      </w:r>
    </w:p>
    <w:p>
      <w:pPr>
        <w:widowControl w:val="0"/>
        <w:spacing w:after="0" w:line="570" w:lineRule="exact"/>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七、售后服务</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7.1乙方依照国家相关的规定进行质保；</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7.2甲方使用车辆前应仔细阅读说明书、用户使用手册或保修、保养手册等相关资料。如由于未按照使用说明书要求正确使用、维护、保养、修理车辆，或经本合同的约定特约维修站以外的单位或个人保养或修理的，或自行改装、调整、拆卸，或未按生产厂技术要求使用合格的工作油液及滤清器，及其他不当行为致使车辆出现故障的，由甲方自行承担责任。如甲方或第三方人为损坏车辆，乙方不承担任何责任。</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7.3甲方所购汽车如在保修期内出现质量问题，应凭保修凭证生产厂（或乙方）指定的特约维修站进行维修、保养。</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7.4未尽事宜，按照国家有关汽车产品修理更换退货的规定和生产厂的有关汽车产品修理更换退货的规定及操作流程执行。</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7.5甲方所购车辆如属生产厂公布的汽车召回范围，乙方应当按照生产厂的要求办理。</w:t>
      </w:r>
    </w:p>
    <w:p>
      <w:pPr>
        <w:widowControl w:val="0"/>
        <w:spacing w:after="0" w:line="570" w:lineRule="exact"/>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八、违约责任</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8.1甲方不能按时支付车款的，自延期之日起至实际付款日止，每日按逾期应付款的万分之三向乙方支付违约金。延期付款超过1个月的，乙方有权解除合同。</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8.2甲方不按时验收接车，且经乙方通知后超过4个工作日仍未验收接车的，乙方有权解除合同，并要求甲方承担相应的赔偿责任。</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8.3乙方交付的汽车不符合说明书中表明的质量标准，甲方有权依法解除合同并要求乙方依法赔偿损失。乙方逾期交付车辆的，每逾期一日应按合同价款的百分之三向甲方支付违约金。</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8.4甲、乙双方因不可抗力不能履行本合同的，根据不可抗力的影响部分或者全部免除责任，但法律另有规定的除外。甲、乙双方迟延履行后发生不可抗力的，不能免除责任；</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8.5甲乙任何一方因不可抗力不能履行本合同的，应及时通知对方，以减少可能给对方造成的损失，并应当在合理的期限提供相关证明；</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 xml:space="preserve"> 8.6甲方在购车前，已事先获得政府有关部门的批准、许可或符合当地相关的规定所要求的资格，并且已了解甲方入户所在地对入户车辆的一些限制性法规，否则因此造成乙方损失的，甲方应承担赔偿责任。</w:t>
      </w:r>
    </w:p>
    <w:p>
      <w:pPr>
        <w:widowControl w:val="0"/>
        <w:spacing w:after="0" w:line="570" w:lineRule="exact"/>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九、合同的生效</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9.1本合同自双方的授权代表签字并加盖公章或合同专用章之日起生效。</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9.2本合同的任何修改或补充须经甲、乙双方授权代表书面签署并加盖公章或合同专用章方可生效。</w:t>
      </w:r>
    </w:p>
    <w:p>
      <w:pPr>
        <w:widowControl w:val="0"/>
        <w:spacing w:after="0" w:line="570" w:lineRule="exact"/>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十、争议解决办法</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合同履行期间,若双方发生争议，可协商解决，协商不成的，双方均有权向甲方住所地的人民法院提起诉讼。</w:t>
      </w:r>
    </w:p>
    <w:p>
      <w:pPr>
        <w:widowControl w:val="0"/>
        <w:spacing w:after="0" w:line="570" w:lineRule="exact"/>
        <w:ind w:firstLine="640" w:firstLineChars="200"/>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十一、其他</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如有未尽事宜，由双方协商后依法订立补充合同。</w:t>
      </w:r>
    </w:p>
    <w:p>
      <w:pPr>
        <w:widowControl w:val="0"/>
        <w:spacing w:after="0" w:line="570" w:lineRule="exact"/>
        <w:ind w:firstLine="640" w:firstLineChars="200"/>
        <w:rPr>
          <w:rFonts w:ascii="宋体" w:hAnsi="宋体" w:eastAsia="方正仿宋简体" w:cs="方正仿宋简体"/>
          <w:sz w:val="32"/>
          <w:szCs w:val="32"/>
        </w:rPr>
      </w:pPr>
      <w:r>
        <w:rPr>
          <w:rFonts w:hint="eastAsia" w:ascii="宋体" w:hAnsi="宋体" w:eastAsia="方正仿宋简体" w:cs="方正仿宋简体"/>
          <w:sz w:val="32"/>
          <w:szCs w:val="32"/>
        </w:rPr>
        <w:t>本合同一式肆份，甲乙双方各执贰份，具有同等法律效力。</w:t>
      </w:r>
    </w:p>
    <w:p>
      <w:pPr>
        <w:widowControl w:val="0"/>
        <w:spacing w:after="0" w:line="570" w:lineRule="exact"/>
        <w:rPr>
          <w:rFonts w:ascii="宋体" w:hAnsi="宋体" w:eastAsia="方正仿宋简体" w:cs="方正仿宋简体"/>
          <w:sz w:val="32"/>
          <w:szCs w:val="32"/>
        </w:rPr>
      </w:pPr>
    </w:p>
    <w:tbl>
      <w:tblPr>
        <w:tblStyle w:val="45"/>
        <w:tblW w:w="9061" w:type="dxa"/>
        <w:tblInd w:w="0" w:type="dxa"/>
        <w:tblLayout w:type="fixed"/>
        <w:tblCellMar>
          <w:top w:w="0" w:type="dxa"/>
          <w:left w:w="108" w:type="dxa"/>
          <w:bottom w:w="0" w:type="dxa"/>
          <w:right w:w="108" w:type="dxa"/>
        </w:tblCellMar>
      </w:tblPr>
      <w:tblGrid>
        <w:gridCol w:w="4530"/>
        <w:gridCol w:w="4531"/>
      </w:tblGrid>
      <w:tr>
        <w:tblPrEx>
          <w:tblCellMar>
            <w:top w:w="0" w:type="dxa"/>
            <w:left w:w="108" w:type="dxa"/>
            <w:bottom w:w="0" w:type="dxa"/>
            <w:right w:w="108" w:type="dxa"/>
          </w:tblCellMar>
        </w:tblPrEx>
        <w:tc>
          <w:tcPr>
            <w:tcW w:w="4530"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 xml:space="preserve">甲方: </w:t>
            </w:r>
          </w:p>
        </w:tc>
        <w:tc>
          <w:tcPr>
            <w:tcW w:w="4531"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乙方： 限公司（盖章）</w:t>
            </w:r>
          </w:p>
        </w:tc>
      </w:tr>
      <w:tr>
        <w:tblPrEx>
          <w:tblCellMar>
            <w:top w:w="0" w:type="dxa"/>
            <w:left w:w="108" w:type="dxa"/>
            <w:bottom w:w="0" w:type="dxa"/>
            <w:right w:w="108" w:type="dxa"/>
          </w:tblCellMar>
        </w:tblPrEx>
        <w:tc>
          <w:tcPr>
            <w:tcW w:w="4530"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法定代表人（授权代表）：</w:t>
            </w:r>
          </w:p>
        </w:tc>
        <w:tc>
          <w:tcPr>
            <w:tcW w:w="4531"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法定代表人（授权代表）：</w:t>
            </w:r>
          </w:p>
        </w:tc>
      </w:tr>
      <w:tr>
        <w:tblPrEx>
          <w:tblCellMar>
            <w:top w:w="0" w:type="dxa"/>
            <w:left w:w="108" w:type="dxa"/>
            <w:bottom w:w="0" w:type="dxa"/>
            <w:right w:w="108" w:type="dxa"/>
          </w:tblCellMar>
        </w:tblPrEx>
        <w:tc>
          <w:tcPr>
            <w:tcW w:w="4530"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地址：</w:t>
            </w:r>
          </w:p>
        </w:tc>
        <w:tc>
          <w:tcPr>
            <w:tcW w:w="4531"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 xml:space="preserve">地址： </w:t>
            </w:r>
          </w:p>
        </w:tc>
      </w:tr>
      <w:tr>
        <w:tblPrEx>
          <w:tblCellMar>
            <w:top w:w="0" w:type="dxa"/>
            <w:left w:w="108" w:type="dxa"/>
            <w:bottom w:w="0" w:type="dxa"/>
            <w:right w:w="108" w:type="dxa"/>
          </w:tblCellMar>
        </w:tblPrEx>
        <w:tc>
          <w:tcPr>
            <w:tcW w:w="4530"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开户银行：</w:t>
            </w:r>
          </w:p>
        </w:tc>
        <w:tc>
          <w:tcPr>
            <w:tcW w:w="4531"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 xml:space="preserve">开户银行： </w:t>
            </w:r>
          </w:p>
        </w:tc>
      </w:tr>
      <w:tr>
        <w:tblPrEx>
          <w:tblCellMar>
            <w:top w:w="0" w:type="dxa"/>
            <w:left w:w="108" w:type="dxa"/>
            <w:bottom w:w="0" w:type="dxa"/>
            <w:right w:w="108" w:type="dxa"/>
          </w:tblCellMar>
        </w:tblPrEx>
        <w:tc>
          <w:tcPr>
            <w:tcW w:w="4530"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账号：</w:t>
            </w:r>
          </w:p>
        </w:tc>
        <w:tc>
          <w:tcPr>
            <w:tcW w:w="4531"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账号:</w:t>
            </w:r>
            <w:r>
              <w:rPr>
                <w:rFonts w:ascii="宋体" w:hAnsi="宋体" w:eastAsia="方正仿宋简体" w:cs="方正仿宋简体"/>
                <w:sz w:val="32"/>
                <w:szCs w:val="32"/>
              </w:rPr>
              <w:t xml:space="preserve"> </w:t>
            </w:r>
          </w:p>
        </w:tc>
      </w:tr>
      <w:tr>
        <w:tblPrEx>
          <w:tblCellMar>
            <w:top w:w="0" w:type="dxa"/>
            <w:left w:w="108" w:type="dxa"/>
            <w:bottom w:w="0" w:type="dxa"/>
            <w:right w:w="108" w:type="dxa"/>
          </w:tblCellMar>
        </w:tblPrEx>
        <w:tc>
          <w:tcPr>
            <w:tcW w:w="4530"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电话：</w:t>
            </w:r>
          </w:p>
        </w:tc>
        <w:tc>
          <w:tcPr>
            <w:tcW w:w="4531"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电话：</w:t>
            </w:r>
            <w:r>
              <w:rPr>
                <w:rFonts w:ascii="宋体" w:hAnsi="宋体" w:eastAsia="方正仿宋简体" w:cs="方正仿宋简体"/>
                <w:sz w:val="32"/>
                <w:szCs w:val="32"/>
              </w:rPr>
              <w:t xml:space="preserve"> </w:t>
            </w:r>
          </w:p>
        </w:tc>
      </w:tr>
      <w:tr>
        <w:tblPrEx>
          <w:tblCellMar>
            <w:top w:w="0" w:type="dxa"/>
            <w:left w:w="108" w:type="dxa"/>
            <w:bottom w:w="0" w:type="dxa"/>
            <w:right w:w="108" w:type="dxa"/>
          </w:tblCellMar>
        </w:tblPrEx>
        <w:tc>
          <w:tcPr>
            <w:tcW w:w="4530"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签约日期：   年  月  日</w:t>
            </w:r>
          </w:p>
        </w:tc>
        <w:tc>
          <w:tcPr>
            <w:tcW w:w="4531" w:type="dxa"/>
          </w:tcPr>
          <w:p>
            <w:pPr>
              <w:widowControl w:val="0"/>
              <w:spacing w:after="0" w:line="570" w:lineRule="exact"/>
              <w:jc w:val="both"/>
              <w:rPr>
                <w:rFonts w:ascii="宋体" w:hAnsi="宋体" w:eastAsia="方正仿宋简体" w:cs="方正仿宋简体"/>
                <w:sz w:val="32"/>
                <w:szCs w:val="32"/>
              </w:rPr>
            </w:pPr>
            <w:r>
              <w:rPr>
                <w:rFonts w:hint="eastAsia" w:ascii="宋体" w:hAnsi="宋体" w:eastAsia="方正仿宋简体" w:cs="方正仿宋简体"/>
                <w:sz w:val="32"/>
                <w:szCs w:val="32"/>
              </w:rPr>
              <w:t>签约日期：  年  月  日</w:t>
            </w:r>
          </w:p>
        </w:tc>
      </w:tr>
    </w:tbl>
    <w:p>
      <w:pPr>
        <w:widowControl w:val="0"/>
        <w:spacing w:after="0" w:line="570" w:lineRule="exact"/>
        <w:rPr>
          <w:rFonts w:ascii="宋体" w:hAnsi="宋体" w:eastAsia="方正仿宋简体" w:cs="方正仿宋简体"/>
          <w:sz w:val="32"/>
          <w:szCs w:val="32"/>
        </w:rPr>
      </w:pPr>
    </w:p>
    <w:p>
      <w:pPr>
        <w:pStyle w:val="2"/>
        <w:rPr>
          <w:highlight w:val="yellow"/>
        </w:rPr>
      </w:pPr>
    </w:p>
    <w:p>
      <w:pPr>
        <w:rPr>
          <w:highlight w:val="yellow"/>
        </w:rPr>
      </w:pPr>
    </w:p>
    <w:p>
      <w:pPr>
        <w:pStyle w:val="2"/>
        <w:rPr>
          <w:highlight w:val="yellow"/>
        </w:rPr>
      </w:pPr>
    </w:p>
    <w:p>
      <w:pPr>
        <w:rPr>
          <w:highlight w:val="yellow"/>
        </w:rPr>
      </w:pPr>
    </w:p>
    <w:p>
      <w:pPr>
        <w:pStyle w:val="2"/>
        <w:rPr>
          <w:highlight w:val="yellow"/>
        </w:rPr>
      </w:pPr>
    </w:p>
    <w:p>
      <w:pPr>
        <w:rPr>
          <w:highlight w:val="yellow"/>
        </w:rPr>
      </w:pPr>
    </w:p>
    <w:p>
      <w:pPr>
        <w:rPr>
          <w:highlight w:val="yellow"/>
        </w:rPr>
      </w:pPr>
    </w:p>
    <w:p/>
    <w:bookmarkEnd w:id="83"/>
    <w:bookmarkEnd w:id="84"/>
    <w:bookmarkEnd w:id="85"/>
    <w:bookmarkEnd w:id="86"/>
    <w:p>
      <w:pPr>
        <w:pStyle w:val="2"/>
      </w:pPr>
      <w:r>
        <w:rPr>
          <w:rFonts w:hint="eastAsia"/>
        </w:rPr>
        <w:t>附件</w:t>
      </w:r>
      <w:r>
        <w:rPr>
          <w:rFonts w:hint="eastAsia"/>
          <w:lang w:eastAsia="zh-CN"/>
        </w:rPr>
        <w:t>：</w:t>
      </w:r>
      <w:r>
        <w:drawing>
          <wp:inline distT="0" distB="0" distL="0" distR="0">
            <wp:extent cx="5161280" cy="7144385"/>
            <wp:effectExtent l="0" t="0" r="762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1280" cy="714438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jc w:val="center"/>
      </w:pPr>
    </w:p>
    <w:p/>
    <w:p/>
    <w:p>
      <w:pPr>
        <w:jc w:val="center"/>
      </w:pPr>
    </w:p>
    <w:p>
      <w:pPr>
        <w:jc w:val="center"/>
      </w:pPr>
    </w:p>
    <w:p/>
    <w:sectPr>
      <w:footerReference r:id="rId10" w:type="first"/>
      <w:headerReference r:id="rId7" w:type="default"/>
      <w:footerReference r:id="rId8" w:type="default"/>
      <w:footerReference r:id="rId9"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imes New (W1)">
    <w:altName w:val="Times New Roman"/>
    <w:panose1 w:val="00000000000000000000"/>
    <w:charset w:val="00"/>
    <w:family w:val="roman"/>
    <w:pitch w:val="default"/>
    <w:sig w:usb0="00000000" w:usb1="00000000" w:usb2="00000000" w:usb3="00000000" w:csb0="00000001" w:csb1="00000000"/>
  </w:font>
  <w:font w:name="方正仿宋">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auto"/>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方正小标宋简体">
    <w:panose1 w:val="03000509000000000000"/>
    <w:charset w:val="86"/>
    <w:family w:val="auto"/>
    <w:pitch w:val="default"/>
    <w:sig w:usb0="00000001" w:usb1="080E0000" w:usb2="00000000" w:usb3="00000000" w:csb0="00040000" w:csb1="00000000"/>
  </w:font>
  <w:font w:name="方正仿宋简体">
    <w:altName w:val="Arial Unicode MS"/>
    <w:panose1 w:val="02010601030101010101"/>
    <w:charset w:val="86"/>
    <w:family w:val="auto"/>
    <w:pitch w:val="default"/>
    <w:sig w:usb0="00000000" w:usb1="00000000" w:usb2="00000010" w:usb3="00000000" w:csb0="00040000" w:csb1="00000000"/>
  </w:font>
  <w:font w:name="方正黑体简体">
    <w:altName w:val="Arial Unicode MS"/>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7</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8</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100</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3827"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949"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1271"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5F7FE3"/>
    <w:multiLevelType w:val="multilevel"/>
    <w:tmpl w:val="035F7FE3"/>
    <w:lvl w:ilvl="0" w:tentative="0">
      <w:start w:val="1"/>
      <w:numFmt w:val="japaneseCounting"/>
      <w:lvlText w:val="%1、"/>
      <w:lvlJc w:val="left"/>
      <w:pPr>
        <w:ind w:left="1997"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2">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62B1A0F"/>
    <w:multiLevelType w:val="multilevel"/>
    <w:tmpl w:val="162B1A0F"/>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703"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1C5C2941"/>
    <w:multiLevelType w:val="multilevel"/>
    <w:tmpl w:val="1C5C2941"/>
    <w:lvl w:ilvl="0" w:tentative="0">
      <w:start w:val="1"/>
      <w:numFmt w:val="japaneseCounting"/>
      <w:lvlText w:val="%1、"/>
      <w:lvlJc w:val="left"/>
      <w:pPr>
        <w:ind w:left="2279"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3D70A7D"/>
    <w:multiLevelType w:val="multilevel"/>
    <w:tmpl w:val="33D70A7D"/>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7">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8">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0">
    <w:nsid w:val="443D2B39"/>
    <w:multiLevelType w:val="multilevel"/>
    <w:tmpl w:val="443D2B39"/>
    <w:lvl w:ilvl="0" w:tentative="0">
      <w:start w:val="1"/>
      <w:numFmt w:val="chineseCountingThousand"/>
      <w:lvlText w:val="%1、"/>
      <w:lvlJc w:val="left"/>
      <w:pPr>
        <w:ind w:left="3255"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5">
    <w:nsid w:val="50841406"/>
    <w:multiLevelType w:val="multilevel"/>
    <w:tmpl w:val="50841406"/>
    <w:lvl w:ilvl="0" w:tentative="0">
      <w:start w:val="1"/>
      <w:numFmt w:val="japaneseCounting"/>
      <w:lvlText w:val="%1、"/>
      <w:lvlJc w:val="left"/>
      <w:pPr>
        <w:ind w:left="5965" w:hanging="720"/>
      </w:pPr>
      <w:rPr>
        <w:rFonts w:hint="default" w:ascii="宋体" w:hAnsi="宋体" w:eastAsia="宋体"/>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6">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8">
    <w:nsid w:val="564D8C61"/>
    <w:multiLevelType w:val="singleLevel"/>
    <w:tmpl w:val="564D8C61"/>
    <w:lvl w:ilvl="0" w:tentative="0">
      <w:start w:val="1"/>
      <w:numFmt w:val="chineseCounting"/>
      <w:lvlText w:val="(%1)"/>
      <w:lvlJc w:val="left"/>
      <w:rPr>
        <w:rFonts w:hint="eastAsia"/>
      </w:rPr>
    </w:lvl>
  </w:abstractNum>
  <w:abstractNum w:abstractNumId="39">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5D607C5F"/>
    <w:multiLevelType w:val="multilevel"/>
    <w:tmpl w:val="5D607C5F"/>
    <w:lvl w:ilvl="0" w:tentative="0">
      <w:start w:val="1"/>
      <w:numFmt w:val="japaneseCounting"/>
      <w:lvlText w:val="%1、"/>
      <w:lvlJc w:val="left"/>
      <w:pPr>
        <w:ind w:left="143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1">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5">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7">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7B652295"/>
    <w:multiLevelType w:val="multilevel"/>
    <w:tmpl w:val="7B652295"/>
    <w:lvl w:ilvl="0" w:tentative="0">
      <w:start w:val="1"/>
      <w:numFmt w:val="chineseCountingThousand"/>
      <w:lvlText w:val="(%1)"/>
      <w:lvlJc w:val="left"/>
      <w:pPr>
        <w:ind w:left="1129"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8"/>
  </w:num>
  <w:num w:numId="2">
    <w:abstractNumId w:val="18"/>
  </w:num>
  <w:num w:numId="3">
    <w:abstractNumId w:val="46"/>
  </w:num>
  <w:num w:numId="4">
    <w:abstractNumId w:val="37"/>
  </w:num>
  <w:num w:numId="5">
    <w:abstractNumId w:val="7"/>
  </w:num>
  <w:num w:numId="6">
    <w:abstractNumId w:val="25"/>
  </w:num>
  <w:num w:numId="7">
    <w:abstractNumId w:val="47"/>
  </w:num>
  <w:num w:numId="8">
    <w:abstractNumId w:val="23"/>
  </w:num>
  <w:num w:numId="9">
    <w:abstractNumId w:val="3"/>
  </w:num>
  <w:num w:numId="10">
    <w:abstractNumId w:val="15"/>
  </w:num>
  <w:num w:numId="11">
    <w:abstractNumId w:val="16"/>
  </w:num>
  <w:num w:numId="12">
    <w:abstractNumId w:val="21"/>
  </w:num>
  <w:num w:numId="13">
    <w:abstractNumId w:val="41"/>
  </w:num>
  <w:num w:numId="14">
    <w:abstractNumId w:val="22"/>
  </w:num>
  <w:num w:numId="15">
    <w:abstractNumId w:val="38"/>
  </w:num>
  <w:num w:numId="16">
    <w:abstractNumId w:val="40"/>
  </w:num>
  <w:num w:numId="17">
    <w:abstractNumId w:val="9"/>
  </w:num>
  <w:num w:numId="18">
    <w:abstractNumId w:val="45"/>
  </w:num>
  <w:num w:numId="19">
    <w:abstractNumId w:val="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8"/>
  </w:num>
  <w:num w:numId="26">
    <w:abstractNumId w:val="1"/>
  </w:num>
  <w:num w:numId="27">
    <w:abstractNumId w:val="4"/>
  </w:num>
  <w:num w:numId="28">
    <w:abstractNumId w:val="0"/>
  </w:num>
  <w:num w:numId="29">
    <w:abstractNumId w:val="43"/>
  </w:num>
  <w:num w:numId="30">
    <w:abstractNumId w:val="31"/>
  </w:num>
  <w:num w:numId="31">
    <w:abstractNumId w:val="39"/>
  </w:num>
  <w:num w:numId="32">
    <w:abstractNumId w:val="14"/>
  </w:num>
  <w:num w:numId="33">
    <w:abstractNumId w:val="44"/>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19"/>
  </w:num>
  <w:num w:numId="37">
    <w:abstractNumId w:val="11"/>
  </w:num>
  <w:num w:numId="38">
    <w:abstractNumId w:val="10"/>
  </w:num>
  <w:num w:numId="39">
    <w:abstractNumId w:val="36"/>
  </w:num>
  <w:num w:numId="40">
    <w:abstractNumId w:val="17"/>
  </w:num>
  <w:num w:numId="41">
    <w:abstractNumId w:val="30"/>
  </w:num>
  <w:num w:numId="42">
    <w:abstractNumId w:val="48"/>
  </w:num>
  <w:num w:numId="43">
    <w:abstractNumId w:val="34"/>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26"/>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42EA"/>
    <w:rsid w:val="00004E16"/>
    <w:rsid w:val="0001217C"/>
    <w:rsid w:val="00020554"/>
    <w:rsid w:val="00022B42"/>
    <w:rsid w:val="00023FE8"/>
    <w:rsid w:val="000254DC"/>
    <w:rsid w:val="00025699"/>
    <w:rsid w:val="000279F5"/>
    <w:rsid w:val="00033418"/>
    <w:rsid w:val="00055B3A"/>
    <w:rsid w:val="000577CA"/>
    <w:rsid w:val="000637FD"/>
    <w:rsid w:val="00070289"/>
    <w:rsid w:val="00072AAE"/>
    <w:rsid w:val="000800EF"/>
    <w:rsid w:val="000821A0"/>
    <w:rsid w:val="00085DB4"/>
    <w:rsid w:val="00090BA6"/>
    <w:rsid w:val="0009494C"/>
    <w:rsid w:val="00096AB9"/>
    <w:rsid w:val="000B2FA4"/>
    <w:rsid w:val="000B3AB8"/>
    <w:rsid w:val="000C4C74"/>
    <w:rsid w:val="000C5490"/>
    <w:rsid w:val="000C6CE2"/>
    <w:rsid w:val="000D43E7"/>
    <w:rsid w:val="000E6097"/>
    <w:rsid w:val="000E65EA"/>
    <w:rsid w:val="000F4809"/>
    <w:rsid w:val="000F6B7C"/>
    <w:rsid w:val="001042C0"/>
    <w:rsid w:val="0011018B"/>
    <w:rsid w:val="00114B69"/>
    <w:rsid w:val="00116640"/>
    <w:rsid w:val="00117AE1"/>
    <w:rsid w:val="00122A74"/>
    <w:rsid w:val="001308A6"/>
    <w:rsid w:val="00131E75"/>
    <w:rsid w:val="00134EB4"/>
    <w:rsid w:val="00136D53"/>
    <w:rsid w:val="00140DCC"/>
    <w:rsid w:val="001415FC"/>
    <w:rsid w:val="00147136"/>
    <w:rsid w:val="00147E57"/>
    <w:rsid w:val="0015050F"/>
    <w:rsid w:val="00154EA1"/>
    <w:rsid w:val="001701F4"/>
    <w:rsid w:val="00171B70"/>
    <w:rsid w:val="00175783"/>
    <w:rsid w:val="001828EF"/>
    <w:rsid w:val="00194B14"/>
    <w:rsid w:val="00195FAE"/>
    <w:rsid w:val="00197444"/>
    <w:rsid w:val="00197B45"/>
    <w:rsid w:val="001A07E3"/>
    <w:rsid w:val="001B2140"/>
    <w:rsid w:val="001B6619"/>
    <w:rsid w:val="001C0437"/>
    <w:rsid w:val="001C35F5"/>
    <w:rsid w:val="001C5A0A"/>
    <w:rsid w:val="001C66BE"/>
    <w:rsid w:val="001D1EAF"/>
    <w:rsid w:val="001D2AD5"/>
    <w:rsid w:val="001E5D2E"/>
    <w:rsid w:val="001F161D"/>
    <w:rsid w:val="001F2DA3"/>
    <w:rsid w:val="001F5024"/>
    <w:rsid w:val="00201463"/>
    <w:rsid w:val="00205A63"/>
    <w:rsid w:val="00211D04"/>
    <w:rsid w:val="0022428D"/>
    <w:rsid w:val="0023681B"/>
    <w:rsid w:val="0023687E"/>
    <w:rsid w:val="00237901"/>
    <w:rsid w:val="00241B5C"/>
    <w:rsid w:val="0024760E"/>
    <w:rsid w:val="002572AF"/>
    <w:rsid w:val="002619C0"/>
    <w:rsid w:val="00261EB2"/>
    <w:rsid w:val="00262C45"/>
    <w:rsid w:val="00272692"/>
    <w:rsid w:val="0028699C"/>
    <w:rsid w:val="00287F0C"/>
    <w:rsid w:val="00295121"/>
    <w:rsid w:val="002A1DCC"/>
    <w:rsid w:val="002A27D5"/>
    <w:rsid w:val="002A2E78"/>
    <w:rsid w:val="002B0AE5"/>
    <w:rsid w:val="002B795C"/>
    <w:rsid w:val="002C29D9"/>
    <w:rsid w:val="002C78D6"/>
    <w:rsid w:val="002D0C65"/>
    <w:rsid w:val="002D160A"/>
    <w:rsid w:val="002D5D94"/>
    <w:rsid w:val="002D62A2"/>
    <w:rsid w:val="002E2F4B"/>
    <w:rsid w:val="002E531A"/>
    <w:rsid w:val="002E56D2"/>
    <w:rsid w:val="002E6FF9"/>
    <w:rsid w:val="002F1F1F"/>
    <w:rsid w:val="003028AF"/>
    <w:rsid w:val="00302AD8"/>
    <w:rsid w:val="00305531"/>
    <w:rsid w:val="0031025D"/>
    <w:rsid w:val="003105B5"/>
    <w:rsid w:val="00313AFC"/>
    <w:rsid w:val="0031579C"/>
    <w:rsid w:val="0031657A"/>
    <w:rsid w:val="0032674C"/>
    <w:rsid w:val="00340391"/>
    <w:rsid w:val="003433FE"/>
    <w:rsid w:val="00344FF1"/>
    <w:rsid w:val="003579F0"/>
    <w:rsid w:val="00362852"/>
    <w:rsid w:val="00365C5B"/>
    <w:rsid w:val="00366676"/>
    <w:rsid w:val="00366D3E"/>
    <w:rsid w:val="00371A62"/>
    <w:rsid w:val="00373FFE"/>
    <w:rsid w:val="0037555F"/>
    <w:rsid w:val="00380491"/>
    <w:rsid w:val="00380652"/>
    <w:rsid w:val="00390E9B"/>
    <w:rsid w:val="00394685"/>
    <w:rsid w:val="0039751D"/>
    <w:rsid w:val="00397F44"/>
    <w:rsid w:val="003A41D6"/>
    <w:rsid w:val="003A549F"/>
    <w:rsid w:val="003B0147"/>
    <w:rsid w:val="003B375A"/>
    <w:rsid w:val="003B712D"/>
    <w:rsid w:val="003C0D99"/>
    <w:rsid w:val="003C1B31"/>
    <w:rsid w:val="003C5B8E"/>
    <w:rsid w:val="003C6644"/>
    <w:rsid w:val="003C7428"/>
    <w:rsid w:val="003D5525"/>
    <w:rsid w:val="003D557F"/>
    <w:rsid w:val="003D590F"/>
    <w:rsid w:val="003D798F"/>
    <w:rsid w:val="003E3ADD"/>
    <w:rsid w:val="003E56BB"/>
    <w:rsid w:val="003F22FC"/>
    <w:rsid w:val="00404806"/>
    <w:rsid w:val="0040670A"/>
    <w:rsid w:val="004071E2"/>
    <w:rsid w:val="004106F9"/>
    <w:rsid w:val="00416B59"/>
    <w:rsid w:val="004212EA"/>
    <w:rsid w:val="00423109"/>
    <w:rsid w:val="00424C12"/>
    <w:rsid w:val="00425351"/>
    <w:rsid w:val="00435502"/>
    <w:rsid w:val="0044316A"/>
    <w:rsid w:val="00447CBA"/>
    <w:rsid w:val="0045083B"/>
    <w:rsid w:val="00453551"/>
    <w:rsid w:val="00453C58"/>
    <w:rsid w:val="00454431"/>
    <w:rsid w:val="00454548"/>
    <w:rsid w:val="0045562D"/>
    <w:rsid w:val="004572ED"/>
    <w:rsid w:val="00457EFD"/>
    <w:rsid w:val="00460841"/>
    <w:rsid w:val="0046111B"/>
    <w:rsid w:val="00464572"/>
    <w:rsid w:val="00465489"/>
    <w:rsid w:val="0047167F"/>
    <w:rsid w:val="0047395B"/>
    <w:rsid w:val="00475776"/>
    <w:rsid w:val="00493CFD"/>
    <w:rsid w:val="00495E22"/>
    <w:rsid w:val="00495E4F"/>
    <w:rsid w:val="0049714E"/>
    <w:rsid w:val="00497260"/>
    <w:rsid w:val="004A5283"/>
    <w:rsid w:val="004B053A"/>
    <w:rsid w:val="004B4C27"/>
    <w:rsid w:val="004B77FE"/>
    <w:rsid w:val="004C1101"/>
    <w:rsid w:val="004C2D8F"/>
    <w:rsid w:val="004C5C1A"/>
    <w:rsid w:val="004D56B9"/>
    <w:rsid w:val="004D739D"/>
    <w:rsid w:val="004E57D4"/>
    <w:rsid w:val="004F36CE"/>
    <w:rsid w:val="004F508C"/>
    <w:rsid w:val="004F7EE8"/>
    <w:rsid w:val="00501504"/>
    <w:rsid w:val="00505A16"/>
    <w:rsid w:val="005062EE"/>
    <w:rsid w:val="00507FB4"/>
    <w:rsid w:val="0051358E"/>
    <w:rsid w:val="00514D54"/>
    <w:rsid w:val="0051731D"/>
    <w:rsid w:val="00525ECC"/>
    <w:rsid w:val="00534A7E"/>
    <w:rsid w:val="005402F1"/>
    <w:rsid w:val="0054488D"/>
    <w:rsid w:val="00545DE6"/>
    <w:rsid w:val="005474A3"/>
    <w:rsid w:val="005476FE"/>
    <w:rsid w:val="00547D22"/>
    <w:rsid w:val="005508FE"/>
    <w:rsid w:val="00550B07"/>
    <w:rsid w:val="0056438F"/>
    <w:rsid w:val="00566AAC"/>
    <w:rsid w:val="00573B54"/>
    <w:rsid w:val="00575563"/>
    <w:rsid w:val="00575602"/>
    <w:rsid w:val="00576299"/>
    <w:rsid w:val="00576C28"/>
    <w:rsid w:val="0058079A"/>
    <w:rsid w:val="00584E99"/>
    <w:rsid w:val="0058694B"/>
    <w:rsid w:val="00590C99"/>
    <w:rsid w:val="00592685"/>
    <w:rsid w:val="005A051F"/>
    <w:rsid w:val="005A3991"/>
    <w:rsid w:val="005A427B"/>
    <w:rsid w:val="005A53A8"/>
    <w:rsid w:val="005A7745"/>
    <w:rsid w:val="005B1076"/>
    <w:rsid w:val="005B4FD3"/>
    <w:rsid w:val="005C30B4"/>
    <w:rsid w:val="005C4419"/>
    <w:rsid w:val="005D0E78"/>
    <w:rsid w:val="005D1959"/>
    <w:rsid w:val="005E14F7"/>
    <w:rsid w:val="005E1BD1"/>
    <w:rsid w:val="005E3AFD"/>
    <w:rsid w:val="005E52C6"/>
    <w:rsid w:val="005E60B8"/>
    <w:rsid w:val="005F0005"/>
    <w:rsid w:val="005F13FA"/>
    <w:rsid w:val="005F14C5"/>
    <w:rsid w:val="005F320F"/>
    <w:rsid w:val="005F398A"/>
    <w:rsid w:val="005F4954"/>
    <w:rsid w:val="00602B65"/>
    <w:rsid w:val="006053D1"/>
    <w:rsid w:val="00611BF3"/>
    <w:rsid w:val="006126A5"/>
    <w:rsid w:val="0062010F"/>
    <w:rsid w:val="00622849"/>
    <w:rsid w:val="00635038"/>
    <w:rsid w:val="006401F7"/>
    <w:rsid w:val="006411D2"/>
    <w:rsid w:val="00641F64"/>
    <w:rsid w:val="00644D38"/>
    <w:rsid w:val="006455C8"/>
    <w:rsid w:val="00651FAA"/>
    <w:rsid w:val="006616C4"/>
    <w:rsid w:val="0066449E"/>
    <w:rsid w:val="00665DC5"/>
    <w:rsid w:val="00667360"/>
    <w:rsid w:val="00667772"/>
    <w:rsid w:val="00670CDC"/>
    <w:rsid w:val="00675A16"/>
    <w:rsid w:val="00676006"/>
    <w:rsid w:val="00676040"/>
    <w:rsid w:val="00683FDE"/>
    <w:rsid w:val="006840DC"/>
    <w:rsid w:val="00691AE2"/>
    <w:rsid w:val="00694460"/>
    <w:rsid w:val="006A0D3B"/>
    <w:rsid w:val="006A2EF7"/>
    <w:rsid w:val="006B152F"/>
    <w:rsid w:val="006B1E3C"/>
    <w:rsid w:val="006B6980"/>
    <w:rsid w:val="006C1F87"/>
    <w:rsid w:val="006C2E09"/>
    <w:rsid w:val="006D5248"/>
    <w:rsid w:val="00705742"/>
    <w:rsid w:val="00707BC8"/>
    <w:rsid w:val="00711537"/>
    <w:rsid w:val="0071192C"/>
    <w:rsid w:val="00714214"/>
    <w:rsid w:val="00714D18"/>
    <w:rsid w:val="0071719B"/>
    <w:rsid w:val="00723044"/>
    <w:rsid w:val="0072638B"/>
    <w:rsid w:val="00727809"/>
    <w:rsid w:val="00730432"/>
    <w:rsid w:val="007323ED"/>
    <w:rsid w:val="007342E7"/>
    <w:rsid w:val="0073742C"/>
    <w:rsid w:val="0075399D"/>
    <w:rsid w:val="007549D3"/>
    <w:rsid w:val="00760F65"/>
    <w:rsid w:val="007627EB"/>
    <w:rsid w:val="00763665"/>
    <w:rsid w:val="00764A63"/>
    <w:rsid w:val="00767686"/>
    <w:rsid w:val="00772210"/>
    <w:rsid w:val="007735EE"/>
    <w:rsid w:val="00773ED2"/>
    <w:rsid w:val="0077444D"/>
    <w:rsid w:val="00776CB3"/>
    <w:rsid w:val="00777E22"/>
    <w:rsid w:val="00780349"/>
    <w:rsid w:val="007906DB"/>
    <w:rsid w:val="00795BB6"/>
    <w:rsid w:val="00796E14"/>
    <w:rsid w:val="007A361A"/>
    <w:rsid w:val="007A6B9E"/>
    <w:rsid w:val="007A73A5"/>
    <w:rsid w:val="007A7A5A"/>
    <w:rsid w:val="007B16B7"/>
    <w:rsid w:val="007B1D1D"/>
    <w:rsid w:val="007B2356"/>
    <w:rsid w:val="007B7306"/>
    <w:rsid w:val="007C3186"/>
    <w:rsid w:val="007C73FF"/>
    <w:rsid w:val="007D38CA"/>
    <w:rsid w:val="007D6464"/>
    <w:rsid w:val="007D6A85"/>
    <w:rsid w:val="007F6DD5"/>
    <w:rsid w:val="0080030C"/>
    <w:rsid w:val="00801241"/>
    <w:rsid w:val="008124E6"/>
    <w:rsid w:val="00814A14"/>
    <w:rsid w:val="00814E23"/>
    <w:rsid w:val="00817F2D"/>
    <w:rsid w:val="0082338C"/>
    <w:rsid w:val="00837198"/>
    <w:rsid w:val="00843959"/>
    <w:rsid w:val="00847DE0"/>
    <w:rsid w:val="008510D2"/>
    <w:rsid w:val="00852504"/>
    <w:rsid w:val="00853161"/>
    <w:rsid w:val="008535E1"/>
    <w:rsid w:val="0085456F"/>
    <w:rsid w:val="00861424"/>
    <w:rsid w:val="00862422"/>
    <w:rsid w:val="00867C68"/>
    <w:rsid w:val="00871170"/>
    <w:rsid w:val="00871E3A"/>
    <w:rsid w:val="0087355D"/>
    <w:rsid w:val="00874755"/>
    <w:rsid w:val="00875944"/>
    <w:rsid w:val="00875CD1"/>
    <w:rsid w:val="0087774F"/>
    <w:rsid w:val="008841A9"/>
    <w:rsid w:val="00886CCC"/>
    <w:rsid w:val="00887F2C"/>
    <w:rsid w:val="008906AD"/>
    <w:rsid w:val="008918E1"/>
    <w:rsid w:val="00895F5D"/>
    <w:rsid w:val="008A1AB9"/>
    <w:rsid w:val="008A65FB"/>
    <w:rsid w:val="008B032E"/>
    <w:rsid w:val="008B3127"/>
    <w:rsid w:val="008B472D"/>
    <w:rsid w:val="008B533E"/>
    <w:rsid w:val="008C0B83"/>
    <w:rsid w:val="008C4381"/>
    <w:rsid w:val="008C76D8"/>
    <w:rsid w:val="008C7B4C"/>
    <w:rsid w:val="008E10C2"/>
    <w:rsid w:val="008E3A41"/>
    <w:rsid w:val="008E48A5"/>
    <w:rsid w:val="008E550E"/>
    <w:rsid w:val="008F0AED"/>
    <w:rsid w:val="008F4712"/>
    <w:rsid w:val="008F6A89"/>
    <w:rsid w:val="00915063"/>
    <w:rsid w:val="009150AE"/>
    <w:rsid w:val="00915F92"/>
    <w:rsid w:val="00917EDA"/>
    <w:rsid w:val="0092448C"/>
    <w:rsid w:val="00924EB7"/>
    <w:rsid w:val="009325F2"/>
    <w:rsid w:val="009343B3"/>
    <w:rsid w:val="00941779"/>
    <w:rsid w:val="0094209F"/>
    <w:rsid w:val="00946DC1"/>
    <w:rsid w:val="009514CF"/>
    <w:rsid w:val="009623F1"/>
    <w:rsid w:val="0096376F"/>
    <w:rsid w:val="00963D3E"/>
    <w:rsid w:val="009640D6"/>
    <w:rsid w:val="0097292F"/>
    <w:rsid w:val="0097323C"/>
    <w:rsid w:val="00981D11"/>
    <w:rsid w:val="00984181"/>
    <w:rsid w:val="00987BFB"/>
    <w:rsid w:val="009900A1"/>
    <w:rsid w:val="0099637E"/>
    <w:rsid w:val="009B2BA5"/>
    <w:rsid w:val="009B315D"/>
    <w:rsid w:val="009B533B"/>
    <w:rsid w:val="009B5FB4"/>
    <w:rsid w:val="009C00A3"/>
    <w:rsid w:val="009C50D6"/>
    <w:rsid w:val="009D019A"/>
    <w:rsid w:val="009D578F"/>
    <w:rsid w:val="009F0A01"/>
    <w:rsid w:val="009F5BB5"/>
    <w:rsid w:val="009F7DE0"/>
    <w:rsid w:val="00A02F25"/>
    <w:rsid w:val="00A03F15"/>
    <w:rsid w:val="00A03F53"/>
    <w:rsid w:val="00A126F3"/>
    <w:rsid w:val="00A159B5"/>
    <w:rsid w:val="00A205B1"/>
    <w:rsid w:val="00A2182F"/>
    <w:rsid w:val="00A21A17"/>
    <w:rsid w:val="00A2370F"/>
    <w:rsid w:val="00A32BB2"/>
    <w:rsid w:val="00A33216"/>
    <w:rsid w:val="00A33CE8"/>
    <w:rsid w:val="00A3552C"/>
    <w:rsid w:val="00A431AE"/>
    <w:rsid w:val="00A44299"/>
    <w:rsid w:val="00A44A81"/>
    <w:rsid w:val="00A60DB2"/>
    <w:rsid w:val="00A61D27"/>
    <w:rsid w:val="00A6345D"/>
    <w:rsid w:val="00A65FF9"/>
    <w:rsid w:val="00A71DAA"/>
    <w:rsid w:val="00A768B6"/>
    <w:rsid w:val="00A8201D"/>
    <w:rsid w:val="00A8689F"/>
    <w:rsid w:val="00A92796"/>
    <w:rsid w:val="00A96DB9"/>
    <w:rsid w:val="00AA04A2"/>
    <w:rsid w:val="00AA10B5"/>
    <w:rsid w:val="00AA1A1B"/>
    <w:rsid w:val="00AA1BC0"/>
    <w:rsid w:val="00AB27DB"/>
    <w:rsid w:val="00AB2925"/>
    <w:rsid w:val="00AB2F81"/>
    <w:rsid w:val="00AB6DFB"/>
    <w:rsid w:val="00AC1469"/>
    <w:rsid w:val="00AD5351"/>
    <w:rsid w:val="00AD66D2"/>
    <w:rsid w:val="00AE4A06"/>
    <w:rsid w:val="00AE61A8"/>
    <w:rsid w:val="00AF3B32"/>
    <w:rsid w:val="00AF3F02"/>
    <w:rsid w:val="00AF7B4C"/>
    <w:rsid w:val="00B0448D"/>
    <w:rsid w:val="00B06C14"/>
    <w:rsid w:val="00B13AED"/>
    <w:rsid w:val="00B211A5"/>
    <w:rsid w:val="00B328B0"/>
    <w:rsid w:val="00B35130"/>
    <w:rsid w:val="00B42303"/>
    <w:rsid w:val="00B4323E"/>
    <w:rsid w:val="00B50EC2"/>
    <w:rsid w:val="00B52197"/>
    <w:rsid w:val="00B53858"/>
    <w:rsid w:val="00B57B42"/>
    <w:rsid w:val="00B603A2"/>
    <w:rsid w:val="00B60851"/>
    <w:rsid w:val="00B67756"/>
    <w:rsid w:val="00B70CDE"/>
    <w:rsid w:val="00B80715"/>
    <w:rsid w:val="00B81BD4"/>
    <w:rsid w:val="00B85AC4"/>
    <w:rsid w:val="00B86B18"/>
    <w:rsid w:val="00B9216B"/>
    <w:rsid w:val="00B931D6"/>
    <w:rsid w:val="00B93A6F"/>
    <w:rsid w:val="00BB14B9"/>
    <w:rsid w:val="00BB1D38"/>
    <w:rsid w:val="00BB28E3"/>
    <w:rsid w:val="00BB547E"/>
    <w:rsid w:val="00BC6F31"/>
    <w:rsid w:val="00BE4E17"/>
    <w:rsid w:val="00BE6051"/>
    <w:rsid w:val="00BF2AAD"/>
    <w:rsid w:val="00BF37D2"/>
    <w:rsid w:val="00BF38C5"/>
    <w:rsid w:val="00BF6157"/>
    <w:rsid w:val="00BF69C2"/>
    <w:rsid w:val="00BF737C"/>
    <w:rsid w:val="00C03D13"/>
    <w:rsid w:val="00C166A8"/>
    <w:rsid w:val="00C16790"/>
    <w:rsid w:val="00C203D4"/>
    <w:rsid w:val="00C2262C"/>
    <w:rsid w:val="00C22BD9"/>
    <w:rsid w:val="00C22EF9"/>
    <w:rsid w:val="00C263D0"/>
    <w:rsid w:val="00C27D3A"/>
    <w:rsid w:val="00C3139B"/>
    <w:rsid w:val="00C3295C"/>
    <w:rsid w:val="00C352B9"/>
    <w:rsid w:val="00C35D0D"/>
    <w:rsid w:val="00C51006"/>
    <w:rsid w:val="00C51225"/>
    <w:rsid w:val="00C521C9"/>
    <w:rsid w:val="00C52705"/>
    <w:rsid w:val="00C54385"/>
    <w:rsid w:val="00C60594"/>
    <w:rsid w:val="00C76D6E"/>
    <w:rsid w:val="00C80448"/>
    <w:rsid w:val="00C80D3E"/>
    <w:rsid w:val="00C86D71"/>
    <w:rsid w:val="00C86DDF"/>
    <w:rsid w:val="00C9048A"/>
    <w:rsid w:val="00C9100F"/>
    <w:rsid w:val="00C919B5"/>
    <w:rsid w:val="00C91C5E"/>
    <w:rsid w:val="00C92A76"/>
    <w:rsid w:val="00C92F1D"/>
    <w:rsid w:val="00C9302A"/>
    <w:rsid w:val="00C96B25"/>
    <w:rsid w:val="00C9702C"/>
    <w:rsid w:val="00CA0302"/>
    <w:rsid w:val="00CA26A2"/>
    <w:rsid w:val="00CA728D"/>
    <w:rsid w:val="00CC1F82"/>
    <w:rsid w:val="00CC22D9"/>
    <w:rsid w:val="00CD2A58"/>
    <w:rsid w:val="00CD4C09"/>
    <w:rsid w:val="00CD5DCC"/>
    <w:rsid w:val="00CD71AC"/>
    <w:rsid w:val="00CE4136"/>
    <w:rsid w:val="00CE77A2"/>
    <w:rsid w:val="00CF1154"/>
    <w:rsid w:val="00CF1703"/>
    <w:rsid w:val="00CF5080"/>
    <w:rsid w:val="00CF713C"/>
    <w:rsid w:val="00D00193"/>
    <w:rsid w:val="00D07696"/>
    <w:rsid w:val="00D07908"/>
    <w:rsid w:val="00D16027"/>
    <w:rsid w:val="00D17EF8"/>
    <w:rsid w:val="00D21069"/>
    <w:rsid w:val="00D21D44"/>
    <w:rsid w:val="00D22517"/>
    <w:rsid w:val="00D22FC1"/>
    <w:rsid w:val="00D32ED4"/>
    <w:rsid w:val="00D35100"/>
    <w:rsid w:val="00D367AB"/>
    <w:rsid w:val="00D36A66"/>
    <w:rsid w:val="00D42529"/>
    <w:rsid w:val="00D43A66"/>
    <w:rsid w:val="00D45829"/>
    <w:rsid w:val="00D4794D"/>
    <w:rsid w:val="00D47C21"/>
    <w:rsid w:val="00D572EF"/>
    <w:rsid w:val="00D6109A"/>
    <w:rsid w:val="00D63649"/>
    <w:rsid w:val="00D72C15"/>
    <w:rsid w:val="00D74E01"/>
    <w:rsid w:val="00D755BE"/>
    <w:rsid w:val="00D81A05"/>
    <w:rsid w:val="00D8200E"/>
    <w:rsid w:val="00D977E7"/>
    <w:rsid w:val="00DA16DE"/>
    <w:rsid w:val="00DA3C93"/>
    <w:rsid w:val="00DA5EB0"/>
    <w:rsid w:val="00DB10B0"/>
    <w:rsid w:val="00DB2AC4"/>
    <w:rsid w:val="00DB2DEE"/>
    <w:rsid w:val="00DB3BD1"/>
    <w:rsid w:val="00DB6B28"/>
    <w:rsid w:val="00DB76EA"/>
    <w:rsid w:val="00DB7AB0"/>
    <w:rsid w:val="00DC0A1A"/>
    <w:rsid w:val="00DC0F33"/>
    <w:rsid w:val="00DC1A6A"/>
    <w:rsid w:val="00DC6B3E"/>
    <w:rsid w:val="00DD022E"/>
    <w:rsid w:val="00DD05EC"/>
    <w:rsid w:val="00DD2283"/>
    <w:rsid w:val="00DD2DA6"/>
    <w:rsid w:val="00DD341F"/>
    <w:rsid w:val="00DD4A54"/>
    <w:rsid w:val="00DD600C"/>
    <w:rsid w:val="00DD724B"/>
    <w:rsid w:val="00DE2BE2"/>
    <w:rsid w:val="00DE4D66"/>
    <w:rsid w:val="00DF2EC4"/>
    <w:rsid w:val="00DF6235"/>
    <w:rsid w:val="00E002B4"/>
    <w:rsid w:val="00E12AEA"/>
    <w:rsid w:val="00E1410B"/>
    <w:rsid w:val="00E14C32"/>
    <w:rsid w:val="00E16DBB"/>
    <w:rsid w:val="00E16E78"/>
    <w:rsid w:val="00E23342"/>
    <w:rsid w:val="00E264A3"/>
    <w:rsid w:val="00E2692D"/>
    <w:rsid w:val="00E26D82"/>
    <w:rsid w:val="00E276E2"/>
    <w:rsid w:val="00E3177B"/>
    <w:rsid w:val="00E31F71"/>
    <w:rsid w:val="00E347CA"/>
    <w:rsid w:val="00E35450"/>
    <w:rsid w:val="00E36D02"/>
    <w:rsid w:val="00E401FF"/>
    <w:rsid w:val="00E421DD"/>
    <w:rsid w:val="00E438BE"/>
    <w:rsid w:val="00E462A3"/>
    <w:rsid w:val="00E52268"/>
    <w:rsid w:val="00E537EE"/>
    <w:rsid w:val="00E5592C"/>
    <w:rsid w:val="00E61631"/>
    <w:rsid w:val="00E625F3"/>
    <w:rsid w:val="00E6450C"/>
    <w:rsid w:val="00E73762"/>
    <w:rsid w:val="00E74A51"/>
    <w:rsid w:val="00E82652"/>
    <w:rsid w:val="00E84767"/>
    <w:rsid w:val="00E861E3"/>
    <w:rsid w:val="00E93215"/>
    <w:rsid w:val="00E94E24"/>
    <w:rsid w:val="00EA03A5"/>
    <w:rsid w:val="00EB1A69"/>
    <w:rsid w:val="00EB1C8B"/>
    <w:rsid w:val="00EB6528"/>
    <w:rsid w:val="00EB7EF3"/>
    <w:rsid w:val="00EC1237"/>
    <w:rsid w:val="00EC51CF"/>
    <w:rsid w:val="00ED47D6"/>
    <w:rsid w:val="00ED500E"/>
    <w:rsid w:val="00ED7698"/>
    <w:rsid w:val="00EE4AB3"/>
    <w:rsid w:val="00EE4ACC"/>
    <w:rsid w:val="00EF419C"/>
    <w:rsid w:val="00EF65F2"/>
    <w:rsid w:val="00EF6E4E"/>
    <w:rsid w:val="00F020A9"/>
    <w:rsid w:val="00F027C2"/>
    <w:rsid w:val="00F031A7"/>
    <w:rsid w:val="00F16D82"/>
    <w:rsid w:val="00F201D2"/>
    <w:rsid w:val="00F315B7"/>
    <w:rsid w:val="00F334EB"/>
    <w:rsid w:val="00F336C1"/>
    <w:rsid w:val="00F343FF"/>
    <w:rsid w:val="00F34905"/>
    <w:rsid w:val="00F34D23"/>
    <w:rsid w:val="00F42F68"/>
    <w:rsid w:val="00F442D2"/>
    <w:rsid w:val="00F45478"/>
    <w:rsid w:val="00F53766"/>
    <w:rsid w:val="00F5571E"/>
    <w:rsid w:val="00F70558"/>
    <w:rsid w:val="00F72EA0"/>
    <w:rsid w:val="00F73616"/>
    <w:rsid w:val="00F758C6"/>
    <w:rsid w:val="00F75EB3"/>
    <w:rsid w:val="00F766F5"/>
    <w:rsid w:val="00F76C83"/>
    <w:rsid w:val="00F80A12"/>
    <w:rsid w:val="00F810D4"/>
    <w:rsid w:val="00F874EB"/>
    <w:rsid w:val="00F9261F"/>
    <w:rsid w:val="00FA04F4"/>
    <w:rsid w:val="00FA1170"/>
    <w:rsid w:val="00FA1420"/>
    <w:rsid w:val="00FA6DC5"/>
    <w:rsid w:val="00FB5009"/>
    <w:rsid w:val="00FB501F"/>
    <w:rsid w:val="00FB54A0"/>
    <w:rsid w:val="00FC09C9"/>
    <w:rsid w:val="00FC4B37"/>
    <w:rsid w:val="00FC524D"/>
    <w:rsid w:val="00FD4483"/>
    <w:rsid w:val="00FD493E"/>
    <w:rsid w:val="00FE64E1"/>
    <w:rsid w:val="00FE7A8C"/>
    <w:rsid w:val="00FF1187"/>
    <w:rsid w:val="00FF43F7"/>
    <w:rsid w:val="00FF5F08"/>
    <w:rsid w:val="00FF63E5"/>
    <w:rsid w:val="01D27561"/>
    <w:rsid w:val="038C4CA5"/>
    <w:rsid w:val="03AD0B4A"/>
    <w:rsid w:val="03E20B3F"/>
    <w:rsid w:val="052C7F97"/>
    <w:rsid w:val="05652C45"/>
    <w:rsid w:val="05B75202"/>
    <w:rsid w:val="06F32A21"/>
    <w:rsid w:val="07274DA3"/>
    <w:rsid w:val="073B1FE8"/>
    <w:rsid w:val="08B443FA"/>
    <w:rsid w:val="091C69B4"/>
    <w:rsid w:val="098F6EA9"/>
    <w:rsid w:val="09A11CD2"/>
    <w:rsid w:val="0B3C3979"/>
    <w:rsid w:val="0C4D1D97"/>
    <w:rsid w:val="0D4A0C9F"/>
    <w:rsid w:val="0E203F23"/>
    <w:rsid w:val="0E4F160B"/>
    <w:rsid w:val="0EAC36A0"/>
    <w:rsid w:val="0F3126FC"/>
    <w:rsid w:val="0F3F0987"/>
    <w:rsid w:val="10E03897"/>
    <w:rsid w:val="11464017"/>
    <w:rsid w:val="11622184"/>
    <w:rsid w:val="11826EDD"/>
    <w:rsid w:val="1196794D"/>
    <w:rsid w:val="11C433D6"/>
    <w:rsid w:val="11D21E83"/>
    <w:rsid w:val="129C0414"/>
    <w:rsid w:val="133D13DA"/>
    <w:rsid w:val="13BB462B"/>
    <w:rsid w:val="13C660C4"/>
    <w:rsid w:val="13DB71C3"/>
    <w:rsid w:val="149B7B1C"/>
    <w:rsid w:val="14CC2DD5"/>
    <w:rsid w:val="15955E6D"/>
    <w:rsid w:val="159908F9"/>
    <w:rsid w:val="15B7700A"/>
    <w:rsid w:val="16AD27A7"/>
    <w:rsid w:val="171D3D27"/>
    <w:rsid w:val="185140A6"/>
    <w:rsid w:val="186B356A"/>
    <w:rsid w:val="18E42CDA"/>
    <w:rsid w:val="1991597F"/>
    <w:rsid w:val="19CB0DE2"/>
    <w:rsid w:val="19DE4F13"/>
    <w:rsid w:val="19EA5E6D"/>
    <w:rsid w:val="1A3C2A9B"/>
    <w:rsid w:val="1BCA5EB5"/>
    <w:rsid w:val="1C834D98"/>
    <w:rsid w:val="1CD12FDF"/>
    <w:rsid w:val="1DD81EC1"/>
    <w:rsid w:val="1E100D6D"/>
    <w:rsid w:val="1E527033"/>
    <w:rsid w:val="202C113D"/>
    <w:rsid w:val="22C8661E"/>
    <w:rsid w:val="23152D13"/>
    <w:rsid w:val="23737B15"/>
    <w:rsid w:val="244B4B58"/>
    <w:rsid w:val="244C690E"/>
    <w:rsid w:val="24952C99"/>
    <w:rsid w:val="249F7067"/>
    <w:rsid w:val="25726247"/>
    <w:rsid w:val="26171AF2"/>
    <w:rsid w:val="26C72ACB"/>
    <w:rsid w:val="26D02BAB"/>
    <w:rsid w:val="27275D65"/>
    <w:rsid w:val="27C56267"/>
    <w:rsid w:val="27EF40FF"/>
    <w:rsid w:val="282248C5"/>
    <w:rsid w:val="28256864"/>
    <w:rsid w:val="2833081E"/>
    <w:rsid w:val="28CA6562"/>
    <w:rsid w:val="29FD2A24"/>
    <w:rsid w:val="2A1A76C5"/>
    <w:rsid w:val="2A1F382F"/>
    <w:rsid w:val="2A5B79C3"/>
    <w:rsid w:val="2BF634F7"/>
    <w:rsid w:val="2C2071FE"/>
    <w:rsid w:val="2D0C4F54"/>
    <w:rsid w:val="2EB8033D"/>
    <w:rsid w:val="305879D4"/>
    <w:rsid w:val="318211E5"/>
    <w:rsid w:val="318705A3"/>
    <w:rsid w:val="329E3280"/>
    <w:rsid w:val="34A653D8"/>
    <w:rsid w:val="34AA611A"/>
    <w:rsid w:val="37940E7A"/>
    <w:rsid w:val="38486994"/>
    <w:rsid w:val="38DD2373"/>
    <w:rsid w:val="39933B6E"/>
    <w:rsid w:val="39CB2A19"/>
    <w:rsid w:val="3A32151C"/>
    <w:rsid w:val="3A4E5ED7"/>
    <w:rsid w:val="3C8761C6"/>
    <w:rsid w:val="3D0A3F5F"/>
    <w:rsid w:val="3D480E1D"/>
    <w:rsid w:val="40750643"/>
    <w:rsid w:val="40EB4C34"/>
    <w:rsid w:val="41C74308"/>
    <w:rsid w:val="429D74D3"/>
    <w:rsid w:val="42AD2F6F"/>
    <w:rsid w:val="44312ED4"/>
    <w:rsid w:val="46FB6DF4"/>
    <w:rsid w:val="48B157C3"/>
    <w:rsid w:val="49603FEE"/>
    <w:rsid w:val="4AA21396"/>
    <w:rsid w:val="4C2856B6"/>
    <w:rsid w:val="4ECE08E1"/>
    <w:rsid w:val="4FC146B7"/>
    <w:rsid w:val="4FDF0018"/>
    <w:rsid w:val="50207114"/>
    <w:rsid w:val="531150AF"/>
    <w:rsid w:val="531F5EDB"/>
    <w:rsid w:val="544811AB"/>
    <w:rsid w:val="55996619"/>
    <w:rsid w:val="56510DC4"/>
    <w:rsid w:val="56535E18"/>
    <w:rsid w:val="569731BB"/>
    <w:rsid w:val="56DD4515"/>
    <w:rsid w:val="56F50615"/>
    <w:rsid w:val="573F347F"/>
    <w:rsid w:val="576842B8"/>
    <w:rsid w:val="57A4289B"/>
    <w:rsid w:val="58541D2E"/>
    <w:rsid w:val="5974133C"/>
    <w:rsid w:val="59EF04E6"/>
    <w:rsid w:val="59F3628B"/>
    <w:rsid w:val="5A1771EE"/>
    <w:rsid w:val="5BCA26DE"/>
    <w:rsid w:val="5C8B1F7D"/>
    <w:rsid w:val="5CF763B6"/>
    <w:rsid w:val="5D946CA8"/>
    <w:rsid w:val="5DEE2C02"/>
    <w:rsid w:val="5E41129B"/>
    <w:rsid w:val="5E8C6F42"/>
    <w:rsid w:val="5F064B25"/>
    <w:rsid w:val="5F7F5F8C"/>
    <w:rsid w:val="5FC56375"/>
    <w:rsid w:val="60C00019"/>
    <w:rsid w:val="618A7CE2"/>
    <w:rsid w:val="61FB5378"/>
    <w:rsid w:val="623F53FC"/>
    <w:rsid w:val="62740FBC"/>
    <w:rsid w:val="63AB04F9"/>
    <w:rsid w:val="64067F87"/>
    <w:rsid w:val="6596271A"/>
    <w:rsid w:val="65AE68B1"/>
    <w:rsid w:val="6609202F"/>
    <w:rsid w:val="664621CF"/>
    <w:rsid w:val="66810F1C"/>
    <w:rsid w:val="66EB0673"/>
    <w:rsid w:val="689217A7"/>
    <w:rsid w:val="694A5E66"/>
    <w:rsid w:val="69A63FB3"/>
    <w:rsid w:val="6AB6631A"/>
    <w:rsid w:val="6B884E58"/>
    <w:rsid w:val="6D5C565D"/>
    <w:rsid w:val="6EE61C4F"/>
    <w:rsid w:val="6EE92953"/>
    <w:rsid w:val="6F4A5485"/>
    <w:rsid w:val="6FDE568C"/>
    <w:rsid w:val="70246773"/>
    <w:rsid w:val="714375C4"/>
    <w:rsid w:val="71B86CE9"/>
    <w:rsid w:val="72B457C1"/>
    <w:rsid w:val="72C047DF"/>
    <w:rsid w:val="72C21A06"/>
    <w:rsid w:val="73AC1B8F"/>
    <w:rsid w:val="740A2C53"/>
    <w:rsid w:val="745A28CC"/>
    <w:rsid w:val="75063DDE"/>
    <w:rsid w:val="75175B3E"/>
    <w:rsid w:val="75467E70"/>
    <w:rsid w:val="758D193E"/>
    <w:rsid w:val="75C73E5F"/>
    <w:rsid w:val="76294495"/>
    <w:rsid w:val="774E1874"/>
    <w:rsid w:val="781563A9"/>
    <w:rsid w:val="78722747"/>
    <w:rsid w:val="791F5797"/>
    <w:rsid w:val="7A3002CB"/>
    <w:rsid w:val="7B52452B"/>
    <w:rsid w:val="7B623F51"/>
    <w:rsid w:val="7DCF0660"/>
    <w:rsid w:val="7E12270E"/>
    <w:rsid w:val="7E586C34"/>
    <w:rsid w:val="7E617985"/>
    <w:rsid w:val="7ECE7434"/>
    <w:rsid w:val="7EF272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0"/>
    <w:pPr>
      <w:keepNext/>
      <w:keepLines/>
      <w:widowControl w:val="0"/>
      <w:numPr>
        <w:ilvl w:val="2"/>
        <w:numId w:val="1"/>
      </w:numPr>
      <w:spacing w:line="360" w:lineRule="auto"/>
      <w:ind w:left="567"/>
      <w:jc w:val="both"/>
      <w:outlineLvl w:val="2"/>
    </w:pPr>
    <w:rPr>
      <w:rFonts w:ascii="宋体" w:hAnsi="宋体"/>
      <w:b/>
      <w:bCs/>
      <w:color w:val="000000"/>
      <w:kern w:val="2"/>
      <w:sz w:val="28"/>
      <w:szCs w:val="28"/>
    </w:rPr>
  </w:style>
  <w:style w:type="paragraph" w:styleId="6">
    <w:name w:val="heading 4"/>
    <w:basedOn w:val="1"/>
    <w:next w:val="1"/>
    <w:link w:val="65"/>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99"/>
    <w:rPr>
      <w:rFonts w:ascii="宋体" w:hAnsi="宋体" w:eastAsia="宋体" w:cs="Times New Roman"/>
      <w:b/>
      <w:bCs/>
      <w:iCs/>
      <w:kern w:val="0"/>
      <w:sz w:val="28"/>
      <w:szCs w:val="28"/>
    </w:rPr>
  </w:style>
  <w:style w:type="character" w:customStyle="1" w:styleId="64">
    <w:name w:val="标题 3 字符"/>
    <w:basedOn w:val="48"/>
    <w:link w:val="5"/>
    <w:qFormat/>
    <w:uiPriority w:val="99"/>
    <w:rPr>
      <w:rFonts w:ascii="宋体" w:hAnsi="宋体" w:eastAsia="宋体" w:cs="Times New Roman"/>
      <w:b/>
      <w:bCs/>
      <w:color w:val="000000"/>
      <w:sz w:val="28"/>
      <w:szCs w:val="28"/>
    </w:rPr>
  </w:style>
  <w:style w:type="character" w:customStyle="1" w:styleId="65">
    <w:name w:val="标题 4 字符"/>
    <w:basedOn w:val="48"/>
    <w:link w:val="6"/>
    <w:qFormat/>
    <w:uiPriority w:val="0"/>
    <w:rPr>
      <w:rFonts w:ascii="宋体" w:hAnsi="宋体" w:eastAsia="宋体" w:cs="Times New Roman"/>
      <w:b/>
      <w:bCs/>
      <w:kern w:val="0"/>
      <w:sz w:val="28"/>
      <w:szCs w:val="28"/>
    </w:rPr>
  </w:style>
  <w:style w:type="character" w:customStyle="1" w:styleId="66">
    <w:name w:val="标题 5 字符"/>
    <w:basedOn w:val="48"/>
    <w:link w:val="7"/>
    <w:qFormat/>
    <w:uiPriority w:val="0"/>
    <w:rPr>
      <w:rFonts w:ascii="Times New Roman" w:hAnsi="Times New Roman" w:eastAsia="宋体" w:cs="Times New Roman"/>
      <w:b/>
      <w:bCs/>
      <w:kern w:val="0"/>
      <w:sz w:val="28"/>
      <w:szCs w:val="28"/>
    </w:rPr>
  </w:style>
  <w:style w:type="character" w:customStyle="1" w:styleId="67">
    <w:name w:val="标题 6 字符"/>
    <w:basedOn w:val="48"/>
    <w:link w:val="8"/>
    <w:qFormat/>
    <w:uiPriority w:val="0"/>
    <w:rPr>
      <w:rFonts w:ascii="Arial" w:hAnsi="Arial" w:eastAsia="黑体" w:cs="Times New Roman"/>
      <w:b/>
      <w:bCs/>
      <w:sz w:val="24"/>
      <w:szCs w:val="24"/>
    </w:rPr>
  </w:style>
  <w:style w:type="character" w:customStyle="1" w:styleId="68">
    <w:name w:val="标题 7 字符"/>
    <w:basedOn w:val="48"/>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0"/>
    <w:rPr>
      <w:rFonts w:ascii="Arial" w:hAnsi="Arial" w:eastAsia="黑体" w:cs="Times New Roman"/>
      <w:sz w:val="24"/>
      <w:szCs w:val="20"/>
    </w:rPr>
  </w:style>
  <w:style w:type="character" w:customStyle="1" w:styleId="70">
    <w:name w:val="标题 9 字符"/>
    <w:basedOn w:val="48"/>
    <w:link w:val="11"/>
    <w:qFormat/>
    <w:uiPriority w:val="0"/>
    <w:rPr>
      <w:rFonts w:ascii="Arial" w:hAnsi="Arial" w:eastAsia="黑体" w:cs="Times New Roman"/>
      <w:szCs w:val="20"/>
    </w:rPr>
  </w:style>
  <w:style w:type="character" w:customStyle="1" w:styleId="71">
    <w:name w:val="批注主题 字符"/>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字符"/>
    <w:link w:val="80"/>
    <w:qFormat/>
    <w:uiPriority w:val="34"/>
    <w:rPr>
      <w:sz w:val="24"/>
      <w:szCs w:val="24"/>
    </w:rPr>
  </w:style>
  <w:style w:type="paragraph" w:styleId="80">
    <w:name w:val="List Paragraph"/>
    <w:basedOn w:val="1"/>
    <w:link w:val="79"/>
    <w:qFormat/>
    <w:uiPriority w:val="34"/>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字符"/>
    <w:link w:val="29"/>
    <w:qFormat/>
    <w:uiPriority w:val="99"/>
    <w:rPr>
      <w:sz w:val="18"/>
      <w:szCs w:val="18"/>
    </w:rPr>
  </w:style>
  <w:style w:type="character" w:customStyle="1" w:styleId="88">
    <w:name w:val="keyword"/>
    <w:basedOn w:val="48"/>
    <w:qFormat/>
    <w:uiPriority w:val="0"/>
  </w:style>
  <w:style w:type="character" w:customStyle="1" w:styleId="89">
    <w:name w:val="文档结构图 字符"/>
    <w:link w:val="15"/>
    <w:qFormat/>
    <w:uiPriority w:val="0"/>
    <w:rPr>
      <w:rFonts w:ascii="宋体"/>
      <w:sz w:val="18"/>
      <w:szCs w:val="18"/>
    </w:rPr>
  </w:style>
  <w:style w:type="character" w:customStyle="1" w:styleId="90">
    <w:name w:val="日期 字符"/>
    <w:link w:val="26"/>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首行缩进 字符"/>
    <w:link w:val="44"/>
    <w:qFormat/>
    <w:uiPriority w:val="0"/>
    <w:rPr>
      <w:rFonts w:ascii="宋体" w:hAnsi="宋体"/>
      <w:szCs w:val="24"/>
    </w:rPr>
  </w:style>
  <w:style w:type="character" w:customStyle="1" w:styleId="96">
    <w:name w:val="正文缩进 字符"/>
    <w:link w:val="13"/>
    <w:qFormat/>
    <w:uiPriority w:val="0"/>
    <w:rPr>
      <w:szCs w:val="24"/>
    </w:rPr>
  </w:style>
  <w:style w:type="character" w:customStyle="1" w:styleId="97">
    <w:name w:val="称呼 字符"/>
    <w:link w:val="17"/>
    <w:qFormat/>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0"/>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0"/>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link w:val="370"/>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正文_58"/>
    <w:qFormat/>
    <w:uiPriority w:val="0"/>
    <w:pPr>
      <w:widowControl w:val="0"/>
      <w:jc w:val="both"/>
    </w:pPr>
    <w:rPr>
      <w:rFonts w:ascii="Calibri" w:hAnsi="Calibri" w:eastAsia="宋体" w:cs="Times New Roman"/>
      <w:kern w:val="2"/>
      <w:sz w:val="21"/>
      <w:szCs w:val="22"/>
      <w:lang w:val="en-US" w:eastAsia="zh-CN" w:bidi="ar-SA"/>
    </w:rPr>
  </w:style>
  <w:style w:type="character" w:customStyle="1" w:styleId="370">
    <w:name w:val="正文首行缩进两字符 Char"/>
    <w:link w:val="193"/>
    <w:qFormat/>
    <w:locked/>
    <w:uiPriority w:val="0"/>
    <w:rPr>
      <w:rFonts w:ascii="Times New Roman" w:hAnsi="Times New Roman" w:eastAsia="宋体" w:cs="Times New Roman"/>
      <w:szCs w:val="20"/>
    </w:rPr>
  </w:style>
  <w:style w:type="paragraph" w:customStyle="1" w:styleId="371">
    <w:name w:val="列出段落6"/>
    <w:basedOn w:val="1"/>
    <w:qFormat/>
    <w:uiPriority w:val="34"/>
    <w:pPr>
      <w:ind w:firstLine="420" w:firstLineChars="200"/>
    </w:pPr>
    <w:rPr>
      <w:rFonts w:asciiTheme="minorHAnsi" w:hAnsiTheme="minorHAnsi" w:eastAsiaTheme="minorEastAsia" w:cstheme="minorBidi"/>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B1BAE2-2C7A-4F84-B753-FE7FB8EB0AE1}">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85</Pages>
  <Words>29935</Words>
  <Characters>31063</Characters>
  <Lines>309</Lines>
  <Paragraphs>87</Paragraphs>
  <TotalTime>1</TotalTime>
  <ScaleCrop>false</ScaleCrop>
  <LinksUpToDate>false</LinksUpToDate>
  <CharactersWithSpaces>31524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2021-09-16T05:41:00Z</dcterms:created>
  <dc:creator>罗川</dc:creator>
  <cp:lastModifiedBy>达令希</cp:lastModifiedBy>
  <cp:lastPrinted>2021-09-16T01:49:00Z</cp:lastPrinted>
  <dcterms:modified xsi:type="dcterms:W3CDTF">2021-11-03T06:42:15Z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1718C741DF514754B4C587936EEA11CC</vt:lpwstr>
  </property>
</Properties>
</file>