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pacing w:val="-20"/>
          <w:sz w:val="96"/>
          <w:szCs w:val="96"/>
        </w:rPr>
      </w:pPr>
      <w:r>
        <w:rPr>
          <w:rFonts w:hint="eastAsia" w:ascii="华文中宋" w:hAnsi="华文中宋" w:eastAsia="华文中宋"/>
          <w:color w:val="000000"/>
          <w:spacing w:val="-20"/>
          <w:sz w:val="96"/>
          <w:szCs w:val="96"/>
        </w:rPr>
        <w:t>竞争性磋商文件</w:t>
      </w:r>
    </w:p>
    <w:p>
      <w:pPr>
        <w:pStyle w:val="2"/>
        <w:rPr>
          <w:rFonts w:hint="eastAsia" w:ascii="方正小标宋简体" w:hAnsi="方正小标宋简体" w:eastAsia="方正小标宋简体" w:cs="方正小标宋简体"/>
          <w:color w:val="000000"/>
          <w:spacing w:val="20"/>
          <w:sz w:val="44"/>
          <w:szCs w:val="44"/>
          <w:shd w:val="clear" w:color="auto" w:fill="FFFFFF"/>
        </w:rPr>
      </w:pPr>
    </w:p>
    <w:p>
      <w:pPr>
        <w:spacing w:line="360" w:lineRule="auto"/>
        <w:ind w:firstLine="640" w:firstLineChars="200"/>
        <w:rPr>
          <w:rFonts w:hint="eastAsia" w:ascii="华文中宋" w:hAnsi="华文中宋" w:eastAsia="华文中宋"/>
          <w:color w:val="000000"/>
          <w:spacing w:val="20"/>
          <w:sz w:val="28"/>
          <w:szCs w:val="28"/>
          <w:shd w:val="clear" w:color="auto" w:fill="FFFFFF"/>
          <w:lang w:eastAsia="zh-CN"/>
        </w:rPr>
      </w:pPr>
      <w:r>
        <w:rPr>
          <w:rFonts w:hint="eastAsia" w:ascii="华文中宋" w:hAnsi="华文中宋" w:eastAsia="华文中宋"/>
          <w:color w:val="000000"/>
          <w:spacing w:val="20"/>
          <w:sz w:val="28"/>
          <w:szCs w:val="28"/>
          <w:shd w:val="clear" w:color="auto" w:fill="FFFFFF"/>
        </w:rPr>
        <w:t>项目名称：</w:t>
      </w:r>
      <w:r>
        <w:rPr>
          <w:rFonts w:hint="eastAsia" w:ascii="华文中宋" w:hAnsi="华文中宋" w:eastAsia="华文中宋"/>
          <w:color w:val="000000"/>
          <w:spacing w:val="20"/>
          <w:sz w:val="28"/>
          <w:szCs w:val="28"/>
          <w:shd w:val="clear" w:color="auto" w:fill="FFFFFF"/>
          <w:lang w:eastAsia="zh-CN"/>
        </w:rPr>
        <w:t>成都市温江区第二中学校机房及创客设备采购项目</w:t>
      </w:r>
    </w:p>
    <w:p>
      <w:pPr>
        <w:spacing w:line="360" w:lineRule="auto"/>
        <w:ind w:firstLine="640" w:firstLineChars="200"/>
        <w:rPr>
          <w:rFonts w:hint="eastAsia" w:ascii="华文中宋" w:hAnsi="华文中宋" w:eastAsia="华文中宋"/>
          <w:color w:val="000000"/>
          <w:spacing w:val="20"/>
          <w:sz w:val="28"/>
          <w:szCs w:val="28"/>
          <w:highlight w:val="none"/>
          <w:shd w:val="clear" w:color="auto" w:fill="FFFFFF"/>
          <w:lang w:eastAsia="zh-CN"/>
        </w:rPr>
      </w:pPr>
      <w:r>
        <w:rPr>
          <w:rFonts w:hint="eastAsia" w:ascii="华文中宋" w:hAnsi="华文中宋" w:eastAsia="华文中宋"/>
          <w:color w:val="000000"/>
          <w:spacing w:val="20"/>
          <w:sz w:val="28"/>
          <w:szCs w:val="28"/>
          <w:highlight w:val="none"/>
          <w:shd w:val="clear" w:color="auto" w:fill="FFFFFF"/>
        </w:rPr>
        <w:t>项目编号：</w:t>
      </w:r>
      <w:r>
        <w:rPr>
          <w:rFonts w:hint="eastAsia" w:ascii="华文中宋" w:hAnsi="华文中宋" w:eastAsia="华文中宋"/>
          <w:color w:val="000000"/>
          <w:spacing w:val="20"/>
          <w:sz w:val="28"/>
          <w:szCs w:val="28"/>
          <w:highlight w:val="none"/>
          <w:shd w:val="clear" w:color="auto" w:fill="FFFFFF"/>
          <w:lang w:eastAsia="zh-CN"/>
        </w:rPr>
        <w:t>温江政采（2021）A0063号</w:t>
      </w:r>
    </w:p>
    <w:p>
      <w:pPr>
        <w:spacing w:line="360" w:lineRule="auto"/>
        <w:ind w:left="2322" w:leftChars="798" w:hanging="646" w:hangingChars="231"/>
        <w:rPr>
          <w:rFonts w:hint="eastAsia" w:ascii="华文中宋" w:hAnsi="华文中宋" w:eastAsia="华文中宋"/>
          <w:color w:val="000000"/>
          <w:sz w:val="28"/>
          <w:szCs w:val="28"/>
          <w:highlight w:val="yellow"/>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spacing w:line="360" w:lineRule="auto"/>
        <w:ind w:firstLine="3220" w:firstLineChars="1150"/>
        <w:rPr>
          <w:rFonts w:hint="eastAsia" w:ascii="华文中宋" w:hAnsi="华文中宋" w:eastAsia="华文中宋"/>
          <w:color w:val="000000"/>
          <w:sz w:val="28"/>
          <w:szCs w:val="28"/>
          <w:shd w:val="clear" w:color="auto" w:fill="FFFFFF"/>
        </w:rPr>
      </w:pPr>
    </w:p>
    <w:p>
      <w:pPr>
        <w:pStyle w:val="2"/>
        <w:rPr>
          <w:rFonts w:hint="eastAsia" w:ascii="华文中宋" w:hAnsi="华文中宋" w:eastAsia="华文中宋"/>
          <w:color w:val="000000"/>
          <w:sz w:val="28"/>
          <w:szCs w:val="28"/>
          <w:shd w:val="clear" w:color="auto" w:fill="FFFFFF"/>
        </w:rPr>
      </w:pPr>
    </w:p>
    <w:p>
      <w:pPr>
        <w:rPr>
          <w:rFonts w:hint="eastAsia" w:ascii="华文中宋" w:hAnsi="华文中宋" w:eastAsia="华文中宋"/>
          <w:color w:val="000000"/>
          <w:sz w:val="28"/>
          <w:szCs w:val="28"/>
          <w:shd w:val="clear" w:color="auto" w:fill="FFFFFF"/>
        </w:rPr>
      </w:pPr>
    </w:p>
    <w:p>
      <w:pPr>
        <w:pStyle w:val="2"/>
        <w:rPr>
          <w:rFonts w:hint="eastAsia"/>
          <w:color w:val="000000"/>
        </w:rPr>
      </w:pPr>
    </w:p>
    <w:p>
      <w:pPr>
        <w:pStyle w:val="2"/>
        <w:rPr>
          <w:rFonts w:hint="eastAsia"/>
          <w:color w:val="000000"/>
        </w:rPr>
      </w:pP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lang w:eastAsia="zh-CN"/>
        </w:rPr>
        <w:t>成都市温江区第二中学校</w:t>
      </w:r>
      <w:r>
        <w:rPr>
          <w:rFonts w:hint="eastAsia" w:ascii="华文中宋" w:hAnsi="华文中宋" w:eastAsia="华文中宋"/>
          <w:color w:val="000000"/>
          <w:sz w:val="28"/>
          <w:szCs w:val="28"/>
          <w:shd w:val="clear" w:color="auto" w:fill="FFFFFF"/>
        </w:rPr>
        <w:t>、</w:t>
      </w: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rPr>
        <w:t>成都市温江区公共资源交易服务中心</w:t>
      </w:r>
    </w:p>
    <w:p>
      <w:pPr>
        <w:spacing w:line="360" w:lineRule="auto"/>
        <w:jc w:val="center"/>
        <w:rPr>
          <w:rFonts w:hint="eastAsia" w:ascii="华文中宋" w:hAnsi="华文中宋" w:eastAsia="华文中宋"/>
          <w:color w:val="000000"/>
          <w:sz w:val="28"/>
          <w:szCs w:val="28"/>
          <w:shd w:val="clear" w:color="auto" w:fill="FFFFFF"/>
        </w:rPr>
      </w:pPr>
      <w:r>
        <w:rPr>
          <w:rFonts w:hint="eastAsia" w:ascii="华文中宋" w:hAnsi="华文中宋" w:eastAsia="华文中宋"/>
          <w:color w:val="000000"/>
          <w:sz w:val="28"/>
          <w:szCs w:val="28"/>
          <w:shd w:val="clear" w:color="auto" w:fill="FFFFFF"/>
        </w:rPr>
        <w:t>共同编制</w:t>
      </w:r>
    </w:p>
    <w:p>
      <w:pPr>
        <w:spacing w:line="360" w:lineRule="auto"/>
        <w:jc w:val="center"/>
        <w:rPr>
          <w:rFonts w:hint="eastAsia" w:ascii="华文中宋" w:hAnsi="华文中宋" w:eastAsia="华文中宋"/>
          <w:color w:val="000000"/>
          <w:sz w:val="28"/>
          <w:szCs w:val="28"/>
          <w:shd w:val="clear" w:color="auto" w:fill="FFFFFF"/>
        </w:rPr>
      </w:pPr>
    </w:p>
    <w:p>
      <w:pPr>
        <w:spacing w:line="360" w:lineRule="auto"/>
        <w:jc w:val="center"/>
        <w:rPr>
          <w:rFonts w:ascii="华文中宋" w:hAnsi="华文中宋" w:eastAsia="华文中宋"/>
          <w:bCs/>
          <w:color w:val="000000"/>
          <w:sz w:val="28"/>
          <w:szCs w:val="28"/>
          <w:shd w:val="clear" w:color="auto" w:fill="FFFFFF"/>
        </w:rPr>
      </w:pPr>
      <w:r>
        <w:rPr>
          <w:rFonts w:hint="eastAsia" w:ascii="华文中宋" w:hAnsi="华文中宋" w:eastAsia="华文中宋"/>
          <w:color w:val="000000"/>
          <w:sz w:val="28"/>
          <w:szCs w:val="28"/>
          <w:shd w:val="clear" w:color="auto" w:fill="FFFFFF"/>
        </w:rPr>
        <w:t>二○</w:t>
      </w:r>
      <w:bookmarkStart w:id="0" w:name="EB4af8945a302644a599c05e972d8ab25c"/>
      <w:r>
        <w:rPr>
          <w:rFonts w:hint="eastAsia" w:ascii="华文中宋" w:hAnsi="华文中宋" w:eastAsia="华文中宋"/>
          <w:bCs/>
          <w:color w:val="000000"/>
          <w:sz w:val="28"/>
          <w:szCs w:val="28"/>
          <w:shd w:val="clear" w:color="auto" w:fill="FFFFFF"/>
        </w:rPr>
        <w:t>二</w:t>
      </w:r>
      <w:bookmarkEnd w:id="0"/>
      <w:r>
        <w:rPr>
          <w:rFonts w:hint="eastAsia" w:ascii="华文中宋" w:hAnsi="华文中宋" w:eastAsia="华文中宋"/>
          <w:bCs/>
          <w:color w:val="000000"/>
          <w:sz w:val="28"/>
          <w:szCs w:val="28"/>
          <w:shd w:val="clear" w:color="auto" w:fill="FFFFFF"/>
        </w:rPr>
        <w:t>一年</w:t>
      </w:r>
      <w:r>
        <w:rPr>
          <w:rFonts w:hint="eastAsia" w:ascii="华文中宋" w:hAnsi="华文中宋" w:eastAsia="华文中宋"/>
          <w:bCs/>
          <w:color w:val="000000"/>
          <w:sz w:val="28"/>
          <w:szCs w:val="28"/>
          <w:shd w:val="clear" w:color="auto" w:fill="FFFFFF"/>
          <w:lang w:val="en-US" w:eastAsia="zh-CN"/>
        </w:rPr>
        <w:t>十一</w:t>
      </w:r>
      <w:r>
        <w:rPr>
          <w:rFonts w:hint="eastAsia" w:ascii="华文中宋" w:hAnsi="华文中宋" w:eastAsia="华文中宋"/>
          <w:bCs/>
          <w:color w:val="000000"/>
          <w:sz w:val="28"/>
          <w:szCs w:val="28"/>
          <w:shd w:val="clear" w:color="auto" w:fill="FFFFFF"/>
        </w:rPr>
        <w:t>月</w:t>
      </w:r>
    </w:p>
    <w:p>
      <w:pPr>
        <w:tabs>
          <w:tab w:val="center" w:pos="4153"/>
          <w:tab w:val="right" w:pos="8306"/>
        </w:tabs>
        <w:spacing w:line="360" w:lineRule="auto"/>
        <w:jc w:val="center"/>
        <w:rPr>
          <w:rFonts w:hint="eastAsia" w:ascii="华文中宋" w:hAnsi="华文中宋" w:eastAsia="华文中宋"/>
          <w:bCs/>
          <w:color w:val="000000"/>
          <w:sz w:val="36"/>
          <w:szCs w:val="36"/>
          <w:shd w:val="clear" w:color="auto" w:fill="FFFFFF"/>
        </w:rPr>
      </w:pPr>
    </w:p>
    <w:p>
      <w:pPr>
        <w:rPr>
          <w:rFonts w:hint="eastAsia"/>
          <w:color w:val="000000"/>
          <w:shd w:val="clear" w:color="auto" w:fill="FFFFFF"/>
        </w:rPr>
      </w:pPr>
      <w:bookmarkStart w:id="1" w:name="EB42ecda7c642d461580a55114619b063b"/>
      <w:r>
        <w:rPr>
          <w:color w:val="000000"/>
          <w:shd w:val="clear" w:color="auto" w:fill="FFFFFF"/>
        </w:rPr>
        <w:t xml:space="preserve"> </w:t>
      </w:r>
      <w:bookmarkEnd w:id="1"/>
    </w:p>
    <w:p>
      <w:pPr>
        <w:jc w:val="center"/>
        <w:rPr>
          <w:rFonts w:hint="eastAsia"/>
          <w:color w:val="000000"/>
          <w:shd w:val="clear" w:color="auto" w:fill="FFFFFF"/>
        </w:rPr>
      </w:pPr>
      <w:r>
        <w:rPr>
          <w:color w:val="000000"/>
          <w:shd w:val="clear" w:color="auto" w:fill="FFFFFF"/>
        </w:rPr>
        <w:br w:type="page"/>
      </w:r>
    </w:p>
    <w:p>
      <w:pPr>
        <w:jc w:val="center"/>
        <w:rPr>
          <w:color w:val="000000"/>
          <w:shd w:val="clear" w:color="auto" w:fill="FFFFFF"/>
          <w:lang w:val="zh-CN"/>
        </w:rPr>
      </w:pPr>
      <w:r>
        <w:rPr>
          <w:color w:val="000000"/>
          <w:shd w:val="clear" w:color="auto" w:fill="FFFFFF"/>
          <w:lang w:val="zh-CN"/>
        </w:rPr>
        <w:t>目</w:t>
      </w:r>
      <w:r>
        <w:rPr>
          <w:rFonts w:hint="eastAsia"/>
          <w:color w:val="000000"/>
          <w:shd w:val="clear" w:color="auto" w:fill="FFFFFF"/>
          <w:lang w:val="zh-CN"/>
        </w:rPr>
        <w:t xml:space="preserve">  </w:t>
      </w:r>
      <w:r>
        <w:rPr>
          <w:color w:val="000000"/>
          <w:shd w:val="clear" w:color="auto" w:fill="FFFFFF"/>
          <w:lang w:val="zh-CN"/>
        </w:rPr>
        <w:t>录</w:t>
      </w:r>
    </w:p>
    <w:p>
      <w:pPr>
        <w:pStyle w:val="31"/>
        <w:tabs>
          <w:tab w:val="right" w:leader="dot" w:pos="9214"/>
          <w:tab w:val="clear" w:pos="840"/>
          <w:tab w:val="clear" w:pos="9204"/>
        </w:tabs>
      </w:pPr>
      <w:r>
        <w:rPr>
          <w:color w:val="000000"/>
          <w:shd w:val="clear" w:color="auto" w:fill="FFFFFF"/>
        </w:rPr>
        <w:fldChar w:fldCharType="begin"/>
      </w:r>
      <w:r>
        <w:rPr>
          <w:color w:val="000000"/>
          <w:shd w:val="clear" w:color="auto" w:fill="FFFFFF"/>
        </w:rPr>
        <w:instrText xml:space="preserve"> TOC \o "1-3" \h \z \u </w:instrText>
      </w:r>
      <w:r>
        <w:rPr>
          <w:color w:val="000000"/>
          <w:shd w:val="clear" w:color="auto" w:fill="FFFFFF"/>
        </w:rPr>
        <w:fldChar w:fldCharType="separate"/>
      </w:r>
      <w:r>
        <w:rPr>
          <w:color w:val="000000"/>
          <w:shd w:val="clear" w:color="auto" w:fill="FFFFFF"/>
        </w:rPr>
        <w:fldChar w:fldCharType="begin"/>
      </w:r>
      <w:r>
        <w:rPr>
          <w:shd w:val="clear" w:color="auto" w:fill="FFFFFF"/>
        </w:rPr>
        <w:instrText xml:space="preserve"> HYPERLINK \l _Toc12108 </w:instrText>
      </w:r>
      <w:r>
        <w:rPr>
          <w:shd w:val="clear" w:color="auto" w:fill="FFFFFF"/>
        </w:rPr>
        <w:fldChar w:fldCharType="separate"/>
      </w:r>
      <w:r>
        <w:rPr>
          <w:rFonts w:hint="eastAsia"/>
          <w:shd w:val="clear" w:color="auto" w:fill="FFFFFF"/>
        </w:rPr>
        <w:t>第1章 竞争性磋商邀请</w:t>
      </w:r>
      <w:r>
        <w:tab/>
      </w:r>
      <w:r>
        <w:fldChar w:fldCharType="begin"/>
      </w:r>
      <w:r>
        <w:instrText xml:space="preserve"> PAGEREF _Toc12108 \h </w:instrText>
      </w:r>
      <w:r>
        <w:fldChar w:fldCharType="separate"/>
      </w:r>
      <w:r>
        <w:t>4</w:t>
      </w:r>
      <w:r>
        <w:fldChar w:fldCharType="end"/>
      </w:r>
      <w:r>
        <w:rPr>
          <w:color w:val="00000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_Toc11454 </w:instrText>
      </w:r>
      <w:r>
        <w:rPr>
          <w:szCs w:val="20"/>
          <w:shd w:val="clear" w:color="auto" w:fill="FFFFFF"/>
        </w:rPr>
        <w:fldChar w:fldCharType="separate"/>
      </w:r>
      <w:r>
        <w:rPr>
          <w:rFonts w:hint="eastAsia"/>
          <w:shd w:val="clear" w:color="auto" w:fill="FFFFFF"/>
        </w:rPr>
        <w:t>第2章 供应商须知</w:t>
      </w:r>
      <w:r>
        <w:tab/>
      </w:r>
      <w:r>
        <w:fldChar w:fldCharType="begin"/>
      </w:r>
      <w:r>
        <w:instrText xml:space="preserve"> PAGEREF _Toc11454 \h </w:instrText>
      </w:r>
      <w:r>
        <w:fldChar w:fldCharType="separate"/>
      </w:r>
      <w:r>
        <w:t>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_Toc24522 </w:instrText>
      </w:r>
      <w:r>
        <w:rPr>
          <w:szCs w:val="20"/>
          <w:shd w:val="clear" w:color="auto" w:fill="FFFFFF"/>
        </w:rPr>
        <w:fldChar w:fldCharType="separate"/>
      </w:r>
      <w:r>
        <w:rPr>
          <w:rFonts w:hint="eastAsia"/>
          <w:shd w:val="clear" w:color="auto" w:fill="FFFFFF"/>
        </w:rPr>
        <w:t>2.1供应商须知前附表</w:t>
      </w:r>
      <w:r>
        <w:tab/>
      </w:r>
      <w:r>
        <w:fldChar w:fldCharType="begin"/>
      </w:r>
      <w:r>
        <w:instrText xml:space="preserve"> PAGEREF _Toc24522 \h </w:instrText>
      </w:r>
      <w:r>
        <w:fldChar w:fldCharType="separate"/>
      </w:r>
      <w:r>
        <w:t>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_Toc6491 </w:instrText>
      </w:r>
      <w:r>
        <w:rPr>
          <w:szCs w:val="20"/>
          <w:shd w:val="clear" w:color="auto" w:fill="FFFFFF"/>
        </w:rPr>
        <w:fldChar w:fldCharType="separate"/>
      </w:r>
      <w:r>
        <w:rPr>
          <w:rFonts w:hint="eastAsia"/>
          <w:shd w:val="clear" w:color="auto" w:fill="FFFFFF"/>
        </w:rPr>
        <w:t>2.2总则</w:t>
      </w:r>
      <w:r>
        <w:tab/>
      </w:r>
      <w:r>
        <w:fldChar w:fldCharType="begin"/>
      </w:r>
      <w:r>
        <w:instrText xml:space="preserve"> PAGEREF _Toc6491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_Toc12218 </w:instrText>
      </w:r>
      <w:r>
        <w:rPr>
          <w:szCs w:val="20"/>
          <w:shd w:val="clear" w:color="auto" w:fill="FFFFFF"/>
        </w:rPr>
        <w:fldChar w:fldCharType="separate"/>
      </w:r>
      <w:r>
        <w:rPr>
          <w:rFonts w:hint="eastAsia"/>
          <w:shd w:val="clear" w:color="auto" w:fill="FFFFFF"/>
        </w:rPr>
        <w:t>2.2.1适用范围</w:t>
      </w:r>
      <w:r>
        <w:tab/>
      </w:r>
      <w:r>
        <w:fldChar w:fldCharType="begin"/>
      </w:r>
      <w:r>
        <w:instrText xml:space="preserve"> PAGEREF _Toc12218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_Toc26541 </w:instrText>
      </w:r>
      <w:r>
        <w:rPr>
          <w:szCs w:val="20"/>
          <w:shd w:val="clear" w:color="auto" w:fill="FFFFFF"/>
        </w:rPr>
        <w:fldChar w:fldCharType="separate"/>
      </w:r>
      <w:r>
        <w:rPr>
          <w:rFonts w:hint="eastAsia"/>
          <w:shd w:val="clear" w:color="auto" w:fill="FFFFFF"/>
        </w:rPr>
        <w:t>2.2.2有关定义</w:t>
      </w:r>
      <w:r>
        <w:tab/>
      </w:r>
      <w:r>
        <w:fldChar w:fldCharType="begin"/>
      </w:r>
      <w:r>
        <w:instrText xml:space="preserve"> PAGEREF _Toc26541 \h </w:instrText>
      </w:r>
      <w:r>
        <w:fldChar w:fldCharType="separate"/>
      </w:r>
      <w:r>
        <w:t>12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_Toc8984 </w:instrText>
      </w:r>
      <w:r>
        <w:rPr>
          <w:szCs w:val="20"/>
          <w:shd w:val="clear" w:color="auto" w:fill="FFFFFF"/>
        </w:rPr>
        <w:fldChar w:fldCharType="separate"/>
      </w:r>
      <w:r>
        <w:rPr>
          <w:rFonts w:hint="eastAsia"/>
          <w:shd w:val="clear" w:color="auto" w:fill="FFFFFF"/>
        </w:rPr>
        <w:t>2.2.3合格的供应商</w:t>
      </w:r>
      <w:r>
        <w:tab/>
      </w:r>
      <w:r>
        <w:fldChar w:fldCharType="begin"/>
      </w:r>
      <w:r>
        <w:instrText xml:space="preserve"> PAGEREF _Toc8984 \h </w:instrText>
      </w:r>
      <w:r>
        <w:fldChar w:fldCharType="separate"/>
      </w:r>
      <w:r>
        <w:t>13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_Toc7941 </w:instrText>
      </w:r>
      <w:r>
        <w:rPr>
          <w:szCs w:val="20"/>
          <w:shd w:val="clear" w:color="auto" w:fill="FFFFFF"/>
        </w:rPr>
        <w:fldChar w:fldCharType="separate"/>
      </w:r>
      <w:r>
        <w:rPr>
          <w:rFonts w:hint="eastAsia"/>
          <w:shd w:val="clear" w:color="auto" w:fill="FFFFFF"/>
        </w:rPr>
        <w:t>2.2.4参加竞争性磋商的费用</w:t>
      </w:r>
      <w:r>
        <w:tab/>
      </w:r>
      <w:r>
        <w:fldChar w:fldCharType="begin"/>
      </w:r>
      <w:r>
        <w:instrText xml:space="preserve"> PAGEREF _Toc7941 \h </w:instrText>
      </w:r>
      <w:r>
        <w:fldChar w:fldCharType="separate"/>
      </w:r>
      <w:r>
        <w:t>13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_Toc7636 </w:instrText>
      </w:r>
      <w:r>
        <w:rPr>
          <w:szCs w:val="20"/>
          <w:shd w:val="clear" w:color="auto" w:fill="FFFFFF"/>
        </w:rPr>
        <w:fldChar w:fldCharType="separate"/>
      </w:r>
      <w:r>
        <w:rPr>
          <w:rFonts w:hint="eastAsia"/>
          <w:shd w:val="clear" w:color="auto" w:fill="FFFFFF"/>
        </w:rPr>
        <w:t>2.2.5充分、公平竞争保障措施</w:t>
      </w:r>
      <w:r>
        <w:tab/>
      </w:r>
      <w:r>
        <w:fldChar w:fldCharType="begin"/>
      </w:r>
      <w:r>
        <w:instrText xml:space="preserve"> PAGEREF _Toc7636 \h </w:instrText>
      </w:r>
      <w:r>
        <w:fldChar w:fldCharType="separate"/>
      </w:r>
      <w:r>
        <w:t>13</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_Toc26132 </w:instrText>
      </w:r>
      <w:r>
        <w:rPr>
          <w:szCs w:val="20"/>
          <w:shd w:val="clear" w:color="auto" w:fill="FFFFFF"/>
        </w:rPr>
        <w:fldChar w:fldCharType="separate"/>
      </w:r>
      <w:r>
        <w:rPr>
          <w:rFonts w:hint="eastAsia"/>
          <w:shd w:val="clear" w:color="auto" w:fill="FFFFFF"/>
        </w:rPr>
        <w:t>2.3磋商文件</w:t>
      </w:r>
      <w:r>
        <w:tab/>
      </w:r>
      <w:r>
        <w:fldChar w:fldCharType="begin"/>
      </w:r>
      <w:r>
        <w:instrText xml:space="preserve"> PAGEREF _Toc26132 \h </w:instrText>
      </w:r>
      <w:r>
        <w:fldChar w:fldCharType="separate"/>
      </w:r>
      <w:r>
        <w:t>14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_Toc15360 </w:instrText>
      </w:r>
      <w:r>
        <w:rPr>
          <w:szCs w:val="20"/>
          <w:shd w:val="clear" w:color="auto" w:fill="FFFFFF"/>
        </w:rPr>
        <w:fldChar w:fldCharType="separate"/>
      </w:r>
      <w:r>
        <w:rPr>
          <w:rFonts w:hint="eastAsia"/>
          <w:shd w:val="clear" w:color="auto" w:fill="FFFFFF"/>
        </w:rPr>
        <w:t>2.3.1磋商文件的构成</w:t>
      </w:r>
      <w:r>
        <w:tab/>
      </w:r>
      <w:r>
        <w:fldChar w:fldCharType="begin"/>
      </w:r>
      <w:r>
        <w:instrText xml:space="preserve"> PAGEREF _Toc15360 \h </w:instrText>
      </w:r>
      <w:r>
        <w:fldChar w:fldCharType="separate"/>
      </w:r>
      <w:r>
        <w:t>14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_Toc24803 </w:instrText>
      </w:r>
      <w:r>
        <w:rPr>
          <w:szCs w:val="20"/>
          <w:shd w:val="clear" w:color="auto" w:fill="FFFFFF"/>
        </w:rPr>
        <w:fldChar w:fldCharType="separate"/>
      </w:r>
      <w:r>
        <w:rPr>
          <w:rFonts w:hint="eastAsia"/>
          <w:shd w:val="clear" w:color="auto" w:fill="FFFFFF"/>
        </w:rPr>
        <w:t>2.3.2磋商文件的澄清和修改</w:t>
      </w:r>
      <w:r>
        <w:tab/>
      </w:r>
      <w:r>
        <w:fldChar w:fldCharType="begin"/>
      </w:r>
      <w:r>
        <w:instrText xml:space="preserve"> PAGEREF _Toc24803 \h </w:instrText>
      </w:r>
      <w:r>
        <w:fldChar w:fldCharType="separate"/>
      </w:r>
      <w:r>
        <w:t>15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_Toc9775 </w:instrText>
      </w:r>
      <w:r>
        <w:rPr>
          <w:szCs w:val="20"/>
          <w:shd w:val="clear" w:color="auto" w:fill="FFFFFF"/>
        </w:rPr>
        <w:fldChar w:fldCharType="separate"/>
      </w:r>
      <w:r>
        <w:rPr>
          <w:rFonts w:hint="eastAsia"/>
          <w:bCs w:val="0"/>
          <w:shd w:val="clear" w:color="auto" w:fill="FFFFFF"/>
        </w:rPr>
        <w:t>三、如因未翻译而造成对供应商的不利后果，由供应商承担。</w:t>
      </w:r>
      <w:r>
        <w:tab/>
      </w:r>
      <w:r>
        <w:fldChar w:fldCharType="begin"/>
      </w:r>
      <w:r>
        <w:instrText xml:space="preserve"> PAGEREF _Toc9775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_Toc672 </w:instrText>
      </w:r>
      <w:r>
        <w:rPr>
          <w:szCs w:val="20"/>
          <w:shd w:val="clear" w:color="auto" w:fill="FFFFFF"/>
        </w:rPr>
        <w:fldChar w:fldCharType="separate"/>
      </w:r>
      <w:r>
        <w:rPr>
          <w:rFonts w:hint="eastAsia"/>
          <w:bCs/>
          <w:shd w:val="clear" w:color="auto" w:fill="FFFFFF"/>
        </w:rPr>
        <w:t>2.4.2计量单位</w:t>
      </w:r>
      <w:r>
        <w:tab/>
      </w:r>
      <w:r>
        <w:fldChar w:fldCharType="begin"/>
      </w:r>
      <w:r>
        <w:instrText xml:space="preserve"> PAGEREF _Toc672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_Toc20420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3</w:t>
      </w:r>
      <w:r>
        <w:rPr>
          <w:rFonts w:hint="eastAsia" w:ascii="宋体" w:hAnsi="宋体" w:eastAsia="宋体" w:cs="Times New Roman"/>
          <w:bCs/>
          <w:shd w:val="clear" w:color="auto" w:fill="FFFFFF"/>
        </w:rPr>
        <w:t>联合体</w:t>
      </w:r>
      <w:r>
        <w:tab/>
      </w:r>
      <w:r>
        <w:fldChar w:fldCharType="begin"/>
      </w:r>
      <w:r>
        <w:instrText xml:space="preserve"> PAGEREF _Toc20420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_Toc19108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4</w:t>
      </w:r>
      <w:r>
        <w:rPr>
          <w:rFonts w:hint="eastAsia" w:ascii="宋体" w:hAnsi="宋体" w:eastAsia="宋体" w:cs="Times New Roman"/>
          <w:bCs/>
          <w:shd w:val="clear" w:color="auto" w:fill="FFFFFF"/>
        </w:rPr>
        <w:t>知识产权</w:t>
      </w:r>
      <w:r>
        <w:tab/>
      </w:r>
      <w:r>
        <w:fldChar w:fldCharType="begin"/>
      </w:r>
      <w:r>
        <w:instrText xml:space="preserve"> PAGEREF _Toc19108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_Toc22030 </w:instrText>
      </w:r>
      <w:r>
        <w:rPr>
          <w:szCs w:val="20"/>
          <w:shd w:val="clear" w:color="auto" w:fill="FFFFFF"/>
        </w:rPr>
        <w:fldChar w:fldCharType="separate"/>
      </w:r>
      <w:r>
        <w:rPr>
          <w:rFonts w:hint="eastAsia" w:ascii="宋体" w:hAnsi="宋体" w:eastAsia="宋体" w:cs="Times New Roman"/>
          <w:bCs/>
          <w:shd w:val="clear" w:color="auto" w:fill="FFFFFF"/>
        </w:rPr>
        <w:t>2.4.</w:t>
      </w:r>
      <w:r>
        <w:rPr>
          <w:rFonts w:hint="eastAsia" w:ascii="宋体" w:hAnsi="宋体" w:eastAsia="宋体" w:cs="Times New Roman"/>
          <w:bCs/>
          <w:shd w:val="clear" w:color="auto" w:fill="FFFFFF"/>
          <w:lang w:val="en-US" w:eastAsia="zh-CN"/>
        </w:rPr>
        <w:t>5</w:t>
      </w:r>
      <w:r>
        <w:rPr>
          <w:rFonts w:hint="eastAsia" w:ascii="宋体" w:hAnsi="宋体" w:eastAsia="宋体" w:cs="Times New Roman"/>
          <w:bCs/>
          <w:shd w:val="clear" w:color="auto" w:fill="FFFFFF"/>
        </w:rPr>
        <w:t>响应文件的组成</w:t>
      </w:r>
      <w:r>
        <w:tab/>
      </w:r>
      <w:r>
        <w:fldChar w:fldCharType="begin"/>
      </w:r>
      <w:r>
        <w:instrText xml:space="preserve"> PAGEREF _Toc22030 \h </w:instrText>
      </w:r>
      <w:r>
        <w:fldChar w:fldCharType="separate"/>
      </w:r>
      <w:r>
        <w:t>16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_Toc5852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6</w:t>
      </w:r>
      <w:r>
        <w:rPr>
          <w:rFonts w:hint="eastAsia"/>
          <w:szCs w:val="32"/>
          <w:highlight w:val="none"/>
        </w:rPr>
        <w:t>响应文件格式</w:t>
      </w:r>
      <w:r>
        <w:tab/>
      </w:r>
      <w:r>
        <w:fldChar w:fldCharType="begin"/>
      </w:r>
      <w:r>
        <w:instrText xml:space="preserve"> PAGEREF _Toc5852 \h </w:instrText>
      </w:r>
      <w:r>
        <w:fldChar w:fldCharType="separate"/>
      </w:r>
      <w:r>
        <w:t>18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_Toc26048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7</w:t>
      </w:r>
      <w:r>
        <w:rPr>
          <w:rFonts w:hint="eastAsia"/>
          <w:szCs w:val="32"/>
          <w:highlight w:val="none"/>
        </w:rPr>
        <w:t>报价</w:t>
      </w:r>
      <w:r>
        <w:tab/>
      </w:r>
      <w:r>
        <w:fldChar w:fldCharType="begin"/>
      </w:r>
      <w:r>
        <w:instrText xml:space="preserve"> PAGEREF _Toc26048 \h </w:instrText>
      </w:r>
      <w:r>
        <w:fldChar w:fldCharType="separate"/>
      </w:r>
      <w:r>
        <w:t>18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_Toc21981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8</w:t>
      </w:r>
      <w:r>
        <w:rPr>
          <w:rFonts w:hint="eastAsia"/>
          <w:szCs w:val="32"/>
          <w:highlight w:val="none"/>
        </w:rPr>
        <w:t>磋商保证金</w:t>
      </w:r>
      <w:r>
        <w:tab/>
      </w:r>
      <w:r>
        <w:fldChar w:fldCharType="begin"/>
      </w:r>
      <w:r>
        <w:instrText xml:space="preserve"> PAGEREF _Toc21981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_Toc32024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9</w:t>
      </w:r>
      <w:r>
        <w:rPr>
          <w:rFonts w:hint="eastAsia"/>
          <w:szCs w:val="32"/>
          <w:highlight w:val="none"/>
        </w:rPr>
        <w:t>响应文件有效期</w:t>
      </w:r>
      <w:r>
        <w:tab/>
      </w:r>
      <w:r>
        <w:fldChar w:fldCharType="begin"/>
      </w:r>
      <w:r>
        <w:instrText xml:space="preserve"> PAGEREF _Toc32024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_Toc14055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10</w:t>
      </w:r>
      <w:r>
        <w:rPr>
          <w:rFonts w:hint="eastAsia"/>
          <w:szCs w:val="32"/>
          <w:highlight w:val="none"/>
        </w:rPr>
        <w:t>响应文件的</w:t>
      </w:r>
      <w:r>
        <w:rPr>
          <w:rFonts w:hint="eastAsia"/>
          <w:szCs w:val="32"/>
          <w:highlight w:val="none"/>
          <w:lang w:eastAsia="zh-CN"/>
        </w:rPr>
        <w:t>制作、签章和加密</w:t>
      </w:r>
      <w:r>
        <w:tab/>
      </w:r>
      <w:r>
        <w:fldChar w:fldCharType="begin"/>
      </w:r>
      <w:r>
        <w:instrText xml:space="preserve"> PAGEREF _Toc14055 \h </w:instrText>
      </w:r>
      <w:r>
        <w:fldChar w:fldCharType="separate"/>
      </w:r>
      <w:r>
        <w:t>19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_Toc30825 </w:instrText>
      </w:r>
      <w:r>
        <w:rPr>
          <w:szCs w:val="20"/>
          <w:shd w:val="clear" w:color="auto" w:fill="FFFFFF"/>
        </w:rPr>
        <w:fldChar w:fldCharType="separate"/>
      </w:r>
      <w:r>
        <w:rPr>
          <w:rFonts w:hint="eastAsia"/>
          <w:szCs w:val="32"/>
          <w:highlight w:val="none"/>
        </w:rPr>
        <w:t>2.4.</w:t>
      </w:r>
      <w:r>
        <w:rPr>
          <w:rFonts w:hint="eastAsia"/>
          <w:szCs w:val="32"/>
          <w:highlight w:val="none"/>
          <w:lang w:val="en-US" w:eastAsia="zh-CN"/>
        </w:rPr>
        <w:t>11</w:t>
      </w:r>
      <w:r>
        <w:rPr>
          <w:rFonts w:hint="eastAsia"/>
          <w:szCs w:val="32"/>
          <w:highlight w:val="none"/>
        </w:rPr>
        <w:t>响应文件的</w:t>
      </w:r>
      <w:r>
        <w:rPr>
          <w:rFonts w:hint="eastAsia"/>
          <w:szCs w:val="28"/>
          <w:highlight w:val="none"/>
          <w:lang w:eastAsia="zh-CN"/>
        </w:rPr>
        <w:t>递交</w:t>
      </w:r>
      <w:r>
        <w:tab/>
      </w:r>
      <w:r>
        <w:fldChar w:fldCharType="begin"/>
      </w:r>
      <w:r>
        <w:instrText xml:space="preserve"> PAGEREF _Toc30825 \h </w:instrText>
      </w:r>
      <w:r>
        <w:fldChar w:fldCharType="separate"/>
      </w:r>
      <w:r>
        <w:t>20</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_Toc11976 </w:instrText>
      </w:r>
      <w:r>
        <w:rPr>
          <w:szCs w:val="20"/>
          <w:shd w:val="clear" w:color="auto" w:fill="FFFFFF"/>
        </w:rPr>
        <w:fldChar w:fldCharType="separate"/>
      </w:r>
      <w:r>
        <w:rPr>
          <w:rFonts w:hint="eastAsia"/>
          <w:szCs w:val="32"/>
          <w:highlight w:val="none"/>
        </w:rPr>
        <w:t>2.4.1</w:t>
      </w:r>
      <w:r>
        <w:rPr>
          <w:rFonts w:hint="eastAsia"/>
          <w:szCs w:val="32"/>
          <w:highlight w:val="none"/>
          <w:lang w:val="en-US" w:eastAsia="zh-CN"/>
        </w:rPr>
        <w:t>2</w:t>
      </w:r>
      <w:r>
        <w:rPr>
          <w:rFonts w:hint="eastAsia"/>
          <w:szCs w:val="32"/>
          <w:highlight w:val="none"/>
        </w:rPr>
        <w:t>响应文件的补充、修改和撤回</w:t>
      </w:r>
      <w:r>
        <w:tab/>
      </w:r>
      <w:r>
        <w:fldChar w:fldCharType="begin"/>
      </w:r>
      <w:r>
        <w:instrText xml:space="preserve"> PAGEREF _Toc11976 \h </w:instrText>
      </w:r>
      <w:r>
        <w:fldChar w:fldCharType="separate"/>
      </w:r>
      <w:r>
        <w:t>20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_Toc1002 </w:instrText>
      </w:r>
      <w:r>
        <w:rPr>
          <w:szCs w:val="20"/>
          <w:shd w:val="clear" w:color="auto" w:fill="FFFFFF"/>
        </w:rPr>
        <w:fldChar w:fldCharType="separate"/>
      </w:r>
      <w:r>
        <w:rPr>
          <w:rFonts w:hint="eastAsia"/>
          <w:iCs w:val="0"/>
          <w:kern w:val="2"/>
          <w:szCs w:val="32"/>
          <w:highlight w:val="none"/>
          <w:lang w:val="en-US" w:eastAsia="zh-CN"/>
        </w:rPr>
        <w:t>2.4.13响应文件的解密</w:t>
      </w:r>
      <w:r>
        <w:tab/>
      </w:r>
      <w:r>
        <w:fldChar w:fldCharType="begin"/>
      </w:r>
      <w:r>
        <w:instrText xml:space="preserve"> PAGEREF _Toc1002 \h </w:instrText>
      </w:r>
      <w:r>
        <w:fldChar w:fldCharType="separate"/>
      </w:r>
      <w:r>
        <w:t>21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_Toc8436 </w:instrText>
      </w:r>
      <w:r>
        <w:rPr>
          <w:szCs w:val="20"/>
          <w:shd w:val="clear" w:color="auto" w:fill="FFFFFF"/>
        </w:rPr>
        <w:fldChar w:fldCharType="separate"/>
      </w:r>
      <w:r>
        <w:rPr>
          <w:rFonts w:hint="eastAsia"/>
          <w:szCs w:val="28"/>
          <w:highlight w:val="none"/>
        </w:rPr>
        <w:t>2.5磋商</w:t>
      </w:r>
      <w:r>
        <w:rPr>
          <w:szCs w:val="28"/>
          <w:highlight w:val="none"/>
        </w:rPr>
        <w:t>开启活动</w:t>
      </w:r>
      <w:r>
        <w:rPr>
          <w:rFonts w:hint="eastAsia"/>
          <w:szCs w:val="28"/>
          <w:highlight w:val="none"/>
        </w:rPr>
        <w:t>程序</w:t>
      </w:r>
      <w:r>
        <w:tab/>
      </w:r>
      <w:r>
        <w:fldChar w:fldCharType="begin"/>
      </w:r>
      <w:r>
        <w:instrText xml:space="preserve"> PAGEREF _Toc8436 \h </w:instrText>
      </w:r>
      <w:r>
        <w:fldChar w:fldCharType="separate"/>
      </w:r>
      <w:r>
        <w:t>21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_Toc9457 </w:instrText>
      </w:r>
      <w:r>
        <w:rPr>
          <w:szCs w:val="20"/>
          <w:shd w:val="clear" w:color="auto" w:fill="FFFFFF"/>
        </w:rPr>
        <w:fldChar w:fldCharType="separate"/>
      </w:r>
      <w:r>
        <w:rPr>
          <w:rFonts w:hint="eastAsia"/>
          <w:bCs/>
          <w:szCs w:val="28"/>
          <w:highlight w:val="none"/>
          <w:lang w:val="en-US" w:eastAsia="zh-CN"/>
        </w:rPr>
        <w:t>2.6</w:t>
      </w:r>
      <w:r>
        <w:rPr>
          <w:rFonts w:hint="eastAsia"/>
          <w:bCs/>
          <w:szCs w:val="28"/>
          <w:highlight w:val="none"/>
        </w:rPr>
        <w:t>资格审查</w:t>
      </w:r>
      <w:r>
        <w:rPr>
          <w:rFonts w:hint="eastAsia"/>
          <w:bCs/>
          <w:szCs w:val="28"/>
          <w:highlight w:val="none"/>
          <w:lang w:eastAsia="zh-CN"/>
        </w:rPr>
        <w:t>和评审</w:t>
      </w:r>
      <w:r>
        <w:tab/>
      </w:r>
      <w:r>
        <w:fldChar w:fldCharType="begin"/>
      </w:r>
      <w:r>
        <w:instrText xml:space="preserve"> PAGEREF _Toc9457 \h </w:instrText>
      </w:r>
      <w:r>
        <w:fldChar w:fldCharType="separate"/>
      </w:r>
      <w:r>
        <w:t>22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_Toc13911 </w:instrText>
      </w:r>
      <w:r>
        <w:rPr>
          <w:szCs w:val="20"/>
          <w:shd w:val="clear" w:color="auto" w:fill="FFFFFF"/>
        </w:rPr>
        <w:fldChar w:fldCharType="separate"/>
      </w:r>
      <w:r>
        <w:rPr>
          <w:rFonts w:hint="eastAsia"/>
          <w:szCs w:val="28"/>
          <w:highlight w:val="none"/>
          <w:lang w:val="en-US" w:eastAsia="zh-CN"/>
        </w:rPr>
        <w:t>2.7</w:t>
      </w:r>
      <w:r>
        <w:rPr>
          <w:szCs w:val="28"/>
          <w:highlight w:val="none"/>
        </w:rPr>
        <w:t>成交通知书</w:t>
      </w:r>
      <w:r>
        <w:tab/>
      </w:r>
      <w:r>
        <w:fldChar w:fldCharType="begin"/>
      </w:r>
      <w:r>
        <w:instrText xml:space="preserve"> PAGEREF _Toc13911 \h </w:instrText>
      </w:r>
      <w:r>
        <w:fldChar w:fldCharType="separate"/>
      </w:r>
      <w:r>
        <w:t>23</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_Toc24065 </w:instrText>
      </w:r>
      <w:r>
        <w:rPr>
          <w:szCs w:val="20"/>
          <w:shd w:val="clear" w:color="auto" w:fill="FFFFFF"/>
        </w:rPr>
        <w:fldChar w:fldCharType="separate"/>
      </w:r>
      <w:r>
        <w:rPr>
          <w:rFonts w:hint="eastAsia"/>
          <w:szCs w:val="28"/>
          <w:highlight w:val="none"/>
          <w:lang w:val="en-US" w:eastAsia="zh-CN"/>
        </w:rPr>
        <w:t>2.8</w:t>
      </w:r>
      <w:r>
        <w:rPr>
          <w:rFonts w:hint="eastAsia"/>
          <w:szCs w:val="28"/>
          <w:highlight w:val="none"/>
        </w:rPr>
        <w:t>签订及履行合同和验收</w:t>
      </w:r>
      <w:r>
        <w:tab/>
      </w:r>
      <w:r>
        <w:fldChar w:fldCharType="begin"/>
      </w:r>
      <w:r>
        <w:instrText xml:space="preserve"> PAGEREF _Toc24065 \h </w:instrText>
      </w:r>
      <w:r>
        <w:fldChar w:fldCharType="separate"/>
      </w:r>
      <w:r>
        <w:t>23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_Toc30625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.1签订合同</w:t>
      </w:r>
      <w:r>
        <w:tab/>
      </w:r>
      <w:r>
        <w:fldChar w:fldCharType="begin"/>
      </w:r>
      <w:r>
        <w:instrText xml:space="preserve"> PAGEREF _Toc30625 \h </w:instrText>
      </w:r>
      <w:r>
        <w:fldChar w:fldCharType="separate"/>
      </w:r>
      <w:r>
        <w:t>23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_Toc19542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.2合同分包和转包</w:t>
      </w:r>
      <w:r>
        <w:tab/>
      </w:r>
      <w:r>
        <w:fldChar w:fldCharType="begin"/>
      </w:r>
      <w:r>
        <w:instrText xml:space="preserve"> PAGEREF _Toc19542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_Toc12070 </w:instrText>
      </w:r>
      <w:r>
        <w:rPr>
          <w:szCs w:val="20"/>
          <w:shd w:val="clear" w:color="auto" w:fill="FFFFFF"/>
        </w:rPr>
        <w:fldChar w:fldCharType="separate"/>
      </w:r>
      <w:r>
        <w:rPr>
          <w:rFonts w:hint="eastAsia" w:ascii="宋体" w:hAnsi="宋体"/>
          <w:bCs/>
          <w:szCs w:val="28"/>
          <w:highlight w:val="none"/>
          <w:lang w:val="en-US" w:eastAsia="zh-CN"/>
        </w:rPr>
        <w:t>2.</w:t>
      </w:r>
      <w:r>
        <w:rPr>
          <w:rFonts w:hint="eastAsia"/>
          <w:bCs/>
          <w:szCs w:val="28"/>
          <w:highlight w:val="none"/>
          <w:lang w:val="en-US" w:eastAsia="zh-CN"/>
        </w:rPr>
        <w:t>8</w:t>
      </w:r>
      <w:r>
        <w:rPr>
          <w:rFonts w:hint="eastAsia" w:ascii="宋体" w:hAnsi="宋体"/>
          <w:bCs/>
          <w:szCs w:val="28"/>
          <w:highlight w:val="none"/>
          <w:lang w:val="en-US" w:eastAsia="zh-CN"/>
        </w:rPr>
        <w:t>.2.1</w:t>
      </w:r>
      <w:r>
        <w:rPr>
          <w:rFonts w:hint="eastAsia" w:ascii="宋体" w:hAnsi="宋体"/>
          <w:bCs/>
          <w:szCs w:val="28"/>
          <w:highlight w:val="none"/>
        </w:rPr>
        <w:t>合同分包</w:t>
      </w:r>
      <w:r>
        <w:tab/>
      </w:r>
      <w:r>
        <w:fldChar w:fldCharType="begin"/>
      </w:r>
      <w:r>
        <w:instrText xml:space="preserve"> PAGEREF _Toc12070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_Toc21210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.3采购人增加合同标的的权利</w:t>
      </w:r>
      <w:r>
        <w:tab/>
      </w:r>
      <w:r>
        <w:fldChar w:fldCharType="begin"/>
      </w:r>
      <w:r>
        <w:instrText xml:space="preserve"> PAGEREF _Toc21210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_Toc30341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.4履约保证金</w:t>
      </w:r>
      <w:r>
        <w:tab/>
      </w:r>
      <w:r>
        <w:fldChar w:fldCharType="begin"/>
      </w:r>
      <w:r>
        <w:instrText xml:space="preserve"> PAGEREF _Toc30341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_Toc13999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.5</w:t>
      </w:r>
      <w:r>
        <w:rPr>
          <w:szCs w:val="32"/>
          <w:highlight w:val="none"/>
        </w:rPr>
        <w:t>合同公告</w:t>
      </w:r>
      <w:r>
        <w:tab/>
      </w:r>
      <w:r>
        <w:fldChar w:fldCharType="begin"/>
      </w:r>
      <w:r>
        <w:instrText xml:space="preserve"> PAGEREF _Toc13999 \h </w:instrText>
      </w:r>
      <w:r>
        <w:fldChar w:fldCharType="separate"/>
      </w:r>
      <w:r>
        <w:t>24</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_Toc25175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.6</w:t>
      </w:r>
      <w:r>
        <w:rPr>
          <w:szCs w:val="32"/>
          <w:highlight w:val="none"/>
        </w:rPr>
        <w:t>合同备案</w:t>
      </w:r>
      <w:r>
        <w:tab/>
      </w:r>
      <w:r>
        <w:fldChar w:fldCharType="begin"/>
      </w:r>
      <w:r>
        <w:instrText xml:space="preserve"> PAGEREF _Toc25175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_Toc21768 </w:instrText>
      </w:r>
      <w:r>
        <w:rPr>
          <w:szCs w:val="20"/>
          <w:shd w:val="clear" w:color="auto" w:fill="FFFFFF"/>
        </w:rPr>
        <w:fldChar w:fldCharType="separate"/>
      </w:r>
      <w:r>
        <w:rPr>
          <w:rFonts w:hint="eastAsia" w:cs="宋体"/>
          <w:szCs w:val="32"/>
          <w:highlight w:val="none"/>
        </w:rPr>
        <w:t>2.</w:t>
      </w:r>
      <w:r>
        <w:rPr>
          <w:rFonts w:hint="eastAsia" w:cs="宋体"/>
          <w:szCs w:val="32"/>
          <w:highlight w:val="none"/>
          <w:lang w:val="en-US" w:eastAsia="zh-CN"/>
        </w:rPr>
        <w:t>8</w:t>
      </w:r>
      <w:r>
        <w:rPr>
          <w:rFonts w:hint="eastAsia" w:cs="宋体"/>
          <w:szCs w:val="32"/>
          <w:highlight w:val="none"/>
        </w:rPr>
        <w:t>.7履行</w:t>
      </w:r>
      <w:r>
        <w:rPr>
          <w:rFonts w:hint="eastAsia"/>
          <w:szCs w:val="32"/>
          <w:highlight w:val="none"/>
        </w:rPr>
        <w:t>合同</w:t>
      </w:r>
      <w:r>
        <w:tab/>
      </w:r>
      <w:r>
        <w:fldChar w:fldCharType="begin"/>
      </w:r>
      <w:r>
        <w:instrText xml:space="preserve"> PAGEREF _Toc21768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_Toc1379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.8验收</w:t>
      </w:r>
      <w:r>
        <w:tab/>
      </w:r>
      <w:r>
        <w:fldChar w:fldCharType="begin"/>
      </w:r>
      <w:r>
        <w:instrText xml:space="preserve"> PAGEREF _Toc1379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_Toc24253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8</w:t>
      </w:r>
      <w:r>
        <w:rPr>
          <w:rFonts w:hint="eastAsia"/>
          <w:szCs w:val="32"/>
          <w:highlight w:val="none"/>
        </w:rPr>
        <w:t>.9资金支付</w:t>
      </w:r>
      <w:r>
        <w:tab/>
      </w:r>
      <w:r>
        <w:fldChar w:fldCharType="begin"/>
      </w:r>
      <w:r>
        <w:instrText xml:space="preserve"> PAGEREF _Toc24253 \h </w:instrText>
      </w:r>
      <w:r>
        <w:fldChar w:fldCharType="separate"/>
      </w:r>
      <w:r>
        <w:t>25</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_Toc18533 </w:instrText>
      </w:r>
      <w:r>
        <w:rPr>
          <w:szCs w:val="20"/>
          <w:shd w:val="clear" w:color="auto" w:fill="FFFFFF"/>
        </w:rPr>
        <w:fldChar w:fldCharType="separate"/>
      </w:r>
      <w:r>
        <w:rPr>
          <w:rFonts w:hint="eastAsia"/>
          <w:szCs w:val="28"/>
          <w:highlight w:val="none"/>
        </w:rPr>
        <w:t>2.</w:t>
      </w:r>
      <w:r>
        <w:rPr>
          <w:rFonts w:hint="eastAsia"/>
          <w:szCs w:val="28"/>
          <w:highlight w:val="none"/>
          <w:lang w:val="en-US" w:eastAsia="zh-CN"/>
        </w:rPr>
        <w:t>9</w:t>
      </w:r>
      <w:r>
        <w:rPr>
          <w:rFonts w:hint="eastAsia"/>
          <w:szCs w:val="28"/>
          <w:highlight w:val="none"/>
        </w:rPr>
        <w:t>竞争性磋商工作纪律及要求</w:t>
      </w:r>
      <w:r>
        <w:tab/>
      </w:r>
      <w:r>
        <w:fldChar w:fldCharType="begin"/>
      </w:r>
      <w:r>
        <w:instrText xml:space="preserve"> PAGEREF _Toc18533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_Toc19320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9</w:t>
      </w:r>
      <w:r>
        <w:rPr>
          <w:rFonts w:hint="eastAsia"/>
          <w:szCs w:val="32"/>
          <w:highlight w:val="none"/>
        </w:rPr>
        <w:t>.1供应商不得具有的情形</w:t>
      </w:r>
      <w:r>
        <w:tab/>
      </w:r>
      <w:r>
        <w:fldChar w:fldCharType="begin"/>
      </w:r>
      <w:r>
        <w:instrText xml:space="preserve"> PAGEREF _Toc19320 \h </w:instrText>
      </w:r>
      <w:r>
        <w:fldChar w:fldCharType="separate"/>
      </w:r>
      <w:r>
        <w:t>25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_Toc24202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9</w:t>
      </w:r>
      <w:r>
        <w:rPr>
          <w:rFonts w:hint="eastAsia"/>
          <w:szCs w:val="32"/>
          <w:highlight w:val="none"/>
        </w:rPr>
        <w:t>.</w:t>
      </w:r>
      <w:r>
        <w:rPr>
          <w:rFonts w:hint="eastAsia"/>
          <w:szCs w:val="32"/>
          <w:highlight w:val="none"/>
          <w:lang w:val="en-US" w:eastAsia="zh-CN"/>
        </w:rPr>
        <w:t>2</w:t>
      </w:r>
      <w:r>
        <w:rPr>
          <w:rFonts w:hint="eastAsia"/>
          <w:szCs w:val="32"/>
          <w:highlight w:val="none"/>
        </w:rPr>
        <w:t>回避</w:t>
      </w:r>
      <w:r>
        <w:tab/>
      </w:r>
      <w:r>
        <w:fldChar w:fldCharType="begin"/>
      </w:r>
      <w:r>
        <w:instrText xml:space="preserve"> PAGEREF _Toc24202 \h </w:instrText>
      </w:r>
      <w:r>
        <w:fldChar w:fldCharType="separate"/>
      </w:r>
      <w:r>
        <w:t>27</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_Toc31523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10</w:t>
      </w:r>
      <w:r>
        <w:rPr>
          <w:rFonts w:hint="eastAsia"/>
          <w:szCs w:val="32"/>
          <w:highlight w:val="none"/>
        </w:rPr>
        <w:t>询问、质疑和投诉</w:t>
      </w:r>
      <w:r>
        <w:tab/>
      </w:r>
      <w:r>
        <w:fldChar w:fldCharType="begin"/>
      </w:r>
      <w:r>
        <w:instrText xml:space="preserve"> PAGEREF _Toc31523 \h </w:instrText>
      </w:r>
      <w:r>
        <w:fldChar w:fldCharType="separate"/>
      </w:r>
      <w:r>
        <w:t>27</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_Toc25564 </w:instrText>
      </w:r>
      <w:r>
        <w:rPr>
          <w:szCs w:val="20"/>
          <w:shd w:val="clear" w:color="auto" w:fill="FFFFFF"/>
        </w:rPr>
        <w:fldChar w:fldCharType="separate"/>
      </w:r>
      <w:r>
        <w:rPr>
          <w:rFonts w:hint="eastAsia"/>
          <w:szCs w:val="32"/>
          <w:highlight w:val="none"/>
        </w:rPr>
        <w:t>2.</w:t>
      </w:r>
      <w:r>
        <w:rPr>
          <w:rFonts w:hint="eastAsia"/>
          <w:szCs w:val="32"/>
          <w:highlight w:val="none"/>
          <w:lang w:val="en-US" w:eastAsia="zh-CN"/>
        </w:rPr>
        <w:t>11</w:t>
      </w:r>
      <w:r>
        <w:rPr>
          <w:rFonts w:hint="eastAsia" w:ascii="宋体" w:hAnsi="宋体"/>
          <w:bCs/>
          <w:szCs w:val="32"/>
          <w:highlight w:val="none"/>
        </w:rPr>
        <w:t>中小企业政府采购信用融资</w:t>
      </w:r>
      <w:r>
        <w:tab/>
      </w:r>
      <w:r>
        <w:fldChar w:fldCharType="begin"/>
      </w:r>
      <w:r>
        <w:instrText xml:space="preserve"> PAGEREF _Toc25564 \h </w:instrText>
      </w:r>
      <w:r>
        <w:fldChar w:fldCharType="separate"/>
      </w:r>
      <w:r>
        <w:t>29</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_Toc28249 </w:instrText>
      </w:r>
      <w:r>
        <w:rPr>
          <w:szCs w:val="20"/>
          <w:shd w:val="clear" w:color="auto" w:fill="FFFFFF"/>
        </w:rPr>
        <w:fldChar w:fldCharType="separate"/>
      </w:r>
      <w:r>
        <w:rPr>
          <w:rFonts w:hint="eastAsia"/>
        </w:rPr>
        <w:t>第3章 响应文件格式</w:t>
      </w:r>
      <w:r>
        <w:tab/>
      </w:r>
      <w:r>
        <w:fldChar w:fldCharType="begin"/>
      </w:r>
      <w:r>
        <w:instrText xml:space="preserve"> PAGEREF _Toc28249 \h </w:instrText>
      </w:r>
      <w:r>
        <w:fldChar w:fldCharType="separate"/>
      </w:r>
      <w:r>
        <w:t>30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_Toc16471 </w:instrText>
      </w:r>
      <w:r>
        <w:rPr>
          <w:szCs w:val="20"/>
          <w:shd w:val="clear" w:color="auto" w:fill="FFFFFF"/>
        </w:rPr>
        <w:fldChar w:fldCharType="separate"/>
      </w:r>
      <w:r>
        <w:rPr>
          <w:rFonts w:hint="eastAsia"/>
          <w:highlight w:val="none"/>
          <w:lang w:val="en-US" w:eastAsia="zh-CN"/>
        </w:rPr>
        <w:t>3.1</w:t>
      </w:r>
      <w:r>
        <w:rPr>
          <w:rFonts w:hint="eastAsia"/>
          <w:highlight w:val="none"/>
        </w:rPr>
        <w:t>资格性响应文件格式</w:t>
      </w:r>
      <w:r>
        <w:tab/>
      </w:r>
      <w:r>
        <w:fldChar w:fldCharType="begin"/>
      </w:r>
      <w:r>
        <w:instrText xml:space="preserve"> PAGEREF _Toc16471 \h </w:instrText>
      </w:r>
      <w:r>
        <w:fldChar w:fldCharType="separate"/>
      </w:r>
      <w:r>
        <w:t>30</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_Toc1191 </w:instrText>
      </w:r>
      <w:r>
        <w:rPr>
          <w:szCs w:val="20"/>
          <w:shd w:val="clear" w:color="auto" w:fill="FFFFFF"/>
        </w:rPr>
        <w:fldChar w:fldCharType="separate"/>
      </w:r>
      <w:r>
        <w:rPr>
          <w:rFonts w:hint="eastAsia"/>
          <w:highlight w:val="none"/>
          <w:lang w:val="en-US" w:eastAsia="zh-CN"/>
        </w:rPr>
        <w:t>3.1.1.</w:t>
      </w:r>
      <w:r>
        <w:rPr>
          <w:rFonts w:hint="eastAsia"/>
          <w:highlight w:val="none"/>
        </w:rPr>
        <w:t>资格性响应文件封面格式</w:t>
      </w:r>
      <w:r>
        <w:tab/>
      </w:r>
      <w:r>
        <w:fldChar w:fldCharType="begin"/>
      </w:r>
      <w:r>
        <w:instrText xml:space="preserve"> PAGEREF _Toc1191 \h </w:instrText>
      </w:r>
      <w:r>
        <w:fldChar w:fldCharType="separate"/>
      </w:r>
      <w:r>
        <w:t>30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_Toc21500 </w:instrText>
      </w:r>
      <w:r>
        <w:rPr>
          <w:szCs w:val="20"/>
          <w:shd w:val="clear" w:color="auto" w:fill="FFFFFF"/>
        </w:rPr>
        <w:fldChar w:fldCharType="separate"/>
      </w:r>
      <w:r>
        <w:rPr>
          <w:rFonts w:hint="eastAsia" w:ascii="宋体" w:hAnsi="宋体" w:eastAsia="宋体" w:cs="宋体"/>
          <w:lang w:val="en-US" w:eastAsia="zh-CN"/>
        </w:rPr>
        <w:t>3.1.2供应商资格申明的函</w:t>
      </w:r>
      <w:r>
        <w:tab/>
      </w:r>
      <w:r>
        <w:fldChar w:fldCharType="begin"/>
      </w:r>
      <w:r>
        <w:instrText xml:space="preserve"> PAGEREF _Toc21500 \h </w:instrText>
      </w:r>
      <w:r>
        <w:fldChar w:fldCharType="separate"/>
      </w:r>
      <w:r>
        <w:t>31</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_Toc5543 </w:instrText>
      </w:r>
      <w:r>
        <w:rPr>
          <w:szCs w:val="20"/>
          <w:shd w:val="clear" w:color="auto" w:fill="FFFFFF"/>
        </w:rPr>
        <w:fldChar w:fldCharType="separate"/>
      </w:r>
      <w:r>
        <w:rPr>
          <w:rFonts w:hint="eastAsia" w:ascii="宋体" w:hAnsi="宋体" w:eastAsia="宋体"/>
          <w:szCs w:val="32"/>
          <w:highlight w:val="none"/>
          <w:lang w:val="en-US" w:eastAsia="zh-CN"/>
        </w:rPr>
        <w:t>3.1.3声明</w:t>
      </w:r>
      <w:r>
        <w:tab/>
      </w:r>
      <w:r>
        <w:fldChar w:fldCharType="begin"/>
      </w:r>
      <w:r>
        <w:instrText xml:space="preserve"> PAGEREF _Toc5543 \h </w:instrText>
      </w:r>
      <w:r>
        <w:fldChar w:fldCharType="separate"/>
      </w:r>
      <w:r>
        <w:t>32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_Toc19031 </w:instrText>
      </w:r>
      <w:r>
        <w:rPr>
          <w:szCs w:val="20"/>
          <w:shd w:val="clear" w:color="auto" w:fill="FFFFFF"/>
        </w:rPr>
        <w:fldChar w:fldCharType="separate"/>
      </w:r>
      <w:r>
        <w:rPr>
          <w:rFonts w:hint="eastAsia" w:ascii="宋体" w:hAnsi="宋体" w:eastAsia="宋体" w:cs="Times New Roman"/>
          <w:bCs/>
          <w:kern w:val="2"/>
          <w:szCs w:val="36"/>
          <w:highlight w:val="none"/>
          <w:lang w:val="en-US" w:eastAsia="zh-CN" w:bidi="ar-SA"/>
        </w:rPr>
        <w:t>3.1.</w:t>
      </w:r>
      <w:r>
        <w:rPr>
          <w:rFonts w:hint="eastAsia" w:cs="Times New Roman"/>
          <w:bCs/>
          <w:kern w:val="2"/>
          <w:szCs w:val="36"/>
          <w:highlight w:val="none"/>
          <w:lang w:val="en-US" w:eastAsia="zh-CN" w:bidi="ar-SA"/>
        </w:rPr>
        <w:t>4</w:t>
      </w:r>
      <w:r>
        <w:rPr>
          <w:rFonts w:hint="eastAsia" w:ascii="宋体" w:hAnsi="宋体" w:eastAsia="宋体" w:cs="Times New Roman"/>
          <w:bCs/>
          <w:kern w:val="2"/>
          <w:szCs w:val="36"/>
          <w:highlight w:val="none"/>
          <w:lang w:val="en-US" w:eastAsia="zh-CN" w:bidi="ar-SA"/>
        </w:rPr>
        <w:t>法定代表人身份证明书</w:t>
      </w:r>
      <w:r>
        <w:tab/>
      </w:r>
      <w:r>
        <w:fldChar w:fldCharType="begin"/>
      </w:r>
      <w:r>
        <w:instrText xml:space="preserve"> PAGEREF _Toc19031 \h </w:instrText>
      </w:r>
      <w:r>
        <w:fldChar w:fldCharType="separate"/>
      </w:r>
      <w:r>
        <w:t>34</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_Toc25892 </w:instrText>
      </w:r>
      <w:r>
        <w:rPr>
          <w:szCs w:val="20"/>
          <w:shd w:val="clear" w:color="auto" w:fill="FFFFFF"/>
        </w:rPr>
        <w:fldChar w:fldCharType="separate"/>
      </w:r>
      <w:r>
        <w:rPr>
          <w:rFonts w:hint="eastAsia"/>
          <w:kern w:val="0"/>
          <w:szCs w:val="24"/>
        </w:rPr>
        <w:t>3.</w:t>
      </w:r>
      <w:r>
        <w:rPr>
          <w:rFonts w:hint="eastAsia"/>
          <w:kern w:val="0"/>
          <w:szCs w:val="24"/>
          <w:lang w:val="en-US" w:eastAsia="zh-CN"/>
        </w:rPr>
        <w:t>1.5</w:t>
      </w:r>
      <w:r>
        <w:rPr>
          <w:rFonts w:hint="eastAsia"/>
          <w:kern w:val="0"/>
          <w:szCs w:val="24"/>
        </w:rPr>
        <w:t>供应商基本情况表</w:t>
      </w:r>
      <w:r>
        <w:tab/>
      </w:r>
      <w:r>
        <w:fldChar w:fldCharType="begin"/>
      </w:r>
      <w:r>
        <w:instrText xml:space="preserve"> PAGEREF _Toc25892 \h </w:instrText>
      </w:r>
      <w:r>
        <w:fldChar w:fldCharType="separate"/>
      </w:r>
      <w:r>
        <w:t>35</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_Toc10611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1.6</w:t>
      </w:r>
      <w:r>
        <w:rPr>
          <w:rFonts w:hint="eastAsia" w:ascii="宋体" w:hAnsi="宋体" w:eastAsia="宋体" w:cs="宋体"/>
        </w:rPr>
        <w:t>供应商应提交的相关资格证明材料</w:t>
      </w:r>
      <w:r>
        <w:tab/>
      </w:r>
      <w:r>
        <w:fldChar w:fldCharType="begin"/>
      </w:r>
      <w:r>
        <w:instrText xml:space="preserve"> PAGEREF _Toc10611 \h </w:instrText>
      </w:r>
      <w:r>
        <w:fldChar w:fldCharType="separate"/>
      </w:r>
      <w:r>
        <w:t>36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_Toc21949 </w:instrText>
      </w:r>
      <w:r>
        <w:rPr>
          <w:szCs w:val="20"/>
          <w:shd w:val="clear" w:color="auto" w:fill="FFFFFF"/>
        </w:rPr>
        <w:fldChar w:fldCharType="separate"/>
      </w:r>
      <w:r>
        <w:rPr>
          <w:rFonts w:hint="eastAsia"/>
          <w:highlight w:val="none"/>
          <w:lang w:val="en-US" w:eastAsia="zh-CN"/>
        </w:rPr>
        <w:t>3.2.1</w:t>
      </w:r>
      <w:r>
        <w:rPr>
          <w:rFonts w:hint="eastAsia"/>
          <w:highlight w:val="none"/>
        </w:rPr>
        <w:t>技术、服务性响应文件封面格式</w:t>
      </w:r>
      <w:r>
        <w:tab/>
      </w:r>
      <w:r>
        <w:fldChar w:fldCharType="begin"/>
      </w:r>
      <w:r>
        <w:instrText xml:space="preserve"> PAGEREF _Toc21949 \h </w:instrText>
      </w:r>
      <w:r>
        <w:fldChar w:fldCharType="separate"/>
      </w:r>
      <w:r>
        <w:t>37</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_Toc21197 </w:instrText>
      </w:r>
      <w:r>
        <w:rPr>
          <w:szCs w:val="20"/>
          <w:shd w:val="clear" w:color="auto" w:fill="FFFFFF"/>
        </w:rPr>
        <w:fldChar w:fldCharType="separate"/>
      </w:r>
      <w:r>
        <w:rPr>
          <w:rFonts w:hint="eastAsia" w:ascii="宋体" w:hAnsi="宋体" w:eastAsia="宋体" w:cs="宋体"/>
          <w:lang w:val="en-US" w:eastAsia="zh-CN"/>
        </w:rPr>
        <w:t>3.2.2</w:t>
      </w:r>
      <w:r>
        <w:rPr>
          <w:rFonts w:hint="eastAsia" w:ascii="宋体" w:hAnsi="宋体" w:eastAsia="宋体"/>
          <w:kern w:val="10"/>
          <w:szCs w:val="21"/>
          <w:shd w:val="clear" w:color="auto" w:fill="FFFFFF"/>
          <w:lang w:val="en-US" w:eastAsia="zh-CN"/>
        </w:rPr>
        <w:t>报价表</w:t>
      </w:r>
      <w:r>
        <w:tab/>
      </w:r>
      <w:r>
        <w:fldChar w:fldCharType="begin"/>
      </w:r>
      <w:r>
        <w:instrText xml:space="preserve"> PAGEREF _Toc21197 \h </w:instrText>
      </w:r>
      <w:r>
        <w:fldChar w:fldCharType="separate"/>
      </w:r>
      <w:r>
        <w:t>38</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_Toc4867 </w:instrText>
      </w:r>
      <w:r>
        <w:rPr>
          <w:szCs w:val="20"/>
          <w:shd w:val="clear" w:color="auto" w:fill="FFFFFF"/>
        </w:rPr>
        <w:fldChar w:fldCharType="separate"/>
      </w:r>
      <w:r>
        <w:rPr>
          <w:rFonts w:hint="eastAsia"/>
          <w:bCs/>
          <w:szCs w:val="32"/>
        </w:rPr>
        <w:t>3.3.</w:t>
      </w:r>
      <w:r>
        <w:rPr>
          <w:rFonts w:hint="eastAsia"/>
          <w:bCs/>
          <w:szCs w:val="32"/>
          <w:lang w:val="en-US" w:eastAsia="zh-CN"/>
        </w:rPr>
        <w:t>3分项</w:t>
      </w:r>
      <w:r>
        <w:rPr>
          <w:rFonts w:hint="eastAsia"/>
          <w:bCs/>
          <w:szCs w:val="28"/>
        </w:rPr>
        <w:t>报价</w:t>
      </w:r>
      <w:r>
        <w:rPr>
          <w:rFonts w:hint="eastAsia"/>
          <w:bCs/>
          <w:szCs w:val="28"/>
          <w:lang w:val="en-US" w:eastAsia="zh-CN"/>
        </w:rPr>
        <w:t>表</w:t>
      </w:r>
      <w:r>
        <w:tab/>
      </w:r>
      <w:r>
        <w:fldChar w:fldCharType="begin"/>
      </w:r>
      <w:r>
        <w:instrText xml:space="preserve"> PAGEREF _Toc4867 \h </w:instrText>
      </w:r>
      <w:r>
        <w:fldChar w:fldCharType="separate"/>
      </w:r>
      <w:r>
        <w:t>39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_Toc13468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2.4</w:t>
      </w:r>
      <w:r>
        <w:rPr>
          <w:rFonts w:hint="eastAsia" w:ascii="宋体" w:hAnsi="宋体" w:eastAsia="宋体" w:cs="宋体"/>
        </w:rPr>
        <w:t>中小企业声明函</w:t>
      </w:r>
      <w:r>
        <w:tab/>
      </w:r>
      <w:r>
        <w:fldChar w:fldCharType="begin"/>
      </w:r>
      <w:r>
        <w:instrText xml:space="preserve"> PAGEREF _Toc13468 \h </w:instrText>
      </w:r>
      <w:r>
        <w:fldChar w:fldCharType="separate"/>
      </w:r>
      <w:r>
        <w:t>41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_Toc20435 </w:instrText>
      </w:r>
      <w:r>
        <w:rPr>
          <w:szCs w:val="20"/>
          <w:shd w:val="clear" w:color="auto" w:fill="FFFFFF"/>
        </w:rPr>
        <w:fldChar w:fldCharType="separate"/>
      </w:r>
      <w:r>
        <w:rPr>
          <w:rFonts w:hint="eastAsia" w:ascii="宋体" w:hAnsi="宋体" w:eastAsia="宋体" w:cs="宋体"/>
        </w:rPr>
        <w:t>3.</w:t>
      </w:r>
      <w:r>
        <w:rPr>
          <w:rFonts w:hint="eastAsia" w:ascii="宋体" w:hAnsi="宋体" w:eastAsia="宋体" w:cs="宋体"/>
          <w:lang w:val="en-US" w:eastAsia="zh-CN"/>
        </w:rPr>
        <w:t>2.5</w:t>
      </w:r>
      <w:r>
        <w:rPr>
          <w:rFonts w:hint="eastAsia" w:ascii="宋体" w:hAnsi="宋体" w:eastAsia="宋体" w:cs="宋体"/>
        </w:rPr>
        <w:t>残疾人福利性单位声明函</w:t>
      </w:r>
      <w:r>
        <w:tab/>
      </w:r>
      <w:r>
        <w:fldChar w:fldCharType="begin"/>
      </w:r>
      <w:r>
        <w:instrText xml:space="preserve"> PAGEREF _Toc20435 \h </w:instrText>
      </w:r>
      <w:r>
        <w:fldChar w:fldCharType="separate"/>
      </w:r>
      <w:r>
        <w:t>44</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_Toc18969 </w:instrText>
      </w:r>
      <w:r>
        <w:rPr>
          <w:szCs w:val="20"/>
          <w:shd w:val="clear" w:color="auto" w:fill="FFFFFF"/>
        </w:rPr>
        <w:fldChar w:fldCharType="separate"/>
      </w:r>
      <w:r>
        <w:rPr>
          <w:rFonts w:hint="eastAsia" w:ascii="宋体" w:hAnsi="宋体" w:eastAsia="宋体" w:cs="宋体"/>
          <w:kern w:val="0"/>
          <w:szCs w:val="24"/>
          <w:lang w:val="en-US" w:eastAsia="zh-CN" w:bidi="ar-SA"/>
        </w:rPr>
        <w:t>3.2.7项目实施方案</w:t>
      </w:r>
      <w:r>
        <w:tab/>
      </w:r>
      <w:r>
        <w:fldChar w:fldCharType="begin"/>
      </w:r>
      <w:r>
        <w:instrText xml:space="preserve"> PAGEREF _Toc18969 \h </w:instrText>
      </w:r>
      <w:r>
        <w:fldChar w:fldCharType="separate"/>
      </w:r>
      <w:r>
        <w:t>46</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_Toc21435 </w:instrText>
      </w:r>
      <w:r>
        <w:rPr>
          <w:szCs w:val="20"/>
          <w:shd w:val="clear" w:color="auto" w:fill="FFFFFF"/>
        </w:rPr>
        <w:fldChar w:fldCharType="separate"/>
      </w:r>
      <w:r>
        <w:rPr>
          <w:rFonts w:hint="eastAsia" w:ascii="宋体" w:hAnsi="宋体" w:eastAsia="宋体" w:cs="宋体"/>
          <w:lang w:val="en-US" w:eastAsia="zh-CN"/>
        </w:rPr>
        <w:t>3.2.8</w:t>
      </w:r>
      <w:r>
        <w:rPr>
          <w:rFonts w:hint="eastAsia" w:ascii="宋体" w:hAnsi="宋体" w:eastAsia="宋体" w:cs="宋体"/>
          <w:bCs w:val="0"/>
          <w:kern w:val="0"/>
          <w:szCs w:val="24"/>
          <w:lang w:val="en-US" w:eastAsia="zh-CN" w:bidi="ar-SA"/>
        </w:rPr>
        <w:t>售后服务方案</w:t>
      </w:r>
      <w:r>
        <w:tab/>
      </w:r>
      <w:r>
        <w:fldChar w:fldCharType="begin"/>
      </w:r>
      <w:r>
        <w:instrText xml:space="preserve"> PAGEREF _Toc21435 \h </w:instrText>
      </w:r>
      <w:r>
        <w:fldChar w:fldCharType="separate"/>
      </w:r>
      <w:r>
        <w:t>47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_Toc30952 </w:instrText>
      </w:r>
      <w:r>
        <w:rPr>
          <w:szCs w:val="20"/>
          <w:shd w:val="clear" w:color="auto" w:fill="FFFFFF"/>
        </w:rPr>
        <w:fldChar w:fldCharType="separate"/>
      </w:r>
      <w:r>
        <w:rPr>
          <w:rFonts w:hint="eastAsia" w:ascii="宋体" w:hAnsi="宋体" w:cs="宋体"/>
          <w:bCs/>
          <w:kern w:val="2"/>
          <w:szCs w:val="28"/>
          <w:shd w:val="clear" w:color="auto" w:fill="FFFFFF"/>
        </w:rPr>
        <w:t>4.1.2技术参数及要求</w:t>
      </w:r>
      <w:r>
        <w:tab/>
      </w:r>
      <w:r>
        <w:fldChar w:fldCharType="begin"/>
      </w:r>
      <w:r>
        <w:instrText xml:space="preserve"> PAGEREF _Toc30952 \h </w:instrText>
      </w:r>
      <w:r>
        <w:fldChar w:fldCharType="separate"/>
      </w:r>
      <w:r>
        <w:t>49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_Toc2461 </w:instrText>
      </w:r>
      <w:r>
        <w:rPr>
          <w:szCs w:val="20"/>
          <w:shd w:val="clear" w:color="auto" w:fill="FFFFFF"/>
        </w:rPr>
        <w:fldChar w:fldCharType="separate"/>
      </w:r>
      <w:r>
        <w:rPr>
          <w:rFonts w:hint="eastAsia"/>
          <w:bCs/>
          <w:szCs w:val="28"/>
          <w:shd w:val="clear" w:color="auto" w:fill="FFFFFF"/>
        </w:rPr>
        <w:t>4.2商务要求</w:t>
      </w:r>
      <w:r>
        <w:tab/>
      </w:r>
      <w:r>
        <w:fldChar w:fldCharType="begin"/>
      </w:r>
      <w:r>
        <w:instrText xml:space="preserve"> PAGEREF _Toc2461 \h </w:instrText>
      </w:r>
      <w:r>
        <w:fldChar w:fldCharType="separate"/>
      </w:r>
      <w:r>
        <w:t>49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_Toc14532 </w:instrText>
      </w:r>
      <w:r>
        <w:rPr>
          <w:szCs w:val="20"/>
          <w:shd w:val="clear" w:color="auto" w:fill="FFFFFF"/>
        </w:rPr>
        <w:fldChar w:fldCharType="separate"/>
      </w:r>
      <w:r>
        <w:rPr>
          <w:rFonts w:hint="eastAsia"/>
          <w:bCs/>
          <w:szCs w:val="28"/>
          <w:shd w:val="clear" w:color="auto" w:fill="FFFFFF"/>
        </w:rPr>
        <w:t>4.3最高限价</w:t>
      </w:r>
      <w:r>
        <w:tab/>
      </w:r>
      <w:r>
        <w:fldChar w:fldCharType="begin"/>
      </w:r>
      <w:r>
        <w:instrText xml:space="preserve"> PAGEREF _Toc14532 \h </w:instrText>
      </w:r>
      <w:r>
        <w:fldChar w:fldCharType="separate"/>
      </w:r>
      <w:r>
        <w:t>50</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_Toc3399 </w:instrText>
      </w:r>
      <w:r>
        <w:rPr>
          <w:szCs w:val="20"/>
          <w:shd w:val="clear" w:color="auto" w:fill="FFFFFF"/>
        </w:rPr>
        <w:fldChar w:fldCharType="separate"/>
      </w:r>
      <w:r>
        <w:rPr>
          <w:rFonts w:hint="eastAsia"/>
          <w:bCs/>
          <w:iCs/>
          <w:kern w:val="0"/>
          <w:szCs w:val="28"/>
          <w:shd w:val="clear" w:color="auto" w:fill="FFFFFF"/>
        </w:rPr>
        <w:t>4.4其他要求</w:t>
      </w:r>
      <w:r>
        <w:tab/>
      </w:r>
      <w:r>
        <w:fldChar w:fldCharType="begin"/>
      </w:r>
      <w:r>
        <w:instrText xml:space="preserve"> PAGEREF _Toc3399 \h </w:instrText>
      </w:r>
      <w:r>
        <w:fldChar w:fldCharType="separate"/>
      </w:r>
      <w:r>
        <w:t>50</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_Toc5508 </w:instrText>
      </w:r>
      <w:r>
        <w:rPr>
          <w:szCs w:val="20"/>
          <w:shd w:val="clear" w:color="auto" w:fill="FFFFFF"/>
        </w:rPr>
        <w:fldChar w:fldCharType="separate"/>
      </w:r>
      <w:r>
        <w:rPr>
          <w:rFonts w:hint="eastAsia"/>
          <w:shd w:val="clear" w:color="auto" w:fill="FFFFFF"/>
        </w:rPr>
        <w:t>第5章 磋商办法</w:t>
      </w:r>
      <w:r>
        <w:tab/>
      </w:r>
      <w:r>
        <w:fldChar w:fldCharType="begin"/>
      </w:r>
      <w:r>
        <w:instrText xml:space="preserve"> PAGEREF _Toc5508 \h </w:instrText>
      </w:r>
      <w:r>
        <w:fldChar w:fldCharType="separate"/>
      </w:r>
      <w:r>
        <w:t>67</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_Toc12435 </w:instrText>
      </w:r>
      <w:r>
        <w:rPr>
          <w:szCs w:val="20"/>
          <w:shd w:val="clear" w:color="auto" w:fill="FFFFFF"/>
        </w:rPr>
        <w:fldChar w:fldCharType="separate"/>
      </w:r>
      <w:r>
        <w:rPr>
          <w:rFonts w:hint="eastAsia"/>
          <w:shd w:val="clear" w:color="auto" w:fill="FFFFFF"/>
        </w:rPr>
        <w:t>5.1总则</w:t>
      </w:r>
      <w:r>
        <w:tab/>
      </w:r>
      <w:r>
        <w:fldChar w:fldCharType="begin"/>
      </w:r>
      <w:r>
        <w:instrText xml:space="preserve"> PAGEREF _Toc12435 \h </w:instrText>
      </w:r>
      <w:r>
        <w:fldChar w:fldCharType="separate"/>
      </w:r>
      <w:r>
        <w:t>68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_Toc26754 </w:instrText>
      </w:r>
      <w:r>
        <w:rPr>
          <w:szCs w:val="20"/>
          <w:shd w:val="clear" w:color="auto" w:fill="FFFFFF"/>
        </w:rPr>
        <w:fldChar w:fldCharType="separate"/>
      </w:r>
      <w:r>
        <w:rPr>
          <w:rFonts w:hint="eastAsia"/>
          <w:shd w:val="clear" w:color="auto" w:fill="FFFFFF"/>
        </w:rPr>
        <w:t>5.2磋商程序</w:t>
      </w:r>
      <w:r>
        <w:tab/>
      </w:r>
      <w:r>
        <w:fldChar w:fldCharType="begin"/>
      </w:r>
      <w:r>
        <w:instrText xml:space="preserve"> PAGEREF _Toc26754 \h </w:instrText>
      </w:r>
      <w:r>
        <w:fldChar w:fldCharType="separate"/>
      </w:r>
      <w:r>
        <w:t>69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_Toc5459 </w:instrText>
      </w:r>
      <w:r>
        <w:rPr>
          <w:szCs w:val="20"/>
          <w:shd w:val="clear" w:color="auto" w:fill="FFFFFF"/>
        </w:rPr>
        <w:fldChar w:fldCharType="separate"/>
      </w:r>
      <w:r>
        <w:rPr>
          <w:rFonts w:hint="eastAsia"/>
          <w:highlight w:val="none"/>
        </w:rPr>
        <w:t>5.2.</w:t>
      </w:r>
      <w:r>
        <w:rPr>
          <w:rFonts w:hint="eastAsia"/>
          <w:highlight w:val="none"/>
          <w:lang w:val="en-US" w:eastAsia="zh-CN"/>
        </w:rPr>
        <w:t>2</w:t>
      </w:r>
      <w:r>
        <w:rPr>
          <w:rFonts w:hint="eastAsia"/>
          <w:highlight w:val="none"/>
        </w:rPr>
        <w:t>资格性审查</w:t>
      </w:r>
      <w:r>
        <w:tab/>
      </w:r>
      <w:r>
        <w:fldChar w:fldCharType="begin"/>
      </w:r>
      <w:r>
        <w:instrText xml:space="preserve"> PAGEREF _Toc5459 \h </w:instrText>
      </w:r>
      <w:r>
        <w:fldChar w:fldCharType="separate"/>
      </w:r>
      <w:r>
        <w:t>69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_Toc22015 </w:instrText>
      </w:r>
      <w:r>
        <w:rPr>
          <w:szCs w:val="20"/>
          <w:shd w:val="clear" w:color="auto" w:fill="FFFFFF"/>
        </w:rPr>
        <w:fldChar w:fldCharType="separate"/>
      </w:r>
      <w:r>
        <w:rPr>
          <w:rFonts w:hint="eastAsia"/>
          <w:highlight w:val="none"/>
          <w:lang w:val="en-US" w:eastAsia="zh-CN"/>
        </w:rPr>
        <w:t>5.2.3符合性审查</w:t>
      </w:r>
      <w:r>
        <w:tab/>
      </w:r>
      <w:r>
        <w:fldChar w:fldCharType="begin"/>
      </w:r>
      <w:r>
        <w:instrText xml:space="preserve"> PAGEREF _Toc22015 \h </w:instrText>
      </w:r>
      <w:r>
        <w:fldChar w:fldCharType="separate"/>
      </w:r>
      <w:r>
        <w:t>72</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_Toc32767 </w:instrText>
      </w:r>
      <w:r>
        <w:rPr>
          <w:szCs w:val="20"/>
          <w:shd w:val="clear" w:color="auto" w:fill="FFFFFF"/>
        </w:rPr>
        <w:fldChar w:fldCharType="separate"/>
      </w:r>
      <w:r>
        <w:rPr>
          <w:rFonts w:hint="eastAsia"/>
          <w:highlight w:val="none"/>
        </w:rPr>
        <w:t>5.2.</w:t>
      </w:r>
      <w:r>
        <w:rPr>
          <w:rFonts w:hint="eastAsia"/>
          <w:highlight w:val="none"/>
          <w:lang w:val="en-US" w:eastAsia="zh-CN"/>
        </w:rPr>
        <w:t>4</w:t>
      </w:r>
      <w:r>
        <w:rPr>
          <w:rFonts w:hint="eastAsia"/>
          <w:highlight w:val="none"/>
        </w:rPr>
        <w:t>磋商</w:t>
      </w:r>
      <w:r>
        <w:tab/>
      </w:r>
      <w:r>
        <w:fldChar w:fldCharType="begin"/>
      </w:r>
      <w:r>
        <w:instrText xml:space="preserve"> PAGEREF _Toc32767 \h </w:instrText>
      </w:r>
      <w:r>
        <w:fldChar w:fldCharType="separate"/>
      </w:r>
      <w:r>
        <w:t>73</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_Toc29654 </w:instrText>
      </w:r>
      <w:r>
        <w:rPr>
          <w:szCs w:val="20"/>
          <w:shd w:val="clear" w:color="auto" w:fill="FFFFFF"/>
        </w:rPr>
        <w:fldChar w:fldCharType="separate"/>
      </w:r>
      <w:r>
        <w:rPr>
          <w:rFonts w:hint="eastAsia"/>
          <w:highlight w:val="none"/>
        </w:rPr>
        <w:t>5.2.</w:t>
      </w:r>
      <w:r>
        <w:rPr>
          <w:rFonts w:hint="eastAsia"/>
          <w:highlight w:val="none"/>
          <w:lang w:val="en-US" w:eastAsia="zh-CN"/>
        </w:rPr>
        <w:t>5</w:t>
      </w:r>
      <w:r>
        <w:rPr>
          <w:rFonts w:hint="eastAsia"/>
          <w:highlight w:val="none"/>
        </w:rPr>
        <w:t>最后报价审查</w:t>
      </w:r>
      <w:r>
        <w:tab/>
      </w:r>
      <w:r>
        <w:fldChar w:fldCharType="begin"/>
      </w:r>
      <w:r>
        <w:instrText xml:space="preserve"> PAGEREF _Toc29654 \h </w:instrText>
      </w:r>
      <w:r>
        <w:fldChar w:fldCharType="separate"/>
      </w:r>
      <w:r>
        <w:t>75</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_Toc16894 </w:instrText>
      </w:r>
      <w:r>
        <w:rPr>
          <w:szCs w:val="20"/>
          <w:shd w:val="clear" w:color="auto" w:fill="FFFFFF"/>
        </w:rPr>
        <w:fldChar w:fldCharType="separate"/>
      </w:r>
      <w:r>
        <w:rPr>
          <w:rFonts w:hint="eastAsia"/>
          <w:highlight w:val="none"/>
        </w:rPr>
        <w:t>5.2.</w:t>
      </w:r>
      <w:r>
        <w:rPr>
          <w:rFonts w:hint="eastAsia"/>
          <w:highlight w:val="none"/>
          <w:lang w:val="en-US" w:eastAsia="zh-CN"/>
        </w:rPr>
        <w:t>6</w:t>
      </w:r>
      <w:r>
        <w:rPr>
          <w:rFonts w:hint="eastAsia"/>
          <w:highlight w:val="none"/>
        </w:rPr>
        <w:t>解释、澄清、说明的有关问题</w:t>
      </w:r>
      <w:r>
        <w:tab/>
      </w:r>
      <w:r>
        <w:fldChar w:fldCharType="begin"/>
      </w:r>
      <w:r>
        <w:instrText xml:space="preserve"> PAGEREF _Toc16894 \h </w:instrText>
      </w:r>
      <w:r>
        <w:fldChar w:fldCharType="separate"/>
      </w:r>
      <w:r>
        <w:t>76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_Toc7406 </w:instrText>
      </w:r>
      <w:r>
        <w:rPr>
          <w:szCs w:val="20"/>
          <w:shd w:val="clear" w:color="auto" w:fill="FFFFFF"/>
        </w:rPr>
        <w:fldChar w:fldCharType="separate"/>
      </w:r>
      <w:r>
        <w:rPr>
          <w:rFonts w:hint="eastAsia"/>
          <w:highlight w:val="none"/>
        </w:rPr>
        <w:t>5.2.</w:t>
      </w:r>
      <w:r>
        <w:rPr>
          <w:rFonts w:hint="eastAsia"/>
          <w:highlight w:val="none"/>
          <w:lang w:val="en-US" w:eastAsia="zh-CN"/>
        </w:rPr>
        <w:t>7</w:t>
      </w:r>
      <w:r>
        <w:rPr>
          <w:highlight w:val="none"/>
        </w:rPr>
        <w:t>复核</w:t>
      </w:r>
      <w:r>
        <w:tab/>
      </w:r>
      <w:r>
        <w:fldChar w:fldCharType="begin"/>
      </w:r>
      <w:r>
        <w:instrText xml:space="preserve"> PAGEREF _Toc7406 \h </w:instrText>
      </w:r>
      <w:r>
        <w:fldChar w:fldCharType="separate"/>
      </w:r>
      <w:r>
        <w:t>76</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_Toc13466 </w:instrText>
      </w:r>
      <w:r>
        <w:rPr>
          <w:szCs w:val="20"/>
          <w:shd w:val="clear" w:color="auto" w:fill="FFFFFF"/>
        </w:rPr>
        <w:fldChar w:fldCharType="separate"/>
      </w:r>
      <w:r>
        <w:rPr>
          <w:rFonts w:hint="eastAsia"/>
          <w:highlight w:val="none"/>
        </w:rPr>
        <w:t>5.2.</w:t>
      </w:r>
      <w:r>
        <w:rPr>
          <w:rFonts w:hint="eastAsia"/>
          <w:highlight w:val="none"/>
          <w:lang w:val="en-US" w:eastAsia="zh-CN"/>
        </w:rPr>
        <w:t>8</w:t>
      </w:r>
      <w:r>
        <w:rPr>
          <w:rFonts w:hint="eastAsia"/>
          <w:highlight w:val="none"/>
        </w:rPr>
        <w:t>推荐成交候选供应商</w:t>
      </w:r>
      <w:r>
        <w:tab/>
      </w:r>
      <w:r>
        <w:fldChar w:fldCharType="begin"/>
      </w:r>
      <w:r>
        <w:instrText xml:space="preserve"> PAGEREF _Toc13466 \h </w:instrText>
      </w:r>
      <w:r>
        <w:fldChar w:fldCharType="separate"/>
      </w:r>
      <w:r>
        <w:t>77</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_Toc12915 </w:instrText>
      </w:r>
      <w:r>
        <w:rPr>
          <w:szCs w:val="20"/>
          <w:shd w:val="clear" w:color="auto" w:fill="FFFFFF"/>
        </w:rPr>
        <w:fldChar w:fldCharType="separate"/>
      </w:r>
      <w:r>
        <w:rPr>
          <w:rFonts w:hint="eastAsia"/>
          <w:highlight w:val="none"/>
          <w:lang w:val="en-US" w:eastAsia="zh-CN"/>
        </w:rPr>
        <w:t>5.2.9编写评审报告</w:t>
      </w:r>
      <w:r>
        <w:tab/>
      </w:r>
      <w:r>
        <w:fldChar w:fldCharType="begin"/>
      </w:r>
      <w:r>
        <w:instrText xml:space="preserve"> PAGEREF _Toc12915 \h </w:instrText>
      </w:r>
      <w:r>
        <w:fldChar w:fldCharType="separate"/>
      </w:r>
      <w:r>
        <w:t>78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_Toc1134 </w:instrText>
      </w:r>
      <w:r>
        <w:rPr>
          <w:szCs w:val="20"/>
          <w:shd w:val="clear" w:color="auto" w:fill="FFFFFF"/>
        </w:rPr>
        <w:fldChar w:fldCharType="separate"/>
      </w:r>
      <w:r>
        <w:rPr>
          <w:rFonts w:hint="eastAsia"/>
          <w:highlight w:val="none"/>
        </w:rPr>
        <w:t>5.3磋商</w:t>
      </w:r>
      <w:r>
        <w:rPr>
          <w:highlight w:val="none"/>
        </w:rPr>
        <w:t>异议</w:t>
      </w:r>
      <w:r>
        <w:rPr>
          <w:rFonts w:hint="eastAsia"/>
          <w:highlight w:val="none"/>
        </w:rPr>
        <w:t>处理</w:t>
      </w:r>
      <w:r>
        <w:tab/>
      </w:r>
      <w:r>
        <w:fldChar w:fldCharType="begin"/>
      </w:r>
      <w:r>
        <w:instrText xml:space="preserve"> PAGEREF _Toc1134 \h </w:instrText>
      </w:r>
      <w:r>
        <w:fldChar w:fldCharType="separate"/>
      </w:r>
      <w:r>
        <w:t>78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_Toc7349 </w:instrText>
      </w:r>
      <w:r>
        <w:rPr>
          <w:szCs w:val="20"/>
          <w:shd w:val="clear" w:color="auto" w:fill="FFFFFF"/>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w:t>
      </w:r>
      <w:r>
        <w:rPr>
          <w:rFonts w:hint="eastAsia" w:ascii="宋体" w:hAnsi="宋体" w:cs="Times New Roman"/>
          <w:bCs/>
          <w:highlight w:val="none"/>
        </w:rPr>
        <w:t>评审办法和标准</w:t>
      </w:r>
      <w:r>
        <w:tab/>
      </w:r>
      <w:r>
        <w:fldChar w:fldCharType="begin"/>
      </w:r>
      <w:r>
        <w:instrText xml:space="preserve"> PAGEREF _Toc7349 \h </w:instrText>
      </w:r>
      <w:r>
        <w:fldChar w:fldCharType="separate"/>
      </w:r>
      <w:r>
        <w:t>78</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_Toc23082 </w:instrText>
      </w:r>
      <w:r>
        <w:rPr>
          <w:szCs w:val="20"/>
          <w:shd w:val="clear" w:color="auto" w:fill="FFFFFF"/>
        </w:rPr>
        <w:fldChar w:fldCharType="separate"/>
      </w:r>
      <w:r>
        <w:rPr>
          <w:rFonts w:hint="eastAsia" w:ascii="宋体" w:hAnsi="宋体" w:cs="Times New Roman"/>
          <w:bCs/>
          <w:highlight w:val="none"/>
          <w:lang w:val="en-US" w:eastAsia="zh-CN"/>
        </w:rPr>
        <w:t>5.</w:t>
      </w:r>
      <w:r>
        <w:rPr>
          <w:rFonts w:hint="eastAsia" w:cs="Times New Roman"/>
          <w:bCs/>
          <w:highlight w:val="none"/>
          <w:lang w:val="en-US" w:eastAsia="zh-CN"/>
        </w:rPr>
        <w:t>4.1</w:t>
      </w:r>
      <w:r>
        <w:rPr>
          <w:rFonts w:hint="eastAsia" w:ascii="宋体" w:hAnsi="宋体" w:cs="Times New Roman"/>
          <w:bCs/>
          <w:highlight w:val="none"/>
          <w:lang w:val="en-US" w:eastAsia="zh-CN"/>
        </w:rPr>
        <w:t>评分办法</w:t>
      </w:r>
      <w:r>
        <w:tab/>
      </w:r>
      <w:r>
        <w:fldChar w:fldCharType="begin"/>
      </w:r>
      <w:r>
        <w:instrText xml:space="preserve"> PAGEREF _Toc23082 \h </w:instrText>
      </w:r>
      <w:r>
        <w:fldChar w:fldCharType="separate"/>
      </w:r>
      <w:r>
        <w:t>79</w:t>
      </w:r>
      <w:r>
        <w:fldChar w:fldCharType="end"/>
      </w:r>
      <w:r>
        <w:rPr>
          <w:color w:val="000000"/>
          <w:szCs w:val="20"/>
          <w:shd w:val="clear" w:color="auto" w:fill="FFFFFF"/>
        </w:rPr>
        <w:fldChar w:fldCharType="end"/>
      </w:r>
    </w:p>
    <w:p>
      <w:pPr>
        <w:pStyle w:val="23"/>
        <w:tabs>
          <w:tab w:val="right" w:leader="dot" w:pos="9214"/>
        </w:tabs>
      </w:pPr>
      <w:r>
        <w:rPr>
          <w:color w:val="000000"/>
          <w:szCs w:val="20"/>
          <w:shd w:val="clear" w:color="auto" w:fill="FFFFFF"/>
        </w:rPr>
        <w:fldChar w:fldCharType="begin"/>
      </w:r>
      <w:r>
        <w:rPr>
          <w:szCs w:val="20"/>
          <w:shd w:val="clear" w:color="auto" w:fill="FFFFFF"/>
        </w:rPr>
        <w:instrText xml:space="preserve"> HYPERLINK \l _Toc15392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4</w:t>
      </w:r>
      <w:r>
        <w:rPr>
          <w:rFonts w:hint="eastAsia"/>
          <w:shd w:val="clear" w:color="auto" w:fill="FFFFFF"/>
        </w:rPr>
        <w:t>.2评分标准</w:t>
      </w:r>
      <w:r>
        <w:tab/>
      </w:r>
      <w:r>
        <w:fldChar w:fldCharType="begin"/>
      </w:r>
      <w:r>
        <w:instrText xml:space="preserve"> PAGEREF _Toc15392 \h </w:instrText>
      </w:r>
      <w:r>
        <w:fldChar w:fldCharType="separate"/>
      </w:r>
      <w:r>
        <w:t>79</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_Toc3911 </w:instrText>
      </w:r>
      <w:r>
        <w:rPr>
          <w:szCs w:val="20"/>
          <w:shd w:val="clear" w:color="auto" w:fill="FFFFFF"/>
        </w:rPr>
        <w:fldChar w:fldCharType="separate"/>
      </w:r>
      <w:r>
        <w:rPr>
          <w:rFonts w:hint="eastAsia" w:ascii="宋体" w:hAnsi="宋体" w:eastAsia="宋体" w:cs="Times New Roman"/>
          <w:highlight w:val="none"/>
          <w:lang w:val="en-US" w:eastAsia="zh-CN"/>
        </w:rPr>
        <w:t>5.5采购失败情形</w:t>
      </w:r>
      <w:r>
        <w:tab/>
      </w:r>
      <w:r>
        <w:fldChar w:fldCharType="begin"/>
      </w:r>
      <w:r>
        <w:instrText xml:space="preserve"> PAGEREF _Toc3911 \h </w:instrText>
      </w:r>
      <w:r>
        <w:fldChar w:fldCharType="separate"/>
      </w:r>
      <w:r>
        <w:t>81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_Toc19856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6</w:t>
      </w:r>
      <w:r>
        <w:rPr>
          <w:rFonts w:hint="eastAsia"/>
          <w:shd w:val="clear" w:color="auto" w:fill="FFFFFF"/>
        </w:rPr>
        <w:t>确定成交供应商</w:t>
      </w:r>
      <w:r>
        <w:tab/>
      </w:r>
      <w:r>
        <w:fldChar w:fldCharType="begin"/>
      </w:r>
      <w:r>
        <w:instrText xml:space="preserve"> PAGEREF _Toc19856 \h </w:instrText>
      </w:r>
      <w:r>
        <w:fldChar w:fldCharType="separate"/>
      </w:r>
      <w:r>
        <w:t>81</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_Toc6101 </w:instrText>
      </w:r>
      <w:r>
        <w:rPr>
          <w:szCs w:val="20"/>
          <w:shd w:val="clear" w:color="auto" w:fill="FFFFFF"/>
        </w:rPr>
        <w:fldChar w:fldCharType="separate"/>
      </w:r>
      <w:r>
        <w:rPr>
          <w:rFonts w:hint="eastAsia"/>
          <w:shd w:val="clear" w:color="auto" w:fill="FFFFFF"/>
        </w:rPr>
        <w:t>5.</w:t>
      </w:r>
      <w:r>
        <w:rPr>
          <w:rFonts w:hint="eastAsia"/>
          <w:shd w:val="clear" w:color="auto" w:fill="FFFFFF"/>
          <w:lang w:val="en-US" w:eastAsia="zh-CN"/>
        </w:rPr>
        <w:t>7</w:t>
      </w:r>
      <w:r>
        <w:rPr>
          <w:rFonts w:hint="eastAsia"/>
          <w:shd w:val="clear" w:color="auto" w:fill="FFFFFF"/>
        </w:rPr>
        <w:t>磋商小组成员义务</w:t>
      </w:r>
      <w:r>
        <w:tab/>
      </w:r>
      <w:r>
        <w:fldChar w:fldCharType="begin"/>
      </w:r>
      <w:r>
        <w:instrText xml:space="preserve"> PAGEREF _Toc6101 \h </w:instrText>
      </w:r>
      <w:r>
        <w:fldChar w:fldCharType="separate"/>
      </w:r>
      <w:r>
        <w:t>82</w:t>
      </w:r>
      <w:r>
        <w:fldChar w:fldCharType="end"/>
      </w:r>
      <w:r>
        <w:rPr>
          <w:color w:val="000000"/>
          <w:szCs w:val="20"/>
          <w:shd w:val="clear" w:color="auto" w:fill="FFFFFF"/>
        </w:rPr>
        <w:fldChar w:fldCharType="end"/>
      </w:r>
    </w:p>
    <w:p>
      <w:pPr>
        <w:pStyle w:val="35"/>
        <w:tabs>
          <w:tab w:val="right" w:leader="dot" w:pos="9214"/>
        </w:tabs>
      </w:pPr>
      <w:r>
        <w:rPr>
          <w:color w:val="000000"/>
          <w:szCs w:val="20"/>
          <w:shd w:val="clear" w:color="auto" w:fill="FFFFFF"/>
        </w:rPr>
        <w:fldChar w:fldCharType="begin"/>
      </w:r>
      <w:r>
        <w:rPr>
          <w:szCs w:val="20"/>
          <w:shd w:val="clear" w:color="auto" w:fill="FFFFFF"/>
        </w:rPr>
        <w:instrText xml:space="preserve"> HYPERLINK \l _Toc1303 </w:instrText>
      </w:r>
      <w:r>
        <w:rPr>
          <w:szCs w:val="20"/>
          <w:shd w:val="clear" w:color="auto" w:fill="FFFFFF"/>
        </w:rPr>
        <w:fldChar w:fldCharType="separate"/>
      </w:r>
      <w:r>
        <w:rPr>
          <w:rFonts w:hint="eastAsia"/>
          <w:highlight w:val="none"/>
          <w:lang w:val="en-US" w:eastAsia="zh-CN"/>
        </w:rPr>
        <w:t>5.8</w:t>
      </w:r>
      <w:r>
        <w:rPr>
          <w:rFonts w:hint="eastAsia"/>
          <w:highlight w:val="none"/>
        </w:rPr>
        <w:t>磋商纪律</w:t>
      </w:r>
      <w:r>
        <w:tab/>
      </w:r>
      <w:r>
        <w:fldChar w:fldCharType="begin"/>
      </w:r>
      <w:r>
        <w:instrText xml:space="preserve"> PAGEREF _Toc1303 \h </w:instrText>
      </w:r>
      <w:r>
        <w:fldChar w:fldCharType="separate"/>
      </w:r>
      <w:r>
        <w:t>82</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_Toc1746 </w:instrText>
      </w:r>
      <w:r>
        <w:rPr>
          <w:szCs w:val="20"/>
          <w:shd w:val="clear" w:color="auto" w:fill="FFFFFF"/>
        </w:rPr>
        <w:fldChar w:fldCharType="separate"/>
      </w:r>
      <w:r>
        <w:rPr>
          <w:rFonts w:hint="eastAsia"/>
          <w:shd w:val="clear" w:color="auto" w:fill="FFFFFF"/>
        </w:rPr>
        <w:t>第6章 合同主要条款</w:t>
      </w:r>
      <w:r>
        <w:tab/>
      </w:r>
      <w:r>
        <w:fldChar w:fldCharType="begin"/>
      </w:r>
      <w:r>
        <w:instrText xml:space="preserve"> PAGEREF _Toc1746 \h </w:instrText>
      </w:r>
      <w:r>
        <w:fldChar w:fldCharType="separate"/>
      </w:r>
      <w:r>
        <w:t>84</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_Toc23567 </w:instrText>
      </w:r>
      <w:r>
        <w:rPr>
          <w:szCs w:val="20"/>
          <w:shd w:val="clear" w:color="auto" w:fill="FFFFFF"/>
        </w:rPr>
        <w:fldChar w:fldCharType="separate"/>
      </w:r>
      <w:r>
        <w:rPr>
          <w:rFonts w:hint="eastAsia"/>
          <w:bCs/>
          <w:spacing w:val="-20"/>
          <w:kern w:val="44"/>
          <w:szCs w:val="32"/>
        </w:rPr>
        <w:t>拟定签订合同文本</w:t>
      </w:r>
      <w:r>
        <w:tab/>
      </w:r>
      <w:r>
        <w:fldChar w:fldCharType="begin"/>
      </w:r>
      <w:r>
        <w:instrText xml:space="preserve"> PAGEREF _Toc23567 \h </w:instrText>
      </w:r>
      <w:r>
        <w:fldChar w:fldCharType="separate"/>
      </w:r>
      <w:r>
        <w:t>84</w:t>
      </w:r>
      <w:r>
        <w:fldChar w:fldCharType="end"/>
      </w:r>
      <w:r>
        <w:rPr>
          <w:color w:val="000000"/>
          <w:szCs w:val="20"/>
          <w:shd w:val="clear" w:color="auto" w:fill="FFFFFF"/>
        </w:rPr>
        <w:fldChar w:fldCharType="end"/>
      </w:r>
    </w:p>
    <w:p>
      <w:pPr>
        <w:pStyle w:val="31"/>
        <w:tabs>
          <w:tab w:val="right" w:leader="dot" w:pos="9214"/>
          <w:tab w:val="clear" w:pos="840"/>
          <w:tab w:val="clear" w:pos="9204"/>
        </w:tabs>
      </w:pPr>
      <w:r>
        <w:rPr>
          <w:color w:val="000000"/>
          <w:szCs w:val="20"/>
          <w:shd w:val="clear" w:color="auto" w:fill="FFFFFF"/>
        </w:rPr>
        <w:fldChar w:fldCharType="begin"/>
      </w:r>
      <w:r>
        <w:rPr>
          <w:szCs w:val="20"/>
          <w:shd w:val="clear" w:color="auto" w:fill="FFFFFF"/>
        </w:rPr>
        <w:instrText xml:space="preserve"> HYPERLINK \l _Toc26689 </w:instrText>
      </w:r>
      <w:r>
        <w:rPr>
          <w:szCs w:val="20"/>
          <w:shd w:val="clear" w:color="auto" w:fill="FFFFFF"/>
        </w:rPr>
        <w:fldChar w:fldCharType="separate"/>
      </w:r>
      <w:r>
        <w:rPr>
          <w:rFonts w:hint="eastAsia"/>
          <w:bCs w:val="0"/>
          <w:szCs w:val="27"/>
          <w:highlight w:val="none"/>
          <w:shd w:val="clear" w:color="auto" w:fill="FFFFFF"/>
        </w:rPr>
        <w:t>成都市温江区财政局关于公布温江区首批支持中小企业政府采购信用融资银行名单的公告</w:t>
      </w:r>
      <w:r>
        <w:tab/>
      </w:r>
      <w:r>
        <w:fldChar w:fldCharType="begin"/>
      </w:r>
      <w:r>
        <w:instrText xml:space="preserve"> PAGEREF _Toc26689 \h </w:instrText>
      </w:r>
      <w:r>
        <w:fldChar w:fldCharType="separate"/>
      </w:r>
      <w:r>
        <w:t>91</w:t>
      </w:r>
      <w:r>
        <w:fldChar w:fldCharType="end"/>
      </w:r>
      <w:r>
        <w:rPr>
          <w:color w:val="000000"/>
          <w:szCs w:val="20"/>
          <w:shd w:val="clear" w:color="auto" w:fill="FFFFFF"/>
        </w:rPr>
        <w:fldChar w:fldCharType="end"/>
      </w:r>
    </w:p>
    <w:p>
      <w:pPr>
        <w:pStyle w:val="236"/>
        <w:ind w:firstLine="480"/>
        <w:rPr>
          <w:color w:val="000000"/>
          <w:shd w:val="clear" w:color="auto" w:fill="FFFFFF"/>
        </w:rPr>
      </w:pPr>
      <w:r>
        <w:rPr>
          <w:color w:val="000000"/>
          <w:szCs w:val="20"/>
          <w:shd w:val="clear" w:color="auto" w:fill="FFFFFF"/>
        </w:rPr>
        <w:fldChar w:fldCharType="end"/>
      </w:r>
    </w:p>
    <w:p>
      <w:pPr>
        <w:pStyle w:val="3"/>
        <w:rPr>
          <w:color w:val="000000"/>
          <w:shd w:val="clear" w:color="auto" w:fill="FFFFFF"/>
        </w:rPr>
      </w:pPr>
      <w:bookmarkStart w:id="2" w:name="_Toc12108"/>
      <w:r>
        <w:rPr>
          <w:rFonts w:hint="eastAsia"/>
          <w:color w:val="000000"/>
          <w:shd w:val="clear" w:color="auto" w:fill="FFFFFF"/>
        </w:rPr>
        <w:t>第1章 竞争性磋商邀请</w:t>
      </w:r>
      <w:bookmarkEnd w:id="2"/>
    </w:p>
    <w:p>
      <w:pPr>
        <w:pStyle w:val="113"/>
        <w:ind w:firstLine="562"/>
        <w:rPr>
          <w:color w:val="000000"/>
          <w:sz w:val="28"/>
          <w:szCs w:val="28"/>
          <w:u w:val="single"/>
          <w:shd w:val="clear" w:color="auto" w:fill="FFFFFF"/>
        </w:rPr>
      </w:pPr>
      <w:r>
        <w:rPr>
          <w:rStyle w:val="59"/>
          <w:rFonts w:hint="eastAsia"/>
          <w:color w:val="000000"/>
          <w:sz w:val="28"/>
          <w:shd w:val="clear" w:color="auto" w:fill="FFFFFF"/>
        </w:rPr>
        <w:t>成都市温江区</w:t>
      </w:r>
      <w:r>
        <w:rPr>
          <w:rFonts w:hint="eastAsia"/>
          <w:b/>
          <w:color w:val="000000"/>
          <w:sz w:val="28"/>
          <w:szCs w:val="28"/>
          <w:shd w:val="clear" w:color="auto" w:fill="FFFFFF"/>
        </w:rPr>
        <w:t>公共资源交易服务中心</w:t>
      </w:r>
      <w:r>
        <w:rPr>
          <w:rFonts w:hint="eastAsia"/>
          <w:color w:val="000000"/>
          <w:sz w:val="28"/>
          <w:szCs w:val="28"/>
          <w:shd w:val="clear" w:color="auto" w:fill="FFFFFF"/>
        </w:rPr>
        <w:t>(以下简称“区公资交易中心”)</w:t>
      </w:r>
      <w:r>
        <w:rPr>
          <w:rFonts w:hint="eastAsia"/>
          <w:color w:val="000000"/>
          <w:sz w:val="28"/>
          <w:szCs w:val="28"/>
        </w:rPr>
        <w:t>受</w:t>
      </w:r>
      <w:r>
        <w:rPr>
          <w:rStyle w:val="59"/>
          <w:rFonts w:hint="eastAsia"/>
          <w:color w:val="000000"/>
          <w:sz w:val="28"/>
          <w:shd w:val="clear" w:color="auto" w:fill="FFFFFF"/>
          <w:lang w:eastAsia="zh-CN"/>
        </w:rPr>
        <w:t>成都市温江区第二中学校</w:t>
      </w:r>
      <w:r>
        <w:rPr>
          <w:rFonts w:hint="eastAsia"/>
          <w:color w:val="000000"/>
          <w:sz w:val="28"/>
          <w:szCs w:val="28"/>
        </w:rPr>
        <w:t>委托</w:t>
      </w:r>
      <w:r>
        <w:rPr>
          <w:rFonts w:hint="eastAsia"/>
          <w:color w:val="000000"/>
          <w:sz w:val="28"/>
          <w:szCs w:val="28"/>
          <w:shd w:val="clear" w:color="auto" w:fill="FFFFFF"/>
        </w:rPr>
        <w:t>，拟对</w:t>
      </w:r>
      <w:r>
        <w:rPr>
          <w:rFonts w:hint="eastAsia"/>
          <w:b/>
          <w:bCs/>
          <w:color w:val="000000"/>
          <w:sz w:val="28"/>
          <w:szCs w:val="28"/>
          <w:shd w:val="clear" w:color="auto" w:fill="FFFFFF"/>
        </w:rPr>
        <w:t>机房及创客设备采购项目</w:t>
      </w:r>
      <w:r>
        <w:rPr>
          <w:rFonts w:hint="eastAsia"/>
          <w:color w:val="000000"/>
          <w:sz w:val="28"/>
          <w:szCs w:val="28"/>
          <w:shd w:val="clear" w:color="auto" w:fill="FFFFFF"/>
        </w:rPr>
        <w:t>采用竞争性磋商采购方式进行采购，欢迎供应商参加该项目的竞争性磋商。</w:t>
      </w:r>
    </w:p>
    <w:p>
      <w:pPr>
        <w:pStyle w:val="113"/>
        <w:ind w:firstLine="562"/>
        <w:rPr>
          <w:rFonts w:hint="eastAsia" w:eastAsiaTheme="minorEastAsia"/>
          <w:b/>
          <w:color w:val="000000"/>
          <w:sz w:val="28"/>
          <w:szCs w:val="28"/>
          <w:highlight w:val="none"/>
          <w:shd w:val="clear" w:color="auto" w:fill="FFFFFF"/>
          <w:lang w:eastAsia="zh-CN"/>
        </w:rPr>
      </w:pPr>
      <w:r>
        <w:rPr>
          <w:rFonts w:hint="eastAsia"/>
          <w:b/>
          <w:color w:val="000000"/>
          <w:sz w:val="28"/>
          <w:szCs w:val="28"/>
          <w:shd w:val="clear" w:color="auto" w:fill="FFFFFF"/>
        </w:rPr>
        <w:t>一</w:t>
      </w:r>
      <w:r>
        <w:rPr>
          <w:rFonts w:hint="eastAsia"/>
          <w:b/>
          <w:color w:val="000000"/>
          <w:sz w:val="28"/>
          <w:szCs w:val="28"/>
          <w:highlight w:val="none"/>
          <w:shd w:val="clear" w:color="auto" w:fill="FFFFFF"/>
        </w:rPr>
        <w:t>、项目编号：</w:t>
      </w:r>
      <w:r>
        <w:rPr>
          <w:rFonts w:hint="eastAsia"/>
          <w:b/>
          <w:color w:val="000000"/>
          <w:sz w:val="28"/>
          <w:szCs w:val="28"/>
          <w:highlight w:val="none"/>
          <w:shd w:val="clear" w:color="auto" w:fill="FFFFFF"/>
          <w:lang w:eastAsia="zh-CN"/>
        </w:rPr>
        <w:t>温江政采（2021）A0063号</w:t>
      </w:r>
    </w:p>
    <w:p>
      <w:pPr>
        <w:pStyle w:val="361"/>
        <w:rPr>
          <w:sz w:val="28"/>
          <w:szCs w:val="28"/>
          <w:highlight w:val="none"/>
        </w:rPr>
      </w:pPr>
      <w:r>
        <w:rPr>
          <w:rFonts w:hint="eastAsia"/>
          <w:b/>
          <w:color w:val="000000"/>
          <w:sz w:val="28"/>
          <w:szCs w:val="28"/>
          <w:highlight w:val="none"/>
          <w:shd w:val="clear" w:color="auto" w:fill="FFFFFF"/>
        </w:rPr>
        <w:t>（采购项目编号：</w:t>
      </w:r>
      <w:r>
        <w:rPr>
          <w:sz w:val="28"/>
          <w:szCs w:val="28"/>
          <w:highlight w:val="none"/>
        </w:rPr>
        <w:t>窗体顶端</w:t>
      </w:r>
    </w:p>
    <w:p>
      <w:pPr>
        <w:pStyle w:val="113"/>
        <w:ind w:firstLine="975" w:firstLineChars="347"/>
        <w:rPr>
          <w:rFonts w:eastAsia="宋体" w:cs="Times New Roman"/>
          <w:color w:val="000000"/>
          <w:sz w:val="28"/>
          <w:szCs w:val="28"/>
          <w:highlight w:val="none"/>
          <w:shd w:val="clear" w:color="auto" w:fill="FFFFFF"/>
        </w:rPr>
      </w:pPr>
      <w:r>
        <w:rPr>
          <w:rFonts w:hint="eastAsia"/>
          <w:b/>
          <w:sz w:val="28"/>
          <w:szCs w:val="28"/>
          <w:highlight w:val="none"/>
        </w:rPr>
        <w:t>（采购项</w:t>
      </w:r>
      <w:r>
        <w:rPr>
          <w:rFonts w:hint="eastAsia" w:eastAsia="宋体" w:cs="Times New Roman"/>
          <w:b/>
          <w:sz w:val="28"/>
          <w:szCs w:val="28"/>
          <w:highlight w:val="none"/>
        </w:rPr>
        <w:t>目编号：510115202100214）</w:t>
      </w:r>
    </w:p>
    <w:p>
      <w:pPr>
        <w:pStyle w:val="363"/>
        <w:rPr>
          <w:sz w:val="28"/>
          <w:szCs w:val="28"/>
          <w:highlight w:val="none"/>
        </w:rPr>
      </w:pPr>
      <w:r>
        <w:rPr>
          <w:sz w:val="28"/>
          <w:szCs w:val="28"/>
          <w:highlight w:val="none"/>
        </w:rPr>
        <w:t>窗体底端</w:t>
      </w:r>
    </w:p>
    <w:p>
      <w:pPr>
        <w:pStyle w:val="113"/>
        <w:numPr>
          <w:ilvl w:val="0"/>
          <w:numId w:val="1"/>
        </w:numPr>
        <w:ind w:firstLine="562"/>
        <w:rPr>
          <w:rFonts w:hint="eastAsia"/>
          <w:b/>
          <w:bCs/>
          <w:color w:val="000000"/>
          <w:sz w:val="28"/>
          <w:szCs w:val="28"/>
          <w:highlight w:val="none"/>
          <w:shd w:val="clear" w:color="auto" w:fill="FFFFFF"/>
          <w:lang w:eastAsia="zh-CN"/>
        </w:rPr>
      </w:pPr>
      <w:r>
        <w:rPr>
          <w:rFonts w:hint="eastAsia"/>
          <w:b/>
          <w:color w:val="000000"/>
          <w:sz w:val="28"/>
          <w:szCs w:val="28"/>
          <w:highlight w:val="none"/>
          <w:shd w:val="clear" w:color="auto" w:fill="FFFFFF"/>
        </w:rPr>
        <w:t>项目名称：</w:t>
      </w:r>
      <w:r>
        <w:rPr>
          <w:rFonts w:hint="eastAsia"/>
          <w:b/>
          <w:bCs/>
          <w:color w:val="000000"/>
          <w:sz w:val="28"/>
          <w:szCs w:val="28"/>
          <w:highlight w:val="none"/>
          <w:shd w:val="clear" w:color="auto" w:fill="FFFFFF"/>
          <w:lang w:eastAsia="zh-CN"/>
        </w:rPr>
        <w:t>成都市温江区第二中学校机房及创客设备采购项目</w:t>
      </w:r>
    </w:p>
    <w:p>
      <w:pPr>
        <w:pStyle w:val="113"/>
        <w:numPr>
          <w:ilvl w:val="0"/>
          <w:numId w:val="1"/>
        </w:numPr>
        <w:ind w:firstLine="562"/>
        <w:rPr>
          <w:color w:val="000000"/>
          <w:kern w:val="0"/>
          <w:sz w:val="28"/>
          <w:szCs w:val="28"/>
        </w:rPr>
      </w:pPr>
      <w:r>
        <w:rPr>
          <w:rFonts w:hint="eastAsia" w:eastAsia="宋体" w:cs="Times New Roman"/>
          <w:b/>
          <w:color w:val="000000"/>
          <w:sz w:val="28"/>
          <w:szCs w:val="28"/>
          <w:highlight w:val="none"/>
          <w:shd w:val="clear" w:color="auto" w:fill="FFFFFF"/>
        </w:rPr>
        <w:t>资金来源、预算金额：</w:t>
      </w:r>
      <w:r>
        <w:rPr>
          <w:rFonts w:hint="eastAsia" w:eastAsia="宋体" w:cs="Times New Roman"/>
          <w:color w:val="000000"/>
          <w:sz w:val="28"/>
          <w:szCs w:val="28"/>
          <w:highlight w:val="none"/>
          <w:shd w:val="clear" w:color="auto" w:fill="FFFFFF"/>
        </w:rPr>
        <w:t>财政性资金</w:t>
      </w:r>
      <w:r>
        <w:rPr>
          <w:rFonts w:hint="eastAsia" w:eastAsia="宋体" w:cs="Times New Roman"/>
          <w:color w:val="000000"/>
          <w:sz w:val="28"/>
          <w:szCs w:val="28"/>
          <w:shd w:val="clear" w:color="auto" w:fill="FFFFFF"/>
        </w:rPr>
        <w:t>，政府采购计划号：SCZC510115605613_20210004</w:t>
      </w:r>
      <w:r>
        <w:rPr>
          <w:rFonts w:hint="eastAsia" w:eastAsia="宋体" w:cs="Times New Roman"/>
          <w:sz w:val="28"/>
          <w:szCs w:val="28"/>
        </w:rPr>
        <w:t>；</w:t>
      </w:r>
      <w:r>
        <w:rPr>
          <w:rFonts w:hint="eastAsia" w:eastAsia="宋体" w:cs="Times New Roman"/>
          <w:color w:val="000000"/>
          <w:sz w:val="28"/>
          <w:szCs w:val="28"/>
          <w:shd w:val="clear" w:color="auto" w:fill="FFFFFF"/>
        </w:rPr>
        <w:t>预算品目：A033412教学专用仪器；预算金额：</w:t>
      </w:r>
      <w:r>
        <w:rPr>
          <w:rFonts w:hint="eastAsia" w:eastAsia="宋体" w:cs="Times New Roman"/>
          <w:color w:val="000000"/>
          <w:sz w:val="28"/>
          <w:szCs w:val="28"/>
          <w:shd w:val="clear" w:color="auto" w:fill="FFFFFF"/>
          <w:lang w:val="en-US" w:eastAsia="zh-CN"/>
        </w:rPr>
        <w:t>976500</w:t>
      </w:r>
      <w:r>
        <w:rPr>
          <w:rFonts w:hint="eastAsia" w:eastAsia="宋体" w:cs="Times New Roman"/>
          <w:color w:val="000000"/>
          <w:sz w:val="28"/>
          <w:szCs w:val="28"/>
          <w:shd w:val="clear" w:color="auto" w:fill="FFFFFF"/>
          <w:lang w:eastAsia="zh-CN"/>
        </w:rPr>
        <w:t>元</w:t>
      </w:r>
      <w:r>
        <w:rPr>
          <w:rFonts w:hint="eastAsia" w:eastAsia="宋体" w:cs="Times New Roman"/>
          <w:color w:val="000000"/>
          <w:sz w:val="28"/>
          <w:szCs w:val="28"/>
          <w:shd w:val="clear" w:color="auto" w:fill="FFFFFF"/>
        </w:rPr>
        <w:t>；最高限价：</w:t>
      </w:r>
      <w:r>
        <w:rPr>
          <w:rFonts w:hint="eastAsia" w:eastAsia="宋体" w:cs="Times New Roman"/>
          <w:color w:val="000000"/>
          <w:sz w:val="28"/>
          <w:szCs w:val="28"/>
          <w:shd w:val="clear" w:color="auto" w:fill="FFFFFF"/>
          <w:lang w:eastAsia="zh-CN"/>
        </w:rPr>
        <w:t>976500元</w:t>
      </w:r>
      <w:r>
        <w:rPr>
          <w:rFonts w:hint="eastAsia" w:eastAsia="宋体" w:cs="Times New Roman"/>
          <w:color w:val="000000"/>
          <w:sz w:val="28"/>
          <w:szCs w:val="28"/>
          <w:shd w:val="clear" w:color="auto" w:fill="FFFFFF"/>
        </w:rPr>
        <w:t>。</w:t>
      </w:r>
    </w:p>
    <w:p>
      <w:pPr>
        <w:pStyle w:val="113"/>
        <w:ind w:firstLine="562"/>
        <w:rPr>
          <w:b/>
          <w:color w:val="000000"/>
          <w:sz w:val="28"/>
          <w:szCs w:val="28"/>
          <w:shd w:val="clear" w:color="auto" w:fill="FFFFFF"/>
        </w:rPr>
      </w:pPr>
      <w:r>
        <w:rPr>
          <w:rFonts w:hint="eastAsia"/>
          <w:b/>
          <w:color w:val="000000"/>
          <w:sz w:val="28"/>
          <w:szCs w:val="28"/>
          <w:shd w:val="clear" w:color="auto" w:fill="FFFFFF"/>
        </w:rPr>
        <w:t>四、供应商参加本次政府采购活动应具备的条件</w:t>
      </w:r>
    </w:p>
    <w:p>
      <w:pPr>
        <w:pStyle w:val="113"/>
        <w:ind w:left="0" w:leftChars="0" w:firstLine="560" w:firstLineChars="200"/>
        <w:rPr>
          <w:rFonts w:hint="eastAsia"/>
          <w:b w:val="0"/>
          <w:bCs/>
          <w:sz w:val="28"/>
          <w:szCs w:val="28"/>
        </w:rPr>
      </w:pPr>
      <w:r>
        <w:rPr>
          <w:rFonts w:hint="eastAsia"/>
          <w:b w:val="0"/>
          <w:bCs/>
          <w:sz w:val="28"/>
          <w:szCs w:val="28"/>
        </w:rPr>
        <w:t>（一）符合《中华人民共和国政府采购法》第二十二条第一款的相关规定；</w:t>
      </w:r>
    </w:p>
    <w:p>
      <w:pPr>
        <w:pStyle w:val="113"/>
        <w:ind w:left="0" w:leftChars="0" w:firstLine="560" w:firstLineChars="200"/>
        <w:rPr>
          <w:rFonts w:hint="eastAsia"/>
          <w:b w:val="0"/>
          <w:bCs/>
          <w:sz w:val="28"/>
          <w:szCs w:val="28"/>
        </w:rPr>
      </w:pPr>
      <w:r>
        <w:rPr>
          <w:rFonts w:hint="eastAsia"/>
          <w:b w:val="0"/>
          <w:bCs/>
          <w:sz w:val="28"/>
          <w:szCs w:val="28"/>
        </w:rPr>
        <w:t>(二）未被列入失信被执行人、重大税收违法案件当事人名单、政府采购严重违法失信行为记录名单；</w:t>
      </w:r>
    </w:p>
    <w:p>
      <w:pPr>
        <w:pStyle w:val="113"/>
        <w:ind w:left="0" w:leftChars="0" w:firstLine="560" w:firstLineChars="200"/>
        <w:rPr>
          <w:rFonts w:hint="eastAsia"/>
          <w:b w:val="0"/>
          <w:bCs/>
          <w:sz w:val="28"/>
          <w:szCs w:val="28"/>
        </w:rPr>
      </w:pPr>
      <w:r>
        <w:rPr>
          <w:rFonts w:hint="eastAsia"/>
          <w:b w:val="0"/>
          <w:bCs/>
          <w:sz w:val="28"/>
          <w:szCs w:val="28"/>
        </w:rPr>
        <w:t>（三）在行贿犯罪信息查询期限内，供应商及其现任法定代表人、主要负责人没有行贿犯罪记录；</w:t>
      </w:r>
    </w:p>
    <w:p>
      <w:pPr>
        <w:pStyle w:val="113"/>
        <w:ind w:firstLine="562"/>
        <w:rPr>
          <w:rFonts w:hint="eastAsia"/>
          <w:b w:val="0"/>
          <w:bCs/>
          <w:sz w:val="28"/>
          <w:szCs w:val="28"/>
        </w:rPr>
      </w:pPr>
      <w:r>
        <w:rPr>
          <w:rFonts w:hint="eastAsia"/>
          <w:b w:val="0"/>
          <w:bCs/>
          <w:sz w:val="28"/>
          <w:szCs w:val="28"/>
        </w:rPr>
        <w:t>（四）未处于被行政部门禁止参与政府采购活动的期限内；</w:t>
      </w:r>
    </w:p>
    <w:p>
      <w:pPr>
        <w:pStyle w:val="113"/>
        <w:ind w:firstLine="562"/>
        <w:rPr>
          <w:rFonts w:hint="eastAsia"/>
          <w:b w:val="0"/>
          <w:bCs/>
          <w:sz w:val="28"/>
          <w:szCs w:val="28"/>
        </w:rPr>
      </w:pPr>
      <w:r>
        <w:rPr>
          <w:rFonts w:hint="eastAsia"/>
          <w:b w:val="0"/>
          <w:bCs/>
          <w:sz w:val="28"/>
          <w:szCs w:val="28"/>
        </w:rPr>
        <w:t>（五）不属于其他国家相关法律法规规定的禁止参加磋商的供应商；</w:t>
      </w:r>
    </w:p>
    <w:p>
      <w:pPr>
        <w:pStyle w:val="113"/>
        <w:ind w:firstLine="562"/>
        <w:rPr>
          <w:rFonts w:hint="eastAsia"/>
          <w:b w:val="0"/>
          <w:bCs/>
          <w:sz w:val="28"/>
          <w:szCs w:val="28"/>
        </w:rPr>
      </w:pPr>
      <w:r>
        <w:rPr>
          <w:rFonts w:hint="eastAsia"/>
          <w:b w:val="0"/>
          <w:bCs/>
          <w:sz w:val="28"/>
          <w:szCs w:val="28"/>
        </w:rPr>
        <w:t>（六）在中华人民共和国境内依法登记注册，并有效存续具有独立法人资格的供应商；</w:t>
      </w:r>
    </w:p>
    <w:p>
      <w:pPr>
        <w:pStyle w:val="113"/>
        <w:ind w:firstLine="562"/>
        <w:rPr>
          <w:rFonts w:hint="eastAsia"/>
          <w:b w:val="0"/>
          <w:bCs/>
          <w:sz w:val="28"/>
          <w:szCs w:val="28"/>
        </w:rPr>
      </w:pPr>
      <w:r>
        <w:rPr>
          <w:rFonts w:hint="eastAsia"/>
          <w:b w:val="0"/>
          <w:bCs/>
          <w:sz w:val="28"/>
          <w:szCs w:val="28"/>
        </w:rPr>
        <w:t>（七）本次政府采购活动</w:t>
      </w:r>
      <w:r>
        <w:rPr>
          <w:rFonts w:hint="eastAsia"/>
          <w:b/>
          <w:bCs w:val="0"/>
          <w:sz w:val="28"/>
          <w:szCs w:val="28"/>
        </w:rPr>
        <w:t>不接受</w:t>
      </w:r>
      <w:r>
        <w:rPr>
          <w:rFonts w:hint="eastAsia"/>
          <w:b w:val="0"/>
          <w:bCs/>
          <w:sz w:val="28"/>
          <w:szCs w:val="28"/>
        </w:rPr>
        <w:t>供应商以联合体的形式参加磋商。</w:t>
      </w:r>
    </w:p>
    <w:p>
      <w:pPr>
        <w:pStyle w:val="113"/>
        <w:ind w:firstLine="562"/>
        <w:rPr>
          <w:rFonts w:hint="eastAsia"/>
          <w:b/>
          <w:sz w:val="28"/>
          <w:szCs w:val="28"/>
        </w:rPr>
      </w:pPr>
      <w:r>
        <w:rPr>
          <w:rFonts w:hint="eastAsia"/>
          <w:b/>
          <w:sz w:val="28"/>
          <w:szCs w:val="28"/>
        </w:rPr>
        <w:t>五、采购项目简介</w:t>
      </w:r>
    </w:p>
    <w:p>
      <w:pPr>
        <w:pStyle w:val="113"/>
        <w:rPr>
          <w:rFonts w:hint="eastAsia" w:ascii="仿宋_GB2312" w:eastAsia="仿宋_GB2312"/>
          <w:sz w:val="32"/>
          <w:szCs w:val="32"/>
          <w:highlight w:val="none"/>
          <w:lang w:eastAsia="zh-CN"/>
        </w:rPr>
      </w:pPr>
      <w:bookmarkStart w:id="3" w:name="EBe3cdd957efc141f1a5d4e2528e4e9363"/>
      <w:r>
        <w:rPr>
          <w:rFonts w:hint="eastAsia"/>
          <w:sz w:val="28"/>
          <w:szCs w:val="28"/>
          <w:highlight w:val="none"/>
          <w:shd w:val="clear" w:color="auto" w:fill="FFFFFF"/>
        </w:rPr>
        <w:t>（一）采购内容：</w:t>
      </w:r>
      <w:bookmarkEnd w:id="3"/>
    </w:p>
    <w:tbl>
      <w:tblPr>
        <w:tblStyle w:val="375"/>
        <w:tblW w:w="8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644"/>
        <w:gridCol w:w="4065"/>
        <w:gridCol w:w="1463"/>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916" w:type="dxa"/>
            <w:gridSpan w:val="5"/>
            <w:vAlign w:val="top"/>
          </w:tcPr>
          <w:p>
            <w:pPr>
              <w:spacing w:before="158" w:line="184" w:lineRule="auto"/>
              <w:jc w:val="center"/>
              <w:rPr>
                <w:rFonts w:ascii="宋体" w:hAnsi="宋体" w:eastAsia="宋体" w:cs="宋体"/>
                <w:sz w:val="32"/>
                <w:szCs w:val="32"/>
              </w:rPr>
            </w:pPr>
            <w:r>
              <w:rPr>
                <w:rFonts w:hint="eastAsia"/>
                <w:b w:val="0"/>
                <w:bCs w:val="0"/>
                <w:kern w:val="0"/>
                <w:sz w:val="32"/>
                <w:szCs w:val="32"/>
              </w:rPr>
              <w:t>机房设备清单（2间）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471" w:type="dxa"/>
            <w:textDirection w:val="tbRlV"/>
            <w:vAlign w:val="top"/>
          </w:tcPr>
          <w:p>
            <w:pPr>
              <w:spacing w:before="144" w:line="180" w:lineRule="auto"/>
              <w:ind w:firstLine="67"/>
              <w:rPr>
                <w:rFonts w:ascii="宋体" w:hAnsi="宋体" w:eastAsia="宋体" w:cs="宋体"/>
                <w:sz w:val="18"/>
                <w:szCs w:val="18"/>
              </w:rPr>
            </w:pPr>
            <w:r>
              <w:rPr>
                <w:rFonts w:ascii="宋体" w:hAnsi="宋体" w:eastAsia="宋体" w:cs="宋体"/>
                <w:spacing w:val="-1"/>
                <w:sz w:val="18"/>
                <w:szCs w:val="18"/>
              </w:rPr>
              <w:t>序号</w:t>
            </w:r>
          </w:p>
        </w:tc>
        <w:tc>
          <w:tcPr>
            <w:tcW w:w="1644" w:type="dxa"/>
            <w:vAlign w:val="top"/>
          </w:tcPr>
          <w:p>
            <w:pPr>
              <w:spacing w:before="137" w:line="180" w:lineRule="auto"/>
              <w:ind w:firstLine="360" w:firstLineChars="200"/>
              <w:rPr>
                <w:rFonts w:hint="default" w:cs="宋体"/>
                <w:sz w:val="18"/>
                <w:szCs w:val="18"/>
                <w:lang w:val="en-US" w:eastAsia="zh-CN"/>
              </w:rPr>
            </w:pPr>
            <w:r>
              <w:rPr>
                <w:rFonts w:hint="eastAsia" w:cs="宋体"/>
                <w:sz w:val="18"/>
                <w:szCs w:val="18"/>
                <w:lang w:val="en-US" w:eastAsia="zh-CN"/>
              </w:rPr>
              <w:t>标的物名称</w:t>
            </w:r>
          </w:p>
        </w:tc>
        <w:tc>
          <w:tcPr>
            <w:tcW w:w="4065" w:type="dxa"/>
            <w:vAlign w:val="top"/>
          </w:tcPr>
          <w:p>
            <w:pPr>
              <w:spacing w:before="137" w:line="180" w:lineRule="auto"/>
              <w:ind w:firstLine="1620" w:firstLineChars="900"/>
              <w:rPr>
                <w:rFonts w:hint="default" w:cs="宋体"/>
                <w:sz w:val="18"/>
                <w:szCs w:val="18"/>
                <w:lang w:val="en-US" w:eastAsia="zh-CN"/>
              </w:rPr>
            </w:pPr>
            <w:r>
              <w:rPr>
                <w:rFonts w:hint="eastAsia" w:cs="宋体"/>
                <w:sz w:val="18"/>
                <w:szCs w:val="18"/>
                <w:lang w:val="en-US" w:eastAsia="zh-CN"/>
              </w:rPr>
              <w:t>所属行业</w:t>
            </w:r>
          </w:p>
        </w:tc>
        <w:tc>
          <w:tcPr>
            <w:tcW w:w="1463" w:type="dxa"/>
            <w:vAlign w:val="top"/>
          </w:tcPr>
          <w:p>
            <w:pPr>
              <w:spacing w:before="137" w:line="180" w:lineRule="auto"/>
              <w:ind w:firstLine="520" w:firstLineChars="0"/>
              <w:rPr>
                <w:rFonts w:hint="eastAsia" w:ascii="宋体" w:hAnsi="宋体" w:eastAsia="宋体" w:cs="宋体"/>
                <w:sz w:val="18"/>
                <w:szCs w:val="18"/>
                <w:lang w:val="en-US" w:eastAsia="zh-CN"/>
              </w:rPr>
            </w:pPr>
            <w:r>
              <w:rPr>
                <w:rFonts w:hint="eastAsia" w:cs="宋体"/>
                <w:sz w:val="18"/>
                <w:szCs w:val="18"/>
                <w:lang w:val="en-US" w:eastAsia="zh-CN"/>
              </w:rPr>
              <w:t>数量</w:t>
            </w:r>
          </w:p>
        </w:tc>
        <w:tc>
          <w:tcPr>
            <w:tcW w:w="1273" w:type="dxa"/>
            <w:vAlign w:val="top"/>
          </w:tcPr>
          <w:p>
            <w:pPr>
              <w:spacing w:before="178" w:line="180" w:lineRule="auto"/>
              <w:ind w:left="0" w:leftChars="0" w:firstLine="540" w:firstLineChars="300"/>
              <w:rPr>
                <w:rFonts w:hint="eastAsia" w:ascii="宋体" w:hAnsi="宋体" w:eastAsia="宋体" w:cs="宋体"/>
                <w:sz w:val="18"/>
                <w:szCs w:val="18"/>
                <w:lang w:val="en-US" w:eastAsia="zh-CN"/>
              </w:rPr>
            </w:pPr>
            <w:r>
              <w:rPr>
                <w:rFonts w:hint="eastAsia" w:cs="宋体"/>
                <w:sz w:val="18"/>
                <w:szCs w:val="18"/>
                <w:lang w:val="en-US" w:eastAsia="zh-CN"/>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机柜</w:t>
            </w:r>
          </w:p>
        </w:tc>
        <w:tc>
          <w:tcPr>
            <w:tcW w:w="4065" w:type="dxa"/>
            <w:vAlign w:val="center"/>
          </w:tcPr>
          <w:p>
            <w:pPr>
              <w:spacing w:before="43" w:line="360" w:lineRule="auto"/>
              <w:ind w:left="110" w:right="26" w:firstLine="11"/>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2</w:t>
            </w:r>
          </w:p>
        </w:tc>
        <w:tc>
          <w:tcPr>
            <w:tcW w:w="1273" w:type="dxa"/>
            <w:vAlign w:val="center"/>
          </w:tcPr>
          <w:p>
            <w:pPr>
              <w:widowControl/>
              <w:jc w:val="center"/>
              <w:rPr>
                <w:rFonts w:ascii="宋体" w:hAnsi="宋体" w:eastAsia="宋体" w:cs="宋体"/>
                <w:sz w:val="18"/>
                <w:szCs w:val="18"/>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w:t>
            </w:r>
          </w:p>
        </w:tc>
        <w:tc>
          <w:tcPr>
            <w:tcW w:w="164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接入交换机</w:t>
            </w:r>
          </w:p>
        </w:tc>
        <w:tc>
          <w:tcPr>
            <w:tcW w:w="4065" w:type="dxa"/>
            <w:shd w:val="clear" w:color="auto" w:fill="FFFFFF"/>
            <w:vAlign w:val="center"/>
          </w:tcPr>
          <w:p>
            <w:pPr>
              <w:spacing w:before="199" w:line="181" w:lineRule="auto"/>
              <w:ind w:firstLine="113"/>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shd w:val="clear" w:color="auto" w:fill="FFFFFF"/>
            <w:vAlign w:val="center"/>
          </w:tcPr>
          <w:p>
            <w:pPr>
              <w:widowControl/>
              <w:jc w:val="center"/>
              <w:rPr>
                <w:rFonts w:ascii="微软雅黑" w:hAnsi="微软雅黑" w:eastAsia="微软雅黑" w:cs="微软雅黑"/>
                <w:sz w:val="18"/>
                <w:szCs w:val="18"/>
              </w:rPr>
            </w:pPr>
            <w:r>
              <w:rPr>
                <w:rFonts w:hint="eastAsia"/>
                <w:kern w:val="0"/>
                <w:sz w:val="18"/>
                <w:szCs w:val="18"/>
              </w:rPr>
              <w:t>6</w:t>
            </w:r>
          </w:p>
        </w:tc>
        <w:tc>
          <w:tcPr>
            <w:tcW w:w="1273" w:type="dxa"/>
            <w:shd w:val="clear" w:color="auto" w:fill="FFFFFF"/>
            <w:vAlign w:val="center"/>
          </w:tcPr>
          <w:p>
            <w:pPr>
              <w:widowControl/>
              <w:jc w:val="center"/>
              <w:rPr>
                <w:rFonts w:ascii="宋体" w:hAnsi="宋体" w:eastAsia="宋体" w:cs="宋体"/>
                <w:sz w:val="18"/>
                <w:szCs w:val="18"/>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3</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教学软件</w:t>
            </w:r>
          </w:p>
        </w:tc>
        <w:tc>
          <w:tcPr>
            <w:tcW w:w="4065" w:type="dxa"/>
            <w:vAlign w:val="center"/>
          </w:tcPr>
          <w:p>
            <w:pPr>
              <w:spacing w:before="54" w:line="274" w:lineRule="auto"/>
              <w:ind w:left="110" w:right="88" w:firstLine="5"/>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软件和信息技术服务业</w:t>
            </w:r>
          </w:p>
        </w:tc>
        <w:tc>
          <w:tcPr>
            <w:tcW w:w="1463" w:type="dxa"/>
            <w:vAlign w:val="center"/>
          </w:tcPr>
          <w:p>
            <w:pPr>
              <w:widowControl/>
              <w:jc w:val="center"/>
              <w:rPr>
                <w:rFonts w:ascii="微软雅黑" w:hAnsi="微软雅黑" w:eastAsia="微软雅黑" w:cs="微软雅黑"/>
                <w:sz w:val="18"/>
                <w:szCs w:val="18"/>
              </w:rPr>
            </w:pPr>
            <w:r>
              <w:rPr>
                <w:rFonts w:hint="eastAsia"/>
              </w:rPr>
              <w:t>1</w:t>
            </w:r>
          </w:p>
        </w:tc>
        <w:tc>
          <w:tcPr>
            <w:tcW w:w="1273" w:type="dxa"/>
            <w:vAlign w:val="center"/>
          </w:tcPr>
          <w:p>
            <w:pPr>
              <w:widowControl/>
              <w:jc w:val="center"/>
              <w:rPr>
                <w:rFonts w:ascii="宋体" w:hAnsi="宋体" w:eastAsia="宋体" w:cs="宋体"/>
                <w:sz w:val="18"/>
                <w:szCs w:val="18"/>
              </w:rPr>
            </w:pPr>
            <w:r>
              <w:rPr>
                <w:rFonts w:hint="eastAsia"/>
                <w:kern w:val="0"/>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教师计算机</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2</w:t>
            </w:r>
          </w:p>
        </w:tc>
        <w:tc>
          <w:tcPr>
            <w:tcW w:w="1273" w:type="dxa"/>
            <w:vAlign w:val="center"/>
          </w:tcPr>
          <w:p>
            <w:pPr>
              <w:widowControl/>
              <w:jc w:val="center"/>
              <w:rPr>
                <w:rFonts w:ascii="宋体" w:hAnsi="宋体" w:eastAsia="宋体" w:cs="宋体"/>
                <w:sz w:val="18"/>
                <w:szCs w:val="18"/>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学生计算机</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112</w:t>
            </w:r>
          </w:p>
        </w:tc>
        <w:tc>
          <w:tcPr>
            <w:tcW w:w="1273" w:type="dxa"/>
            <w:vAlign w:val="center"/>
          </w:tcPr>
          <w:p>
            <w:pPr>
              <w:widowControl/>
              <w:jc w:val="center"/>
              <w:rPr>
                <w:rFonts w:ascii="宋体" w:hAnsi="宋体" w:eastAsia="宋体" w:cs="宋体"/>
                <w:sz w:val="18"/>
                <w:szCs w:val="18"/>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6</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教师桌椅</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2</w:t>
            </w:r>
          </w:p>
        </w:tc>
        <w:tc>
          <w:tcPr>
            <w:tcW w:w="1273" w:type="dxa"/>
            <w:vAlign w:val="center"/>
          </w:tcPr>
          <w:p>
            <w:pPr>
              <w:widowControl/>
              <w:jc w:val="center"/>
              <w:rPr>
                <w:rFonts w:ascii="宋体" w:hAnsi="宋体" w:eastAsia="宋体" w:cs="宋体"/>
                <w:sz w:val="18"/>
                <w:szCs w:val="18"/>
              </w:rPr>
            </w:pPr>
            <w:r>
              <w:rPr>
                <w:rFonts w:hint="eastAsia"/>
                <w:kern w:val="0"/>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7</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学生桌凳</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56</w:t>
            </w:r>
          </w:p>
        </w:tc>
        <w:tc>
          <w:tcPr>
            <w:tcW w:w="1273" w:type="dxa"/>
            <w:vAlign w:val="center"/>
          </w:tcPr>
          <w:p>
            <w:pPr>
              <w:widowControl/>
              <w:jc w:val="center"/>
              <w:rPr>
                <w:rFonts w:ascii="宋体" w:hAnsi="宋体" w:eastAsia="宋体" w:cs="宋体"/>
                <w:sz w:val="18"/>
                <w:szCs w:val="18"/>
              </w:rPr>
            </w:pPr>
            <w:r>
              <w:rPr>
                <w:rFonts w:hint="eastAsia"/>
                <w:kern w:val="0"/>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8</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静电地板</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180</w:t>
            </w:r>
          </w:p>
        </w:tc>
        <w:tc>
          <w:tcPr>
            <w:tcW w:w="1273" w:type="dxa"/>
            <w:vAlign w:val="center"/>
          </w:tcPr>
          <w:p>
            <w:pPr>
              <w:widowControl/>
              <w:jc w:val="center"/>
              <w:rPr>
                <w:rFonts w:ascii="宋体" w:hAnsi="宋体" w:eastAsia="宋体" w:cs="宋体"/>
                <w:sz w:val="18"/>
                <w:szCs w:val="18"/>
              </w:rPr>
            </w:pPr>
            <w:r>
              <w:rPr>
                <w:rFonts w:hint="eastAsia"/>
                <w:kern w:val="0"/>
                <w:sz w:val="18"/>
                <w:szCs w:val="18"/>
              </w:rPr>
              <w:t>平方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吸顶空调</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4</w:t>
            </w:r>
          </w:p>
        </w:tc>
        <w:tc>
          <w:tcPr>
            <w:tcW w:w="1273" w:type="dxa"/>
            <w:vAlign w:val="center"/>
          </w:tcPr>
          <w:p>
            <w:pPr>
              <w:widowControl/>
              <w:jc w:val="center"/>
              <w:rPr>
                <w:rFonts w:ascii="宋体" w:hAnsi="宋体" w:eastAsia="宋体" w:cs="宋体"/>
                <w:sz w:val="18"/>
                <w:szCs w:val="18"/>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安装及辅材</w:t>
            </w:r>
          </w:p>
        </w:tc>
        <w:tc>
          <w:tcPr>
            <w:tcW w:w="4065" w:type="dxa"/>
            <w:vAlign w:val="center"/>
          </w:tcPr>
          <w:p>
            <w:pPr>
              <w:spacing w:before="80" w:line="275" w:lineRule="auto"/>
              <w:ind w:left="110" w:right="15" w:firstLine="1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63" w:type="dxa"/>
            <w:vAlign w:val="center"/>
          </w:tcPr>
          <w:p>
            <w:pPr>
              <w:widowControl/>
              <w:jc w:val="center"/>
              <w:rPr>
                <w:rFonts w:ascii="微软雅黑" w:hAnsi="微软雅黑" w:eastAsia="微软雅黑" w:cs="微软雅黑"/>
                <w:sz w:val="18"/>
                <w:szCs w:val="18"/>
              </w:rPr>
            </w:pPr>
            <w:r>
              <w:rPr>
                <w:rFonts w:hint="eastAsia"/>
                <w:kern w:val="0"/>
                <w:sz w:val="18"/>
                <w:szCs w:val="18"/>
              </w:rPr>
              <w:t>114</w:t>
            </w:r>
          </w:p>
        </w:tc>
        <w:tc>
          <w:tcPr>
            <w:tcW w:w="1273" w:type="dxa"/>
            <w:vAlign w:val="center"/>
          </w:tcPr>
          <w:p>
            <w:pPr>
              <w:widowControl/>
              <w:jc w:val="center"/>
              <w:rPr>
                <w:rFonts w:ascii="宋体" w:hAnsi="宋体" w:eastAsia="宋体" w:cs="宋体"/>
                <w:sz w:val="18"/>
                <w:szCs w:val="18"/>
              </w:rPr>
            </w:pPr>
            <w:r>
              <w:rPr>
                <w:rFonts w:hint="eastAsia"/>
                <w:kern w:val="0"/>
                <w:sz w:val="18"/>
                <w:szCs w:val="18"/>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916" w:type="dxa"/>
            <w:gridSpan w:val="5"/>
            <w:vAlign w:val="center"/>
          </w:tcPr>
          <w:p>
            <w:pPr>
              <w:widowControl/>
              <w:jc w:val="center"/>
              <w:rPr>
                <w:rFonts w:hint="eastAsia"/>
                <w:kern w:val="0"/>
                <w:sz w:val="18"/>
                <w:szCs w:val="18"/>
              </w:rPr>
            </w:pPr>
            <w:r>
              <w:rPr>
                <w:rFonts w:hint="eastAsia"/>
                <w:b w:val="0"/>
                <w:bCs w:val="0"/>
                <w:kern w:val="0"/>
                <w:sz w:val="32"/>
                <w:szCs w:val="32"/>
              </w:rPr>
              <w:t>创客设备清单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3D打印（教师机）</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Theme="minorHAnsi" w:hAnsiTheme="minorHAnsi" w:eastAsiaTheme="minorEastAsia" w:cstheme="minorBidi"/>
                <w:color w:val="000000"/>
                <w:kern w:val="0"/>
                <w:sz w:val="18"/>
                <w:szCs w:val="18"/>
                <w:lang w:val="en-US" w:eastAsia="zh-CN" w:bidi="ar-SA"/>
              </w:rPr>
            </w:pPr>
            <w:r>
              <w:rPr>
                <w:rFonts w:hint="eastAsia"/>
                <w:color w:val="000000"/>
                <w:kern w:val="0"/>
                <w:sz w:val="18"/>
                <w:szCs w:val="18"/>
              </w:rPr>
              <w:t>1</w:t>
            </w:r>
          </w:p>
        </w:tc>
        <w:tc>
          <w:tcPr>
            <w:tcW w:w="1273" w:type="dxa"/>
            <w:vAlign w:val="center"/>
          </w:tcPr>
          <w:p>
            <w:pPr>
              <w:widowControl/>
              <w:jc w:val="center"/>
              <w:rPr>
                <w:rFonts w:asciiTheme="minorHAnsi" w:hAnsiTheme="minorHAnsi" w:eastAsiaTheme="minorEastAsia" w:cstheme="minorBidi"/>
                <w:color w:val="000000"/>
                <w:kern w:val="0"/>
                <w:sz w:val="18"/>
                <w:szCs w:val="18"/>
                <w:lang w:val="en-US" w:eastAsia="zh-CN" w:bidi="ar-SA"/>
              </w:rPr>
            </w:pPr>
            <w:r>
              <w:rPr>
                <w:rFonts w:hint="eastAsia"/>
                <w:color w:val="000000"/>
                <w:kern w:val="0"/>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打印机耗材</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4</w:t>
            </w:r>
          </w:p>
        </w:tc>
        <w:tc>
          <w:tcPr>
            <w:tcW w:w="1273" w:type="dxa"/>
            <w:vAlign w:val="center"/>
          </w:tcPr>
          <w:p>
            <w:pPr>
              <w:widowControl/>
              <w:jc w:val="center"/>
              <w:rPr>
                <w:rFonts w:hint="eastAsia" w:asciiTheme="minorHAnsi" w:hAnsiTheme="minorHAnsi" w:eastAsiaTheme="minorEastAsia" w:cstheme="minorBidi"/>
                <w:color w:val="auto"/>
                <w:kern w:val="0"/>
                <w:sz w:val="18"/>
                <w:szCs w:val="18"/>
                <w:lang w:val="en-US" w:eastAsia="zh-CN" w:bidi="ar-SA"/>
              </w:rPr>
            </w:pPr>
            <w:r>
              <w:rPr>
                <w:rFonts w:hint="eastAsia"/>
                <w:color w:val="auto"/>
                <w:kern w:val="0"/>
                <w:sz w:val="18"/>
                <w:szCs w:val="18"/>
              </w:rPr>
              <w:t>千克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3</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智慧创客学习软件</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软件和信息技术服务业</w:t>
            </w:r>
          </w:p>
        </w:tc>
        <w:tc>
          <w:tcPr>
            <w:tcW w:w="1463" w:type="dxa"/>
            <w:vAlign w:val="center"/>
          </w:tcPr>
          <w:p>
            <w:pPr>
              <w:widowControl/>
              <w:jc w:val="center"/>
              <w:rPr>
                <w:rFonts w:asciiTheme="minorHAnsi" w:hAnsiTheme="minorHAnsi" w:eastAsiaTheme="minorEastAsia" w:cstheme="minorBidi"/>
                <w:color w:val="000000"/>
                <w:kern w:val="0"/>
                <w:sz w:val="18"/>
                <w:szCs w:val="18"/>
                <w:lang w:val="en-US" w:eastAsia="zh-CN" w:bidi="ar-SA"/>
              </w:rPr>
            </w:pPr>
            <w:r>
              <w:rPr>
                <w:rFonts w:hint="eastAsia"/>
                <w:color w:val="000000"/>
                <w:kern w:val="0"/>
                <w:sz w:val="18"/>
                <w:szCs w:val="18"/>
              </w:rPr>
              <w:t>1</w:t>
            </w:r>
          </w:p>
        </w:tc>
        <w:tc>
          <w:tcPr>
            <w:tcW w:w="1273" w:type="dxa"/>
            <w:vAlign w:val="center"/>
          </w:tcPr>
          <w:p>
            <w:pPr>
              <w:widowControl/>
              <w:jc w:val="center"/>
              <w:rPr>
                <w:rFonts w:asciiTheme="minorHAnsi" w:hAnsiTheme="minorHAnsi" w:eastAsiaTheme="minorEastAsia" w:cstheme="minorBidi"/>
                <w:color w:val="000000"/>
                <w:kern w:val="0"/>
                <w:sz w:val="18"/>
                <w:szCs w:val="18"/>
                <w:lang w:val="en-US" w:eastAsia="zh-CN" w:bidi="ar-SA"/>
              </w:rPr>
            </w:pPr>
            <w:r>
              <w:rPr>
                <w:rFonts w:hint="eastAsia"/>
                <w:color w:val="000000"/>
                <w:kern w:val="0"/>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吸顶空调</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hint="eastAsia" w:asciiTheme="minorHAnsi" w:hAnsiTheme="minorHAnsi" w:eastAsiaTheme="minorEastAsia" w:cstheme="minorBidi"/>
                <w:kern w:val="0"/>
                <w:sz w:val="18"/>
                <w:szCs w:val="18"/>
                <w:lang w:val="en-US" w:eastAsia="zh-CN" w:bidi="ar-SA"/>
              </w:rPr>
            </w:pPr>
            <w:r>
              <w:rPr>
                <w:rFonts w:hint="eastAsia"/>
                <w:kern w:val="0"/>
                <w:sz w:val="18"/>
                <w:szCs w:val="18"/>
              </w:rPr>
              <w:t>1</w:t>
            </w:r>
          </w:p>
        </w:tc>
        <w:tc>
          <w:tcPr>
            <w:tcW w:w="1273" w:type="dxa"/>
            <w:vAlign w:val="center"/>
          </w:tcPr>
          <w:p>
            <w:pPr>
              <w:widowControl/>
              <w:jc w:val="center"/>
              <w:rPr>
                <w:rFonts w:hint="eastAsia" w:asciiTheme="minorHAnsi" w:hAnsiTheme="minorHAnsi" w:eastAsiaTheme="minorEastAsia" w:cstheme="minorBidi"/>
                <w:kern w:val="0"/>
                <w:sz w:val="18"/>
                <w:szCs w:val="18"/>
                <w:lang w:val="en-US" w:eastAsia="zh-CN" w:bidi="ar-SA"/>
              </w:rPr>
            </w:pPr>
            <w:r>
              <w:rPr>
                <w:rFonts w:hint="eastAsia"/>
                <w:kern w:val="0"/>
                <w:sz w:val="18"/>
                <w:szCs w:val="18"/>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空调铜管</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eastAsia="zh-CN"/>
              </w:rPr>
              <w:t>工业</w:t>
            </w:r>
          </w:p>
        </w:tc>
        <w:tc>
          <w:tcPr>
            <w:tcW w:w="1463" w:type="dxa"/>
            <w:vAlign w:val="center"/>
          </w:tcPr>
          <w:p>
            <w:pPr>
              <w:widowControl/>
              <w:jc w:val="center"/>
              <w:rPr>
                <w:rFonts w:asciiTheme="minorHAnsi" w:hAnsiTheme="minorHAnsi" w:eastAsiaTheme="minorEastAsia" w:cstheme="minorBidi"/>
                <w:kern w:val="0"/>
                <w:sz w:val="18"/>
                <w:szCs w:val="18"/>
                <w:lang w:val="en-US" w:eastAsia="zh-CN" w:bidi="ar-SA"/>
              </w:rPr>
            </w:pPr>
            <w:r>
              <w:rPr>
                <w:rFonts w:hint="eastAsia"/>
                <w:kern w:val="0"/>
                <w:sz w:val="18"/>
                <w:szCs w:val="18"/>
              </w:rPr>
              <w:t>50</w:t>
            </w:r>
          </w:p>
        </w:tc>
        <w:tc>
          <w:tcPr>
            <w:tcW w:w="1273" w:type="dxa"/>
            <w:vAlign w:val="center"/>
          </w:tcPr>
          <w:p>
            <w:pPr>
              <w:widowControl/>
              <w:jc w:val="center"/>
              <w:rPr>
                <w:rFonts w:hint="eastAsia" w:asciiTheme="minorHAnsi" w:hAnsiTheme="minorHAnsi" w:eastAsiaTheme="minorEastAsia" w:cstheme="minorBidi"/>
                <w:kern w:val="0"/>
                <w:sz w:val="18"/>
                <w:szCs w:val="18"/>
                <w:lang w:val="en-US" w:eastAsia="zh-CN" w:bidi="ar-SA"/>
              </w:rPr>
            </w:pPr>
            <w:r>
              <w:rPr>
                <w:rFonts w:hint="eastAsia"/>
                <w:kern w:val="0"/>
                <w:sz w:val="18"/>
                <w:szCs w:val="18"/>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7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6</w:t>
            </w:r>
          </w:p>
        </w:tc>
        <w:tc>
          <w:tcPr>
            <w:tcW w:w="164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0"/>
              <w:jc w:val="center"/>
              <w:textAlignment w:val="auto"/>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系统集成</w:t>
            </w:r>
          </w:p>
        </w:tc>
        <w:tc>
          <w:tcPr>
            <w:tcW w:w="4065" w:type="dxa"/>
            <w:vAlign w:val="center"/>
          </w:tcPr>
          <w:p>
            <w:pPr>
              <w:spacing w:before="80" w:line="275" w:lineRule="auto"/>
              <w:ind w:left="110" w:right="15" w:firstLine="12"/>
              <w:jc w:val="center"/>
              <w:rPr>
                <w:rFonts w:ascii="宋体" w:hAnsi="宋体" w:eastAsia="宋体" w:cs="宋体"/>
                <w:sz w:val="18"/>
                <w:szCs w:val="18"/>
              </w:rPr>
            </w:pPr>
            <w:r>
              <w:rPr>
                <w:rFonts w:hint="eastAsia" w:ascii="宋体" w:hAnsi="宋体" w:eastAsia="宋体" w:cs="宋体"/>
                <w:sz w:val="18"/>
                <w:szCs w:val="18"/>
                <w:lang w:val="en-US" w:eastAsia="zh-CN"/>
              </w:rPr>
              <w:t>/</w:t>
            </w:r>
          </w:p>
        </w:tc>
        <w:tc>
          <w:tcPr>
            <w:tcW w:w="1463" w:type="dxa"/>
            <w:vAlign w:val="center"/>
          </w:tcPr>
          <w:p>
            <w:pPr>
              <w:widowControl/>
              <w:jc w:val="center"/>
              <w:rPr>
                <w:rFonts w:hint="eastAsia" w:asciiTheme="minorHAnsi" w:hAnsiTheme="minorHAnsi" w:eastAsiaTheme="minorEastAsia" w:cstheme="minorBidi"/>
                <w:kern w:val="0"/>
                <w:sz w:val="18"/>
                <w:szCs w:val="18"/>
                <w:lang w:val="en-US" w:eastAsia="zh-CN" w:bidi="ar-SA"/>
              </w:rPr>
            </w:pPr>
            <w:r>
              <w:rPr>
                <w:rFonts w:hint="eastAsia"/>
                <w:kern w:val="0"/>
                <w:sz w:val="18"/>
                <w:szCs w:val="18"/>
              </w:rPr>
              <w:t>1</w:t>
            </w:r>
          </w:p>
        </w:tc>
        <w:tc>
          <w:tcPr>
            <w:tcW w:w="1273" w:type="dxa"/>
            <w:vAlign w:val="center"/>
          </w:tcPr>
          <w:p>
            <w:pPr>
              <w:widowControl/>
              <w:jc w:val="center"/>
              <w:rPr>
                <w:rFonts w:hint="eastAsia" w:asciiTheme="minorHAnsi" w:hAnsiTheme="minorHAnsi" w:eastAsiaTheme="minorEastAsia" w:cstheme="minorBidi"/>
                <w:kern w:val="0"/>
                <w:sz w:val="18"/>
                <w:szCs w:val="18"/>
                <w:lang w:val="en-US" w:eastAsia="zh-CN" w:bidi="ar-SA"/>
              </w:rPr>
            </w:pPr>
            <w:r>
              <w:rPr>
                <w:rFonts w:hint="eastAsia"/>
                <w:kern w:val="0"/>
                <w:sz w:val="18"/>
                <w:szCs w:val="18"/>
              </w:rPr>
              <w:t>项</w:t>
            </w:r>
          </w:p>
        </w:tc>
      </w:tr>
    </w:tbl>
    <w:p>
      <w:pPr>
        <w:pStyle w:val="113"/>
        <w:ind w:left="0" w:leftChars="0" w:firstLine="560" w:firstLineChars="200"/>
        <w:rPr>
          <w:rFonts w:hint="eastAsia"/>
          <w:sz w:val="28"/>
          <w:szCs w:val="28"/>
          <w:highlight w:val="yellow"/>
          <w:shd w:val="clear" w:color="auto" w:fill="FFFFFF"/>
        </w:rPr>
      </w:pPr>
    </w:p>
    <w:p>
      <w:pPr>
        <w:pStyle w:val="113"/>
        <w:ind w:left="0" w:leftChars="0" w:firstLine="560" w:firstLineChars="200"/>
        <w:rPr>
          <w:sz w:val="28"/>
          <w:szCs w:val="28"/>
          <w:shd w:val="clear" w:color="auto" w:fill="FFFFFF"/>
        </w:rPr>
      </w:pPr>
      <w:r>
        <w:rPr>
          <w:rFonts w:hint="eastAsia"/>
          <w:sz w:val="28"/>
          <w:szCs w:val="28"/>
          <w:shd w:val="clear" w:color="auto" w:fill="FFFFFF"/>
        </w:rPr>
        <w:t>具体采购内容见磋商文件“第4章项目技术、服务要求及其他要求”。</w:t>
      </w:r>
    </w:p>
    <w:p>
      <w:pPr>
        <w:pStyle w:val="113"/>
        <w:rPr>
          <w:rFonts w:hint="eastAsia"/>
          <w:sz w:val="28"/>
          <w:szCs w:val="28"/>
          <w:shd w:val="clear" w:color="auto" w:fill="FFFFFF"/>
        </w:rPr>
      </w:pPr>
      <w:r>
        <w:rPr>
          <w:rFonts w:hint="eastAsia"/>
          <w:sz w:val="28"/>
          <w:szCs w:val="28"/>
          <w:shd w:val="clear" w:color="auto" w:fill="FFFFFF"/>
        </w:rPr>
        <w:t>（二）技术、服务要求</w:t>
      </w:r>
    </w:p>
    <w:p>
      <w:pPr>
        <w:pStyle w:val="113"/>
        <w:rPr>
          <w:rFonts w:hint="eastAsia"/>
          <w:sz w:val="28"/>
          <w:szCs w:val="28"/>
          <w:shd w:val="clear" w:color="auto" w:fill="FFFFFF"/>
        </w:rPr>
      </w:pPr>
      <w:r>
        <w:rPr>
          <w:rFonts w:hint="eastAsia"/>
          <w:sz w:val="28"/>
          <w:szCs w:val="28"/>
          <w:shd w:val="clear" w:color="auto" w:fill="FFFFFF"/>
        </w:rPr>
        <w:t>见磋商文件 “第4章项目技术、服务、商务及其他要求”。</w:t>
      </w:r>
    </w:p>
    <w:p>
      <w:pPr>
        <w:pStyle w:val="113"/>
        <w:rPr>
          <w:rFonts w:hint="eastAsia" w:eastAsia="宋体" w:cs="Times New Roman"/>
          <w:sz w:val="28"/>
          <w:szCs w:val="28"/>
        </w:rPr>
      </w:pPr>
      <w:r>
        <w:rPr>
          <w:rFonts w:hint="eastAsia"/>
          <w:sz w:val="28"/>
          <w:szCs w:val="28"/>
          <w:shd w:val="clear" w:color="auto" w:fill="FFFFFF"/>
        </w:rPr>
        <w:t>（</w:t>
      </w:r>
      <w:r>
        <w:rPr>
          <w:rFonts w:hint="eastAsia"/>
          <w:sz w:val="28"/>
          <w:szCs w:val="28"/>
          <w:shd w:val="clear" w:color="auto" w:fill="FFFFFF"/>
          <w:lang w:val="en-US" w:eastAsia="zh-CN"/>
        </w:rPr>
        <w:t>三</w:t>
      </w:r>
      <w:r>
        <w:rPr>
          <w:rFonts w:hint="eastAsia"/>
          <w:sz w:val="28"/>
          <w:szCs w:val="28"/>
          <w:shd w:val="clear" w:color="auto" w:fill="FFFFFF"/>
        </w:rPr>
        <w:t>）报价要求</w:t>
      </w:r>
    </w:p>
    <w:p>
      <w:pPr>
        <w:pStyle w:val="113"/>
        <w:rPr>
          <w:rFonts w:hint="eastAsia" w:eastAsia="宋体" w:cs="Times New Roman"/>
          <w:color w:val="000000"/>
          <w:sz w:val="28"/>
          <w:szCs w:val="28"/>
          <w:shd w:val="clear" w:color="auto" w:fill="FFFFFF"/>
        </w:rPr>
      </w:pPr>
      <w:r>
        <w:rPr>
          <w:rFonts w:hint="eastAsia"/>
          <w:bCs/>
          <w:color w:val="000000"/>
          <w:sz w:val="28"/>
          <w:szCs w:val="28"/>
          <w:shd w:val="clear" w:color="auto" w:fill="FFFFFF"/>
        </w:rPr>
        <w:t>供应商按磋商文件要求进行报价。</w:t>
      </w:r>
    </w:p>
    <w:p>
      <w:pPr>
        <w:pStyle w:val="113"/>
        <w:ind w:firstLine="562"/>
        <w:rPr>
          <w:b/>
          <w:color w:val="000000"/>
          <w:sz w:val="28"/>
          <w:szCs w:val="28"/>
          <w:shd w:val="clear" w:color="auto" w:fill="FFFFFF"/>
        </w:rPr>
      </w:pPr>
      <w:r>
        <w:rPr>
          <w:rFonts w:hint="eastAsia"/>
          <w:b/>
          <w:color w:val="000000"/>
          <w:sz w:val="28"/>
          <w:szCs w:val="28"/>
          <w:shd w:val="clear" w:color="auto" w:fill="FFFFFF"/>
        </w:rPr>
        <w:t>六、磋商文件获取时间</w:t>
      </w:r>
    </w:p>
    <w:p>
      <w:pPr>
        <w:pStyle w:val="113"/>
        <w:rPr>
          <w:rFonts w:hint="eastAsia" w:eastAsia="宋体" w:cs="Times New Roman"/>
          <w:b/>
          <w:bCs/>
          <w:color w:val="000000"/>
          <w:sz w:val="28"/>
          <w:szCs w:val="28"/>
          <w:highlight w:val="none"/>
          <w:shd w:val="clear" w:color="auto" w:fill="FFFFFF"/>
        </w:rPr>
      </w:pPr>
      <w:r>
        <w:rPr>
          <w:rFonts w:hint="eastAsia"/>
          <w:b/>
          <w:bCs/>
          <w:color w:val="000000"/>
          <w:sz w:val="28"/>
          <w:szCs w:val="28"/>
          <w:highlight w:val="none"/>
          <w:shd w:val="clear" w:color="auto" w:fill="FFFFFF"/>
        </w:rPr>
        <w:t>（一）磋商文件获取时间：</w:t>
      </w:r>
      <w:bookmarkStart w:id="4" w:name="EBe7a81893488a48a0a3a07b78aa096f64"/>
      <w:r>
        <w:rPr>
          <w:rFonts w:hint="eastAsia" w:eastAsia="宋体" w:cs="Times New Roman"/>
          <w:b/>
          <w:bCs/>
          <w:color w:val="000000"/>
          <w:sz w:val="28"/>
          <w:szCs w:val="28"/>
          <w:highlight w:val="none"/>
          <w:shd w:val="clear" w:color="auto" w:fill="FFFFFF"/>
        </w:rPr>
        <w:t>2021年</w:t>
      </w:r>
      <w:r>
        <w:rPr>
          <w:rFonts w:hint="eastAsia" w:eastAsia="宋体" w:cs="Times New Roman"/>
          <w:b/>
          <w:bCs/>
          <w:color w:val="000000"/>
          <w:sz w:val="28"/>
          <w:szCs w:val="28"/>
          <w:highlight w:val="none"/>
          <w:shd w:val="clear" w:color="auto" w:fill="FFFFFF"/>
          <w:lang w:val="en-US" w:eastAsia="zh-CN"/>
        </w:rPr>
        <w:t>11</w:t>
      </w:r>
      <w:r>
        <w:rPr>
          <w:rFonts w:hint="eastAsia" w:eastAsia="宋体" w:cs="Times New Roman"/>
          <w:b/>
          <w:bCs/>
          <w:color w:val="000000"/>
          <w:sz w:val="28"/>
          <w:szCs w:val="28"/>
          <w:highlight w:val="none"/>
          <w:shd w:val="clear" w:color="auto" w:fill="FFFFFF"/>
        </w:rPr>
        <w:t>月</w:t>
      </w:r>
      <w:r>
        <w:rPr>
          <w:rFonts w:hint="eastAsia" w:eastAsia="宋体" w:cs="Times New Roman"/>
          <w:b/>
          <w:bCs/>
          <w:color w:val="000000"/>
          <w:sz w:val="28"/>
          <w:szCs w:val="28"/>
          <w:highlight w:val="none"/>
          <w:shd w:val="clear" w:color="auto" w:fill="FFFFFF"/>
          <w:lang w:val="en-US" w:eastAsia="zh-CN"/>
        </w:rPr>
        <w:t>5</w:t>
      </w:r>
      <w:r>
        <w:rPr>
          <w:rFonts w:hint="eastAsia" w:eastAsia="宋体" w:cs="Times New Roman"/>
          <w:b/>
          <w:bCs/>
          <w:color w:val="000000"/>
          <w:sz w:val="28"/>
          <w:szCs w:val="28"/>
          <w:highlight w:val="none"/>
          <w:shd w:val="clear" w:color="auto" w:fill="FFFFFF"/>
        </w:rPr>
        <w:t>日</w:t>
      </w:r>
      <w:bookmarkEnd w:id="4"/>
      <w:r>
        <w:rPr>
          <w:rFonts w:hint="eastAsia" w:eastAsia="宋体" w:cs="Times New Roman"/>
          <w:b/>
          <w:bCs/>
          <w:color w:val="000000"/>
          <w:sz w:val="28"/>
          <w:szCs w:val="28"/>
          <w:highlight w:val="none"/>
          <w:shd w:val="clear" w:color="auto" w:fill="FFFFFF"/>
        </w:rPr>
        <w:t>至</w:t>
      </w:r>
      <w:bookmarkStart w:id="5" w:name="EB766c25f67bed4e4582f58334a1ed0246"/>
      <w:r>
        <w:rPr>
          <w:rFonts w:hint="eastAsia" w:eastAsia="宋体" w:cs="Times New Roman"/>
          <w:b/>
          <w:bCs/>
          <w:color w:val="000000"/>
          <w:sz w:val="28"/>
          <w:szCs w:val="28"/>
          <w:highlight w:val="none"/>
          <w:shd w:val="clear" w:color="auto" w:fill="FFFFFF"/>
        </w:rPr>
        <w:t>2021年</w:t>
      </w:r>
      <w:r>
        <w:rPr>
          <w:rFonts w:hint="eastAsia" w:eastAsia="宋体" w:cs="Times New Roman"/>
          <w:b/>
          <w:bCs/>
          <w:color w:val="000000"/>
          <w:sz w:val="28"/>
          <w:szCs w:val="28"/>
          <w:highlight w:val="none"/>
          <w:shd w:val="clear" w:color="auto" w:fill="FFFFFF"/>
          <w:lang w:val="en-US" w:eastAsia="zh-CN"/>
        </w:rPr>
        <w:t>11</w:t>
      </w:r>
      <w:r>
        <w:rPr>
          <w:rFonts w:hint="eastAsia" w:eastAsia="宋体" w:cs="Times New Roman"/>
          <w:b/>
          <w:bCs/>
          <w:color w:val="000000"/>
          <w:sz w:val="28"/>
          <w:szCs w:val="28"/>
          <w:highlight w:val="none"/>
          <w:shd w:val="clear" w:color="auto" w:fill="FFFFFF"/>
        </w:rPr>
        <w:t>月</w:t>
      </w:r>
      <w:r>
        <w:rPr>
          <w:rFonts w:hint="eastAsia" w:eastAsia="宋体" w:cs="Times New Roman"/>
          <w:b/>
          <w:bCs/>
          <w:color w:val="000000"/>
          <w:sz w:val="28"/>
          <w:szCs w:val="28"/>
          <w:highlight w:val="none"/>
          <w:shd w:val="clear" w:color="auto" w:fill="FFFFFF"/>
          <w:lang w:val="en-US" w:eastAsia="zh-CN"/>
        </w:rPr>
        <w:t>15</w:t>
      </w:r>
      <w:r>
        <w:rPr>
          <w:rFonts w:hint="eastAsia" w:eastAsia="宋体" w:cs="Times New Roman"/>
          <w:b/>
          <w:bCs/>
          <w:color w:val="000000"/>
          <w:sz w:val="28"/>
          <w:szCs w:val="28"/>
          <w:highlight w:val="none"/>
          <w:shd w:val="clear" w:color="auto" w:fill="FFFFFF"/>
        </w:rPr>
        <w:t>日</w:t>
      </w:r>
      <w:bookmarkEnd w:id="5"/>
      <w:r>
        <w:rPr>
          <w:rFonts w:hint="eastAsia" w:eastAsia="宋体" w:cs="Times New Roman"/>
          <w:b/>
          <w:bCs/>
          <w:color w:val="000000"/>
          <w:sz w:val="28"/>
          <w:szCs w:val="28"/>
          <w:highlight w:val="none"/>
          <w:shd w:val="clear" w:color="auto" w:fill="FFFFFF"/>
        </w:rPr>
        <w:t>。</w:t>
      </w:r>
    </w:p>
    <w:p>
      <w:pPr>
        <w:pStyle w:val="113"/>
        <w:rPr>
          <w:rFonts w:hint="eastAsia"/>
          <w:b/>
          <w:bCs/>
          <w:color w:val="000000"/>
          <w:sz w:val="28"/>
          <w:szCs w:val="28"/>
          <w:highlight w:val="none"/>
          <w:shd w:val="clear" w:color="auto" w:fill="FFFFFF"/>
        </w:rPr>
      </w:pPr>
      <w:r>
        <w:rPr>
          <w:rFonts w:hint="eastAsia"/>
          <w:b/>
          <w:bCs/>
          <w:color w:val="000000"/>
          <w:sz w:val="28"/>
          <w:szCs w:val="28"/>
          <w:highlight w:val="none"/>
          <w:shd w:val="clear" w:color="auto" w:fill="FFFFFF"/>
        </w:rPr>
        <w:t>（二）公告期限：2021年</w:t>
      </w:r>
      <w:r>
        <w:rPr>
          <w:rFonts w:hint="eastAsia"/>
          <w:b/>
          <w:bCs/>
          <w:color w:val="000000"/>
          <w:sz w:val="28"/>
          <w:szCs w:val="28"/>
          <w:highlight w:val="none"/>
          <w:shd w:val="clear" w:color="auto" w:fill="FFFFFF"/>
          <w:lang w:val="en-US" w:eastAsia="zh-CN"/>
        </w:rPr>
        <w:t>11</w:t>
      </w:r>
      <w:r>
        <w:rPr>
          <w:rFonts w:hint="eastAsia"/>
          <w:b/>
          <w:bCs/>
          <w:color w:val="000000"/>
          <w:sz w:val="28"/>
          <w:szCs w:val="28"/>
          <w:highlight w:val="none"/>
          <w:shd w:val="clear" w:color="auto" w:fill="FFFFFF"/>
        </w:rPr>
        <w:t>月</w:t>
      </w:r>
      <w:r>
        <w:rPr>
          <w:rFonts w:hint="eastAsia"/>
          <w:b/>
          <w:bCs/>
          <w:color w:val="000000"/>
          <w:sz w:val="28"/>
          <w:szCs w:val="28"/>
          <w:highlight w:val="none"/>
          <w:shd w:val="clear" w:color="auto" w:fill="FFFFFF"/>
          <w:lang w:val="en-US" w:eastAsia="zh-CN"/>
        </w:rPr>
        <w:t>5</w:t>
      </w:r>
      <w:r>
        <w:rPr>
          <w:rFonts w:hint="eastAsia"/>
          <w:b/>
          <w:bCs/>
          <w:color w:val="000000"/>
          <w:sz w:val="28"/>
          <w:szCs w:val="28"/>
          <w:highlight w:val="none"/>
          <w:shd w:val="clear" w:color="auto" w:fill="FFFFFF"/>
        </w:rPr>
        <w:t>日至</w:t>
      </w:r>
      <w:r>
        <w:rPr>
          <w:rFonts w:hint="eastAsia"/>
          <w:b/>
          <w:bCs/>
          <w:color w:val="000000"/>
          <w:sz w:val="28"/>
          <w:szCs w:val="28"/>
          <w:highlight w:val="none"/>
          <w:shd w:val="clear" w:color="auto" w:fill="FFFFFF"/>
          <w:lang w:val="en-US" w:eastAsia="zh-CN"/>
        </w:rPr>
        <w:t>11</w:t>
      </w:r>
      <w:r>
        <w:rPr>
          <w:rFonts w:hint="eastAsia"/>
          <w:b/>
          <w:bCs/>
          <w:color w:val="000000"/>
          <w:sz w:val="28"/>
          <w:szCs w:val="28"/>
          <w:highlight w:val="none"/>
          <w:shd w:val="clear" w:color="auto" w:fill="FFFFFF"/>
        </w:rPr>
        <w:t>月</w:t>
      </w:r>
      <w:r>
        <w:rPr>
          <w:rFonts w:hint="eastAsia"/>
          <w:b/>
          <w:bCs/>
          <w:color w:val="000000"/>
          <w:sz w:val="28"/>
          <w:szCs w:val="28"/>
          <w:highlight w:val="none"/>
          <w:shd w:val="clear" w:color="auto" w:fill="FFFFFF"/>
          <w:lang w:val="en-US" w:eastAsia="zh-CN"/>
        </w:rPr>
        <w:t>11</w:t>
      </w:r>
      <w:r>
        <w:rPr>
          <w:rFonts w:hint="eastAsia"/>
          <w:b/>
          <w:bCs/>
          <w:color w:val="000000"/>
          <w:sz w:val="28"/>
          <w:szCs w:val="28"/>
          <w:highlight w:val="none"/>
          <w:shd w:val="clear" w:color="auto" w:fill="FFFFFF"/>
        </w:rPr>
        <w:t>日。</w:t>
      </w:r>
    </w:p>
    <w:p>
      <w:pPr>
        <w:pStyle w:val="113"/>
        <w:ind w:firstLine="482"/>
        <w:rPr>
          <w:b/>
          <w:color w:val="000000"/>
          <w:highlight w:val="none"/>
          <w:shd w:val="clear" w:color="auto" w:fill="FFFFFF"/>
        </w:rPr>
      </w:pPr>
      <w:r>
        <w:rPr>
          <w:rFonts w:hint="eastAsia"/>
          <w:b/>
          <w:color w:val="000000"/>
          <w:highlight w:val="none"/>
          <w:shd w:val="clear" w:color="auto" w:fill="FFFFFF"/>
        </w:rPr>
        <w:t>七、磋商文件获取方式</w:t>
      </w:r>
    </w:p>
    <w:p>
      <w:pPr>
        <w:spacing w:line="360" w:lineRule="auto"/>
        <w:ind w:firstLine="560" w:firstLineChars="200"/>
        <w:rPr>
          <w:color w:val="000000"/>
          <w:sz w:val="28"/>
          <w:szCs w:val="28"/>
        </w:rPr>
      </w:pPr>
      <w:r>
        <w:rPr>
          <w:rFonts w:hint="eastAsia"/>
          <w:color w:val="000000"/>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color w:val="000000"/>
          <w:sz w:val="28"/>
          <w:szCs w:val="28"/>
        </w:rPr>
      </w:pPr>
      <w:r>
        <w:rPr>
          <w:rFonts w:hint="eastAsia"/>
          <w:color w:val="000000"/>
          <w:sz w:val="28"/>
          <w:szCs w:val="28"/>
        </w:rPr>
        <w:t>提示：</w:t>
      </w:r>
    </w:p>
    <w:p>
      <w:pPr>
        <w:pStyle w:val="113"/>
        <w:rPr>
          <w:rFonts w:hint="eastAsia" w:eastAsia="宋体" w:cs="宋体"/>
          <w:color w:val="000000"/>
          <w:kern w:val="2"/>
          <w:sz w:val="28"/>
          <w:szCs w:val="28"/>
        </w:rPr>
      </w:pPr>
      <w:r>
        <w:rPr>
          <w:rFonts w:hint="eastAsia" w:eastAsia="宋体" w:cs="宋体"/>
          <w:color w:val="000000"/>
          <w:kern w:val="2"/>
          <w:sz w:val="28"/>
          <w:szCs w:val="28"/>
        </w:rPr>
        <w:t>（1）本项目采购文件免费获取。</w:t>
      </w:r>
    </w:p>
    <w:p>
      <w:pPr>
        <w:pStyle w:val="113"/>
        <w:rPr>
          <w:rFonts w:hint="eastAsia" w:eastAsia="宋体" w:cs="宋体"/>
          <w:color w:val="000000"/>
          <w:kern w:val="2"/>
          <w:sz w:val="28"/>
          <w:szCs w:val="28"/>
        </w:rPr>
      </w:pPr>
      <w:r>
        <w:rPr>
          <w:rFonts w:hint="eastAsia" w:eastAsia="宋体" w:cs="宋体"/>
          <w:color w:val="000000"/>
          <w:kern w:val="2"/>
          <w:sz w:val="28"/>
          <w:szCs w:val="28"/>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引起的投标无效责任自负。</w:t>
      </w:r>
    </w:p>
    <w:p>
      <w:pPr>
        <w:pStyle w:val="113"/>
        <w:rPr>
          <w:rFonts w:hint="eastAsia" w:eastAsia="宋体" w:cs="宋体"/>
          <w:color w:val="000000"/>
          <w:kern w:val="2"/>
          <w:sz w:val="28"/>
          <w:szCs w:val="28"/>
        </w:rPr>
      </w:pPr>
      <w:r>
        <w:rPr>
          <w:rFonts w:hint="eastAsia" w:eastAsia="宋体" w:cs="宋体"/>
          <w:color w:val="000000"/>
          <w:kern w:val="2"/>
          <w:sz w:val="28"/>
          <w:szCs w:val="28"/>
        </w:rPr>
        <w:t>（3）首次登录成都市公共资源交易服务中心门户网站的新用户应先点击“注册新用户”，注册成功后再登录。</w:t>
      </w:r>
    </w:p>
    <w:p>
      <w:pPr>
        <w:pStyle w:val="113"/>
        <w:rPr>
          <w:rFonts w:hint="eastAsia" w:eastAsia="宋体" w:cs="宋体"/>
          <w:color w:val="000000"/>
          <w:kern w:val="2"/>
          <w:sz w:val="28"/>
          <w:szCs w:val="28"/>
        </w:rPr>
      </w:pPr>
      <w:r>
        <w:rPr>
          <w:rFonts w:hint="eastAsia" w:eastAsia="宋体" w:cs="宋体"/>
          <w:color w:val="000000"/>
          <w:kern w:val="2"/>
          <w:sz w:val="28"/>
          <w:szCs w:val="28"/>
        </w:rPr>
        <w:t>（4）本项目为电子招标投标项目，供应商参与本项目全过程中凡涉及系统操作请详见《成都市全流程电子化采购系统操作指南——供应商版》（操作指南请登录政府采购云平台后，点击“前台大厅—操作指南—供应商”处下载查看）。</w:t>
      </w:r>
    </w:p>
    <w:p>
      <w:pPr>
        <w:pStyle w:val="113"/>
        <w:ind w:firstLine="562"/>
        <w:rPr>
          <w:rFonts w:hint="eastAsia"/>
          <w:color w:val="000000"/>
          <w:sz w:val="28"/>
          <w:szCs w:val="28"/>
          <w:shd w:val="clear" w:color="auto" w:fill="FFFFFF"/>
        </w:rPr>
      </w:pPr>
      <w:r>
        <w:rPr>
          <w:rFonts w:hint="eastAsia"/>
          <w:b/>
          <w:color w:val="000000"/>
          <w:sz w:val="28"/>
          <w:szCs w:val="28"/>
          <w:shd w:val="clear" w:color="auto" w:fill="FFFFFF"/>
        </w:rPr>
        <w:t>八、磋商文件获取地点</w:t>
      </w:r>
      <w:r>
        <w:rPr>
          <w:rFonts w:hint="eastAsia"/>
          <w:color w:val="000000"/>
          <w:sz w:val="28"/>
          <w:szCs w:val="28"/>
          <w:shd w:val="clear" w:color="auto" w:fill="FFFFFF"/>
        </w:rPr>
        <w:t>：</w:t>
      </w:r>
    </w:p>
    <w:p>
      <w:pPr>
        <w:pStyle w:val="113"/>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登录成都市公共资源交易服务中心门户网站（https://www.cdggzy.com/）—用户中心—政府采购云平台获取。</w:t>
      </w:r>
    </w:p>
    <w:p>
      <w:pPr>
        <w:pStyle w:val="113"/>
        <w:spacing w:line="500" w:lineRule="exact"/>
        <w:ind w:firstLine="562"/>
        <w:rPr>
          <w:rFonts w:hint="eastAsia"/>
          <w:b/>
          <w:color w:val="000000"/>
          <w:sz w:val="28"/>
          <w:szCs w:val="28"/>
          <w:shd w:val="clear" w:color="auto" w:fill="FFFFFF"/>
        </w:rPr>
      </w:pPr>
      <w:r>
        <w:rPr>
          <w:rFonts w:hint="eastAsia"/>
          <w:b/>
          <w:color w:val="000000"/>
          <w:sz w:val="28"/>
          <w:szCs w:val="28"/>
          <w:shd w:val="clear" w:color="auto" w:fill="FFFFFF"/>
        </w:rPr>
        <w:t>九、响应文件递交时间、截止时间及开启时间（北京时间）、地点、方式</w:t>
      </w:r>
    </w:p>
    <w:p>
      <w:pPr>
        <w:pStyle w:val="113"/>
        <w:spacing w:line="500" w:lineRule="exact"/>
        <w:rPr>
          <w:b w:val="0"/>
          <w:bCs w:val="0"/>
          <w:color w:val="000000"/>
          <w:sz w:val="28"/>
          <w:szCs w:val="28"/>
          <w:highlight w:val="none"/>
          <w:shd w:val="clear" w:color="auto" w:fill="FFFFFF"/>
        </w:rPr>
      </w:pPr>
      <w:r>
        <w:rPr>
          <w:rFonts w:hint="eastAsia"/>
          <w:b w:val="0"/>
          <w:bCs w:val="0"/>
          <w:color w:val="000000"/>
          <w:sz w:val="28"/>
          <w:szCs w:val="28"/>
          <w:highlight w:val="none"/>
          <w:shd w:val="clear" w:color="auto" w:fill="FFFFFF"/>
        </w:rPr>
        <w:t>（一）首次提交响应文件截止时间及开启时间：</w:t>
      </w:r>
      <w:bookmarkStart w:id="6" w:name="EB7d98f683ca474c9da61f90cc9d7a1c9c"/>
      <w:r>
        <w:rPr>
          <w:rFonts w:hint="eastAsia" w:cs="宋体"/>
          <w:b/>
          <w:bCs/>
          <w:color w:val="000000"/>
          <w:kern w:val="2"/>
          <w:sz w:val="28"/>
          <w:szCs w:val="28"/>
          <w:highlight w:val="none"/>
          <w:u w:val="none"/>
        </w:rPr>
        <w:t>2021年</w:t>
      </w:r>
      <w:r>
        <w:rPr>
          <w:rFonts w:hint="eastAsia" w:cs="宋体"/>
          <w:b/>
          <w:bCs/>
          <w:color w:val="000000"/>
          <w:kern w:val="2"/>
          <w:sz w:val="28"/>
          <w:szCs w:val="28"/>
          <w:highlight w:val="none"/>
          <w:u w:val="none"/>
          <w:lang w:val="en-US" w:eastAsia="zh-CN"/>
        </w:rPr>
        <w:t>11</w:t>
      </w:r>
      <w:r>
        <w:rPr>
          <w:rFonts w:hint="eastAsia" w:cs="宋体"/>
          <w:b/>
          <w:bCs/>
          <w:color w:val="000000"/>
          <w:kern w:val="2"/>
          <w:sz w:val="28"/>
          <w:szCs w:val="28"/>
          <w:highlight w:val="none"/>
          <w:u w:val="none"/>
        </w:rPr>
        <w:t>月</w:t>
      </w:r>
      <w:r>
        <w:rPr>
          <w:rFonts w:hint="eastAsia" w:cs="宋体"/>
          <w:b/>
          <w:bCs/>
          <w:color w:val="000000"/>
          <w:kern w:val="2"/>
          <w:sz w:val="28"/>
          <w:szCs w:val="28"/>
          <w:highlight w:val="none"/>
          <w:u w:val="none"/>
          <w:lang w:val="en-US" w:eastAsia="zh-CN"/>
        </w:rPr>
        <w:t>16</w:t>
      </w:r>
      <w:r>
        <w:rPr>
          <w:rFonts w:hint="eastAsia" w:cs="宋体"/>
          <w:b/>
          <w:bCs/>
          <w:color w:val="000000"/>
          <w:kern w:val="2"/>
          <w:sz w:val="28"/>
          <w:szCs w:val="28"/>
          <w:highlight w:val="none"/>
          <w:u w:val="none"/>
        </w:rPr>
        <w:t>日</w:t>
      </w:r>
      <w:r>
        <w:rPr>
          <w:rFonts w:hint="eastAsia" w:cs="宋体"/>
          <w:b/>
          <w:bCs/>
          <w:color w:val="000000"/>
          <w:kern w:val="2"/>
          <w:sz w:val="28"/>
          <w:szCs w:val="28"/>
          <w:highlight w:val="none"/>
          <w:u w:val="none"/>
          <w:lang w:val="en-US" w:eastAsia="zh-CN"/>
        </w:rPr>
        <w:t>上午</w:t>
      </w:r>
      <w:r>
        <w:rPr>
          <w:rFonts w:hint="eastAsia" w:cs="宋体"/>
          <w:b/>
          <w:bCs/>
          <w:color w:val="000000"/>
          <w:kern w:val="2"/>
          <w:sz w:val="28"/>
          <w:szCs w:val="28"/>
          <w:highlight w:val="none"/>
          <w:u w:val="none"/>
        </w:rPr>
        <w:t>9:30</w:t>
      </w:r>
      <w:bookmarkEnd w:id="6"/>
      <w:r>
        <w:rPr>
          <w:rFonts w:hint="eastAsia" w:cs="宋体"/>
          <w:b w:val="0"/>
          <w:bCs w:val="0"/>
          <w:color w:val="000000"/>
          <w:kern w:val="2"/>
          <w:sz w:val="28"/>
          <w:szCs w:val="28"/>
          <w:highlight w:val="none"/>
        </w:rPr>
        <w:t>。</w:t>
      </w:r>
    </w:p>
    <w:p>
      <w:pPr>
        <w:pStyle w:val="161"/>
        <w:tabs>
          <w:tab w:val="left" w:pos="1418"/>
        </w:tabs>
        <w:spacing w:line="500" w:lineRule="exact"/>
        <w:ind w:firstLine="560"/>
        <w:rPr>
          <w:rFonts w:ascii="宋体" w:hAnsi="宋体" w:eastAsia="宋体"/>
          <w:b w:val="0"/>
          <w:bCs w:val="0"/>
          <w:color w:val="000000"/>
          <w:sz w:val="28"/>
          <w:szCs w:val="28"/>
        </w:rPr>
      </w:pPr>
      <w:r>
        <w:rPr>
          <w:rFonts w:hint="eastAsia"/>
          <w:b w:val="0"/>
          <w:bCs w:val="0"/>
          <w:color w:val="000000"/>
          <w:sz w:val="28"/>
          <w:szCs w:val="28"/>
          <w:shd w:val="clear" w:color="auto" w:fill="FFFFFF"/>
        </w:rPr>
        <w:t>（二）</w:t>
      </w:r>
      <w:r>
        <w:rPr>
          <w:rFonts w:hint="eastAsia" w:ascii="宋体" w:hAnsi="宋体" w:eastAsia="宋体"/>
          <w:b w:val="0"/>
          <w:bCs w:val="0"/>
          <w:color w:val="000000"/>
          <w:sz w:val="28"/>
          <w:szCs w:val="28"/>
        </w:rPr>
        <w:t>响应文件递交方式、地点：响应文件递交截止时间前，供应商应将加密的响应文件递交至“政府采购云平台”对应项目（包件）。</w:t>
      </w:r>
    </w:p>
    <w:p>
      <w:pPr>
        <w:pStyle w:val="161"/>
        <w:tabs>
          <w:tab w:val="left" w:pos="1418"/>
        </w:tabs>
        <w:spacing w:line="600" w:lineRule="exact"/>
        <w:ind w:left="567" w:firstLine="0" w:firstLineChars="0"/>
        <w:rPr>
          <w:rFonts w:ascii="宋体" w:hAnsi="宋体" w:eastAsia="宋体"/>
          <w:b/>
          <w:color w:val="000000"/>
          <w:sz w:val="28"/>
          <w:szCs w:val="28"/>
        </w:rPr>
      </w:pPr>
      <w:r>
        <w:rPr>
          <w:rFonts w:hint="eastAsia" w:ascii="宋体" w:hAnsi="宋体"/>
          <w:color w:val="000000"/>
          <w:sz w:val="28"/>
          <w:szCs w:val="28"/>
        </w:rPr>
        <w:t>本项目只接受供应商加密并递交至“政府采购云平台”的响应文件。</w:t>
      </w:r>
    </w:p>
    <w:p>
      <w:pPr>
        <w:pStyle w:val="113"/>
        <w:ind w:firstLine="562"/>
        <w:rPr>
          <w:b/>
          <w:color w:val="000000"/>
          <w:sz w:val="28"/>
          <w:szCs w:val="28"/>
          <w:shd w:val="clear" w:color="auto" w:fill="FFFFFF"/>
        </w:rPr>
      </w:pPr>
      <w:r>
        <w:rPr>
          <w:rFonts w:hint="eastAsia"/>
          <w:b/>
          <w:color w:val="000000"/>
          <w:sz w:val="28"/>
          <w:szCs w:val="28"/>
          <w:shd w:val="clear" w:color="auto" w:fill="FFFFFF"/>
        </w:rPr>
        <w:t>十、递交响应文件地点及磋商地点</w:t>
      </w:r>
    </w:p>
    <w:p>
      <w:pPr>
        <w:widowControl/>
        <w:spacing w:line="360" w:lineRule="auto"/>
        <w:ind w:left="567"/>
        <w:rPr>
          <w:rFonts w:hint="eastAsia"/>
          <w:sz w:val="28"/>
          <w:szCs w:val="28"/>
        </w:rPr>
      </w:pPr>
      <w:r>
        <w:rPr>
          <w:rFonts w:hint="eastAsia"/>
          <w:sz w:val="28"/>
          <w:szCs w:val="28"/>
        </w:rPr>
        <w:t>本项目为不见面磋商。</w:t>
      </w:r>
    </w:p>
    <w:p>
      <w:pPr>
        <w:widowControl/>
        <w:spacing w:line="360" w:lineRule="auto"/>
        <w:ind w:left="567"/>
        <w:rPr>
          <w:sz w:val="28"/>
          <w:szCs w:val="28"/>
        </w:rPr>
      </w:pPr>
      <w:r>
        <w:rPr>
          <w:rFonts w:hint="eastAsia"/>
          <w:sz w:val="28"/>
          <w:szCs w:val="28"/>
        </w:rPr>
        <w:t>磋商地点：政府采购云平台开标大厅。</w:t>
      </w:r>
    </w:p>
    <w:p>
      <w:pPr>
        <w:numPr>
          <w:ilvl w:val="0"/>
          <w:numId w:val="2"/>
        </w:numPr>
        <w:spacing w:line="360" w:lineRule="auto"/>
        <w:ind w:left="630"/>
        <w:rPr>
          <w:rFonts w:hint="eastAsia"/>
          <w:b/>
          <w:color w:val="000000"/>
          <w:sz w:val="28"/>
          <w:szCs w:val="28"/>
        </w:rPr>
      </w:pPr>
      <w:r>
        <w:rPr>
          <w:rFonts w:hint="eastAsia"/>
          <w:b/>
          <w:color w:val="000000"/>
          <w:sz w:val="28"/>
          <w:szCs w:val="28"/>
        </w:rPr>
        <w:t>中小企业政府采购信用担保融资</w:t>
      </w:r>
    </w:p>
    <w:p>
      <w:pPr>
        <w:pStyle w:val="4"/>
        <w:spacing w:before="156" w:after="156"/>
        <w:ind w:left="0" w:firstLine="0"/>
        <w:rPr>
          <w:color w:val="000000"/>
        </w:rPr>
      </w:pPr>
      <w:r>
        <w:rPr>
          <w:rFonts w:hint="eastAsia"/>
          <w:color w:val="000000"/>
        </w:rPr>
        <w:t xml:space="preserve">   </w:t>
      </w:r>
      <w:bookmarkStart w:id="7" w:name="_Toc20399"/>
      <w:r>
        <w:rPr>
          <w:rFonts w:hint="eastAsia"/>
          <w:color w:val="000000"/>
        </w:rPr>
        <w:t xml:space="preserve"> </w:t>
      </w:r>
      <w:bookmarkStart w:id="8" w:name="_Toc24796"/>
      <w:bookmarkStart w:id="9" w:name="_Toc4767"/>
      <w:r>
        <w:rPr>
          <w:rFonts w:hint="eastAsia" w:cs="宋体"/>
          <w:b w:val="0"/>
          <w:bCs w:val="0"/>
          <w:iCs w:val="0"/>
          <w:color w:val="000000"/>
          <w:kern w:val="2"/>
        </w:rPr>
        <w:t>参加本次招标活动的中小企业</w:t>
      </w:r>
      <w:r>
        <w:rPr>
          <w:rFonts w:hint="eastAsia" w:cs="宋体"/>
          <w:b w:val="0"/>
          <w:bCs w:val="0"/>
          <w:iCs w:val="0"/>
          <w:color w:val="000000"/>
          <w:kern w:val="2"/>
          <w:lang w:eastAsia="zh-CN"/>
        </w:rPr>
        <w:t>供应商</w:t>
      </w:r>
      <w:r>
        <w:rPr>
          <w:rFonts w:hint="eastAsia" w:cs="宋体"/>
          <w:b w:val="0"/>
          <w:bCs w:val="0"/>
          <w:iCs w:val="0"/>
          <w:color w:val="000000"/>
          <w:kern w:val="2"/>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bookmarkEnd w:id="7"/>
      <w:bookmarkEnd w:id="8"/>
      <w:bookmarkEnd w:id="9"/>
    </w:p>
    <w:p>
      <w:pPr>
        <w:pStyle w:val="113"/>
        <w:ind w:firstLine="582"/>
        <w:rPr>
          <w:b/>
          <w:color w:val="000000"/>
          <w:shd w:val="clear" w:color="auto" w:fill="FFFFFF"/>
        </w:rPr>
      </w:pPr>
      <w:r>
        <w:rPr>
          <w:rFonts w:hint="eastAsia"/>
          <w:b/>
          <w:color w:val="000000"/>
          <w:sz w:val="29"/>
          <w:szCs w:val="29"/>
        </w:rPr>
        <w:t>十二</w:t>
      </w:r>
      <w:r>
        <w:rPr>
          <w:rFonts w:hint="eastAsia"/>
          <w:b/>
          <w:color w:val="000000"/>
          <w:shd w:val="clear" w:color="auto" w:fill="FFFFFF"/>
        </w:rPr>
        <w:t>、联系人及联系电话</w:t>
      </w:r>
    </w:p>
    <w:p>
      <w:pPr>
        <w:pStyle w:val="113"/>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eastAsiaTheme="minorEastAsia"/>
          <w:color w:val="000000"/>
          <w:highlight w:val="none"/>
          <w:shd w:val="clear" w:color="auto" w:fill="FFFFFF"/>
          <w:lang w:eastAsia="zh-CN"/>
        </w:rPr>
      </w:pPr>
      <w:r>
        <w:rPr>
          <w:rFonts w:hint="eastAsia"/>
          <w:b/>
          <w:color w:val="000000"/>
          <w:highlight w:val="none"/>
          <w:shd w:val="clear" w:color="auto" w:fill="FFFFFF"/>
        </w:rPr>
        <w:t>（一）采购人</w:t>
      </w:r>
      <w:r>
        <w:rPr>
          <w:rFonts w:hint="eastAsia"/>
          <w:color w:val="000000"/>
          <w:highlight w:val="none"/>
          <w:shd w:val="clear" w:color="auto" w:fill="FFFFFF"/>
        </w:rPr>
        <w:t>：</w:t>
      </w:r>
      <w:r>
        <w:rPr>
          <w:rFonts w:hint="eastAsia"/>
          <w:b/>
          <w:bCs/>
          <w:color w:val="000000"/>
          <w:highlight w:val="none"/>
          <w:shd w:val="clear" w:color="auto" w:fill="FFFFFF"/>
          <w:lang w:val="en-US" w:eastAsia="zh-CN"/>
        </w:rPr>
        <w:t>成都市</w:t>
      </w:r>
      <w:r>
        <w:rPr>
          <w:rFonts w:hint="eastAsia"/>
          <w:b/>
          <w:bCs/>
          <w:color w:val="000000"/>
          <w:highlight w:val="none"/>
          <w:shd w:val="clear" w:color="auto" w:fill="FFFFFF"/>
          <w:lang w:eastAsia="zh-CN"/>
        </w:rPr>
        <w:t>成都市温江区第二中学校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 xml:space="preserve">地    址：成都市温江区柳台大道128号 </w:t>
      </w:r>
    </w:p>
    <w:p>
      <w:pPr>
        <w:pStyle w:val="113"/>
        <w:keepNext w:val="0"/>
        <w:keepLines w:val="0"/>
        <w:pageBreakBefore w:val="0"/>
        <w:kinsoku/>
        <w:wordWrap/>
        <w:overflowPunct/>
        <w:topLinePunct w:val="0"/>
        <w:autoSpaceDE/>
        <w:autoSpaceDN/>
        <w:bidi w:val="0"/>
        <w:adjustRightInd/>
        <w:snapToGrid/>
        <w:spacing w:line="500" w:lineRule="exact"/>
        <w:ind w:firstLine="480"/>
        <w:textAlignment w:val="auto"/>
        <w:rPr>
          <w:rFonts w:hint="default"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邮    编：611130</w:t>
      </w:r>
    </w:p>
    <w:p>
      <w:pPr>
        <w:pStyle w:val="11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联 系 人：</w:t>
      </w:r>
      <w:r>
        <w:rPr>
          <w:rFonts w:hint="eastAsia"/>
          <w:color w:val="000000"/>
          <w:highlight w:val="none"/>
          <w:shd w:val="clear" w:color="auto" w:fill="FFFFFF"/>
          <w:lang w:val="en-US" w:eastAsia="zh-CN"/>
        </w:rPr>
        <w:t>何成旭</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Theme="minorEastAsia" w:cstheme="minorBidi"/>
          <w:color w:val="000000"/>
          <w:kern w:val="10"/>
          <w:sz w:val="24"/>
          <w:szCs w:val="22"/>
          <w:highlight w:val="none"/>
          <w:shd w:val="clear" w:color="auto" w:fill="FFFFFF"/>
          <w:lang w:val="en-US" w:eastAsia="zh-CN" w:bidi="ar-SA"/>
        </w:rPr>
      </w:pPr>
      <w:r>
        <w:rPr>
          <w:rFonts w:hint="eastAsia" w:ascii="宋体" w:hAnsi="宋体" w:eastAsiaTheme="minorEastAsia" w:cstheme="minorBidi"/>
          <w:color w:val="000000"/>
          <w:kern w:val="10"/>
          <w:sz w:val="24"/>
          <w:szCs w:val="22"/>
          <w:highlight w:val="none"/>
          <w:shd w:val="clear" w:color="auto" w:fill="FFFFFF"/>
          <w:lang w:val="en-US" w:eastAsia="zh-CN" w:bidi="ar-SA"/>
        </w:rPr>
        <w:t>联系电话：028-82681325</w:t>
      </w:r>
    </w:p>
    <w:p>
      <w:pPr>
        <w:pStyle w:val="113"/>
        <w:ind w:firstLine="482"/>
        <w:rPr>
          <w:b/>
          <w:color w:val="auto"/>
          <w:highlight w:val="none"/>
        </w:rPr>
      </w:pPr>
      <w:bookmarkStart w:id="10" w:name="EBa7e00a33df2247fb87c775e3eeb6f68e"/>
      <w:r>
        <w:rPr>
          <w:rFonts w:hint="eastAsia"/>
          <w:b/>
          <w:color w:val="auto"/>
          <w:highlight w:val="none"/>
        </w:rPr>
        <w:t>（二）集中采购机构：成都市温江</w:t>
      </w:r>
      <w:r>
        <w:rPr>
          <w:rFonts w:hint="eastAsia"/>
          <w:b/>
          <w:color w:val="auto"/>
          <w:highlight w:val="none"/>
          <w:lang w:eastAsia="zh-CN"/>
        </w:rPr>
        <w:t>区</w:t>
      </w:r>
      <w:r>
        <w:rPr>
          <w:rFonts w:hint="eastAsia"/>
          <w:b/>
          <w:color w:val="auto"/>
          <w:highlight w:val="none"/>
        </w:rPr>
        <w:t>公共资源交易服务中心</w:t>
      </w:r>
    </w:p>
    <w:p>
      <w:pPr>
        <w:pStyle w:val="113"/>
        <w:ind w:firstLine="480"/>
        <w:rPr>
          <w:color w:val="auto"/>
          <w:highlight w:val="none"/>
        </w:rPr>
      </w:pPr>
      <w:r>
        <w:rPr>
          <w:rFonts w:hint="eastAsia"/>
          <w:color w:val="auto"/>
          <w:highlight w:val="none"/>
        </w:rPr>
        <w:t>地    址：成都市温江区锦绣大道南段43号天府智谷C栋3楼</w:t>
      </w:r>
    </w:p>
    <w:p>
      <w:pPr>
        <w:pStyle w:val="113"/>
        <w:ind w:firstLine="480"/>
        <w:rPr>
          <w:color w:val="auto"/>
          <w:highlight w:val="none"/>
        </w:rPr>
      </w:pPr>
      <w:r>
        <w:rPr>
          <w:rFonts w:hint="eastAsia"/>
          <w:color w:val="auto"/>
          <w:highlight w:val="none"/>
        </w:rPr>
        <w:t>邮    编：611130</w:t>
      </w:r>
    </w:p>
    <w:p>
      <w:pPr>
        <w:pStyle w:val="113"/>
        <w:ind w:firstLine="480"/>
        <w:rPr>
          <w:rFonts w:hint="eastAsia"/>
          <w:color w:val="auto"/>
          <w:highlight w:val="none"/>
          <w:lang w:eastAsia="zh-CN"/>
        </w:rPr>
      </w:pPr>
      <w:r>
        <w:rPr>
          <w:rFonts w:hint="eastAsia"/>
          <w:color w:val="auto"/>
          <w:highlight w:val="none"/>
        </w:rPr>
        <w:t>联 系 人</w:t>
      </w:r>
      <w:r>
        <w:rPr>
          <w:rFonts w:hint="eastAsia"/>
          <w:color w:val="auto"/>
          <w:highlight w:val="none"/>
          <w:lang w:eastAsia="zh-CN"/>
        </w:rPr>
        <w:t>：</w:t>
      </w:r>
      <w:r>
        <w:rPr>
          <w:rFonts w:hint="eastAsia"/>
          <w:color w:val="auto"/>
          <w:highlight w:val="none"/>
          <w:lang w:val="en-US" w:eastAsia="zh-CN"/>
        </w:rPr>
        <w:t>胥怡希</w:t>
      </w:r>
    </w:p>
    <w:p>
      <w:pPr>
        <w:pStyle w:val="113"/>
        <w:ind w:firstLine="480"/>
        <w:rPr>
          <w:rFonts w:hint="default" w:eastAsia="宋体"/>
          <w:color w:val="auto"/>
          <w:highlight w:val="none"/>
          <w:lang w:val="en-US" w:eastAsia="zh-CN"/>
        </w:rPr>
      </w:pPr>
      <w:r>
        <w:rPr>
          <w:rFonts w:hint="eastAsia"/>
          <w:color w:val="auto"/>
          <w:highlight w:val="none"/>
        </w:rPr>
        <w:t>联系电话：</w:t>
      </w:r>
      <w:bookmarkStart w:id="11" w:name="EBeb8d297ecfe64323924dbe33cc2e5752"/>
      <w:r>
        <w:rPr>
          <w:rFonts w:hint="eastAsia"/>
          <w:color w:val="auto"/>
          <w:highlight w:val="none"/>
        </w:rPr>
        <w:t>028-</w:t>
      </w:r>
      <w:bookmarkEnd w:id="11"/>
      <w:r>
        <w:rPr>
          <w:rFonts w:hint="eastAsia"/>
          <w:color w:val="auto"/>
          <w:highlight w:val="none"/>
          <w:lang w:val="en-US" w:eastAsia="zh-CN"/>
        </w:rPr>
        <w:t>82746656</w:t>
      </w:r>
    </w:p>
    <w:p>
      <w:pPr>
        <w:spacing w:line="360" w:lineRule="auto"/>
        <w:ind w:firstLine="562" w:firstLineChars="200"/>
        <w:rPr>
          <w:rFonts w:ascii="宋体" w:hAnsi="宋体"/>
          <w:color w:val="auto"/>
          <w:kern w:val="0"/>
          <w:sz w:val="28"/>
          <w:highlight w:val="none"/>
        </w:rPr>
      </w:pPr>
      <w:r>
        <w:rPr>
          <w:rFonts w:hint="eastAsia" w:ascii="宋体" w:hAnsi="宋体"/>
          <w:b/>
          <w:color w:val="auto"/>
          <w:sz w:val="28"/>
          <w:szCs w:val="28"/>
          <w:highlight w:val="none"/>
        </w:rPr>
        <w:t>技术支持电话：</w:t>
      </w:r>
      <w:r>
        <w:rPr>
          <w:rFonts w:hint="eastAsia" w:ascii="宋体" w:hAnsi="宋体"/>
          <w:color w:val="auto"/>
          <w:sz w:val="28"/>
          <w:szCs w:val="28"/>
          <w:highlight w:val="none"/>
        </w:rPr>
        <w:t>400-881-7190</w:t>
      </w:r>
    </w:p>
    <w:p>
      <w:pPr>
        <w:pStyle w:val="113"/>
        <w:ind w:firstLine="482" w:firstLineChars="200"/>
        <w:rPr>
          <w:b/>
          <w:color w:val="auto"/>
          <w:highlight w:val="none"/>
        </w:rPr>
      </w:pPr>
      <w:r>
        <w:rPr>
          <w:rFonts w:hint="eastAsia"/>
          <w:b/>
          <w:color w:val="auto"/>
          <w:highlight w:val="none"/>
        </w:rPr>
        <w:t>（三）政府采购监督管理部门：成都市温江区财政局</w:t>
      </w:r>
    </w:p>
    <w:p>
      <w:pPr>
        <w:pStyle w:val="113"/>
        <w:ind w:firstLine="600" w:firstLineChars="250"/>
        <w:rPr>
          <w:color w:val="auto"/>
          <w:highlight w:val="none"/>
        </w:rPr>
      </w:pPr>
      <w:r>
        <w:rPr>
          <w:rFonts w:hint="eastAsia"/>
          <w:color w:val="auto"/>
          <w:highlight w:val="none"/>
        </w:rPr>
        <w:t>地    址：成都市温江区海科大厦</w:t>
      </w:r>
    </w:p>
    <w:p>
      <w:pPr>
        <w:pStyle w:val="113"/>
        <w:ind w:firstLine="600" w:firstLineChars="250"/>
        <w:rPr>
          <w:rFonts w:hint="eastAsia"/>
          <w:color w:val="auto"/>
          <w:highlight w:val="none"/>
          <w:lang w:eastAsia="zh-CN"/>
        </w:rPr>
      </w:pPr>
      <w:r>
        <w:rPr>
          <w:rFonts w:hint="eastAsia"/>
          <w:color w:val="auto"/>
          <w:highlight w:val="none"/>
        </w:rPr>
        <w:t>联系电话：028-82727142</w:t>
      </w:r>
    </w:p>
    <w:p>
      <w:pPr>
        <w:rPr>
          <w:rFonts w:hint="eastAsia"/>
          <w:color w:val="000000"/>
          <w:sz w:val="20"/>
          <w:shd w:val="clear" w:color="auto" w:fill="FFFFFF"/>
        </w:rPr>
      </w:pPr>
      <w:r>
        <w:rPr>
          <w:rFonts w:hint="eastAsia"/>
          <w:color w:val="000000"/>
          <w:sz w:val="20"/>
          <w:shd w:val="clear" w:color="auto" w:fill="FFFFFF"/>
        </w:rPr>
        <w:t xml:space="preserve"> </w:t>
      </w:r>
      <w:bookmarkEnd w:id="10"/>
    </w:p>
    <w:p>
      <w:pPr>
        <w:pStyle w:val="3"/>
        <w:rPr>
          <w:rFonts w:hint="eastAsia"/>
          <w:color w:val="000000"/>
          <w:shd w:val="clear" w:color="auto" w:fill="FFFFFF"/>
        </w:rPr>
      </w:pPr>
      <w:r>
        <w:rPr>
          <w:color w:val="000000"/>
          <w:shd w:val="clear" w:color="auto" w:fill="FFFFFF"/>
        </w:rPr>
        <w:br w:type="page"/>
      </w:r>
      <w:bookmarkStart w:id="12" w:name="_Toc11454"/>
      <w:r>
        <w:rPr>
          <w:rFonts w:hint="eastAsia"/>
          <w:color w:val="000000"/>
          <w:shd w:val="clear" w:color="auto" w:fill="FFFFFF"/>
        </w:rPr>
        <w:t>第2章 供应商须知</w:t>
      </w:r>
      <w:bookmarkEnd w:id="12"/>
    </w:p>
    <w:p>
      <w:pPr>
        <w:rPr>
          <w:color w:val="000000"/>
          <w:shd w:val="clear" w:color="auto" w:fill="FFFFFF"/>
        </w:rPr>
      </w:pPr>
      <w:bookmarkStart w:id="13" w:name="EB266cf7ac68504172812b037736c5797c"/>
      <w:r>
        <w:rPr>
          <w:rFonts w:hint="eastAsia"/>
          <w:color w:val="000000"/>
          <w:sz w:val="20"/>
          <w:shd w:val="clear" w:color="auto" w:fill="FFFFFF"/>
        </w:rPr>
        <w:t xml:space="preserve"> </w:t>
      </w:r>
      <w:bookmarkEnd w:id="13"/>
      <w:bookmarkStart w:id="14" w:name="EB35c251e035b54fa6ae1adfd5df76bd79"/>
      <w:r>
        <w:rPr>
          <w:rFonts w:hint="eastAsia"/>
          <w:color w:val="000000"/>
          <w:sz w:val="20"/>
          <w:shd w:val="clear" w:color="auto" w:fill="FFFFFF"/>
        </w:rPr>
        <w:t xml:space="preserve"> </w:t>
      </w:r>
      <w:bookmarkEnd w:id="14"/>
    </w:p>
    <w:p>
      <w:pPr>
        <w:pStyle w:val="4"/>
        <w:spacing w:before="156" w:after="156"/>
        <w:ind w:left="0" w:firstLine="0"/>
        <w:rPr>
          <w:color w:val="000000"/>
          <w:shd w:val="clear" w:color="auto" w:fill="FFFFFF"/>
        </w:rPr>
      </w:pPr>
      <w:bookmarkStart w:id="15" w:name="_Toc24522"/>
      <w:r>
        <w:rPr>
          <w:rFonts w:hint="eastAsia"/>
          <w:color w:val="000000"/>
          <w:shd w:val="clear" w:color="auto" w:fill="FFFFFF"/>
        </w:rPr>
        <w:t>2.1供应商须知前附表</w:t>
      </w:r>
      <w:bookmarkEnd w:id="15"/>
    </w:p>
    <w:tbl>
      <w:tblPr>
        <w:tblStyle w:val="42"/>
        <w:tblW w:w="92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61"/>
        <w:gridCol w:w="1815"/>
        <w:gridCol w:w="76"/>
        <w:gridCol w:w="650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61" w:type="dxa"/>
            <w:vAlign w:val="center"/>
          </w:tcPr>
          <w:p>
            <w:pPr>
              <w:pStyle w:val="113"/>
              <w:ind w:firstLine="103" w:firstLineChars="49"/>
              <w:rPr>
                <w:rFonts w:cs="宋体"/>
                <w:b/>
                <w:color w:val="000000"/>
                <w:sz w:val="21"/>
                <w:shd w:val="clear" w:color="auto" w:fill="FFFFFF"/>
              </w:rPr>
            </w:pPr>
            <w:r>
              <w:rPr>
                <w:rFonts w:hint="eastAsia" w:cs="宋体"/>
                <w:b/>
                <w:color w:val="000000"/>
                <w:sz w:val="21"/>
                <w:shd w:val="clear" w:color="auto" w:fill="FFFFFF"/>
                <w:lang w:val="zh-CN"/>
              </w:rPr>
              <w:t>序号</w:t>
            </w:r>
          </w:p>
        </w:tc>
        <w:tc>
          <w:tcPr>
            <w:tcW w:w="1891" w:type="dxa"/>
            <w:gridSpan w:val="2"/>
            <w:vAlign w:val="center"/>
          </w:tcPr>
          <w:p>
            <w:pPr>
              <w:pStyle w:val="113"/>
              <w:ind w:firstLine="422"/>
              <w:rPr>
                <w:rFonts w:cs="宋体"/>
                <w:b/>
                <w:color w:val="000000"/>
                <w:sz w:val="21"/>
                <w:shd w:val="clear" w:color="auto" w:fill="FFFFFF"/>
                <w:lang w:val="zh-CN"/>
              </w:rPr>
            </w:pPr>
            <w:r>
              <w:rPr>
                <w:rFonts w:hint="eastAsia" w:cs="宋体"/>
                <w:b/>
                <w:color w:val="000000"/>
                <w:sz w:val="21"/>
                <w:shd w:val="clear" w:color="auto" w:fill="FFFFFF"/>
                <w:lang w:val="zh-CN"/>
              </w:rPr>
              <w:t>应知事项</w:t>
            </w:r>
          </w:p>
        </w:tc>
        <w:tc>
          <w:tcPr>
            <w:tcW w:w="6508" w:type="dxa"/>
            <w:vAlign w:val="center"/>
          </w:tcPr>
          <w:p>
            <w:pPr>
              <w:pStyle w:val="113"/>
              <w:ind w:firstLine="422"/>
              <w:rPr>
                <w:rFonts w:cs="宋体"/>
                <w:b/>
                <w:color w:val="000000"/>
                <w:sz w:val="21"/>
                <w:shd w:val="clear" w:color="auto" w:fill="FFFFFF"/>
                <w:lang w:val="zh-CN"/>
              </w:rPr>
            </w:pPr>
            <w:r>
              <w:rPr>
                <w:rFonts w:hint="eastAsia" w:cs="宋体"/>
                <w:b/>
                <w:color w:val="000000"/>
                <w:sz w:val="21"/>
                <w:shd w:val="clear" w:color="auto" w:fill="FFFFFF"/>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1</w:t>
            </w:r>
          </w:p>
        </w:tc>
        <w:tc>
          <w:tcPr>
            <w:tcW w:w="1891" w:type="dxa"/>
            <w:gridSpan w:val="2"/>
            <w:vAlign w:val="center"/>
          </w:tcPr>
          <w:p>
            <w:pPr>
              <w:spacing w:before="152" w:after="160" w:line="360" w:lineRule="auto"/>
              <w:ind w:right="210" w:rightChars="100"/>
              <w:rPr>
                <w:rFonts w:hint="eastAsia"/>
                <w:color w:val="000000"/>
                <w:shd w:val="clear" w:color="auto" w:fill="FFFFFF"/>
                <w:lang w:val="zh-CN"/>
              </w:rPr>
            </w:pPr>
            <w:r>
              <w:rPr>
                <w:rFonts w:hint="eastAsia"/>
                <w:color w:val="000000"/>
                <w:shd w:val="clear" w:color="auto" w:fill="FFFFFF"/>
                <w:lang w:val="zh-CN"/>
              </w:rPr>
              <w:t>采购预算</w:t>
            </w:r>
          </w:p>
        </w:tc>
        <w:tc>
          <w:tcPr>
            <w:tcW w:w="6508" w:type="dxa"/>
            <w:vAlign w:val="center"/>
          </w:tcPr>
          <w:p>
            <w:pPr>
              <w:spacing w:before="152" w:after="160" w:line="360" w:lineRule="auto"/>
              <w:ind w:right="210"/>
              <w:rPr>
                <w:rFonts w:hint="eastAsia"/>
                <w:b/>
                <w:color w:val="000000"/>
                <w:kern w:val="0"/>
                <w:sz w:val="24"/>
                <w:szCs w:val="24"/>
                <w:shd w:val="clear" w:color="auto" w:fill="FFFFFF"/>
                <w:lang w:val="zh-CN"/>
              </w:rPr>
            </w:pPr>
            <w:bookmarkStart w:id="16" w:name="EB98e56ed8678a453280c3e0778f77c07e"/>
            <w:r>
              <w:rPr>
                <w:rFonts w:hint="eastAsia"/>
                <w:b/>
                <w:color w:val="000000"/>
                <w:kern w:val="0"/>
                <w:sz w:val="24"/>
                <w:szCs w:val="24"/>
                <w:shd w:val="clear" w:color="auto" w:fill="FFFFFF"/>
                <w:lang w:val="zh-CN"/>
              </w:rPr>
              <w:t>人民币976500元。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2</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最高限价</w:t>
            </w:r>
          </w:p>
        </w:tc>
        <w:tc>
          <w:tcPr>
            <w:tcW w:w="6508" w:type="dxa"/>
            <w:vAlign w:val="center"/>
          </w:tcPr>
          <w:p>
            <w:pPr>
              <w:pStyle w:val="261"/>
              <w:spacing w:line="360" w:lineRule="auto"/>
              <w:ind w:right="210" w:rightChars="100"/>
              <w:jc w:val="both"/>
              <w:rPr>
                <w:rFonts w:hint="eastAsia"/>
                <w:b/>
                <w:color w:val="000000"/>
                <w:shd w:val="clear" w:color="auto" w:fill="FFFFFF"/>
                <w:lang w:val="zh-CN"/>
              </w:rPr>
            </w:pPr>
            <w:bookmarkStart w:id="17" w:name="EB879779937c0e454ab1a7ad20b4da040b"/>
            <w:r>
              <w:rPr>
                <w:rFonts w:hint="eastAsia"/>
                <w:b/>
                <w:color w:val="000000"/>
                <w:shd w:val="clear" w:color="auto" w:fill="FFFFFF"/>
                <w:lang w:val="zh-CN"/>
              </w:rPr>
              <w:t>本项目最高限价为人民币976500元，</w:t>
            </w:r>
            <w:bookmarkEnd w:id="17"/>
            <w:r>
              <w:rPr>
                <w:rFonts w:hint="eastAsia"/>
                <w:b/>
                <w:color w:val="000000"/>
                <w:shd w:val="clear" w:color="auto" w:fill="FFFFFF"/>
                <w:lang w:val="zh-CN"/>
              </w:rPr>
              <w:t>供应商最后报价高于最高限价的则其响应文件将按无效响应文件处理。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3</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采购方式</w:t>
            </w:r>
          </w:p>
        </w:tc>
        <w:tc>
          <w:tcPr>
            <w:tcW w:w="6508" w:type="dxa"/>
            <w:vAlign w:val="center"/>
          </w:tcPr>
          <w:p>
            <w:pPr>
              <w:pStyle w:val="261"/>
              <w:spacing w:before="152" w:after="160" w:line="360" w:lineRule="auto"/>
              <w:jc w:val="both"/>
              <w:rPr>
                <w:rFonts w:hint="eastAsia" w:eastAsia="宋体"/>
                <w:color w:val="000000"/>
                <w:shd w:val="clear" w:color="auto" w:fill="FFFFFF"/>
                <w:lang w:val="en-US" w:eastAsia="zh-CN"/>
              </w:rPr>
            </w:pPr>
            <w:r>
              <w:rPr>
                <w:rFonts w:hint="eastAsia"/>
                <w:color w:val="000000"/>
                <w:shd w:val="clear" w:color="auto" w:fill="FFFFFF"/>
                <w:lang w:val="zh-CN"/>
              </w:rPr>
              <w:t>竞争性磋</w:t>
            </w:r>
            <w:r>
              <w:rPr>
                <w:rFonts w:hint="eastAsia"/>
                <w:color w:val="000000"/>
                <w:shd w:val="clear" w:color="auto" w:fill="FFFFFF"/>
                <w:lang w:val="en-US" w:eastAsia="zh-CN"/>
              </w:rPr>
              <w:t>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61" w:type="dxa"/>
            <w:vAlign w:val="center"/>
          </w:tcPr>
          <w:p>
            <w:pPr>
              <w:snapToGrid w:val="0"/>
              <w:spacing w:line="360" w:lineRule="auto"/>
              <w:ind w:left="420"/>
              <w:rPr>
                <w:color w:val="000000"/>
                <w:shd w:val="clear" w:color="auto" w:fill="FFFFFF"/>
              </w:rPr>
            </w:pPr>
            <w:r>
              <w:rPr>
                <w:rFonts w:hint="eastAsia"/>
                <w:color w:val="000000"/>
                <w:shd w:val="clear" w:color="auto" w:fill="FFFFFF"/>
              </w:rPr>
              <w:t>4</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评审方法</w:t>
            </w:r>
          </w:p>
        </w:tc>
        <w:tc>
          <w:tcPr>
            <w:tcW w:w="6508" w:type="dxa"/>
            <w:vAlign w:val="center"/>
          </w:tcPr>
          <w:p>
            <w:pPr>
              <w:pStyle w:val="261"/>
              <w:spacing w:before="152" w:after="160" w:line="360" w:lineRule="auto"/>
              <w:jc w:val="both"/>
              <w:rPr>
                <w:color w:val="000000"/>
                <w:shd w:val="clear" w:color="auto" w:fill="FFFFFF"/>
                <w:lang w:val="zh-CN"/>
              </w:rPr>
            </w:pPr>
            <w:r>
              <w:rPr>
                <w:rFonts w:hint="eastAsia"/>
                <w:color w:val="000000"/>
                <w:shd w:val="clear" w:color="auto" w:fill="FFFFFF"/>
                <w:lang w:val="zh-CN"/>
              </w:rPr>
              <w:t>综合评分法</w:t>
            </w:r>
            <w:r>
              <w:rPr>
                <w:color w:val="000000"/>
                <w:shd w:val="clear" w:color="auto" w:fill="FFFFFF"/>
                <w:lang w:val="zh-CN"/>
              </w:rPr>
              <w:t>(详见第5章)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61" w:type="dxa"/>
            <w:vAlign w:val="center"/>
          </w:tcPr>
          <w:p>
            <w:pPr>
              <w:snapToGrid w:val="0"/>
              <w:spacing w:line="360" w:lineRule="auto"/>
              <w:ind w:left="420"/>
              <w:rPr>
                <w:rFonts w:hint="eastAsia"/>
                <w:color w:val="000000"/>
                <w:shd w:val="clear" w:color="auto" w:fill="FFFFFF"/>
                <w:lang w:val="zh-CN"/>
              </w:rPr>
            </w:pPr>
            <w:r>
              <w:rPr>
                <w:rFonts w:hint="eastAsia"/>
                <w:color w:val="000000"/>
                <w:shd w:val="clear" w:color="auto" w:fill="FFFFFF"/>
              </w:rPr>
              <w:t>5</w:t>
            </w:r>
          </w:p>
        </w:tc>
        <w:tc>
          <w:tcPr>
            <w:tcW w:w="1891" w:type="dxa"/>
            <w:gridSpan w:val="2"/>
            <w:vAlign w:val="center"/>
          </w:tcPr>
          <w:p>
            <w:pPr>
              <w:pStyle w:val="261"/>
              <w:spacing w:before="152" w:after="160" w:line="360" w:lineRule="auto"/>
              <w:ind w:right="210" w:rightChars="100"/>
              <w:jc w:val="both"/>
              <w:rPr>
                <w:rFonts w:hint="eastAsia"/>
                <w:color w:val="000000"/>
                <w:kern w:val="2"/>
                <w:sz w:val="21"/>
                <w:szCs w:val="22"/>
                <w:shd w:val="clear" w:color="auto" w:fill="FFFFFF"/>
                <w:lang w:val="zh-CN"/>
              </w:rPr>
            </w:pPr>
            <w:r>
              <w:rPr>
                <w:rFonts w:hint="eastAsia"/>
                <w:color w:val="000000"/>
                <w:kern w:val="2"/>
                <w:sz w:val="21"/>
                <w:szCs w:val="22"/>
                <w:shd w:val="clear" w:color="auto" w:fill="FFFFFF"/>
                <w:lang w:val="zh-CN"/>
              </w:rPr>
              <w:t>低于成本价不正当竞争预防措施</w:t>
            </w:r>
          </w:p>
        </w:tc>
        <w:tc>
          <w:tcPr>
            <w:tcW w:w="6508" w:type="dxa"/>
            <w:vAlign w:val="center"/>
          </w:tcPr>
          <w:p>
            <w:pPr>
              <w:pStyle w:val="261"/>
              <w:spacing w:before="152" w:after="160" w:line="360" w:lineRule="auto"/>
              <w:jc w:val="both"/>
              <w:rPr>
                <w:rFonts w:hint="eastAsia"/>
                <w:color w:val="000000"/>
                <w:shd w:val="clear" w:color="auto" w:fill="FFFFFF"/>
                <w:lang w:val="zh-CN"/>
              </w:rPr>
            </w:pPr>
            <w:r>
              <w:rPr>
                <w:rFonts w:hint="eastAsia"/>
                <w:szCs w:val="21"/>
                <w:lang w:val="zh-CN"/>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6</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pStyle w:val="261"/>
              <w:spacing w:before="152" w:after="160" w:line="360" w:lineRule="auto"/>
              <w:jc w:val="both"/>
              <w:rPr>
                <w:color w:val="000000"/>
                <w:shd w:val="clear" w:color="auto" w:fill="FFFFFF"/>
                <w:lang w:val="zh-CN"/>
              </w:rPr>
            </w:pPr>
            <w:r>
              <w:rPr>
                <w:rFonts w:hint="eastAsia"/>
                <w:color w:val="000000"/>
                <w:shd w:val="clear" w:color="auto" w:fill="FFFFFF"/>
                <w:lang w:val="zh-CN"/>
              </w:rPr>
              <w:t>磋商保证金</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400" w:lineRule="exact"/>
              <w:rPr>
                <w:color w:val="000000"/>
                <w:u w:val="single"/>
                <w:shd w:val="clear" w:color="auto" w:fill="FFFFFF"/>
                <w:lang w:val="zh-CN"/>
              </w:rPr>
            </w:pPr>
            <w:bookmarkStart w:id="18" w:name="EB4f8c085a19294a48ac612af789d09175"/>
            <w:r>
              <w:rPr>
                <w:rFonts w:hint="eastAsia"/>
                <w:color w:val="000000"/>
                <w:shd w:val="clear" w:color="auto" w:fill="FFFFFF"/>
                <w:lang w:val="zh-CN"/>
              </w:rPr>
              <w:t>本项目不收取磋商保证金。</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7</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color w:val="000000"/>
                <w:shd w:val="clear" w:color="auto" w:fill="FFFFFF"/>
                <w:lang w:val="zh-CN"/>
              </w:rPr>
            </w:pPr>
            <w:r>
              <w:rPr>
                <w:rFonts w:hint="eastAsia"/>
                <w:color w:val="000000"/>
                <w:shd w:val="clear" w:color="auto" w:fill="FFFFFF"/>
                <w:lang w:val="zh-CN"/>
              </w:rPr>
              <w:t>履约保证金</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color w:val="000000"/>
                <w:shd w:val="clear" w:color="auto" w:fill="FFFFFF"/>
              </w:rPr>
            </w:pPr>
            <w:r>
              <w:rPr>
                <w:rFonts w:hint="eastAsia"/>
                <w:color w:val="auto"/>
                <w:highlight w:val="none"/>
                <w:lang w:val="zh-CN"/>
              </w:rPr>
              <w:t>详见供应商须知</w:t>
            </w:r>
            <w:r>
              <w:rPr>
                <w:rFonts w:hint="eastAsia"/>
                <w:color w:val="auto"/>
                <w:highlight w:val="none"/>
                <w:lang w:val="en-US" w:eastAsia="zh-CN"/>
              </w:rPr>
              <w:t>2.8.4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8</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shd w:val="clear" w:color="auto" w:fill="FFFFFF"/>
                <w:lang w:val="zh-CN"/>
              </w:rPr>
            </w:pPr>
            <w:r>
              <w:rPr>
                <w:rFonts w:hint="eastAsia"/>
                <w:color w:val="000000"/>
              </w:rPr>
              <w:t>响应应文件的制作和签章、加密</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eastAsia="宋体"/>
                <w:color w:val="000000"/>
                <w:shd w:val="clear" w:color="auto" w:fill="FFFFFF"/>
                <w:lang w:val="zh-CN" w:eastAsia="zh-CN"/>
              </w:rPr>
            </w:pPr>
            <w:r>
              <w:rPr>
                <w:rFonts w:hint="eastAsia"/>
                <w:color w:val="000000"/>
              </w:rPr>
              <w:t>详见供应商须知2.4.1</w:t>
            </w:r>
            <w:r>
              <w:rPr>
                <w:rFonts w:hint="eastAsia"/>
                <w:color w:val="000000"/>
                <w:lang w:val="en-US" w:eastAsia="zh-CN"/>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9</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rPr>
            </w:pPr>
            <w:r>
              <w:rPr>
                <w:rFonts w:hint="eastAsia"/>
                <w:color w:val="000000"/>
              </w:rPr>
              <w:t>响应应文件的递交</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hint="eastAsia" w:ascii="宋体" w:hAnsi="宋体" w:eastAsia="宋体"/>
                <w:color w:val="auto"/>
                <w:highlight w:val="none"/>
                <w:lang w:eastAsia="zh-CN"/>
              </w:rPr>
            </w:pPr>
            <w:r>
              <w:rPr>
                <w:rFonts w:hint="eastAsia" w:ascii="宋体" w:hAnsi="宋体"/>
                <w:color w:val="auto"/>
                <w:highlight w:val="none"/>
              </w:rPr>
              <w:t>详见</w:t>
            </w:r>
            <w:r>
              <w:rPr>
                <w:rFonts w:hint="eastAsia"/>
                <w:color w:val="auto"/>
                <w:highlight w:val="none"/>
                <w:lang w:eastAsia="zh-CN"/>
              </w:rPr>
              <w:t>供应商</w:t>
            </w:r>
            <w:r>
              <w:rPr>
                <w:rFonts w:hint="eastAsia" w:ascii="宋体" w:hAnsi="宋体"/>
                <w:color w:val="auto"/>
                <w:highlight w:val="none"/>
              </w:rPr>
              <w:t>须知2.4.1</w:t>
            </w:r>
            <w:r>
              <w:rPr>
                <w:rFonts w:hint="eastAsia"/>
                <w:color w:val="auto"/>
                <w:highlight w:val="none"/>
                <w:lang w:val="en-US" w:eastAsia="zh-CN"/>
              </w:rPr>
              <w:t>1</w:t>
            </w:r>
          </w:p>
          <w:p>
            <w:pPr>
              <w:spacing w:line="360" w:lineRule="auto"/>
              <w:rPr>
                <w:rFonts w:hint="eastAsia"/>
                <w:color w:val="000000"/>
              </w:rPr>
            </w:pPr>
            <w:r>
              <w:rPr>
                <w:rFonts w:hint="eastAsia" w:ascii="宋体" w:hAnsi="宋体"/>
                <w:b/>
                <w:bCs/>
                <w:color w:val="auto"/>
                <w:highlight w:val="none"/>
              </w:rPr>
              <w:t>注：</w:t>
            </w:r>
            <w:r>
              <w:rPr>
                <w:rFonts w:ascii="宋体" w:hAnsi="宋体"/>
                <w:b/>
                <w:bCs/>
                <w:color w:val="auto"/>
                <w:szCs w:val="21"/>
                <w:highlight w:val="none"/>
              </w:rPr>
              <w:t>在</w:t>
            </w:r>
            <w:r>
              <w:rPr>
                <w:rFonts w:hint="eastAsia" w:ascii="宋体" w:hAnsi="宋体"/>
                <w:b/>
                <w:bCs/>
                <w:color w:val="auto"/>
                <w:szCs w:val="21"/>
                <w:highlight w:val="none"/>
              </w:rPr>
              <w:t>递交</w:t>
            </w:r>
            <w:r>
              <w:rPr>
                <w:rFonts w:ascii="宋体" w:hAnsi="宋体"/>
                <w:b/>
                <w:bCs/>
                <w:color w:val="auto"/>
                <w:szCs w:val="21"/>
                <w:highlight w:val="none"/>
              </w:rPr>
              <w:t>响应文件</w:t>
            </w:r>
            <w:r>
              <w:rPr>
                <w:rFonts w:hint="eastAsia" w:ascii="宋体" w:hAnsi="宋体"/>
                <w:b/>
                <w:bCs/>
                <w:color w:val="auto"/>
                <w:szCs w:val="21"/>
                <w:highlight w:val="none"/>
              </w:rPr>
              <w:t>截止时间前，供应商使用</w:t>
            </w:r>
            <w:r>
              <w:rPr>
                <w:rFonts w:ascii="宋体" w:hAnsi="宋体"/>
                <w:b/>
                <w:bCs/>
                <w:color w:val="auto"/>
                <w:szCs w:val="21"/>
                <w:highlight w:val="none"/>
              </w:rPr>
              <w:t>CA证书</w:t>
            </w:r>
            <w:r>
              <w:rPr>
                <w:rFonts w:hint="eastAsia" w:ascii="宋体" w:hAnsi="宋体"/>
                <w:b/>
                <w:bCs/>
                <w:color w:val="auto"/>
                <w:szCs w:val="21"/>
                <w:highlight w:val="none"/>
              </w:rPr>
              <w:t>将响应文件上传至政府</w:t>
            </w:r>
            <w:r>
              <w:rPr>
                <w:rFonts w:ascii="宋体" w:hAnsi="宋体"/>
                <w:b/>
                <w:bCs/>
                <w:color w:val="auto"/>
                <w:szCs w:val="21"/>
                <w:highlight w:val="none"/>
              </w:rPr>
              <w:t>采购</w:t>
            </w:r>
            <w:r>
              <w:rPr>
                <w:rFonts w:hint="eastAsia" w:ascii="宋体" w:hAnsi="宋体"/>
                <w:b/>
                <w:bCs/>
                <w:color w:val="auto"/>
                <w:szCs w:val="21"/>
                <w:highlight w:val="none"/>
              </w:rPr>
              <w:t>云平台，上传前须对响应文件是否有电子签章等进行核对</w:t>
            </w:r>
            <w:r>
              <w:rPr>
                <w:rFonts w:hint="eastAsia" w:ascii="宋体" w:hAnsi="宋体"/>
                <w:b/>
                <w:bCs/>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10</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highlight w:val="none"/>
              </w:rPr>
            </w:pPr>
            <w:r>
              <w:rPr>
                <w:rFonts w:hint="eastAsia"/>
                <w:color w:val="000000"/>
                <w:highlight w:val="none"/>
              </w:rPr>
              <w:t>响应文件的补充、修改和撤回</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eastAsia="宋体"/>
                <w:color w:val="000000"/>
                <w:highlight w:val="none"/>
                <w:lang w:eastAsia="zh-CN"/>
              </w:rPr>
            </w:pPr>
            <w:r>
              <w:rPr>
                <w:rFonts w:hint="eastAsia"/>
                <w:color w:val="000000"/>
                <w:highlight w:val="none"/>
              </w:rPr>
              <w:t>详见供应商须知2.4.1</w:t>
            </w:r>
            <w:r>
              <w:rPr>
                <w:rFonts w:hint="eastAsia"/>
                <w:color w:val="000000"/>
                <w:highlight w:val="none"/>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11</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pacing w:before="152" w:after="160" w:line="360" w:lineRule="auto"/>
              <w:rPr>
                <w:rFonts w:hint="eastAsia"/>
                <w:color w:val="000000"/>
              </w:rPr>
            </w:pPr>
            <w:r>
              <w:rPr>
                <w:rFonts w:hint="eastAsia"/>
                <w:color w:val="auto"/>
                <w:szCs w:val="21"/>
                <w:highlight w:val="none"/>
              </w:rPr>
              <w:t>磋商</w:t>
            </w:r>
            <w:r>
              <w:rPr>
                <w:color w:val="auto"/>
                <w:szCs w:val="21"/>
                <w:highlight w:val="none"/>
              </w:rPr>
              <w:t>活动</w:t>
            </w:r>
            <w:r>
              <w:rPr>
                <w:rFonts w:hint="eastAsia"/>
                <w:color w:val="auto"/>
                <w:szCs w:val="21"/>
                <w:highlight w:val="none"/>
              </w:rPr>
              <w:t>开启程序</w:t>
            </w:r>
          </w:p>
        </w:tc>
        <w:tc>
          <w:tcPr>
            <w:tcW w:w="6508"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color w:val="auto"/>
                <w:highlight w:val="none"/>
              </w:rPr>
            </w:pPr>
            <w:r>
              <w:rPr>
                <w:rFonts w:hint="eastAsia" w:ascii="宋体" w:hAnsi="宋体"/>
                <w:b/>
                <w:color w:val="auto"/>
                <w:highlight w:val="none"/>
              </w:rPr>
              <w:t>详见供应商须知2.</w:t>
            </w:r>
            <w:r>
              <w:rPr>
                <w:rFonts w:hint="eastAsia"/>
                <w:b/>
                <w:color w:val="auto"/>
                <w:highlight w:val="none"/>
                <w:lang w:val="en-US" w:eastAsia="zh-CN"/>
              </w:rPr>
              <w:t>5</w:t>
            </w:r>
            <w:r>
              <w:rPr>
                <w:rFonts w:hint="eastAsia" w:ascii="宋体" w:hAnsi="宋体"/>
                <w:b/>
                <w:color w:val="auto"/>
                <w:highlight w:val="none"/>
              </w:rPr>
              <w:t>。</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响应文件解密：开启解密后，供应商应在系统提示的解密开始时间后</w:t>
            </w:r>
            <w:r>
              <w:rPr>
                <w:rFonts w:ascii="宋体" w:hAnsi="宋体"/>
                <w:b/>
                <w:color w:val="auto"/>
                <w:szCs w:val="21"/>
                <w:highlight w:val="none"/>
              </w:rPr>
              <w:t>60</w:t>
            </w:r>
            <w:r>
              <w:rPr>
                <w:rFonts w:hint="eastAsia" w:ascii="宋体" w:hAnsi="宋体"/>
                <w:b/>
                <w:color w:val="auto"/>
                <w:szCs w:val="21"/>
                <w:highlight w:val="none"/>
              </w:rPr>
              <w:t>分钟内，使用对响应文件进行加密的CA证书在线完成对供应商递交至政府采购云平台的响应文件的解密。</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供应商电脑终端等硬件设备和软件系统配置：供应商电脑终端等硬件设备和软件系统配置应符合开标大厅供应商电脑终端配置要求并运行正常，供应商承担因未尽职责产生的不利后果。</w:t>
            </w:r>
          </w:p>
          <w:p>
            <w:pPr>
              <w:spacing w:line="360" w:lineRule="auto"/>
              <w:rPr>
                <w:rFonts w:hint="eastAsia"/>
                <w:color w:val="000000"/>
              </w:rPr>
            </w:pPr>
            <w:r>
              <w:rPr>
                <w:rFonts w:hint="eastAsia" w:ascii="宋体" w:hAnsi="宋体"/>
                <w:b/>
                <w:color w:val="auto"/>
                <w:szCs w:val="21"/>
                <w:highlight w:val="none"/>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12</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color w:val="000000"/>
                <w:highlight w:val="none"/>
                <w:shd w:val="clear" w:color="auto" w:fill="FFFFFF"/>
              </w:rPr>
            </w:pPr>
            <w:r>
              <w:rPr>
                <w:rFonts w:hint="eastAsia"/>
                <w:color w:val="000000"/>
                <w:highlight w:val="none"/>
                <w:shd w:val="clear" w:color="auto" w:fill="FFFFFF"/>
              </w:rPr>
              <w:t>对磋商文件中供应商参加本次政府采购活动应当具备的条件、技术、服务及其他要求以及评审办法和标准的询问、质疑</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eastAsia="仿宋_GB2312"/>
                <w:color w:val="000000"/>
                <w:highlight w:val="none"/>
                <w:shd w:val="clear" w:color="auto" w:fill="FFFFFF"/>
              </w:rPr>
            </w:pPr>
            <w:r>
              <w:rPr>
                <w:rFonts w:hint="eastAsia"/>
                <w:color w:val="auto"/>
                <w:highlight w:val="none"/>
              </w:rPr>
              <w:t>向采购人提出，并由采购人按相关规定作出答复（详见供应商须知</w:t>
            </w:r>
            <w:r>
              <w:rPr>
                <w:color w:val="auto"/>
                <w:highlight w:val="none"/>
              </w:rPr>
              <w:t>2.</w:t>
            </w:r>
            <w:r>
              <w:rPr>
                <w:rFonts w:hint="eastAsia"/>
                <w:color w:val="auto"/>
                <w:highlight w:val="none"/>
                <w:lang w:val="en-US" w:eastAsia="zh-CN"/>
              </w:rPr>
              <w:t>10</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13</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color w:val="000000"/>
                <w:highlight w:val="none"/>
                <w:shd w:val="clear" w:color="auto" w:fill="FFFFFF"/>
              </w:rPr>
            </w:pPr>
            <w:r>
              <w:rPr>
                <w:rFonts w:hint="eastAsia"/>
                <w:color w:val="000000"/>
                <w:highlight w:val="none"/>
                <w:shd w:val="clear" w:color="auto" w:fill="FFFFFF"/>
              </w:rPr>
              <w:t>对磋商文件中的其他内容、采购过程及成交结果的询问、质疑</w:t>
            </w:r>
          </w:p>
        </w:tc>
        <w:tc>
          <w:tcPr>
            <w:tcW w:w="6508" w:type="dxa"/>
            <w:tcBorders>
              <w:top w:val="single" w:color="auto" w:sz="8" w:space="0"/>
              <w:left w:val="single" w:color="auto" w:sz="8" w:space="0"/>
              <w:bottom w:val="single" w:color="auto" w:sz="8" w:space="0"/>
              <w:right w:val="single" w:color="auto" w:sz="18" w:space="0"/>
            </w:tcBorders>
            <w:vAlign w:val="center"/>
          </w:tcPr>
          <w:p>
            <w:pPr>
              <w:pStyle w:val="113"/>
              <w:ind w:firstLine="0" w:firstLineChars="0"/>
              <w:rPr>
                <w:rFonts w:eastAsia="仿宋_GB2312" w:cs="宋体"/>
                <w:color w:val="000000"/>
                <w:sz w:val="21"/>
                <w:highlight w:val="none"/>
                <w:shd w:val="clear" w:color="auto" w:fill="FFFFFF"/>
              </w:rPr>
            </w:pPr>
            <w:r>
              <w:rPr>
                <w:rFonts w:hint="eastAsia" w:cs="宋体"/>
                <w:color w:val="auto"/>
                <w:sz w:val="21"/>
                <w:highlight w:val="none"/>
                <w:lang w:val="en-US" w:eastAsia="zh-CN"/>
              </w:rPr>
              <w:t>向区公资交易中心提出，并由区公资交易中心按相关规定作出答复（详见供应商须知</w:t>
            </w:r>
            <w:r>
              <w:rPr>
                <w:rFonts w:cs="宋体"/>
                <w:color w:val="auto"/>
                <w:sz w:val="21"/>
                <w:highlight w:val="none"/>
                <w:lang w:val="en-US" w:eastAsia="zh-CN"/>
              </w:rPr>
              <w:t>2.</w:t>
            </w:r>
            <w:r>
              <w:rPr>
                <w:rFonts w:hint="eastAsia" w:cs="宋体"/>
                <w:color w:val="auto"/>
                <w:sz w:val="21"/>
                <w:highlight w:val="none"/>
                <w:lang w:val="en-US" w:eastAsia="zh-CN"/>
              </w:rPr>
              <w:t>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14</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color w:val="000000"/>
                <w:shd w:val="clear" w:color="auto" w:fill="FFFFFF"/>
              </w:rPr>
            </w:pPr>
            <w:r>
              <w:rPr>
                <w:rFonts w:hint="eastAsia"/>
                <w:color w:val="000000"/>
                <w:shd w:val="clear" w:color="auto" w:fill="FFFFFF"/>
              </w:rPr>
              <w:t>供应商投诉</w:t>
            </w:r>
          </w:p>
        </w:tc>
        <w:tc>
          <w:tcPr>
            <w:tcW w:w="6508" w:type="dxa"/>
            <w:tcBorders>
              <w:top w:val="single" w:color="auto" w:sz="8" w:space="0"/>
              <w:left w:val="single" w:color="auto" w:sz="8" w:space="0"/>
              <w:bottom w:val="single" w:color="auto" w:sz="8" w:space="0"/>
              <w:right w:val="single" w:color="auto" w:sz="18" w:space="0"/>
            </w:tcBorders>
            <w:vAlign w:val="center"/>
          </w:tcPr>
          <w:p>
            <w:pPr>
              <w:pStyle w:val="113"/>
              <w:ind w:firstLine="0" w:firstLineChars="0"/>
              <w:rPr>
                <w:rFonts w:eastAsia="仿宋_GB2312" w:cs="宋体"/>
                <w:color w:val="000000"/>
                <w:sz w:val="21"/>
                <w:shd w:val="clear" w:color="auto" w:fill="FFFFFF"/>
              </w:rPr>
            </w:pPr>
            <w:r>
              <w:rPr>
                <w:rFonts w:hint="eastAsia" w:cs="宋体"/>
                <w:color w:val="000000"/>
                <w:sz w:val="21"/>
                <w:shd w:val="clear" w:color="auto" w:fill="FFFFFF"/>
              </w:rPr>
              <w:t>投诉受理单位：本项目同级财政部门，即</w:t>
            </w:r>
            <w:r>
              <w:rPr>
                <w:rFonts w:hint="eastAsia" w:cs="宋体"/>
                <w:color w:val="000000"/>
                <w:kern w:val="2"/>
                <w:sz w:val="21"/>
                <w:shd w:val="clear" w:color="auto" w:fill="FFFFFF"/>
                <w:lang w:val="zh-CN"/>
              </w:rPr>
              <w:t>成都市温江区财政局</w:t>
            </w:r>
            <w:r>
              <w:rPr>
                <w:rFonts w:hint="eastAsia"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联系电话：</w:t>
            </w:r>
            <w:bookmarkStart w:id="19" w:name="EB91905635386e42c09a9f7b66230bc0eb"/>
            <w:r>
              <w:rPr>
                <w:rFonts w:hint="eastAsia" w:cs="宋体"/>
                <w:color w:val="000000"/>
                <w:sz w:val="21"/>
                <w:shd w:val="clear" w:color="auto" w:fill="FFFFFF"/>
              </w:rPr>
              <w:t>028-82727142</w:t>
            </w:r>
            <w:bookmarkEnd w:id="19"/>
            <w:r>
              <w:rPr>
                <w:rFonts w:hint="eastAsia"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地址：</w:t>
            </w:r>
            <w:r>
              <w:rPr>
                <w:rFonts w:hint="eastAsia" w:cs="宋体"/>
                <w:color w:val="000000"/>
                <w:kern w:val="2"/>
                <w:sz w:val="21"/>
                <w:shd w:val="clear" w:color="auto" w:fill="FFFFFF"/>
                <w:lang w:val="zh-CN"/>
              </w:rPr>
              <w:t>温江区海科大厦</w:t>
            </w:r>
            <w:r>
              <w:rPr>
                <w:rFonts w:cs="宋体"/>
                <w:color w:val="000000"/>
                <w:sz w:val="21"/>
                <w:shd w:val="clear" w:color="auto" w:fill="FFFFFF"/>
              </w:rPr>
              <w:t>。</w:t>
            </w:r>
          </w:p>
          <w:p>
            <w:pPr>
              <w:pStyle w:val="113"/>
              <w:ind w:firstLine="0" w:firstLineChars="0"/>
              <w:rPr>
                <w:rFonts w:cs="宋体"/>
                <w:color w:val="000000"/>
                <w:sz w:val="21"/>
                <w:shd w:val="clear" w:color="auto" w:fill="FFFFFF"/>
              </w:rPr>
            </w:pPr>
            <w:r>
              <w:rPr>
                <w:rFonts w:hint="eastAsia" w:cs="宋体"/>
                <w:color w:val="000000"/>
                <w:sz w:val="21"/>
                <w:shd w:val="clear" w:color="auto" w:fill="FFFFFF"/>
              </w:rPr>
              <w:t>邮编：611130</w:t>
            </w:r>
            <w:r>
              <w:rPr>
                <w:rFonts w:cs="宋体"/>
                <w:color w:val="000000"/>
                <w:sz w:val="21"/>
                <w:shd w:val="clear" w:color="auto" w:fill="FFFFFF"/>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15</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小微企业价格扣除</w:t>
            </w:r>
          </w:p>
        </w:tc>
        <w:tc>
          <w:tcPr>
            <w:tcW w:w="6508" w:type="dxa"/>
            <w:tcBorders>
              <w:top w:val="single" w:color="auto" w:sz="8" w:space="0"/>
              <w:left w:val="single" w:color="auto" w:sz="8" w:space="0"/>
              <w:bottom w:val="single" w:color="auto" w:sz="8" w:space="0"/>
              <w:right w:val="single" w:color="auto" w:sz="18" w:space="0"/>
            </w:tcBorders>
            <w:vAlign w:val="center"/>
          </w:tcPr>
          <w:p>
            <w:pPr>
              <w:spacing w:line="360" w:lineRule="auto"/>
              <w:ind w:right="94" w:rightChars="45"/>
              <w:rPr>
                <w:rFonts w:hint="eastAsia"/>
                <w:color w:val="auto"/>
                <w:highlight w:val="none"/>
                <w:lang w:val="zh-CN"/>
              </w:rPr>
            </w:pPr>
            <w:r>
              <w:rPr>
                <w:rFonts w:hint="eastAsia"/>
                <w:color w:val="auto"/>
                <w:highlight w:val="none"/>
                <w:lang w:val="zh-CN"/>
              </w:rPr>
              <w:t>1.根据《政府采购促进中小企业发展管理办法》（财库〔2020〕46号）的规定，对小型和微型企业制造的货物的价格给予10%的价格扣除，用扣除后的价格参与评审。供应商提供的货物既有中小企业制造货物，也有大型企业制造货物的，不享受该办法规定的中小企业扶持政策。</w:t>
            </w:r>
          </w:p>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auto"/>
                <w:highlight w:val="none"/>
                <w:lang w:val="zh-CN"/>
              </w:rPr>
              <w:t>2.供应商应提供《中小企业声明函》。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16</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监狱企业价格扣除</w:t>
            </w:r>
          </w:p>
        </w:tc>
        <w:tc>
          <w:tcPr>
            <w:tcW w:w="6508"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000000"/>
                <w:shd w:val="clear" w:color="auto" w:fill="FFFFFF"/>
                <w:lang w:val="zh-CN"/>
              </w:rPr>
              <w:t>１.根据《关于政府采购支持监狱企业发展有关问题的通知》（财库〔2014〕68号）的规定，监狱企业视同小型、微型企业，对监狱企业制造的货物的价格给予10%的价格扣除，用扣除后的价格参与评审。</w:t>
            </w:r>
          </w:p>
          <w:p>
            <w:pPr>
              <w:autoSpaceDE w:val="0"/>
              <w:autoSpaceDN w:val="0"/>
              <w:adjustRightInd w:val="0"/>
              <w:spacing w:line="360" w:lineRule="auto"/>
              <w:ind w:right="210" w:rightChars="100"/>
              <w:rPr>
                <w:rFonts w:hint="eastAsia"/>
                <w:color w:val="000000"/>
                <w:shd w:val="clear" w:color="auto" w:fill="FFFFFF"/>
                <w:lang w:val="zh-CN"/>
              </w:rPr>
            </w:pPr>
            <w:r>
              <w:rPr>
                <w:rFonts w:hint="eastAsia"/>
                <w:color w:val="000000"/>
                <w:shd w:val="clear" w:color="auto" w:fill="FFFFFF"/>
                <w:lang w:val="zh-CN"/>
              </w:rPr>
              <w:t>2.报价产品中为监狱企业制造的货物应提供由省级以上监狱管理局、戒毒管理局（含新疆生产建设兵团）出具的制造商属于监狱企业的证明文件复印件。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17</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color w:val="000000"/>
                <w:shd w:val="clear" w:color="auto" w:fill="FFFFFF"/>
              </w:rPr>
            </w:pPr>
            <w:r>
              <w:rPr>
                <w:rFonts w:hint="eastAsia"/>
                <w:color w:val="000000"/>
                <w:lang w:val="zh-CN"/>
              </w:rPr>
              <w:t>残疾人福利性单位价格扣除</w:t>
            </w:r>
          </w:p>
        </w:tc>
        <w:tc>
          <w:tcPr>
            <w:tcW w:w="6508" w:type="dxa"/>
            <w:tcBorders>
              <w:top w:val="single" w:color="auto" w:sz="8" w:space="0"/>
              <w:left w:val="single" w:color="auto" w:sz="8" w:space="0"/>
              <w:bottom w:val="single" w:color="auto" w:sz="8" w:space="0"/>
              <w:right w:val="single" w:color="auto" w:sz="18" w:space="0"/>
            </w:tcBorders>
            <w:vAlign w:val="center"/>
          </w:tcPr>
          <w:p>
            <w:pPr>
              <w:widowControl/>
              <w:spacing w:line="360" w:lineRule="auto"/>
              <w:jc w:val="left"/>
              <w:rPr>
                <w:rFonts w:hint="eastAsia"/>
                <w:color w:val="auto"/>
                <w:highlight w:val="none"/>
                <w:lang w:val="zh-CN"/>
              </w:rPr>
            </w:pPr>
            <w:r>
              <w:rPr>
                <w:rFonts w:hint="eastAsia"/>
                <w:color w:val="auto"/>
                <w:highlight w:val="none"/>
                <w:lang w:val="zh-CN"/>
              </w:rPr>
              <w:t>1.根据《三部门联合发布关于促进残疾人就业政府采购政策的通知》（财库[2017]141号）的规定，残疾人福利性单位视同小型、微型企业，对残疾人福利性单位制造的货物的价格给予10%的价格扣除，用扣除后的价格参与评审。</w:t>
            </w:r>
          </w:p>
          <w:p>
            <w:pPr>
              <w:autoSpaceDE w:val="0"/>
              <w:autoSpaceDN w:val="0"/>
              <w:adjustRightInd w:val="0"/>
              <w:spacing w:line="360" w:lineRule="auto"/>
              <w:ind w:right="210" w:rightChars="100"/>
              <w:rPr>
                <w:rFonts w:hint="eastAsia"/>
                <w:lang w:val="zh-CN"/>
              </w:rPr>
            </w:pPr>
            <w:r>
              <w:rPr>
                <w:rFonts w:hint="eastAsia"/>
                <w:color w:val="auto"/>
                <w:highlight w:val="none"/>
                <w:lang w:val="zh-CN"/>
              </w:rPr>
              <w:t>2.供应商应提供《残疾人福利性单位声明函》。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61" w:type="dxa"/>
            <w:tcBorders>
              <w:top w:val="single" w:color="auto" w:sz="8" w:space="0"/>
              <w:left w:val="single" w:color="auto" w:sz="18" w:space="0"/>
              <w:bottom w:val="single" w:color="auto" w:sz="8" w:space="0"/>
              <w:right w:val="single" w:color="auto" w:sz="8" w:space="0"/>
            </w:tcBorders>
            <w:vAlign w:val="center"/>
          </w:tcPr>
          <w:p>
            <w:pPr>
              <w:snapToGrid w:val="0"/>
              <w:spacing w:line="360" w:lineRule="auto"/>
              <w:ind w:left="420"/>
              <w:rPr>
                <w:rFonts w:hint="eastAsia"/>
                <w:color w:val="000000"/>
                <w:shd w:val="clear" w:color="auto" w:fill="FFFFFF"/>
              </w:rPr>
            </w:pPr>
            <w:r>
              <w:rPr>
                <w:rFonts w:hint="eastAsia"/>
                <w:color w:val="000000"/>
                <w:shd w:val="clear" w:color="auto" w:fill="FFFFFF"/>
              </w:rPr>
              <w:t>18</w:t>
            </w:r>
          </w:p>
        </w:tc>
        <w:tc>
          <w:tcPr>
            <w:tcW w:w="1891"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color w:val="000000"/>
                <w:shd w:val="clear" w:color="auto" w:fill="FFFFFF"/>
              </w:rPr>
            </w:pPr>
            <w:r>
              <w:rPr>
                <w:rFonts w:hint="eastAsia"/>
                <w:color w:val="000000"/>
                <w:shd w:val="clear" w:color="auto" w:fill="FFFFFF"/>
              </w:rPr>
              <w:t>响应文件有效期</w:t>
            </w:r>
          </w:p>
        </w:tc>
        <w:tc>
          <w:tcPr>
            <w:tcW w:w="6508"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152" w:after="160" w:line="360" w:lineRule="auto"/>
              <w:rPr>
                <w:color w:val="000000"/>
                <w:shd w:val="clear" w:color="auto" w:fill="FFFFFF"/>
              </w:rPr>
            </w:pPr>
            <w:r>
              <w:rPr>
                <w:rFonts w:hint="eastAsia" w:ascii="Helvetica" w:hAnsi="Helvetica" w:cs="Helvetica"/>
                <w:color w:val="000000"/>
                <w:shd w:val="clear" w:color="auto" w:fill="FFFFFF"/>
              </w:rPr>
              <w:t>递交响应文件的截止之日起</w:t>
            </w:r>
            <w:bookmarkStart w:id="20" w:name="EBf16d049a02124d7596404742fa9e79d9"/>
            <w:r>
              <w:rPr>
                <w:rFonts w:hint="eastAsia" w:ascii="Helvetica" w:hAnsi="Helvetica" w:cs="Helvetica"/>
                <w:color w:val="000000"/>
                <w:shd w:val="clear" w:color="auto" w:fill="FFFFFF"/>
              </w:rPr>
              <w:t>120</w:t>
            </w:r>
            <w:bookmarkEnd w:id="20"/>
            <w:r>
              <w:rPr>
                <w:rFonts w:hint="eastAsia"/>
                <w:color w:val="000000"/>
                <w:shd w:val="clear" w:color="auto" w:fill="FFFFFF"/>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19</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lang w:val="zh-CN"/>
              </w:rPr>
            </w:pPr>
            <w:r>
              <w:rPr>
                <w:rFonts w:hint="eastAsia"/>
                <w:color w:val="000000"/>
                <w:shd w:val="clear" w:color="auto" w:fill="FFFFFF"/>
                <w:lang w:val="zh-CN"/>
              </w:rPr>
              <w:t>评审情况公告</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color w:val="000000"/>
                <w:shd w:val="clear" w:color="auto" w:fill="FFFFFF"/>
                <w:lang w:val="zh-CN"/>
              </w:rPr>
            </w:pPr>
            <w:r>
              <w:rPr>
                <w:rFonts w:hint="eastAsia"/>
                <w:szCs w:val="21"/>
                <w:lang w:val="zh-CN"/>
              </w:rPr>
              <w:t>所有</w:t>
            </w:r>
            <w:r>
              <w:rPr>
                <w:rFonts w:hint="eastAsia"/>
                <w:szCs w:val="21"/>
              </w:rPr>
              <w:t>供应商</w:t>
            </w:r>
            <w:r>
              <w:rPr>
                <w:rFonts w:hint="eastAsia"/>
                <w:szCs w:val="21"/>
                <w:lang w:val="zh-CN"/>
              </w:rPr>
              <w:t>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20</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color w:val="000000"/>
                <w:shd w:val="clear" w:color="auto" w:fill="FFFFFF"/>
              </w:rPr>
            </w:pPr>
            <w:r>
              <w:rPr>
                <w:rFonts w:hint="eastAsia"/>
                <w:color w:val="000000"/>
                <w:shd w:val="clear" w:color="auto" w:fill="FFFFFF"/>
                <w:lang w:val="zh-CN"/>
              </w:rPr>
              <w:t>成交通知书领取</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pacing w:before="152" w:after="160" w:line="360" w:lineRule="auto"/>
              <w:rPr>
                <w:color w:val="000000"/>
                <w:shd w:val="clear" w:color="auto" w:fill="FFFFFF"/>
                <w:lang w:val="zh-CN"/>
              </w:rPr>
            </w:pPr>
            <w:r>
              <w:rPr>
                <w:rFonts w:hint="eastAsia"/>
                <w:color w:val="000000"/>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61" w:type="dxa"/>
            <w:tcBorders>
              <w:top w:val="single" w:color="auto" w:sz="8"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21</w:t>
            </w:r>
          </w:p>
        </w:tc>
        <w:tc>
          <w:tcPr>
            <w:tcW w:w="1891" w:type="dxa"/>
            <w:gridSpan w:val="2"/>
            <w:tcBorders>
              <w:top w:val="single" w:color="auto" w:sz="8"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rPr>
            </w:pPr>
            <w:r>
              <w:rPr>
                <w:rFonts w:hint="eastAsia"/>
                <w:color w:val="000000"/>
                <w:shd w:val="clear" w:color="auto" w:fill="FFFFFF"/>
              </w:rPr>
              <w:t>合同签订地点</w:t>
            </w:r>
          </w:p>
        </w:tc>
        <w:tc>
          <w:tcPr>
            <w:tcW w:w="6508"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color w:val="000000"/>
                <w:shd w:val="clear" w:color="auto" w:fill="FFFFFF"/>
              </w:rPr>
            </w:pPr>
            <w:r>
              <w:rPr>
                <w:rFonts w:hint="eastAsia"/>
                <w:color w:val="000000"/>
                <w:shd w:val="clear" w:color="auto" w:fill="FFFFFF"/>
              </w:rPr>
              <w:t>四川省成都市温江区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22</w:t>
            </w:r>
          </w:p>
        </w:tc>
        <w:tc>
          <w:tcPr>
            <w:tcW w:w="1891" w:type="dxa"/>
            <w:gridSpan w:val="2"/>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ind w:right="210" w:rightChars="100"/>
              <w:rPr>
                <w:color w:val="000000"/>
                <w:shd w:val="clear" w:color="auto" w:fill="FFFFFF"/>
              </w:rPr>
            </w:pPr>
            <w:r>
              <w:rPr>
                <w:rFonts w:hint="eastAsia"/>
                <w:color w:val="000000"/>
                <w:shd w:val="clear" w:color="auto" w:fill="FFFFFF"/>
              </w:rPr>
              <w:t>政府采购合同公告、备案</w:t>
            </w:r>
          </w:p>
        </w:tc>
        <w:tc>
          <w:tcPr>
            <w:tcW w:w="6508"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color w:val="000000"/>
                <w:shd w:val="clear" w:color="auto" w:fill="FFFFFF"/>
              </w:rPr>
            </w:pPr>
            <w:r>
              <w:rPr>
                <w:rFonts w:hint="eastAsia" w:ascii="宋体"/>
                <w:color w:val="auto"/>
                <w:highlight w:val="none"/>
              </w:rPr>
              <w:t>政府采购合同签订之日起2个工作日内，采购人将在四川政府采购网公告政府采购合同；疫情防控期间，采购人原则上在5个工作日内与供应商签订政府采购合同及向本采购项目同级财政部门，即成都市</w:t>
            </w:r>
            <w:r>
              <w:rPr>
                <w:rFonts w:hint="eastAsia"/>
                <w:color w:val="auto"/>
                <w:highlight w:val="none"/>
                <w:lang w:val="en-US" w:eastAsia="zh-CN"/>
              </w:rPr>
              <w:t>温江区</w:t>
            </w:r>
            <w:r>
              <w:rPr>
                <w:rFonts w:hint="eastAsia" w:ascii="宋体"/>
                <w:color w:val="auto"/>
                <w:highlight w:val="none"/>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color w:val="000000"/>
                <w:shd w:val="clear" w:color="auto" w:fill="FFFFFF"/>
              </w:rPr>
            </w:pPr>
            <w:r>
              <w:rPr>
                <w:rFonts w:hint="eastAsia"/>
                <w:color w:val="000000"/>
                <w:shd w:val="clear" w:color="auto" w:fill="FFFFFF"/>
              </w:rPr>
              <w:t>23</w:t>
            </w:r>
          </w:p>
        </w:tc>
        <w:tc>
          <w:tcPr>
            <w:tcW w:w="1891" w:type="dxa"/>
            <w:gridSpan w:val="2"/>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color w:val="000000"/>
                <w:shd w:val="clear" w:color="auto" w:fill="FFFFFF"/>
              </w:rPr>
            </w:pPr>
            <w:r>
              <w:rPr>
                <w:rFonts w:hint="eastAsia"/>
                <w:color w:val="000000"/>
                <w:shd w:val="clear" w:color="auto" w:fill="FFFFFF"/>
              </w:rPr>
              <w:t>进口产品</w:t>
            </w:r>
          </w:p>
        </w:tc>
        <w:tc>
          <w:tcPr>
            <w:tcW w:w="6508"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color w:val="000000"/>
                <w:shd w:val="clear" w:color="auto" w:fill="FFFFFF"/>
              </w:rPr>
            </w:pPr>
            <w:r>
              <w:rPr>
                <w:rFonts w:hint="eastAsia"/>
                <w:color w:val="000000"/>
                <w:shd w:val="clear" w:color="auto" w:fill="FFFFFF"/>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rFonts w:hint="eastAsia" w:eastAsia="宋体"/>
                <w:color w:val="000000"/>
                <w:shd w:val="clear" w:color="auto" w:fill="FFFFFF"/>
                <w:lang w:eastAsia="zh-CN"/>
              </w:rPr>
            </w:pPr>
            <w:r>
              <w:rPr>
                <w:rFonts w:hint="eastAsia"/>
                <w:color w:val="000000"/>
                <w:shd w:val="clear" w:color="auto" w:fill="FFFFFF"/>
              </w:rPr>
              <w:t>2</w:t>
            </w:r>
            <w:r>
              <w:rPr>
                <w:rFonts w:hint="eastAsia"/>
                <w:color w:val="000000"/>
                <w:shd w:val="clear" w:color="auto" w:fill="FFFFFF"/>
                <w:lang w:val="en-US" w:eastAsia="zh-CN"/>
              </w:rPr>
              <w:t>4</w:t>
            </w:r>
          </w:p>
        </w:tc>
        <w:tc>
          <w:tcPr>
            <w:tcW w:w="1815" w:type="dxa"/>
            <w:tcBorders>
              <w:top w:val="single" w:color="auto" w:sz="4" w:space="0"/>
              <w:left w:val="single" w:color="auto" w:sz="8"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auto"/>
                <w:kern w:val="2"/>
                <w:sz w:val="21"/>
                <w:szCs w:val="22"/>
                <w:highlight w:val="none"/>
                <w:lang w:val="en-US" w:eastAsia="zh-CN" w:bidi="ar-SA"/>
              </w:rPr>
            </w:pPr>
            <w:r>
              <w:rPr>
                <w:rFonts w:hint="eastAsia" w:ascii="宋体" w:hAnsi="宋体"/>
                <w:color w:val="auto"/>
                <w:highlight w:val="none"/>
              </w:rPr>
              <w:t>中小企业政府采购信用融资</w:t>
            </w:r>
          </w:p>
        </w:tc>
        <w:tc>
          <w:tcPr>
            <w:tcW w:w="6584" w:type="dxa"/>
            <w:gridSpan w:val="2"/>
            <w:tcBorders>
              <w:top w:val="single" w:color="auto" w:sz="4" w:space="0"/>
              <w:left w:val="single" w:color="auto" w:sz="4" w:space="0"/>
              <w:bottom w:val="single" w:color="auto" w:sz="4" w:space="0"/>
              <w:right w:val="single" w:color="auto" w:sz="18" w:space="0"/>
            </w:tcBorders>
            <w:vAlign w:val="center"/>
          </w:tcPr>
          <w:p>
            <w:pPr>
              <w:tabs>
                <w:tab w:val="left" w:pos="7665"/>
              </w:tabs>
              <w:snapToGrid w:val="0"/>
              <w:spacing w:line="360" w:lineRule="auto"/>
              <w:rPr>
                <w:rFonts w:hint="eastAsia" w:ascii="宋体" w:hAnsi="宋体" w:eastAsia="宋体" w:cs="宋体"/>
                <w:color w:val="auto"/>
                <w:kern w:val="2"/>
                <w:sz w:val="21"/>
                <w:szCs w:val="22"/>
                <w:highlight w:val="none"/>
                <w:lang w:val="en-US" w:eastAsia="zh-CN" w:bidi="ar-SA"/>
              </w:rPr>
            </w:pPr>
            <w:r>
              <w:rPr>
                <w:rFonts w:hint="eastAsia" w:ascii="宋体" w:hAnsi="宋体"/>
                <w:color w:val="auto"/>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61" w:type="dxa"/>
            <w:tcBorders>
              <w:top w:val="single" w:color="auto" w:sz="4" w:space="0"/>
              <w:left w:val="single" w:color="auto" w:sz="18" w:space="0"/>
              <w:bottom w:val="single" w:color="auto" w:sz="4" w:space="0"/>
              <w:right w:val="single" w:color="auto" w:sz="8" w:space="0"/>
            </w:tcBorders>
            <w:vAlign w:val="center"/>
          </w:tcPr>
          <w:p>
            <w:pPr>
              <w:snapToGrid w:val="0"/>
              <w:spacing w:line="360" w:lineRule="auto"/>
              <w:ind w:left="420"/>
              <w:rPr>
                <w:rFonts w:hint="default" w:eastAsia="宋体"/>
                <w:color w:val="000000"/>
                <w:shd w:val="clear" w:color="auto" w:fill="FFFFFF"/>
                <w:lang w:val="en-US" w:eastAsia="zh-CN"/>
              </w:rPr>
            </w:pPr>
            <w:bookmarkStart w:id="21" w:name="EBf488fe2aca9f4b22bcf9ca77b55f433c"/>
            <w:r>
              <w:rPr>
                <w:rFonts w:hint="eastAsia"/>
                <w:color w:val="000000"/>
                <w:shd w:val="clear" w:color="auto" w:fill="FFFFFF"/>
                <w:lang w:val="en-US" w:eastAsia="zh-CN"/>
              </w:rPr>
              <w:t>25</w:t>
            </w:r>
          </w:p>
        </w:tc>
        <w:tc>
          <w:tcPr>
            <w:tcW w:w="8399" w:type="dxa"/>
            <w:gridSpan w:val="3"/>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eastAsia"/>
                <w:color w:val="000000"/>
                <w:shd w:val="clear" w:color="auto" w:fill="FFFFFF"/>
              </w:rPr>
            </w:pPr>
            <w:r>
              <w:rPr>
                <w:rFonts w:hint="eastAsia"/>
                <w:color w:val="000000"/>
                <w:shd w:val="clear" w:color="auto" w:fill="FFFFFF"/>
              </w:rPr>
              <w:t>采购人可以要求参加政府采购的供应商提供有关资质证明文件和业绩情况，并根据《中华人民共和国政府采购法》规定的供应商条件和采购项目对供应商的特定要求，对供应商的资格进行审查。</w:t>
            </w:r>
          </w:p>
        </w:tc>
      </w:tr>
    </w:tbl>
    <w:p>
      <w:pPr>
        <w:rPr>
          <w:rFonts w:hint="eastAsia"/>
          <w:color w:val="000000"/>
          <w:shd w:val="clear" w:color="auto" w:fill="FFFFFF"/>
        </w:rPr>
      </w:pPr>
      <w:r>
        <w:rPr>
          <w:rFonts w:hint="eastAsia"/>
          <w:color w:val="000000"/>
          <w:sz w:val="20"/>
          <w:shd w:val="clear" w:color="auto" w:fill="FFFFFF"/>
        </w:rPr>
        <w:t xml:space="preserve"> </w:t>
      </w:r>
      <w:bookmarkEnd w:id="21"/>
      <w:bookmarkStart w:id="22" w:name="EBbf1257c4c3c543a9a10fee0b0399f11a"/>
      <w:r>
        <w:rPr>
          <w:rFonts w:hint="eastAsia"/>
          <w:color w:val="000000"/>
          <w:sz w:val="20"/>
          <w:shd w:val="clear" w:color="auto" w:fill="FFFFFF"/>
        </w:rPr>
        <w:t xml:space="preserve"> </w:t>
      </w:r>
      <w:bookmarkEnd w:id="22"/>
      <w:bookmarkStart w:id="23" w:name="EB76383d92be7144a0ae27ee6bbc7ff87f"/>
      <w:r>
        <w:rPr>
          <w:rFonts w:hint="eastAsia"/>
          <w:color w:val="000000"/>
          <w:sz w:val="20"/>
          <w:shd w:val="clear" w:color="auto" w:fill="FFFFFF"/>
        </w:rPr>
        <w:t xml:space="preserve"> </w:t>
      </w:r>
      <w:bookmarkEnd w:id="23"/>
    </w:p>
    <w:p>
      <w:pPr>
        <w:pStyle w:val="4"/>
        <w:spacing w:beforeLines="0" w:afterLines="0" w:line="500" w:lineRule="exact"/>
        <w:ind w:left="0" w:firstLine="0"/>
        <w:rPr>
          <w:color w:val="000000"/>
          <w:shd w:val="clear" w:color="auto" w:fill="FFFFFF"/>
        </w:rPr>
      </w:pPr>
      <w:bookmarkStart w:id="24" w:name="_Toc6491"/>
      <w:r>
        <w:rPr>
          <w:rFonts w:hint="eastAsia"/>
          <w:color w:val="000000"/>
          <w:shd w:val="clear" w:color="auto" w:fill="FFFFFF"/>
        </w:rPr>
        <w:t>2.2总则</w:t>
      </w:r>
      <w:bookmarkEnd w:id="24"/>
    </w:p>
    <w:p>
      <w:pPr>
        <w:pStyle w:val="5"/>
        <w:spacing w:line="500" w:lineRule="exact"/>
        <w:ind w:left="0" w:firstLine="0"/>
        <w:rPr>
          <w:sz w:val="28"/>
          <w:shd w:val="clear" w:color="auto" w:fill="FFFFFF"/>
        </w:rPr>
      </w:pPr>
      <w:bookmarkStart w:id="25" w:name="_Toc12218"/>
      <w:r>
        <w:rPr>
          <w:rFonts w:hint="eastAsia"/>
          <w:sz w:val="28"/>
          <w:shd w:val="clear" w:color="auto" w:fill="FFFFFF"/>
        </w:rPr>
        <w:t>2.2.1适用范围</w:t>
      </w:r>
      <w:bookmarkEnd w:id="25"/>
    </w:p>
    <w:p>
      <w:pPr>
        <w:pStyle w:val="5"/>
        <w:ind w:left="0" w:firstLine="560" w:firstLineChars="200"/>
        <w:rPr>
          <w:rFonts w:hint="eastAsia"/>
          <w:b w:val="0"/>
          <w:bCs w:val="0"/>
          <w:sz w:val="28"/>
          <w:shd w:val="clear" w:color="auto" w:fill="FFFFFF"/>
        </w:rPr>
      </w:pPr>
      <w:bookmarkStart w:id="26" w:name="_Toc12761"/>
      <w:bookmarkStart w:id="27" w:name="_Toc23902"/>
      <w:r>
        <w:rPr>
          <w:rFonts w:hint="eastAsia"/>
          <w:b w:val="0"/>
          <w:bCs w:val="0"/>
          <w:sz w:val="28"/>
          <w:shd w:val="clear" w:color="auto" w:fill="FFFFFF"/>
        </w:rPr>
        <w:t>一、本磋商文件仅适用于本竞争性磋商邀请中所叙述项目的采购。</w:t>
      </w:r>
      <w:bookmarkEnd w:id="26"/>
      <w:bookmarkEnd w:id="27"/>
    </w:p>
    <w:p>
      <w:pPr>
        <w:pStyle w:val="5"/>
        <w:ind w:left="0" w:firstLine="560" w:firstLineChars="200"/>
        <w:rPr>
          <w:rFonts w:hint="eastAsia"/>
          <w:b w:val="0"/>
          <w:bCs w:val="0"/>
          <w:sz w:val="28"/>
          <w:shd w:val="clear" w:color="auto" w:fill="FFFFFF"/>
        </w:rPr>
      </w:pPr>
      <w:bookmarkStart w:id="28" w:name="_Toc28788"/>
      <w:bookmarkStart w:id="29" w:name="_Toc26900"/>
      <w:r>
        <w:rPr>
          <w:rFonts w:hint="eastAsia"/>
          <w:b w:val="0"/>
          <w:bCs w:val="0"/>
          <w:sz w:val="28"/>
          <w:shd w:val="clear" w:color="auto" w:fill="FFFFFF"/>
        </w:rPr>
        <w:t>二、本磋商文件的最终解释权由采购人或区公资交易中心享有。磋商文件中供应商参加本次政府采购活动应当具备的条件，项目技术、服务、商务及其他要求，评标细则及标准由采购人负责解释。除上述磋商文件内容，其他内容由区公资交易中心负责解释。</w:t>
      </w:r>
      <w:bookmarkEnd w:id="28"/>
      <w:bookmarkEnd w:id="29"/>
    </w:p>
    <w:p>
      <w:pPr>
        <w:pStyle w:val="5"/>
        <w:ind w:left="0" w:firstLine="0"/>
        <w:rPr>
          <w:sz w:val="28"/>
          <w:shd w:val="clear" w:color="auto" w:fill="FFFFFF"/>
        </w:rPr>
      </w:pPr>
      <w:bookmarkStart w:id="30" w:name="_Toc26541"/>
      <w:r>
        <w:rPr>
          <w:rFonts w:hint="eastAsia"/>
          <w:sz w:val="28"/>
          <w:shd w:val="clear" w:color="auto" w:fill="FFFFFF"/>
        </w:rPr>
        <w:t>2.2.2有关定义</w:t>
      </w:r>
      <w:bookmarkEnd w:id="30"/>
    </w:p>
    <w:p>
      <w:pPr>
        <w:pStyle w:val="113"/>
        <w:rPr>
          <w:rFonts w:hint="eastAsia"/>
          <w:b/>
          <w:bCs/>
          <w:color w:val="000000"/>
          <w:sz w:val="28"/>
          <w:szCs w:val="28"/>
          <w:u w:val="none"/>
          <w:shd w:val="clear" w:color="auto" w:fill="FFFFFF"/>
        </w:rPr>
      </w:pPr>
      <w:r>
        <w:rPr>
          <w:rFonts w:hint="eastAsia"/>
          <w:color w:val="000000"/>
          <w:sz w:val="28"/>
          <w:szCs w:val="28"/>
          <w:shd w:val="clear" w:color="auto" w:fill="FFFFFF"/>
        </w:rPr>
        <w:t>一、“采购人”、“甲方”系指依法进行政府采购的</w:t>
      </w:r>
      <w:r>
        <w:rPr>
          <w:rFonts w:hint="eastAsia"/>
          <w:sz w:val="28"/>
          <w:szCs w:val="28"/>
        </w:rPr>
        <w:t>成都市温江区</w:t>
      </w:r>
      <w:r>
        <w:rPr>
          <w:rFonts w:hint="eastAsia"/>
          <w:color w:val="000000"/>
          <w:sz w:val="28"/>
          <w:szCs w:val="28"/>
          <w:shd w:val="clear" w:color="auto" w:fill="FFFFFF"/>
        </w:rPr>
        <w:t>级机关、事业单位、团体组织。本次竞争性磋商项目的采购人是（甲方）</w:t>
      </w:r>
      <w:r>
        <w:rPr>
          <w:rFonts w:hint="eastAsia"/>
          <w:b/>
          <w:bCs/>
          <w:color w:val="000000"/>
          <w:sz w:val="28"/>
          <w:szCs w:val="28"/>
          <w:u w:val="none"/>
          <w:shd w:val="clear" w:color="auto" w:fill="FFFFFF"/>
          <w:lang w:eastAsia="zh-CN"/>
        </w:rPr>
        <w:t>成都市温江区第二中学校</w:t>
      </w:r>
      <w:r>
        <w:rPr>
          <w:rFonts w:hint="eastAsia"/>
          <w:b/>
          <w:bCs/>
          <w:color w:val="000000"/>
          <w:sz w:val="28"/>
          <w:szCs w:val="28"/>
          <w:u w:val="none"/>
          <w:shd w:val="clear" w:color="auto" w:fill="FFFFFF"/>
        </w:rPr>
        <w:t>。</w:t>
      </w:r>
    </w:p>
    <w:p>
      <w:pPr>
        <w:pStyle w:val="113"/>
        <w:rPr>
          <w:rFonts w:hint="eastAsia"/>
          <w:color w:val="000000"/>
          <w:sz w:val="28"/>
          <w:szCs w:val="28"/>
          <w:shd w:val="clear" w:color="auto" w:fill="FFFFFF"/>
        </w:rPr>
      </w:pPr>
      <w:r>
        <w:rPr>
          <w:rFonts w:hint="eastAsia"/>
          <w:color w:val="000000"/>
          <w:sz w:val="28"/>
          <w:szCs w:val="28"/>
          <w:shd w:val="clear" w:color="auto" w:fill="FFFFFF"/>
        </w:rPr>
        <w:t>二、“供应商”系指按照竞争性磋商文件“竞争性磋商邀请”中第六、七、八条规定获取了采购文件拟参加竞争性磋商和向采购人提供货物或服务的供应商。“乙方”系指本项目的成交供应商。</w:t>
      </w:r>
    </w:p>
    <w:p>
      <w:pPr>
        <w:pStyle w:val="113"/>
        <w:rPr>
          <w:rFonts w:hint="eastAsia"/>
          <w:color w:val="000000"/>
          <w:sz w:val="28"/>
          <w:szCs w:val="28"/>
          <w:shd w:val="clear" w:color="auto" w:fill="FFFFFF"/>
        </w:rPr>
      </w:pPr>
      <w:r>
        <w:rPr>
          <w:rFonts w:hint="eastAsia"/>
          <w:color w:val="000000"/>
          <w:sz w:val="28"/>
          <w:szCs w:val="28"/>
          <w:shd w:val="clear" w:color="auto" w:fill="FFFFFF"/>
        </w:rPr>
        <w:t>三、本磋商文件各部分规定的期间以时、日、月、年计算。期间开始的时和日，不计算在期间内，从次日开始计算。期间届满的最后一天是法定节假日的，以法定节假日后的第一日为期间届满的日期。</w:t>
      </w:r>
    </w:p>
    <w:p>
      <w:pPr>
        <w:pStyle w:val="113"/>
        <w:rPr>
          <w:rFonts w:hint="eastAsia"/>
          <w:color w:val="000000"/>
          <w:sz w:val="28"/>
          <w:szCs w:val="28"/>
          <w:shd w:val="clear" w:color="auto" w:fill="FFFFFF"/>
        </w:rPr>
      </w:pPr>
      <w:r>
        <w:rPr>
          <w:rFonts w:hint="eastAsia"/>
          <w:color w:val="000000"/>
          <w:sz w:val="28"/>
          <w:szCs w:val="28"/>
          <w:shd w:val="clear" w:color="auto" w:fill="FFFFFF"/>
        </w:rPr>
        <w:t>四、磋商文件中所称的“以上”、“以下”、“内”、“以内”，包括本数；所称的“不足”，不包括本数。</w:t>
      </w:r>
    </w:p>
    <w:p>
      <w:pPr>
        <w:pStyle w:val="113"/>
        <w:rPr>
          <w:rFonts w:hint="eastAsia"/>
          <w:color w:val="000000"/>
          <w:sz w:val="28"/>
          <w:szCs w:val="28"/>
          <w:shd w:val="clear" w:color="auto" w:fill="FFFFFF"/>
        </w:rPr>
      </w:pPr>
      <w:r>
        <w:rPr>
          <w:rFonts w:hint="eastAsia"/>
          <w:color w:val="000000"/>
          <w:sz w:val="28"/>
          <w:szCs w:val="28"/>
          <w:shd w:val="clear" w:color="auto" w:fill="FFFFFF"/>
        </w:rPr>
        <w:t>五、重大违法记录是指供应商因违法经营受到刑事处罚或者责令停产停业、吊销许可证或者执照、较大数额罚款等行政处罚。</w:t>
      </w:r>
    </w:p>
    <w:p>
      <w:pPr>
        <w:pStyle w:val="113"/>
        <w:rPr>
          <w:rFonts w:hint="eastAsia"/>
          <w:color w:val="000000"/>
          <w:sz w:val="28"/>
          <w:szCs w:val="28"/>
          <w:shd w:val="clear" w:color="auto" w:fill="FFFFFF"/>
        </w:rPr>
      </w:pPr>
      <w:r>
        <w:rPr>
          <w:rFonts w:hint="eastAsia"/>
          <w:color w:val="000000"/>
          <w:sz w:val="28"/>
          <w:szCs w:val="28"/>
          <w:shd w:val="clear" w:color="auto" w:fill="FFFFFF"/>
        </w:rPr>
        <w:t>六、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113"/>
        <w:rPr>
          <w:rFonts w:hint="eastAsia"/>
          <w:color w:val="000000"/>
          <w:sz w:val="28"/>
          <w:szCs w:val="28"/>
          <w:shd w:val="clear" w:color="auto" w:fill="FFFFFF"/>
        </w:rPr>
      </w:pPr>
      <w:r>
        <w:rPr>
          <w:rFonts w:hint="eastAsia"/>
          <w:color w:val="000000"/>
          <w:sz w:val="28"/>
          <w:szCs w:val="28"/>
          <w:shd w:val="clear" w:color="auto" w:fill="FFFFFF"/>
        </w:rPr>
        <w:t>七、不见面磋商是指区公资交易中心依托政府采购云平台组织磋商活动，供应商在线参与磋商的一种组织形式。</w:t>
      </w:r>
    </w:p>
    <w:p>
      <w:pPr>
        <w:pStyle w:val="5"/>
        <w:ind w:left="0" w:firstLine="0"/>
        <w:rPr>
          <w:sz w:val="28"/>
          <w:shd w:val="clear" w:color="auto" w:fill="FFFFFF"/>
        </w:rPr>
      </w:pPr>
      <w:bookmarkStart w:id="31" w:name="_Toc8984"/>
      <w:r>
        <w:rPr>
          <w:rFonts w:hint="eastAsia"/>
          <w:sz w:val="28"/>
          <w:shd w:val="clear" w:color="auto" w:fill="FFFFFF"/>
        </w:rPr>
        <w:t>2.2.3合格的供应商</w:t>
      </w:r>
      <w:bookmarkEnd w:id="31"/>
    </w:p>
    <w:p>
      <w:pPr>
        <w:pStyle w:val="113"/>
        <w:rPr>
          <w:color w:val="000000"/>
          <w:sz w:val="28"/>
          <w:szCs w:val="28"/>
          <w:shd w:val="clear" w:color="auto" w:fill="FFFFFF"/>
        </w:rPr>
      </w:pPr>
      <w:r>
        <w:rPr>
          <w:rFonts w:hint="eastAsia"/>
          <w:color w:val="000000"/>
          <w:sz w:val="28"/>
          <w:szCs w:val="28"/>
          <w:shd w:val="clear" w:color="auto" w:fill="FFFFFF"/>
        </w:rPr>
        <w:t>合格的供应商应具备以下条件：</w:t>
      </w:r>
    </w:p>
    <w:p>
      <w:pPr>
        <w:pStyle w:val="113"/>
        <w:rPr>
          <w:color w:val="000000"/>
          <w:spacing w:val="-4"/>
          <w:sz w:val="28"/>
          <w:szCs w:val="28"/>
          <w:shd w:val="clear" w:color="auto" w:fill="FFFFFF"/>
        </w:rPr>
      </w:pPr>
      <w:r>
        <w:rPr>
          <w:rFonts w:hint="eastAsia"/>
          <w:color w:val="000000"/>
          <w:sz w:val="28"/>
          <w:szCs w:val="28"/>
          <w:shd w:val="clear" w:color="auto" w:fill="FFFFFF"/>
        </w:rPr>
        <w:t>一、符合竞争性磋商邀请</w:t>
      </w:r>
      <w:r>
        <w:rPr>
          <w:rFonts w:hint="eastAsia" w:eastAsia="宋体"/>
          <w:color w:val="000000"/>
          <w:sz w:val="28"/>
          <w:szCs w:val="28"/>
          <w:shd w:val="clear" w:color="auto" w:fill="FFFFFF"/>
        </w:rPr>
        <w:t>第四条规定的条件；</w:t>
      </w:r>
    </w:p>
    <w:p>
      <w:pPr>
        <w:pStyle w:val="113"/>
        <w:rPr>
          <w:color w:val="000000"/>
          <w:sz w:val="28"/>
          <w:szCs w:val="28"/>
          <w:shd w:val="clear" w:color="auto" w:fill="FFFFFF"/>
        </w:rPr>
      </w:pPr>
      <w:r>
        <w:rPr>
          <w:rFonts w:hint="eastAsia"/>
          <w:color w:val="000000"/>
          <w:sz w:val="28"/>
          <w:szCs w:val="28"/>
          <w:shd w:val="clear" w:color="auto" w:fill="FFFFFF"/>
        </w:rPr>
        <w:t>二、按照竞争性磋商文件“竞争性磋商邀请”中第六、七、八条规定获取了磋商文件。</w:t>
      </w:r>
    </w:p>
    <w:p>
      <w:pPr>
        <w:pStyle w:val="5"/>
        <w:ind w:left="0" w:firstLine="0"/>
        <w:rPr>
          <w:sz w:val="28"/>
          <w:shd w:val="clear" w:color="auto" w:fill="FFFFFF"/>
        </w:rPr>
      </w:pPr>
      <w:bookmarkStart w:id="32" w:name="_Toc7941"/>
      <w:r>
        <w:rPr>
          <w:rFonts w:hint="eastAsia"/>
          <w:sz w:val="28"/>
          <w:shd w:val="clear" w:color="auto" w:fill="FFFFFF"/>
        </w:rPr>
        <w:t>2.2.4参加竞争性磋商的费用</w:t>
      </w:r>
      <w:bookmarkEnd w:id="32"/>
    </w:p>
    <w:p>
      <w:pPr>
        <w:pStyle w:val="5"/>
        <w:ind w:left="0" w:firstLine="480" w:firstLineChars="200"/>
        <w:rPr>
          <w:rFonts w:hint="eastAsia"/>
          <w:b w:val="0"/>
          <w:bCs w:val="0"/>
          <w:shd w:val="clear" w:color="auto" w:fill="FFFFFF"/>
        </w:rPr>
      </w:pPr>
      <w:bookmarkStart w:id="33" w:name="_Toc18587"/>
      <w:bookmarkStart w:id="34" w:name="_Toc11362"/>
      <w:r>
        <w:rPr>
          <w:rFonts w:hint="eastAsia"/>
          <w:b w:val="0"/>
          <w:bCs w:val="0"/>
          <w:shd w:val="clear" w:color="auto" w:fill="FFFFFF"/>
        </w:rPr>
        <w:t>供应商应自行承担参加竞争性磋商采购活动的全部费用。</w:t>
      </w:r>
      <w:bookmarkEnd w:id="33"/>
      <w:bookmarkEnd w:id="34"/>
    </w:p>
    <w:p>
      <w:pPr>
        <w:pStyle w:val="5"/>
        <w:ind w:left="0" w:firstLine="0"/>
        <w:rPr>
          <w:shd w:val="clear" w:color="auto" w:fill="FFFFFF"/>
        </w:rPr>
      </w:pPr>
      <w:bookmarkStart w:id="35" w:name="_Toc7636"/>
      <w:r>
        <w:rPr>
          <w:rFonts w:hint="eastAsia"/>
          <w:shd w:val="clear" w:color="auto" w:fill="FFFFFF"/>
        </w:rPr>
        <w:t>2.2.5充分、公平竞争保障措施</w:t>
      </w:r>
      <w:bookmarkEnd w:id="35"/>
    </w:p>
    <w:p>
      <w:pPr>
        <w:tabs>
          <w:tab w:val="left" w:pos="1134"/>
        </w:tabs>
        <w:adjustRightInd w:val="0"/>
        <w:spacing w:line="360" w:lineRule="auto"/>
        <w:ind w:firstLine="560" w:firstLineChars="200"/>
        <w:rPr>
          <w:rFonts w:hint="eastAsia"/>
          <w:color w:val="000000"/>
          <w:sz w:val="28"/>
          <w:szCs w:val="28"/>
        </w:rPr>
      </w:pPr>
      <w:bookmarkStart w:id="36" w:name="EB4e3f69fa82924150aa55f8891a394478"/>
      <w:r>
        <w:rPr>
          <w:rFonts w:hint="eastAsia"/>
          <w:color w:val="000000"/>
          <w:sz w:val="28"/>
          <w:szCs w:val="28"/>
        </w:rPr>
        <w:t>一、单位负责人为同一人或者存在直接控股、管理关系的不同供应商，不得参加同一项目的磋商。</w:t>
      </w:r>
    </w:p>
    <w:p>
      <w:pPr>
        <w:numPr>
          <w:ilvl w:val="0"/>
          <w:numId w:val="0"/>
        </w:numPr>
        <w:tabs>
          <w:tab w:val="left" w:pos="1134"/>
        </w:tabs>
        <w:adjustRightInd w:val="0"/>
        <w:spacing w:line="560" w:lineRule="exact"/>
        <w:ind w:firstLine="560" w:firstLineChars="200"/>
        <w:rPr>
          <w:rFonts w:hint="eastAsia" w:ascii="宋体" w:hAnsi="宋体" w:eastAsia="宋体" w:cs="Times New Roman"/>
          <w:color w:val="auto"/>
          <w:kern w:val="10"/>
          <w:sz w:val="24"/>
          <w:szCs w:val="20"/>
          <w:highlight w:val="none"/>
          <w:lang w:val="en-US" w:eastAsia="zh-CN" w:bidi="ar-SA"/>
        </w:rPr>
      </w:pPr>
      <w:r>
        <w:rPr>
          <w:rFonts w:hint="eastAsia"/>
          <w:color w:val="000000"/>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w:t>
      </w:r>
      <w:r>
        <w:rPr>
          <w:rFonts w:hint="eastAsia"/>
          <w:color w:val="000000"/>
          <w:sz w:val="28"/>
          <w:szCs w:val="28"/>
          <w:highlight w:val="none"/>
        </w:rPr>
        <w:t>因素和标准、政府采购合同等实质性内容条款的，视同为采购项目提供规范编制。</w:t>
      </w:r>
      <w:bookmarkEnd w:id="36"/>
      <w:r>
        <w:rPr>
          <w:rFonts w:hint="eastAsia" w:ascii="宋体" w:hAnsi="宋体" w:eastAsia="宋体" w:cs="Times New Roman"/>
          <w:b/>
          <w:bCs/>
          <w:color w:val="auto"/>
          <w:kern w:val="10"/>
          <w:sz w:val="28"/>
          <w:szCs w:val="21"/>
          <w:highlight w:val="none"/>
          <w:lang w:val="en-US" w:eastAsia="zh-CN" w:bidi="ar-SA"/>
        </w:rPr>
        <w:t>（说明：无供应商为本项目提供整体设计、规范编制或者项目管理、监理、检测等服务。）</w:t>
      </w:r>
    </w:p>
    <w:p>
      <w:pPr>
        <w:tabs>
          <w:tab w:val="left" w:pos="1134"/>
        </w:tabs>
        <w:adjustRightInd w:val="0"/>
        <w:spacing w:line="360" w:lineRule="auto"/>
        <w:ind w:firstLine="560" w:firstLineChars="200"/>
        <w:rPr>
          <w:b/>
          <w:color w:val="000000"/>
          <w:sz w:val="28"/>
          <w:szCs w:val="28"/>
          <w:highlight w:val="none"/>
        </w:rPr>
      </w:pPr>
      <w:r>
        <w:rPr>
          <w:rFonts w:hint="eastAsia"/>
          <w:color w:val="000000"/>
          <w:sz w:val="28"/>
          <w:szCs w:val="28"/>
          <w:highlight w:val="none"/>
          <w:lang w:val="en-US" w:eastAsia="zh-CN"/>
        </w:rPr>
        <w:t>三</w:t>
      </w:r>
      <w:r>
        <w:rPr>
          <w:rFonts w:hint="eastAsia"/>
          <w:color w:val="000000"/>
          <w:sz w:val="28"/>
          <w:szCs w:val="28"/>
          <w:highlight w:val="none"/>
        </w:rPr>
        <w:t>、本项</w:t>
      </w:r>
      <w:r>
        <w:rPr>
          <w:rFonts w:hint="eastAsia"/>
          <w:color w:val="000000"/>
          <w:sz w:val="28"/>
          <w:szCs w:val="28"/>
          <w:highlight w:val="none"/>
          <w:lang w:val="zh-CN"/>
        </w:rPr>
        <w:t>目</w:t>
      </w:r>
      <w:r>
        <w:rPr>
          <w:rFonts w:hint="eastAsia"/>
          <w:b/>
          <w:color w:val="000000"/>
          <w:sz w:val="28"/>
          <w:szCs w:val="28"/>
          <w:highlight w:val="none"/>
        </w:rPr>
        <w:t>核心产品为“</w:t>
      </w:r>
      <w:r>
        <w:rPr>
          <w:rFonts w:hint="eastAsia"/>
          <w:b/>
          <w:color w:val="000000"/>
          <w:sz w:val="28"/>
          <w:szCs w:val="28"/>
          <w:highlight w:val="none"/>
          <w:lang w:val="en-US" w:eastAsia="zh-CN"/>
        </w:rPr>
        <w:t>3D打印（教师机）</w:t>
      </w:r>
      <w:r>
        <w:rPr>
          <w:rFonts w:hint="eastAsia"/>
          <w:b/>
          <w:color w:val="000000"/>
          <w:sz w:val="28"/>
          <w:szCs w:val="28"/>
          <w:highlight w:val="none"/>
        </w:rPr>
        <w:t>”</w:t>
      </w:r>
      <w:r>
        <w:rPr>
          <w:rFonts w:hint="eastAsia"/>
          <w:color w:val="000000"/>
          <w:sz w:val="28"/>
          <w:szCs w:val="28"/>
          <w:highlight w:val="none"/>
          <w:lang w:val="zh-CN"/>
        </w:rPr>
        <w:t>。</w:t>
      </w:r>
      <w:r>
        <w:rPr>
          <w:rFonts w:hint="eastAsia"/>
          <w:color w:val="000000"/>
          <w:sz w:val="28"/>
          <w:szCs w:val="28"/>
          <w:highlight w:val="none"/>
        </w:rPr>
        <w:t>提供核心产品品牌相</w:t>
      </w:r>
      <w:r>
        <w:rPr>
          <w:rFonts w:hint="eastAsia"/>
          <w:color w:val="000000"/>
          <w:sz w:val="28"/>
          <w:szCs w:val="28"/>
          <w:highlight w:val="none"/>
          <w:lang w:val="zh-CN"/>
        </w:rPr>
        <w:t>同且通过资格检查和符合性检查的不同</w:t>
      </w:r>
      <w:r>
        <w:rPr>
          <w:rFonts w:hint="eastAsia"/>
          <w:color w:val="000000"/>
          <w:sz w:val="28"/>
          <w:szCs w:val="28"/>
          <w:highlight w:val="none"/>
        </w:rPr>
        <w:t>供应商</w:t>
      </w:r>
      <w:r>
        <w:rPr>
          <w:rFonts w:hint="eastAsia"/>
          <w:color w:val="000000"/>
          <w:sz w:val="28"/>
          <w:szCs w:val="28"/>
          <w:highlight w:val="none"/>
          <w:lang w:val="zh-CN"/>
        </w:rPr>
        <w:t>参加同一项目投标的，按一家</w:t>
      </w:r>
      <w:r>
        <w:rPr>
          <w:rFonts w:hint="eastAsia"/>
          <w:color w:val="000000"/>
          <w:sz w:val="28"/>
          <w:szCs w:val="28"/>
          <w:highlight w:val="none"/>
        </w:rPr>
        <w:t>供应商</w:t>
      </w:r>
      <w:r>
        <w:rPr>
          <w:rFonts w:hint="eastAsia"/>
          <w:color w:val="000000"/>
          <w:sz w:val="28"/>
          <w:szCs w:val="28"/>
          <w:highlight w:val="none"/>
          <w:lang w:val="zh-CN"/>
        </w:rPr>
        <w:t>计算，评审后得分最高的</w:t>
      </w:r>
      <w:r>
        <w:rPr>
          <w:rFonts w:hint="eastAsia"/>
          <w:color w:val="000000"/>
          <w:sz w:val="28"/>
          <w:szCs w:val="28"/>
          <w:highlight w:val="none"/>
        </w:rPr>
        <w:t>供应商</w:t>
      </w:r>
      <w:r>
        <w:rPr>
          <w:rFonts w:hint="eastAsia"/>
          <w:color w:val="000000"/>
          <w:sz w:val="28"/>
          <w:szCs w:val="28"/>
          <w:highlight w:val="none"/>
          <w:lang w:val="zh-CN"/>
        </w:rPr>
        <w:t>获得中标候选人推荐资格；评审得分相同的，报价最低的</w:t>
      </w:r>
      <w:r>
        <w:rPr>
          <w:rFonts w:hint="eastAsia"/>
          <w:color w:val="000000"/>
          <w:sz w:val="28"/>
          <w:szCs w:val="28"/>
          <w:highlight w:val="none"/>
        </w:rPr>
        <w:t>供应商</w:t>
      </w:r>
      <w:r>
        <w:rPr>
          <w:rFonts w:hint="eastAsia"/>
          <w:color w:val="000000"/>
          <w:sz w:val="28"/>
          <w:szCs w:val="28"/>
          <w:highlight w:val="none"/>
          <w:lang w:val="zh-CN"/>
        </w:rPr>
        <w:t>获得中标候选人推荐资格；评审得分相同且报价相同的，由</w:t>
      </w:r>
      <w:r>
        <w:rPr>
          <w:rFonts w:hint="eastAsia"/>
          <w:color w:val="000000"/>
          <w:sz w:val="28"/>
          <w:szCs w:val="28"/>
          <w:highlight w:val="none"/>
        </w:rPr>
        <w:t>磋商小组</w:t>
      </w:r>
      <w:r>
        <w:rPr>
          <w:rFonts w:hint="eastAsia"/>
          <w:color w:val="000000"/>
          <w:sz w:val="28"/>
          <w:szCs w:val="28"/>
          <w:highlight w:val="none"/>
          <w:lang w:val="zh-CN"/>
        </w:rPr>
        <w:t>采取随机抽取的方式确定一个</w:t>
      </w:r>
      <w:r>
        <w:rPr>
          <w:rFonts w:hint="eastAsia"/>
          <w:color w:val="000000"/>
          <w:sz w:val="28"/>
          <w:szCs w:val="28"/>
          <w:highlight w:val="none"/>
        </w:rPr>
        <w:t>供应商</w:t>
      </w:r>
      <w:r>
        <w:rPr>
          <w:rFonts w:hint="eastAsia"/>
          <w:color w:val="000000"/>
          <w:sz w:val="28"/>
          <w:szCs w:val="28"/>
          <w:highlight w:val="none"/>
          <w:lang w:val="zh-CN"/>
        </w:rPr>
        <w:t>获得中标候选人推荐资格。</w:t>
      </w:r>
    </w:p>
    <w:p>
      <w:pPr>
        <w:pStyle w:val="4"/>
        <w:spacing w:before="156" w:after="156"/>
        <w:ind w:left="0" w:firstLine="0"/>
        <w:rPr>
          <w:color w:val="000000"/>
          <w:shd w:val="clear" w:color="auto" w:fill="FFFFFF"/>
        </w:rPr>
      </w:pPr>
      <w:bookmarkStart w:id="37" w:name="_Toc26132"/>
      <w:r>
        <w:rPr>
          <w:rFonts w:hint="eastAsia"/>
          <w:color w:val="000000"/>
          <w:shd w:val="clear" w:color="auto" w:fill="FFFFFF"/>
        </w:rPr>
        <w:t>2.3磋商文件</w:t>
      </w:r>
      <w:bookmarkEnd w:id="37"/>
    </w:p>
    <w:p>
      <w:pPr>
        <w:pStyle w:val="5"/>
        <w:ind w:left="0" w:firstLine="0"/>
        <w:rPr>
          <w:sz w:val="28"/>
          <w:shd w:val="clear" w:color="auto" w:fill="FFFFFF"/>
        </w:rPr>
      </w:pPr>
      <w:bookmarkStart w:id="38" w:name="_Toc15360"/>
      <w:r>
        <w:rPr>
          <w:rFonts w:hint="eastAsia"/>
          <w:sz w:val="28"/>
          <w:shd w:val="clear" w:color="auto" w:fill="FFFFFF"/>
        </w:rPr>
        <w:t>2.3.1磋商文件的构成</w:t>
      </w:r>
      <w:bookmarkEnd w:id="38"/>
    </w:p>
    <w:p>
      <w:pPr>
        <w:pStyle w:val="113"/>
        <w:rPr>
          <w:color w:val="000000"/>
          <w:sz w:val="28"/>
          <w:szCs w:val="28"/>
          <w:shd w:val="clear" w:color="auto" w:fill="FFFFFF"/>
        </w:rPr>
      </w:pPr>
      <w:r>
        <w:rPr>
          <w:rFonts w:hint="eastAsia"/>
          <w:color w:val="000000"/>
          <w:sz w:val="28"/>
          <w:szCs w:val="28"/>
          <w:shd w:val="clear" w:color="auto" w:fill="FFFFFF"/>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pStyle w:val="113"/>
        <w:rPr>
          <w:color w:val="000000"/>
          <w:sz w:val="28"/>
          <w:szCs w:val="28"/>
          <w:shd w:val="clear" w:color="auto" w:fill="FFFFFF"/>
        </w:rPr>
      </w:pPr>
      <w:r>
        <w:rPr>
          <w:rFonts w:hint="eastAsia"/>
          <w:color w:val="000000"/>
          <w:sz w:val="28"/>
          <w:szCs w:val="28"/>
          <w:shd w:val="clear" w:color="auto" w:fill="FFFFFF"/>
        </w:rPr>
        <w:t>（一）竞争性磋商邀请；</w:t>
      </w:r>
    </w:p>
    <w:p>
      <w:pPr>
        <w:pStyle w:val="113"/>
        <w:rPr>
          <w:color w:val="000000"/>
          <w:sz w:val="28"/>
          <w:szCs w:val="28"/>
          <w:shd w:val="clear" w:color="auto" w:fill="FFFFFF"/>
        </w:rPr>
      </w:pPr>
      <w:r>
        <w:rPr>
          <w:rFonts w:hint="eastAsia"/>
          <w:color w:val="000000"/>
          <w:sz w:val="28"/>
          <w:szCs w:val="28"/>
          <w:shd w:val="clear" w:color="auto" w:fill="FFFFFF"/>
        </w:rPr>
        <w:t>（二）供应商须知；</w:t>
      </w:r>
    </w:p>
    <w:p>
      <w:pPr>
        <w:pStyle w:val="113"/>
        <w:rPr>
          <w:color w:val="000000"/>
          <w:sz w:val="28"/>
          <w:szCs w:val="28"/>
          <w:shd w:val="clear" w:color="auto" w:fill="FFFFFF"/>
        </w:rPr>
      </w:pPr>
      <w:r>
        <w:rPr>
          <w:rFonts w:hint="eastAsia"/>
          <w:color w:val="000000"/>
          <w:sz w:val="28"/>
          <w:szCs w:val="28"/>
          <w:shd w:val="clear" w:color="auto" w:fill="FFFFFF"/>
        </w:rPr>
        <w:t>（三）响应文件格式；</w:t>
      </w:r>
    </w:p>
    <w:p>
      <w:pPr>
        <w:pStyle w:val="113"/>
        <w:rPr>
          <w:color w:val="000000"/>
          <w:sz w:val="28"/>
          <w:szCs w:val="28"/>
          <w:shd w:val="clear" w:color="auto" w:fill="FFFFFF"/>
        </w:rPr>
      </w:pPr>
      <w:r>
        <w:rPr>
          <w:rFonts w:hint="eastAsia"/>
          <w:color w:val="000000"/>
          <w:sz w:val="28"/>
          <w:szCs w:val="28"/>
          <w:shd w:val="clear" w:color="auto" w:fill="FFFFFF"/>
        </w:rPr>
        <w:t>（四）技术、服务要求及其他要求；</w:t>
      </w:r>
    </w:p>
    <w:p>
      <w:pPr>
        <w:pStyle w:val="113"/>
        <w:rPr>
          <w:color w:val="000000"/>
          <w:sz w:val="28"/>
          <w:szCs w:val="28"/>
          <w:shd w:val="clear" w:color="auto" w:fill="FFFFFF"/>
        </w:rPr>
      </w:pPr>
      <w:r>
        <w:rPr>
          <w:rFonts w:hint="eastAsia"/>
          <w:color w:val="000000"/>
          <w:sz w:val="28"/>
          <w:szCs w:val="28"/>
          <w:shd w:val="clear" w:color="auto" w:fill="FFFFFF"/>
        </w:rPr>
        <w:t>（五）磋商办法；</w:t>
      </w:r>
    </w:p>
    <w:p>
      <w:pPr>
        <w:pStyle w:val="113"/>
        <w:rPr>
          <w:color w:val="000000"/>
          <w:sz w:val="28"/>
          <w:szCs w:val="28"/>
          <w:shd w:val="clear" w:color="auto" w:fill="FFFFFF"/>
        </w:rPr>
      </w:pPr>
      <w:r>
        <w:rPr>
          <w:rFonts w:hint="eastAsia"/>
          <w:color w:val="000000"/>
          <w:sz w:val="28"/>
          <w:szCs w:val="28"/>
          <w:shd w:val="clear" w:color="auto" w:fill="FFFFFF"/>
        </w:rPr>
        <w:t>（六）拟签订的合同文本。</w:t>
      </w:r>
    </w:p>
    <w:p>
      <w:pPr>
        <w:pStyle w:val="113"/>
        <w:rPr>
          <w:color w:val="000000"/>
          <w:sz w:val="28"/>
          <w:szCs w:val="28"/>
          <w:shd w:val="clear" w:color="auto" w:fill="FFFFFF"/>
        </w:rPr>
      </w:pPr>
      <w:r>
        <w:rPr>
          <w:rFonts w:hint="eastAsia"/>
          <w:color w:val="000000"/>
          <w:sz w:val="28"/>
          <w:szCs w:val="28"/>
          <w:shd w:val="clear" w:color="auto" w:fill="FFFFFF"/>
        </w:rPr>
        <w:t>二、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5"/>
        <w:ind w:left="0" w:firstLine="0"/>
        <w:rPr>
          <w:sz w:val="28"/>
          <w:shd w:val="clear" w:color="auto" w:fill="FFFFFF"/>
        </w:rPr>
      </w:pPr>
      <w:bookmarkStart w:id="39" w:name="_Toc24803"/>
      <w:r>
        <w:rPr>
          <w:rFonts w:hint="eastAsia"/>
          <w:sz w:val="28"/>
          <w:shd w:val="clear" w:color="auto" w:fill="FFFFFF"/>
        </w:rPr>
        <w:t>2.3.2磋商文件的澄清和修改</w:t>
      </w:r>
      <w:bookmarkEnd w:id="39"/>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一、在递交响应文件截止时间前，采购人或者区公资交易中心可以对已发出的磋商文件进行必要的澄清或者修改。</w:t>
      </w:r>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二、澄清或者修改的内容，区公资交易中心将在“四川政府采购网”和“成都市公共资源交易服务中心”网站上发布澄清公告，同时通过政府采购云平台将澄清或者修改的内容告知所有已获取采购文件的潜在供应商（供应商通过账号或CA证书登录云平台查看），该澄清或者修改的内容为磋商文件的组成部分。</w:t>
      </w:r>
    </w:p>
    <w:p>
      <w:pPr>
        <w:ind w:firstLine="560" w:firstLineChars="200"/>
        <w:rPr>
          <w:rFonts w:hint="eastAsia" w:cs="Times New Roman"/>
          <w:b w:val="0"/>
          <w:bCs w:val="0"/>
          <w:iCs/>
          <w:color w:val="000000"/>
          <w:kern w:val="0"/>
          <w:sz w:val="28"/>
          <w:szCs w:val="28"/>
          <w:shd w:val="clear" w:color="auto" w:fill="FFFFFF"/>
        </w:rPr>
      </w:pPr>
      <w:r>
        <w:rPr>
          <w:rFonts w:hint="eastAsia" w:cs="Times New Roman"/>
          <w:b w:val="0"/>
          <w:bCs w:val="0"/>
          <w:iCs/>
          <w:color w:val="000000"/>
          <w:kern w:val="0"/>
          <w:sz w:val="28"/>
          <w:szCs w:val="28"/>
          <w:shd w:val="clear" w:color="auto" w:fill="FFFFFF"/>
        </w:rPr>
        <w:t>三、澄清或者修改的内容可能影响响应文件编制的，区公资交易中心应当在提交首次响应文件截止时间至少5日前，通过政府采购云平台通知所有已获取采购文件的潜在供应商；不足5日的，采购人或区公资交易中心应当顺延提交首次响应文件截止时间。</w:t>
      </w:r>
    </w:p>
    <w:p>
      <w:pPr>
        <w:rPr>
          <w:rFonts w:hint="eastAsia" w:cs="Times New Roman"/>
          <w:b/>
          <w:bCs/>
          <w:iCs/>
          <w:color w:val="000000"/>
          <w:kern w:val="0"/>
          <w:sz w:val="28"/>
          <w:szCs w:val="28"/>
          <w:shd w:val="clear" w:color="auto" w:fill="FFFFFF"/>
        </w:rPr>
      </w:pPr>
      <w:r>
        <w:rPr>
          <w:rFonts w:hint="eastAsia" w:cs="Times New Roman"/>
          <w:b/>
          <w:bCs/>
          <w:iCs/>
          <w:color w:val="000000"/>
          <w:kern w:val="0"/>
          <w:sz w:val="28"/>
          <w:szCs w:val="28"/>
          <w:shd w:val="clear" w:color="auto" w:fill="FFFFFF"/>
        </w:rPr>
        <w:t>2.4响应文件</w:t>
      </w:r>
    </w:p>
    <w:p>
      <w:pPr>
        <w:rPr>
          <w:rFonts w:hint="eastAsia"/>
          <w:sz w:val="28"/>
          <w:shd w:val="clear" w:color="auto" w:fill="FFFFFF"/>
        </w:rPr>
      </w:pPr>
      <w:r>
        <w:rPr>
          <w:rFonts w:hint="eastAsia"/>
          <w:sz w:val="28"/>
          <w:shd w:val="clear" w:color="auto" w:fill="FFFFFF"/>
        </w:rPr>
        <w:t>2.4.1响应文件的语言</w:t>
      </w:r>
      <w:bookmarkStart w:id="40" w:name="_Toc8358"/>
    </w:p>
    <w:p>
      <w:pPr>
        <w:numPr>
          <w:ilvl w:val="0"/>
          <w:numId w:val="0"/>
        </w:numPr>
        <w:ind w:firstLine="560" w:firstLineChars="200"/>
        <w:rPr>
          <w:rFonts w:hint="eastAsia"/>
          <w:b w:val="0"/>
          <w:bCs w:val="0"/>
          <w:sz w:val="28"/>
          <w:shd w:val="clear" w:color="auto" w:fill="FFFFFF"/>
        </w:rPr>
      </w:pPr>
      <w:r>
        <w:rPr>
          <w:rFonts w:hint="eastAsia"/>
          <w:b w:val="0"/>
          <w:bCs w:val="0"/>
          <w:sz w:val="28"/>
          <w:shd w:val="clear" w:color="auto" w:fill="FFFFFF"/>
          <w:lang w:val="en-US" w:eastAsia="zh-CN"/>
        </w:rPr>
        <w:t>一、</w:t>
      </w:r>
      <w:r>
        <w:rPr>
          <w:rFonts w:hint="eastAsia"/>
          <w:b w:val="0"/>
          <w:bCs w:val="0"/>
          <w:sz w:val="28"/>
          <w:shd w:val="clear" w:color="auto" w:fill="FFFFFF"/>
        </w:rPr>
        <w:t>供应商提交的响应文件以及供应商与磋商小组在评审过程中的所有来往书面文件均须使用中文。响应文件中如附有外文资料，主要部分要对应翻译成中文并附在相关外文资料后面。</w:t>
      </w:r>
      <w:bookmarkEnd w:id="40"/>
      <w:bookmarkStart w:id="41" w:name="_Toc22292"/>
    </w:p>
    <w:p>
      <w:pPr>
        <w:numPr>
          <w:ilvl w:val="0"/>
          <w:numId w:val="0"/>
        </w:numPr>
        <w:ind w:firstLine="560" w:firstLineChars="200"/>
        <w:rPr>
          <w:rFonts w:hint="eastAsia"/>
          <w:b w:val="0"/>
          <w:bCs w:val="0"/>
          <w:sz w:val="28"/>
          <w:shd w:val="clear" w:color="auto" w:fill="FFFFFF"/>
        </w:rPr>
      </w:pPr>
      <w:r>
        <w:rPr>
          <w:rFonts w:hint="eastAsia"/>
          <w:b w:val="0"/>
          <w:bCs w:val="0"/>
          <w:sz w:val="28"/>
          <w:shd w:val="clear" w:color="auto" w:fill="FFFFFF"/>
        </w:rPr>
        <w:t>二、翻译的中文资料与外文资料如果出现差异和矛盾时，以中文为准。涉嫌提供虚假材料的按照相关法律法规处理。</w:t>
      </w:r>
      <w:bookmarkEnd w:id="41"/>
    </w:p>
    <w:p>
      <w:pPr>
        <w:pStyle w:val="5"/>
        <w:ind w:left="612" w:leftChars="198" w:hanging="196" w:hangingChars="70"/>
        <w:rPr>
          <w:rFonts w:hint="eastAsia"/>
          <w:b w:val="0"/>
          <w:bCs w:val="0"/>
          <w:sz w:val="28"/>
          <w:shd w:val="clear" w:color="auto" w:fill="FFFFFF"/>
        </w:rPr>
      </w:pPr>
      <w:bookmarkStart w:id="42" w:name="_Toc22992"/>
      <w:bookmarkStart w:id="43" w:name="_Toc9775"/>
      <w:r>
        <w:rPr>
          <w:rFonts w:hint="eastAsia"/>
          <w:b w:val="0"/>
          <w:bCs w:val="0"/>
          <w:sz w:val="28"/>
          <w:shd w:val="clear" w:color="auto" w:fill="FFFFFF"/>
        </w:rPr>
        <w:t>三、如因未翻译而造成对供应商的不利后果，由供应商承担。</w:t>
      </w:r>
      <w:bookmarkEnd w:id="42"/>
      <w:bookmarkEnd w:id="43"/>
    </w:p>
    <w:p>
      <w:pPr>
        <w:pStyle w:val="5"/>
        <w:rPr>
          <w:b/>
          <w:bCs/>
          <w:sz w:val="28"/>
          <w:shd w:val="clear" w:color="auto" w:fill="FFFFFF"/>
        </w:rPr>
      </w:pPr>
      <w:bookmarkStart w:id="44" w:name="_Toc672"/>
      <w:r>
        <w:rPr>
          <w:rFonts w:hint="eastAsia"/>
          <w:b/>
          <w:bCs/>
          <w:sz w:val="28"/>
          <w:shd w:val="clear" w:color="auto" w:fill="FFFFFF"/>
        </w:rPr>
        <w:t>2.4.2计量单位</w:t>
      </w:r>
      <w:bookmarkEnd w:id="44"/>
    </w:p>
    <w:p>
      <w:pPr>
        <w:pStyle w:val="113"/>
        <w:rPr>
          <w:color w:val="000000"/>
          <w:sz w:val="28"/>
          <w:szCs w:val="28"/>
          <w:shd w:val="clear" w:color="auto" w:fill="FFFFFF"/>
        </w:rPr>
      </w:pPr>
      <w:r>
        <w:rPr>
          <w:rFonts w:hint="eastAsia"/>
          <w:color w:val="000000"/>
          <w:sz w:val="28"/>
          <w:szCs w:val="28"/>
          <w:shd w:val="clear" w:color="auto" w:fill="FFFFFF"/>
        </w:rPr>
        <w:t>除磋商文件中另有规定外，本次采购项目所有合同项下的响应均采用国家法定的计量单位。</w:t>
      </w:r>
    </w:p>
    <w:p>
      <w:pPr>
        <w:pStyle w:val="5"/>
        <w:rPr>
          <w:rFonts w:hint="eastAsia" w:ascii="宋体" w:hAnsi="宋体" w:eastAsia="宋体" w:cs="Times New Roman"/>
          <w:b/>
          <w:bCs/>
          <w:sz w:val="28"/>
          <w:shd w:val="clear" w:color="auto" w:fill="FFFFFF"/>
        </w:rPr>
      </w:pPr>
      <w:bookmarkStart w:id="45" w:name="_Toc5140"/>
      <w:bookmarkStart w:id="46" w:name="_Toc20420"/>
      <w:bookmarkStart w:id="47" w:name="_Toc17271"/>
      <w:bookmarkStart w:id="48" w:name="_Toc28510"/>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3</w:t>
      </w:r>
      <w:r>
        <w:rPr>
          <w:rFonts w:hint="eastAsia" w:ascii="宋体" w:hAnsi="宋体" w:eastAsia="宋体" w:cs="Times New Roman"/>
          <w:b/>
          <w:bCs/>
          <w:sz w:val="28"/>
          <w:shd w:val="clear" w:color="auto" w:fill="FFFFFF"/>
        </w:rPr>
        <w:t>联合体</w:t>
      </w:r>
      <w:bookmarkEnd w:id="45"/>
      <w:bookmarkEnd w:id="46"/>
    </w:p>
    <w:p>
      <w:pPr>
        <w:pStyle w:val="113"/>
        <w:ind w:firstLine="480"/>
        <w:rPr>
          <w:rFonts w:hint="eastAsia" w:ascii="宋体" w:hAnsi="宋体" w:eastAsia="宋体" w:cs="Times New Roman"/>
          <w:b w:val="0"/>
          <w:bCs w:val="0"/>
          <w:iCs/>
          <w:color w:val="000000"/>
          <w:kern w:val="0"/>
          <w:sz w:val="28"/>
          <w:szCs w:val="28"/>
          <w:shd w:val="clear" w:color="auto" w:fill="FFFFFF"/>
          <w:lang w:val="en-US" w:eastAsia="zh-CN" w:bidi="ar-SA"/>
        </w:rPr>
      </w:pPr>
      <w:r>
        <w:rPr>
          <w:rFonts w:hint="eastAsia" w:ascii="宋体" w:hAnsi="宋体" w:eastAsia="宋体" w:cs="Times New Roman"/>
          <w:b w:val="0"/>
          <w:bCs w:val="0"/>
          <w:iCs/>
          <w:color w:val="000000"/>
          <w:kern w:val="0"/>
          <w:sz w:val="28"/>
          <w:szCs w:val="28"/>
          <w:shd w:val="clear" w:color="auto" w:fill="FFFFFF"/>
          <w:lang w:val="en-US" w:eastAsia="zh-CN" w:bidi="ar-SA"/>
        </w:rPr>
        <w:t>本次政府采购活动</w:t>
      </w:r>
      <w:bookmarkStart w:id="49" w:name="EBb214d4eddaa9434392123a2accee8c35"/>
      <w:r>
        <w:rPr>
          <w:rFonts w:hint="eastAsia" w:ascii="宋体" w:hAnsi="宋体" w:eastAsia="宋体" w:cs="Times New Roman"/>
          <w:b/>
          <w:bCs/>
          <w:iCs/>
          <w:color w:val="000000"/>
          <w:kern w:val="0"/>
          <w:sz w:val="28"/>
          <w:szCs w:val="28"/>
          <w:shd w:val="clear" w:color="auto" w:fill="FFFFFF"/>
          <w:lang w:val="en-US" w:eastAsia="zh-CN" w:bidi="ar-SA"/>
        </w:rPr>
        <w:t>不接受</w:t>
      </w:r>
      <w:bookmarkEnd w:id="49"/>
      <w:r>
        <w:rPr>
          <w:rFonts w:hint="eastAsia" w:ascii="宋体" w:hAnsi="宋体" w:eastAsia="宋体" w:cs="Times New Roman"/>
          <w:b w:val="0"/>
          <w:bCs w:val="0"/>
          <w:iCs/>
          <w:color w:val="000000"/>
          <w:kern w:val="0"/>
          <w:sz w:val="28"/>
          <w:szCs w:val="28"/>
          <w:shd w:val="clear" w:color="auto" w:fill="FFFFFF"/>
          <w:lang w:val="en-US" w:eastAsia="zh-CN" w:bidi="ar-SA"/>
        </w:rPr>
        <w:t>供应商以联合体的形式参加磋商。</w:t>
      </w:r>
    </w:p>
    <w:p>
      <w:pPr>
        <w:pStyle w:val="5"/>
        <w:rPr>
          <w:rFonts w:hint="eastAsia" w:ascii="宋体" w:hAnsi="宋体" w:eastAsia="宋体" w:cs="Times New Roman"/>
          <w:b/>
          <w:bCs/>
          <w:sz w:val="28"/>
          <w:shd w:val="clear" w:color="auto" w:fill="FFFFFF"/>
        </w:rPr>
      </w:pPr>
      <w:bookmarkStart w:id="50" w:name="_Toc31405"/>
      <w:bookmarkStart w:id="51" w:name="_Toc19108"/>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4</w:t>
      </w:r>
      <w:r>
        <w:rPr>
          <w:rFonts w:hint="eastAsia" w:ascii="宋体" w:hAnsi="宋体" w:eastAsia="宋体" w:cs="Times New Roman"/>
          <w:b/>
          <w:bCs/>
          <w:sz w:val="28"/>
          <w:shd w:val="clear" w:color="auto" w:fill="FFFFFF"/>
        </w:rPr>
        <w:t>知识产权</w:t>
      </w:r>
      <w:bookmarkEnd w:id="50"/>
      <w:bookmarkEnd w:id="51"/>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360" w:lineRule="auto"/>
        <w:ind w:firstLine="560" w:firstLineChars="200"/>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三、如采用供应商所不拥有的知识产权，则在报价中必须包括合法获取使用该知识产权的相关费用。</w:t>
      </w:r>
    </w:p>
    <w:p>
      <w:pPr>
        <w:pStyle w:val="5"/>
        <w:rPr>
          <w:rFonts w:hint="eastAsia" w:ascii="宋体" w:hAnsi="宋体" w:eastAsia="宋体" w:cs="Times New Roman"/>
          <w:b/>
          <w:bCs/>
          <w:sz w:val="28"/>
          <w:shd w:val="clear" w:color="auto" w:fill="FFFFFF"/>
        </w:rPr>
      </w:pPr>
      <w:bookmarkStart w:id="52" w:name="_Toc20786"/>
      <w:bookmarkStart w:id="53" w:name="_Toc22030"/>
      <w:r>
        <w:rPr>
          <w:rFonts w:hint="eastAsia" w:ascii="宋体" w:hAnsi="宋体" w:eastAsia="宋体" w:cs="Times New Roman"/>
          <w:b/>
          <w:bCs/>
          <w:sz w:val="28"/>
          <w:shd w:val="clear" w:color="auto" w:fill="FFFFFF"/>
        </w:rPr>
        <w:t>2.4.</w:t>
      </w:r>
      <w:r>
        <w:rPr>
          <w:rFonts w:hint="eastAsia" w:ascii="宋体" w:hAnsi="宋体" w:eastAsia="宋体" w:cs="Times New Roman"/>
          <w:b/>
          <w:bCs/>
          <w:sz w:val="28"/>
          <w:shd w:val="clear" w:color="auto" w:fill="FFFFFF"/>
          <w:lang w:val="en-US" w:eastAsia="zh-CN"/>
        </w:rPr>
        <w:t>5</w:t>
      </w:r>
      <w:r>
        <w:rPr>
          <w:rFonts w:hint="eastAsia" w:ascii="宋体" w:hAnsi="宋体" w:eastAsia="宋体" w:cs="Times New Roman"/>
          <w:b/>
          <w:bCs/>
          <w:sz w:val="28"/>
          <w:shd w:val="clear" w:color="auto" w:fill="FFFFFF"/>
        </w:rPr>
        <w:t>响应文件的组成</w:t>
      </w:r>
      <w:bookmarkEnd w:id="52"/>
      <w:bookmarkEnd w:id="53"/>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供应商应按照磋商文件的规定和要求编制响应文件。供应商编写的响应文件应包括下列部分：</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一、资格性响应文件：用于磋商小组资格性审查；</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二、技术、服务性响应文件：用于供应商与磋商小组磋商；</w:t>
      </w:r>
    </w:p>
    <w:p>
      <w:pPr>
        <w:pStyle w:val="261"/>
        <w:spacing w:line="360" w:lineRule="auto"/>
        <w:ind w:firstLine="560" w:firstLineChars="200"/>
        <w:jc w:val="both"/>
        <w:rPr>
          <w:color w:val="auto"/>
          <w:highlight w:val="none"/>
        </w:rPr>
      </w:pPr>
      <w:r>
        <w:rPr>
          <w:rFonts w:hint="eastAsia" w:ascii="宋体" w:hAnsi="宋体" w:eastAsiaTheme="minorEastAsia" w:cstheme="minorBidi"/>
          <w:color w:val="000000"/>
          <w:kern w:val="10"/>
          <w:sz w:val="28"/>
          <w:szCs w:val="28"/>
          <w:shd w:val="clear" w:color="auto" w:fill="FFFFFF"/>
          <w:lang w:val="en-US" w:eastAsia="zh-CN" w:bidi="ar-SA"/>
        </w:rPr>
        <w:t>三、最后报价文件（按磋商小组的要求提供最后报价）。</w:t>
      </w:r>
    </w:p>
    <w:p>
      <w:pPr>
        <w:pStyle w:val="113"/>
        <w:ind w:firstLine="482"/>
        <w:rPr>
          <w:rFonts w:hint="eastAsia"/>
          <w:b/>
          <w:color w:val="auto"/>
          <w:sz w:val="28"/>
          <w:szCs w:val="24"/>
          <w:highlight w:val="none"/>
        </w:rPr>
      </w:pPr>
      <w:r>
        <w:rPr>
          <w:rFonts w:hint="eastAsia"/>
          <w:b/>
          <w:color w:val="auto"/>
          <w:sz w:val="28"/>
          <w:szCs w:val="24"/>
          <w:highlight w:val="none"/>
        </w:rPr>
        <w:t>2.4.</w:t>
      </w:r>
      <w:r>
        <w:rPr>
          <w:rFonts w:hint="eastAsia"/>
          <w:b/>
          <w:color w:val="auto"/>
          <w:sz w:val="28"/>
          <w:szCs w:val="24"/>
          <w:highlight w:val="none"/>
          <w:lang w:val="en-US" w:eastAsia="zh-CN"/>
        </w:rPr>
        <w:t>5</w:t>
      </w:r>
      <w:r>
        <w:rPr>
          <w:rFonts w:hint="eastAsia"/>
          <w:b/>
          <w:color w:val="auto"/>
          <w:sz w:val="28"/>
          <w:szCs w:val="24"/>
          <w:highlight w:val="none"/>
        </w:rPr>
        <w:t>.1资格性响应文件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资格性响应文件由以下部分组成：</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一、供应商资格申明的函；</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二、声明；</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三、法定代表人身份证明书以及法定代表人身份证复印件（身份证两面均应复印）或护照复印件（说明：供应商的法定代表人为外籍人士的，则提供护照复印件）；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四、供应商基本情况表；</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五、供应商应提交的相关资格证明材料：</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（一）营业执照复印件（正本或副本）或法人证书复印件（正本或副本）；</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（二）2019或2020会计年度资产负债表复印件（说明：供应商成立时间至递交响应文件截止时间止不足一年的，提供成立后任意时段的资产负债表复印件）；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（三）供应商缴纳2020或2021年任意时段的税收的银行电子回单或者行政部门出具的纳税证明或完税证明复印件；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（四）采购人对供应商履行合同所必须的设备和专业技术能力无其他特殊要求，供应商具有有效的营业执照或法人证书即可，可不提供其他证明材料；</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（五）供应商缴纳2020或2021年任意时段的社保的银行电子回单或行政部门出具的社保缴纳证明材料复印件；</w:t>
      </w:r>
    </w:p>
    <w:p>
      <w:pPr>
        <w:pStyle w:val="261"/>
        <w:spacing w:line="360" w:lineRule="auto"/>
        <w:ind w:firstLine="560" w:firstLineChars="200"/>
        <w:jc w:val="both"/>
        <w:rPr>
          <w:rFonts w:hint="eastAsia" w:ascii="宋体" w:hAnsi="宋体" w:eastAsiaTheme="minorEastAsia" w:cstheme="minorBidi"/>
          <w:color w:val="000000"/>
          <w:kern w:val="10"/>
          <w:sz w:val="28"/>
          <w:szCs w:val="28"/>
          <w:shd w:val="clear" w:color="auto" w:fill="FFFFFF"/>
          <w:lang w:val="en-US" w:eastAsia="zh-CN" w:bidi="ar-SA"/>
        </w:rPr>
      </w:pPr>
      <w:r>
        <w:rPr>
          <w:rFonts w:hint="eastAsia" w:ascii="宋体" w:hAnsi="宋体" w:eastAsiaTheme="minorEastAsia" w:cstheme="minorBidi"/>
          <w:color w:val="000000"/>
          <w:kern w:val="10"/>
          <w:sz w:val="28"/>
          <w:szCs w:val="28"/>
          <w:shd w:val="clear" w:color="auto" w:fill="FFFFFF"/>
          <w:lang w:val="en-US" w:eastAsia="zh-CN" w:bidi="ar-SA"/>
        </w:rPr>
        <w:t>（六）采购人对法律、行政法规规定的其他条件无其他特殊要求，供应商具有有效的营业执照或法人证书即可，可不提供其他证明材料；</w:t>
      </w:r>
    </w:p>
    <w:p>
      <w:pPr>
        <w:pStyle w:val="113"/>
        <w:ind w:firstLine="480"/>
        <w:rPr>
          <w:rFonts w:hint="eastAsia"/>
          <w:b/>
          <w:color w:val="auto"/>
          <w:sz w:val="28"/>
          <w:szCs w:val="24"/>
          <w:highlight w:val="none"/>
          <w:lang w:eastAsia="zh-CN"/>
        </w:rPr>
      </w:pPr>
      <w:r>
        <w:rPr>
          <w:rFonts w:hint="eastAsia" w:ascii="宋体" w:hAnsi="宋体" w:eastAsia="宋体" w:cs="Times New Roman"/>
          <w:b/>
          <w:bCs w:val="0"/>
          <w:color w:val="auto"/>
          <w:kern w:val="10"/>
          <w:sz w:val="28"/>
          <w:szCs w:val="21"/>
          <w:highlight w:val="none"/>
          <w:lang w:val="en-US" w:eastAsia="zh-CN" w:bidi="ar-SA"/>
        </w:rPr>
        <w:t>2.4.</w:t>
      </w:r>
      <w:r>
        <w:rPr>
          <w:rFonts w:hint="eastAsia" w:cs="Times New Roman"/>
          <w:b/>
          <w:bCs w:val="0"/>
          <w:color w:val="auto"/>
          <w:kern w:val="10"/>
          <w:sz w:val="28"/>
          <w:szCs w:val="21"/>
          <w:highlight w:val="none"/>
          <w:lang w:val="en-US" w:eastAsia="zh-CN" w:bidi="ar-SA"/>
        </w:rPr>
        <w:t>5</w:t>
      </w:r>
      <w:r>
        <w:rPr>
          <w:rFonts w:hint="eastAsia" w:ascii="宋体" w:hAnsi="宋体" w:eastAsia="宋体" w:cs="Times New Roman"/>
          <w:b/>
          <w:bCs w:val="0"/>
          <w:color w:val="auto"/>
          <w:kern w:val="10"/>
          <w:sz w:val="28"/>
          <w:szCs w:val="21"/>
          <w:highlight w:val="none"/>
          <w:lang w:val="en-US" w:eastAsia="zh-CN" w:bidi="ar-SA"/>
        </w:rPr>
        <w:t>.2</w:t>
      </w:r>
      <w:bookmarkStart w:id="54" w:name="_Toc320698726"/>
      <w:r>
        <w:rPr>
          <w:rFonts w:hint="eastAsia" w:ascii="宋体" w:hAnsi="宋体" w:eastAsia="宋体" w:cs="Times New Roman"/>
          <w:b/>
          <w:bCs w:val="0"/>
          <w:color w:val="auto"/>
          <w:kern w:val="10"/>
          <w:sz w:val="28"/>
          <w:szCs w:val="21"/>
          <w:highlight w:val="none"/>
          <w:lang w:val="en-US" w:eastAsia="zh-CN" w:bidi="ar-SA"/>
        </w:rPr>
        <w:t>技术、服务性响应文件</w:t>
      </w:r>
      <w:bookmarkEnd w:id="54"/>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报价表；</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分项报价表；</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中小企业声明函（如未提供中小企业声明函，则不享受磋商文件规定的价格扣除，但不影响供应商响应文件的有效性）；</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残疾人福利性单位声明函（如未提供残疾人福利性单位声明函，则不享受磋商文件规定的价格扣除，但不影响供应商响应文件的有效性）；</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所投产品技术性能、技术参数和配置的详细描述；</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val="en-US" w:eastAsia="zh-CN"/>
        </w:rPr>
        <w:t>项目实施方案</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val="en-US" w:eastAsia="zh-CN"/>
        </w:rPr>
        <w:t>售后服务方案</w:t>
      </w:r>
    </w:p>
    <w:p>
      <w:pPr>
        <w:pStyle w:val="113"/>
        <w:numPr>
          <w:ilvl w:val="0"/>
          <w:numId w:val="3"/>
        </w:numPr>
        <w:ind w:left="0" w:leftChars="0" w:firstLine="560" w:firstLineChars="200"/>
        <w:rPr>
          <w:rFonts w:hint="eastAsia"/>
          <w:color w:val="auto"/>
          <w:sz w:val="28"/>
          <w:szCs w:val="24"/>
          <w:highlight w:val="none"/>
          <w:lang w:eastAsia="zh-CN"/>
        </w:rPr>
      </w:pPr>
      <w:r>
        <w:rPr>
          <w:rFonts w:hint="eastAsia"/>
          <w:color w:val="auto"/>
          <w:sz w:val="28"/>
          <w:szCs w:val="24"/>
          <w:highlight w:val="none"/>
          <w:lang w:eastAsia="zh-CN"/>
        </w:rPr>
        <w:t>承诺函。</w:t>
      </w:r>
    </w:p>
    <w:p>
      <w:pPr>
        <w:pStyle w:val="113"/>
        <w:ind w:firstLine="482"/>
        <w:rPr>
          <w:rFonts w:hint="eastAsia"/>
          <w:b/>
          <w:color w:val="auto"/>
          <w:sz w:val="28"/>
          <w:szCs w:val="24"/>
          <w:highlight w:val="none"/>
          <w:lang w:eastAsia="zh-CN"/>
        </w:rPr>
      </w:pPr>
      <w:r>
        <w:rPr>
          <w:rFonts w:hint="eastAsia"/>
          <w:b/>
          <w:color w:val="auto"/>
          <w:sz w:val="28"/>
          <w:szCs w:val="24"/>
          <w:highlight w:val="none"/>
        </w:rPr>
        <w:t>2.4.</w:t>
      </w:r>
      <w:r>
        <w:rPr>
          <w:rFonts w:hint="eastAsia"/>
          <w:b/>
          <w:color w:val="auto"/>
          <w:sz w:val="28"/>
          <w:szCs w:val="24"/>
          <w:highlight w:val="none"/>
          <w:lang w:val="en-US" w:eastAsia="zh-CN"/>
        </w:rPr>
        <w:t>5</w:t>
      </w:r>
      <w:r>
        <w:rPr>
          <w:rFonts w:hint="eastAsia"/>
          <w:b/>
          <w:color w:val="auto"/>
          <w:sz w:val="28"/>
          <w:szCs w:val="24"/>
          <w:highlight w:val="none"/>
        </w:rPr>
        <w:t>.3</w:t>
      </w:r>
      <w:r>
        <w:rPr>
          <w:rFonts w:hint="eastAsia"/>
          <w:b/>
          <w:color w:val="auto"/>
          <w:sz w:val="28"/>
          <w:szCs w:val="24"/>
          <w:highlight w:val="none"/>
          <w:lang w:eastAsia="zh-CN"/>
        </w:rPr>
        <w:t>最后报价文件</w:t>
      </w:r>
    </w:p>
    <w:p>
      <w:pPr>
        <w:pStyle w:val="124"/>
        <w:ind w:firstLine="551"/>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参加最后报价的供应商按磋商小组的要求在政府采购云平台中提供最后报价，报价应是包括磋商文件规定的全部相应内容的报价。</w:t>
      </w:r>
    </w:p>
    <w:p>
      <w:pPr>
        <w:pStyle w:val="5"/>
        <w:numPr>
          <w:ilvl w:val="0"/>
          <w:numId w:val="0"/>
        </w:numPr>
        <w:rPr>
          <w:color w:val="auto"/>
          <w:sz w:val="28"/>
          <w:szCs w:val="32"/>
          <w:highlight w:val="none"/>
        </w:rPr>
      </w:pPr>
      <w:bookmarkStart w:id="55" w:name="_Toc15649"/>
      <w:bookmarkStart w:id="56" w:name="_Toc5852"/>
      <w:r>
        <w:rPr>
          <w:rFonts w:hint="eastAsia"/>
          <w:color w:val="auto"/>
          <w:sz w:val="28"/>
          <w:szCs w:val="32"/>
          <w:highlight w:val="none"/>
        </w:rPr>
        <w:t>2.4.</w:t>
      </w:r>
      <w:r>
        <w:rPr>
          <w:rFonts w:hint="eastAsia"/>
          <w:color w:val="auto"/>
          <w:sz w:val="28"/>
          <w:szCs w:val="32"/>
          <w:highlight w:val="none"/>
          <w:lang w:val="en-US" w:eastAsia="zh-CN"/>
        </w:rPr>
        <w:t>6</w:t>
      </w:r>
      <w:r>
        <w:rPr>
          <w:rFonts w:hint="eastAsia"/>
          <w:color w:val="auto"/>
          <w:sz w:val="28"/>
          <w:szCs w:val="32"/>
          <w:highlight w:val="none"/>
        </w:rPr>
        <w:t>响应文件格式</w:t>
      </w:r>
      <w:bookmarkEnd w:id="55"/>
      <w:bookmarkEnd w:id="56"/>
    </w:p>
    <w:p>
      <w:pPr>
        <w:pStyle w:val="113"/>
        <w:ind w:firstLine="480"/>
        <w:rPr>
          <w:color w:val="auto"/>
          <w:sz w:val="28"/>
          <w:szCs w:val="24"/>
          <w:highlight w:val="none"/>
        </w:rPr>
      </w:pPr>
      <w:r>
        <w:rPr>
          <w:rFonts w:hint="eastAsia"/>
          <w:color w:val="auto"/>
          <w:sz w:val="28"/>
          <w:szCs w:val="24"/>
          <w:highlight w:val="none"/>
        </w:rPr>
        <w:t>一、供应商应按照竞争性磋商文件第3章中提供的“响应文件格式”填写相关内容。</w:t>
      </w:r>
    </w:p>
    <w:p>
      <w:pPr>
        <w:pStyle w:val="113"/>
        <w:ind w:firstLine="480"/>
        <w:rPr>
          <w:color w:val="auto"/>
          <w:sz w:val="28"/>
          <w:szCs w:val="24"/>
          <w:highlight w:val="none"/>
        </w:rPr>
      </w:pPr>
      <w:r>
        <w:rPr>
          <w:rFonts w:hint="eastAsia"/>
          <w:color w:val="auto"/>
          <w:sz w:val="28"/>
          <w:szCs w:val="24"/>
          <w:highlight w:val="none"/>
        </w:rPr>
        <w:t>二、对于没有格式要求的响应文件由供应商自行编写。</w:t>
      </w:r>
    </w:p>
    <w:p>
      <w:pPr>
        <w:pStyle w:val="5"/>
        <w:numPr>
          <w:ilvl w:val="0"/>
          <w:numId w:val="0"/>
        </w:numPr>
        <w:rPr>
          <w:color w:val="auto"/>
          <w:sz w:val="28"/>
          <w:szCs w:val="32"/>
          <w:highlight w:val="none"/>
        </w:rPr>
      </w:pPr>
      <w:bookmarkStart w:id="57" w:name="_Toc16269"/>
      <w:bookmarkStart w:id="58" w:name="_Toc26048"/>
      <w:r>
        <w:rPr>
          <w:rFonts w:hint="eastAsia"/>
          <w:color w:val="auto"/>
          <w:sz w:val="28"/>
          <w:szCs w:val="32"/>
          <w:highlight w:val="none"/>
        </w:rPr>
        <w:t>2.4.</w:t>
      </w:r>
      <w:r>
        <w:rPr>
          <w:rFonts w:hint="eastAsia"/>
          <w:color w:val="auto"/>
          <w:sz w:val="28"/>
          <w:szCs w:val="32"/>
          <w:highlight w:val="none"/>
          <w:lang w:val="en-US" w:eastAsia="zh-CN"/>
        </w:rPr>
        <w:t>7</w:t>
      </w:r>
      <w:r>
        <w:rPr>
          <w:rFonts w:hint="eastAsia"/>
          <w:color w:val="auto"/>
          <w:sz w:val="28"/>
          <w:szCs w:val="32"/>
          <w:highlight w:val="none"/>
        </w:rPr>
        <w:t>报价</w:t>
      </w:r>
      <w:bookmarkEnd w:id="57"/>
      <w:bookmarkEnd w:id="58"/>
    </w:p>
    <w:p>
      <w:pPr>
        <w:spacing w:line="360" w:lineRule="auto"/>
        <w:ind w:firstLine="560" w:firstLineChars="200"/>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一、供应商所有报价一律以人民币报价。</w:t>
      </w:r>
    </w:p>
    <w:p>
      <w:pPr>
        <w:tabs>
          <w:tab w:val="left" w:pos="1134"/>
        </w:tabs>
        <w:spacing w:after="200" w:line="360" w:lineRule="auto"/>
        <w:ind w:firstLine="560" w:firstLineChars="200"/>
        <w:rPr>
          <w:rFonts w:hint="eastAsia" w:ascii="宋体" w:hAnsi="宋体" w:eastAsia="宋体" w:cs="Times New Roman"/>
          <w:color w:val="auto"/>
          <w:kern w:val="10"/>
          <w:sz w:val="28"/>
          <w:szCs w:val="21"/>
          <w:highlight w:val="none"/>
          <w:lang w:val="en-US" w:eastAsia="zh-CN" w:bidi="ar-SA"/>
        </w:rPr>
      </w:pPr>
      <w:r>
        <w:rPr>
          <w:rFonts w:hint="eastAsia" w:ascii="宋体" w:hAnsi="宋体" w:eastAsia="宋体" w:cs="Times New Roman"/>
          <w:color w:val="auto"/>
          <w:kern w:val="10"/>
          <w:sz w:val="28"/>
          <w:szCs w:val="21"/>
          <w:highlight w:val="none"/>
          <w:lang w:val="en-US" w:eastAsia="zh-CN" w:bidi="ar-SA"/>
        </w:rPr>
        <w:t>二、供应商的报价是其响应本项目要求的全部工作内容的价格体现，包括供应商完成本项目所需的一切费用。</w:t>
      </w:r>
    </w:p>
    <w:p>
      <w:pPr>
        <w:pStyle w:val="5"/>
        <w:numPr>
          <w:ilvl w:val="0"/>
          <w:numId w:val="0"/>
        </w:numPr>
        <w:rPr>
          <w:color w:val="auto"/>
          <w:sz w:val="28"/>
          <w:szCs w:val="32"/>
          <w:highlight w:val="none"/>
        </w:rPr>
      </w:pPr>
      <w:bookmarkStart w:id="59" w:name="_Toc26512"/>
      <w:bookmarkStart w:id="60" w:name="_Toc21981"/>
      <w:r>
        <w:rPr>
          <w:rFonts w:hint="eastAsia"/>
          <w:color w:val="auto"/>
          <w:sz w:val="28"/>
          <w:szCs w:val="32"/>
          <w:highlight w:val="none"/>
        </w:rPr>
        <w:t>2.4.</w:t>
      </w:r>
      <w:r>
        <w:rPr>
          <w:rFonts w:hint="eastAsia"/>
          <w:color w:val="auto"/>
          <w:sz w:val="28"/>
          <w:szCs w:val="32"/>
          <w:highlight w:val="none"/>
          <w:lang w:val="en-US" w:eastAsia="zh-CN"/>
        </w:rPr>
        <w:t>8</w:t>
      </w:r>
      <w:r>
        <w:rPr>
          <w:rFonts w:hint="eastAsia"/>
          <w:color w:val="auto"/>
          <w:sz w:val="28"/>
          <w:szCs w:val="32"/>
          <w:highlight w:val="none"/>
        </w:rPr>
        <w:t>磋商保证金</w:t>
      </w:r>
      <w:bookmarkEnd w:id="59"/>
      <w:bookmarkEnd w:id="60"/>
    </w:p>
    <w:p>
      <w:pPr>
        <w:pStyle w:val="161"/>
        <w:spacing w:line="360" w:lineRule="auto"/>
        <w:ind w:left="567" w:firstLine="0" w:firstLineChars="0"/>
        <w:rPr>
          <w:rFonts w:hint="eastAsia" w:ascii="宋体" w:hAnsi="宋体" w:eastAsiaTheme="minorEastAsia" w:cstheme="minorBidi"/>
          <w:color w:val="auto"/>
          <w:kern w:val="10"/>
          <w:sz w:val="28"/>
          <w:szCs w:val="24"/>
          <w:highlight w:val="none"/>
          <w:lang w:val="en-US" w:eastAsia="zh-CN" w:bidi="ar-SA"/>
        </w:rPr>
      </w:pPr>
      <w:bookmarkStart w:id="61" w:name="EBdd5395b44bb947409ec49cd6045fcce9"/>
      <w:r>
        <w:rPr>
          <w:rFonts w:hint="eastAsia" w:ascii="宋体" w:hAnsi="宋体" w:eastAsiaTheme="minorEastAsia" w:cstheme="minorBidi"/>
          <w:color w:val="auto"/>
          <w:kern w:val="10"/>
          <w:sz w:val="28"/>
          <w:szCs w:val="24"/>
          <w:highlight w:val="none"/>
          <w:lang w:val="en-US" w:eastAsia="zh-CN" w:bidi="ar-SA"/>
        </w:rPr>
        <w:t>本项目不收取磋商保证金</w:t>
      </w:r>
      <w:bookmarkEnd w:id="61"/>
      <w:r>
        <w:rPr>
          <w:rFonts w:hint="eastAsia" w:ascii="宋体" w:hAnsi="宋体" w:eastAsiaTheme="minorEastAsia" w:cstheme="minorBidi"/>
          <w:color w:val="auto"/>
          <w:kern w:val="10"/>
          <w:sz w:val="28"/>
          <w:szCs w:val="24"/>
          <w:highlight w:val="none"/>
          <w:lang w:val="en-US" w:eastAsia="zh-CN" w:bidi="ar-SA"/>
        </w:rPr>
        <w:t>。</w:t>
      </w:r>
    </w:p>
    <w:p>
      <w:pPr>
        <w:pStyle w:val="5"/>
        <w:numPr>
          <w:ilvl w:val="0"/>
          <w:numId w:val="0"/>
        </w:numPr>
        <w:rPr>
          <w:rFonts w:hint="eastAsia"/>
          <w:color w:val="auto"/>
          <w:sz w:val="28"/>
          <w:szCs w:val="32"/>
          <w:highlight w:val="none"/>
        </w:rPr>
      </w:pPr>
      <w:bookmarkStart w:id="62" w:name="_Toc32024"/>
      <w:bookmarkStart w:id="63" w:name="_Toc7134"/>
      <w:r>
        <w:rPr>
          <w:rFonts w:hint="eastAsia"/>
          <w:color w:val="auto"/>
          <w:sz w:val="28"/>
          <w:szCs w:val="32"/>
          <w:highlight w:val="none"/>
        </w:rPr>
        <w:t>2.4.</w:t>
      </w:r>
      <w:r>
        <w:rPr>
          <w:rFonts w:hint="eastAsia"/>
          <w:color w:val="auto"/>
          <w:sz w:val="28"/>
          <w:szCs w:val="32"/>
          <w:highlight w:val="none"/>
          <w:lang w:val="en-US" w:eastAsia="zh-CN"/>
        </w:rPr>
        <w:t>9</w:t>
      </w:r>
      <w:r>
        <w:rPr>
          <w:rFonts w:hint="eastAsia"/>
          <w:color w:val="auto"/>
          <w:sz w:val="28"/>
          <w:szCs w:val="32"/>
          <w:highlight w:val="none"/>
        </w:rPr>
        <w:t>响应文件有效期</w:t>
      </w:r>
      <w:bookmarkEnd w:id="62"/>
      <w:bookmarkEnd w:id="63"/>
    </w:p>
    <w:p>
      <w:pPr>
        <w:pStyle w:val="113"/>
        <w:ind w:firstLine="480"/>
        <w:rPr>
          <w:rFonts w:hint="eastAsia"/>
          <w:color w:val="auto"/>
          <w:sz w:val="28"/>
          <w:szCs w:val="24"/>
          <w:highlight w:val="none"/>
        </w:rPr>
      </w:pPr>
      <w:r>
        <w:rPr>
          <w:rFonts w:hint="eastAsia"/>
          <w:color w:val="auto"/>
          <w:sz w:val="28"/>
          <w:szCs w:val="24"/>
          <w:highlight w:val="none"/>
        </w:rPr>
        <w:t>一、响应文件有效期为递交响应文件截止之日起120天。响应文件有效期短于此规定期限或不作响应的，其响应文件将按无效响应文件处理。</w:t>
      </w:r>
    </w:p>
    <w:p>
      <w:pPr>
        <w:pStyle w:val="113"/>
        <w:ind w:firstLine="480"/>
        <w:rPr>
          <w:rFonts w:hint="eastAsia"/>
          <w:color w:val="auto"/>
          <w:sz w:val="28"/>
          <w:szCs w:val="24"/>
          <w:highlight w:val="none"/>
        </w:rPr>
      </w:pPr>
      <w:r>
        <w:rPr>
          <w:rFonts w:hint="eastAsia"/>
          <w:color w:val="auto"/>
          <w:sz w:val="28"/>
          <w:szCs w:val="24"/>
          <w:highlight w:val="none"/>
        </w:rPr>
        <w:t>二、特殊情况下，采购人可于响应文件有效期满之前要求供应商同意延长有效期，要求与答复均应为书面形式。供应商可以拒绝上述要求。供应商同意延长响应文件有效期的，不得修改其响应文件。</w:t>
      </w:r>
    </w:p>
    <w:p>
      <w:pPr>
        <w:pStyle w:val="5"/>
        <w:numPr>
          <w:ilvl w:val="0"/>
          <w:numId w:val="0"/>
        </w:numPr>
        <w:rPr>
          <w:rFonts w:hint="eastAsia" w:eastAsia="宋体"/>
          <w:color w:val="auto"/>
          <w:sz w:val="28"/>
          <w:szCs w:val="32"/>
          <w:highlight w:val="none"/>
          <w:lang w:eastAsia="zh-CN"/>
        </w:rPr>
      </w:pPr>
      <w:bookmarkStart w:id="64" w:name="_Toc14055"/>
      <w:bookmarkStart w:id="65" w:name="_Toc2915"/>
      <w:r>
        <w:rPr>
          <w:rFonts w:hint="eastAsia"/>
          <w:color w:val="auto"/>
          <w:sz w:val="28"/>
          <w:szCs w:val="32"/>
          <w:highlight w:val="none"/>
        </w:rPr>
        <w:t>2.4.</w:t>
      </w:r>
      <w:r>
        <w:rPr>
          <w:rFonts w:hint="eastAsia"/>
          <w:color w:val="auto"/>
          <w:sz w:val="28"/>
          <w:szCs w:val="32"/>
          <w:highlight w:val="none"/>
          <w:lang w:val="en-US" w:eastAsia="zh-CN"/>
        </w:rPr>
        <w:t>10</w:t>
      </w:r>
      <w:r>
        <w:rPr>
          <w:rFonts w:hint="eastAsia"/>
          <w:color w:val="auto"/>
          <w:sz w:val="28"/>
          <w:szCs w:val="32"/>
          <w:highlight w:val="none"/>
        </w:rPr>
        <w:t>响应文件的</w:t>
      </w:r>
      <w:r>
        <w:rPr>
          <w:rFonts w:hint="eastAsia"/>
          <w:color w:val="auto"/>
          <w:sz w:val="28"/>
          <w:szCs w:val="32"/>
          <w:highlight w:val="none"/>
          <w:lang w:eastAsia="zh-CN"/>
        </w:rPr>
        <w:t>制作、签章和加密</w:t>
      </w:r>
      <w:bookmarkEnd w:id="64"/>
      <w:bookmarkEnd w:id="65"/>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一、响应文件应根据磋商文件的要求进行制作。（说明：1、响应文件中要求提供复印件证明材料的，包含提供原件的影印件或复印件。2、要求提供复印件的证明材料须清晰可辨。）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二、响应文件制作详情：</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hint="eastAsia" w:ascii="宋体" w:hAnsi="宋体"/>
          <w:b/>
          <w:color w:val="auto"/>
          <w:sz w:val="28"/>
          <w:szCs w:val="28"/>
          <w:highlight w:val="none"/>
        </w:rPr>
        <w:t>响应文件应加盖有供应商（法定名称）的电子签章，不得使用供应商专用章（如经济合同章、投标专用章等）或下属单位印章代替</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3、磋商文件有修改的，供应商须重新下载修改后的磋商文件（修改后的磋商文件在更正公告中下载），并根据修改后的磋商文件制作、撤回修改，并递交响应文件。</w:t>
      </w: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4、使用“政府采购云平台”（含政采云电子交易客户端）需要提前申领CA数字证书及电子签章，请自行前往四川CA、CFCA、天威CA服务点办理</w:t>
      </w:r>
      <w:r>
        <w:rPr>
          <w:rFonts w:hint="eastAsia" w:ascii="宋体" w:hAnsi="宋体"/>
          <w:color w:val="auto"/>
          <w:sz w:val="28"/>
          <w:szCs w:val="28"/>
          <w:highlight w:val="none"/>
        </w:rPr>
        <w:t>，</w:t>
      </w:r>
      <w:r>
        <w:rPr>
          <w:rFonts w:ascii="宋体" w:hAnsi="宋体"/>
          <w:color w:val="auto"/>
          <w:sz w:val="28"/>
          <w:szCs w:val="28"/>
          <w:highlight w:val="none"/>
        </w:rPr>
        <w:t>以上CA数字证书均</w:t>
      </w:r>
      <w:r>
        <w:rPr>
          <w:rFonts w:hint="eastAsia" w:ascii="宋体" w:hAnsi="宋体"/>
          <w:color w:val="auto"/>
          <w:sz w:val="28"/>
          <w:szCs w:val="28"/>
          <w:highlight w:val="none"/>
        </w:rPr>
        <w:t>可</w:t>
      </w:r>
      <w:r>
        <w:rPr>
          <w:rFonts w:ascii="宋体" w:hAnsi="宋体"/>
          <w:color w:val="auto"/>
          <w:sz w:val="28"/>
          <w:szCs w:val="28"/>
          <w:highlight w:val="none"/>
        </w:rPr>
        <w:t>在成都市公共资源交易服务中心3楼窗口办理</w:t>
      </w:r>
      <w:r>
        <w:rPr>
          <w:rFonts w:hint="eastAsia" w:ascii="宋体" w:hAnsi="宋体"/>
          <w:color w:val="auto"/>
          <w:sz w:val="28"/>
          <w:szCs w:val="28"/>
          <w:highlight w:val="none"/>
        </w:rPr>
        <w:t>，</w:t>
      </w:r>
      <w:r>
        <w:rPr>
          <w:rFonts w:ascii="宋体" w:hAnsi="宋体"/>
          <w:color w:val="auto"/>
          <w:sz w:val="28"/>
          <w:szCs w:val="28"/>
          <w:highlight w:val="none"/>
        </w:rPr>
        <w:t>其他办理服务点</w:t>
      </w:r>
      <w:r>
        <w:rPr>
          <w:rFonts w:hint="eastAsia" w:ascii="宋体" w:hAnsi="宋体"/>
          <w:color w:val="auto"/>
          <w:sz w:val="28"/>
          <w:szCs w:val="28"/>
          <w:highlight w:val="none"/>
        </w:rPr>
        <w:t>及</w:t>
      </w:r>
      <w:r>
        <w:rPr>
          <w:rFonts w:ascii="宋体" w:hAnsi="宋体"/>
          <w:color w:val="auto"/>
          <w:sz w:val="28"/>
          <w:szCs w:val="28"/>
          <w:highlight w:val="none"/>
        </w:rPr>
        <w:t>办理方式可拨打官方</w:t>
      </w:r>
      <w:r>
        <w:rPr>
          <w:rFonts w:hint="eastAsia" w:ascii="宋体" w:hAnsi="宋体"/>
          <w:color w:val="auto"/>
          <w:sz w:val="28"/>
          <w:szCs w:val="28"/>
          <w:highlight w:val="none"/>
        </w:rPr>
        <w:t>服务</w:t>
      </w:r>
      <w:r>
        <w:rPr>
          <w:rFonts w:ascii="宋体" w:hAnsi="宋体"/>
          <w:color w:val="auto"/>
          <w:sz w:val="28"/>
          <w:szCs w:val="28"/>
          <w:highlight w:val="none"/>
        </w:rPr>
        <w:t>电话</w:t>
      </w:r>
      <w:r>
        <w:rPr>
          <w:rFonts w:hint="eastAsia" w:ascii="宋体" w:hAnsi="宋体"/>
          <w:color w:val="auto"/>
          <w:sz w:val="28"/>
          <w:szCs w:val="28"/>
          <w:highlight w:val="none"/>
        </w:rPr>
        <w:t>咨询</w:t>
      </w:r>
      <w:r>
        <w:rPr>
          <w:rFonts w:ascii="宋体" w:hAnsi="宋体"/>
          <w:color w:val="auto"/>
          <w:sz w:val="28"/>
          <w:szCs w:val="28"/>
          <w:highlight w:val="none"/>
        </w:rPr>
        <w:t>400-028-1130(四川CA)</w:t>
      </w:r>
      <w:r>
        <w:rPr>
          <w:rFonts w:hint="eastAsia" w:ascii="宋体" w:hAnsi="宋体"/>
          <w:color w:val="auto"/>
          <w:sz w:val="28"/>
          <w:szCs w:val="28"/>
          <w:highlight w:val="none"/>
        </w:rPr>
        <w:t>；</w:t>
      </w:r>
      <w:r>
        <w:rPr>
          <w:rFonts w:ascii="宋体" w:hAnsi="宋体"/>
          <w:color w:val="auto"/>
          <w:sz w:val="28"/>
          <w:szCs w:val="28"/>
          <w:highlight w:val="none"/>
        </w:rPr>
        <w:t>(028)6578532</w:t>
      </w:r>
      <w:r>
        <w:rPr>
          <w:rFonts w:hint="eastAsia" w:ascii="宋体" w:hAnsi="宋体"/>
          <w:color w:val="auto"/>
          <w:sz w:val="28"/>
          <w:szCs w:val="28"/>
          <w:highlight w:val="none"/>
        </w:rPr>
        <w:t>、</w:t>
      </w:r>
      <w:r>
        <w:rPr>
          <w:rFonts w:ascii="宋体" w:hAnsi="宋体"/>
          <w:color w:val="auto"/>
          <w:sz w:val="28"/>
          <w:szCs w:val="28"/>
          <w:highlight w:val="none"/>
        </w:rPr>
        <w:t>400-8809888(CFCA)；400-819-9995</w:t>
      </w:r>
      <w:r>
        <w:rPr>
          <w:rFonts w:hint="eastAsia" w:ascii="宋体" w:hAnsi="宋体"/>
          <w:color w:val="auto"/>
          <w:sz w:val="28"/>
          <w:szCs w:val="28"/>
          <w:highlight w:val="none"/>
        </w:rPr>
        <w:t>、</w:t>
      </w:r>
      <w:r>
        <w:rPr>
          <w:rFonts w:ascii="宋体" w:hAnsi="宋体"/>
          <w:color w:val="auto"/>
          <w:sz w:val="28"/>
          <w:szCs w:val="28"/>
          <w:highlight w:val="none"/>
        </w:rPr>
        <w:t>15928647082(天威CA)</w:t>
      </w:r>
      <w:r>
        <w:rPr>
          <w:rFonts w:hint="eastAsia" w:ascii="宋体" w:hAnsi="宋体"/>
          <w:color w:val="auto"/>
          <w:sz w:val="28"/>
          <w:szCs w:val="28"/>
          <w:highlight w:val="none"/>
        </w:rPr>
        <w:t>。供应商只需办理其中一家</w:t>
      </w:r>
      <w:r>
        <w:rPr>
          <w:rFonts w:ascii="宋体" w:hAnsi="宋体"/>
          <w:color w:val="auto"/>
          <w:sz w:val="28"/>
          <w:szCs w:val="28"/>
          <w:highlight w:val="none"/>
        </w:rPr>
        <w:t>CA数字证书及签章（提示：办理时请说明参与成都市政府采购项目）。供应商应及时完成在“政府采购云平台”的CA账号绑定，确保顺利参与电子采购。</w:t>
      </w:r>
    </w:p>
    <w:p>
      <w:pPr>
        <w:pStyle w:val="5"/>
        <w:numPr>
          <w:ilvl w:val="0"/>
          <w:numId w:val="0"/>
        </w:numPr>
        <w:rPr>
          <w:rFonts w:hint="eastAsia" w:eastAsia="宋体"/>
          <w:color w:val="auto"/>
          <w:sz w:val="28"/>
          <w:szCs w:val="32"/>
          <w:highlight w:val="none"/>
          <w:lang w:eastAsia="zh-CN"/>
        </w:rPr>
      </w:pPr>
      <w:bookmarkStart w:id="66" w:name="_Toc30825"/>
      <w:bookmarkStart w:id="67" w:name="_Toc9015"/>
      <w:r>
        <w:rPr>
          <w:rFonts w:hint="eastAsia"/>
          <w:color w:val="auto"/>
          <w:sz w:val="28"/>
          <w:szCs w:val="32"/>
          <w:highlight w:val="none"/>
        </w:rPr>
        <w:t>2.4.</w:t>
      </w:r>
      <w:r>
        <w:rPr>
          <w:rFonts w:hint="eastAsia"/>
          <w:color w:val="auto"/>
          <w:sz w:val="28"/>
          <w:szCs w:val="32"/>
          <w:highlight w:val="none"/>
          <w:lang w:val="en-US" w:eastAsia="zh-CN"/>
        </w:rPr>
        <w:t>11</w:t>
      </w:r>
      <w:r>
        <w:rPr>
          <w:rFonts w:hint="eastAsia"/>
          <w:color w:val="auto"/>
          <w:sz w:val="28"/>
          <w:szCs w:val="32"/>
          <w:highlight w:val="none"/>
        </w:rPr>
        <w:t>响应文件的</w:t>
      </w:r>
      <w:r>
        <w:rPr>
          <w:rFonts w:hint="eastAsia"/>
          <w:color w:val="auto"/>
          <w:sz w:val="28"/>
          <w:szCs w:val="28"/>
          <w:highlight w:val="none"/>
          <w:lang w:eastAsia="zh-CN"/>
        </w:rPr>
        <w:t>递交</w:t>
      </w:r>
      <w:bookmarkEnd w:id="66"/>
      <w:bookmarkEnd w:id="67"/>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一、</w:t>
      </w:r>
      <w:r>
        <w:rPr>
          <w:rFonts w:hint="eastAsia" w:ascii="宋体" w:hAnsi="宋体"/>
          <w:color w:val="auto"/>
          <w:sz w:val="28"/>
          <w:szCs w:val="28"/>
          <w:highlight w:val="none"/>
        </w:rPr>
        <w:t>供应商应当在响应文件递交截止时间前，将生成的已加密的响应文件成功递交至“政府采购云平台”。</w:t>
      </w:r>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二、</w:t>
      </w:r>
      <w:r>
        <w:rPr>
          <w:rFonts w:hint="eastAsia" w:ascii="宋体" w:hAnsi="宋体"/>
          <w:color w:val="auto"/>
          <w:sz w:val="28"/>
          <w:szCs w:val="28"/>
          <w:highlight w:val="none"/>
        </w:rPr>
        <w:t>因磋商文件的修改推迟响应文件递交截止时间的，供应商按</w:t>
      </w:r>
      <w:r>
        <w:rPr>
          <w:rFonts w:hint="eastAsia"/>
          <w:color w:val="auto"/>
          <w:sz w:val="28"/>
          <w:szCs w:val="28"/>
          <w:highlight w:val="none"/>
          <w:lang w:eastAsia="zh-CN"/>
        </w:rPr>
        <w:t>区</w:t>
      </w:r>
      <w:r>
        <w:rPr>
          <w:rFonts w:hint="eastAsia" w:ascii="宋体" w:hAnsi="宋体"/>
          <w:color w:val="auto"/>
          <w:sz w:val="28"/>
          <w:szCs w:val="28"/>
          <w:highlight w:val="none"/>
        </w:rPr>
        <w:t>公资交易中心在“四川政府采购网”和“成都市公共资源交易服务中心”网站上发布的澄清公告中修改的时间递交响应文件。</w:t>
      </w:r>
    </w:p>
    <w:p>
      <w:pPr>
        <w:spacing w:line="360" w:lineRule="auto"/>
        <w:ind w:firstLine="560" w:firstLineChars="200"/>
        <w:rPr>
          <w:rFonts w:ascii="宋体" w:hAnsi="宋体"/>
          <w:color w:val="auto"/>
          <w:sz w:val="28"/>
          <w:szCs w:val="28"/>
          <w:highlight w:val="none"/>
        </w:rPr>
      </w:pPr>
      <w:r>
        <w:rPr>
          <w:rFonts w:hint="eastAsia"/>
          <w:color w:val="auto"/>
          <w:sz w:val="28"/>
          <w:szCs w:val="28"/>
          <w:highlight w:val="none"/>
          <w:lang w:eastAsia="zh-CN"/>
        </w:rPr>
        <w:t>三、</w:t>
      </w:r>
      <w:r>
        <w:rPr>
          <w:rFonts w:hint="eastAsia" w:ascii="宋体" w:hAnsi="宋体"/>
          <w:color w:val="auto"/>
          <w:sz w:val="28"/>
          <w:szCs w:val="28"/>
          <w:highlight w:val="none"/>
        </w:rPr>
        <w:t>供应商应充分考虑递交响应文件的不可预见因素，未在递交</w:t>
      </w:r>
      <w:r>
        <w:rPr>
          <w:rFonts w:ascii="宋体" w:hAnsi="宋体"/>
          <w:color w:val="auto"/>
          <w:sz w:val="28"/>
          <w:szCs w:val="28"/>
          <w:highlight w:val="none"/>
        </w:rPr>
        <w:t>响应文件</w:t>
      </w:r>
      <w:r>
        <w:rPr>
          <w:rFonts w:hint="eastAsia" w:ascii="宋体" w:hAnsi="宋体"/>
          <w:color w:val="auto"/>
          <w:sz w:val="28"/>
          <w:szCs w:val="28"/>
          <w:highlight w:val="none"/>
        </w:rPr>
        <w:t>截止时间前完成递交的，在递交</w:t>
      </w:r>
      <w:r>
        <w:rPr>
          <w:rFonts w:ascii="宋体" w:hAnsi="宋体"/>
          <w:color w:val="auto"/>
          <w:sz w:val="28"/>
          <w:szCs w:val="28"/>
          <w:highlight w:val="none"/>
        </w:rPr>
        <w:t>响应文件</w:t>
      </w:r>
      <w:r>
        <w:rPr>
          <w:rFonts w:hint="eastAsia" w:ascii="宋体" w:hAnsi="宋体"/>
          <w:color w:val="auto"/>
          <w:sz w:val="28"/>
          <w:szCs w:val="28"/>
          <w:highlight w:val="none"/>
        </w:rPr>
        <w:t>截止时间后将无法递交。</w:t>
      </w:r>
    </w:p>
    <w:p>
      <w:pPr>
        <w:pStyle w:val="5"/>
        <w:numPr>
          <w:ilvl w:val="0"/>
          <w:numId w:val="0"/>
        </w:numPr>
        <w:rPr>
          <w:rFonts w:hint="eastAsia" w:eastAsia="宋体"/>
          <w:color w:val="auto"/>
          <w:sz w:val="28"/>
          <w:szCs w:val="32"/>
          <w:highlight w:val="none"/>
          <w:lang w:eastAsia="zh-CN"/>
        </w:rPr>
      </w:pPr>
      <w:bookmarkStart w:id="68" w:name="_Toc11976"/>
      <w:bookmarkStart w:id="69" w:name="_Toc17796"/>
      <w:r>
        <w:rPr>
          <w:rFonts w:hint="eastAsia"/>
          <w:color w:val="auto"/>
          <w:sz w:val="28"/>
          <w:szCs w:val="32"/>
          <w:highlight w:val="none"/>
        </w:rPr>
        <w:t>2.4.1</w:t>
      </w:r>
      <w:r>
        <w:rPr>
          <w:rFonts w:hint="eastAsia"/>
          <w:color w:val="auto"/>
          <w:sz w:val="28"/>
          <w:szCs w:val="32"/>
          <w:highlight w:val="none"/>
          <w:lang w:val="en-US" w:eastAsia="zh-CN"/>
        </w:rPr>
        <w:t>2</w:t>
      </w:r>
      <w:r>
        <w:rPr>
          <w:rFonts w:hint="eastAsia"/>
          <w:color w:val="auto"/>
          <w:sz w:val="28"/>
          <w:szCs w:val="32"/>
          <w:highlight w:val="none"/>
        </w:rPr>
        <w:t>响应文件的补充、修改和撤回</w:t>
      </w:r>
      <w:bookmarkEnd w:id="68"/>
      <w:bookmarkEnd w:id="69"/>
    </w:p>
    <w:p>
      <w:pPr>
        <w:numPr>
          <w:ilvl w:val="0"/>
          <w:numId w:val="4"/>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w:t>
      </w:r>
      <w:r>
        <w:rPr>
          <w:rFonts w:ascii="宋体" w:hAnsi="宋体" w:eastAsia="宋体" w:cs="Times New Roman"/>
          <w:color w:val="auto"/>
          <w:sz w:val="28"/>
          <w:szCs w:val="28"/>
          <w:highlight w:val="none"/>
        </w:rPr>
        <w:t>响应文件</w:t>
      </w:r>
      <w:r>
        <w:rPr>
          <w:rFonts w:hint="eastAsia" w:ascii="宋体" w:hAnsi="宋体" w:eastAsia="宋体" w:cs="Times New Roman"/>
          <w:color w:val="auto"/>
          <w:sz w:val="28"/>
          <w:szCs w:val="28"/>
          <w:highlight w:val="none"/>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4"/>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在递交响应文件截止时间之后，供应商不得对其递交的响应文件做任何补充、修改。</w:t>
      </w:r>
    </w:p>
    <w:p>
      <w:pPr>
        <w:numPr>
          <w:ilvl w:val="0"/>
          <w:numId w:val="4"/>
        </w:numPr>
        <w:tabs>
          <w:tab w:val="left" w:pos="1134"/>
        </w:tabs>
        <w:spacing w:line="360" w:lineRule="auto"/>
        <w:ind w:left="0" w:firstLine="567"/>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在递交响应文件截止时间之前，供应商可对已递交的响应文件进行撤回。在递交响应文件截止时间之后，供应商不得撤回响应文件。</w:t>
      </w:r>
    </w:p>
    <w:p>
      <w:pPr>
        <w:pStyle w:val="4"/>
        <w:numPr>
          <w:ilvl w:val="0"/>
          <w:numId w:val="0"/>
        </w:numPr>
        <w:ind w:left="0" w:firstLine="0"/>
        <w:rPr>
          <w:rFonts w:hint="eastAsia"/>
          <w:iCs w:val="0"/>
          <w:color w:val="auto"/>
          <w:kern w:val="2"/>
          <w:sz w:val="28"/>
          <w:szCs w:val="32"/>
          <w:highlight w:val="none"/>
          <w:lang w:val="en-US" w:eastAsia="zh-CN"/>
        </w:rPr>
      </w:pPr>
      <w:bookmarkStart w:id="70" w:name="_Toc2675"/>
      <w:bookmarkStart w:id="71" w:name="_Toc1002"/>
      <w:r>
        <w:rPr>
          <w:rFonts w:hint="eastAsia"/>
          <w:iCs w:val="0"/>
          <w:color w:val="auto"/>
          <w:kern w:val="2"/>
          <w:sz w:val="28"/>
          <w:szCs w:val="32"/>
          <w:highlight w:val="none"/>
          <w:lang w:val="en-US" w:eastAsia="zh-CN"/>
        </w:rPr>
        <w:t>2.4.13响应文件的解密</w:t>
      </w:r>
      <w:bookmarkEnd w:id="70"/>
      <w:bookmarkEnd w:id="71"/>
    </w:p>
    <w:p>
      <w:pPr>
        <w:tabs>
          <w:tab w:val="left" w:pos="1134"/>
        </w:tabs>
        <w:spacing w:before="120" w:line="360" w:lineRule="auto"/>
        <w:ind w:firstLine="565" w:firstLineChars="202"/>
        <w:rPr>
          <w:rFonts w:ascii="宋体" w:hAnsi="宋体"/>
          <w:bCs/>
          <w:color w:val="auto"/>
          <w:sz w:val="28"/>
          <w:szCs w:val="28"/>
          <w:highlight w:val="none"/>
        </w:rPr>
      </w:pPr>
      <w:r>
        <w:rPr>
          <w:rFonts w:hint="eastAsia" w:ascii="宋体" w:hAnsi="宋体"/>
          <w:bCs/>
          <w:color w:val="auto"/>
          <w:sz w:val="28"/>
          <w:szCs w:val="28"/>
          <w:highlight w:val="none"/>
        </w:rPr>
        <w:t>供应商</w:t>
      </w:r>
      <w:r>
        <w:rPr>
          <w:rFonts w:hint="eastAsia" w:ascii="宋体" w:hAnsi="宋体"/>
          <w:color w:val="auto"/>
          <w:sz w:val="28"/>
          <w:szCs w:val="28"/>
          <w:highlight w:val="none"/>
        </w:rPr>
        <w:t>登录政府采购云平台，点击“项目采购—开标评标”模块，找到对应项目，进入“开标大厅”，</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公资交易中心开启解密后，</w:t>
      </w:r>
      <w:r>
        <w:rPr>
          <w:rFonts w:hint="eastAsia" w:ascii="宋体" w:hAnsi="宋体" w:cs="宋体"/>
          <w:color w:val="auto"/>
          <w:sz w:val="28"/>
          <w:szCs w:val="28"/>
          <w:highlight w:val="none"/>
        </w:rPr>
        <w:t>供应商应在60分钟内，使用加密该响应文件的CA数字证书在线完成响应文件的解密。</w:t>
      </w:r>
      <w:r>
        <w:rPr>
          <w:rFonts w:hint="eastAsia" w:ascii="宋体" w:hAnsi="宋体"/>
          <w:bCs/>
          <w:color w:val="auto"/>
          <w:sz w:val="28"/>
          <w:szCs w:val="28"/>
          <w:highlight w:val="none"/>
        </w:rPr>
        <w:t>除因</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w:t>
      </w:r>
      <w:r>
        <w:rPr>
          <w:rFonts w:hint="eastAsia" w:ascii="宋体" w:hAnsi="宋体"/>
          <w:bCs/>
          <w:color w:val="auto"/>
          <w:sz w:val="28"/>
          <w:szCs w:val="28"/>
          <w:highlight w:val="none"/>
        </w:rPr>
        <w:t>断电、断网、系统故障或其他不可抗力等因素，导致系统无法使用外，供应商在规定的解密时间内，未成功解密的响应文件将视为无效响应文件。</w:t>
      </w:r>
    </w:p>
    <w:p>
      <w:pPr>
        <w:pStyle w:val="4"/>
        <w:numPr>
          <w:ilvl w:val="0"/>
          <w:numId w:val="0"/>
        </w:numPr>
        <w:spacing w:before="156" w:after="156"/>
        <w:rPr>
          <w:rFonts w:hint="eastAsia"/>
          <w:color w:val="auto"/>
          <w:sz w:val="28"/>
          <w:szCs w:val="28"/>
          <w:highlight w:val="none"/>
        </w:rPr>
      </w:pPr>
      <w:bookmarkStart w:id="72" w:name="_Toc15505"/>
      <w:bookmarkStart w:id="73" w:name="_Toc8436"/>
      <w:r>
        <w:rPr>
          <w:rFonts w:hint="eastAsia"/>
          <w:color w:val="auto"/>
          <w:sz w:val="28"/>
          <w:szCs w:val="28"/>
          <w:highlight w:val="none"/>
        </w:rPr>
        <w:t>2.5</w:t>
      </w:r>
      <w:bookmarkStart w:id="74" w:name="_Toc183582232"/>
      <w:bookmarkStart w:id="75" w:name="_Toc77688475"/>
      <w:bookmarkStart w:id="76" w:name="_Toc73447467"/>
      <w:bookmarkStart w:id="77" w:name="_Toc217446057"/>
      <w:bookmarkStart w:id="78" w:name="_Toc183682369"/>
      <w:r>
        <w:rPr>
          <w:rFonts w:hint="eastAsia"/>
          <w:color w:val="auto"/>
          <w:sz w:val="28"/>
          <w:szCs w:val="28"/>
          <w:highlight w:val="none"/>
        </w:rPr>
        <w:t>磋商</w:t>
      </w:r>
      <w:r>
        <w:rPr>
          <w:color w:val="auto"/>
          <w:sz w:val="28"/>
          <w:szCs w:val="28"/>
          <w:highlight w:val="none"/>
        </w:rPr>
        <w:t>开启活动</w:t>
      </w:r>
      <w:r>
        <w:rPr>
          <w:rFonts w:hint="eastAsia"/>
          <w:color w:val="auto"/>
          <w:sz w:val="28"/>
          <w:szCs w:val="28"/>
          <w:highlight w:val="none"/>
        </w:rPr>
        <w:t>程序</w:t>
      </w:r>
      <w:bookmarkEnd w:id="72"/>
      <w:bookmarkEnd w:id="73"/>
      <w:bookmarkEnd w:id="74"/>
      <w:bookmarkEnd w:id="75"/>
      <w:bookmarkEnd w:id="76"/>
      <w:bookmarkEnd w:id="77"/>
      <w:bookmarkEnd w:id="78"/>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递交响应文件的供应商不足三家的，不予继续开展磋商采购</w:t>
      </w:r>
      <w:r>
        <w:rPr>
          <w:rFonts w:ascii="宋体" w:hAnsi="宋体" w:eastAsia="宋体" w:cs="宋体"/>
          <w:b/>
          <w:color w:val="auto"/>
          <w:sz w:val="28"/>
          <w:szCs w:val="28"/>
          <w:highlight w:val="none"/>
        </w:rPr>
        <w:t>活动</w:t>
      </w:r>
      <w:r>
        <w:rPr>
          <w:rFonts w:hint="eastAsia" w:ascii="宋体" w:hAnsi="宋体" w:eastAsia="宋体" w:cs="宋体"/>
          <w:b/>
          <w:color w:val="auto"/>
          <w:sz w:val="28"/>
          <w:szCs w:val="28"/>
          <w:highlight w:val="none"/>
        </w:rPr>
        <w:t>。</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准备工作。供应商需在递交响应</w:t>
      </w:r>
      <w:r>
        <w:rPr>
          <w:rFonts w:ascii="宋体" w:hAnsi="宋体" w:eastAsia="宋体" w:cs="宋体"/>
          <w:b/>
          <w:color w:val="auto"/>
          <w:sz w:val="28"/>
          <w:szCs w:val="28"/>
          <w:highlight w:val="none"/>
        </w:rPr>
        <w:t>文件</w:t>
      </w:r>
      <w:r>
        <w:rPr>
          <w:rFonts w:hint="eastAsia" w:ascii="宋体" w:hAnsi="宋体" w:eastAsia="宋体" w:cs="宋体"/>
          <w:b/>
          <w:color w:val="auto"/>
          <w:sz w:val="28"/>
          <w:szCs w:val="28"/>
          <w:highlight w:val="none"/>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解密响应文件。待</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公资交易中心开启解密后，供应商进行线上解密。除因</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公资交易中心断电、断网、系统故障或其他不可抗力等因素，导致系统无法使用外，供应商在规定的解密时间内，未成功解密的响应文件将视为无效响应文件。</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确认。所有供应商</w:t>
      </w:r>
      <w:r>
        <w:rPr>
          <w:rFonts w:ascii="宋体" w:hAnsi="宋体" w:eastAsia="宋体" w:cs="宋体"/>
          <w:b/>
          <w:color w:val="auto"/>
          <w:sz w:val="28"/>
          <w:szCs w:val="28"/>
          <w:highlight w:val="none"/>
        </w:rPr>
        <w:t>响应文件</w:t>
      </w:r>
      <w:r>
        <w:rPr>
          <w:rFonts w:hint="eastAsia" w:ascii="宋体" w:hAnsi="宋体" w:eastAsia="宋体" w:cs="宋体"/>
          <w:b/>
          <w:color w:val="auto"/>
          <w:sz w:val="28"/>
          <w:szCs w:val="28"/>
          <w:highlight w:val="none"/>
        </w:rPr>
        <w:t>均完成解密或者解密时间截止（以发生在先的时间为准），由“政府采购云平台”系统展示供应商名称、响应文件解密情况等内容。</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供应商对过程和记录有异议，以及认为采购人、</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公资交易中心相关工作人员有需要回避的情形的，及时向工作人员提出询问或者回避申请。采购人、</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公资交易中心对供应商提出的询问或者回避申请应当及时处理。</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237"/>
        <w:numPr>
          <w:ilvl w:val="0"/>
          <w:numId w:val="5"/>
        </w:numPr>
        <w:tabs>
          <w:tab w:val="left" w:pos="1134"/>
        </w:tabs>
        <w:spacing w:before="120" w:after="200" w:line="360" w:lineRule="auto"/>
        <w:ind w:left="0" w:right="210" w:firstLine="567" w:firstLineChars="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因</w:t>
      </w:r>
      <w:r>
        <w:rPr>
          <w:rFonts w:hint="eastAsia" w:ascii="宋体" w:hAnsi="宋体" w:eastAsia="宋体" w:cs="宋体"/>
          <w:b/>
          <w:color w:val="auto"/>
          <w:sz w:val="28"/>
          <w:szCs w:val="28"/>
          <w:highlight w:val="none"/>
          <w:lang w:eastAsia="zh-CN"/>
        </w:rPr>
        <w:t>区</w:t>
      </w:r>
      <w:r>
        <w:rPr>
          <w:rFonts w:hint="eastAsia" w:ascii="宋体" w:hAnsi="宋体" w:eastAsia="宋体" w:cs="宋体"/>
          <w:b/>
          <w:color w:val="auto"/>
          <w:sz w:val="28"/>
          <w:szCs w:val="28"/>
          <w:highlight w:val="none"/>
        </w:rPr>
        <w:t>公资交易中心断电、断网、系统故障或其他不可抗力等因素导致不见面开标系统无法正常运行的，磋商活动开启中止或延迟，待系统恢复正常后继续进行。</w:t>
      </w:r>
    </w:p>
    <w:p>
      <w:pPr>
        <w:widowControl w:val="0"/>
        <w:numPr>
          <w:ilvl w:val="0"/>
          <w:numId w:val="5"/>
        </w:numPr>
        <w:tabs>
          <w:tab w:val="left" w:pos="1134"/>
        </w:tabs>
        <w:spacing w:before="120" w:after="200" w:line="360" w:lineRule="auto"/>
        <w:ind w:left="0" w:right="210" w:firstLine="567" w:firstLineChars="0"/>
        <w:jc w:val="both"/>
        <w:rPr>
          <w:rFonts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磋商活动开启过程中，各方主体均应遵守互联网有关规定，不得发表与交易活动无关的言论。</w:t>
      </w:r>
    </w:p>
    <w:p>
      <w:pPr>
        <w:pStyle w:val="23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before="120" w:after="200" w:line="360" w:lineRule="auto"/>
        <w:ind w:right="210" w:rightChars="0"/>
        <w:textAlignment w:val="auto"/>
        <w:outlineLvl w:val="1"/>
        <w:rPr>
          <w:rFonts w:hint="eastAsia"/>
          <w:b/>
          <w:bCs/>
          <w:color w:val="auto"/>
          <w:sz w:val="28"/>
          <w:szCs w:val="28"/>
          <w:highlight w:val="none"/>
          <w:lang w:eastAsia="zh-CN"/>
        </w:rPr>
      </w:pPr>
      <w:bookmarkStart w:id="79" w:name="_Toc22048"/>
      <w:bookmarkStart w:id="80" w:name="_Toc9457"/>
      <w:r>
        <w:rPr>
          <w:rFonts w:hint="eastAsia"/>
          <w:b/>
          <w:bCs/>
          <w:color w:val="auto"/>
          <w:sz w:val="28"/>
          <w:szCs w:val="28"/>
          <w:highlight w:val="none"/>
          <w:lang w:val="en-US" w:eastAsia="zh-CN"/>
        </w:rPr>
        <w:t>2.6</w:t>
      </w:r>
      <w:r>
        <w:rPr>
          <w:rFonts w:hint="eastAsia"/>
          <w:b/>
          <w:bCs/>
          <w:color w:val="auto"/>
          <w:sz w:val="28"/>
          <w:szCs w:val="28"/>
          <w:highlight w:val="none"/>
        </w:rPr>
        <w:t>资格审查</w:t>
      </w:r>
      <w:r>
        <w:rPr>
          <w:rFonts w:hint="eastAsia"/>
          <w:b/>
          <w:bCs/>
          <w:color w:val="auto"/>
          <w:sz w:val="28"/>
          <w:szCs w:val="28"/>
          <w:highlight w:val="none"/>
          <w:lang w:eastAsia="zh-CN"/>
        </w:rPr>
        <w:t>和评审</w:t>
      </w:r>
      <w:bookmarkEnd w:id="79"/>
      <w:bookmarkEnd w:id="80"/>
    </w:p>
    <w:p>
      <w:pPr>
        <w:numPr>
          <w:ilvl w:val="0"/>
          <w:numId w:val="6"/>
        </w:numPr>
        <w:tabs>
          <w:tab w:val="left" w:pos="1134"/>
        </w:tabs>
        <w:spacing w:line="600" w:lineRule="exact"/>
        <w:ind w:left="0" w:firstLine="540"/>
        <w:rPr>
          <w:rFonts w:ascii="宋体" w:hAnsi="宋体"/>
          <w:color w:val="auto"/>
          <w:sz w:val="28"/>
          <w:szCs w:val="28"/>
          <w:highlight w:val="none"/>
        </w:rPr>
      </w:pPr>
      <w:r>
        <w:rPr>
          <w:rFonts w:hint="eastAsia" w:ascii="宋体" w:hAnsi="宋体"/>
          <w:color w:val="auto"/>
          <w:sz w:val="28"/>
          <w:szCs w:val="28"/>
          <w:highlight w:val="none"/>
        </w:rPr>
        <w:t>资格审查详见采购文件第五章。</w:t>
      </w:r>
    </w:p>
    <w:p>
      <w:pPr>
        <w:numPr>
          <w:ilvl w:val="0"/>
          <w:numId w:val="6"/>
        </w:numPr>
        <w:tabs>
          <w:tab w:val="left" w:pos="1134"/>
        </w:tabs>
        <w:spacing w:line="600" w:lineRule="exact"/>
        <w:ind w:left="0" w:firstLine="567"/>
        <w:rPr>
          <w:rFonts w:hint="eastAsia"/>
          <w:b/>
          <w:bCs/>
          <w:color w:val="auto"/>
          <w:sz w:val="28"/>
          <w:szCs w:val="28"/>
          <w:highlight w:val="none"/>
          <w:lang w:eastAsia="zh-CN"/>
        </w:rPr>
      </w:pPr>
      <w:r>
        <w:rPr>
          <w:rFonts w:hint="eastAsia" w:ascii="宋体" w:hAnsi="宋体"/>
          <w:color w:val="auto"/>
          <w:sz w:val="28"/>
          <w:szCs w:val="28"/>
          <w:highlight w:val="none"/>
        </w:rPr>
        <w:t>磋商小组的组建及其评审工作按照有关法律制度和本文件第五章的规定进行。</w:t>
      </w:r>
    </w:p>
    <w:p>
      <w:pPr>
        <w:pStyle w:val="4"/>
        <w:numPr>
          <w:ilvl w:val="0"/>
          <w:numId w:val="0"/>
        </w:numPr>
        <w:spacing w:before="156" w:after="156"/>
        <w:rPr>
          <w:color w:val="auto"/>
          <w:sz w:val="28"/>
          <w:szCs w:val="28"/>
          <w:highlight w:val="none"/>
        </w:rPr>
      </w:pPr>
      <w:bookmarkStart w:id="81" w:name="_Toc13911"/>
      <w:bookmarkStart w:id="82" w:name="_Toc8616"/>
      <w:r>
        <w:rPr>
          <w:rFonts w:hint="eastAsia"/>
          <w:color w:val="auto"/>
          <w:sz w:val="28"/>
          <w:szCs w:val="28"/>
          <w:highlight w:val="none"/>
          <w:lang w:val="en-US" w:eastAsia="zh-CN"/>
        </w:rPr>
        <w:t>2.7</w:t>
      </w:r>
      <w:r>
        <w:rPr>
          <w:color w:val="auto"/>
          <w:sz w:val="28"/>
          <w:szCs w:val="28"/>
          <w:highlight w:val="none"/>
        </w:rPr>
        <w:t>成交通知书</w:t>
      </w:r>
      <w:bookmarkEnd w:id="81"/>
      <w:bookmarkEnd w:id="82"/>
    </w:p>
    <w:p>
      <w:pPr>
        <w:spacing w:line="360" w:lineRule="auto"/>
        <w:ind w:right="210" w:firstLine="560" w:firstLineChars="20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360" w:lineRule="auto"/>
        <w:ind w:firstLine="560" w:firstLineChars="200"/>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二、成交通知书对采购人和成交供应商均具有法律效力。</w:t>
      </w:r>
    </w:p>
    <w:p>
      <w:pPr>
        <w:spacing w:line="360" w:lineRule="auto"/>
        <w:ind w:firstLine="560" w:firstLineChars="200"/>
        <w:rPr>
          <w:rFonts w:ascii="Calibri" w:hAnsi="Calibri" w:eastAsia="宋体" w:cs="Times New Roman"/>
          <w:color w:val="auto"/>
          <w:sz w:val="28"/>
          <w:szCs w:val="28"/>
          <w:highlight w:val="none"/>
        </w:rPr>
      </w:pPr>
      <w:r>
        <w:rPr>
          <w:rFonts w:hint="eastAsia" w:ascii="宋体" w:hAnsi="宋体" w:eastAsia="宋体" w:cs="Times New Roman"/>
          <w:color w:val="auto"/>
          <w:sz w:val="28"/>
          <w:szCs w:val="28"/>
          <w:highlight w:val="none"/>
          <w:lang w:val="zh-CN"/>
        </w:rPr>
        <w:t>三、</w:t>
      </w:r>
      <w:r>
        <w:rPr>
          <w:rFonts w:hint="eastAsia" w:ascii="宋体" w:hAnsi="宋体" w:eastAsia="宋体" w:cs="Times New Roman"/>
          <w:color w:val="auto"/>
          <w:sz w:val="28"/>
          <w:szCs w:val="28"/>
          <w:highlight w:val="none"/>
        </w:rPr>
        <w:t>成交公告在四川政府采购网上公告后，成交供应商自行登录政府采购云平台下载成交通知书。</w:t>
      </w:r>
    </w:p>
    <w:p>
      <w:pPr>
        <w:pStyle w:val="4"/>
        <w:numPr>
          <w:ilvl w:val="0"/>
          <w:numId w:val="0"/>
        </w:numPr>
        <w:spacing w:before="156" w:after="156"/>
        <w:rPr>
          <w:color w:val="auto"/>
          <w:sz w:val="28"/>
          <w:szCs w:val="28"/>
          <w:highlight w:val="none"/>
        </w:rPr>
      </w:pPr>
      <w:bookmarkStart w:id="83" w:name="_Toc16037"/>
      <w:bookmarkStart w:id="84" w:name="_Toc24065"/>
      <w:r>
        <w:rPr>
          <w:rFonts w:hint="eastAsia"/>
          <w:color w:val="auto"/>
          <w:sz w:val="28"/>
          <w:szCs w:val="28"/>
          <w:highlight w:val="none"/>
          <w:lang w:val="en-US" w:eastAsia="zh-CN"/>
        </w:rPr>
        <w:t>2.8</w:t>
      </w:r>
      <w:r>
        <w:rPr>
          <w:rFonts w:hint="eastAsia"/>
          <w:color w:val="auto"/>
          <w:sz w:val="28"/>
          <w:szCs w:val="28"/>
          <w:highlight w:val="none"/>
        </w:rPr>
        <w:t>签订及履行合同和验收</w:t>
      </w:r>
      <w:bookmarkEnd w:id="83"/>
      <w:bookmarkEnd w:id="84"/>
    </w:p>
    <w:p>
      <w:pPr>
        <w:pStyle w:val="5"/>
        <w:numPr>
          <w:ilvl w:val="0"/>
          <w:numId w:val="0"/>
        </w:numPr>
        <w:rPr>
          <w:color w:val="auto"/>
          <w:sz w:val="28"/>
          <w:szCs w:val="32"/>
          <w:highlight w:val="none"/>
        </w:rPr>
      </w:pPr>
      <w:bookmarkStart w:id="85" w:name="_Toc20579"/>
      <w:bookmarkStart w:id="86" w:name="_Toc30625"/>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.1签订合同</w:t>
      </w:r>
      <w:bookmarkEnd w:id="85"/>
      <w:bookmarkEnd w:id="86"/>
    </w:p>
    <w:p>
      <w:pPr>
        <w:widowControl/>
        <w:numPr>
          <w:ilvl w:val="0"/>
          <w:numId w:val="7"/>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s="宋体"/>
          <w:color w:val="auto"/>
          <w:sz w:val="28"/>
          <w:szCs w:val="28"/>
          <w:highlight w:val="none"/>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color w:val="auto"/>
          <w:sz w:val="28"/>
          <w:szCs w:val="28"/>
          <w:highlight w:val="none"/>
        </w:rPr>
        <w:t>。</w:t>
      </w:r>
    </w:p>
    <w:p>
      <w:pPr>
        <w:widowControl/>
        <w:numPr>
          <w:ilvl w:val="0"/>
          <w:numId w:val="7"/>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s="宋体"/>
          <w:color w:val="auto"/>
          <w:sz w:val="28"/>
          <w:szCs w:val="28"/>
          <w:highlight w:val="none"/>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7"/>
        </w:numPr>
        <w:tabs>
          <w:tab w:val="left" w:pos="1134"/>
        </w:tabs>
        <w:snapToGrid w:val="0"/>
        <w:spacing w:after="200" w:line="360" w:lineRule="auto"/>
        <w:ind w:left="0" w:firstLine="567"/>
        <w:jc w:val="left"/>
        <w:rPr>
          <w:rFonts w:ascii="宋体" w:hAnsi="宋体" w:cs="宋体"/>
          <w:i/>
          <w:color w:val="auto"/>
          <w:sz w:val="28"/>
          <w:szCs w:val="28"/>
          <w:highlight w:val="none"/>
        </w:rPr>
      </w:pPr>
      <w:r>
        <w:rPr>
          <w:rFonts w:hint="eastAsia" w:ascii="宋体" w:hAnsi="宋体" w:cs="宋体"/>
          <w:color w:val="auto"/>
          <w:sz w:val="28"/>
          <w:szCs w:val="28"/>
          <w:highlight w:val="none"/>
        </w:rPr>
        <w:t>磋商文件、响应文件、成交通知书等均成为有法律约束力的合同组成内容。</w:t>
      </w:r>
    </w:p>
    <w:p>
      <w:pPr>
        <w:widowControl/>
        <w:numPr>
          <w:ilvl w:val="0"/>
          <w:numId w:val="7"/>
        </w:numPr>
        <w:tabs>
          <w:tab w:val="left" w:pos="1134"/>
        </w:tabs>
        <w:snapToGrid w:val="0"/>
        <w:spacing w:after="200" w:line="360" w:lineRule="auto"/>
        <w:ind w:left="0" w:firstLine="567"/>
        <w:jc w:val="left"/>
        <w:rPr>
          <w:rFonts w:ascii="宋体" w:hAnsi="宋体" w:cs="宋体"/>
          <w:color w:val="auto"/>
          <w:sz w:val="28"/>
          <w:szCs w:val="28"/>
          <w:highlight w:val="none"/>
        </w:rPr>
      </w:pPr>
      <w:r>
        <w:rPr>
          <w:rFonts w:hint="eastAsia" w:ascii="宋体" w:hAnsi="宋体"/>
          <w:color w:val="auto"/>
          <w:sz w:val="28"/>
          <w:szCs w:val="28"/>
          <w:highlight w:val="none"/>
        </w:rPr>
        <w:t>询问或者质疑事项可能影响成交结果的，采购人应当暂停签订合同，已经签订合同的，应当中止履行合同。</w:t>
      </w:r>
    </w:p>
    <w:p>
      <w:pPr>
        <w:pStyle w:val="5"/>
        <w:numPr>
          <w:ilvl w:val="0"/>
          <w:numId w:val="0"/>
        </w:numPr>
        <w:rPr>
          <w:color w:val="auto"/>
          <w:sz w:val="28"/>
          <w:szCs w:val="32"/>
          <w:highlight w:val="none"/>
        </w:rPr>
      </w:pPr>
      <w:bookmarkStart w:id="87" w:name="_Toc27317"/>
      <w:bookmarkStart w:id="88" w:name="_Toc19542"/>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.2合同分包和转包</w:t>
      </w:r>
      <w:bookmarkEnd w:id="87"/>
      <w:bookmarkEnd w:id="88"/>
    </w:p>
    <w:p>
      <w:pPr>
        <w:keepNext/>
        <w:keepLines/>
        <w:numPr>
          <w:ilvl w:val="0"/>
          <w:numId w:val="0"/>
        </w:numPr>
        <w:spacing w:line="360" w:lineRule="auto"/>
        <w:ind w:left="0" w:firstLine="0"/>
        <w:outlineLvl w:val="2"/>
        <w:rPr>
          <w:rFonts w:ascii="宋体" w:hAnsi="宋体"/>
          <w:b/>
          <w:bCs/>
          <w:color w:val="auto"/>
          <w:sz w:val="28"/>
          <w:szCs w:val="28"/>
          <w:highlight w:val="none"/>
        </w:rPr>
      </w:pPr>
      <w:bookmarkStart w:id="89" w:name="_Toc14935"/>
      <w:bookmarkStart w:id="90" w:name="_Toc20492"/>
      <w:bookmarkStart w:id="91" w:name="_Toc12070"/>
      <w:r>
        <w:rPr>
          <w:rFonts w:hint="eastAsia" w:ascii="宋体" w:hAnsi="宋体"/>
          <w:b/>
          <w:bCs/>
          <w:color w:val="auto"/>
          <w:sz w:val="28"/>
          <w:szCs w:val="28"/>
          <w:highlight w:val="none"/>
          <w:lang w:val="en-US" w:eastAsia="zh-CN"/>
        </w:rPr>
        <w:t>2.</w:t>
      </w:r>
      <w:r>
        <w:rPr>
          <w:rFonts w:hint="eastAsia"/>
          <w:b/>
          <w:bCs/>
          <w:color w:val="auto"/>
          <w:sz w:val="28"/>
          <w:szCs w:val="28"/>
          <w:highlight w:val="none"/>
          <w:lang w:val="en-US" w:eastAsia="zh-CN"/>
        </w:rPr>
        <w:t>8</w:t>
      </w:r>
      <w:r>
        <w:rPr>
          <w:rFonts w:hint="eastAsia" w:ascii="宋体" w:hAnsi="宋体"/>
          <w:b/>
          <w:bCs/>
          <w:color w:val="auto"/>
          <w:sz w:val="28"/>
          <w:szCs w:val="28"/>
          <w:highlight w:val="none"/>
          <w:lang w:val="en-US" w:eastAsia="zh-CN"/>
        </w:rPr>
        <w:t>.2.1</w:t>
      </w:r>
      <w:r>
        <w:rPr>
          <w:rFonts w:hint="eastAsia" w:ascii="宋体" w:hAnsi="宋体"/>
          <w:b/>
          <w:bCs/>
          <w:color w:val="auto"/>
          <w:sz w:val="28"/>
          <w:szCs w:val="28"/>
          <w:highlight w:val="none"/>
        </w:rPr>
        <w:t>合同分包</w:t>
      </w:r>
      <w:bookmarkEnd w:id="89"/>
      <w:bookmarkEnd w:id="90"/>
      <w:bookmarkEnd w:id="91"/>
    </w:p>
    <w:p>
      <w:pPr>
        <w:pStyle w:val="261"/>
        <w:spacing w:line="360" w:lineRule="auto"/>
        <w:ind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 xml:space="preserve">本项目不允许分包 </w:t>
      </w:r>
    </w:p>
    <w:p>
      <w:pPr>
        <w:pStyle w:val="261"/>
        <w:ind w:firstLine="0" w:firstLineChars="0"/>
        <w:rPr>
          <w:rFonts w:ascii="宋体" w:hAnsi="宋体"/>
          <w:b/>
          <w:bCs/>
          <w:color w:val="auto"/>
          <w:sz w:val="28"/>
          <w:szCs w:val="28"/>
          <w:highlight w:val="none"/>
        </w:rPr>
      </w:pPr>
      <w:r>
        <w:rPr>
          <w:rFonts w:hint="eastAsia" w:cs="Times New Roman"/>
          <w:b/>
          <w:bCs/>
          <w:color w:val="auto"/>
          <w:sz w:val="28"/>
          <w:szCs w:val="28"/>
          <w:highlight w:val="none"/>
          <w:lang w:val="en-US" w:eastAsia="zh-CN"/>
        </w:rPr>
        <w:t>2.8.2.2</w:t>
      </w:r>
      <w:r>
        <w:rPr>
          <w:rFonts w:hint="eastAsia" w:ascii="宋体" w:hAnsi="宋体"/>
          <w:b/>
          <w:bCs/>
          <w:color w:val="auto"/>
          <w:sz w:val="28"/>
          <w:szCs w:val="28"/>
          <w:highlight w:val="none"/>
        </w:rPr>
        <w:t>合同转包</w:t>
      </w:r>
    </w:p>
    <w:p>
      <w:pPr>
        <w:spacing w:line="360" w:lineRule="auto"/>
        <w:ind w:firstLine="560" w:firstLineChars="200"/>
        <w:rPr>
          <w:rFonts w:ascii="宋体" w:hAnsi="宋体" w:cs="宋体"/>
          <w:color w:val="auto"/>
          <w:sz w:val="28"/>
          <w:szCs w:val="28"/>
          <w:highlight w:val="none"/>
        </w:rPr>
      </w:pPr>
      <w:r>
        <w:rPr>
          <w:rFonts w:hint="eastAsia" w:ascii="宋体" w:hAnsi="宋体"/>
          <w:color w:val="auto"/>
          <w:sz w:val="28"/>
          <w:szCs w:val="28"/>
          <w:highlight w:val="none"/>
        </w:rPr>
        <w:t>一、严禁成交供应商将本项目转包。本项目所称转包，是指</w:t>
      </w:r>
      <w:r>
        <w:rPr>
          <w:rFonts w:hint="eastAsia" w:ascii="宋体" w:hAnsi="宋体" w:cs="宋体"/>
          <w:color w:val="auto"/>
          <w:sz w:val="28"/>
          <w:szCs w:val="28"/>
          <w:highlight w:val="none"/>
        </w:rPr>
        <w:t>将本项目转给他人或者将本项目全部肢解以后以分包的名义分别转给他人的行为。</w:t>
      </w:r>
    </w:p>
    <w:p>
      <w:pPr>
        <w:spacing w:line="360" w:lineRule="auto"/>
        <w:ind w:firstLine="495"/>
        <w:rPr>
          <w:rFonts w:ascii="宋体" w:hAnsi="宋体"/>
          <w:color w:val="auto"/>
          <w:sz w:val="28"/>
          <w:szCs w:val="28"/>
          <w:highlight w:val="none"/>
        </w:rPr>
      </w:pPr>
      <w:r>
        <w:rPr>
          <w:rFonts w:hint="eastAsia" w:ascii="宋体" w:hAnsi="宋体"/>
          <w:color w:val="auto"/>
          <w:sz w:val="28"/>
          <w:szCs w:val="28"/>
          <w:highlight w:val="none"/>
        </w:rPr>
        <w:t>二、成交供应商转包的，视同拒绝履行政府采购合同，将依法追究法律责任。</w:t>
      </w:r>
    </w:p>
    <w:p>
      <w:pPr>
        <w:pStyle w:val="5"/>
        <w:numPr>
          <w:ilvl w:val="0"/>
          <w:numId w:val="0"/>
        </w:numPr>
        <w:rPr>
          <w:color w:val="auto"/>
          <w:sz w:val="28"/>
          <w:szCs w:val="32"/>
          <w:highlight w:val="none"/>
        </w:rPr>
      </w:pPr>
      <w:bookmarkStart w:id="92" w:name="_Toc23123"/>
      <w:bookmarkStart w:id="93" w:name="_Toc21210"/>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.3采购人增加合同标的的权利</w:t>
      </w:r>
      <w:bookmarkEnd w:id="92"/>
      <w:bookmarkEnd w:id="93"/>
    </w:p>
    <w:p>
      <w:pPr>
        <w:pStyle w:val="113"/>
        <w:ind w:firstLine="480"/>
        <w:rPr>
          <w:color w:val="auto"/>
          <w:sz w:val="28"/>
          <w:szCs w:val="24"/>
          <w:highlight w:val="none"/>
        </w:rPr>
      </w:pPr>
      <w:r>
        <w:rPr>
          <w:rFonts w:hint="eastAsia"/>
          <w:color w:val="auto"/>
          <w:sz w:val="28"/>
          <w:szCs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numPr>
          <w:ilvl w:val="0"/>
          <w:numId w:val="0"/>
        </w:numPr>
        <w:rPr>
          <w:color w:val="auto"/>
          <w:sz w:val="28"/>
          <w:szCs w:val="32"/>
          <w:highlight w:val="none"/>
        </w:rPr>
      </w:pPr>
      <w:bookmarkStart w:id="94" w:name="_Toc30341"/>
      <w:bookmarkStart w:id="95" w:name="_Toc18187"/>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.4履约保证金</w:t>
      </w:r>
      <w:bookmarkEnd w:id="94"/>
      <w:bookmarkEnd w:id="95"/>
    </w:p>
    <w:p>
      <w:pPr>
        <w:pStyle w:val="2"/>
        <w:ind w:firstLine="560" w:firstLineChars="200"/>
        <w:rPr>
          <w:rFonts w:hint="eastAsia" w:ascii="宋体" w:hAnsi="宋体" w:eastAsiaTheme="minorEastAsia" w:cstheme="minorBidi"/>
          <w:color w:val="auto"/>
          <w:kern w:val="10"/>
          <w:sz w:val="28"/>
          <w:szCs w:val="24"/>
          <w:highlight w:val="none"/>
          <w:lang w:val="en-US" w:eastAsia="zh-CN" w:bidi="ar-SA"/>
        </w:rPr>
      </w:pPr>
      <w:bookmarkStart w:id="96" w:name="_Toc13999"/>
      <w:bookmarkStart w:id="97" w:name="_Toc15126"/>
      <w:r>
        <w:rPr>
          <w:rFonts w:hint="eastAsia" w:ascii="宋体" w:hAnsi="宋体" w:eastAsiaTheme="minorEastAsia" w:cstheme="minorBidi"/>
          <w:color w:val="auto"/>
          <w:kern w:val="10"/>
          <w:sz w:val="28"/>
          <w:szCs w:val="24"/>
          <w:highlight w:val="none"/>
          <w:lang w:val="en-US" w:eastAsia="zh-CN" w:bidi="ar-SA"/>
        </w:rPr>
        <w:t xml:space="preserve">一、本项目履约保证金金额为合同总价的5%。成交供应商应在合同签订并生效之日起10个工作日内，以支票、汇票、本票或者金融机构出具的保函等非现金形式向采购人交纳规定金额的履约保证金。履约保证金在质保期满后，采购人根据供应商的书面申请在30个日历日内予以原渠道无息退还。    </w:t>
      </w:r>
    </w:p>
    <w:p>
      <w:pPr>
        <w:pStyle w:val="2"/>
        <w:ind w:firstLine="560" w:firstLineChars="200"/>
        <w:rPr>
          <w:rFonts w:hint="eastAsia" w:ascii="宋体" w:hAnsi="宋体" w:eastAsiaTheme="minorEastAsia" w:cstheme="minorBidi"/>
          <w:color w:val="auto"/>
          <w:kern w:val="10"/>
          <w:sz w:val="28"/>
          <w:szCs w:val="24"/>
          <w:highlight w:val="none"/>
          <w:lang w:val="en-US" w:eastAsia="zh-CN" w:bidi="ar-SA"/>
        </w:rPr>
      </w:pPr>
      <w:r>
        <w:rPr>
          <w:rFonts w:hint="eastAsia" w:ascii="宋体" w:hAnsi="宋体" w:eastAsiaTheme="minorEastAsia" w:cstheme="minorBidi"/>
          <w:color w:val="auto"/>
          <w:kern w:val="10"/>
          <w:sz w:val="28"/>
          <w:szCs w:val="24"/>
          <w:highlight w:val="none"/>
          <w:lang w:val="en-US" w:eastAsia="zh-CN" w:bidi="ar-SA"/>
        </w:rPr>
        <w:t>二、履约保证金汇入的银行及账号：</w:t>
      </w:r>
    </w:p>
    <w:p>
      <w:pPr>
        <w:numPr>
          <w:ilvl w:val="0"/>
          <w:numId w:val="0"/>
        </w:numPr>
        <w:spacing w:line="360" w:lineRule="auto"/>
        <w:rPr>
          <w:rFonts w:hint="default" w:ascii="宋体" w:hAnsi="宋体" w:eastAsiaTheme="minorEastAsia" w:cstheme="minorBidi"/>
          <w:color w:val="auto"/>
          <w:kern w:val="10"/>
          <w:sz w:val="28"/>
          <w:szCs w:val="24"/>
          <w:highlight w:val="none"/>
          <w:lang w:val="en-US" w:eastAsia="zh-CN" w:bidi="ar-SA"/>
        </w:rPr>
      </w:pPr>
      <w:r>
        <w:rPr>
          <w:rFonts w:hint="eastAsia" w:ascii="宋体" w:hAnsi="宋体" w:eastAsiaTheme="minorEastAsia" w:cstheme="minorBidi"/>
          <w:color w:val="auto"/>
          <w:kern w:val="10"/>
          <w:sz w:val="28"/>
          <w:szCs w:val="24"/>
          <w:highlight w:val="none"/>
          <w:lang w:val="en-US" w:eastAsia="zh-CN" w:bidi="ar-SA"/>
        </w:rPr>
        <w:t xml:space="preserve">    收款单位：成都市温江区第二中学校</w:t>
      </w:r>
    </w:p>
    <w:p>
      <w:pPr>
        <w:numPr>
          <w:ilvl w:val="0"/>
          <w:numId w:val="0"/>
        </w:numPr>
        <w:spacing w:line="360" w:lineRule="auto"/>
        <w:rPr>
          <w:rFonts w:hint="eastAsia" w:ascii="宋体" w:hAnsi="宋体" w:eastAsiaTheme="minorEastAsia" w:cstheme="minorBidi"/>
          <w:color w:val="auto"/>
          <w:kern w:val="10"/>
          <w:sz w:val="28"/>
          <w:szCs w:val="24"/>
          <w:highlight w:val="none"/>
          <w:lang w:val="en-US" w:eastAsia="zh-CN" w:bidi="ar-SA"/>
        </w:rPr>
      </w:pPr>
      <w:r>
        <w:rPr>
          <w:rFonts w:hint="eastAsia" w:ascii="宋体" w:hAnsi="宋体" w:eastAsiaTheme="minorEastAsia" w:cstheme="minorBidi"/>
          <w:color w:val="auto"/>
          <w:kern w:val="10"/>
          <w:sz w:val="28"/>
          <w:szCs w:val="24"/>
          <w:highlight w:val="none"/>
          <w:lang w:val="en-US" w:eastAsia="zh-CN" w:bidi="ar-SA"/>
        </w:rPr>
        <w:t xml:space="preserve">    开户行：中国银行温江支行</w:t>
      </w:r>
    </w:p>
    <w:p>
      <w:pPr>
        <w:numPr>
          <w:ilvl w:val="0"/>
          <w:numId w:val="0"/>
        </w:numPr>
        <w:spacing w:line="360" w:lineRule="auto"/>
        <w:ind w:firstLine="480"/>
        <w:rPr>
          <w:rFonts w:hint="eastAsia" w:ascii="宋体" w:hAnsi="宋体" w:eastAsiaTheme="minorEastAsia" w:cstheme="minorBidi"/>
          <w:color w:val="auto"/>
          <w:kern w:val="10"/>
          <w:sz w:val="28"/>
          <w:szCs w:val="24"/>
          <w:highlight w:val="none"/>
          <w:lang w:val="en-US" w:eastAsia="zh-CN" w:bidi="ar-SA"/>
        </w:rPr>
      </w:pPr>
      <w:r>
        <w:rPr>
          <w:rFonts w:hint="eastAsia" w:ascii="宋体" w:hAnsi="宋体" w:eastAsiaTheme="minorEastAsia" w:cstheme="minorBidi"/>
          <w:color w:val="auto"/>
          <w:kern w:val="10"/>
          <w:sz w:val="28"/>
          <w:szCs w:val="24"/>
          <w:highlight w:val="none"/>
          <w:lang w:val="en-US" w:eastAsia="zh-CN" w:bidi="ar-SA"/>
        </w:rPr>
        <w:t>银行账号：119905324351</w:t>
      </w:r>
    </w:p>
    <w:p>
      <w:pPr>
        <w:rPr>
          <w:rFonts w:hint="eastAsia"/>
          <w:lang w:val="en-US" w:eastAsia="zh-CN"/>
        </w:rPr>
      </w:pPr>
    </w:p>
    <w:p>
      <w:pPr>
        <w:pStyle w:val="5"/>
        <w:numPr>
          <w:ilvl w:val="0"/>
          <w:numId w:val="0"/>
        </w:numPr>
        <w:rPr>
          <w:color w:val="auto"/>
          <w:sz w:val="28"/>
          <w:szCs w:val="32"/>
          <w:highlight w:val="none"/>
        </w:rPr>
      </w:pPr>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.5</w:t>
      </w:r>
      <w:r>
        <w:rPr>
          <w:color w:val="auto"/>
          <w:sz w:val="28"/>
          <w:szCs w:val="32"/>
          <w:highlight w:val="none"/>
        </w:rPr>
        <w:t>合同公告</w:t>
      </w:r>
      <w:bookmarkEnd w:id="96"/>
      <w:bookmarkEnd w:id="97"/>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采购人应当自政府采购合同签订之日起2个工作日内，将政府采购合同在四川政府采购网公告，但政府采购合同中涉及国家秘密、商业秘密的内容除外。</w:t>
      </w:r>
    </w:p>
    <w:p>
      <w:pPr>
        <w:pStyle w:val="5"/>
        <w:numPr>
          <w:ilvl w:val="0"/>
          <w:numId w:val="0"/>
        </w:numPr>
        <w:rPr>
          <w:color w:val="auto"/>
          <w:sz w:val="28"/>
          <w:szCs w:val="32"/>
          <w:highlight w:val="none"/>
        </w:rPr>
      </w:pPr>
      <w:bookmarkStart w:id="98" w:name="_Toc25175"/>
      <w:bookmarkStart w:id="99" w:name="_Toc8539"/>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.6</w:t>
      </w:r>
      <w:r>
        <w:rPr>
          <w:color w:val="auto"/>
          <w:sz w:val="28"/>
          <w:szCs w:val="32"/>
          <w:highlight w:val="none"/>
        </w:rPr>
        <w:t>合同备案</w:t>
      </w:r>
      <w:bookmarkEnd w:id="98"/>
      <w:bookmarkEnd w:id="99"/>
    </w:p>
    <w:p>
      <w:pPr>
        <w:spacing w:line="600" w:lineRule="exact"/>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疫情防控期间，采购人原则上在5个工作日内与供应商签订政府采购合同及按成都市</w:t>
      </w:r>
      <w:r>
        <w:rPr>
          <w:rFonts w:hint="eastAsia" w:cs="Times New Roman"/>
          <w:color w:val="auto"/>
          <w:kern w:val="10"/>
          <w:sz w:val="28"/>
          <w:szCs w:val="21"/>
          <w:highlight w:val="none"/>
          <w:lang w:eastAsia="zh-CN"/>
        </w:rPr>
        <w:t>温江区</w:t>
      </w:r>
      <w:r>
        <w:rPr>
          <w:rFonts w:hint="eastAsia" w:ascii="宋体" w:hAnsi="宋体" w:cs="Times New Roman"/>
          <w:color w:val="auto"/>
          <w:kern w:val="10"/>
          <w:sz w:val="28"/>
          <w:szCs w:val="21"/>
          <w:highlight w:val="none"/>
        </w:rPr>
        <w:t>财政局的要求完成合同备案工作。</w:t>
      </w:r>
    </w:p>
    <w:p>
      <w:pPr>
        <w:pStyle w:val="5"/>
        <w:numPr>
          <w:ilvl w:val="0"/>
          <w:numId w:val="0"/>
        </w:numPr>
        <w:rPr>
          <w:color w:val="auto"/>
          <w:sz w:val="28"/>
          <w:szCs w:val="32"/>
          <w:highlight w:val="none"/>
        </w:rPr>
      </w:pPr>
      <w:bookmarkStart w:id="100" w:name="_Toc3002"/>
      <w:bookmarkStart w:id="101" w:name="_Toc21768"/>
      <w:r>
        <w:rPr>
          <w:rFonts w:hint="eastAsia" w:cs="宋体"/>
          <w:color w:val="auto"/>
          <w:sz w:val="28"/>
          <w:szCs w:val="32"/>
          <w:highlight w:val="none"/>
        </w:rPr>
        <w:t>2.</w:t>
      </w:r>
      <w:r>
        <w:rPr>
          <w:rFonts w:hint="eastAsia" w:cs="宋体"/>
          <w:color w:val="auto"/>
          <w:sz w:val="28"/>
          <w:szCs w:val="32"/>
          <w:highlight w:val="none"/>
          <w:lang w:val="en-US" w:eastAsia="zh-CN"/>
        </w:rPr>
        <w:t>8</w:t>
      </w:r>
      <w:r>
        <w:rPr>
          <w:rFonts w:hint="eastAsia" w:cs="宋体"/>
          <w:color w:val="auto"/>
          <w:sz w:val="28"/>
          <w:szCs w:val="32"/>
          <w:highlight w:val="none"/>
        </w:rPr>
        <w:t>.7履行</w:t>
      </w:r>
      <w:r>
        <w:rPr>
          <w:rFonts w:hint="eastAsia"/>
          <w:color w:val="auto"/>
          <w:sz w:val="28"/>
          <w:szCs w:val="32"/>
          <w:highlight w:val="none"/>
        </w:rPr>
        <w:t>合同</w:t>
      </w:r>
      <w:bookmarkEnd w:id="100"/>
      <w:bookmarkEnd w:id="101"/>
    </w:p>
    <w:p>
      <w:pPr>
        <w:pStyle w:val="113"/>
        <w:ind w:firstLine="480"/>
        <w:rPr>
          <w:color w:val="auto"/>
          <w:sz w:val="28"/>
          <w:szCs w:val="24"/>
          <w:highlight w:val="none"/>
        </w:rPr>
      </w:pPr>
      <w:r>
        <w:rPr>
          <w:rFonts w:hint="eastAsia"/>
          <w:color w:val="auto"/>
          <w:sz w:val="28"/>
          <w:szCs w:val="24"/>
          <w:highlight w:val="none"/>
        </w:rPr>
        <w:t>一、合同一经签订，双方应严格履行合同规定的义务。</w:t>
      </w:r>
    </w:p>
    <w:p>
      <w:pPr>
        <w:pStyle w:val="113"/>
        <w:ind w:firstLine="480"/>
        <w:rPr>
          <w:color w:val="auto"/>
          <w:sz w:val="28"/>
          <w:szCs w:val="24"/>
          <w:highlight w:val="none"/>
        </w:rPr>
      </w:pPr>
      <w:r>
        <w:rPr>
          <w:rFonts w:hint="eastAsia"/>
          <w:color w:val="auto"/>
          <w:sz w:val="28"/>
          <w:szCs w:val="24"/>
          <w:highlight w:val="none"/>
        </w:rPr>
        <w:t>二、在合同履行过程中，如发生合同纠纷，合同双方应按照《中华人民共和国民法典》及合同条款的有关规定进行处理。</w:t>
      </w:r>
    </w:p>
    <w:p>
      <w:pPr>
        <w:pStyle w:val="5"/>
        <w:numPr>
          <w:ilvl w:val="0"/>
          <w:numId w:val="0"/>
        </w:numPr>
        <w:rPr>
          <w:color w:val="auto"/>
          <w:sz w:val="28"/>
          <w:szCs w:val="32"/>
          <w:highlight w:val="none"/>
        </w:rPr>
      </w:pPr>
      <w:bookmarkStart w:id="102" w:name="_Toc1379"/>
      <w:bookmarkStart w:id="103" w:name="_Toc15556"/>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.8验收</w:t>
      </w:r>
      <w:bookmarkEnd w:id="102"/>
      <w:bookmarkEnd w:id="103"/>
    </w:p>
    <w:p>
      <w:pPr>
        <w:pStyle w:val="113"/>
        <w:ind w:firstLine="480"/>
        <w:rPr>
          <w:rFonts w:hint="eastAsia"/>
          <w:color w:val="auto"/>
          <w:sz w:val="28"/>
          <w:szCs w:val="24"/>
          <w:highlight w:val="none"/>
        </w:rPr>
      </w:pPr>
      <w:r>
        <w:rPr>
          <w:rFonts w:hint="eastAsia"/>
          <w:color w:val="auto"/>
          <w:sz w:val="28"/>
          <w:szCs w:val="24"/>
          <w:highlight w:val="none"/>
        </w:rPr>
        <w:t>采购人严格按照国家相关法律法规的要求组织验收或考核。</w:t>
      </w:r>
    </w:p>
    <w:p>
      <w:pPr>
        <w:pStyle w:val="5"/>
        <w:numPr>
          <w:ilvl w:val="0"/>
          <w:numId w:val="0"/>
        </w:numPr>
        <w:rPr>
          <w:color w:val="auto"/>
          <w:sz w:val="28"/>
          <w:szCs w:val="32"/>
          <w:highlight w:val="none"/>
        </w:rPr>
      </w:pPr>
      <w:bookmarkStart w:id="104" w:name="_Toc24253"/>
      <w:bookmarkStart w:id="105" w:name="_Toc16933"/>
      <w:r>
        <w:rPr>
          <w:rFonts w:hint="eastAsia"/>
          <w:color w:val="auto"/>
          <w:sz w:val="28"/>
          <w:szCs w:val="32"/>
          <w:highlight w:val="none"/>
        </w:rPr>
        <w:t>2.</w:t>
      </w:r>
      <w:r>
        <w:rPr>
          <w:rFonts w:hint="eastAsia"/>
          <w:color w:val="auto"/>
          <w:sz w:val="28"/>
          <w:szCs w:val="32"/>
          <w:highlight w:val="none"/>
          <w:lang w:val="en-US" w:eastAsia="zh-CN"/>
        </w:rPr>
        <w:t>8</w:t>
      </w:r>
      <w:r>
        <w:rPr>
          <w:rFonts w:hint="eastAsia"/>
          <w:color w:val="auto"/>
          <w:sz w:val="28"/>
          <w:szCs w:val="32"/>
          <w:highlight w:val="none"/>
        </w:rPr>
        <w:t>.9资金支付</w:t>
      </w:r>
      <w:bookmarkEnd w:id="104"/>
      <w:bookmarkEnd w:id="105"/>
    </w:p>
    <w:p>
      <w:pPr>
        <w:pStyle w:val="113"/>
        <w:ind w:firstLine="480"/>
        <w:rPr>
          <w:color w:val="auto"/>
          <w:sz w:val="28"/>
          <w:szCs w:val="24"/>
          <w:highlight w:val="none"/>
        </w:rPr>
      </w:pPr>
      <w:r>
        <w:rPr>
          <w:rFonts w:hint="eastAsia"/>
          <w:color w:val="auto"/>
          <w:sz w:val="28"/>
          <w:szCs w:val="24"/>
          <w:highlight w:val="none"/>
        </w:rPr>
        <w:t>采购人按财政部门</w:t>
      </w:r>
      <w:r>
        <w:rPr>
          <w:rFonts w:hint="eastAsia"/>
          <w:color w:val="auto"/>
          <w:sz w:val="28"/>
          <w:szCs w:val="24"/>
          <w:highlight w:val="none"/>
          <w:lang w:eastAsia="zh-CN"/>
        </w:rPr>
        <w:t>的</w:t>
      </w:r>
      <w:r>
        <w:rPr>
          <w:rFonts w:hint="eastAsia"/>
          <w:color w:val="auto"/>
          <w:sz w:val="28"/>
          <w:szCs w:val="24"/>
          <w:highlight w:val="none"/>
        </w:rPr>
        <w:t>有关规定及采购合同的约定进行支付。</w:t>
      </w:r>
    </w:p>
    <w:p>
      <w:pPr>
        <w:pStyle w:val="4"/>
        <w:numPr>
          <w:ilvl w:val="0"/>
          <w:numId w:val="0"/>
        </w:numPr>
        <w:spacing w:before="156" w:after="156"/>
        <w:rPr>
          <w:color w:val="auto"/>
          <w:sz w:val="28"/>
          <w:szCs w:val="28"/>
          <w:highlight w:val="none"/>
        </w:rPr>
      </w:pPr>
      <w:bookmarkStart w:id="106" w:name="_Toc18533"/>
      <w:bookmarkStart w:id="107" w:name="_Toc28083"/>
      <w:r>
        <w:rPr>
          <w:rFonts w:hint="eastAsia"/>
          <w:color w:val="auto"/>
          <w:sz w:val="28"/>
          <w:szCs w:val="28"/>
          <w:highlight w:val="none"/>
        </w:rPr>
        <w:t>2.</w:t>
      </w:r>
      <w:r>
        <w:rPr>
          <w:rFonts w:hint="eastAsia"/>
          <w:color w:val="auto"/>
          <w:sz w:val="28"/>
          <w:szCs w:val="28"/>
          <w:highlight w:val="none"/>
          <w:lang w:val="en-US" w:eastAsia="zh-CN"/>
        </w:rPr>
        <w:t>9</w:t>
      </w:r>
      <w:r>
        <w:rPr>
          <w:rFonts w:hint="eastAsia"/>
          <w:color w:val="auto"/>
          <w:sz w:val="28"/>
          <w:szCs w:val="28"/>
          <w:highlight w:val="none"/>
        </w:rPr>
        <w:t>竞争性磋商工作纪律及要求</w:t>
      </w:r>
      <w:bookmarkEnd w:id="106"/>
      <w:bookmarkEnd w:id="107"/>
    </w:p>
    <w:p>
      <w:pPr>
        <w:pStyle w:val="5"/>
        <w:numPr>
          <w:ilvl w:val="0"/>
          <w:numId w:val="0"/>
        </w:numPr>
        <w:rPr>
          <w:color w:val="auto"/>
          <w:sz w:val="28"/>
          <w:szCs w:val="32"/>
          <w:highlight w:val="none"/>
        </w:rPr>
      </w:pPr>
      <w:bookmarkStart w:id="108" w:name="_Toc19320"/>
      <w:bookmarkStart w:id="109" w:name="_Toc26725"/>
      <w:r>
        <w:rPr>
          <w:rFonts w:hint="eastAsia"/>
          <w:color w:val="auto"/>
          <w:sz w:val="28"/>
          <w:szCs w:val="32"/>
          <w:highlight w:val="none"/>
        </w:rPr>
        <w:t>2.</w:t>
      </w:r>
      <w:r>
        <w:rPr>
          <w:rFonts w:hint="eastAsia"/>
          <w:color w:val="auto"/>
          <w:sz w:val="28"/>
          <w:szCs w:val="32"/>
          <w:highlight w:val="none"/>
          <w:lang w:val="en-US" w:eastAsia="zh-CN"/>
        </w:rPr>
        <w:t>9</w:t>
      </w:r>
      <w:r>
        <w:rPr>
          <w:rFonts w:hint="eastAsia"/>
          <w:color w:val="auto"/>
          <w:sz w:val="28"/>
          <w:szCs w:val="32"/>
          <w:highlight w:val="none"/>
        </w:rPr>
        <w:t>.1供应商不得具有的情形</w:t>
      </w:r>
      <w:bookmarkEnd w:id="108"/>
      <w:bookmarkEnd w:id="109"/>
    </w:p>
    <w:p>
      <w:pPr>
        <w:pStyle w:val="113"/>
        <w:ind w:firstLine="480"/>
        <w:rPr>
          <w:color w:val="auto"/>
          <w:sz w:val="28"/>
          <w:szCs w:val="24"/>
          <w:highlight w:val="none"/>
        </w:rPr>
      </w:pPr>
      <w:r>
        <w:rPr>
          <w:rFonts w:hint="eastAsia"/>
          <w:color w:val="auto"/>
          <w:sz w:val="28"/>
          <w:szCs w:val="24"/>
          <w:highlight w:val="none"/>
        </w:rPr>
        <w:t>供应商参加磋商不得有下列情形：</w:t>
      </w:r>
    </w:p>
    <w:p>
      <w:pPr>
        <w:pStyle w:val="113"/>
        <w:ind w:firstLine="480"/>
        <w:rPr>
          <w:color w:val="auto"/>
          <w:sz w:val="28"/>
          <w:szCs w:val="24"/>
          <w:highlight w:val="none"/>
        </w:rPr>
      </w:pPr>
      <w:r>
        <w:rPr>
          <w:rFonts w:hint="eastAsia"/>
          <w:color w:val="auto"/>
          <w:sz w:val="28"/>
          <w:szCs w:val="24"/>
          <w:highlight w:val="none"/>
        </w:rPr>
        <w:t>一、有下列情形之一的，视为供应商串通参加本次竞争性磋商采购活动：</w:t>
      </w:r>
    </w:p>
    <w:p>
      <w:pPr>
        <w:pStyle w:val="113"/>
        <w:ind w:firstLine="480"/>
        <w:rPr>
          <w:color w:val="auto"/>
          <w:sz w:val="28"/>
          <w:szCs w:val="24"/>
          <w:highlight w:val="none"/>
        </w:rPr>
      </w:pPr>
      <w:r>
        <w:rPr>
          <w:rFonts w:hint="eastAsia"/>
          <w:color w:val="auto"/>
          <w:sz w:val="28"/>
          <w:szCs w:val="24"/>
          <w:highlight w:val="none"/>
        </w:rPr>
        <w:t>（一）不同供应商的响应文件由同一单位或者个人编制；</w:t>
      </w:r>
    </w:p>
    <w:p>
      <w:pPr>
        <w:pStyle w:val="113"/>
        <w:ind w:firstLine="480"/>
        <w:rPr>
          <w:color w:val="auto"/>
          <w:sz w:val="28"/>
          <w:szCs w:val="24"/>
          <w:highlight w:val="none"/>
        </w:rPr>
      </w:pPr>
      <w:r>
        <w:rPr>
          <w:rFonts w:hint="eastAsia"/>
          <w:color w:val="auto"/>
          <w:sz w:val="28"/>
          <w:szCs w:val="24"/>
          <w:highlight w:val="none"/>
        </w:rPr>
        <w:t>（二）不同供应商委托同一单位或者个人办理磋商事宜；</w:t>
      </w:r>
    </w:p>
    <w:p>
      <w:pPr>
        <w:pStyle w:val="113"/>
        <w:ind w:firstLine="480"/>
        <w:rPr>
          <w:color w:val="auto"/>
          <w:sz w:val="28"/>
          <w:szCs w:val="24"/>
          <w:highlight w:val="none"/>
        </w:rPr>
      </w:pPr>
      <w:r>
        <w:rPr>
          <w:rFonts w:hint="eastAsia"/>
          <w:color w:val="auto"/>
          <w:sz w:val="28"/>
          <w:szCs w:val="24"/>
          <w:highlight w:val="none"/>
        </w:rPr>
        <w:t>（三）不同供应商的响应文件载明的项目管理成员或者联系人员为同一人；</w:t>
      </w:r>
    </w:p>
    <w:p>
      <w:pPr>
        <w:pStyle w:val="113"/>
        <w:ind w:firstLine="480"/>
        <w:rPr>
          <w:color w:val="auto"/>
          <w:sz w:val="28"/>
          <w:szCs w:val="24"/>
          <w:highlight w:val="none"/>
        </w:rPr>
      </w:pPr>
      <w:r>
        <w:rPr>
          <w:rFonts w:hint="eastAsia"/>
          <w:color w:val="auto"/>
          <w:sz w:val="28"/>
          <w:szCs w:val="24"/>
          <w:highlight w:val="none"/>
        </w:rPr>
        <w:t>（四）不同供应商的响应文件异常一致或者最后报价呈规律性差异；</w:t>
      </w:r>
    </w:p>
    <w:p>
      <w:pPr>
        <w:pStyle w:val="113"/>
        <w:ind w:firstLine="480"/>
        <w:rPr>
          <w:color w:val="auto"/>
          <w:sz w:val="28"/>
          <w:szCs w:val="24"/>
          <w:highlight w:val="none"/>
        </w:rPr>
      </w:pPr>
      <w:r>
        <w:rPr>
          <w:rFonts w:hint="eastAsia"/>
          <w:color w:val="auto"/>
          <w:sz w:val="28"/>
          <w:szCs w:val="24"/>
          <w:highlight w:val="none"/>
        </w:rPr>
        <w:t>（五）不同供应商的响应文件相互混装；</w:t>
      </w:r>
    </w:p>
    <w:p>
      <w:pPr>
        <w:pStyle w:val="113"/>
        <w:ind w:firstLine="480"/>
        <w:rPr>
          <w:color w:val="auto"/>
          <w:sz w:val="28"/>
          <w:szCs w:val="24"/>
          <w:highlight w:val="none"/>
          <w:lang w:eastAsia="zh-CN"/>
        </w:rPr>
      </w:pPr>
      <w:r>
        <w:rPr>
          <w:rFonts w:hint="eastAsia"/>
          <w:color w:val="auto"/>
          <w:sz w:val="28"/>
          <w:szCs w:val="24"/>
          <w:highlight w:val="none"/>
        </w:rPr>
        <w:t>（六）不同供应商的磋商保证金从同一单位或者个人的账户转出；</w:t>
      </w:r>
    </w:p>
    <w:p>
      <w:pPr>
        <w:pStyle w:val="113"/>
        <w:ind w:firstLine="480"/>
        <w:rPr>
          <w:color w:val="auto"/>
          <w:sz w:val="28"/>
          <w:szCs w:val="24"/>
          <w:highlight w:val="none"/>
        </w:rPr>
      </w:pPr>
      <w:r>
        <w:rPr>
          <w:rFonts w:hint="eastAsia"/>
          <w:color w:val="auto"/>
          <w:sz w:val="28"/>
          <w:szCs w:val="24"/>
          <w:highlight w:val="none"/>
        </w:rPr>
        <w:t>二、提供虚假材料谋取成交；</w:t>
      </w:r>
    </w:p>
    <w:p>
      <w:pPr>
        <w:pStyle w:val="113"/>
        <w:ind w:firstLine="480"/>
        <w:rPr>
          <w:color w:val="auto"/>
          <w:sz w:val="28"/>
          <w:szCs w:val="24"/>
          <w:highlight w:val="none"/>
        </w:rPr>
      </w:pPr>
      <w:r>
        <w:rPr>
          <w:rFonts w:hint="eastAsia"/>
          <w:color w:val="auto"/>
          <w:sz w:val="28"/>
          <w:szCs w:val="24"/>
          <w:highlight w:val="none"/>
        </w:rPr>
        <w:t>三、采取不正当手段诋毁、排挤其他供应商；</w:t>
      </w:r>
    </w:p>
    <w:p>
      <w:pPr>
        <w:pStyle w:val="113"/>
        <w:ind w:firstLine="480"/>
        <w:rPr>
          <w:color w:val="auto"/>
          <w:sz w:val="28"/>
          <w:szCs w:val="24"/>
          <w:highlight w:val="none"/>
        </w:rPr>
      </w:pPr>
      <w:r>
        <w:rPr>
          <w:rFonts w:hint="eastAsia"/>
          <w:color w:val="auto"/>
          <w:sz w:val="28"/>
          <w:szCs w:val="24"/>
          <w:highlight w:val="none"/>
        </w:rPr>
        <w:t>四、与采购人或区公资交易中心、其他供应商恶意串通；</w:t>
      </w:r>
    </w:p>
    <w:p>
      <w:pPr>
        <w:pStyle w:val="113"/>
        <w:ind w:firstLine="480"/>
        <w:rPr>
          <w:color w:val="auto"/>
          <w:sz w:val="28"/>
          <w:szCs w:val="24"/>
          <w:highlight w:val="none"/>
        </w:rPr>
      </w:pPr>
      <w:r>
        <w:rPr>
          <w:rFonts w:hint="eastAsia"/>
          <w:color w:val="auto"/>
          <w:sz w:val="28"/>
          <w:szCs w:val="24"/>
          <w:highlight w:val="none"/>
        </w:rPr>
        <w:t>五、向采购人或区公资交易中心、磋商小组成员行贿或者提供其他不正当利益；</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六、</w:t>
      </w:r>
      <w:r>
        <w:rPr>
          <w:rFonts w:hint="eastAsia" w:ascii="宋体" w:hAnsi="宋体" w:cs="Times New Roman"/>
          <w:color w:val="auto"/>
          <w:kern w:val="10"/>
          <w:sz w:val="28"/>
          <w:szCs w:val="21"/>
          <w:highlight w:val="none"/>
        </w:rPr>
        <w:t>在</w:t>
      </w:r>
      <w:r>
        <w:rPr>
          <w:rFonts w:hint="eastAsia" w:cs="Times New Roman"/>
          <w:color w:val="auto"/>
          <w:kern w:val="10"/>
          <w:sz w:val="28"/>
          <w:szCs w:val="21"/>
          <w:highlight w:val="none"/>
          <w:lang w:eastAsia="zh-CN"/>
        </w:rPr>
        <w:t>磋商</w:t>
      </w:r>
      <w:r>
        <w:rPr>
          <w:rFonts w:hint="eastAsia" w:ascii="宋体" w:hAnsi="宋体" w:cs="Times New Roman"/>
          <w:color w:val="auto"/>
          <w:kern w:val="10"/>
          <w:sz w:val="28"/>
          <w:szCs w:val="21"/>
          <w:highlight w:val="none"/>
        </w:rPr>
        <w:t>过程中与采购人或</w:t>
      </w:r>
      <w:r>
        <w:rPr>
          <w:rFonts w:hint="eastAsia" w:cs="Times New Roman"/>
          <w:color w:val="auto"/>
          <w:kern w:val="10"/>
          <w:sz w:val="28"/>
          <w:szCs w:val="21"/>
          <w:highlight w:val="none"/>
          <w:lang w:eastAsia="zh-CN"/>
        </w:rPr>
        <w:t>区</w:t>
      </w:r>
      <w:r>
        <w:rPr>
          <w:rFonts w:hint="eastAsia" w:cs="Times New Roman"/>
          <w:color w:val="auto"/>
          <w:kern w:val="10"/>
          <w:sz w:val="28"/>
          <w:szCs w:val="21"/>
          <w:highlight w:val="none"/>
        </w:rPr>
        <w:t>公资交易中心</w:t>
      </w:r>
      <w:r>
        <w:rPr>
          <w:rFonts w:hint="eastAsia" w:ascii="宋体" w:hAnsi="宋体" w:cs="Times New Roman"/>
          <w:color w:val="auto"/>
          <w:kern w:val="10"/>
          <w:sz w:val="28"/>
          <w:szCs w:val="21"/>
          <w:highlight w:val="none"/>
        </w:rPr>
        <w:t>进行协商谈判；</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七、成交</w:t>
      </w:r>
      <w:r>
        <w:rPr>
          <w:rFonts w:hint="eastAsia" w:ascii="宋体" w:hAnsi="宋体" w:cs="Times New Roman"/>
          <w:color w:val="auto"/>
          <w:kern w:val="10"/>
          <w:sz w:val="28"/>
          <w:szCs w:val="21"/>
          <w:highlight w:val="none"/>
        </w:rPr>
        <w:t>后无正当理由拒不与采购人签订政府采购合同；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八、</w:t>
      </w:r>
      <w:r>
        <w:rPr>
          <w:rFonts w:hint="eastAsia" w:ascii="宋体" w:hAnsi="宋体" w:cs="Times New Roman"/>
          <w:color w:val="auto"/>
          <w:kern w:val="10"/>
          <w:sz w:val="28"/>
          <w:szCs w:val="21"/>
          <w:highlight w:val="none"/>
        </w:rPr>
        <w:t>未按照采购文件确定的事项签订政府采购合同；</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九、</w:t>
      </w:r>
      <w:r>
        <w:rPr>
          <w:rFonts w:hint="eastAsia" w:ascii="宋体" w:hAnsi="宋体" w:cs="Times New Roman"/>
          <w:color w:val="auto"/>
          <w:kern w:val="10"/>
          <w:sz w:val="28"/>
          <w:szCs w:val="21"/>
          <w:highlight w:val="none"/>
        </w:rPr>
        <w:t>将政府采购合同转包或者违规分包；</w:t>
      </w:r>
    </w:p>
    <w:p>
      <w:pPr>
        <w:numPr>
          <w:ilvl w:val="0"/>
          <w:numId w:val="0"/>
        </w:numPr>
        <w:tabs>
          <w:tab w:val="left" w:pos="1134"/>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十、</w:t>
      </w:r>
      <w:r>
        <w:rPr>
          <w:rFonts w:hint="eastAsia" w:ascii="宋体" w:hAnsi="宋体" w:cs="Times New Roman"/>
          <w:color w:val="auto"/>
          <w:kern w:val="10"/>
          <w:sz w:val="28"/>
          <w:szCs w:val="21"/>
          <w:highlight w:val="none"/>
        </w:rPr>
        <w:t>提供假冒伪劣产品；</w:t>
      </w:r>
    </w:p>
    <w:p>
      <w:pPr>
        <w:numPr>
          <w:ilvl w:val="0"/>
          <w:numId w:val="0"/>
        </w:numPr>
        <w:tabs>
          <w:tab w:val="left" w:pos="1134"/>
          <w:tab w:val="left" w:pos="1418"/>
        </w:tabs>
        <w:spacing w:line="360" w:lineRule="auto"/>
        <w:ind w:left="567" w:firstLine="0"/>
        <w:rPr>
          <w:rFonts w:hint="eastAsia" w:ascii="宋体" w:hAnsi="宋体" w:cs="Times New Roman"/>
          <w:color w:val="auto"/>
          <w:kern w:val="10"/>
          <w:sz w:val="28"/>
          <w:szCs w:val="21"/>
          <w:highlight w:val="none"/>
        </w:rPr>
      </w:pPr>
      <w:r>
        <w:rPr>
          <w:rFonts w:hint="eastAsia" w:cs="Times New Roman"/>
          <w:color w:val="auto"/>
          <w:kern w:val="10"/>
          <w:sz w:val="28"/>
          <w:szCs w:val="21"/>
          <w:highlight w:val="none"/>
          <w:lang w:eastAsia="zh-CN"/>
        </w:rPr>
        <w:t>十一、</w:t>
      </w:r>
      <w:r>
        <w:rPr>
          <w:rFonts w:hint="eastAsia" w:ascii="宋体" w:hAnsi="宋体" w:cs="Times New Roman"/>
          <w:color w:val="auto"/>
          <w:kern w:val="10"/>
          <w:sz w:val="28"/>
          <w:szCs w:val="21"/>
          <w:highlight w:val="none"/>
        </w:rPr>
        <w:t>擅自变更、中止或者终止政府采购合同；</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十四、处于被行政部门禁止参与政府采购活动的期限内；</w:t>
      </w:r>
    </w:p>
    <w:p>
      <w:pPr>
        <w:tabs>
          <w:tab w:val="left" w:pos="1134"/>
        </w:tabs>
        <w:spacing w:line="360" w:lineRule="auto"/>
        <w:ind w:left="567"/>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十五、拒绝有关部门的监督检查或者向监督检查部门提供虚假情况；</w:t>
      </w:r>
    </w:p>
    <w:p>
      <w:pPr>
        <w:spacing w:after="180" w:line="360" w:lineRule="auto"/>
        <w:ind w:firstLine="565" w:firstLineChars="202"/>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十六、法律法规规定的其他情形。</w:t>
      </w:r>
    </w:p>
    <w:p>
      <w:pPr>
        <w:pStyle w:val="13"/>
        <w:spacing w:line="600" w:lineRule="exact"/>
        <w:ind w:firstLine="565" w:firstLineChars="202"/>
        <w:rPr>
          <w:rFonts w:hint="eastAsia" w:ascii="宋体" w:hAnsi="宋体" w:cs="Times New Roman"/>
          <w:color w:val="auto"/>
          <w:kern w:val="10"/>
          <w:sz w:val="28"/>
          <w:szCs w:val="21"/>
          <w:highlight w:val="none"/>
          <w:lang w:val="en-US" w:eastAsia="zh-CN" w:bidi="ar-SA"/>
        </w:rPr>
      </w:pPr>
      <w:r>
        <w:rPr>
          <w:rFonts w:hint="eastAsia" w:ascii="宋体" w:hAnsi="宋体" w:cs="Times New Roman"/>
          <w:color w:val="auto"/>
          <w:kern w:val="10"/>
          <w:sz w:val="28"/>
          <w:szCs w:val="21"/>
          <w:highlight w:val="none"/>
          <w:lang w:val="en-US" w:eastAsia="zh-CN" w:bidi="ar-SA"/>
        </w:rPr>
        <w:t>供应商有上述情形的，按照规定追究法律责任，具备一至十四条情形之一的，同时将认定供应商响应文件无效或不确定其为成交供应商，或者取消成交资格或认定成交无效。</w:t>
      </w:r>
    </w:p>
    <w:p>
      <w:pPr>
        <w:pStyle w:val="5"/>
        <w:numPr>
          <w:ilvl w:val="0"/>
          <w:numId w:val="0"/>
        </w:numPr>
        <w:rPr>
          <w:color w:val="auto"/>
          <w:sz w:val="28"/>
          <w:szCs w:val="32"/>
          <w:highlight w:val="none"/>
        </w:rPr>
      </w:pPr>
      <w:bookmarkStart w:id="110" w:name="_Toc24202"/>
      <w:bookmarkStart w:id="111" w:name="_Toc12011"/>
      <w:r>
        <w:rPr>
          <w:rFonts w:hint="eastAsia"/>
          <w:color w:val="auto"/>
          <w:sz w:val="28"/>
          <w:szCs w:val="32"/>
          <w:highlight w:val="none"/>
        </w:rPr>
        <w:t>2.</w:t>
      </w:r>
      <w:r>
        <w:rPr>
          <w:rFonts w:hint="eastAsia"/>
          <w:color w:val="auto"/>
          <w:sz w:val="28"/>
          <w:szCs w:val="32"/>
          <w:highlight w:val="none"/>
          <w:lang w:val="en-US" w:eastAsia="zh-CN"/>
        </w:rPr>
        <w:t>9</w:t>
      </w:r>
      <w:r>
        <w:rPr>
          <w:rFonts w:hint="eastAsia"/>
          <w:color w:val="auto"/>
          <w:sz w:val="28"/>
          <w:szCs w:val="32"/>
          <w:highlight w:val="none"/>
        </w:rPr>
        <w:t>.</w:t>
      </w:r>
      <w:r>
        <w:rPr>
          <w:rFonts w:hint="eastAsia"/>
          <w:color w:val="auto"/>
          <w:sz w:val="28"/>
          <w:szCs w:val="32"/>
          <w:highlight w:val="none"/>
          <w:lang w:val="en-US" w:eastAsia="zh-CN"/>
        </w:rPr>
        <w:t>2</w:t>
      </w:r>
      <w:r>
        <w:rPr>
          <w:rFonts w:hint="eastAsia"/>
          <w:color w:val="auto"/>
          <w:sz w:val="28"/>
          <w:szCs w:val="32"/>
          <w:highlight w:val="none"/>
        </w:rPr>
        <w:t>回避</w:t>
      </w:r>
      <w:bookmarkEnd w:id="110"/>
      <w:bookmarkEnd w:id="111"/>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在政府采购活动中，采购人员</w:t>
      </w:r>
      <w:r>
        <w:rPr>
          <w:rFonts w:hint="eastAsia" w:cs="Times New Roman"/>
          <w:color w:val="auto"/>
          <w:kern w:val="10"/>
          <w:sz w:val="28"/>
          <w:szCs w:val="21"/>
          <w:highlight w:val="none"/>
        </w:rPr>
        <w:t>（如采购人内部负责采购项目的具体经办工作人员或直接分管采购项目的负责人、</w:t>
      </w:r>
      <w:r>
        <w:rPr>
          <w:rFonts w:hint="eastAsia" w:cs="Times New Roman"/>
          <w:color w:val="auto"/>
          <w:kern w:val="10"/>
          <w:sz w:val="28"/>
          <w:szCs w:val="21"/>
          <w:highlight w:val="none"/>
          <w:lang w:eastAsia="zh-CN"/>
        </w:rPr>
        <w:t>区</w:t>
      </w:r>
      <w:r>
        <w:rPr>
          <w:rFonts w:hint="eastAsia" w:cs="Times New Roman"/>
          <w:color w:val="auto"/>
          <w:kern w:val="10"/>
          <w:sz w:val="28"/>
          <w:szCs w:val="21"/>
          <w:highlight w:val="none"/>
        </w:rPr>
        <w:t>公资交易中心负责采购项目的具体经办工作人员或直接分管采购活动的负责人等）</w:t>
      </w:r>
      <w:r>
        <w:rPr>
          <w:rFonts w:hint="eastAsia" w:ascii="宋体" w:hAnsi="宋体" w:cs="Times New Roman"/>
          <w:color w:val="auto"/>
          <w:kern w:val="10"/>
          <w:sz w:val="28"/>
          <w:szCs w:val="21"/>
          <w:highlight w:val="none"/>
        </w:rPr>
        <w:t>及相关人员与供应商有下列利害关系之一的，应当回避：</w:t>
      </w:r>
    </w:p>
    <w:p>
      <w:pPr>
        <w:shd w:val="clear" w:color="auto" w:fill="auto"/>
        <w:tabs>
          <w:tab w:val="left" w:pos="1134"/>
        </w:tabs>
        <w:spacing w:line="360" w:lineRule="auto"/>
        <w:ind w:left="0"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（一）参加采购活动前3年内与供应商存在劳动关系；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（二）参加采购活动前3年内担任供应商的董事、监事；</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（三）参加采购活动前3年内是供应商的控股股东或者实际控制人；</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（四）与供应商的法定代表人或者负责人有夫妻、直系血亲、三代以内旁系血亲或者近姻亲关系；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（五）与供应商有其他可能影响政府采购活动公平、公正进行的关系。</w:t>
      </w:r>
    </w:p>
    <w:p>
      <w:pPr>
        <w:shd w:val="clear" w:color="auto" w:fill="auto"/>
        <w:tabs>
          <w:tab w:val="left" w:pos="1134"/>
        </w:tabs>
        <w:spacing w:line="360" w:lineRule="auto"/>
        <w:ind w:firstLine="560" w:firstLineChars="200"/>
        <w:rPr>
          <w:rFonts w:hint="eastAsia" w:ascii="宋体" w:hAnsi="宋体" w:cs="Times New Roman"/>
          <w:color w:val="auto"/>
          <w:kern w:val="10"/>
          <w:sz w:val="28"/>
          <w:szCs w:val="21"/>
          <w:highlight w:val="none"/>
        </w:rPr>
      </w:pPr>
      <w:r>
        <w:rPr>
          <w:rFonts w:hint="eastAsia" w:ascii="宋体" w:hAnsi="宋体" w:cs="Times New Roman"/>
          <w:color w:val="auto"/>
          <w:kern w:val="10"/>
          <w:sz w:val="28"/>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0"/>
          <w:numId w:val="0"/>
        </w:numPr>
        <w:spacing w:before="156" w:after="156"/>
        <w:rPr>
          <w:color w:val="auto"/>
          <w:sz w:val="32"/>
          <w:szCs w:val="32"/>
          <w:highlight w:val="none"/>
        </w:rPr>
      </w:pPr>
      <w:bookmarkStart w:id="112" w:name="_Toc27509"/>
      <w:bookmarkStart w:id="113" w:name="_Toc31523"/>
      <w:r>
        <w:rPr>
          <w:rFonts w:hint="eastAsia"/>
          <w:color w:val="auto"/>
          <w:sz w:val="32"/>
          <w:szCs w:val="32"/>
          <w:highlight w:val="none"/>
        </w:rPr>
        <w:t>2.</w:t>
      </w:r>
      <w:r>
        <w:rPr>
          <w:rFonts w:hint="eastAsia"/>
          <w:color w:val="auto"/>
          <w:sz w:val="32"/>
          <w:szCs w:val="32"/>
          <w:highlight w:val="none"/>
          <w:lang w:val="en-US" w:eastAsia="zh-CN"/>
        </w:rPr>
        <w:t>10</w:t>
      </w:r>
      <w:r>
        <w:rPr>
          <w:rFonts w:hint="eastAsia"/>
          <w:color w:val="auto"/>
          <w:sz w:val="32"/>
          <w:szCs w:val="32"/>
          <w:highlight w:val="none"/>
        </w:rPr>
        <w:t>询问、质疑和投诉</w:t>
      </w:r>
      <w:bookmarkEnd w:id="112"/>
      <w:bookmarkEnd w:id="113"/>
    </w:p>
    <w:p>
      <w:pPr>
        <w:pStyle w:val="27"/>
        <w:numPr>
          <w:ilvl w:val="0"/>
          <w:numId w:val="0"/>
        </w:numPr>
        <w:tabs>
          <w:tab w:val="left" w:pos="1134"/>
        </w:tabs>
        <w:spacing w:after="0"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rPr>
        <w:t>供应商认为磋商文件、磋商过程和成交结果使自己的合法权益受到损害的，可以依法进行质疑。</w:t>
      </w:r>
    </w:p>
    <w:p>
      <w:pPr>
        <w:pStyle w:val="237"/>
        <w:widowControl/>
        <w:numPr>
          <w:ilvl w:val="0"/>
          <w:numId w:val="0"/>
        </w:numPr>
        <w:tabs>
          <w:tab w:val="left" w:pos="1134"/>
        </w:tabs>
        <w:spacing w:before="156"/>
        <w:ind w:firstLine="560" w:firstLineChars="200"/>
        <w:jc w:val="left"/>
        <w:rPr>
          <w:rFonts w:ascii="宋体" w:hAnsi="宋体" w:eastAsia="宋体"/>
          <w:color w:val="auto"/>
          <w:sz w:val="28"/>
          <w:szCs w:val="28"/>
          <w:highlight w:val="none"/>
        </w:rPr>
      </w:pPr>
      <w:r>
        <w:rPr>
          <w:rFonts w:hint="eastAsia"/>
          <w:color w:val="auto"/>
          <w:sz w:val="28"/>
          <w:szCs w:val="28"/>
          <w:highlight w:val="none"/>
          <w:lang w:val="en-US" w:eastAsia="zh-CN"/>
        </w:rPr>
        <w:t>二、</w:t>
      </w:r>
      <w:r>
        <w:rPr>
          <w:rFonts w:hint="eastAsia" w:ascii="宋体" w:hAnsi="宋体" w:eastAsia="宋体"/>
          <w:color w:val="auto"/>
          <w:sz w:val="28"/>
          <w:szCs w:val="28"/>
          <w:highlight w:val="none"/>
        </w:rPr>
        <w:t>询问、质疑、投诉的接收和处理严格按照《中华人民共和国政府采购法》《中华人民共和国政府采购法实施条例》和《政府采购质疑和投诉办法》（财政部94号令）的规定办理。</w:t>
      </w:r>
    </w:p>
    <w:p>
      <w:pPr>
        <w:pStyle w:val="27"/>
        <w:numPr>
          <w:ilvl w:val="0"/>
          <w:numId w:val="0"/>
        </w:numPr>
        <w:tabs>
          <w:tab w:val="left" w:pos="1134"/>
        </w:tabs>
        <w:spacing w:after="0" w:line="600" w:lineRule="exact"/>
        <w:ind w:leftChars="257"/>
        <w:rPr>
          <w:rFonts w:ascii="宋体" w:hAnsi="宋体"/>
          <w:color w:val="auto"/>
          <w:sz w:val="28"/>
          <w:szCs w:val="28"/>
          <w:highlight w:val="none"/>
        </w:rPr>
      </w:pP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供应商询问、质疑的对象</w:t>
      </w:r>
    </w:p>
    <w:p>
      <w:pPr>
        <w:pStyle w:val="27"/>
        <w:numPr>
          <w:ilvl w:val="0"/>
          <w:numId w:val="0"/>
        </w:num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一）</w:t>
      </w:r>
      <w:r>
        <w:rPr>
          <w:rFonts w:hint="eastAsia" w:ascii="宋体" w:hAnsi="宋体"/>
          <w:color w:val="auto"/>
          <w:sz w:val="28"/>
          <w:szCs w:val="28"/>
          <w:highlight w:val="none"/>
        </w:rPr>
        <w:t>供应商对磋商文件中供应商参加本次政府采购活动应当具备的条件，项目技术、服务、商务及其他要求，评审办法</w:t>
      </w:r>
      <w:r>
        <w:rPr>
          <w:rFonts w:ascii="宋体" w:hAnsi="宋体"/>
          <w:color w:val="auto"/>
          <w:sz w:val="28"/>
          <w:szCs w:val="28"/>
          <w:highlight w:val="none"/>
        </w:rPr>
        <w:t>和</w:t>
      </w:r>
      <w:r>
        <w:rPr>
          <w:rFonts w:hint="eastAsia" w:ascii="宋体" w:hAnsi="宋体"/>
          <w:color w:val="auto"/>
          <w:sz w:val="28"/>
          <w:szCs w:val="28"/>
          <w:highlight w:val="none"/>
        </w:rPr>
        <w:t>标准提出询问或质疑的，应通过</w:t>
      </w:r>
      <w:r>
        <w:rPr>
          <w:rFonts w:ascii="宋体" w:hAnsi="宋体"/>
          <w:color w:val="auto"/>
          <w:sz w:val="28"/>
          <w:szCs w:val="28"/>
          <w:highlight w:val="none"/>
        </w:rPr>
        <w:t>政府采购云平台</w:t>
      </w:r>
      <w:r>
        <w:rPr>
          <w:rFonts w:hint="eastAsia" w:ascii="宋体" w:hAnsi="宋体"/>
          <w:color w:val="auto"/>
          <w:sz w:val="28"/>
          <w:szCs w:val="28"/>
          <w:highlight w:val="none"/>
        </w:rPr>
        <w:t>向采购人提出；</w:t>
      </w:r>
    </w:p>
    <w:p>
      <w:pPr>
        <w:pStyle w:val="27"/>
        <w:numPr>
          <w:ilvl w:val="0"/>
          <w:numId w:val="0"/>
        </w:numPr>
        <w:tabs>
          <w:tab w:val="left" w:pos="1134"/>
        </w:tabs>
        <w:spacing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供应商对除上述磋商文件中的其他内容、采购过程及成交结果提出询问、质疑的，应通过</w:t>
      </w:r>
      <w:r>
        <w:rPr>
          <w:rFonts w:ascii="宋体" w:hAnsi="宋体"/>
          <w:color w:val="auto"/>
          <w:sz w:val="28"/>
          <w:szCs w:val="28"/>
          <w:highlight w:val="none"/>
        </w:rPr>
        <w:t>政府采购云平台</w:t>
      </w:r>
      <w:r>
        <w:rPr>
          <w:rFonts w:hint="eastAsia" w:ascii="宋体" w:hAnsi="宋体"/>
          <w:color w:val="auto"/>
          <w:sz w:val="28"/>
          <w:szCs w:val="28"/>
          <w:highlight w:val="none"/>
        </w:rPr>
        <w:t>向</w:t>
      </w:r>
      <w:r>
        <w:rPr>
          <w:rFonts w:hint="eastAsia" w:ascii="宋体" w:hAnsi="宋体"/>
          <w:color w:val="auto"/>
          <w:sz w:val="28"/>
          <w:szCs w:val="28"/>
          <w:highlight w:val="none"/>
          <w:lang w:eastAsia="zh-CN"/>
        </w:rPr>
        <w:t>区</w:t>
      </w:r>
      <w:r>
        <w:rPr>
          <w:rFonts w:hint="eastAsia" w:ascii="宋体" w:hAnsi="宋体"/>
          <w:color w:val="auto"/>
          <w:sz w:val="28"/>
          <w:szCs w:val="28"/>
          <w:highlight w:val="none"/>
        </w:rPr>
        <w:t>公资交易中心提出。</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供应商提出的询问，应当明确询问事项，如以书面形式提出的，应由供应商法定代表人签字并加盖公章。</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供应商应在法定质疑期内一次性提出针对同一采购程序环节的质疑。</w:t>
      </w:r>
    </w:p>
    <w:p>
      <w:pPr>
        <w:pStyle w:val="27"/>
        <w:numPr>
          <w:ilvl w:val="0"/>
          <w:numId w:val="0"/>
        </w:numPr>
        <w:tabs>
          <w:tab w:val="left" w:pos="1134"/>
        </w:tabs>
        <w:spacing w:after="0" w:line="6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供应商提出质疑时应当准备的资料</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ascii="宋体" w:hAnsi="宋体" w:eastAsia="宋体"/>
          <w:color w:val="auto"/>
          <w:sz w:val="28"/>
          <w:szCs w:val="28"/>
          <w:highlight w:val="none"/>
        </w:rPr>
        <w:t>质疑书</w:t>
      </w:r>
      <w:r>
        <w:rPr>
          <w:rFonts w:hint="eastAsia" w:ascii="宋体" w:hAnsi="宋体" w:eastAsia="宋体"/>
          <w:color w:val="auto"/>
          <w:sz w:val="28"/>
          <w:szCs w:val="28"/>
          <w:highlight w:val="none"/>
        </w:rPr>
        <w:t>1</w:t>
      </w:r>
      <w:r>
        <w:rPr>
          <w:rFonts w:ascii="宋体" w:hAnsi="宋体" w:eastAsia="宋体"/>
          <w:color w:val="auto"/>
          <w:sz w:val="28"/>
          <w:szCs w:val="28"/>
          <w:highlight w:val="none"/>
        </w:rPr>
        <w:t>份</w:t>
      </w:r>
      <w:r>
        <w:rPr>
          <w:rFonts w:hint="eastAsia" w:ascii="宋体" w:hAnsi="宋体" w:eastAsia="宋体"/>
          <w:color w:val="auto"/>
          <w:sz w:val="28"/>
          <w:szCs w:val="28"/>
          <w:highlight w:val="none"/>
        </w:rPr>
        <w:t>（加盖公章）；</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委托代理人办理质疑事宜的，需提供法定代表人授权委托书1份（加盖公章）；</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营业执照或法人证书复印件1份；</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法定代表人身份证复印件1份；</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委托代理人身份证复印件1份（委托代理人办理质疑事宜的需提供）；</w:t>
      </w:r>
    </w:p>
    <w:p>
      <w:pPr>
        <w:pStyle w:val="237"/>
        <w:numPr>
          <w:ilvl w:val="1"/>
          <w:numId w:val="8"/>
        </w:numPr>
        <w:tabs>
          <w:tab w:val="left" w:pos="1134"/>
        </w:tabs>
        <w:spacing w:before="156" w:after="200" w:line="600" w:lineRule="exact"/>
        <w:ind w:left="0" w:firstLine="567"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针对质疑事项必要的证明材料。</w:t>
      </w:r>
    </w:p>
    <w:p>
      <w:pPr>
        <w:pStyle w:val="27"/>
        <w:tabs>
          <w:tab w:val="left" w:pos="1134"/>
        </w:tabs>
        <w:spacing w:after="200" w:line="360" w:lineRule="auto"/>
        <w:ind w:left="0" w:leftChars="0" w:firstLine="700" w:firstLineChars="250"/>
        <w:rPr>
          <w:color w:val="auto"/>
          <w:sz w:val="28"/>
          <w:szCs w:val="28"/>
          <w:highlight w:val="none"/>
        </w:rPr>
      </w:pPr>
      <w:r>
        <w:rPr>
          <w:rFonts w:hint="eastAsia" w:ascii="宋体" w:hAnsi="宋体"/>
          <w:color w:val="auto"/>
          <w:sz w:val="28"/>
          <w:szCs w:val="28"/>
          <w:highlight w:val="none"/>
        </w:rPr>
        <w:t>供应商对采购人、集中采购机构的质疑答复不满意，或者采购人、集中采购机构未在规定期限内作出答复的，供应商可以在答复期满后15个工作日内向同级财政部门提起投诉。</w:t>
      </w:r>
      <w:bookmarkStart w:id="114" w:name="_Toc77688483"/>
      <w:bookmarkEnd w:id="114"/>
      <w:bookmarkStart w:id="115" w:name="_Toc77688482"/>
      <w:bookmarkEnd w:id="115"/>
      <w:bookmarkStart w:id="116" w:name="_Toc77688481"/>
      <w:bookmarkEnd w:id="116"/>
      <w:bookmarkStart w:id="117" w:name="_Toc376425021"/>
      <w:bookmarkEnd w:id="117"/>
    </w:p>
    <w:p>
      <w:pPr>
        <w:pStyle w:val="4"/>
        <w:numPr>
          <w:ilvl w:val="0"/>
          <w:numId w:val="0"/>
        </w:numPr>
        <w:spacing w:before="156" w:after="156"/>
        <w:rPr>
          <w:color w:val="auto"/>
          <w:sz w:val="32"/>
          <w:szCs w:val="32"/>
          <w:highlight w:val="none"/>
        </w:rPr>
      </w:pPr>
      <w:bookmarkStart w:id="118" w:name="_Toc25564"/>
      <w:bookmarkStart w:id="119" w:name="_Toc10678"/>
      <w:r>
        <w:rPr>
          <w:rFonts w:hint="eastAsia"/>
          <w:color w:val="auto"/>
          <w:sz w:val="32"/>
          <w:szCs w:val="32"/>
          <w:highlight w:val="none"/>
        </w:rPr>
        <w:t>2.</w:t>
      </w:r>
      <w:bookmarkStart w:id="120" w:name="_Toc74926772"/>
      <w:r>
        <w:rPr>
          <w:rFonts w:hint="eastAsia"/>
          <w:color w:val="auto"/>
          <w:sz w:val="32"/>
          <w:szCs w:val="32"/>
          <w:highlight w:val="none"/>
          <w:lang w:val="en-US" w:eastAsia="zh-CN"/>
        </w:rPr>
        <w:t>11</w:t>
      </w:r>
      <w:r>
        <w:rPr>
          <w:rFonts w:hint="eastAsia" w:ascii="宋体" w:hAnsi="宋体"/>
          <w:b/>
          <w:bCs/>
          <w:color w:val="auto"/>
          <w:sz w:val="32"/>
          <w:szCs w:val="32"/>
          <w:highlight w:val="none"/>
        </w:rPr>
        <w:t>中小企业政府采购信用融资</w:t>
      </w:r>
      <w:bookmarkEnd w:id="118"/>
      <w:bookmarkEnd w:id="119"/>
      <w:bookmarkEnd w:id="120"/>
    </w:p>
    <w:p>
      <w:pPr>
        <w:pStyle w:val="113"/>
        <w:ind w:firstLine="480"/>
        <w:rPr>
          <w:rFonts w:hint="eastAsia"/>
          <w:color w:val="auto"/>
          <w:sz w:val="28"/>
          <w:szCs w:val="24"/>
          <w:highlight w:val="none"/>
          <w:lang w:eastAsia="zh-CN"/>
        </w:rPr>
      </w:pPr>
      <w:r>
        <w:rPr>
          <w:rFonts w:hint="eastAsia" w:ascii="宋体" w:hAnsi="宋体"/>
          <w:color w:val="auto"/>
          <w:sz w:val="28"/>
          <w:szCs w:val="24"/>
          <w:highlight w:val="none"/>
        </w:rPr>
        <w:t>参加本次采购活动成交的中小企业无需提供财产抵押或第三方担保，凭借政府采购合同可向融资机构申请融资。具体内容详见附件《成都市温江区财政局关于公布温江区首批支持中小企业政府采购信用融资银行名单的公告》和《成都市财政局关于公布成都市首批在线开展政府采购信用融资业务银行名单的通知》（成财采〔2019〕49号）。</w:t>
      </w:r>
    </w:p>
    <w:p>
      <w:pPr>
        <w:rPr>
          <w:color w:val="auto"/>
          <w:sz w:val="22"/>
          <w:szCs w:val="24"/>
          <w:highlight w:val="none"/>
        </w:rPr>
      </w:pPr>
      <w:bookmarkStart w:id="121" w:name="EB779828d01d25400aa2feafedf89f74b6"/>
      <w:r>
        <w:rPr>
          <w:rFonts w:hint="eastAsia"/>
          <w:color w:val="auto"/>
          <w:sz w:val="21"/>
          <w:szCs w:val="24"/>
          <w:highlight w:val="none"/>
        </w:rPr>
        <w:t xml:space="preserve"> </w:t>
      </w:r>
      <w:bookmarkEnd w:id="121"/>
    </w:p>
    <w:p>
      <w:pPr>
        <w:numPr>
          <w:ilvl w:val="0"/>
          <w:numId w:val="9"/>
        </w:numPr>
        <w:tabs>
          <w:tab w:val="left" w:pos="1200"/>
        </w:tabs>
        <w:spacing w:line="360" w:lineRule="auto"/>
        <w:rPr>
          <w:color w:val="auto"/>
          <w:sz w:val="32"/>
          <w:szCs w:val="32"/>
          <w:highlight w:val="none"/>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p>
    <w:p>
      <w:pPr>
        <w:pStyle w:val="3"/>
        <w:jc w:val="center"/>
        <w:rPr>
          <w:rFonts w:hint="eastAsia"/>
          <w:color w:val="000000"/>
        </w:rPr>
      </w:pPr>
      <w:bookmarkStart w:id="122" w:name="_Toc28249"/>
      <w:r>
        <w:rPr>
          <w:rFonts w:hint="eastAsia"/>
          <w:color w:val="000000"/>
        </w:rPr>
        <w:t>第3章 响应文件格式</w:t>
      </w:r>
      <w:bookmarkEnd w:id="47"/>
      <w:bookmarkEnd w:id="48"/>
      <w:bookmarkEnd w:id="122"/>
    </w:p>
    <w:p>
      <w:pPr>
        <w:jc w:val="center"/>
        <w:rPr>
          <w:color w:val="000000"/>
        </w:rPr>
      </w:pPr>
    </w:p>
    <w:p>
      <w:pPr>
        <w:pStyle w:val="4"/>
        <w:numPr>
          <w:ilvl w:val="1"/>
          <w:numId w:val="0"/>
        </w:numPr>
        <w:spacing w:before="0" w:after="200"/>
        <w:ind w:leftChars="0"/>
        <w:jc w:val="both"/>
        <w:rPr>
          <w:color w:val="auto"/>
          <w:highlight w:val="none"/>
        </w:rPr>
      </w:pPr>
      <w:bookmarkStart w:id="123" w:name="_Toc77688486"/>
      <w:bookmarkStart w:id="124" w:name="_Toc58943336"/>
      <w:bookmarkStart w:id="125" w:name="_Toc3518"/>
      <w:bookmarkStart w:id="126" w:name="_Toc16471"/>
      <w:r>
        <w:rPr>
          <w:rFonts w:hint="eastAsia"/>
          <w:color w:val="auto"/>
          <w:highlight w:val="none"/>
          <w:lang w:val="en-US" w:eastAsia="zh-CN"/>
        </w:rPr>
        <w:t>3.1</w:t>
      </w:r>
      <w:r>
        <w:rPr>
          <w:rFonts w:hint="eastAsia"/>
          <w:color w:val="auto"/>
          <w:highlight w:val="none"/>
        </w:rPr>
        <w:t>资格性响应文件格式</w:t>
      </w:r>
      <w:bookmarkEnd w:id="123"/>
      <w:bookmarkEnd w:id="124"/>
      <w:bookmarkEnd w:id="125"/>
      <w:bookmarkEnd w:id="126"/>
    </w:p>
    <w:p>
      <w:pPr>
        <w:pStyle w:val="5"/>
        <w:numPr>
          <w:ilvl w:val="2"/>
          <w:numId w:val="0"/>
        </w:numPr>
        <w:tabs>
          <w:tab w:val="left" w:pos="709"/>
        </w:tabs>
        <w:spacing w:after="200"/>
        <w:ind w:leftChars="0"/>
        <w:rPr>
          <w:color w:val="auto"/>
          <w:highlight w:val="none"/>
        </w:rPr>
      </w:pPr>
      <w:bookmarkStart w:id="127" w:name="_Toc320698761"/>
      <w:bookmarkStart w:id="128" w:name="_Toc1191"/>
      <w:bookmarkStart w:id="129" w:name="_Toc27971"/>
      <w:r>
        <w:rPr>
          <w:rFonts w:hint="eastAsia"/>
          <w:color w:val="auto"/>
          <w:highlight w:val="none"/>
          <w:lang w:val="en-US" w:eastAsia="zh-CN"/>
        </w:rPr>
        <w:t>3.1.1.</w:t>
      </w:r>
      <w:r>
        <w:rPr>
          <w:rFonts w:hint="eastAsia"/>
          <w:color w:val="auto"/>
          <w:highlight w:val="none"/>
        </w:rPr>
        <w:t>资格性响应文件封面格式</w:t>
      </w:r>
      <w:bookmarkEnd w:id="127"/>
      <w:bookmarkEnd w:id="128"/>
      <w:bookmarkEnd w:id="129"/>
    </w:p>
    <w:p>
      <w:pPr>
        <w:pStyle w:val="131"/>
        <w:spacing w:line="360" w:lineRule="auto"/>
        <w:jc w:val="center"/>
        <w:rPr>
          <w:rFonts w:hint="eastAsia" w:ascii="宋体" w:hAnsi="宋体"/>
          <w:color w:val="000000"/>
          <w:spacing w:val="78"/>
          <w:sz w:val="96"/>
          <w:szCs w:val="120"/>
        </w:rPr>
      </w:pPr>
    </w:p>
    <w:p>
      <w:pPr>
        <w:pStyle w:val="131"/>
        <w:spacing w:line="360" w:lineRule="auto"/>
        <w:rPr>
          <w:rFonts w:hint="eastAsia" w:ascii="宋体" w:hAnsi="宋体"/>
          <w:color w:val="000000"/>
          <w:spacing w:val="78"/>
          <w:sz w:val="96"/>
          <w:szCs w:val="120"/>
        </w:rPr>
      </w:pPr>
    </w:p>
    <w:p>
      <w:pPr>
        <w:jc w:val="center"/>
        <w:rPr>
          <w:rFonts w:ascii="宋体" w:hAnsi="宋体"/>
          <w:color w:val="auto"/>
          <w:sz w:val="84"/>
          <w:szCs w:val="84"/>
          <w:highlight w:val="none"/>
        </w:rPr>
      </w:pPr>
      <w:r>
        <w:rPr>
          <w:rFonts w:hint="eastAsia" w:ascii="宋体" w:hAnsi="宋体"/>
          <w:color w:val="auto"/>
          <w:sz w:val="84"/>
          <w:szCs w:val="84"/>
          <w:highlight w:val="none"/>
        </w:rPr>
        <w:t>资格性响应文件</w:t>
      </w:r>
    </w:p>
    <w:p>
      <w:pPr>
        <w:pStyle w:val="131"/>
        <w:spacing w:line="360" w:lineRule="auto"/>
        <w:ind w:firstLine="600" w:firstLineChars="200"/>
        <w:jc w:val="center"/>
        <w:rPr>
          <w:rFonts w:hint="eastAsia" w:ascii="宋体" w:hAnsi="宋体"/>
          <w:bCs/>
          <w:color w:val="000000"/>
          <w:sz w:val="30"/>
          <w:szCs w:val="30"/>
        </w:rPr>
      </w:pPr>
    </w:p>
    <w:p>
      <w:pPr>
        <w:pStyle w:val="131"/>
        <w:spacing w:line="360" w:lineRule="auto"/>
        <w:ind w:firstLine="600" w:firstLineChars="200"/>
        <w:rPr>
          <w:rFonts w:hint="eastAsia" w:ascii="宋体" w:hAnsi="宋体"/>
          <w:bCs/>
          <w:color w:val="000000"/>
          <w:sz w:val="30"/>
          <w:szCs w:val="30"/>
        </w:rPr>
      </w:pPr>
    </w:p>
    <w:p>
      <w:pPr>
        <w:pStyle w:val="131"/>
        <w:spacing w:line="360" w:lineRule="auto"/>
        <w:rPr>
          <w:rFonts w:hint="eastAsia" w:ascii="宋体" w:hAnsi="宋体"/>
          <w:b/>
          <w:bCs/>
          <w:color w:val="000000"/>
          <w:sz w:val="28"/>
          <w:szCs w:val="28"/>
          <w:u w:val="single"/>
          <w:lang w:eastAsia="zh-CN"/>
        </w:rPr>
      </w:pPr>
      <w:r>
        <w:rPr>
          <w:rFonts w:hint="eastAsia" w:ascii="宋体" w:hAnsi="宋体"/>
          <w:b/>
          <w:bCs/>
          <w:color w:val="000000"/>
          <w:sz w:val="30"/>
          <w:szCs w:val="30"/>
        </w:rPr>
        <w:t>项目名称：</w:t>
      </w:r>
      <w:r>
        <w:rPr>
          <w:rFonts w:hint="eastAsia" w:ascii="宋体" w:hAnsi="宋体"/>
          <w:b/>
          <w:bCs/>
          <w:color w:val="000000"/>
          <w:sz w:val="28"/>
          <w:szCs w:val="28"/>
          <w:u w:val="single"/>
          <w:lang w:eastAsia="zh-CN"/>
        </w:rPr>
        <w:t>成都市温江区第二中学校机房及创客设备采购项目</w:t>
      </w:r>
    </w:p>
    <w:p>
      <w:pPr>
        <w:pStyle w:val="131"/>
        <w:spacing w:line="360" w:lineRule="auto"/>
        <w:rPr>
          <w:rFonts w:hint="eastAsia" w:ascii="宋体" w:hAnsi="宋体" w:eastAsia="宋体"/>
          <w:b/>
          <w:bCs/>
          <w:color w:val="000000"/>
          <w:sz w:val="30"/>
          <w:szCs w:val="30"/>
          <w:lang w:eastAsia="zh-CN"/>
        </w:rPr>
      </w:pPr>
      <w:r>
        <w:rPr>
          <w:rFonts w:hint="eastAsia" w:ascii="宋体" w:hAnsi="宋体"/>
          <w:b/>
          <w:bCs/>
          <w:color w:val="000000"/>
          <w:sz w:val="30"/>
          <w:szCs w:val="30"/>
        </w:rPr>
        <w:t>项目编号：</w:t>
      </w:r>
      <w:r>
        <w:rPr>
          <w:rFonts w:hint="eastAsia" w:ascii="宋体" w:hAnsi="宋体"/>
          <w:b/>
          <w:bCs/>
          <w:color w:val="000000"/>
          <w:sz w:val="28"/>
          <w:szCs w:val="28"/>
          <w:u w:val="single"/>
          <w:lang w:eastAsia="zh-CN"/>
        </w:rPr>
        <w:t>温江政采（2021）A0063号</w:t>
      </w:r>
    </w:p>
    <w:p>
      <w:pPr>
        <w:pStyle w:val="131"/>
        <w:spacing w:line="360" w:lineRule="auto"/>
        <w:rPr>
          <w:rFonts w:hint="eastAsia" w:ascii="宋体" w:hAnsi="宋体"/>
          <w:b/>
          <w:bCs/>
          <w:color w:val="000000"/>
          <w:sz w:val="30"/>
          <w:szCs w:val="30"/>
        </w:rPr>
      </w:pPr>
    </w:p>
    <w:p>
      <w:pPr>
        <w:pStyle w:val="131"/>
        <w:spacing w:line="360" w:lineRule="auto"/>
        <w:rPr>
          <w:rFonts w:hint="eastAsia" w:ascii="宋体" w:hAnsi="宋体"/>
          <w:b/>
          <w:bCs/>
          <w:color w:val="000000"/>
          <w:sz w:val="30"/>
          <w:szCs w:val="30"/>
        </w:rPr>
      </w:pPr>
    </w:p>
    <w:p>
      <w:pPr>
        <w:pStyle w:val="131"/>
        <w:spacing w:line="360" w:lineRule="auto"/>
        <w:rPr>
          <w:rFonts w:hint="eastAsia" w:ascii="宋体" w:hAnsi="宋体"/>
          <w:b/>
          <w:bCs/>
          <w:color w:val="000000"/>
          <w:sz w:val="30"/>
          <w:szCs w:val="30"/>
        </w:rPr>
      </w:pPr>
    </w:p>
    <w:p>
      <w:pPr>
        <w:pStyle w:val="131"/>
        <w:spacing w:line="360" w:lineRule="auto"/>
        <w:ind w:firstLine="1205" w:firstLineChars="400"/>
        <w:rPr>
          <w:rFonts w:hint="eastAsia" w:ascii="宋体" w:hAnsi="宋体"/>
          <w:b/>
          <w:bCs/>
          <w:color w:val="000000"/>
          <w:sz w:val="30"/>
          <w:szCs w:val="30"/>
          <w:u w:val="single"/>
        </w:rPr>
      </w:pPr>
      <w:r>
        <w:rPr>
          <w:rFonts w:hint="eastAsia" w:ascii="宋体" w:hAnsi="宋体"/>
          <w:b/>
          <w:bCs/>
          <w:color w:val="000000"/>
          <w:sz w:val="30"/>
          <w:szCs w:val="30"/>
        </w:rPr>
        <w:t>供应商名称：</w:t>
      </w:r>
      <w:r>
        <w:rPr>
          <w:rFonts w:hint="eastAsia" w:ascii="宋体" w:hAnsi="宋体"/>
          <w:b/>
          <w:bCs/>
          <w:color w:val="000000"/>
          <w:sz w:val="28"/>
          <w:szCs w:val="28"/>
          <w:u w:val="single"/>
          <w:lang w:val="en-US" w:eastAsia="zh-CN"/>
        </w:rPr>
        <w:t xml:space="preserve">                          </w:t>
      </w:r>
      <w:r>
        <w:rPr>
          <w:rFonts w:hint="eastAsia" w:ascii="宋体" w:hAnsi="宋体" w:cs="宋体"/>
          <w:i/>
          <w:iCs/>
          <w:color w:val="auto"/>
          <w:sz w:val="30"/>
          <w:szCs w:val="30"/>
          <w:highlight w:val="none"/>
          <w:u w:val="single"/>
          <w:lang w:val="zh-CN"/>
        </w:rPr>
        <w:t xml:space="preserve">    </w:t>
      </w:r>
      <w:r>
        <w:rPr>
          <w:rFonts w:hint="eastAsia" w:ascii="宋体" w:hAnsi="宋体" w:cs="宋体"/>
          <w:i/>
          <w:iCs/>
          <w:color w:val="auto"/>
          <w:sz w:val="30"/>
          <w:szCs w:val="30"/>
          <w:highlight w:val="none"/>
          <w:u w:val="single"/>
        </w:rPr>
        <w:t xml:space="preserve">    </w:t>
      </w:r>
      <w:r>
        <w:rPr>
          <w:rFonts w:hint="eastAsia" w:ascii="宋体" w:hAnsi="宋体" w:cs="宋体"/>
          <w:i/>
          <w:iCs/>
          <w:color w:val="auto"/>
          <w:sz w:val="30"/>
          <w:szCs w:val="30"/>
          <w:highlight w:val="none"/>
          <w:u w:val="single"/>
          <w:lang w:val="zh-CN"/>
        </w:rPr>
        <w:t xml:space="preserve">  </w:t>
      </w:r>
      <w:r>
        <w:rPr>
          <w:rFonts w:hint="eastAsia" w:ascii="宋体" w:hAnsi="宋体" w:cs="宋体"/>
          <w:i/>
          <w:iCs/>
          <w:color w:val="auto"/>
          <w:sz w:val="30"/>
          <w:szCs w:val="30"/>
          <w:highlight w:val="none"/>
          <w:u w:val="single"/>
        </w:rPr>
        <w:t xml:space="preserve">    </w:t>
      </w:r>
      <w:r>
        <w:rPr>
          <w:rFonts w:hint="eastAsia" w:ascii="宋体" w:hAnsi="宋体"/>
          <w:b/>
          <w:bCs/>
          <w:i/>
          <w:iCs/>
          <w:color w:val="auto"/>
          <w:sz w:val="30"/>
          <w:szCs w:val="30"/>
          <w:highlight w:val="none"/>
          <w:u w:val="single"/>
        </w:rPr>
        <w:t xml:space="preserve"> </w:t>
      </w:r>
      <w:r>
        <w:rPr>
          <w:rFonts w:hint="eastAsia" w:ascii="宋体" w:hAnsi="宋体"/>
          <w:b/>
          <w:bCs/>
          <w:i/>
          <w:iCs/>
          <w:color w:val="000000"/>
          <w:sz w:val="30"/>
          <w:szCs w:val="30"/>
          <w:u w:val="single"/>
        </w:rPr>
        <w:t xml:space="preserve"> </w:t>
      </w:r>
      <w:r>
        <w:rPr>
          <w:rFonts w:hint="eastAsia" w:ascii="宋体" w:hAnsi="宋体"/>
          <w:b/>
          <w:bCs/>
          <w:color w:val="000000"/>
          <w:sz w:val="30"/>
          <w:szCs w:val="30"/>
        </w:rPr>
        <w:t xml:space="preserve">  </w:t>
      </w:r>
      <w:r>
        <w:rPr>
          <w:rFonts w:hint="eastAsia" w:ascii="宋体" w:hAnsi="宋体"/>
          <w:b/>
          <w:bCs/>
          <w:color w:val="000000"/>
          <w:sz w:val="30"/>
          <w:szCs w:val="30"/>
          <w:u w:val="single"/>
        </w:rPr>
        <w:t xml:space="preserve">              </w:t>
      </w:r>
      <w:r>
        <w:rPr>
          <w:rFonts w:hint="eastAsia" w:ascii="宋体" w:hAnsi="宋体" w:cs="宋体"/>
          <w:color w:val="000000"/>
          <w:sz w:val="30"/>
          <w:szCs w:val="30"/>
          <w:u w:val="single"/>
          <w:lang w:val="zh-CN"/>
        </w:rPr>
        <w:t xml:space="preserve">    </w:t>
      </w:r>
      <w:r>
        <w:rPr>
          <w:rFonts w:hint="eastAsia" w:ascii="宋体" w:hAnsi="宋体" w:cs="宋体"/>
          <w:color w:val="000000"/>
          <w:sz w:val="30"/>
          <w:szCs w:val="30"/>
          <w:u w:val="single"/>
        </w:rPr>
        <w:t xml:space="preserve">    </w:t>
      </w:r>
      <w:r>
        <w:rPr>
          <w:rFonts w:hint="eastAsia" w:ascii="宋体" w:hAnsi="宋体" w:cs="宋体"/>
          <w:color w:val="000000"/>
          <w:sz w:val="30"/>
          <w:szCs w:val="30"/>
          <w:u w:val="single"/>
          <w:lang w:val="zh-CN"/>
        </w:rPr>
        <w:t xml:space="preserve">  </w:t>
      </w:r>
      <w:r>
        <w:rPr>
          <w:rFonts w:hint="eastAsia" w:ascii="宋体" w:hAnsi="宋体" w:cs="宋体"/>
          <w:color w:val="000000"/>
          <w:sz w:val="30"/>
          <w:szCs w:val="30"/>
          <w:u w:val="single"/>
        </w:rPr>
        <w:t xml:space="preserve">          </w:t>
      </w:r>
      <w:r>
        <w:rPr>
          <w:rFonts w:hint="eastAsia" w:ascii="宋体" w:hAnsi="宋体"/>
          <w:b/>
          <w:bCs/>
          <w:color w:val="000000"/>
          <w:sz w:val="30"/>
          <w:szCs w:val="30"/>
          <w:u w:val="single"/>
        </w:rPr>
        <w:t xml:space="preserve"> </w:t>
      </w:r>
    </w:p>
    <w:p>
      <w:pPr>
        <w:pStyle w:val="131"/>
        <w:spacing w:line="360" w:lineRule="auto"/>
        <w:ind w:firstLine="602" w:firstLineChars="200"/>
        <w:rPr>
          <w:rFonts w:hint="eastAsia" w:ascii="宋体" w:hAnsi="宋体"/>
          <w:b/>
          <w:bCs/>
          <w:color w:val="000000"/>
          <w:sz w:val="30"/>
          <w:szCs w:val="30"/>
          <w:u w:val="single"/>
        </w:rPr>
      </w:pPr>
    </w:p>
    <w:p>
      <w:pPr>
        <w:pStyle w:val="131"/>
        <w:spacing w:line="360" w:lineRule="auto"/>
        <w:ind w:firstLine="1205" w:firstLineChars="400"/>
        <w:rPr>
          <w:rFonts w:hint="eastAsia" w:ascii="宋体" w:hAnsi="宋体" w:eastAsia="宋体" w:cs="宋体"/>
          <w:color w:val="000000"/>
          <w:lang w:val="en-US" w:eastAsia="zh-CN"/>
        </w:rPr>
      </w:pPr>
      <w:r>
        <w:rPr>
          <w:rFonts w:hint="eastAsia" w:ascii="宋体" w:hAnsi="宋体"/>
          <w:b/>
          <w:bCs/>
          <w:color w:val="000000"/>
          <w:sz w:val="30"/>
          <w:szCs w:val="30"/>
        </w:rPr>
        <w:t>日      期：</w:t>
      </w:r>
      <w:r>
        <w:rPr>
          <w:rFonts w:hint="eastAsia" w:ascii="宋体" w:hAnsi="宋体"/>
          <w:b/>
          <w:bCs/>
          <w:color w:val="000000"/>
          <w:sz w:val="30"/>
          <w:szCs w:val="30"/>
          <w:u w:val="single"/>
        </w:rPr>
        <w:t xml:space="preserve">       </w:t>
      </w:r>
      <w:r>
        <w:rPr>
          <w:rFonts w:hint="eastAsia" w:ascii="宋体" w:hAnsi="宋体"/>
          <w:b/>
          <w:bCs/>
          <w:color w:val="000000"/>
          <w:sz w:val="30"/>
          <w:szCs w:val="30"/>
        </w:rPr>
        <w:t>年</w:t>
      </w:r>
      <w:r>
        <w:rPr>
          <w:rFonts w:hint="eastAsia" w:ascii="宋体" w:hAnsi="宋体"/>
          <w:b/>
          <w:bCs/>
          <w:color w:val="000000"/>
          <w:sz w:val="30"/>
          <w:szCs w:val="30"/>
          <w:u w:val="single"/>
        </w:rPr>
        <w:t xml:space="preserve">       </w:t>
      </w:r>
      <w:r>
        <w:rPr>
          <w:rFonts w:hint="eastAsia" w:ascii="宋体" w:hAnsi="宋体"/>
          <w:b/>
          <w:bCs/>
          <w:color w:val="000000"/>
          <w:sz w:val="30"/>
          <w:szCs w:val="30"/>
        </w:rPr>
        <w:t>月</w:t>
      </w:r>
      <w:r>
        <w:rPr>
          <w:rFonts w:hint="eastAsia" w:ascii="宋体" w:hAnsi="宋体"/>
          <w:b/>
          <w:bCs/>
          <w:color w:val="000000"/>
          <w:sz w:val="30"/>
          <w:szCs w:val="30"/>
          <w:u w:val="single"/>
        </w:rPr>
        <w:t xml:space="preserve">      </w:t>
      </w:r>
      <w:r>
        <w:rPr>
          <w:rFonts w:hint="eastAsia" w:ascii="宋体" w:hAnsi="宋体"/>
          <w:b/>
          <w:bCs/>
          <w:color w:val="000000"/>
          <w:sz w:val="30"/>
          <w:szCs w:val="30"/>
        </w:rPr>
        <w:t>日</w:t>
      </w:r>
      <w:bookmarkStart w:id="130" w:name="_Toc25538"/>
      <w:bookmarkStart w:id="131" w:name="_Toc16858"/>
    </w:p>
    <w:p>
      <w:pPr>
        <w:pStyle w:val="252"/>
        <w:outlineLvl w:val="1"/>
        <w:rPr>
          <w:rFonts w:hint="eastAsia" w:ascii="宋体" w:hAnsi="宋体" w:eastAsia="宋体" w:cs="宋体"/>
          <w:color w:val="000000"/>
          <w:lang w:val="en-US" w:eastAsia="zh-CN"/>
        </w:rPr>
      </w:pPr>
    </w:p>
    <w:p>
      <w:pPr>
        <w:pStyle w:val="280"/>
        <w:outlineLvl w:val="1"/>
        <w:rPr>
          <w:color w:val="000000"/>
          <w:shd w:val="clear" w:color="auto" w:fill="FFFFFF"/>
        </w:rPr>
      </w:pPr>
      <w:bookmarkStart w:id="132" w:name="_Toc21500"/>
      <w:r>
        <w:rPr>
          <w:rFonts w:hint="eastAsia" w:ascii="宋体" w:hAnsi="宋体" w:eastAsia="宋体" w:cs="宋体"/>
          <w:color w:val="000000"/>
          <w:lang w:val="en-US" w:eastAsia="zh-CN"/>
        </w:rPr>
        <w:t>3.</w:t>
      </w:r>
      <w:bookmarkEnd w:id="130"/>
      <w:bookmarkEnd w:id="131"/>
      <w:bookmarkStart w:id="133" w:name="_Toc22282"/>
      <w:bookmarkStart w:id="134" w:name="_Toc6155"/>
      <w:r>
        <w:rPr>
          <w:rFonts w:hint="eastAsia" w:ascii="宋体" w:hAnsi="宋体" w:eastAsia="宋体" w:cs="宋体"/>
          <w:color w:val="000000"/>
          <w:lang w:val="en-US" w:eastAsia="zh-CN"/>
        </w:rPr>
        <w:t>1.2供应商资格申明的函</w:t>
      </w:r>
      <w:bookmarkEnd w:id="132"/>
      <w:bookmarkEnd w:id="133"/>
      <w:bookmarkEnd w:id="134"/>
    </w:p>
    <w:p>
      <w:pPr>
        <w:pStyle w:val="148"/>
        <w:rPr>
          <w:color w:val="auto"/>
          <w:highlight w:val="none"/>
        </w:rPr>
      </w:pPr>
      <w:r>
        <w:rPr>
          <w:rFonts w:hint="eastAsia"/>
          <w:color w:val="auto"/>
          <w:highlight w:val="none"/>
          <w:lang w:eastAsia="zh-CN"/>
        </w:rPr>
        <w:t>致：</w:t>
      </w:r>
      <w:r>
        <w:rPr>
          <w:rFonts w:hint="eastAsia"/>
          <w:color w:val="auto"/>
          <w:highlight w:val="none"/>
        </w:rPr>
        <w:t>成都市温江区公共资源交易服务中心：</w:t>
      </w:r>
    </w:p>
    <w:p>
      <w:pPr>
        <w:pStyle w:val="148"/>
        <w:ind w:firstLine="480"/>
        <w:rPr>
          <w:rFonts w:hint="eastAsia"/>
          <w:color w:val="000000"/>
        </w:rPr>
      </w:pPr>
      <w:r>
        <w:rPr>
          <w:rFonts w:hint="eastAsia"/>
          <w:color w:val="000000"/>
        </w:rPr>
        <w:t>我方全面研究了</w:t>
      </w:r>
      <w:r>
        <w:rPr>
          <w:rFonts w:hint="eastAsia"/>
          <w:color w:val="000000"/>
          <w:sz w:val="22"/>
          <w:szCs w:val="21"/>
        </w:rPr>
        <w:t>“</w:t>
      </w:r>
      <w:r>
        <w:rPr>
          <w:rFonts w:hint="eastAsia"/>
          <w:b/>
          <w:bCs/>
          <w:color w:val="000000"/>
          <w:sz w:val="24"/>
          <w:szCs w:val="24"/>
          <w:u w:val="single"/>
          <w:lang w:eastAsia="zh-CN"/>
        </w:rPr>
        <w:t>成都市温江区第二中学校机房及创客设备采购项目</w:t>
      </w:r>
      <w:r>
        <w:rPr>
          <w:rFonts w:hint="eastAsia" w:ascii="宋体" w:hAnsi="宋体"/>
          <w:b/>
          <w:bCs/>
          <w:color w:val="000000"/>
          <w:sz w:val="24"/>
          <w:szCs w:val="24"/>
          <w:u w:val="single"/>
          <w:lang w:eastAsia="zh-CN"/>
        </w:rPr>
        <w:t>”（项目编号：</w:t>
      </w:r>
      <w:r>
        <w:rPr>
          <w:rFonts w:hint="eastAsia"/>
          <w:b/>
          <w:bCs/>
          <w:color w:val="000000"/>
          <w:sz w:val="24"/>
          <w:szCs w:val="24"/>
          <w:u w:val="single"/>
          <w:lang w:eastAsia="zh-CN"/>
        </w:rPr>
        <w:t>温江政采（2021）A0063号</w:t>
      </w:r>
      <w:r>
        <w:rPr>
          <w:rFonts w:hint="eastAsia"/>
          <w:color w:val="000000"/>
          <w:sz w:val="22"/>
          <w:szCs w:val="21"/>
        </w:rPr>
        <w:t>）</w:t>
      </w:r>
      <w:r>
        <w:rPr>
          <w:rFonts w:hint="eastAsia"/>
          <w:color w:val="000000"/>
          <w:sz w:val="22"/>
          <w:szCs w:val="21"/>
          <w:lang w:eastAsia="zh-CN"/>
        </w:rPr>
        <w:t>”</w:t>
      </w:r>
      <w:r>
        <w:rPr>
          <w:rFonts w:hint="eastAsia"/>
          <w:color w:val="000000"/>
        </w:rPr>
        <w:t>的磋商文件，决定参加贵单位组织的本项目的磋商。我方郑重承诺：</w:t>
      </w:r>
    </w:p>
    <w:p>
      <w:pPr>
        <w:pStyle w:val="148"/>
        <w:ind w:firstLine="480"/>
        <w:rPr>
          <w:rFonts w:hint="eastAsia"/>
          <w:color w:val="000000"/>
        </w:rPr>
      </w:pPr>
      <w:r>
        <w:rPr>
          <w:rFonts w:hint="eastAsia"/>
          <w:color w:val="000000"/>
        </w:rPr>
        <w:t>一、我方自愿按照磋商文件规定的各项要求向采购人提供所需货物或服务，</w:t>
      </w:r>
      <w:r>
        <w:rPr>
          <w:rFonts w:hint="eastAsia"/>
          <w:b/>
          <w:bCs/>
          <w:color w:val="000000"/>
        </w:rPr>
        <w:t>最后报价以政府采购云平台中递交的最后报价为准。</w:t>
      </w:r>
    </w:p>
    <w:p>
      <w:pPr>
        <w:pStyle w:val="148"/>
        <w:ind w:firstLine="480"/>
        <w:rPr>
          <w:rFonts w:hint="eastAsia"/>
          <w:color w:val="000000"/>
        </w:rPr>
      </w:pPr>
      <w:r>
        <w:rPr>
          <w:rFonts w:hint="eastAsia"/>
          <w:color w:val="000000"/>
        </w:rPr>
        <w:t>二、如果我方成为本项目的成交供应商，我方将严格履行合同规定的责任和义务，否则将承担由此产生的一切责任。</w:t>
      </w:r>
    </w:p>
    <w:p>
      <w:pPr>
        <w:pStyle w:val="148"/>
        <w:ind w:firstLine="480"/>
        <w:rPr>
          <w:rFonts w:hint="eastAsia"/>
          <w:color w:val="000000"/>
        </w:rPr>
      </w:pPr>
      <w:r>
        <w:rPr>
          <w:rFonts w:hint="eastAsia"/>
          <w:color w:val="000000"/>
        </w:rPr>
        <w:t>三、我方已知晓全部磋商文件的内容，包括修改文件（如有）以及全部相关资料和有关附件，并对上述文件均无异议。</w:t>
      </w:r>
    </w:p>
    <w:p>
      <w:pPr>
        <w:pStyle w:val="148"/>
        <w:ind w:firstLine="480"/>
        <w:rPr>
          <w:rFonts w:hint="eastAsia"/>
          <w:color w:val="000000"/>
        </w:rPr>
      </w:pPr>
      <w:r>
        <w:rPr>
          <w:rFonts w:hint="eastAsia"/>
          <w:color w:val="000000"/>
        </w:rPr>
        <w:t>四、响应文件有效期为从递交响应文件截止之日起120天。</w:t>
      </w:r>
    </w:p>
    <w:p>
      <w:pPr>
        <w:pStyle w:val="148"/>
        <w:ind w:firstLine="480"/>
        <w:rPr>
          <w:rFonts w:hint="eastAsia"/>
          <w:color w:val="000000"/>
        </w:rPr>
      </w:pPr>
      <w:r>
        <w:rPr>
          <w:rFonts w:hint="eastAsia"/>
          <w:color w:val="000000"/>
        </w:rPr>
        <w:t>五、我方愿意提供贵中心可能另外要求的，与本项目有关的文件资料，并保证我方已提供和将要提供的文件资料是真实、准确的，并对此承担一切法律后果。</w:t>
      </w:r>
    </w:p>
    <w:p>
      <w:pPr>
        <w:pStyle w:val="148"/>
        <w:ind w:firstLine="480"/>
        <w:rPr>
          <w:rFonts w:hint="eastAsia"/>
          <w:color w:val="000000"/>
        </w:rPr>
      </w:pPr>
      <w:r>
        <w:rPr>
          <w:rFonts w:hint="eastAsia"/>
          <w:color w:val="000000"/>
        </w:rPr>
        <w:t>六、我单位联系方式：</w:t>
      </w:r>
    </w:p>
    <w:p>
      <w:pPr>
        <w:pStyle w:val="148"/>
        <w:ind w:firstLine="480"/>
        <w:rPr>
          <w:rFonts w:hint="eastAsia"/>
          <w:color w:val="000000"/>
        </w:rPr>
      </w:pPr>
      <w:r>
        <w:rPr>
          <w:rFonts w:hint="eastAsia"/>
          <w:color w:val="000000"/>
        </w:rPr>
        <w:t>地    址：XXXX</w:t>
      </w:r>
    </w:p>
    <w:p>
      <w:pPr>
        <w:pStyle w:val="148"/>
        <w:ind w:firstLine="480"/>
        <w:rPr>
          <w:rFonts w:hint="eastAsia"/>
          <w:color w:val="000000"/>
        </w:rPr>
      </w:pPr>
      <w:r>
        <w:rPr>
          <w:rFonts w:hint="eastAsia"/>
          <w:color w:val="000000"/>
        </w:rPr>
        <w:t>传    真：XXXX</w:t>
      </w:r>
    </w:p>
    <w:p>
      <w:pPr>
        <w:pStyle w:val="148"/>
        <w:ind w:firstLine="480"/>
        <w:rPr>
          <w:rFonts w:hint="eastAsia"/>
          <w:color w:val="000000"/>
        </w:rPr>
      </w:pPr>
      <w:r>
        <w:rPr>
          <w:rFonts w:hint="eastAsia"/>
          <w:color w:val="000000"/>
        </w:rPr>
        <w:t>邮政编码：XXXX</w:t>
      </w:r>
    </w:p>
    <w:p>
      <w:pPr>
        <w:pStyle w:val="148"/>
        <w:ind w:firstLine="480"/>
        <w:rPr>
          <w:rFonts w:hint="eastAsia"/>
          <w:color w:val="000000"/>
        </w:rPr>
      </w:pPr>
      <w:r>
        <w:rPr>
          <w:rFonts w:hint="eastAsia"/>
          <w:color w:val="000000"/>
        </w:rPr>
        <w:t>供应商名称：XXXXXXXXXX</w:t>
      </w:r>
    </w:p>
    <w:p>
      <w:pPr>
        <w:pStyle w:val="148"/>
        <w:ind w:firstLine="480"/>
        <w:rPr>
          <w:rFonts w:hint="eastAsia"/>
          <w:color w:val="000000"/>
        </w:rPr>
      </w:pPr>
      <w:r>
        <w:rPr>
          <w:rFonts w:hint="eastAsia"/>
          <w:color w:val="000000"/>
        </w:rPr>
        <w:t>日      期：XX年XX月XX日</w:t>
      </w:r>
    </w:p>
    <w:p>
      <w:pPr>
        <w:pStyle w:val="5"/>
        <w:numPr>
          <w:ilvl w:val="2"/>
          <w:numId w:val="0"/>
        </w:numPr>
        <w:tabs>
          <w:tab w:val="left" w:pos="709"/>
        </w:tabs>
        <w:spacing w:after="200"/>
        <w:ind w:leftChars="0"/>
        <w:rPr>
          <w:color w:val="auto"/>
          <w:sz w:val="28"/>
          <w:szCs w:val="32"/>
          <w:highlight w:val="none"/>
        </w:rPr>
      </w:pPr>
      <w:r>
        <w:rPr>
          <w:color w:val="000000"/>
          <w:shd w:val="clear" w:color="auto" w:fill="FFFFFF"/>
        </w:rPr>
        <w:br w:type="page"/>
      </w:r>
      <w:bookmarkStart w:id="135" w:name="_Toc5543"/>
      <w:bookmarkStart w:id="136" w:name="_Toc17069"/>
      <w:r>
        <w:rPr>
          <w:rFonts w:hint="eastAsia" w:ascii="宋体" w:hAnsi="宋体" w:eastAsia="宋体"/>
          <w:color w:val="auto"/>
          <w:sz w:val="28"/>
          <w:szCs w:val="32"/>
          <w:highlight w:val="none"/>
          <w:lang w:val="en-US" w:eastAsia="zh-CN"/>
        </w:rPr>
        <w:t>3.1.3声明</w:t>
      </w:r>
      <w:bookmarkEnd w:id="135"/>
      <w:bookmarkEnd w:id="136"/>
    </w:p>
    <w:p>
      <w:pPr>
        <w:pStyle w:val="247"/>
        <w:spacing w:after="200"/>
        <w:ind w:firstLine="482"/>
        <w:rPr>
          <w:rFonts w:hint="eastAsia" w:cs="宋体"/>
          <w:b/>
          <w:color w:val="000000"/>
          <w:sz w:val="32"/>
          <w:szCs w:val="32"/>
        </w:rPr>
      </w:pPr>
      <w:r>
        <w:rPr>
          <w:rFonts w:hint="eastAsia"/>
          <w:b/>
          <w:color w:val="auto"/>
          <w:sz w:val="28"/>
          <w:szCs w:val="21"/>
          <w:highlight w:val="none"/>
        </w:rPr>
        <w:t>致：成都市温江区公共资源交易服务中心</w:t>
      </w:r>
    </w:p>
    <w:p>
      <w:pPr>
        <w:pStyle w:val="225"/>
        <w:spacing w:after="200" w:line="600" w:lineRule="exact"/>
        <w:ind w:firstLine="640" w:firstLineChars="200"/>
        <w:rPr>
          <w:rFonts w:hint="eastAsia" w:ascii="宋体" w:hAnsi="宋体" w:eastAsia="宋体" w:cs="宋体"/>
          <w:b w:val="0"/>
          <w:bCs/>
          <w:color w:val="000000"/>
          <w:szCs w:val="32"/>
        </w:rPr>
      </w:pPr>
      <w:r>
        <w:rPr>
          <w:rFonts w:hint="eastAsia" w:ascii="宋体" w:hAnsi="宋体" w:eastAsia="宋体" w:cs="宋体"/>
          <w:b w:val="0"/>
          <w:bCs/>
          <w:color w:val="000000"/>
          <w:szCs w:val="32"/>
        </w:rPr>
        <w:t>我单位作为</w:t>
      </w:r>
      <w:r>
        <w:rPr>
          <w:rFonts w:hint="eastAsia" w:ascii="宋体" w:hAnsi="宋体" w:eastAsia="宋体" w:cs="宋体"/>
          <w:b w:val="0"/>
          <w:bCs/>
          <w:color w:val="000000"/>
          <w:szCs w:val="32"/>
          <w:u w:val="single"/>
          <w:lang w:eastAsia="zh-CN"/>
        </w:rPr>
        <w:t>成都市温江区第二中学校机房及创客设备采购项目</w:t>
      </w:r>
      <w:r>
        <w:rPr>
          <w:rFonts w:hint="eastAsia" w:ascii="宋体" w:hAnsi="宋体" w:eastAsia="宋体" w:cs="宋体"/>
          <w:b/>
          <w:bCs w:val="0"/>
          <w:color w:val="000000"/>
          <w:szCs w:val="32"/>
          <w:highlight w:val="none"/>
          <w:u w:val="single"/>
        </w:rPr>
        <w:t>（项目编号：</w:t>
      </w:r>
      <w:r>
        <w:rPr>
          <w:rFonts w:hint="eastAsia" w:ascii="宋体" w:hAnsi="宋体" w:eastAsia="宋体" w:cs="宋体"/>
          <w:b/>
          <w:bCs w:val="0"/>
          <w:color w:val="000000"/>
          <w:szCs w:val="32"/>
          <w:highlight w:val="none"/>
          <w:u w:val="single"/>
          <w:lang w:eastAsia="zh-CN"/>
        </w:rPr>
        <w:t>温江政采（2021）A0063号</w:t>
      </w:r>
      <w:r>
        <w:rPr>
          <w:rFonts w:hint="eastAsia" w:ascii="宋体" w:hAnsi="宋体" w:eastAsia="宋体" w:cs="宋体"/>
          <w:b/>
          <w:bCs w:val="0"/>
          <w:color w:val="000000"/>
          <w:szCs w:val="32"/>
          <w:highlight w:val="none"/>
          <w:u w:val="single"/>
        </w:rPr>
        <w:t>）</w:t>
      </w:r>
      <w:r>
        <w:rPr>
          <w:rFonts w:hint="eastAsia" w:ascii="宋体" w:hAnsi="宋体" w:eastAsia="宋体" w:cs="宋体"/>
          <w:b w:val="0"/>
          <w:bCs/>
          <w:color w:val="000000"/>
          <w:szCs w:val="32"/>
        </w:rPr>
        <w:t>的竞争性磋商的供应商，在此郑重声明：</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一、我</w:t>
      </w:r>
      <w:r>
        <w:rPr>
          <w:rFonts w:hint="eastAsia" w:ascii="宋体" w:hAnsi="宋体" w:eastAsia="宋体" w:cs="宋体"/>
          <w:b w:val="0"/>
          <w:bCs/>
          <w:color w:val="auto"/>
          <w:sz w:val="28"/>
          <w:highlight w:val="none"/>
        </w:rPr>
        <w:t>单位</w:t>
      </w:r>
      <w:r>
        <w:rPr>
          <w:rFonts w:hint="eastAsia" w:ascii="宋体" w:hAnsi="宋体" w:eastAsia="宋体" w:cs="宋体"/>
          <w:b w:val="0"/>
          <w:bCs/>
          <w:color w:val="auto"/>
          <w:sz w:val="28"/>
          <w:szCs w:val="28"/>
          <w:highlight w:val="none"/>
        </w:rPr>
        <w:t>参加政府采购活动前三年内，在经营活动中</w:t>
      </w:r>
      <w:r>
        <w:rPr>
          <w:rFonts w:hint="eastAsia" w:ascii="宋体" w:hAnsi="宋体" w:eastAsia="宋体" w:cs="宋体"/>
          <w:b/>
          <w:bCs w:val="0"/>
          <w:color w:val="auto"/>
          <w:sz w:val="28"/>
          <w:szCs w:val="28"/>
          <w:highlight w:val="none"/>
          <w:u w:val="single"/>
        </w:rPr>
        <w:t>（说明：填写“无”或“有”）</w:t>
      </w:r>
      <w:r>
        <w:rPr>
          <w:rFonts w:hint="eastAsia" w:ascii="宋体" w:hAnsi="宋体" w:eastAsia="宋体" w:cs="宋体"/>
          <w:b w:val="0"/>
          <w:bCs/>
          <w:color w:val="auto"/>
          <w:sz w:val="28"/>
          <w:szCs w:val="28"/>
          <w:highlight w:val="none"/>
        </w:rPr>
        <w:t>重大违法记录。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二、我</w:t>
      </w:r>
      <w:r>
        <w:rPr>
          <w:rFonts w:hint="eastAsia" w:ascii="宋体" w:hAnsi="宋体" w:eastAsia="宋体" w:cs="宋体"/>
          <w:b w:val="0"/>
          <w:bCs/>
          <w:color w:val="auto"/>
          <w:sz w:val="28"/>
          <w:highlight w:val="none"/>
        </w:rPr>
        <w:t>单位</w:t>
      </w:r>
      <w:r>
        <w:rPr>
          <w:rFonts w:hint="eastAsia" w:ascii="宋体" w:hAnsi="宋体" w:eastAsia="宋体" w:cs="宋体"/>
          <w:b/>
          <w:bCs w:val="0"/>
          <w:color w:val="auto"/>
          <w:sz w:val="28"/>
          <w:szCs w:val="28"/>
          <w:highlight w:val="none"/>
          <w:u w:val="single"/>
        </w:rPr>
        <w:t>（说明：填写“具有”或“不具有”）</w:t>
      </w:r>
      <w:r>
        <w:rPr>
          <w:rFonts w:hint="eastAsia" w:ascii="宋体" w:hAnsi="宋体" w:eastAsia="宋体" w:cs="宋体"/>
          <w:b w:val="0"/>
          <w:bCs/>
          <w:color w:val="auto"/>
          <w:sz w:val="28"/>
          <w:szCs w:val="28"/>
          <w:highlight w:val="none"/>
        </w:rPr>
        <w:t>良好的商业信誉。</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三、与我</w:t>
      </w:r>
      <w:r>
        <w:rPr>
          <w:rFonts w:hint="eastAsia" w:ascii="宋体" w:hAnsi="宋体" w:eastAsia="宋体" w:cs="宋体"/>
          <w:b w:val="0"/>
          <w:bCs/>
          <w:color w:val="auto"/>
          <w:sz w:val="28"/>
          <w:highlight w:val="none"/>
        </w:rPr>
        <w:t>单位</w:t>
      </w:r>
      <w:r>
        <w:rPr>
          <w:rFonts w:hint="eastAsia" w:ascii="宋体" w:hAnsi="宋体" w:eastAsia="宋体" w:cs="宋体"/>
          <w:b w:val="0"/>
          <w:bCs/>
          <w:color w:val="auto"/>
          <w:sz w:val="28"/>
          <w:szCs w:val="28"/>
          <w:highlight w:val="none"/>
        </w:rPr>
        <w:t>存在单位</w:t>
      </w:r>
      <w:r>
        <w:rPr>
          <w:rFonts w:hint="eastAsia" w:ascii="宋体" w:hAnsi="宋体" w:eastAsia="宋体" w:cs="宋体"/>
          <w:b w:val="0"/>
          <w:bCs/>
          <w:color w:val="auto"/>
          <w:sz w:val="28"/>
          <w:highlight w:val="none"/>
        </w:rPr>
        <w:t>负责人</w:t>
      </w:r>
      <w:r>
        <w:rPr>
          <w:rFonts w:hint="eastAsia" w:ascii="宋体" w:hAnsi="宋体" w:eastAsia="宋体" w:cs="宋体"/>
          <w:b w:val="0"/>
          <w:bCs/>
          <w:color w:val="auto"/>
          <w:sz w:val="28"/>
          <w:szCs w:val="28"/>
          <w:highlight w:val="none"/>
        </w:rPr>
        <w:t>为同一人、直接控股、管理关系的相关供应商：</w:t>
      </w:r>
      <w:r>
        <w:rPr>
          <w:rFonts w:hint="eastAsia" w:ascii="宋体" w:hAnsi="宋体" w:eastAsia="宋体" w:cs="宋体"/>
          <w:b/>
          <w:bCs w:val="0"/>
          <w:color w:val="auto"/>
          <w:sz w:val="28"/>
          <w:szCs w:val="28"/>
          <w:highlight w:val="none"/>
          <w:u w:val="single"/>
        </w:rPr>
        <w:t>（说明：填写“无”或“（一）供应商名称１；（二）供应商名称２ ；（三）……”）。</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四、在行贿犯罪信息查询期限内，我单位及我单位现任</w:t>
      </w:r>
      <w:r>
        <w:rPr>
          <w:rFonts w:hint="eastAsia" w:ascii="宋体" w:hAnsi="宋体" w:eastAsia="宋体" w:cs="宋体"/>
          <w:b w:val="0"/>
          <w:bCs/>
          <w:color w:val="auto"/>
          <w:sz w:val="28"/>
          <w:highlight w:val="none"/>
        </w:rPr>
        <w:t>法定代表人、主要负责人</w:t>
      </w:r>
      <w:r>
        <w:rPr>
          <w:rFonts w:hint="eastAsia" w:ascii="宋体" w:hAnsi="宋体" w:eastAsia="宋体" w:cs="宋体"/>
          <w:b/>
          <w:bCs w:val="0"/>
          <w:color w:val="auto"/>
          <w:sz w:val="28"/>
          <w:szCs w:val="28"/>
          <w:highlight w:val="none"/>
          <w:u w:val="single"/>
        </w:rPr>
        <w:t>（说明：填写“没有”或“有”）</w:t>
      </w:r>
      <w:r>
        <w:rPr>
          <w:rFonts w:hint="eastAsia" w:ascii="宋体" w:hAnsi="宋体" w:eastAsia="宋体" w:cs="宋体"/>
          <w:b w:val="0"/>
          <w:bCs/>
          <w:color w:val="auto"/>
          <w:sz w:val="28"/>
          <w:szCs w:val="28"/>
          <w:highlight w:val="none"/>
        </w:rPr>
        <w:t>行贿犯罪记录。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五、我单位</w:t>
      </w:r>
      <w:r>
        <w:rPr>
          <w:rFonts w:hint="eastAsia" w:ascii="宋体" w:hAnsi="宋体" w:eastAsia="宋体" w:cs="宋体"/>
          <w:b/>
          <w:bCs w:val="0"/>
          <w:color w:val="auto"/>
          <w:sz w:val="28"/>
          <w:szCs w:val="28"/>
          <w:highlight w:val="none"/>
          <w:u w:val="single"/>
        </w:rPr>
        <w:t>（说明：填写“未列入”或“被列入”）</w:t>
      </w:r>
      <w:r>
        <w:rPr>
          <w:rFonts w:hint="eastAsia" w:ascii="宋体" w:hAnsi="宋体" w:eastAsia="宋体" w:cs="宋体"/>
          <w:b w:val="0"/>
          <w:bCs/>
          <w:color w:val="auto"/>
          <w:sz w:val="28"/>
          <w:szCs w:val="28"/>
          <w:highlight w:val="none"/>
        </w:rPr>
        <w:t>失信被执行人、重大税收违法案件当事人名单。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我单位</w:t>
      </w:r>
      <w:r>
        <w:rPr>
          <w:rFonts w:hint="eastAsia" w:ascii="宋体" w:hAnsi="宋体" w:eastAsia="宋体" w:cs="宋体"/>
          <w:b/>
          <w:bCs w:val="0"/>
          <w:color w:val="auto"/>
          <w:sz w:val="28"/>
          <w:szCs w:val="28"/>
          <w:highlight w:val="none"/>
          <w:u w:val="single"/>
        </w:rPr>
        <w:t>（说明：填写“未列入”或“被列入”）</w:t>
      </w:r>
      <w:r>
        <w:rPr>
          <w:rFonts w:hint="eastAsia" w:ascii="宋体" w:hAnsi="宋体" w:eastAsia="宋体" w:cs="宋体"/>
          <w:b w:val="0"/>
          <w:bCs/>
          <w:color w:val="auto"/>
          <w:sz w:val="28"/>
          <w:szCs w:val="28"/>
          <w:highlight w:val="none"/>
        </w:rPr>
        <w:t>政府采购严重违法失信行为记录名单。</w:t>
      </w:r>
    </w:p>
    <w:p>
      <w:pPr>
        <w:pStyle w:val="22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六、我单位</w:t>
      </w:r>
      <w:r>
        <w:rPr>
          <w:rFonts w:hint="eastAsia" w:ascii="宋体" w:hAnsi="宋体" w:eastAsia="宋体" w:cs="宋体"/>
          <w:b/>
          <w:bCs w:val="0"/>
          <w:color w:val="auto"/>
          <w:sz w:val="28"/>
          <w:szCs w:val="28"/>
          <w:highlight w:val="none"/>
          <w:u w:val="single"/>
        </w:rPr>
        <w:t>（说明：填写“未处于”或“处于”）</w:t>
      </w:r>
      <w:r>
        <w:rPr>
          <w:rFonts w:hint="eastAsia" w:ascii="宋体" w:hAnsi="宋体" w:eastAsia="宋体" w:cs="宋体"/>
          <w:b w:val="0"/>
          <w:bCs/>
          <w:color w:val="auto"/>
          <w:sz w:val="28"/>
          <w:szCs w:val="28"/>
          <w:highlight w:val="none"/>
        </w:rPr>
        <w:t>被行政部门禁止参与政府采购活动的期限内。</w:t>
      </w:r>
    </w:p>
    <w:p>
      <w:pPr>
        <w:pStyle w:val="225"/>
        <w:spacing w:after="200" w:line="360" w:lineRule="auto"/>
        <w:ind w:firstLine="537" w:firstLineChars="192"/>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特此声明。</w:t>
      </w: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ab/>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25"/>
        <w:keepNext w:val="0"/>
        <w:keepLines w:val="0"/>
        <w:pageBreakBefore w:val="0"/>
        <w:widowControl/>
        <w:kinsoku/>
        <w:wordWrap/>
        <w:overflowPunct/>
        <w:topLinePunct w:val="0"/>
        <w:autoSpaceDE/>
        <w:autoSpaceDN/>
        <w:bidi w:val="0"/>
        <w:adjustRightInd/>
        <w:snapToGrid/>
        <w:spacing w:line="400" w:lineRule="exact"/>
        <w:ind w:firstLine="525"/>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说明：</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1、对声明中第一条的说明：如供应商在参加政府采购活动前三年内，在经营活动中有重大违法记录的，应填写“有”，供应商将被认定为磋商无效或被取消成交资格；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2、对声明中第三条的说明：单位负责人为同一人或者存在直接控股、管理关系的不同供应商，不得参加同一合同项下的政府采购活动；</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对声明中第四条的说明：在行贿犯罪信息查询期限内，供应商根据中国裁判文书网（https://wenshu.court.gov.cn）查询结果，如果供应商及其现任法定代表人、主要负责人有行贿犯罪记录的，供应商应填写“有”，供应商将被认定为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4、对声明中第五条的说明：供应商如被列入失信被执行人、重大税收违法案件当事人名单，应填写“被列入”， 供应商将被认定磋商无效或被取消成交资格；供应商如被列入政府采购严重违法失信行为记录名单，应填写“被列入”， 供应商将被认定磋商无效或被取消成交资格。</w:t>
      </w:r>
    </w:p>
    <w:p>
      <w:pPr>
        <w:pStyle w:val="225"/>
        <w:keepNext w:val="0"/>
        <w:keepLines w:val="0"/>
        <w:pageBreakBefore w:val="0"/>
        <w:widowControl/>
        <w:kinsoku/>
        <w:wordWrap/>
        <w:overflowPunct/>
        <w:topLinePunct w:val="0"/>
        <w:autoSpaceDE/>
        <w:autoSpaceDN/>
        <w:bidi w:val="0"/>
        <w:adjustRightInd/>
        <w:snapToGrid/>
        <w:spacing w:line="400" w:lineRule="exact"/>
        <w:ind w:left="283" w:leftChars="135" w:firstLine="548" w:firstLineChars="196"/>
        <w:textAlignment w:val="auto"/>
        <w:rPr>
          <w:rFonts w:hint="eastAsia" w:ascii="宋体" w:hAnsi="宋体" w:eastAsia="宋体" w:cs="宋体"/>
          <w:b w:val="0"/>
          <w:bCs w:val="0"/>
          <w:color w:val="auto"/>
          <w:sz w:val="36"/>
          <w:szCs w:val="28"/>
          <w:highlight w:val="none"/>
        </w:rPr>
      </w:pPr>
      <w:r>
        <w:rPr>
          <w:rFonts w:hint="eastAsia" w:ascii="宋体" w:hAnsi="宋体" w:eastAsia="宋体" w:cs="宋体"/>
          <w:b w:val="0"/>
          <w:bCs w:val="0"/>
          <w:color w:val="auto"/>
          <w:sz w:val="28"/>
          <w:szCs w:val="28"/>
          <w:highlight w:val="none"/>
        </w:rPr>
        <w:t>5、对声明中第六条的说明：如供应商处于被行政部门禁止参加政府采购活动期限内的，该声明填“处于”，供应商将被认定磋商无效或被取消成交资格。</w:t>
      </w:r>
    </w:p>
    <w:p>
      <w:pPr>
        <w:pStyle w:val="5"/>
        <w:numPr>
          <w:ilvl w:val="2"/>
          <w:numId w:val="0"/>
        </w:numPr>
        <w:tabs>
          <w:tab w:val="left" w:pos="709"/>
        </w:tabs>
        <w:spacing w:after="200"/>
        <w:ind w:leftChars="0"/>
        <w:rPr>
          <w:rFonts w:hint="eastAsia" w:ascii="宋体" w:hAnsi="宋体" w:eastAsia="宋体" w:cs="Times New Roman"/>
          <w:b/>
          <w:bCs/>
          <w:color w:val="auto"/>
          <w:kern w:val="2"/>
          <w:sz w:val="32"/>
          <w:szCs w:val="36"/>
          <w:highlight w:val="none"/>
          <w:lang w:val="en-US" w:eastAsia="zh-CN" w:bidi="ar-SA"/>
        </w:rPr>
      </w:pPr>
      <w:bookmarkStart w:id="137" w:name="_Toc18550"/>
    </w:p>
    <w:p>
      <w:pPr>
        <w:rPr>
          <w:rFonts w:hint="eastAsia" w:ascii="宋体" w:hAnsi="宋体" w:eastAsia="宋体" w:cs="Times New Roman"/>
          <w:b/>
          <w:bCs/>
          <w:color w:val="auto"/>
          <w:kern w:val="2"/>
          <w:sz w:val="32"/>
          <w:szCs w:val="36"/>
          <w:highlight w:val="none"/>
          <w:lang w:val="en-US" w:eastAsia="zh-CN" w:bidi="ar-SA"/>
        </w:rPr>
      </w:pPr>
    </w:p>
    <w:p>
      <w:pPr>
        <w:pStyle w:val="4"/>
        <w:rPr>
          <w:rFonts w:hint="eastAsia" w:ascii="宋体" w:hAnsi="宋体" w:eastAsia="宋体" w:cs="Times New Roman"/>
          <w:b/>
          <w:bCs/>
          <w:color w:val="auto"/>
          <w:kern w:val="2"/>
          <w:sz w:val="32"/>
          <w:szCs w:val="36"/>
          <w:highlight w:val="none"/>
          <w:lang w:val="en-US" w:eastAsia="zh-CN" w:bidi="ar-SA"/>
        </w:rPr>
      </w:pPr>
    </w:p>
    <w:p>
      <w:pPr>
        <w:rPr>
          <w:rFonts w:hint="eastAsia" w:ascii="宋体" w:hAnsi="宋体" w:eastAsia="宋体" w:cs="Times New Roman"/>
          <w:b/>
          <w:bCs/>
          <w:color w:val="auto"/>
          <w:kern w:val="2"/>
          <w:sz w:val="32"/>
          <w:szCs w:val="36"/>
          <w:highlight w:val="none"/>
          <w:lang w:val="en-US" w:eastAsia="zh-CN" w:bidi="ar-SA"/>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5"/>
        <w:numPr>
          <w:ilvl w:val="2"/>
          <w:numId w:val="0"/>
        </w:numPr>
        <w:tabs>
          <w:tab w:val="left" w:pos="709"/>
        </w:tabs>
        <w:spacing w:after="200"/>
        <w:ind w:leftChars="0"/>
        <w:rPr>
          <w:rFonts w:hint="eastAsia" w:ascii="宋体" w:hAnsi="宋体" w:eastAsia="宋体" w:cs="Times New Roman"/>
          <w:b/>
          <w:bCs/>
          <w:color w:val="auto"/>
          <w:kern w:val="2"/>
          <w:sz w:val="32"/>
          <w:szCs w:val="36"/>
          <w:highlight w:val="none"/>
          <w:lang w:val="en-US" w:eastAsia="zh-CN" w:bidi="ar-SA"/>
        </w:rPr>
      </w:pPr>
      <w:bookmarkStart w:id="138" w:name="_Toc19031"/>
      <w:r>
        <w:rPr>
          <w:rFonts w:hint="eastAsia" w:ascii="宋体" w:hAnsi="宋体" w:eastAsia="宋体" w:cs="Times New Roman"/>
          <w:b/>
          <w:bCs/>
          <w:color w:val="auto"/>
          <w:kern w:val="2"/>
          <w:sz w:val="32"/>
          <w:szCs w:val="36"/>
          <w:highlight w:val="none"/>
          <w:lang w:val="en-US" w:eastAsia="zh-CN" w:bidi="ar-SA"/>
        </w:rPr>
        <w:t>3.1.</w:t>
      </w:r>
      <w:r>
        <w:rPr>
          <w:rFonts w:hint="eastAsia" w:cs="Times New Roman"/>
          <w:b/>
          <w:bCs/>
          <w:color w:val="auto"/>
          <w:kern w:val="2"/>
          <w:sz w:val="32"/>
          <w:szCs w:val="36"/>
          <w:highlight w:val="none"/>
          <w:lang w:val="en-US" w:eastAsia="zh-CN" w:bidi="ar-SA"/>
        </w:rPr>
        <w:t>4</w:t>
      </w:r>
      <w:r>
        <w:rPr>
          <w:rFonts w:hint="eastAsia" w:ascii="宋体" w:hAnsi="宋体" w:eastAsia="宋体" w:cs="Times New Roman"/>
          <w:b/>
          <w:bCs/>
          <w:color w:val="auto"/>
          <w:kern w:val="2"/>
          <w:sz w:val="32"/>
          <w:szCs w:val="36"/>
          <w:highlight w:val="none"/>
          <w:lang w:val="en-US" w:eastAsia="zh-CN" w:bidi="ar-SA"/>
        </w:rPr>
        <w:t>法定代表人身份证明书</w:t>
      </w:r>
      <w:bookmarkEnd w:id="137"/>
      <w:bookmarkEnd w:id="138"/>
    </w:p>
    <w:p>
      <w:pPr>
        <w:pStyle w:val="208"/>
        <w:outlineLvl w:val="1"/>
        <w:rPr>
          <w:rFonts w:hint="default" w:ascii="宋体" w:hAnsi="宋体" w:eastAsia="宋体" w:cs="Times New Roman"/>
          <w:b/>
          <w:bCs/>
          <w:color w:val="auto"/>
          <w:kern w:val="44"/>
          <w:sz w:val="28"/>
          <w:szCs w:val="28"/>
          <w:highlight w:val="none"/>
          <w:lang w:val="en-US" w:eastAsia="zh-CN" w:bidi="ar-SA"/>
        </w:rPr>
      </w:pPr>
    </w:p>
    <w:p>
      <w:pPr>
        <w:tabs>
          <w:tab w:val="left" w:pos="6300"/>
        </w:tabs>
        <w:spacing w:line="360" w:lineRule="auto"/>
        <w:ind w:firstLine="573"/>
        <w:rPr>
          <w:rFonts w:ascii="宋体" w:hAnsi="宋体"/>
          <w:color w:val="auto"/>
          <w:sz w:val="28"/>
          <w:szCs w:val="28"/>
          <w:highlight w:val="none"/>
          <w:lang w:val="zh-CN"/>
        </w:rPr>
      </w:pPr>
      <w:r>
        <w:rPr>
          <w:rFonts w:hint="eastAsia" w:ascii="宋体" w:hAnsi="宋体"/>
          <w:color w:val="auto"/>
          <w:sz w:val="28"/>
          <w:szCs w:val="28"/>
          <w:highlight w:val="none"/>
          <w:u w:val="single"/>
          <w:lang w:val="zh-CN"/>
        </w:rPr>
        <w:t xml:space="preserve">  （</w:t>
      </w:r>
      <w:r>
        <w:rPr>
          <w:rFonts w:hint="eastAsia" w:ascii="宋体" w:hAnsi="宋体"/>
          <w:color w:val="auto"/>
          <w:sz w:val="28"/>
          <w:szCs w:val="28"/>
          <w:highlight w:val="none"/>
          <w:u w:val="single"/>
        </w:rPr>
        <w:t>法定代表人</w:t>
      </w:r>
      <w:r>
        <w:rPr>
          <w:rFonts w:hint="eastAsia" w:ascii="宋体" w:hAnsi="宋体"/>
          <w:color w:val="auto"/>
          <w:sz w:val="28"/>
          <w:szCs w:val="28"/>
          <w:highlight w:val="none"/>
          <w:u w:val="single"/>
          <w:lang w:val="zh-CN"/>
        </w:rPr>
        <w:t xml:space="preserve">姓名）       </w:t>
      </w:r>
      <w:r>
        <w:rPr>
          <w:rFonts w:hint="eastAsia" w:ascii="宋体" w:hAnsi="宋体"/>
          <w:color w:val="auto"/>
          <w:sz w:val="28"/>
          <w:szCs w:val="28"/>
          <w:highlight w:val="none"/>
          <w:lang w:val="zh-CN"/>
        </w:rPr>
        <w:t>在</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处任</w:t>
      </w:r>
      <w:r>
        <w:rPr>
          <w:rFonts w:hint="eastAsia" w:ascii="宋体" w:hAnsi="宋体"/>
          <w:color w:val="auto"/>
          <w:sz w:val="28"/>
          <w:szCs w:val="28"/>
          <w:highlight w:val="none"/>
          <w:u w:val="single"/>
          <w:lang w:val="zh-CN"/>
        </w:rPr>
        <w:t xml:space="preserve">       （职务名称）       </w:t>
      </w:r>
      <w:r>
        <w:rPr>
          <w:rFonts w:hint="eastAsia" w:ascii="宋体" w:hAnsi="宋体"/>
          <w:color w:val="auto"/>
          <w:sz w:val="28"/>
          <w:szCs w:val="28"/>
          <w:highlight w:val="none"/>
          <w:lang w:val="zh-CN"/>
        </w:rPr>
        <w:t>职务，是</w:t>
      </w:r>
      <w:r>
        <w:rPr>
          <w:rFonts w:hint="eastAsia" w:ascii="宋体" w:hAnsi="宋体"/>
          <w:color w:val="auto"/>
          <w:sz w:val="28"/>
          <w:szCs w:val="28"/>
          <w:highlight w:val="none"/>
          <w:u w:val="single"/>
          <w:lang w:val="zh-CN"/>
        </w:rPr>
        <w:t xml:space="preserve">       （供应商名称）       </w:t>
      </w:r>
      <w:r>
        <w:rPr>
          <w:rFonts w:hint="eastAsia" w:ascii="宋体" w:hAnsi="宋体"/>
          <w:color w:val="auto"/>
          <w:sz w:val="28"/>
          <w:szCs w:val="28"/>
          <w:highlight w:val="none"/>
          <w:lang w:val="zh-CN"/>
        </w:rPr>
        <w:t>的</w:t>
      </w:r>
      <w:r>
        <w:rPr>
          <w:rFonts w:hint="eastAsia" w:ascii="宋体" w:hAnsi="宋体"/>
          <w:color w:val="auto"/>
          <w:sz w:val="28"/>
          <w:szCs w:val="28"/>
          <w:highlight w:val="none"/>
        </w:rPr>
        <w:t>法定代表人</w:t>
      </w:r>
      <w:r>
        <w:rPr>
          <w:rFonts w:hint="eastAsia" w:ascii="宋体" w:hAnsi="宋体"/>
          <w:color w:val="auto"/>
          <w:sz w:val="28"/>
          <w:szCs w:val="28"/>
          <w:highlight w:val="none"/>
          <w:lang w:val="zh-CN"/>
        </w:rPr>
        <w:t>。</w:t>
      </w:r>
    </w:p>
    <w:p>
      <w:pPr>
        <w:tabs>
          <w:tab w:val="left" w:pos="6300"/>
        </w:tabs>
        <w:spacing w:line="360" w:lineRule="auto"/>
        <w:ind w:firstLine="573"/>
        <w:rPr>
          <w:rFonts w:ascii="宋体" w:hAnsi="宋体"/>
          <w:color w:val="auto"/>
          <w:sz w:val="28"/>
          <w:szCs w:val="28"/>
          <w:highlight w:val="none"/>
          <w:lang w:val="zh-CN"/>
        </w:rPr>
      </w:pPr>
      <w:r>
        <w:rPr>
          <w:rFonts w:hint="eastAsia" w:ascii="宋体" w:hAnsi="宋体"/>
          <w:color w:val="auto"/>
          <w:sz w:val="28"/>
          <w:szCs w:val="28"/>
          <w:highlight w:val="none"/>
          <w:lang w:val="zh-CN"/>
        </w:rPr>
        <w:t>特此证明。</w:t>
      </w: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ind w:firstLine="573"/>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tabs>
          <w:tab w:val="left" w:pos="6300"/>
        </w:tabs>
        <w:spacing w:line="360" w:lineRule="auto"/>
        <w:rPr>
          <w:rFonts w:ascii="宋体" w:hAnsi="宋体"/>
          <w:color w:val="auto"/>
          <w:sz w:val="28"/>
          <w:highlight w:val="none"/>
          <w:lang w:val="zh-CN"/>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w:t>
      </w:r>
      <w:r>
        <w:rPr>
          <w:rFonts w:hint="eastAsia" w:hAnsi="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tabs>
          <w:tab w:val="left" w:pos="6300"/>
        </w:tabs>
        <w:spacing w:line="360" w:lineRule="auto"/>
        <w:rPr>
          <w:rFonts w:hint="eastAsia" w:ascii="宋体" w:hAnsi="宋体" w:eastAsia="宋体" w:cs="宋体"/>
          <w:color w:val="auto"/>
          <w:kern w:val="2"/>
          <w:sz w:val="28"/>
          <w:szCs w:val="22"/>
          <w:highlight w:val="none"/>
          <w:u w:val="single"/>
          <w:lang w:val="zh-CN" w:eastAsia="zh-CN" w:bidi="ar-SA"/>
        </w:rPr>
      </w:pPr>
    </w:p>
    <w:p>
      <w:pPr>
        <w:tabs>
          <w:tab w:val="left" w:pos="6300"/>
        </w:tabs>
        <w:spacing w:line="360" w:lineRule="auto"/>
        <w:rPr>
          <w:rFonts w:ascii="宋体" w:hAnsi="宋体"/>
          <w:color w:val="auto"/>
          <w:sz w:val="28"/>
          <w:highlight w:val="none"/>
          <w:lang w:val="zh-CN"/>
        </w:rPr>
      </w:pPr>
    </w:p>
    <w:p>
      <w:pPr>
        <w:pStyle w:val="371"/>
        <w:rPr>
          <w:rFonts w:hint="eastAsia"/>
          <w:color w:val="auto"/>
          <w:highlight w:val="none"/>
          <w:lang w:val="en-US" w:eastAsia="zh-CN"/>
        </w:rPr>
      </w:pPr>
    </w:p>
    <w:p>
      <w:pPr>
        <w:pStyle w:val="372"/>
        <w:rPr>
          <w:color w:val="auto"/>
          <w:highlight w:val="none"/>
        </w:rPr>
      </w:pPr>
    </w:p>
    <w:p>
      <w:pPr>
        <w:spacing w:after="180" w:line="360" w:lineRule="auto"/>
        <w:ind w:firstLine="568" w:firstLineChars="202"/>
        <w:rPr>
          <w:rFonts w:hint="eastAsia" w:ascii="宋体" w:hAnsi="宋体"/>
          <w:b/>
          <w:color w:val="auto"/>
          <w:sz w:val="28"/>
          <w:szCs w:val="28"/>
          <w:highlight w:val="none"/>
        </w:rPr>
      </w:pPr>
      <w:r>
        <w:rPr>
          <w:rFonts w:hint="eastAsia" w:ascii="宋体" w:hAnsi="宋体"/>
          <w:b/>
          <w:color w:val="auto"/>
          <w:sz w:val="28"/>
          <w:szCs w:val="28"/>
          <w:highlight w:val="none"/>
        </w:rPr>
        <w:t>说明：上述证明文件在</w:t>
      </w:r>
      <w:r>
        <w:rPr>
          <w:rFonts w:hint="eastAsia" w:ascii="宋体" w:hAnsi="宋体"/>
          <w:b/>
          <w:color w:val="auto"/>
          <w:sz w:val="28"/>
          <w:szCs w:val="28"/>
          <w:highlight w:val="none"/>
          <w:lang w:val="en-US" w:eastAsia="zh-CN"/>
        </w:rPr>
        <w:t>响应</w:t>
      </w:r>
      <w:r>
        <w:rPr>
          <w:rFonts w:hint="eastAsia" w:ascii="宋体" w:hAnsi="宋体"/>
          <w:b/>
          <w:color w:val="auto"/>
          <w:sz w:val="28"/>
          <w:szCs w:val="28"/>
          <w:highlight w:val="none"/>
        </w:rPr>
        <w:t>文件中附有法定代表人身份证复印件（身份证两面均应复印）或护照复印件（供应商的法定代表人为外籍人士的，则提供护照复印件）时才能生效。</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keepLines/>
        <w:spacing w:line="360" w:lineRule="auto"/>
        <w:jc w:val="left"/>
        <w:outlineLvl w:val="1"/>
        <w:rPr>
          <w:rFonts w:hint="eastAsia"/>
          <w:b/>
          <w:color w:val="000000"/>
          <w:kern w:val="0"/>
          <w:sz w:val="32"/>
          <w:szCs w:val="24"/>
        </w:rPr>
      </w:pPr>
      <w:bookmarkStart w:id="139" w:name="_Toc25892"/>
      <w:r>
        <w:rPr>
          <w:rFonts w:hint="eastAsia"/>
          <w:b/>
          <w:color w:val="000000"/>
          <w:kern w:val="0"/>
          <w:sz w:val="32"/>
          <w:szCs w:val="24"/>
        </w:rPr>
        <w:t>3.</w:t>
      </w:r>
      <w:r>
        <w:rPr>
          <w:rFonts w:hint="eastAsia"/>
          <w:b/>
          <w:color w:val="000000"/>
          <w:kern w:val="0"/>
          <w:sz w:val="32"/>
          <w:szCs w:val="24"/>
          <w:lang w:val="en-US" w:eastAsia="zh-CN"/>
        </w:rPr>
        <w:t>1.5</w:t>
      </w:r>
      <w:r>
        <w:rPr>
          <w:rFonts w:hint="eastAsia"/>
          <w:b/>
          <w:color w:val="000000"/>
          <w:kern w:val="0"/>
          <w:sz w:val="32"/>
          <w:szCs w:val="24"/>
        </w:rPr>
        <w:t>供应商基本情况表</w:t>
      </w:r>
      <w:bookmarkEnd w:id="139"/>
    </w:p>
    <w:p>
      <w:pPr>
        <w:rPr>
          <w:color w:val="000000"/>
        </w:rPr>
      </w:pPr>
    </w:p>
    <w:tbl>
      <w:tblPr>
        <w:tblStyle w:val="42"/>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rPr>
              <w:t>法定代表人</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color w:val="000000"/>
                <w:szCs w:val="21"/>
              </w:rPr>
            </w:pPr>
            <w:r>
              <w:rPr>
                <w:rFonts w:hint="eastAsia"/>
                <w:color w:val="00000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营业执照号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color w:val="000000"/>
                <w:szCs w:val="21"/>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color w:val="000000"/>
                <w:szCs w:val="21"/>
              </w:rPr>
            </w:pPr>
            <w:r>
              <w:rPr>
                <w:rFonts w:hint="eastAsia"/>
                <w:color w:val="000000"/>
                <w:szCs w:val="21"/>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color w:val="000000"/>
                <w:szCs w:val="21"/>
              </w:rPr>
            </w:pPr>
            <w:r>
              <w:rPr>
                <w:rFonts w:hint="eastAsia"/>
                <w:color w:val="000000"/>
                <w:szCs w:val="21"/>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color w:val="000000"/>
                <w:szCs w:val="21"/>
              </w:rPr>
            </w:pPr>
          </w:p>
        </w:tc>
      </w:tr>
    </w:tbl>
    <w:p>
      <w:pPr>
        <w:pStyle w:val="27"/>
        <w:spacing w:line="360" w:lineRule="auto"/>
        <w:ind w:firstLine="288" w:firstLineChars="103"/>
        <w:jc w:val="center"/>
        <w:rPr>
          <w:rFonts w:hint="eastAsia" w:ascii="宋体" w:hAnsi="宋体"/>
          <w:bCs/>
          <w:color w:val="000000"/>
          <w:sz w:val="28"/>
          <w:szCs w:val="28"/>
          <w:lang w:val="en-US" w:eastAsia="zh-CN"/>
        </w:rPr>
      </w:pPr>
      <w:r>
        <w:rPr>
          <w:rFonts w:hint="eastAsia" w:ascii="宋体" w:hAnsi="宋体"/>
          <w:bCs/>
          <w:color w:val="000000"/>
          <w:sz w:val="28"/>
          <w:szCs w:val="28"/>
          <w:lang w:val="en-US" w:eastAsia="zh-CN"/>
        </w:rPr>
        <w:t xml:space="preserve">                      </w:t>
      </w:r>
    </w:p>
    <w:p>
      <w:pPr>
        <w:pStyle w:val="27"/>
        <w:spacing w:line="360" w:lineRule="auto"/>
        <w:ind w:firstLine="288" w:firstLineChars="103"/>
        <w:jc w:val="center"/>
        <w:rPr>
          <w:rFonts w:hint="default" w:ascii="宋体" w:hAnsi="宋体" w:eastAsia="宋体"/>
          <w:bCs/>
          <w:color w:val="000000"/>
          <w:sz w:val="28"/>
          <w:szCs w:val="28"/>
          <w:u w:val="single"/>
          <w:lang w:val="en-US" w:eastAsia="zh-CN"/>
        </w:rPr>
      </w:pPr>
      <w:r>
        <w:rPr>
          <w:rFonts w:hint="eastAsia" w:ascii="宋体" w:hAnsi="宋体"/>
          <w:bCs/>
          <w:color w:val="000000"/>
          <w:sz w:val="28"/>
          <w:szCs w:val="28"/>
          <w:lang w:val="en-US" w:eastAsia="zh-CN"/>
        </w:rPr>
        <w:t xml:space="preserve">                     </w:t>
      </w:r>
      <w:r>
        <w:rPr>
          <w:rFonts w:hint="eastAsia" w:ascii="宋体" w:hAnsi="宋体"/>
          <w:bCs/>
          <w:color w:val="000000"/>
          <w:sz w:val="28"/>
          <w:szCs w:val="28"/>
        </w:rPr>
        <w:t>供应商名称：</w:t>
      </w:r>
      <w:r>
        <w:rPr>
          <w:rFonts w:hint="eastAsia" w:ascii="宋体" w:hAnsi="宋体"/>
          <w:bCs/>
          <w:color w:val="000000"/>
          <w:sz w:val="28"/>
          <w:szCs w:val="28"/>
          <w:u w:val="none"/>
          <w:lang w:val="en-US" w:eastAsia="zh-CN"/>
        </w:rPr>
        <w:t xml:space="preserve"> </w:t>
      </w:r>
      <w:r>
        <w:rPr>
          <w:rFonts w:hint="eastAsia" w:ascii="宋体" w:hAnsi="宋体"/>
          <w:bCs/>
          <w:color w:val="000000"/>
          <w:sz w:val="28"/>
          <w:szCs w:val="28"/>
          <w:u w:val="single"/>
          <w:lang w:val="en-US" w:eastAsia="zh-CN"/>
        </w:rPr>
        <w:t xml:space="preserve">            </w:t>
      </w:r>
    </w:p>
    <w:p>
      <w:pPr>
        <w:pStyle w:val="317"/>
        <w:ind w:firstLine="280" w:firstLineChars="100"/>
        <w:jc w:val="right"/>
        <w:outlineLvl w:val="1"/>
        <w:rPr>
          <w:rFonts w:hint="eastAsia" w:ascii="宋体" w:hAnsi="宋体" w:eastAsia="宋体"/>
          <w:b w:val="0"/>
          <w:bCs/>
          <w:color w:val="000000"/>
          <w:kern w:val="2"/>
          <w:sz w:val="28"/>
          <w:szCs w:val="28"/>
        </w:rPr>
      </w:pPr>
      <w:bookmarkStart w:id="140" w:name="_Toc14419"/>
      <w:bookmarkStart w:id="141" w:name="_Toc28368"/>
      <w:r>
        <w:rPr>
          <w:rFonts w:hint="eastAsia" w:ascii="宋体" w:hAnsi="宋体" w:eastAsia="宋体"/>
          <w:b w:val="0"/>
          <w:bCs/>
          <w:color w:val="000000"/>
          <w:kern w:val="2"/>
          <w:sz w:val="28"/>
          <w:szCs w:val="28"/>
        </w:rPr>
        <w:t>日期：</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年</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月</w:t>
      </w:r>
      <w:r>
        <w:rPr>
          <w:rFonts w:hint="eastAsia" w:ascii="宋体" w:hAnsi="宋体" w:eastAsia="宋体"/>
          <w:b w:val="0"/>
          <w:bCs/>
          <w:color w:val="000000"/>
          <w:kern w:val="2"/>
          <w:sz w:val="28"/>
          <w:szCs w:val="28"/>
          <w:u w:val="single"/>
          <w:lang w:val="en-US" w:eastAsia="zh-CN"/>
        </w:rPr>
        <w:t xml:space="preserve">   </w:t>
      </w:r>
      <w:r>
        <w:rPr>
          <w:rFonts w:hint="eastAsia" w:ascii="宋体" w:hAnsi="宋体" w:eastAsia="宋体"/>
          <w:b w:val="0"/>
          <w:bCs/>
          <w:color w:val="000000"/>
          <w:kern w:val="2"/>
          <w:sz w:val="28"/>
          <w:szCs w:val="28"/>
        </w:rPr>
        <w:t>日</w:t>
      </w:r>
      <w:bookmarkEnd w:id="140"/>
      <w:bookmarkEnd w:id="141"/>
    </w:p>
    <w:p>
      <w:pPr>
        <w:pStyle w:val="317"/>
        <w:outlineLvl w:val="1"/>
        <w:rPr>
          <w:color w:val="000000"/>
        </w:rPr>
      </w:pPr>
    </w:p>
    <w:p>
      <w:pPr>
        <w:spacing w:line="588" w:lineRule="exact"/>
        <w:rPr>
          <w:rFonts w:hint="eastAsia"/>
          <w:color w:val="000000"/>
          <w:shd w:val="clear" w:color="auto" w:fill="FFFFFF"/>
        </w:rPr>
      </w:pPr>
    </w:p>
    <w:p>
      <w:pPr>
        <w:pStyle w:val="2"/>
        <w:rPr>
          <w:rFonts w:hint="eastAsia"/>
          <w:color w:val="000000"/>
          <w:shd w:val="clear" w:color="auto" w:fill="FFFFFF"/>
        </w:rPr>
      </w:pPr>
    </w:p>
    <w:p>
      <w:pPr>
        <w:rPr>
          <w:rFonts w:hint="eastAsia"/>
          <w:color w:val="000000"/>
          <w:shd w:val="clear" w:color="auto" w:fill="FFFFFF"/>
        </w:rPr>
      </w:pPr>
    </w:p>
    <w:p>
      <w:pPr>
        <w:pStyle w:val="2"/>
        <w:rPr>
          <w:rFonts w:hint="eastAsia"/>
        </w:rPr>
      </w:pPr>
    </w:p>
    <w:p>
      <w:pPr>
        <w:rPr>
          <w:rFonts w:hint="eastAsia"/>
        </w:rPr>
      </w:pPr>
    </w:p>
    <w:p>
      <w:pPr>
        <w:pStyle w:val="2"/>
      </w:pPr>
    </w:p>
    <w:p>
      <w:pPr>
        <w:pStyle w:val="316"/>
        <w:outlineLvl w:val="1"/>
        <w:rPr>
          <w:rFonts w:hint="eastAsia" w:ascii="宋体" w:hAnsi="宋体" w:eastAsia="宋体" w:cs="宋体"/>
          <w:color w:val="000000"/>
        </w:rPr>
      </w:pPr>
      <w:bookmarkStart w:id="142" w:name="_Toc10611"/>
      <w:bookmarkStart w:id="143" w:name="_Toc16506"/>
      <w:bookmarkStart w:id="144" w:name="_Toc22769"/>
      <w:r>
        <w:rPr>
          <w:rFonts w:hint="eastAsia" w:ascii="宋体" w:hAnsi="宋体" w:eastAsia="宋体" w:cs="宋体"/>
          <w:color w:val="000000"/>
        </w:rPr>
        <w:t>3.</w:t>
      </w:r>
      <w:r>
        <w:rPr>
          <w:rFonts w:hint="eastAsia" w:ascii="宋体" w:hAnsi="宋体" w:eastAsia="宋体" w:cs="宋体"/>
          <w:color w:val="000000"/>
          <w:lang w:val="en-US" w:eastAsia="zh-CN"/>
        </w:rPr>
        <w:t>1.6</w:t>
      </w:r>
      <w:r>
        <w:rPr>
          <w:rFonts w:hint="eastAsia" w:ascii="宋体" w:hAnsi="宋体" w:eastAsia="宋体" w:cs="宋体"/>
          <w:color w:val="000000"/>
        </w:rPr>
        <w:t>供应商应提交的相关资格证明材料</w:t>
      </w:r>
      <w:bookmarkEnd w:id="142"/>
      <w:bookmarkEnd w:id="143"/>
      <w:bookmarkEnd w:id="144"/>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（一）</w:t>
      </w:r>
      <w:r>
        <w:rPr>
          <w:rFonts w:hint="eastAsia" w:ascii="宋体" w:hAnsi="宋体"/>
          <w:b w:val="0"/>
          <w:bCs w:val="0"/>
          <w:color w:val="auto"/>
          <w:kern w:val="10"/>
          <w:sz w:val="24"/>
          <w:szCs w:val="20"/>
          <w:highlight w:val="none"/>
        </w:rPr>
        <w:t>营业执照复印件（正本或副本）或法人证书复印件（正本或副本）；</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（二）</w:t>
      </w:r>
      <w:r>
        <w:rPr>
          <w:rFonts w:hint="eastAsia" w:ascii="宋体" w:hAnsi="宋体"/>
          <w:b w:val="0"/>
          <w:bCs w:val="0"/>
          <w:color w:val="auto"/>
          <w:kern w:val="10"/>
          <w:sz w:val="24"/>
          <w:szCs w:val="20"/>
          <w:highlight w:val="none"/>
        </w:rPr>
        <w:t>2019或2020会计年度资产负债表复印件（说明：</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成立时间至递交</w:t>
      </w:r>
      <w:r>
        <w:rPr>
          <w:rFonts w:hint="eastAsia"/>
          <w:b w:val="0"/>
          <w:bCs w:val="0"/>
          <w:color w:val="auto"/>
          <w:kern w:val="10"/>
          <w:sz w:val="24"/>
          <w:szCs w:val="20"/>
          <w:highlight w:val="none"/>
          <w:lang w:eastAsia="zh-CN"/>
        </w:rPr>
        <w:t>响应</w:t>
      </w:r>
      <w:r>
        <w:rPr>
          <w:rFonts w:hint="eastAsia" w:ascii="宋体" w:hAnsi="宋体"/>
          <w:b w:val="0"/>
          <w:bCs w:val="0"/>
          <w:color w:val="auto"/>
          <w:kern w:val="10"/>
          <w:sz w:val="24"/>
          <w:szCs w:val="20"/>
          <w:highlight w:val="none"/>
        </w:rPr>
        <w:t>文件截止时间止不足一年的，提供成立后任意时段的资产负债表复印件）；</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（三）供应商</w:t>
      </w:r>
      <w:r>
        <w:rPr>
          <w:rFonts w:hint="eastAsia" w:ascii="宋体" w:hAnsi="宋体"/>
          <w:b w:val="0"/>
          <w:bCs w:val="0"/>
          <w:color w:val="auto"/>
          <w:kern w:val="10"/>
          <w:sz w:val="24"/>
          <w:szCs w:val="20"/>
          <w:highlight w:val="none"/>
        </w:rPr>
        <w:t>缴纳2020或2021年任意时段的税收的银行电子回单或者行政部门出具的纳税证明或完税证明复印件；</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（四）</w:t>
      </w:r>
      <w:r>
        <w:rPr>
          <w:rFonts w:hint="eastAsia" w:ascii="宋体" w:hAnsi="宋体"/>
          <w:b w:val="0"/>
          <w:bCs w:val="0"/>
          <w:color w:val="auto"/>
          <w:kern w:val="10"/>
          <w:sz w:val="24"/>
          <w:szCs w:val="20"/>
          <w:highlight w:val="none"/>
        </w:rPr>
        <w:t>采购人对</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履行合同所必须的设备和专业技术能力无其他特殊要求，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p>
    <w:p>
      <w:pPr>
        <w:pStyle w:val="113"/>
        <w:ind w:firstLine="480"/>
        <w:rPr>
          <w:rFonts w:hint="eastAsia" w:ascii="宋体" w:hAnsi="宋体"/>
          <w:b w:val="0"/>
          <w:bCs w:val="0"/>
          <w:color w:val="auto"/>
          <w:kern w:val="10"/>
          <w:sz w:val="24"/>
          <w:szCs w:val="20"/>
          <w:highlight w:val="none"/>
        </w:rPr>
      </w:pPr>
      <w:r>
        <w:rPr>
          <w:rFonts w:hint="eastAsia"/>
          <w:b w:val="0"/>
          <w:bCs w:val="0"/>
          <w:color w:val="auto"/>
          <w:kern w:val="10"/>
          <w:sz w:val="24"/>
          <w:szCs w:val="20"/>
          <w:highlight w:val="none"/>
          <w:lang w:eastAsia="zh-CN"/>
        </w:rPr>
        <w:t>（五）供应商</w:t>
      </w:r>
      <w:r>
        <w:rPr>
          <w:rFonts w:hint="eastAsia" w:ascii="宋体" w:hAnsi="宋体"/>
          <w:b w:val="0"/>
          <w:bCs w:val="0"/>
          <w:color w:val="auto"/>
          <w:kern w:val="10"/>
          <w:sz w:val="24"/>
          <w:szCs w:val="20"/>
          <w:highlight w:val="none"/>
        </w:rPr>
        <w:t>缴纳2020或2021年任意时段的社保的银行电子回单或行政部门出具的社保缴纳证明材料复印件；</w:t>
      </w:r>
    </w:p>
    <w:p>
      <w:pPr>
        <w:pStyle w:val="113"/>
        <w:ind w:firstLine="480"/>
        <w:rPr>
          <w:rFonts w:hint="eastAsia" w:ascii="宋体" w:hAnsi="宋体" w:eastAsia="宋体"/>
          <w:b w:val="0"/>
          <w:bCs w:val="0"/>
          <w:color w:val="auto"/>
          <w:kern w:val="10"/>
          <w:sz w:val="24"/>
          <w:szCs w:val="20"/>
          <w:highlight w:val="none"/>
          <w:lang w:eastAsia="zh-CN"/>
        </w:rPr>
      </w:pPr>
      <w:r>
        <w:rPr>
          <w:rFonts w:hint="eastAsia"/>
          <w:b w:val="0"/>
          <w:bCs w:val="0"/>
          <w:color w:val="auto"/>
          <w:kern w:val="10"/>
          <w:sz w:val="24"/>
          <w:szCs w:val="20"/>
          <w:highlight w:val="none"/>
          <w:lang w:eastAsia="zh-CN"/>
        </w:rPr>
        <w:t>（六）</w:t>
      </w:r>
      <w:r>
        <w:rPr>
          <w:rFonts w:hint="eastAsia" w:ascii="宋体" w:hAnsi="宋体"/>
          <w:b w:val="0"/>
          <w:bCs w:val="0"/>
          <w:color w:val="auto"/>
          <w:kern w:val="10"/>
          <w:sz w:val="24"/>
          <w:szCs w:val="20"/>
          <w:highlight w:val="none"/>
        </w:rPr>
        <w:t>采购人对法律、行政法规规定的其他条件无其他特殊要求，</w:t>
      </w:r>
      <w:r>
        <w:rPr>
          <w:rFonts w:hint="eastAsia"/>
          <w:b w:val="0"/>
          <w:bCs w:val="0"/>
          <w:color w:val="auto"/>
          <w:kern w:val="10"/>
          <w:sz w:val="24"/>
          <w:szCs w:val="20"/>
          <w:highlight w:val="none"/>
          <w:lang w:eastAsia="zh-CN"/>
        </w:rPr>
        <w:t>供应商</w:t>
      </w:r>
      <w:r>
        <w:rPr>
          <w:rFonts w:hint="eastAsia" w:ascii="宋体" w:hAnsi="宋体"/>
          <w:b w:val="0"/>
          <w:bCs w:val="0"/>
          <w:color w:val="auto"/>
          <w:kern w:val="10"/>
          <w:sz w:val="24"/>
          <w:szCs w:val="20"/>
          <w:highlight w:val="none"/>
        </w:rPr>
        <w:t>具有有效的营业执照或法人证书即可，可不提供其他证明材料</w:t>
      </w:r>
      <w:r>
        <w:rPr>
          <w:rFonts w:hint="eastAsia"/>
          <w:b w:val="0"/>
          <w:bCs w:val="0"/>
          <w:color w:val="auto"/>
          <w:kern w:val="10"/>
          <w:sz w:val="24"/>
          <w:szCs w:val="20"/>
          <w:highlight w:val="none"/>
          <w:lang w:eastAsia="zh-CN"/>
        </w:rPr>
        <w:t>；</w:t>
      </w: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245"/>
        <w:outlineLvl w:val="1"/>
        <w:rPr>
          <w:color w:val="000000"/>
          <w:shd w:val="clear" w:color="auto" w:fill="FFFFFF"/>
        </w:rPr>
      </w:pPr>
    </w:p>
    <w:p>
      <w:pPr>
        <w:pStyle w:val="372"/>
        <w:rPr>
          <w:rFonts w:hint="eastAsia" w:ascii="宋体" w:hAnsi="宋体" w:cs="Times New Roman"/>
          <w:b/>
          <w:bCs/>
          <w:color w:val="auto"/>
          <w:kern w:val="2"/>
          <w:sz w:val="28"/>
          <w:szCs w:val="28"/>
          <w:highlight w:val="none"/>
          <w:lang w:val="en-US" w:eastAsia="zh-CN" w:bidi="ar-SA"/>
        </w:rPr>
      </w:pPr>
      <w:bookmarkStart w:id="145" w:name="_Toc1599"/>
      <w:bookmarkStart w:id="146" w:name="_Toc13480"/>
      <w:bookmarkStart w:id="147" w:name="_Toc74926776"/>
      <w:r>
        <w:rPr>
          <w:rFonts w:hint="eastAsia" w:ascii="宋体" w:hAnsi="宋体" w:eastAsia="宋体" w:cs="Times New Roman"/>
          <w:b/>
          <w:bCs/>
          <w:color w:val="auto"/>
          <w:kern w:val="2"/>
          <w:sz w:val="28"/>
          <w:szCs w:val="28"/>
          <w:highlight w:val="none"/>
          <w:lang w:val="en-US" w:eastAsia="zh-CN" w:bidi="ar-SA"/>
        </w:rPr>
        <w:t>3.</w:t>
      </w:r>
      <w:r>
        <w:rPr>
          <w:rFonts w:hint="eastAsia" w:ascii="宋体" w:hAnsi="宋体" w:cs="Times New Roman"/>
          <w:b/>
          <w:bCs/>
          <w:color w:val="auto"/>
          <w:kern w:val="2"/>
          <w:sz w:val="28"/>
          <w:szCs w:val="28"/>
          <w:highlight w:val="none"/>
          <w:lang w:val="en-US" w:eastAsia="zh-CN" w:bidi="ar-SA"/>
        </w:rPr>
        <w:t>2技术、服务性响应文件格式</w:t>
      </w:r>
    </w:p>
    <w:p>
      <w:pPr>
        <w:pStyle w:val="5"/>
        <w:numPr>
          <w:ilvl w:val="2"/>
          <w:numId w:val="0"/>
        </w:numPr>
        <w:tabs>
          <w:tab w:val="left" w:pos="709"/>
        </w:tabs>
        <w:spacing w:after="200"/>
        <w:ind w:leftChars="0"/>
        <w:jc w:val="left"/>
        <w:rPr>
          <w:color w:val="auto"/>
          <w:highlight w:val="none"/>
        </w:rPr>
      </w:pPr>
      <w:bookmarkStart w:id="148" w:name="_Toc20128"/>
      <w:bookmarkStart w:id="149" w:name="_Toc21949"/>
      <w:r>
        <w:rPr>
          <w:rFonts w:hint="eastAsia"/>
          <w:color w:val="auto"/>
          <w:highlight w:val="none"/>
          <w:lang w:val="en-US" w:eastAsia="zh-CN"/>
        </w:rPr>
        <w:t>3.2.1</w:t>
      </w:r>
      <w:r>
        <w:rPr>
          <w:rFonts w:hint="eastAsia"/>
          <w:color w:val="auto"/>
          <w:highlight w:val="none"/>
        </w:rPr>
        <w:t>技术、服务性响应文件封面格式</w:t>
      </w:r>
      <w:bookmarkEnd w:id="148"/>
      <w:bookmarkEnd w:id="149"/>
    </w:p>
    <w:p>
      <w:pPr>
        <w:spacing w:line="360" w:lineRule="auto"/>
        <w:jc w:val="center"/>
        <w:rPr>
          <w:rFonts w:ascii="宋体" w:hAnsi="宋体"/>
          <w:color w:val="auto"/>
          <w:spacing w:val="78"/>
          <w:sz w:val="96"/>
          <w:szCs w:val="120"/>
          <w:highlight w:val="none"/>
        </w:rPr>
      </w:pPr>
    </w:p>
    <w:p>
      <w:pPr>
        <w:spacing w:line="360" w:lineRule="auto"/>
        <w:jc w:val="center"/>
        <w:rPr>
          <w:rFonts w:ascii="宋体" w:hAnsi="宋体"/>
          <w:color w:val="auto"/>
          <w:spacing w:val="78"/>
          <w:sz w:val="96"/>
          <w:szCs w:val="120"/>
          <w:highlight w:val="none"/>
        </w:rPr>
      </w:pPr>
    </w:p>
    <w:p>
      <w:pPr>
        <w:spacing w:line="360" w:lineRule="auto"/>
        <w:jc w:val="center"/>
        <w:rPr>
          <w:rFonts w:ascii="宋体" w:hAnsi="宋体"/>
          <w:color w:val="auto"/>
          <w:spacing w:val="78"/>
          <w:sz w:val="96"/>
          <w:szCs w:val="120"/>
          <w:highlight w:val="none"/>
        </w:rPr>
      </w:pPr>
      <w:r>
        <w:rPr>
          <w:rFonts w:hint="eastAsia" w:ascii="宋体" w:hAnsi="宋体"/>
          <w:color w:val="auto"/>
          <w:spacing w:val="78"/>
          <w:sz w:val="56"/>
          <w:szCs w:val="120"/>
          <w:highlight w:val="none"/>
        </w:rPr>
        <w:t>技术、服务性响应文件</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Cs/>
          <w:color w:val="auto"/>
          <w:sz w:val="36"/>
          <w:highlight w:val="none"/>
        </w:rPr>
      </w:pPr>
    </w:p>
    <w:p>
      <w:pPr>
        <w:spacing w:line="360" w:lineRule="auto"/>
        <w:jc w:val="both"/>
        <w:rPr>
          <w:rFonts w:ascii="宋体" w:hAnsi="宋体"/>
          <w:bCs/>
          <w:color w:val="auto"/>
          <w:sz w:val="36"/>
          <w:highlight w:val="none"/>
        </w:rPr>
      </w:pPr>
    </w:p>
    <w:p>
      <w:pPr>
        <w:snapToGrid w:val="0"/>
        <w:spacing w:line="360" w:lineRule="auto"/>
        <w:ind w:right="-624" w:rightChars="-297"/>
        <w:rPr>
          <w:rFonts w:hint="eastAsia"/>
          <w:b/>
          <w:color w:val="auto"/>
          <w:sz w:val="28"/>
          <w:highlight w:val="none"/>
          <w:u w:val="single"/>
          <w:lang w:eastAsia="zh-CN"/>
        </w:rPr>
      </w:pPr>
      <w:r>
        <w:rPr>
          <w:rFonts w:hint="eastAsia" w:ascii="宋体" w:hAnsi="宋体"/>
          <w:b/>
          <w:color w:val="auto"/>
          <w:sz w:val="28"/>
          <w:highlight w:val="none"/>
        </w:rPr>
        <w:t>项目名称：</w:t>
      </w:r>
      <w:r>
        <w:rPr>
          <w:rFonts w:hint="eastAsia"/>
          <w:b/>
          <w:color w:val="auto"/>
          <w:sz w:val="28"/>
          <w:highlight w:val="none"/>
          <w:u w:val="single"/>
          <w:lang w:eastAsia="zh-CN"/>
        </w:rPr>
        <w:t>成都市温江区第二中学校机房及创客设备采购项目</w:t>
      </w:r>
    </w:p>
    <w:p>
      <w:pPr>
        <w:snapToGrid w:val="0"/>
        <w:spacing w:line="360" w:lineRule="auto"/>
        <w:ind w:right="-624" w:rightChars="-297"/>
        <w:rPr>
          <w:rFonts w:hint="eastAsia" w:ascii="宋体" w:hAnsi="宋体" w:eastAsia="宋体" w:cs="Times New Roman"/>
          <w:b/>
          <w:bCs/>
          <w:color w:val="auto"/>
          <w:kern w:val="2"/>
          <w:sz w:val="28"/>
          <w:szCs w:val="28"/>
          <w:highlight w:val="none"/>
          <w:u w:val="single"/>
          <w:lang w:val="en-US" w:eastAsia="zh-CN" w:bidi="ar-SA"/>
        </w:rPr>
      </w:pPr>
      <w:r>
        <w:rPr>
          <w:rFonts w:hint="eastAsia" w:ascii="宋体" w:hAnsi="宋体"/>
          <w:b/>
          <w:color w:val="auto"/>
          <w:sz w:val="28"/>
          <w:highlight w:val="none"/>
        </w:rPr>
        <w:t>项目编号：</w:t>
      </w:r>
      <w:r>
        <w:rPr>
          <w:rFonts w:hint="eastAsia"/>
          <w:b/>
          <w:color w:val="auto"/>
          <w:sz w:val="28"/>
          <w:highlight w:val="none"/>
          <w:u w:val="single"/>
          <w:lang w:eastAsia="zh-CN"/>
        </w:rPr>
        <w:t>温江政采（2021）A0063号</w:t>
      </w:r>
    </w:p>
    <w:p>
      <w:pPr>
        <w:pStyle w:val="278"/>
        <w:outlineLvl w:val="1"/>
        <w:rPr>
          <w:color w:val="auto"/>
          <w:highlight w:val="none"/>
        </w:rPr>
      </w:pPr>
    </w:p>
    <w:p>
      <w:pPr>
        <w:pStyle w:val="278"/>
        <w:outlineLvl w:val="1"/>
        <w:rPr>
          <w:color w:val="auto"/>
          <w:highlight w:val="none"/>
        </w:rPr>
      </w:pPr>
    </w:p>
    <w:p>
      <w:pPr>
        <w:pStyle w:val="278"/>
        <w:outlineLvl w:val="1"/>
        <w:rPr>
          <w:color w:val="auto"/>
          <w:highlight w:val="none"/>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rFonts w:hint="eastAsia" w:ascii="宋体" w:hAnsi="宋体" w:eastAsia="宋体" w:cs="宋体"/>
          <w:color w:val="000000"/>
          <w:lang w:val="en-US" w:eastAsia="zh-CN"/>
        </w:rPr>
      </w:pPr>
    </w:p>
    <w:p>
      <w:pPr>
        <w:pStyle w:val="245"/>
        <w:outlineLvl w:val="1"/>
        <w:rPr>
          <w:color w:val="000000"/>
          <w:shd w:val="clear" w:color="auto" w:fill="FFFFFF"/>
        </w:rPr>
      </w:pPr>
      <w:bookmarkStart w:id="150" w:name="_Toc21197"/>
      <w:r>
        <w:rPr>
          <w:rFonts w:hint="eastAsia" w:ascii="宋体" w:hAnsi="宋体" w:eastAsia="宋体" w:cs="宋体"/>
          <w:color w:val="000000"/>
          <w:lang w:val="en-US" w:eastAsia="zh-CN"/>
        </w:rPr>
        <w:t>3.</w:t>
      </w:r>
      <w:bookmarkEnd w:id="145"/>
      <w:bookmarkEnd w:id="146"/>
      <w:bookmarkEnd w:id="147"/>
      <w:bookmarkStart w:id="151" w:name="_Toc2371"/>
      <w:bookmarkStart w:id="152" w:name="_Toc23615"/>
      <w:r>
        <w:rPr>
          <w:rFonts w:hint="eastAsia" w:ascii="宋体" w:hAnsi="宋体" w:eastAsia="宋体" w:cs="宋体"/>
          <w:color w:val="000000"/>
          <w:lang w:val="en-US" w:eastAsia="zh-CN"/>
        </w:rPr>
        <w:t>2.2</w:t>
      </w:r>
      <w:bookmarkEnd w:id="151"/>
      <w:bookmarkEnd w:id="152"/>
      <w:r>
        <w:rPr>
          <w:rFonts w:hint="eastAsia" w:ascii="宋体" w:hAnsi="宋体" w:eastAsia="宋体"/>
          <w:color w:val="000000"/>
          <w:kern w:val="10"/>
          <w:sz w:val="28"/>
          <w:szCs w:val="21"/>
          <w:shd w:val="clear" w:color="auto" w:fill="FFFFFF"/>
          <w:lang w:val="en-US" w:eastAsia="zh-CN"/>
        </w:rPr>
        <w:t>报价表</w:t>
      </w:r>
      <w:bookmarkEnd w:id="150"/>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b/>
          <w:color w:val="auto"/>
          <w:sz w:val="28"/>
          <w:highlight w:val="none"/>
          <w:u w:val="single"/>
          <w:lang w:eastAsia="zh-CN"/>
        </w:rPr>
        <w:t>成都市温江区第二中学校机房及创客设备采购项目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b/>
          <w:color w:val="auto"/>
          <w:sz w:val="28"/>
          <w:highlight w:val="none"/>
          <w:u w:val="single"/>
          <w:lang w:eastAsia="zh-CN"/>
        </w:rPr>
        <w:t>温江政采（2021）A0063号</w:t>
      </w:r>
    </w:p>
    <w:p>
      <w:pPr>
        <w:pStyle w:val="166"/>
        <w:ind w:firstLine="482"/>
        <w:rPr>
          <w:rFonts w:hint="eastAsia" w:ascii="宋体" w:hAnsi="宋体"/>
          <w:b/>
          <w:color w:val="auto"/>
          <w:sz w:val="28"/>
          <w:highlight w:val="none"/>
          <w:u w:val="single"/>
        </w:rPr>
      </w:pPr>
    </w:p>
    <w:tbl>
      <w:tblPr>
        <w:tblStyle w:val="42"/>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jc w:val="center"/>
              <w:rPr>
                <w:sz w:val="28"/>
                <w:szCs w:val="28"/>
              </w:rPr>
            </w:pPr>
            <w:r>
              <w:rPr>
                <w:rFonts w:hint="eastAsia"/>
                <w:sz w:val="28"/>
                <w:szCs w:val="28"/>
              </w:rPr>
              <w:t>报价（</w:t>
            </w:r>
            <w:r>
              <w:rPr>
                <w:rFonts w:hint="eastAsia"/>
                <w:sz w:val="28"/>
                <w:szCs w:val="28"/>
                <w:lang w:val="en-US" w:eastAsia="zh-CN"/>
              </w:rPr>
              <w:t>总价、</w:t>
            </w:r>
            <w:r>
              <w:rPr>
                <w:rFonts w:hint="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pPr>
              <w:tabs>
                <w:tab w:val="left" w:pos="1134"/>
              </w:tabs>
              <w:spacing w:line="560" w:lineRule="exact"/>
              <w:rPr>
                <w:sz w:val="28"/>
                <w:szCs w:val="28"/>
              </w:rPr>
            </w:pPr>
          </w:p>
        </w:tc>
      </w:tr>
    </w:tbl>
    <w:p>
      <w:pPr>
        <w:tabs>
          <w:tab w:val="left" w:pos="1134"/>
        </w:tabs>
        <w:spacing w:line="560" w:lineRule="exact"/>
        <w:ind w:firstLine="425" w:firstLineChars="152"/>
        <w:rPr>
          <w:sz w:val="28"/>
          <w:szCs w:val="28"/>
        </w:rPr>
      </w:pPr>
    </w:p>
    <w:p>
      <w:pPr>
        <w:ind w:firstLine="420" w:firstLineChars="200"/>
      </w:pPr>
    </w:p>
    <w:p>
      <w:pPr>
        <w:pStyle w:val="124"/>
        <w:ind w:firstLine="562" w:firstLineChars="200"/>
        <w:rPr>
          <w:rFonts w:hint="eastAsia"/>
          <w:b/>
          <w:sz w:val="28"/>
        </w:rPr>
      </w:pPr>
      <w:r>
        <w:rPr>
          <w:rFonts w:hint="eastAsia"/>
          <w:b/>
          <w:sz w:val="28"/>
        </w:rPr>
        <w:t>说明：</w:t>
      </w:r>
    </w:p>
    <w:p>
      <w:pPr>
        <w:pStyle w:val="124"/>
        <w:ind w:firstLine="562" w:firstLineChars="200"/>
        <w:rPr>
          <w:b/>
          <w:sz w:val="28"/>
        </w:rPr>
      </w:pPr>
      <w:r>
        <w:rPr>
          <w:rFonts w:hint="eastAsia"/>
          <w:b/>
          <w:sz w:val="28"/>
        </w:rPr>
        <w:t>1、报价应是包括磋商文件规定的全部响应内容的报价。</w:t>
      </w:r>
    </w:p>
    <w:p>
      <w:pPr>
        <w:tabs>
          <w:tab w:val="left" w:pos="1134"/>
        </w:tabs>
        <w:spacing w:line="560" w:lineRule="exact"/>
        <w:ind w:firstLine="562" w:firstLineChars="200"/>
        <w:rPr>
          <w:b/>
          <w:bCs/>
          <w:sz w:val="28"/>
        </w:rPr>
      </w:pPr>
      <w:r>
        <w:rPr>
          <w:rFonts w:hint="eastAsia"/>
          <w:b/>
          <w:sz w:val="28"/>
          <w:szCs w:val="28"/>
        </w:rPr>
        <w:t>2、报价以供应商在政府采购云平台开标一览表中填写的报价为准。</w:t>
      </w:r>
    </w:p>
    <w:p>
      <w:pPr>
        <w:spacing w:after="180" w:line="360" w:lineRule="auto"/>
        <w:ind w:firstLine="568" w:firstLineChars="202"/>
        <w:rPr>
          <w:b/>
          <w:color w:val="000000"/>
          <w:sz w:val="28"/>
          <w:szCs w:val="28"/>
        </w:rPr>
      </w:pPr>
    </w:p>
    <w:p>
      <w:pPr>
        <w:pStyle w:val="245"/>
        <w:outlineLvl w:val="1"/>
        <w:rPr>
          <w:rFonts w:hint="eastAsia"/>
          <w:color w:val="000000"/>
          <w:shd w:val="clear" w:color="auto" w:fill="FFFFFF"/>
          <w:lang w:val="en-US" w:eastAsia="zh-CN"/>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pStyle w:val="317"/>
        <w:outlineLvl w:val="1"/>
        <w:rPr>
          <w:color w:val="000000"/>
        </w:rPr>
      </w:pPr>
    </w:p>
    <w:p>
      <w:pPr>
        <w:keepNext/>
        <w:keepLines/>
        <w:spacing w:line="360" w:lineRule="auto"/>
        <w:outlineLvl w:val="2"/>
        <w:rPr>
          <w:rFonts w:hint="eastAsia"/>
          <w:b/>
          <w:bCs/>
          <w:sz w:val="28"/>
          <w:szCs w:val="28"/>
          <w:lang w:val="en-US" w:eastAsia="zh-CN"/>
        </w:rPr>
      </w:pPr>
      <w:bookmarkStart w:id="153" w:name="_Toc4867"/>
      <w:r>
        <w:rPr>
          <w:rFonts w:hint="eastAsia"/>
          <w:b/>
          <w:bCs/>
          <w:color w:val="000000"/>
          <w:sz w:val="28"/>
          <w:szCs w:val="32"/>
        </w:rPr>
        <w:t>3.3.</w:t>
      </w:r>
      <w:r>
        <w:rPr>
          <w:rFonts w:hint="eastAsia"/>
          <w:b/>
          <w:bCs/>
          <w:color w:val="000000"/>
          <w:sz w:val="28"/>
          <w:szCs w:val="32"/>
          <w:lang w:val="en-US" w:eastAsia="zh-CN"/>
        </w:rPr>
        <w:t>3分项</w:t>
      </w:r>
      <w:r>
        <w:rPr>
          <w:rFonts w:hint="eastAsia"/>
          <w:b/>
          <w:bCs/>
          <w:sz w:val="28"/>
          <w:szCs w:val="28"/>
        </w:rPr>
        <w:t>报价</w:t>
      </w:r>
      <w:r>
        <w:rPr>
          <w:rFonts w:hint="eastAsia"/>
          <w:b/>
          <w:bCs/>
          <w:sz w:val="28"/>
          <w:szCs w:val="28"/>
          <w:lang w:val="en-US" w:eastAsia="zh-CN"/>
        </w:rPr>
        <w:t>表</w:t>
      </w:r>
      <w:bookmarkEnd w:id="153"/>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b/>
          <w:color w:val="auto"/>
          <w:sz w:val="28"/>
          <w:highlight w:val="none"/>
          <w:u w:val="single"/>
          <w:lang w:eastAsia="zh-CN"/>
        </w:rPr>
        <w:t>成都市温江区第二中学校机房及创客设备采购项目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firstLine="482"/>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b/>
          <w:color w:val="auto"/>
          <w:sz w:val="28"/>
          <w:highlight w:val="none"/>
          <w:u w:val="single"/>
          <w:lang w:eastAsia="zh-CN"/>
        </w:rPr>
        <w:t>温江政采（2021）A0063号</w:t>
      </w:r>
    </w:p>
    <w:tbl>
      <w:tblPr>
        <w:tblStyle w:val="42"/>
        <w:tblW w:w="54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755"/>
        <w:gridCol w:w="703"/>
        <w:gridCol w:w="703"/>
        <w:gridCol w:w="820"/>
        <w:gridCol w:w="981"/>
        <w:gridCol w:w="961"/>
        <w:gridCol w:w="86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序号</w:t>
            </w:r>
          </w:p>
        </w:tc>
        <w:tc>
          <w:tcPr>
            <w:tcW w:w="211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货物名称</w:t>
            </w:r>
          </w:p>
        </w:tc>
        <w:tc>
          <w:tcPr>
            <w:tcW w:w="77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品牌</w:t>
            </w:r>
          </w:p>
        </w:tc>
        <w:tc>
          <w:tcPr>
            <w:tcW w:w="779"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规格型号</w:t>
            </w:r>
          </w:p>
        </w:tc>
        <w:tc>
          <w:tcPr>
            <w:tcW w:w="927"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制造商</w:t>
            </w:r>
          </w:p>
        </w:tc>
        <w:tc>
          <w:tcPr>
            <w:tcW w:w="1132"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进口或国产</w:t>
            </w:r>
          </w:p>
        </w:tc>
        <w:tc>
          <w:tcPr>
            <w:tcW w:w="1107"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ascii="宋体" w:hAnsi="宋体"/>
                <w:b/>
                <w:bCs/>
                <w:color w:val="auto"/>
                <w:szCs w:val="21"/>
                <w:highlight w:val="none"/>
              </w:rPr>
              <w:t>数量</w:t>
            </w:r>
          </w:p>
        </w:tc>
        <w:tc>
          <w:tcPr>
            <w:tcW w:w="988"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Cs/>
                <w:color w:val="auto"/>
                <w:szCs w:val="21"/>
                <w:highlight w:val="none"/>
              </w:rPr>
            </w:pPr>
            <w:r>
              <w:rPr>
                <w:rFonts w:ascii="宋体" w:hAnsi="宋体"/>
                <w:b/>
                <w:bCs/>
                <w:color w:val="auto"/>
                <w:szCs w:val="21"/>
                <w:highlight w:val="none"/>
              </w:rPr>
              <w:t>单价</w:t>
            </w:r>
          </w:p>
        </w:tc>
        <w:tc>
          <w:tcPr>
            <w:tcW w:w="1571" w:type="dxa"/>
            <w:tcBorders>
              <w:top w:val="single" w:color="auto" w:sz="2" w:space="0"/>
              <w:left w:val="single" w:color="auto" w:sz="2" w:space="0"/>
              <w:bottom w:val="single" w:color="auto" w:sz="2" w:space="0"/>
              <w:right w:val="single" w:color="auto" w:sz="2" w:space="0"/>
            </w:tcBorders>
            <w:vAlign w:val="center"/>
          </w:tcPr>
          <w:p>
            <w:pPr>
              <w:pStyle w:val="27"/>
              <w:ind w:left="0" w:leftChars="0" w:firstLine="0" w:firstLineChars="0"/>
              <w:jc w:val="both"/>
              <w:rPr>
                <w:rFonts w:ascii="宋体" w:hAnsi="宋体"/>
                <w:b/>
                <w:bCs/>
                <w:color w:val="auto"/>
                <w:szCs w:val="21"/>
                <w:highlight w:val="none"/>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6"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hint="eastAsia" w:ascii="宋体" w:hAnsi="宋体" w:eastAsia="宋体"/>
                <w:bCs/>
                <w:color w:val="auto"/>
                <w:szCs w:val="21"/>
                <w:highlight w:val="none"/>
                <w:lang w:eastAsia="zh-CN"/>
              </w:rPr>
            </w:pPr>
            <w:r>
              <w:rPr>
                <w:rFonts w:hint="eastAsia"/>
                <w:bCs/>
                <w:color w:val="auto"/>
                <w:szCs w:val="21"/>
                <w:highlight w:val="none"/>
                <w:lang w:eastAsia="zh-CN"/>
              </w:rPr>
              <w:t>……</w:t>
            </w:r>
          </w:p>
        </w:tc>
        <w:tc>
          <w:tcPr>
            <w:tcW w:w="2119" w:type="dxa"/>
            <w:tcBorders>
              <w:top w:val="single" w:color="auto" w:sz="2" w:space="0"/>
              <w:left w:val="single" w:color="auto" w:sz="2" w:space="0"/>
              <w:bottom w:val="single" w:color="auto" w:sz="4" w:space="0"/>
              <w:right w:val="single" w:color="auto" w:sz="2" w:space="0"/>
            </w:tcBorders>
            <w:vAlign w:val="center"/>
          </w:tcPr>
          <w:p>
            <w:pPr>
              <w:pStyle w:val="27"/>
              <w:ind w:left="0" w:leftChars="0"/>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779"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2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32"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107"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988"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c>
          <w:tcPr>
            <w:tcW w:w="1571" w:type="dxa"/>
            <w:tcBorders>
              <w:top w:val="single" w:color="auto" w:sz="2" w:space="0"/>
              <w:left w:val="single" w:color="auto" w:sz="2" w:space="0"/>
              <w:bottom w:val="single" w:color="auto" w:sz="4" w:space="0"/>
              <w:right w:val="single" w:color="auto" w:sz="2" w:space="0"/>
            </w:tcBorders>
            <w:vAlign w:val="center"/>
          </w:tcPr>
          <w:p>
            <w:pPr>
              <w:pStyle w:val="27"/>
              <w:ind w:left="0" w:leftChars="0"/>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607" w:type="dxa"/>
            <w:gridSpan w:val="8"/>
            <w:tcBorders>
              <w:top w:val="single" w:color="auto" w:sz="4" w:space="0"/>
              <w:left w:val="single" w:color="auto" w:sz="2" w:space="0"/>
              <w:bottom w:val="single" w:color="auto" w:sz="2" w:space="0"/>
              <w:right w:val="single" w:color="auto" w:sz="2" w:space="0"/>
            </w:tcBorders>
            <w:vAlign w:val="center"/>
          </w:tcPr>
          <w:p>
            <w:pPr>
              <w:pStyle w:val="27"/>
              <w:jc w:val="center"/>
              <w:rPr>
                <w:rFonts w:ascii="宋体" w:hAnsi="宋体"/>
                <w:b/>
                <w:bCs/>
                <w:color w:val="auto"/>
                <w:szCs w:val="21"/>
                <w:highlight w:val="none"/>
                <w:u w:val="single"/>
              </w:rPr>
            </w:pPr>
            <w:r>
              <w:rPr>
                <w:rFonts w:ascii="宋体" w:hAnsi="宋体"/>
                <w:b/>
                <w:bCs/>
                <w:color w:val="auto"/>
                <w:szCs w:val="21"/>
                <w:highlight w:val="none"/>
              </w:rPr>
              <w:t>报价</w:t>
            </w:r>
            <w:r>
              <w:rPr>
                <w:rFonts w:hint="eastAsia" w:ascii="宋体" w:hAnsi="宋体"/>
                <w:b/>
                <w:bCs/>
                <w:color w:val="auto"/>
                <w:szCs w:val="21"/>
                <w:highlight w:val="none"/>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571" w:type="dxa"/>
            <w:tcBorders>
              <w:top w:val="single" w:color="auto" w:sz="4" w:space="0"/>
              <w:left w:val="single" w:color="auto" w:sz="2" w:space="0"/>
              <w:bottom w:val="single" w:color="auto" w:sz="2" w:space="0"/>
              <w:right w:val="single" w:color="auto" w:sz="2" w:space="0"/>
            </w:tcBorders>
            <w:vAlign w:val="center"/>
          </w:tcPr>
          <w:p>
            <w:pPr>
              <w:pStyle w:val="27"/>
              <w:ind w:left="0" w:leftChars="0" w:firstLine="0" w:firstLineChars="0"/>
              <w:jc w:val="both"/>
              <w:rPr>
                <w:rFonts w:hint="default" w:ascii="宋体" w:hAnsi="宋体" w:eastAsia="宋体"/>
                <w:b/>
                <w:bCs/>
                <w:color w:val="auto"/>
                <w:szCs w:val="21"/>
                <w:highlight w:val="none"/>
                <w:u w:val="single"/>
                <w:lang w:val="en-US" w:eastAsia="zh-CN"/>
              </w:rPr>
            </w:pPr>
            <w:r>
              <w:rPr>
                <w:rFonts w:hint="eastAsia" w:ascii="宋体" w:hAnsi="宋体"/>
                <w:color w:val="000000"/>
                <w:shd w:val="clear" w:color="auto" w:fill="FFFFFF"/>
              </w:rPr>
              <w:t>￥</w:t>
            </w:r>
            <w:r>
              <w:rPr>
                <w:rFonts w:hint="eastAsia" w:ascii="宋体" w:hAnsi="宋体"/>
                <w:color w:val="000000"/>
                <w:u w:val="single"/>
                <w:shd w:val="clear" w:color="auto" w:fill="FFFFFF"/>
                <w:lang w:val="en-US" w:eastAsia="zh-CN"/>
              </w:rPr>
              <w:t xml:space="preserve">  </w:t>
            </w:r>
          </w:p>
        </w:tc>
      </w:tr>
    </w:tbl>
    <w:p>
      <w:pPr>
        <w:spacing w:line="440" w:lineRule="atLeast"/>
        <w:rPr>
          <w:rFonts w:hint="eastAsia" w:ascii="宋体" w:hAnsi="宋体"/>
          <w:b/>
          <w:color w:val="auto"/>
          <w:sz w:val="28"/>
          <w:szCs w:val="28"/>
          <w:highlight w:val="none"/>
        </w:rPr>
      </w:pPr>
    </w:p>
    <w:p>
      <w:pPr>
        <w:spacing w:line="440" w:lineRule="atLeast"/>
        <w:ind w:firstLine="419" w:firstLineChars="149"/>
        <w:rPr>
          <w:rFonts w:ascii="宋体" w:hAnsi="宋体"/>
          <w:b/>
          <w:color w:val="auto"/>
          <w:sz w:val="28"/>
          <w:szCs w:val="28"/>
          <w:highlight w:val="none"/>
        </w:rPr>
      </w:pPr>
      <w:r>
        <w:rPr>
          <w:rFonts w:hint="eastAsia" w:ascii="宋体" w:hAnsi="宋体"/>
          <w:b/>
          <w:color w:val="auto"/>
          <w:sz w:val="28"/>
          <w:szCs w:val="28"/>
          <w:highlight w:val="none"/>
        </w:rPr>
        <w:t>说明：1、进口产品是指通过中国海关报关验放进入中国境内且产自关境外的产品。2、分项报价明细表格式中要求填写品牌、规格型号、制造商、进口或国产的，</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必须载明其</w:t>
      </w:r>
      <w:r>
        <w:rPr>
          <w:rFonts w:hint="eastAsia" w:ascii="宋体" w:hAnsi="宋体"/>
          <w:b/>
          <w:color w:val="auto"/>
          <w:sz w:val="28"/>
          <w:szCs w:val="28"/>
          <w:highlight w:val="none"/>
          <w:lang w:eastAsia="zh-CN"/>
        </w:rPr>
        <w:t>所</w:t>
      </w:r>
      <w:r>
        <w:rPr>
          <w:rFonts w:hint="eastAsia"/>
          <w:b/>
          <w:color w:val="auto"/>
          <w:sz w:val="28"/>
          <w:szCs w:val="28"/>
          <w:highlight w:val="none"/>
          <w:lang w:eastAsia="zh-CN"/>
        </w:rPr>
        <w:t>投</w:t>
      </w:r>
      <w:r>
        <w:rPr>
          <w:rFonts w:hint="eastAsia" w:ascii="宋体" w:hAnsi="宋体"/>
          <w:b/>
          <w:color w:val="auto"/>
          <w:sz w:val="28"/>
          <w:szCs w:val="28"/>
          <w:highlight w:val="none"/>
        </w:rPr>
        <w:t>产品的品牌、规格型号、制造商、进口或国产。</w:t>
      </w:r>
    </w:p>
    <w:p>
      <w:pPr>
        <w:numPr>
          <w:ilvl w:val="0"/>
          <w:numId w:val="0"/>
        </w:numPr>
        <w:tabs>
          <w:tab w:val="left" w:pos="630"/>
          <w:tab w:val="left" w:pos="3414"/>
          <w:tab w:val="left" w:pos="7560"/>
        </w:tabs>
        <w:spacing w:after="200" w:line="360" w:lineRule="auto"/>
        <w:ind w:leftChars="0" w:firstLine="562" w:firstLineChars="200"/>
        <w:rPr>
          <w:rFonts w:ascii="宋体" w:hAnsi="宋体"/>
          <w:b/>
          <w:color w:val="auto"/>
          <w:sz w:val="28"/>
          <w:highlight w:val="none"/>
        </w:rPr>
      </w:pPr>
      <w:r>
        <w:rPr>
          <w:rFonts w:hint="eastAsia"/>
          <w:b/>
          <w:color w:val="auto"/>
          <w:sz w:val="28"/>
          <w:szCs w:val="28"/>
          <w:highlight w:val="none"/>
          <w:lang w:val="en-US" w:eastAsia="zh-CN"/>
        </w:rPr>
        <w:t>二、</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投产品中为监狱企业制造的货物清单及价格（说明：</w:t>
      </w:r>
      <w:r>
        <w:rPr>
          <w:rFonts w:ascii="宋体" w:hAnsi="宋体"/>
          <w:b/>
          <w:color w:val="auto"/>
          <w:sz w:val="28"/>
          <w:highlight w:val="none"/>
        </w:rPr>
        <w:t>1、提供由省级以上监狱管理局、戒毒管理局（含新疆生产建设兵团）出具的</w:t>
      </w:r>
      <w:r>
        <w:rPr>
          <w:rFonts w:hint="eastAsia" w:ascii="宋体" w:hAnsi="宋体"/>
          <w:b/>
          <w:color w:val="auto"/>
          <w:sz w:val="28"/>
          <w:highlight w:val="none"/>
        </w:rPr>
        <w:t>制造</w:t>
      </w:r>
      <w:r>
        <w:rPr>
          <w:rFonts w:ascii="宋体" w:hAnsi="宋体"/>
          <w:b/>
          <w:color w:val="auto"/>
          <w:sz w:val="28"/>
          <w:highlight w:val="none"/>
        </w:rPr>
        <w:t>商属于监狱企业的证明文件复印件；2、如未提供</w:t>
      </w:r>
      <w:r>
        <w:rPr>
          <w:rFonts w:hint="eastAsia" w:ascii="宋体" w:hAnsi="宋体"/>
          <w:b/>
          <w:color w:val="auto"/>
          <w:sz w:val="28"/>
          <w:highlight w:val="none"/>
        </w:rPr>
        <w:t>货物</w:t>
      </w:r>
      <w:r>
        <w:rPr>
          <w:rFonts w:ascii="宋体" w:hAnsi="宋体"/>
          <w:b/>
          <w:color w:val="auto"/>
          <w:sz w:val="28"/>
          <w:highlight w:val="none"/>
        </w:rPr>
        <w:t>清单及价格以及相关证明材料复印件，则不能享受对监狱企业</w:t>
      </w:r>
      <w:r>
        <w:rPr>
          <w:rFonts w:hint="eastAsia" w:ascii="宋体" w:hAnsi="宋体"/>
          <w:b/>
          <w:color w:val="auto"/>
          <w:sz w:val="28"/>
          <w:highlight w:val="none"/>
        </w:rPr>
        <w:t>制造的货物</w:t>
      </w:r>
      <w:r>
        <w:rPr>
          <w:rFonts w:ascii="宋体" w:hAnsi="宋体"/>
          <w:b/>
          <w:color w:val="auto"/>
          <w:sz w:val="28"/>
          <w:highlight w:val="none"/>
        </w:rPr>
        <w:t>的价格扣除，但不影响</w:t>
      </w:r>
      <w:r>
        <w:rPr>
          <w:rFonts w:hint="eastAsia" w:ascii="宋体" w:hAnsi="宋体"/>
          <w:b/>
          <w:color w:val="auto"/>
          <w:sz w:val="28"/>
          <w:highlight w:val="none"/>
          <w:lang w:eastAsia="zh-CN"/>
        </w:rPr>
        <w:t>响应</w:t>
      </w:r>
      <w:r>
        <w:rPr>
          <w:rFonts w:ascii="宋体" w:hAnsi="宋体"/>
          <w:b/>
          <w:color w:val="auto"/>
          <w:sz w:val="28"/>
          <w:highlight w:val="none"/>
        </w:rPr>
        <w:t>文件的有效性。）</w:t>
      </w:r>
    </w:p>
    <w:tbl>
      <w:tblPr>
        <w:tblStyle w:val="4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6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序号</w:t>
            </w:r>
          </w:p>
        </w:tc>
        <w:tc>
          <w:tcPr>
            <w:tcW w:w="172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货物名称</w:t>
            </w:r>
          </w:p>
        </w:tc>
        <w:tc>
          <w:tcPr>
            <w:tcW w:w="694"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品牌</w:t>
            </w:r>
          </w:p>
        </w:tc>
        <w:tc>
          <w:tcPr>
            <w:tcW w:w="1253"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制造商</w:t>
            </w:r>
          </w:p>
        </w:tc>
        <w:tc>
          <w:tcPr>
            <w:tcW w:w="851"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数量</w:t>
            </w:r>
          </w:p>
        </w:tc>
        <w:tc>
          <w:tcPr>
            <w:tcW w:w="862"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单价</w:t>
            </w:r>
          </w:p>
        </w:tc>
        <w:tc>
          <w:tcPr>
            <w:tcW w:w="1929" w:type="dxa"/>
            <w:vAlign w:val="center"/>
          </w:tcPr>
          <w:p>
            <w:pPr>
              <w:pStyle w:val="27"/>
              <w:ind w:left="0" w:leftChars="0" w:firstLine="0" w:firstLineChars="0"/>
              <w:jc w:val="both"/>
              <w:rPr>
                <w:rFonts w:hint="eastAsia" w:ascii="宋体" w:hAnsi="宋体"/>
                <w:b/>
                <w:color w:val="000000"/>
                <w:szCs w:val="28"/>
                <w:shd w:val="clear" w:color="auto" w:fill="FFFFFF"/>
              </w:rPr>
            </w:pPr>
          </w:p>
          <w:p>
            <w:pPr>
              <w:pStyle w:val="27"/>
              <w:ind w:left="0" w:leftChars="0" w:firstLine="0" w:firstLineChars="0"/>
              <w:jc w:val="both"/>
              <w:rPr>
                <w:rFonts w:hint="eastAsia" w:ascii="宋体" w:hAnsi="宋体"/>
                <w:b/>
                <w:color w:val="000000"/>
                <w:shd w:val="clear" w:color="auto" w:fill="FFFFFF"/>
                <w:lang w:eastAsia="zh-CN"/>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p>
          <w:p>
            <w:pPr>
              <w:spacing w:before="156" w:beforeLines="50" w:line="360" w:lineRule="auto"/>
              <w:jc w:val="center"/>
              <w:rPr>
                <w:rFonts w:hint="eastAsia" w:ascii="宋体" w:hAnsi="宋体"/>
                <w:b/>
                <w:color w:val="auto"/>
                <w:highlight w:val="none"/>
              </w:rPr>
            </w:pP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color w:val="auto"/>
                <w:highlight w:val="none"/>
              </w:rPr>
            </w:pP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757" w:type="dxa"/>
            <w:gridSpan w:val="7"/>
            <w:vAlign w:val="center"/>
          </w:tcPr>
          <w:p>
            <w:pPr>
              <w:spacing w:line="360" w:lineRule="auto"/>
              <w:jc w:val="center"/>
              <w:rPr>
                <w:rFonts w:ascii="宋体" w:hAnsi="宋体"/>
                <w:color w:val="auto"/>
                <w:highlight w:val="none"/>
              </w:rPr>
            </w:pPr>
            <w:r>
              <w:rPr>
                <w:rFonts w:hint="eastAsia" w:ascii="宋体" w:hAnsi="宋体" w:cs="宋体"/>
                <w:b/>
                <w:color w:val="auto"/>
                <w:highlight w:val="none"/>
              </w:rPr>
              <w:t>监狱企业制造的货物</w:t>
            </w:r>
            <w:r>
              <w:rPr>
                <w:rFonts w:ascii="宋体" w:hAnsi="宋体"/>
                <w:b/>
                <w:bCs/>
                <w:color w:val="auto"/>
                <w:szCs w:val="21"/>
                <w:highlight w:val="none"/>
              </w:rPr>
              <w:t>报价</w:t>
            </w:r>
            <w:r>
              <w:rPr>
                <w:rFonts w:hint="eastAsia" w:ascii="宋体" w:hAnsi="宋体"/>
                <w:b/>
                <w:bCs/>
                <w:color w:val="auto"/>
                <w:szCs w:val="21"/>
                <w:highlight w:val="none"/>
                <w:lang w:eastAsia="zh-CN"/>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929" w:type="dxa"/>
            <w:vAlign w:val="center"/>
          </w:tcPr>
          <w:p>
            <w:pPr>
              <w:spacing w:line="360" w:lineRule="auto"/>
              <w:rPr>
                <w:rFonts w:hint="eastAsia" w:ascii="宋体" w:hAnsi="宋体"/>
                <w:color w:val="auto"/>
                <w:highlight w:val="none"/>
              </w:rPr>
            </w:pPr>
            <w:r>
              <w:rPr>
                <w:rFonts w:hint="eastAsia" w:ascii="宋体" w:hAnsi="宋体"/>
                <w:color w:val="auto"/>
                <w:highlight w:val="none"/>
              </w:rPr>
              <w:t>￥</w:t>
            </w:r>
          </w:p>
        </w:tc>
      </w:tr>
    </w:tbl>
    <w:p>
      <w:pPr>
        <w:numPr>
          <w:ilvl w:val="0"/>
          <w:numId w:val="0"/>
        </w:numPr>
        <w:tabs>
          <w:tab w:val="left" w:pos="630"/>
          <w:tab w:val="left" w:pos="7560"/>
        </w:tabs>
        <w:spacing w:after="200" w:line="360" w:lineRule="auto"/>
        <w:ind w:leftChars="0"/>
        <w:rPr>
          <w:rFonts w:ascii="宋体" w:hAnsi="宋体"/>
          <w:b/>
          <w:color w:val="auto"/>
          <w:sz w:val="28"/>
          <w:highlight w:val="none"/>
        </w:rPr>
      </w:pPr>
      <w:r>
        <w:rPr>
          <w:rFonts w:hint="eastAsia"/>
          <w:b/>
          <w:color w:val="auto"/>
          <w:sz w:val="28"/>
          <w:szCs w:val="28"/>
          <w:highlight w:val="none"/>
          <w:lang w:val="en-US" w:eastAsia="zh-CN"/>
        </w:rPr>
        <w:t>三、</w:t>
      </w:r>
      <w:r>
        <w:rPr>
          <w:rFonts w:hint="eastAsia" w:ascii="宋体" w:hAnsi="宋体"/>
          <w:b/>
          <w:color w:val="auto"/>
          <w:sz w:val="28"/>
          <w:szCs w:val="28"/>
          <w:highlight w:val="none"/>
          <w:lang w:eastAsia="zh-CN"/>
        </w:rPr>
        <w:t>供应商所</w:t>
      </w:r>
      <w:r>
        <w:rPr>
          <w:rFonts w:hint="eastAsia" w:ascii="宋体" w:hAnsi="宋体"/>
          <w:b/>
          <w:color w:val="auto"/>
          <w:sz w:val="28"/>
          <w:highlight w:val="none"/>
        </w:rPr>
        <w:t>投产品中为残疾人福利性单位制造的货物清单及价格（说明：如未提供则不能享受对残疾人福利性单位制造的货物的价格扣除）</w:t>
      </w:r>
    </w:p>
    <w:tbl>
      <w:tblPr>
        <w:tblStyle w:val="4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86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序号</w:t>
            </w:r>
          </w:p>
        </w:tc>
        <w:tc>
          <w:tcPr>
            <w:tcW w:w="1720"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货物名称</w:t>
            </w:r>
          </w:p>
        </w:tc>
        <w:tc>
          <w:tcPr>
            <w:tcW w:w="694"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品牌</w:t>
            </w:r>
          </w:p>
        </w:tc>
        <w:tc>
          <w:tcPr>
            <w:tcW w:w="1253"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规格型号</w:t>
            </w:r>
          </w:p>
        </w:tc>
        <w:tc>
          <w:tcPr>
            <w:tcW w:w="1417"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制造商</w:t>
            </w:r>
          </w:p>
        </w:tc>
        <w:tc>
          <w:tcPr>
            <w:tcW w:w="851"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数量</w:t>
            </w:r>
          </w:p>
        </w:tc>
        <w:tc>
          <w:tcPr>
            <w:tcW w:w="862" w:type="dxa"/>
            <w:vAlign w:val="center"/>
          </w:tcPr>
          <w:p>
            <w:pPr>
              <w:spacing w:before="156" w:beforeLines="50" w:line="360" w:lineRule="auto"/>
              <w:jc w:val="center"/>
              <w:rPr>
                <w:rFonts w:ascii="宋体" w:hAnsi="宋体"/>
                <w:b/>
                <w:color w:val="auto"/>
                <w:highlight w:val="none"/>
              </w:rPr>
            </w:pPr>
            <w:r>
              <w:rPr>
                <w:rFonts w:hint="eastAsia" w:ascii="宋体" w:hAnsi="宋体"/>
                <w:b/>
                <w:color w:val="auto"/>
                <w:highlight w:val="none"/>
              </w:rPr>
              <w:t>单价</w:t>
            </w:r>
          </w:p>
        </w:tc>
        <w:tc>
          <w:tcPr>
            <w:tcW w:w="1929" w:type="dxa"/>
            <w:vAlign w:val="center"/>
          </w:tcPr>
          <w:p>
            <w:pPr>
              <w:pStyle w:val="27"/>
              <w:ind w:left="0" w:leftChars="0" w:firstLine="0" w:firstLineChars="0"/>
              <w:jc w:val="both"/>
              <w:rPr>
                <w:rFonts w:hint="eastAsia" w:ascii="宋体" w:hAnsi="宋体"/>
                <w:b/>
                <w:color w:val="000000"/>
                <w:szCs w:val="28"/>
                <w:shd w:val="clear" w:color="auto" w:fill="FFFFFF"/>
              </w:rPr>
            </w:pPr>
          </w:p>
          <w:p>
            <w:pPr>
              <w:pStyle w:val="27"/>
              <w:ind w:left="0" w:leftChars="0" w:firstLine="0" w:firstLineChars="0"/>
              <w:jc w:val="both"/>
              <w:rPr>
                <w:rFonts w:hint="eastAsia" w:ascii="宋体" w:hAnsi="宋体"/>
                <w:b/>
                <w:color w:val="000000"/>
                <w:shd w:val="clear" w:color="auto" w:fill="FFFFFF"/>
                <w:lang w:eastAsia="zh-CN"/>
              </w:rPr>
            </w:pPr>
            <w:r>
              <w:rPr>
                <w:rFonts w:hint="eastAsia" w:ascii="宋体" w:hAnsi="宋体"/>
                <w:b/>
                <w:color w:val="000000"/>
                <w:szCs w:val="28"/>
                <w:shd w:val="clear" w:color="auto" w:fill="FFFFFF"/>
              </w:rPr>
              <w:t>总价</w:t>
            </w: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单价x数量</w:t>
            </w:r>
            <w:r>
              <w:rPr>
                <w:rFonts w:hint="eastAsia" w:ascii="宋体" w:hAnsi="宋体"/>
                <w:b/>
                <w:color w:val="000000"/>
                <w:shd w:val="clear" w:color="auto" w:fill="FFFFFF"/>
                <w:lang w:eastAsia="zh-CN"/>
              </w:rPr>
              <w:t>）</w:t>
            </w:r>
          </w:p>
          <w:p>
            <w:pPr>
              <w:spacing w:before="156" w:beforeLines="50" w:line="360" w:lineRule="auto"/>
              <w:jc w:val="center"/>
              <w:rPr>
                <w:rFonts w:hint="eastAsia" w:ascii="宋体" w:hAnsi="宋体"/>
                <w:b/>
                <w:color w:val="auto"/>
                <w:highlight w:val="none"/>
              </w:rPr>
            </w:pPr>
            <w:r>
              <w:rPr>
                <w:rFonts w:hint="eastAsia" w:ascii="宋体" w:hAnsi="宋体"/>
                <w:b/>
                <w:color w:val="000000"/>
                <w:shd w:val="clear" w:color="auto" w:fill="FFFFFF"/>
                <w:lang w:eastAsia="zh-CN"/>
              </w:rPr>
              <w:t>（</w:t>
            </w:r>
            <w:r>
              <w:rPr>
                <w:rFonts w:hint="eastAsia" w:ascii="宋体" w:hAnsi="宋体"/>
                <w:b/>
                <w:color w:val="000000"/>
                <w:shd w:val="clear" w:color="auto" w:fill="FFFFFF"/>
                <w:lang w:val="en-US" w:eastAsia="zh-CN"/>
              </w:rPr>
              <w:t>单位：</w:t>
            </w:r>
            <w:r>
              <w:rPr>
                <w:rFonts w:hint="eastAsia" w:ascii="宋体" w:hAnsi="宋体"/>
                <w:b/>
                <w:bCs/>
                <w:color w:val="000000"/>
                <w:u w:val="none"/>
                <w:shd w:val="clear" w:color="auto" w:fill="FFFFFF"/>
                <w:lang w:val="en-US" w:eastAsia="zh-CN"/>
              </w:rPr>
              <w:t>元</w:t>
            </w:r>
            <w:r>
              <w:rPr>
                <w:rFonts w:hint="eastAsia" w:ascii="宋体" w:hAnsi="宋体"/>
                <w:b/>
                <w:color w:val="00000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color w:val="auto"/>
                <w:highlight w:val="none"/>
              </w:rPr>
            </w:pP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hint="eastAsia" w:ascii="宋体" w:hAnsi="宋体" w:eastAsia="宋体"/>
                <w:color w:val="auto"/>
                <w:highlight w:val="none"/>
                <w:lang w:eastAsia="zh-CN"/>
              </w:rPr>
            </w:pPr>
            <w:r>
              <w:rPr>
                <w:rFonts w:hint="eastAsia"/>
                <w:color w:val="auto"/>
                <w:highlight w:val="none"/>
                <w:lang w:eastAsia="zh-CN"/>
              </w:rPr>
              <w:t>……</w:t>
            </w:r>
          </w:p>
        </w:tc>
        <w:tc>
          <w:tcPr>
            <w:tcW w:w="1720" w:type="dxa"/>
            <w:vAlign w:val="center"/>
          </w:tcPr>
          <w:p>
            <w:pPr>
              <w:spacing w:line="360" w:lineRule="auto"/>
              <w:jc w:val="center"/>
              <w:rPr>
                <w:rFonts w:ascii="宋体" w:hAnsi="宋体"/>
                <w:color w:val="auto"/>
                <w:highlight w:val="none"/>
              </w:rPr>
            </w:pPr>
          </w:p>
        </w:tc>
        <w:tc>
          <w:tcPr>
            <w:tcW w:w="694" w:type="dxa"/>
            <w:vAlign w:val="center"/>
          </w:tcPr>
          <w:p>
            <w:pPr>
              <w:spacing w:line="360" w:lineRule="auto"/>
              <w:jc w:val="center"/>
              <w:rPr>
                <w:rFonts w:ascii="宋体" w:hAnsi="宋体"/>
                <w:color w:val="auto"/>
                <w:highlight w:val="none"/>
              </w:rPr>
            </w:pPr>
          </w:p>
        </w:tc>
        <w:tc>
          <w:tcPr>
            <w:tcW w:w="1253" w:type="dxa"/>
            <w:vAlign w:val="center"/>
          </w:tcPr>
          <w:p>
            <w:pPr>
              <w:spacing w:line="360" w:lineRule="auto"/>
              <w:jc w:val="center"/>
              <w:rPr>
                <w:rFonts w:ascii="宋体" w:hAnsi="宋体"/>
                <w:color w:val="auto"/>
                <w:highlight w:val="none"/>
              </w:rPr>
            </w:pPr>
          </w:p>
        </w:tc>
        <w:tc>
          <w:tcPr>
            <w:tcW w:w="1417" w:type="dxa"/>
            <w:vAlign w:val="center"/>
          </w:tcPr>
          <w:p>
            <w:pPr>
              <w:spacing w:line="360" w:lineRule="auto"/>
              <w:jc w:val="center"/>
              <w:rPr>
                <w:rFonts w:ascii="宋体" w:hAnsi="宋体"/>
                <w:color w:val="auto"/>
                <w:highlight w:val="none"/>
              </w:rPr>
            </w:pPr>
          </w:p>
        </w:tc>
        <w:tc>
          <w:tcPr>
            <w:tcW w:w="851" w:type="dxa"/>
            <w:vAlign w:val="center"/>
          </w:tcPr>
          <w:p>
            <w:pPr>
              <w:spacing w:line="360" w:lineRule="auto"/>
              <w:jc w:val="center"/>
              <w:rPr>
                <w:rFonts w:ascii="宋体" w:hAnsi="宋体"/>
                <w:color w:val="auto"/>
                <w:highlight w:val="none"/>
              </w:rPr>
            </w:pPr>
          </w:p>
        </w:tc>
        <w:tc>
          <w:tcPr>
            <w:tcW w:w="862" w:type="dxa"/>
            <w:vAlign w:val="center"/>
          </w:tcPr>
          <w:p>
            <w:pPr>
              <w:spacing w:line="360" w:lineRule="auto"/>
              <w:jc w:val="center"/>
              <w:rPr>
                <w:rFonts w:ascii="宋体" w:hAnsi="宋体"/>
                <w:color w:val="auto"/>
                <w:highlight w:val="none"/>
              </w:rPr>
            </w:pPr>
          </w:p>
        </w:tc>
        <w:tc>
          <w:tcPr>
            <w:tcW w:w="1929" w:type="dxa"/>
            <w:vAlign w:val="center"/>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757" w:type="dxa"/>
            <w:gridSpan w:val="7"/>
            <w:vAlign w:val="center"/>
          </w:tcPr>
          <w:p>
            <w:pPr>
              <w:spacing w:line="360" w:lineRule="auto"/>
              <w:jc w:val="center"/>
              <w:rPr>
                <w:rFonts w:ascii="宋体" w:hAnsi="宋体"/>
                <w:color w:val="auto"/>
                <w:highlight w:val="none"/>
              </w:rPr>
            </w:pPr>
            <w:r>
              <w:rPr>
                <w:rFonts w:hint="eastAsia" w:ascii="宋体" w:hAnsi="宋体" w:cs="宋体"/>
                <w:b/>
                <w:color w:val="auto"/>
                <w:highlight w:val="none"/>
              </w:rPr>
              <w:t>监狱企业制造的货物</w:t>
            </w:r>
            <w:r>
              <w:rPr>
                <w:rFonts w:ascii="宋体" w:hAnsi="宋体"/>
                <w:b/>
                <w:bCs/>
                <w:color w:val="auto"/>
                <w:szCs w:val="21"/>
                <w:highlight w:val="none"/>
              </w:rPr>
              <w:t>报价</w:t>
            </w:r>
            <w:r>
              <w:rPr>
                <w:rFonts w:hint="eastAsia" w:ascii="宋体" w:hAnsi="宋体"/>
                <w:b/>
                <w:bCs/>
                <w:color w:val="auto"/>
                <w:szCs w:val="21"/>
                <w:highlight w:val="none"/>
                <w:lang w:eastAsia="zh-CN"/>
              </w:rPr>
              <w:t>（</w:t>
            </w:r>
            <w:r>
              <w:rPr>
                <w:rFonts w:hint="eastAsia"/>
                <w:b/>
                <w:bCs/>
                <w:color w:val="auto"/>
                <w:szCs w:val="21"/>
                <w:highlight w:val="none"/>
                <w:lang w:val="en-US" w:eastAsia="zh-CN"/>
              </w:rPr>
              <w:t>总价</w:t>
            </w:r>
            <w:r>
              <w:rPr>
                <w:rFonts w:ascii="宋体" w:hAnsi="宋体"/>
                <w:b/>
                <w:bCs/>
                <w:color w:val="auto"/>
                <w:szCs w:val="21"/>
                <w:highlight w:val="none"/>
              </w:rPr>
              <w:t>合计</w:t>
            </w:r>
            <w:r>
              <w:rPr>
                <w:rFonts w:hint="eastAsia" w:ascii="宋体" w:hAnsi="宋体"/>
                <w:b/>
                <w:bCs/>
                <w:color w:val="auto"/>
                <w:szCs w:val="21"/>
                <w:highlight w:val="none"/>
              </w:rPr>
              <w:t>）</w:t>
            </w:r>
          </w:p>
        </w:tc>
        <w:tc>
          <w:tcPr>
            <w:tcW w:w="1929" w:type="dxa"/>
            <w:vAlign w:val="center"/>
          </w:tcPr>
          <w:p>
            <w:pPr>
              <w:spacing w:line="360" w:lineRule="auto"/>
              <w:rPr>
                <w:rFonts w:hint="eastAsia" w:ascii="宋体" w:hAnsi="宋体"/>
                <w:color w:val="auto"/>
                <w:highlight w:val="none"/>
              </w:rPr>
            </w:pPr>
            <w:r>
              <w:rPr>
                <w:rFonts w:hint="eastAsia" w:ascii="宋体" w:hAnsi="宋体"/>
                <w:color w:val="auto"/>
                <w:highlight w:val="none"/>
              </w:rPr>
              <w:t>￥</w:t>
            </w:r>
          </w:p>
        </w:tc>
      </w:tr>
    </w:tbl>
    <w:p>
      <w:pPr>
        <w:pStyle w:val="281"/>
        <w:ind w:firstLine="4200" w:firstLineChars="1500"/>
        <w:rPr>
          <w:rFonts w:hint="eastAsia" w:ascii="宋体" w:hAnsi="宋体" w:eastAsia="宋体" w:cs="宋体"/>
          <w:color w:val="auto"/>
          <w:kern w:val="2"/>
          <w:sz w:val="28"/>
          <w:szCs w:val="22"/>
          <w:highlight w:val="none"/>
          <w:u w:val="none"/>
          <w:lang w:val="zh-CN" w:eastAsia="zh-CN" w:bidi="ar-SA"/>
        </w:rPr>
      </w:pPr>
    </w:p>
    <w:p>
      <w:pPr>
        <w:pStyle w:val="281"/>
        <w:ind w:firstLine="4200" w:firstLineChars="1500"/>
        <w:rPr>
          <w:rFonts w:hint="eastAsia" w:ascii="宋体" w:hAnsi="宋体" w:eastAsia="宋体" w:cs="宋体"/>
          <w:color w:val="auto"/>
          <w:kern w:val="2"/>
          <w:sz w:val="28"/>
          <w:szCs w:val="22"/>
          <w:highlight w:val="none"/>
          <w:u w:val="none"/>
          <w:lang w:val="zh-CN" w:eastAsia="zh-CN" w:bidi="ar-SA"/>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3"/>
        <w:spacing w:after="0" w:line="240" w:lineRule="auto"/>
        <w:ind w:firstLine="0"/>
        <w:rPr>
          <w:rFonts w:ascii="宋体" w:hAnsi="宋体"/>
          <w:bCs/>
          <w:color w:val="auto"/>
          <w:sz w:val="28"/>
          <w:highlight w:val="none"/>
        </w:rPr>
      </w:pPr>
    </w:p>
    <w:p>
      <w:pPr>
        <w:spacing w:line="440" w:lineRule="atLeast"/>
        <w:ind w:firstLine="1262" w:firstLineChars="449"/>
        <w:rPr>
          <w:b/>
          <w:sz w:val="28"/>
          <w:szCs w:val="28"/>
        </w:rPr>
      </w:pPr>
    </w:p>
    <w:p>
      <w:pPr>
        <w:rPr>
          <w:rFonts w:hint="eastAsia"/>
          <w:b/>
          <w:color w:val="000000"/>
          <w:kern w:val="0"/>
          <w:sz w:val="32"/>
          <w:szCs w:val="24"/>
        </w:rPr>
      </w:pPr>
      <w:r>
        <w:rPr>
          <w:rFonts w:hint="eastAsia"/>
          <w:b/>
          <w:color w:val="000000"/>
          <w:kern w:val="0"/>
          <w:sz w:val="32"/>
          <w:szCs w:val="24"/>
        </w:rPr>
        <w:br w:type="page"/>
      </w:r>
    </w:p>
    <w:p>
      <w:pPr>
        <w:pStyle w:val="312"/>
        <w:outlineLvl w:val="1"/>
        <w:rPr>
          <w:color w:val="000000"/>
        </w:rPr>
      </w:pPr>
      <w:bookmarkStart w:id="154" w:name="_Toc4212"/>
      <w:bookmarkStart w:id="155" w:name="_Toc22548"/>
      <w:bookmarkStart w:id="156" w:name="_Toc13468"/>
      <w:r>
        <w:rPr>
          <w:rFonts w:hint="eastAsia" w:ascii="宋体" w:hAnsi="宋体" w:eastAsia="宋体" w:cs="宋体"/>
          <w:color w:val="000000"/>
        </w:rPr>
        <w:t>3.</w:t>
      </w:r>
      <w:r>
        <w:rPr>
          <w:rFonts w:hint="eastAsia" w:ascii="宋体" w:hAnsi="宋体" w:eastAsia="宋体" w:cs="宋体"/>
          <w:color w:val="000000"/>
          <w:lang w:val="en-US" w:eastAsia="zh-CN"/>
        </w:rPr>
        <w:t>2.4</w:t>
      </w:r>
      <w:r>
        <w:rPr>
          <w:rFonts w:hint="eastAsia" w:ascii="宋体" w:hAnsi="宋体" w:eastAsia="宋体" w:cs="宋体"/>
          <w:color w:val="000000"/>
        </w:rPr>
        <w:t>中小企业声明函</w:t>
      </w:r>
      <w:bookmarkEnd w:id="154"/>
      <w:bookmarkEnd w:id="155"/>
      <w:bookmarkEnd w:id="156"/>
    </w:p>
    <w:p>
      <w:pPr>
        <w:spacing w:line="480" w:lineRule="exact"/>
        <w:jc w:val="center"/>
        <w:rPr>
          <w:rFonts w:hint="eastAsia"/>
          <w:b/>
          <w:color w:val="000000"/>
          <w:spacing w:val="6"/>
          <w:sz w:val="28"/>
          <w:szCs w:val="28"/>
          <w:shd w:val="clear" w:color="auto" w:fill="FFFFFF"/>
        </w:rPr>
      </w:pPr>
      <w:r>
        <w:rPr>
          <w:rFonts w:hint="eastAsia"/>
          <w:b/>
          <w:color w:val="000000"/>
          <w:spacing w:val="6"/>
          <w:sz w:val="28"/>
          <w:szCs w:val="28"/>
          <w:shd w:val="clear" w:color="auto" w:fill="FFFFFF"/>
        </w:rPr>
        <w:t>中小企业声明函</w:t>
      </w:r>
    </w:p>
    <w:p>
      <w:pPr>
        <w:spacing w:line="480" w:lineRule="exact"/>
        <w:jc w:val="center"/>
        <w:rPr>
          <w:rFonts w:hint="eastAsia"/>
          <w:b/>
          <w:color w:val="000000"/>
          <w:spacing w:val="6"/>
          <w:sz w:val="28"/>
          <w:szCs w:val="28"/>
          <w:shd w:val="clear" w:color="auto" w:fill="FFFFFF"/>
        </w:rPr>
      </w:pPr>
    </w:p>
    <w:p>
      <w:pPr>
        <w:spacing w:line="480" w:lineRule="exact"/>
        <w:ind w:firstLine="563"/>
        <w:rPr>
          <w:color w:val="000000"/>
          <w:sz w:val="28"/>
          <w:szCs w:val="28"/>
          <w:shd w:val="clear" w:color="auto" w:fill="FFFFFF"/>
        </w:rPr>
      </w:pPr>
      <w:r>
        <w:rPr>
          <w:color w:val="000000"/>
          <w:sz w:val="28"/>
          <w:szCs w:val="28"/>
          <w:shd w:val="clear" w:color="auto" w:fill="FFFFFF"/>
        </w:rPr>
        <w:t>本公司郑重声明，根据《政府采购促进中小企业发展管理办法》（财库﹝2020﹞46 号）的规定，本公司参加</w:t>
      </w:r>
      <w:r>
        <w:rPr>
          <w:rFonts w:hint="eastAsia"/>
          <w:b/>
          <w:bCs/>
          <w:color w:val="000000"/>
          <w:sz w:val="28"/>
          <w:szCs w:val="28"/>
          <w:u w:val="single"/>
          <w:shd w:val="clear" w:color="auto" w:fill="FFFFFF"/>
          <w:lang w:eastAsia="zh-CN"/>
        </w:rPr>
        <w:t>成都市温江区第二中学校</w:t>
      </w:r>
      <w:r>
        <w:rPr>
          <w:b/>
          <w:bCs/>
          <w:color w:val="000000"/>
          <w:sz w:val="28"/>
          <w:szCs w:val="28"/>
          <w:shd w:val="clear" w:color="auto" w:fill="FFFFFF"/>
        </w:rPr>
        <w:t>的</w:t>
      </w:r>
      <w:r>
        <w:rPr>
          <w:rFonts w:hint="eastAsia"/>
          <w:b/>
          <w:bCs/>
          <w:color w:val="000000"/>
          <w:sz w:val="28"/>
          <w:szCs w:val="28"/>
          <w:u w:val="single"/>
          <w:lang w:eastAsia="zh-CN"/>
        </w:rPr>
        <w:t>数字校园设备采购项目</w:t>
      </w:r>
      <w:r>
        <w:rPr>
          <w:color w:val="000000"/>
          <w:sz w:val="28"/>
          <w:szCs w:val="28"/>
          <w:shd w:val="clear" w:color="auto" w:fill="FFFFFF"/>
        </w:rPr>
        <w:t>采购活动，</w:t>
      </w:r>
      <w:r>
        <w:rPr>
          <w:b/>
          <w:color w:val="000000"/>
          <w:sz w:val="28"/>
          <w:szCs w:val="28"/>
          <w:shd w:val="clear" w:color="auto" w:fill="FFFFFF"/>
        </w:rPr>
        <w:t>提供的货物全部由符合政策要求的中小企业制造</w:t>
      </w:r>
      <w:r>
        <w:rPr>
          <w:color w:val="000000"/>
          <w:sz w:val="28"/>
          <w:szCs w:val="28"/>
          <w:shd w:val="clear" w:color="auto" w:fill="FFFFFF"/>
        </w:rPr>
        <w:t>。相关企业的具体情况如下：</w:t>
      </w:r>
    </w:p>
    <w:p>
      <w:pPr>
        <w:spacing w:line="480" w:lineRule="exact"/>
        <w:ind w:firstLine="561"/>
        <w:rPr>
          <w:rFonts w:ascii="宋体" w:hAnsi="宋体"/>
          <w:color w:val="auto"/>
          <w:sz w:val="28"/>
          <w:szCs w:val="28"/>
          <w:highlight w:val="none"/>
        </w:rPr>
      </w:pPr>
      <w:bookmarkStart w:id="157" w:name="_Toc20360"/>
      <w:bookmarkStart w:id="158" w:name="_Toc30980"/>
      <w:r>
        <w:rPr>
          <w:rFonts w:hint="eastAsia" w:ascii="宋体" w:hAnsi="宋体"/>
          <w:color w:val="auto"/>
          <w:sz w:val="28"/>
          <w:szCs w:val="28"/>
          <w:highlight w:val="none"/>
        </w:rPr>
        <w:t xml:space="preserve"> 1. </w:t>
      </w:r>
      <w:r>
        <w:rPr>
          <w:rFonts w:hint="eastAsia" w:ascii="宋体" w:hAnsi="宋体"/>
          <w:color w:val="auto"/>
          <w:sz w:val="28"/>
          <w:szCs w:val="28"/>
          <w:highlight w:val="none"/>
          <w:u w:val="single"/>
        </w:rPr>
        <w:t>___机柜___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ascii="宋体" w:hAnsi="宋体"/>
          <w:color w:val="auto"/>
          <w:sz w:val="28"/>
          <w:szCs w:val="28"/>
          <w:highlight w:val="none"/>
        </w:rPr>
      </w:pPr>
      <w:r>
        <w:rPr>
          <w:rFonts w:hint="eastAsia" w:ascii="宋体" w:hAnsi="宋体"/>
          <w:color w:val="auto"/>
          <w:sz w:val="28"/>
          <w:szCs w:val="28"/>
          <w:highlight w:val="none"/>
        </w:rPr>
        <w:t xml:space="preserve">2. </w:t>
      </w:r>
      <w:r>
        <w:rPr>
          <w:rFonts w:hint="eastAsia" w:ascii="宋体" w:hAnsi="宋体"/>
          <w:color w:val="auto"/>
          <w:sz w:val="28"/>
          <w:szCs w:val="28"/>
          <w:highlight w:val="none"/>
          <w:u w:val="single"/>
        </w:rPr>
        <w:t>__接入交换机____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none"/>
          <w:lang w:val="en-US" w:eastAsia="zh-CN"/>
        </w:rPr>
        <w:t>3.</w:t>
      </w:r>
      <w:r>
        <w:rPr>
          <w:rFonts w:hint="eastAsia" w:ascii="宋体" w:hAnsi="宋体"/>
          <w:color w:val="auto"/>
          <w:sz w:val="28"/>
          <w:szCs w:val="28"/>
          <w:highlight w:val="none"/>
          <w:u w:val="single"/>
        </w:rPr>
        <w:t>_教学软件____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__软件和信息技术服务业____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4.</w:t>
      </w:r>
      <w:r>
        <w:rPr>
          <w:rFonts w:hint="eastAsia" w:ascii="宋体" w:hAnsi="宋体"/>
          <w:color w:val="auto"/>
          <w:sz w:val="28"/>
          <w:szCs w:val="28"/>
          <w:highlight w:val="none"/>
          <w:u w:val="single"/>
        </w:rPr>
        <w:t>__教师计算机____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5.</w:t>
      </w:r>
      <w:r>
        <w:rPr>
          <w:rFonts w:hint="eastAsia" w:ascii="宋体" w:hAnsi="宋体"/>
          <w:color w:val="auto"/>
          <w:sz w:val="28"/>
          <w:szCs w:val="28"/>
          <w:highlight w:val="none"/>
          <w:u w:val="single"/>
        </w:rPr>
        <w:t>__学生计算机____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6.</w:t>
      </w:r>
      <w:r>
        <w:rPr>
          <w:rFonts w:hint="eastAsia" w:ascii="宋体" w:hAnsi="宋体"/>
          <w:color w:val="auto"/>
          <w:sz w:val="28"/>
          <w:szCs w:val="28"/>
          <w:highlight w:val="none"/>
          <w:u w:val="single"/>
        </w:rPr>
        <w:t>__教师桌椅____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7.</w:t>
      </w:r>
      <w:r>
        <w:rPr>
          <w:rFonts w:hint="eastAsia" w:ascii="宋体" w:hAnsi="宋体"/>
          <w:color w:val="auto"/>
          <w:sz w:val="28"/>
          <w:szCs w:val="28"/>
          <w:highlight w:val="none"/>
          <w:u w:val="single"/>
        </w:rPr>
        <w:t>_学生桌凳____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8.</w:t>
      </w:r>
      <w:r>
        <w:rPr>
          <w:rFonts w:hint="eastAsia" w:ascii="宋体" w:hAnsi="宋体"/>
          <w:color w:val="auto"/>
          <w:sz w:val="28"/>
          <w:szCs w:val="28"/>
          <w:highlight w:val="none"/>
          <w:u w:val="single"/>
        </w:rPr>
        <w:t>_静电地板____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9.</w:t>
      </w:r>
      <w:r>
        <w:rPr>
          <w:rFonts w:hint="eastAsia" w:ascii="宋体" w:hAnsi="宋体"/>
          <w:color w:val="auto"/>
          <w:sz w:val="28"/>
          <w:szCs w:val="28"/>
          <w:highlight w:val="none"/>
          <w:u w:val="single"/>
        </w:rPr>
        <w:t>__吸顶空调____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ascii="宋体" w:hAnsi="宋体" w:eastAsia="宋体" w:cs="宋体"/>
          <w:color w:val="auto"/>
          <w:sz w:val="28"/>
          <w:szCs w:val="28"/>
          <w:highlight w:val="none"/>
        </w:rPr>
      </w:pPr>
      <w:r>
        <w:rPr>
          <w:rFonts w:hint="eastAsia" w:ascii="宋体" w:hAnsi="宋体"/>
          <w:color w:val="auto"/>
          <w:sz w:val="28"/>
          <w:szCs w:val="28"/>
          <w:highlight w:val="none"/>
          <w:u w:val="single"/>
          <w:lang w:val="en-US" w:eastAsia="zh-CN"/>
        </w:rPr>
        <w:t>10.</w:t>
      </w:r>
      <w:r>
        <w:rPr>
          <w:rFonts w:hint="eastAsia" w:ascii="宋体" w:hAnsi="宋体"/>
          <w:color w:val="auto"/>
          <w:sz w:val="28"/>
          <w:szCs w:val="28"/>
          <w:highlight w:val="none"/>
          <w:u w:val="single"/>
        </w:rPr>
        <w:t>_3D打印（教师机）__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w:t>
      </w:r>
      <w:r>
        <w:rPr>
          <w:rFonts w:hint="eastAsia" w:ascii="宋体" w:hAnsi="宋体" w:eastAsia="宋体" w:cs="宋体"/>
          <w:color w:val="auto"/>
          <w:sz w:val="28"/>
          <w:szCs w:val="28"/>
          <w:highlight w:val="none"/>
        </w:rPr>
        <w:t>员___XXXX___人，营业收入为__XXXX__万元，资产总额为___XXXX___万元，属于___XXXX__（中型企业、小型企业、微型企业）。</w:t>
      </w:r>
    </w:p>
    <w:p>
      <w:pPr>
        <w:spacing w:line="480" w:lineRule="exact"/>
        <w:ind w:firstLine="561"/>
        <w:rPr>
          <w:rFonts w:hint="eastAsia" w:ascii="宋体" w:hAnsi="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u w:val="single"/>
          <w:lang w:val="en-US" w:eastAsia="zh-CN"/>
        </w:rPr>
        <w:t>打印机耗材</w:t>
      </w:r>
      <w:r>
        <w:rPr>
          <w:rFonts w:hint="eastAsia" w:ascii="宋体" w:hAnsi="宋体" w:eastAsia="宋体" w:cs="宋体"/>
          <w:color w:val="auto"/>
          <w:sz w:val="28"/>
          <w:szCs w:val="28"/>
          <w:highlight w:val="none"/>
        </w:rPr>
        <w:t>____（标的名称），属于__</w:t>
      </w:r>
      <w:r>
        <w:rPr>
          <w:rFonts w:hint="eastAsia" w:ascii="宋体" w:hAnsi="宋体" w:eastAsia="宋体" w:cs="宋体"/>
          <w:color w:val="auto"/>
          <w:sz w:val="28"/>
          <w:szCs w:val="28"/>
          <w:highlight w:val="none"/>
          <w:lang w:val="en-US" w:eastAsia="zh-CN"/>
        </w:rPr>
        <w:t>工业</w:t>
      </w:r>
      <w:r>
        <w:rPr>
          <w:rFonts w:hint="eastAsia" w:ascii="宋体" w:hAnsi="宋体" w:eastAsia="宋体" w:cs="宋体"/>
          <w:color w:val="auto"/>
          <w:sz w:val="28"/>
          <w:szCs w:val="28"/>
          <w:highlight w:val="none"/>
        </w:rPr>
        <w:t>____（采购文件中明确的所属行业）行业；制造商为___XXXX__（企业名称），从业人员___XXXX___人</w:t>
      </w:r>
      <w:r>
        <w:rPr>
          <w:rFonts w:hint="eastAsia" w:ascii="宋体" w:hAnsi="宋体"/>
          <w:color w:val="auto"/>
          <w:sz w:val="28"/>
          <w:szCs w:val="28"/>
          <w:highlight w:val="none"/>
        </w:rPr>
        <w:t>，营业收入为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rPr>
          <w:rFonts w:hint="eastAsia"/>
        </w:rPr>
      </w:pPr>
    </w:p>
    <w:p>
      <w:p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lang w:val="en-US" w:eastAsia="zh-CN"/>
        </w:rPr>
        <w:t>12.</w:t>
      </w:r>
      <w:r>
        <w:rPr>
          <w:rFonts w:hint="eastAsia" w:ascii="宋体" w:hAnsi="宋体"/>
          <w:color w:val="auto"/>
          <w:sz w:val="28"/>
          <w:szCs w:val="28"/>
          <w:highlight w:val="none"/>
          <w:u w:val="single"/>
        </w:rPr>
        <w:t>__智慧创客学习软件____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__软件和信息技术服务业____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pStyle w:val="2"/>
        <w:rPr>
          <w:rFonts w:hint="eastAsia"/>
        </w:rPr>
      </w:pPr>
    </w:p>
    <w:p>
      <w:pPr>
        <w:numPr>
          <w:ilvl w:val="0"/>
          <w:numId w:val="10"/>
        </w:numPr>
        <w:spacing w:line="480" w:lineRule="exact"/>
        <w:ind w:firstLine="561"/>
        <w:rPr>
          <w:rFonts w:hint="eastAsia" w:ascii="宋体" w:hAnsi="宋体"/>
          <w:color w:val="auto"/>
          <w:sz w:val="28"/>
          <w:szCs w:val="28"/>
          <w:highlight w:val="none"/>
        </w:rPr>
      </w:pPr>
      <w:r>
        <w:rPr>
          <w:rFonts w:hint="eastAsia" w:ascii="宋体" w:hAnsi="宋体"/>
          <w:color w:val="auto"/>
          <w:sz w:val="28"/>
          <w:szCs w:val="28"/>
          <w:highlight w:val="none"/>
          <w:u w:val="single"/>
        </w:rPr>
        <w:t>__吸顶空调____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spacing w:line="480" w:lineRule="exact"/>
        <w:ind w:firstLine="561"/>
        <w:rPr>
          <w:rFonts w:hint="eastAsia"/>
        </w:rPr>
      </w:pPr>
      <w:r>
        <w:rPr>
          <w:rFonts w:hint="eastAsia" w:ascii="宋体" w:hAnsi="宋体"/>
          <w:color w:val="auto"/>
          <w:sz w:val="28"/>
          <w:szCs w:val="28"/>
          <w:highlight w:val="none"/>
          <w:u w:val="single"/>
          <w:lang w:val="en-US" w:eastAsia="zh-CN"/>
        </w:rPr>
        <w:t>14.</w:t>
      </w:r>
      <w:r>
        <w:rPr>
          <w:rFonts w:hint="eastAsia" w:ascii="宋体" w:hAnsi="宋体"/>
          <w:color w:val="auto"/>
          <w:sz w:val="28"/>
          <w:szCs w:val="28"/>
          <w:highlight w:val="none"/>
          <w:u w:val="single"/>
        </w:rPr>
        <w:t>__空调铜管___</w:t>
      </w:r>
      <w:r>
        <w:rPr>
          <w:rFonts w:hint="eastAsia" w:ascii="宋体" w:hAnsi="宋体"/>
          <w:color w:val="auto"/>
          <w:sz w:val="28"/>
          <w:szCs w:val="28"/>
          <w:highlight w:val="none"/>
        </w:rPr>
        <w:t>（标的名称），属于</w:t>
      </w:r>
      <w:r>
        <w:rPr>
          <w:rFonts w:hint="eastAsia" w:ascii="宋体" w:hAnsi="宋体"/>
          <w:color w:val="auto"/>
          <w:sz w:val="28"/>
          <w:szCs w:val="28"/>
          <w:highlight w:val="none"/>
          <w:u w:val="single"/>
        </w:rPr>
        <w:t>__</w:t>
      </w:r>
      <w:r>
        <w:rPr>
          <w:rFonts w:hint="eastAsia"/>
          <w:color w:val="auto"/>
          <w:sz w:val="28"/>
          <w:szCs w:val="28"/>
          <w:highlight w:val="none"/>
          <w:u w:val="single"/>
          <w:lang w:val="en-US" w:eastAsia="zh-CN"/>
        </w:rPr>
        <w:t>工业</w:t>
      </w:r>
      <w:r>
        <w:rPr>
          <w:rFonts w:hint="eastAsia" w:ascii="宋体" w:hAnsi="宋体"/>
          <w:color w:val="auto"/>
          <w:sz w:val="28"/>
          <w:szCs w:val="28"/>
          <w:highlight w:val="none"/>
          <w:u w:val="single"/>
        </w:rPr>
        <w:t>____</w:t>
      </w:r>
      <w:r>
        <w:rPr>
          <w:rFonts w:hint="eastAsia" w:ascii="宋体" w:hAnsi="宋体"/>
          <w:color w:val="auto"/>
          <w:sz w:val="28"/>
          <w:szCs w:val="28"/>
          <w:highlight w:val="none"/>
        </w:rPr>
        <w:t>（采购文件中明确的所属行业）行业；制造商为</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（企业名称），从业人员</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人，营业收入为</w:t>
      </w:r>
      <w:r>
        <w:rPr>
          <w:rFonts w:hint="eastAsia" w:ascii="宋体" w:hAnsi="宋体"/>
          <w:color w:val="auto"/>
          <w:sz w:val="28"/>
          <w:szCs w:val="28"/>
          <w:highlight w:val="none"/>
          <w:u w:val="single"/>
        </w:rPr>
        <w:t>__XXXX__</w:t>
      </w:r>
      <w:r>
        <w:rPr>
          <w:rFonts w:hint="eastAsia" w:ascii="宋体" w:hAnsi="宋体"/>
          <w:color w:val="auto"/>
          <w:sz w:val="28"/>
          <w:szCs w:val="28"/>
          <w:highlight w:val="none"/>
        </w:rPr>
        <w:t>万元，资产总额为</w:t>
      </w:r>
      <w:r>
        <w:rPr>
          <w:rFonts w:hint="eastAsia" w:ascii="宋体" w:hAnsi="宋体"/>
          <w:color w:val="auto"/>
          <w:sz w:val="28"/>
          <w:szCs w:val="28"/>
          <w:highlight w:val="none"/>
          <w:u w:val="single"/>
        </w:rPr>
        <w:t>___XXXX___</w:t>
      </w:r>
      <w:r>
        <w:rPr>
          <w:rFonts w:hint="eastAsia" w:ascii="宋体" w:hAnsi="宋体"/>
          <w:color w:val="auto"/>
          <w:sz w:val="28"/>
          <w:szCs w:val="28"/>
          <w:highlight w:val="none"/>
        </w:rPr>
        <w:t>万元</w:t>
      </w:r>
      <w:r>
        <w:rPr>
          <w:rFonts w:hint="eastAsia" w:ascii="宋体" w:hAnsi="宋体"/>
          <w:color w:val="auto"/>
          <w:sz w:val="28"/>
          <w:szCs w:val="28"/>
          <w:highlight w:val="none"/>
          <w:vertAlign w:val="superscript"/>
        </w:rPr>
        <w:t>1</w:t>
      </w:r>
      <w:r>
        <w:rPr>
          <w:rFonts w:hint="eastAsia" w:ascii="宋体" w:hAnsi="宋体"/>
          <w:color w:val="auto"/>
          <w:sz w:val="28"/>
          <w:szCs w:val="28"/>
          <w:highlight w:val="none"/>
        </w:rPr>
        <w:t>，属于</w:t>
      </w:r>
      <w:r>
        <w:rPr>
          <w:rFonts w:hint="eastAsia" w:ascii="宋体" w:hAnsi="宋体"/>
          <w:color w:val="auto"/>
          <w:sz w:val="28"/>
          <w:szCs w:val="28"/>
          <w:highlight w:val="none"/>
          <w:u w:val="single"/>
        </w:rPr>
        <w:t>___XXXX__</w:t>
      </w:r>
      <w:r>
        <w:rPr>
          <w:rFonts w:hint="eastAsia" w:ascii="宋体" w:hAnsi="宋体"/>
          <w:color w:val="auto"/>
          <w:sz w:val="28"/>
          <w:szCs w:val="28"/>
          <w:highlight w:val="none"/>
        </w:rPr>
        <w:t>（中型企业、小型企业、微型企业）。</w:t>
      </w:r>
    </w:p>
    <w:p>
      <w:pPr>
        <w:rPr>
          <w:rFonts w:hint="eastAsia"/>
        </w:rPr>
      </w:pPr>
    </w:p>
    <w:p>
      <w:pPr>
        <w:spacing w:line="480" w:lineRule="exact"/>
        <w:ind w:firstLine="561"/>
        <w:rPr>
          <w:rFonts w:ascii="宋体" w:hAnsi="宋体"/>
          <w:color w:val="auto"/>
          <w:sz w:val="28"/>
          <w:szCs w:val="28"/>
          <w:highlight w:val="none"/>
        </w:rPr>
      </w:pPr>
      <w:r>
        <w:rPr>
          <w:rFonts w:hint="eastAsia" w:ascii="宋体" w:hAnsi="宋体"/>
          <w:color w:val="auto"/>
          <w:sz w:val="28"/>
          <w:szCs w:val="28"/>
          <w:highlight w:val="none"/>
        </w:rPr>
        <w:t>以上企业，不属于大企业的分支机构，不存在控股股东 为大企业的情形，也不存在与大企业的负责人为同一人的情形。</w:t>
      </w:r>
    </w:p>
    <w:p>
      <w:pPr>
        <w:spacing w:line="480" w:lineRule="exact"/>
        <w:ind w:firstLine="561"/>
        <w:rPr>
          <w:rFonts w:hint="eastAsia"/>
          <w:color w:val="auto"/>
          <w:szCs w:val="24"/>
          <w:highlight w:val="none"/>
        </w:rPr>
      </w:pPr>
      <w:r>
        <w:rPr>
          <w:rFonts w:hint="eastAsia" w:ascii="宋体" w:hAnsi="宋体"/>
          <w:color w:val="auto"/>
          <w:sz w:val="28"/>
          <w:szCs w:val="28"/>
          <w:highlight w:val="none"/>
        </w:rPr>
        <w:t>本企业对上述声明内容的真实性负责。如有虚假，将依法承担相应责任。</w:t>
      </w: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55"/>
        <w:spacing w:after="200"/>
        <w:rPr>
          <w:rFonts w:hint="eastAsia"/>
          <w:b/>
          <w:bCs/>
          <w:color w:val="auto"/>
          <w:sz w:val="24"/>
          <w:szCs w:val="24"/>
          <w:highlight w:val="none"/>
        </w:rPr>
      </w:pPr>
      <w:r>
        <w:rPr>
          <w:rFonts w:hint="eastAsia"/>
          <w:b/>
          <w:bCs/>
          <w:color w:val="auto"/>
          <w:sz w:val="24"/>
          <w:szCs w:val="24"/>
          <w:highlight w:val="none"/>
        </w:rPr>
        <w:t>说明：1. 如未提供中小企业声明函的</w:t>
      </w:r>
      <w:r>
        <w:rPr>
          <w:rFonts w:hint="eastAsia"/>
          <w:b/>
          <w:bCs/>
          <w:color w:val="auto"/>
          <w:sz w:val="24"/>
          <w:szCs w:val="24"/>
          <w:highlight w:val="none"/>
          <w:lang w:eastAsia="zh-CN"/>
        </w:rPr>
        <w:t>，</w:t>
      </w:r>
      <w:r>
        <w:rPr>
          <w:rFonts w:hint="eastAsia"/>
          <w:b/>
          <w:bCs/>
          <w:color w:val="auto"/>
          <w:sz w:val="24"/>
          <w:szCs w:val="24"/>
          <w:highlight w:val="none"/>
        </w:rPr>
        <w:t>不能享受</w:t>
      </w:r>
      <w:r>
        <w:rPr>
          <w:rFonts w:hint="eastAsia"/>
          <w:b/>
          <w:bCs/>
          <w:color w:val="auto"/>
          <w:sz w:val="24"/>
          <w:szCs w:val="24"/>
          <w:highlight w:val="none"/>
          <w:lang w:eastAsia="zh-CN"/>
        </w:rPr>
        <w:t>磋商</w:t>
      </w:r>
      <w:r>
        <w:rPr>
          <w:rFonts w:hint="eastAsia"/>
          <w:b/>
          <w:bCs/>
          <w:color w:val="auto"/>
          <w:sz w:val="24"/>
          <w:szCs w:val="24"/>
          <w:highlight w:val="none"/>
        </w:rPr>
        <w:t>文件规定的价格扣除，但不影响供应商响应文件的有效性;</w:t>
      </w:r>
    </w:p>
    <w:p>
      <w:pPr>
        <w:pStyle w:val="155"/>
        <w:numPr>
          <w:ilvl w:val="0"/>
          <w:numId w:val="11"/>
        </w:numPr>
        <w:spacing w:after="200"/>
        <w:ind w:firstLine="482" w:firstLineChars="200"/>
        <w:rPr>
          <w:rFonts w:hint="eastAsia"/>
          <w:color w:val="auto"/>
          <w:sz w:val="24"/>
          <w:szCs w:val="24"/>
          <w:highlight w:val="none"/>
        </w:rPr>
      </w:pPr>
      <w:r>
        <w:rPr>
          <w:rFonts w:hint="eastAsia"/>
          <w:b/>
          <w:bCs/>
          <w:color w:val="auto"/>
          <w:sz w:val="24"/>
          <w:szCs w:val="24"/>
          <w:highlight w:val="none"/>
        </w:rPr>
        <w:t>从业人员、营业收入、资产总额填报上一年度数据，无上一年度数据的新成立企业可不填报</w:t>
      </w:r>
      <w:r>
        <w:rPr>
          <w:rFonts w:hint="eastAsia"/>
          <w:color w:val="auto"/>
          <w:sz w:val="24"/>
          <w:szCs w:val="24"/>
          <w:highlight w:val="none"/>
        </w:rPr>
        <w:t>。</w:t>
      </w: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155"/>
        <w:numPr>
          <w:ilvl w:val="0"/>
          <w:numId w:val="0"/>
        </w:numPr>
        <w:spacing w:after="200"/>
        <w:rPr>
          <w:rFonts w:hint="eastAsia"/>
          <w:color w:val="auto"/>
          <w:sz w:val="24"/>
          <w:szCs w:val="24"/>
          <w:highlight w:val="none"/>
          <w:lang w:eastAsia="zh-CN"/>
        </w:rPr>
      </w:pPr>
    </w:p>
    <w:p>
      <w:pPr>
        <w:pStyle w:val="316"/>
        <w:outlineLvl w:val="1"/>
        <w:rPr>
          <w:rFonts w:hint="eastAsia" w:ascii="宋体" w:hAnsi="宋体" w:eastAsia="宋体" w:cs="宋体"/>
          <w:color w:val="000000"/>
        </w:rPr>
      </w:pPr>
      <w:bookmarkStart w:id="159" w:name="_Toc20435"/>
      <w:r>
        <w:rPr>
          <w:rFonts w:hint="eastAsia" w:ascii="宋体" w:hAnsi="宋体" w:eastAsia="宋体" w:cs="宋体"/>
          <w:color w:val="000000"/>
        </w:rPr>
        <w:t>3.</w:t>
      </w:r>
      <w:r>
        <w:rPr>
          <w:rFonts w:hint="eastAsia" w:ascii="宋体" w:hAnsi="宋体" w:eastAsia="宋体" w:cs="宋体"/>
          <w:color w:val="000000"/>
          <w:lang w:val="en-US" w:eastAsia="zh-CN"/>
        </w:rPr>
        <w:t>2.5</w:t>
      </w:r>
      <w:r>
        <w:rPr>
          <w:rFonts w:hint="eastAsia" w:ascii="宋体" w:hAnsi="宋体" w:eastAsia="宋体" w:cs="宋体"/>
          <w:color w:val="000000"/>
        </w:rPr>
        <w:t>残疾人福利性单位声明函</w:t>
      </w:r>
      <w:bookmarkEnd w:id="157"/>
      <w:bookmarkEnd w:id="158"/>
      <w:bookmarkEnd w:id="159"/>
    </w:p>
    <w:p>
      <w:pPr>
        <w:pStyle w:val="316"/>
        <w:outlineLvl w:val="1"/>
        <w:rPr>
          <w:rFonts w:hint="eastAsia" w:ascii="宋体" w:hAnsi="宋体" w:eastAsia="宋体" w:cs="宋体"/>
          <w:color w:val="000000"/>
        </w:rPr>
      </w:pPr>
    </w:p>
    <w:p>
      <w:pPr>
        <w:spacing w:line="588" w:lineRule="exact"/>
        <w:ind w:firstLine="562" w:firstLineChars="200"/>
        <w:jc w:val="center"/>
        <w:rPr>
          <w:b/>
          <w:color w:val="auto"/>
          <w:sz w:val="28"/>
          <w:szCs w:val="28"/>
          <w:highlight w:val="none"/>
        </w:rPr>
      </w:pPr>
      <w:r>
        <w:rPr>
          <w:rFonts w:hint="eastAsia"/>
          <w:b/>
          <w:color w:val="auto"/>
          <w:sz w:val="28"/>
          <w:szCs w:val="28"/>
          <w:highlight w:val="none"/>
        </w:rPr>
        <w:t>残疾人福利性单位声明函</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color w:val="auto"/>
          <w:sz w:val="28"/>
          <w:szCs w:val="28"/>
          <w:highlight w:val="none"/>
          <w:u w:val="single"/>
          <w:lang w:val="en-US" w:eastAsia="zh-CN"/>
        </w:rPr>
        <w:t>xxxx</w:t>
      </w:r>
      <w:r>
        <w:rPr>
          <w:rFonts w:hint="eastAsia" w:ascii="宋体" w:hAnsi="宋体"/>
          <w:color w:val="auto"/>
          <w:spacing w:val="6"/>
          <w:sz w:val="28"/>
          <w:szCs w:val="28"/>
          <w:highlight w:val="none"/>
          <w:u w:val="none"/>
        </w:rPr>
        <w:t>的</w:t>
      </w:r>
      <w:r>
        <w:rPr>
          <w:rFonts w:hint="eastAsia" w:ascii="宋体" w:hAnsi="宋体"/>
          <w:b/>
          <w:bCs/>
          <w:color w:val="auto"/>
          <w:sz w:val="28"/>
          <w:szCs w:val="28"/>
          <w:highlight w:val="none"/>
          <w:u w:val="single"/>
          <w:lang w:val="en-US" w:eastAsia="zh-CN"/>
        </w:rPr>
        <w:t>xxxxx</w:t>
      </w:r>
      <w:r>
        <w:rPr>
          <w:rFonts w:hint="eastAsia" w:ascii="宋体" w:hAnsi="宋体"/>
          <w:color w:val="auto"/>
          <w:spacing w:val="6"/>
          <w:sz w:val="28"/>
          <w:szCs w:val="28"/>
          <w:highlight w:val="none"/>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pPr>
        <w:spacing w:line="588" w:lineRule="exact"/>
        <w:ind w:firstLine="584" w:firstLineChars="200"/>
        <w:rPr>
          <w:rFonts w:ascii="宋体" w:hAnsi="宋体"/>
          <w:color w:val="auto"/>
          <w:spacing w:val="6"/>
          <w:sz w:val="28"/>
          <w:szCs w:val="28"/>
          <w:highlight w:val="none"/>
        </w:rPr>
      </w:pPr>
    </w:p>
    <w:p>
      <w:pPr>
        <w:spacing w:line="588" w:lineRule="exact"/>
        <w:ind w:firstLine="584" w:firstLineChars="200"/>
        <w:rPr>
          <w:rFonts w:ascii="宋体" w:hAnsi="宋体"/>
          <w:color w:val="auto"/>
          <w:spacing w:val="6"/>
          <w:sz w:val="28"/>
          <w:szCs w:val="28"/>
          <w:highlight w:val="none"/>
        </w:rPr>
      </w:pPr>
    </w:p>
    <w:p>
      <w:pPr>
        <w:spacing w:line="588" w:lineRule="exact"/>
        <w:jc w:val="right"/>
        <w:rPr>
          <w:rFonts w:ascii="宋体" w:hAnsi="宋体"/>
          <w:color w:val="auto"/>
          <w:spacing w:val="6"/>
          <w:sz w:val="28"/>
          <w:szCs w:val="28"/>
          <w:highlight w:val="none"/>
        </w:rPr>
      </w:pPr>
    </w:p>
    <w:p>
      <w:pPr>
        <w:rPr>
          <w:color w:val="auto"/>
          <w:highlight w:val="none"/>
        </w:rPr>
      </w:pPr>
    </w:p>
    <w:p>
      <w:pPr>
        <w:rPr>
          <w:color w:val="auto"/>
          <w:highlight w:val="none"/>
        </w:rPr>
      </w:pPr>
    </w:p>
    <w:p>
      <w:pPr>
        <w:pStyle w:val="373"/>
        <w:ind w:left="0" w:leftChars="0" w:right="63" w:firstLine="0" w:firstLineChars="0"/>
        <w:jc w:val="both"/>
        <w:rPr>
          <w:rFonts w:ascii="仿宋_GB2312" w:eastAsia="仿宋_GB2312"/>
          <w:color w:val="auto"/>
          <w:spacing w:val="6"/>
          <w:sz w:val="30"/>
          <w:szCs w:val="30"/>
          <w:highlight w:val="none"/>
        </w:rPr>
      </w:pPr>
    </w:p>
    <w:p>
      <w:pPr>
        <w:pStyle w:val="281"/>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144"/>
        <w:spacing w:after="200" w:line="440" w:lineRule="exact"/>
        <w:ind w:firstLine="586" w:firstLineChars="200"/>
        <w:rPr>
          <w:rFonts w:ascii="宋体" w:hAnsi="宋体"/>
          <w:b/>
          <w:color w:val="auto"/>
          <w:spacing w:val="6"/>
          <w:sz w:val="28"/>
          <w:szCs w:val="28"/>
          <w:highlight w:val="none"/>
        </w:rPr>
      </w:pPr>
    </w:p>
    <w:p>
      <w:pPr>
        <w:spacing w:line="588" w:lineRule="exact"/>
        <w:ind w:firstLine="563"/>
        <w:rPr>
          <w:rFonts w:ascii="宋体" w:hAnsi="宋体"/>
          <w:b/>
          <w:color w:val="auto"/>
          <w:sz w:val="28"/>
          <w:szCs w:val="28"/>
          <w:highlight w:val="none"/>
        </w:rPr>
      </w:pPr>
      <w:r>
        <w:rPr>
          <w:rFonts w:hint="eastAsia" w:ascii="宋体" w:hAnsi="宋体"/>
          <w:b/>
          <w:color w:val="auto"/>
          <w:sz w:val="28"/>
          <w:szCs w:val="28"/>
          <w:highlight w:val="none"/>
        </w:rPr>
        <w:t>说明</w:t>
      </w:r>
      <w:r>
        <w:rPr>
          <w:rFonts w:ascii="宋体" w:hAnsi="宋体"/>
          <w:b/>
          <w:color w:val="auto"/>
          <w:sz w:val="28"/>
          <w:szCs w:val="28"/>
          <w:highlight w:val="none"/>
        </w:rPr>
        <w:t>：</w:t>
      </w:r>
      <w:r>
        <w:rPr>
          <w:rFonts w:hint="eastAsia" w:ascii="宋体" w:hAnsi="宋体"/>
          <w:b/>
          <w:color w:val="auto"/>
          <w:sz w:val="28"/>
          <w:szCs w:val="28"/>
          <w:highlight w:val="none"/>
        </w:rPr>
        <w:t>如未提供残疾人福利性单位声明函的，不能享受</w:t>
      </w:r>
      <w:r>
        <w:rPr>
          <w:rFonts w:hint="eastAsia" w:ascii="宋体" w:hAnsi="宋体"/>
          <w:b/>
          <w:color w:val="auto"/>
          <w:sz w:val="28"/>
          <w:szCs w:val="28"/>
          <w:highlight w:val="none"/>
          <w:lang w:eastAsia="zh-CN"/>
        </w:rPr>
        <w:t>磋商</w:t>
      </w:r>
      <w:r>
        <w:rPr>
          <w:rFonts w:hint="eastAsia" w:ascii="宋体" w:hAnsi="宋体"/>
          <w:b/>
          <w:color w:val="auto"/>
          <w:sz w:val="28"/>
          <w:szCs w:val="28"/>
          <w:highlight w:val="none"/>
        </w:rPr>
        <w:t>文件规定的价格扣除，但不影响</w:t>
      </w:r>
      <w:r>
        <w:rPr>
          <w:rFonts w:hint="eastAsia" w:ascii="宋体" w:hAnsi="宋体"/>
          <w:b/>
          <w:color w:val="auto"/>
          <w:sz w:val="28"/>
          <w:szCs w:val="28"/>
          <w:highlight w:val="none"/>
          <w:lang w:eastAsia="zh-CN"/>
        </w:rPr>
        <w:t>供应商响应</w:t>
      </w:r>
      <w:r>
        <w:rPr>
          <w:rFonts w:hint="eastAsia" w:ascii="宋体" w:hAnsi="宋体"/>
          <w:b/>
          <w:color w:val="auto"/>
          <w:sz w:val="28"/>
          <w:szCs w:val="28"/>
          <w:highlight w:val="none"/>
        </w:rPr>
        <w:t>文件的有效性。</w:t>
      </w:r>
    </w:p>
    <w:p>
      <w:pPr>
        <w:widowControl/>
        <w:jc w:val="left"/>
        <w:rPr>
          <w:rFonts w:hint="eastAsia"/>
          <w:b/>
          <w:color w:val="000000"/>
          <w:kern w:val="0"/>
          <w:sz w:val="32"/>
          <w:szCs w:val="24"/>
        </w:rPr>
      </w:pPr>
    </w:p>
    <w:p>
      <w:pPr>
        <w:pStyle w:val="2"/>
        <w:rPr>
          <w:rFonts w:hint="eastAsia"/>
          <w:b/>
          <w:color w:val="000000"/>
          <w:kern w:val="0"/>
          <w:sz w:val="32"/>
          <w:szCs w:val="24"/>
        </w:rPr>
      </w:pPr>
    </w:p>
    <w:p>
      <w:pPr>
        <w:rPr>
          <w:rFonts w:hint="eastAsia"/>
          <w:b/>
          <w:color w:val="000000"/>
          <w:kern w:val="0"/>
          <w:sz w:val="32"/>
          <w:szCs w:val="24"/>
        </w:rPr>
      </w:pPr>
    </w:p>
    <w:p>
      <w:pPr>
        <w:pStyle w:val="2"/>
        <w:rPr>
          <w:rFonts w:hint="eastAsia"/>
        </w:rPr>
      </w:pPr>
    </w:p>
    <w:p>
      <w:pPr>
        <w:pStyle w:val="2"/>
        <w:rPr>
          <w:rFonts w:hint="eastAsia"/>
        </w:rPr>
      </w:pPr>
    </w:p>
    <w:p>
      <w:pPr>
        <w:pStyle w:val="166"/>
        <w:ind w:left="0" w:leftChars="0" w:firstLine="0" w:firstLineChars="0"/>
        <w:rPr>
          <w:rFonts w:hint="default"/>
          <w:b/>
          <w:color w:val="000000"/>
          <w:kern w:val="0"/>
          <w:sz w:val="32"/>
          <w:szCs w:val="24"/>
          <w:lang w:val="en-US" w:eastAsia="zh-CN"/>
        </w:rPr>
      </w:pPr>
      <w:r>
        <w:rPr>
          <w:rFonts w:hint="eastAsia"/>
          <w:b/>
          <w:color w:val="000000"/>
          <w:kern w:val="0"/>
          <w:sz w:val="32"/>
          <w:szCs w:val="24"/>
        </w:rPr>
        <w:t>3.</w:t>
      </w:r>
      <w:r>
        <w:rPr>
          <w:rFonts w:hint="eastAsia"/>
          <w:b/>
          <w:color w:val="000000"/>
          <w:kern w:val="0"/>
          <w:sz w:val="32"/>
          <w:szCs w:val="24"/>
          <w:lang w:val="en-US" w:eastAsia="zh-CN"/>
        </w:rPr>
        <w:t>2.6所投产品技术性能、技术参数和配置的详细描述</w:t>
      </w:r>
    </w:p>
    <w:p>
      <w:pPr>
        <w:pStyle w:val="166"/>
        <w:ind w:left="638" w:leftChars="304" w:firstLine="0" w:firstLineChars="0"/>
        <w:rPr>
          <w:rFonts w:hint="eastAsia"/>
          <w:b/>
          <w:color w:val="000000"/>
          <w:shd w:val="clear" w:color="auto" w:fill="FFFFFF"/>
        </w:rPr>
      </w:pPr>
    </w:p>
    <w:p>
      <w:pPr>
        <w:pStyle w:val="166"/>
        <w:ind w:left="638" w:leftChars="304" w:firstLine="0" w:firstLineChars="0"/>
        <w:rPr>
          <w:b/>
          <w:color w:val="000000"/>
          <w:spacing w:val="-20"/>
          <w:u w:val="single"/>
          <w:shd w:val="clear" w:color="auto" w:fill="FFFFFF"/>
        </w:rPr>
      </w:pPr>
      <w:r>
        <w:rPr>
          <w:rFonts w:hint="eastAsia"/>
          <w:b/>
          <w:color w:val="000000"/>
          <w:sz w:val="28"/>
          <w:szCs w:val="24"/>
          <w:shd w:val="clear" w:color="auto" w:fill="FFFFFF"/>
        </w:rPr>
        <w:t>项目名称</w:t>
      </w:r>
      <w:r>
        <w:rPr>
          <w:rFonts w:hint="eastAsia"/>
          <w:b/>
          <w:color w:val="000000"/>
          <w:spacing w:val="-20"/>
          <w:sz w:val="28"/>
          <w:szCs w:val="24"/>
          <w:shd w:val="clear" w:color="auto" w:fill="FFFFFF"/>
        </w:rPr>
        <w:t>：</w:t>
      </w:r>
      <w:r>
        <w:rPr>
          <w:rFonts w:hint="eastAsia"/>
          <w:b/>
          <w:color w:val="000000"/>
          <w:u w:val="single"/>
          <w:shd w:val="clear" w:color="auto" w:fill="FFFFFF"/>
        </w:rPr>
        <w:t xml:space="preserve"> </w:t>
      </w:r>
      <w:r>
        <w:rPr>
          <w:rFonts w:hint="eastAsia"/>
          <w:b/>
          <w:color w:val="auto"/>
          <w:sz w:val="28"/>
          <w:highlight w:val="none"/>
          <w:u w:val="single"/>
          <w:lang w:eastAsia="zh-CN"/>
        </w:rPr>
        <w:t>成都市温江区第二中学校机房及创客设备采购项目</w:t>
      </w:r>
    </w:p>
    <w:p>
      <w:pPr>
        <w:pStyle w:val="166"/>
        <w:ind w:left="638" w:leftChars="304" w:firstLine="0" w:firstLineChars="0"/>
        <w:rPr>
          <w:rFonts w:hint="eastAsia" w:ascii="宋体" w:hAnsi="宋体"/>
          <w:b/>
          <w:color w:val="000000"/>
          <w:u w:val="single"/>
          <w:shd w:val="clear" w:color="auto" w:fill="FFFFFF"/>
        </w:rPr>
      </w:pPr>
      <w:r>
        <w:rPr>
          <w:rFonts w:hint="eastAsia" w:ascii="宋体" w:hAnsi="宋体"/>
          <w:b/>
          <w:color w:val="000000"/>
          <w:sz w:val="28"/>
          <w:szCs w:val="24"/>
          <w:shd w:val="clear" w:color="auto" w:fill="FFFFFF"/>
        </w:rPr>
        <w:t>项目编号：</w:t>
      </w:r>
      <w:r>
        <w:rPr>
          <w:rFonts w:hint="eastAsia" w:ascii="宋体" w:hAnsi="宋体"/>
          <w:b/>
          <w:color w:val="000000"/>
          <w:sz w:val="28"/>
          <w:szCs w:val="24"/>
          <w:u w:val="single"/>
          <w:shd w:val="clear" w:color="auto" w:fill="FFFFFF"/>
        </w:rPr>
        <w:t>项目编号：</w:t>
      </w:r>
      <w:r>
        <w:rPr>
          <w:rFonts w:hint="eastAsia"/>
          <w:b/>
          <w:color w:val="000000"/>
          <w:sz w:val="28"/>
          <w:szCs w:val="24"/>
          <w:u w:val="single"/>
          <w:shd w:val="clear" w:color="auto" w:fill="FFFFFF"/>
          <w:lang w:eastAsia="zh-CN"/>
        </w:rPr>
        <w:t>温江政采（2021）A0063号</w:t>
      </w:r>
    </w:p>
    <w:p>
      <w:pPr>
        <w:pStyle w:val="122"/>
        <w:spacing w:line="360" w:lineRule="auto"/>
        <w:rPr>
          <w:rFonts w:ascii="宋体" w:hAnsi="宋体"/>
          <w:b/>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213"/>
        <w:ind w:firstLine="480"/>
        <w:jc w:val="center"/>
        <w:rPr>
          <w:rFonts w:hint="eastAsia"/>
          <w:color w:val="000000"/>
          <w:sz w:val="28"/>
          <w:szCs w:val="32"/>
          <w:shd w:val="clear" w:color="auto" w:fill="FFFFFF"/>
        </w:rPr>
      </w:pPr>
      <w:r>
        <w:rPr>
          <w:rFonts w:hint="eastAsia"/>
          <w:color w:val="000000"/>
          <w:sz w:val="28"/>
          <w:szCs w:val="32"/>
          <w:shd w:val="clear" w:color="auto" w:fill="FFFFFF"/>
          <w:lang w:val="en-US" w:eastAsia="zh-CN"/>
        </w:rPr>
        <w:t xml:space="preserve">                </w:t>
      </w:r>
      <w:r>
        <w:rPr>
          <w:rFonts w:hint="eastAsia"/>
          <w:color w:val="000000"/>
          <w:sz w:val="28"/>
          <w:szCs w:val="32"/>
          <w:shd w:val="clear" w:color="auto" w:fill="FFFFFF"/>
        </w:rPr>
        <w:t>供应商名称：</w:t>
      </w:r>
      <w:r>
        <w:rPr>
          <w:rFonts w:hint="eastAsia" w:ascii="宋体" w:hAnsi="宋体" w:eastAsia="宋体" w:cs="宋体"/>
          <w:color w:val="auto"/>
          <w:kern w:val="2"/>
          <w:sz w:val="28"/>
          <w:szCs w:val="22"/>
          <w:highlight w:val="none"/>
          <w:u w:val="single"/>
          <w:lang w:val="zh-CN" w:eastAsia="zh-CN" w:bidi="ar-SA"/>
        </w:rPr>
        <w:t>　　　　　　</w:t>
      </w:r>
      <w:r>
        <w:rPr>
          <w:rFonts w:hint="eastAsia"/>
          <w:color w:val="000000"/>
          <w:sz w:val="28"/>
          <w:szCs w:val="32"/>
          <w:u w:val="single"/>
          <w:shd w:val="clear" w:color="auto" w:fill="FFFFFF"/>
        </w:rPr>
        <w:t xml:space="preserve">              </w:t>
      </w:r>
    </w:p>
    <w:p>
      <w:pPr>
        <w:pStyle w:val="166"/>
        <w:ind w:firstLine="480"/>
        <w:jc w:val="right"/>
        <w:rPr>
          <w:rFonts w:hint="eastAsia"/>
          <w:color w:val="000000"/>
          <w:sz w:val="28"/>
          <w:szCs w:val="24"/>
          <w:shd w:val="clear" w:color="auto" w:fill="FFFFFF"/>
        </w:rPr>
      </w:pPr>
      <w:r>
        <w:rPr>
          <w:rFonts w:hint="eastAsia"/>
          <w:color w:val="000000"/>
          <w:sz w:val="28"/>
          <w:szCs w:val="24"/>
          <w:shd w:val="clear" w:color="auto" w:fill="FFFFFF"/>
        </w:rPr>
        <w:t>日期：</w:t>
      </w:r>
      <w:r>
        <w:rPr>
          <w:rFonts w:hint="eastAsia"/>
          <w:color w:val="000000"/>
          <w:sz w:val="28"/>
          <w:szCs w:val="24"/>
          <w:u w:val="single"/>
          <w:shd w:val="clear" w:color="auto" w:fill="FFFFFF"/>
        </w:rPr>
        <w:t>　　</w:t>
      </w:r>
      <w:r>
        <w:rPr>
          <w:rFonts w:hint="eastAsia"/>
          <w:color w:val="000000"/>
          <w:sz w:val="28"/>
          <w:szCs w:val="24"/>
          <w:shd w:val="clear" w:color="auto" w:fill="FFFFFF"/>
        </w:rPr>
        <w:t>年</w:t>
      </w:r>
      <w:r>
        <w:rPr>
          <w:rFonts w:hint="eastAsia"/>
          <w:color w:val="000000"/>
          <w:sz w:val="28"/>
          <w:szCs w:val="24"/>
          <w:u w:val="single"/>
          <w:shd w:val="clear" w:color="auto" w:fill="FFFFFF"/>
        </w:rPr>
        <w:t>　　</w:t>
      </w:r>
      <w:r>
        <w:rPr>
          <w:rFonts w:hint="eastAsia"/>
          <w:color w:val="000000"/>
          <w:sz w:val="28"/>
          <w:szCs w:val="24"/>
          <w:shd w:val="clear" w:color="auto" w:fill="FFFFFF"/>
        </w:rPr>
        <w:t>月</w:t>
      </w:r>
      <w:r>
        <w:rPr>
          <w:rFonts w:hint="eastAsia"/>
          <w:color w:val="000000"/>
          <w:sz w:val="28"/>
          <w:szCs w:val="24"/>
          <w:u w:val="single"/>
          <w:shd w:val="clear" w:color="auto" w:fill="FFFFFF"/>
        </w:rPr>
        <w:t>　　</w:t>
      </w:r>
      <w:r>
        <w:rPr>
          <w:rFonts w:hint="eastAsia"/>
          <w:color w:val="000000"/>
          <w:sz w:val="28"/>
          <w:szCs w:val="24"/>
          <w:shd w:val="clear" w:color="auto" w:fill="FFFFFF"/>
        </w:rPr>
        <w:t>日</w:t>
      </w:r>
    </w:p>
    <w:p>
      <w:pPr>
        <w:pStyle w:val="108"/>
        <w:spacing w:line="560" w:lineRule="exact"/>
        <w:ind w:firstLine="525"/>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107"/>
        <w:rPr>
          <w:rFonts w:hint="eastAsia" w:ascii="宋体" w:hAnsi="宋体"/>
          <w:bCs/>
          <w:color w:val="000000"/>
          <w:szCs w:val="21"/>
          <w:shd w:val="clear" w:color="auto" w:fill="FFFFFF"/>
        </w:rPr>
      </w:pPr>
    </w:p>
    <w:p>
      <w:pPr>
        <w:pStyle w:val="278"/>
        <w:outlineLvl w:val="1"/>
        <w:rPr>
          <w:rFonts w:hint="eastAsia" w:ascii="宋体" w:hAnsi="宋体" w:eastAsia="宋体" w:cs="Times New Roman"/>
          <w:b/>
          <w:bCs/>
          <w:color w:val="auto"/>
          <w:kern w:val="2"/>
          <w:sz w:val="24"/>
          <w:szCs w:val="28"/>
          <w:highlight w:val="none"/>
          <w:lang w:val="en-US" w:eastAsia="zh-CN" w:bidi="ar-SA"/>
        </w:rPr>
      </w:pPr>
    </w:p>
    <w:p>
      <w:pPr>
        <w:pStyle w:val="278"/>
        <w:outlineLvl w:val="1"/>
        <w:rPr>
          <w:rFonts w:hint="default" w:ascii="宋体" w:hAnsi="宋体" w:eastAsia="宋体" w:cs="宋体"/>
          <w:b/>
          <w:color w:val="000000"/>
          <w:kern w:val="0"/>
          <w:sz w:val="32"/>
          <w:szCs w:val="24"/>
          <w:lang w:val="en-US" w:eastAsia="zh-CN" w:bidi="ar-SA"/>
        </w:rPr>
      </w:pPr>
      <w:bookmarkStart w:id="160" w:name="_Toc18969"/>
      <w:r>
        <w:rPr>
          <w:rFonts w:hint="eastAsia" w:ascii="宋体" w:hAnsi="宋体" w:eastAsia="宋体" w:cs="宋体"/>
          <w:b/>
          <w:color w:val="000000"/>
          <w:kern w:val="0"/>
          <w:sz w:val="32"/>
          <w:szCs w:val="24"/>
          <w:lang w:val="en-US" w:eastAsia="zh-CN" w:bidi="ar-SA"/>
        </w:rPr>
        <w:t>3.2.7项目实施方案</w:t>
      </w:r>
      <w:bookmarkEnd w:id="160"/>
    </w:p>
    <w:p>
      <w:pPr>
        <w:snapToGrid w:val="0"/>
        <w:spacing w:line="360" w:lineRule="auto"/>
        <w:ind w:right="-624" w:rightChars="-297"/>
        <w:rPr>
          <w:rFonts w:hint="eastAsia" w:ascii="宋体" w:hAnsi="宋体"/>
          <w:b/>
          <w:color w:val="auto"/>
          <w:sz w:val="28"/>
          <w:highlight w:val="none"/>
        </w:rPr>
      </w:pPr>
    </w:p>
    <w:p>
      <w:pPr>
        <w:snapToGrid w:val="0"/>
        <w:spacing w:line="360" w:lineRule="auto"/>
        <w:ind w:left="1405" w:right="-624" w:rightChars="-297" w:hanging="1405" w:hangingChars="500"/>
        <w:rPr>
          <w:rFonts w:hint="eastAsia"/>
          <w:b/>
          <w:color w:val="auto"/>
          <w:sz w:val="28"/>
          <w:highlight w:val="none"/>
          <w:u w:val="none"/>
          <w:lang w:val="en-US" w:eastAsia="zh-CN"/>
        </w:rPr>
      </w:pPr>
      <w:r>
        <w:rPr>
          <w:rFonts w:hint="eastAsia" w:ascii="宋体" w:hAnsi="宋体"/>
          <w:b/>
          <w:color w:val="auto"/>
          <w:sz w:val="28"/>
          <w:highlight w:val="none"/>
        </w:rPr>
        <w:t>项目名称：</w:t>
      </w:r>
      <w:r>
        <w:rPr>
          <w:rFonts w:hint="eastAsia"/>
          <w:b/>
          <w:color w:val="auto"/>
          <w:sz w:val="28"/>
          <w:highlight w:val="none"/>
          <w:u w:val="single"/>
          <w:lang w:eastAsia="zh-CN"/>
        </w:rPr>
        <w:t>成都市温江区第二中学校机房及创客设备采购项目</w:t>
      </w:r>
      <w:r>
        <w:rPr>
          <w:rFonts w:hint="eastAsia"/>
          <w:b/>
          <w:color w:val="auto"/>
          <w:sz w:val="28"/>
          <w:highlight w:val="none"/>
          <w:u w:val="none"/>
          <w:lang w:val="en-US" w:eastAsia="zh-CN"/>
        </w:rPr>
        <w:t xml:space="preserve">       </w:t>
      </w:r>
    </w:p>
    <w:p>
      <w:pPr>
        <w:snapToGrid w:val="0"/>
        <w:spacing w:line="360" w:lineRule="auto"/>
        <w:ind w:left="1405" w:right="-624" w:rightChars="-297" w:hanging="1405" w:hangingChars="500"/>
        <w:rPr>
          <w:rFonts w:hint="eastAsia" w:ascii="宋体" w:hAnsi="宋体"/>
          <w:b/>
          <w:color w:val="auto"/>
          <w:sz w:val="28"/>
          <w:highlight w:val="none"/>
          <w:u w:val="single"/>
        </w:rPr>
      </w:pPr>
      <w:r>
        <w:rPr>
          <w:rFonts w:hint="eastAsia" w:ascii="宋体" w:hAnsi="宋体"/>
          <w:b/>
          <w:color w:val="auto"/>
          <w:sz w:val="28"/>
          <w:highlight w:val="none"/>
        </w:rPr>
        <w:t>项目编号：</w:t>
      </w:r>
      <w:r>
        <w:rPr>
          <w:rFonts w:hint="eastAsia" w:ascii="宋体" w:hAnsi="宋体"/>
          <w:b/>
          <w:color w:val="auto"/>
          <w:sz w:val="28"/>
          <w:highlight w:val="none"/>
          <w:u w:val="single"/>
        </w:rPr>
        <w:t>项目编号：</w:t>
      </w:r>
      <w:r>
        <w:rPr>
          <w:rFonts w:hint="eastAsia"/>
          <w:b/>
          <w:color w:val="auto"/>
          <w:sz w:val="28"/>
          <w:highlight w:val="none"/>
          <w:u w:val="single"/>
          <w:lang w:eastAsia="zh-CN"/>
        </w:rPr>
        <w:t>温江政采（2021）A0063号</w:t>
      </w:r>
      <w:r>
        <w:rPr>
          <w:rFonts w:hint="eastAsia" w:ascii="宋体" w:hAnsi="宋体"/>
          <w:b/>
          <w:color w:val="auto"/>
          <w:sz w:val="28"/>
          <w:highlight w:val="none"/>
          <w:u w:val="single"/>
        </w:rPr>
        <w:t xml:space="preserve"> </w:t>
      </w:r>
    </w:p>
    <w:p>
      <w:pPr>
        <w:snapToGrid w:val="0"/>
        <w:spacing w:line="360" w:lineRule="auto"/>
        <w:ind w:right="-624" w:rightChars="-297"/>
        <w:rPr>
          <w:rFonts w:hint="default" w:ascii="宋体" w:hAnsi="宋体" w:eastAsia="宋体" w:cs="Times New Roman"/>
          <w:b/>
          <w:bCs/>
          <w:color w:val="auto"/>
          <w:kern w:val="2"/>
          <w:sz w:val="28"/>
          <w:szCs w:val="28"/>
          <w:highlight w:val="none"/>
          <w:u w:val="single"/>
          <w:lang w:val="en-US" w:eastAsia="zh-CN" w:bidi="ar-SA"/>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37"/>
        <w:widowControl w:val="0"/>
        <w:numPr>
          <w:ilvl w:val="0"/>
          <w:numId w:val="0"/>
        </w:numPr>
        <w:tabs>
          <w:tab w:val="left" w:pos="1134"/>
        </w:tabs>
        <w:snapToGrid w:val="0"/>
        <w:spacing w:before="60" w:after="200" w:line="560" w:lineRule="exact"/>
        <w:ind w:right="210" w:rightChars="0"/>
        <w:jc w:val="both"/>
        <w:rPr>
          <w:rFonts w:hint="eastAsia" w:ascii="宋体" w:hAnsi="宋体"/>
          <w:color w:val="auto"/>
          <w:sz w:val="28"/>
          <w:szCs w:val="28"/>
          <w:highlight w:val="none"/>
        </w:rPr>
      </w:pPr>
    </w:p>
    <w:p>
      <w:pPr>
        <w:pStyle w:val="281"/>
        <w:ind w:left="0" w:leftChars="0" w:firstLine="4200" w:firstLineChars="1500"/>
        <w:rPr>
          <w:rFonts w:hint="eastAsia" w:ascii="宋体" w:hAnsi="宋体" w:eastAsia="宋体" w:cs="宋体"/>
          <w:color w:val="auto"/>
          <w:kern w:val="2"/>
          <w:sz w:val="28"/>
          <w:szCs w:val="22"/>
          <w:highlight w:val="none"/>
          <w:u w:val="single"/>
          <w:lang w:val="zh-CN" w:eastAsia="zh-CN" w:bidi="ar-SA"/>
        </w:rPr>
      </w:pPr>
      <w:r>
        <w:rPr>
          <w:rFonts w:hint="eastAsia" w:ascii="宋体" w:hAnsi="宋体" w:eastAsia="宋体" w:cs="宋体"/>
          <w:color w:val="auto"/>
          <w:kern w:val="2"/>
          <w:sz w:val="28"/>
          <w:szCs w:val="22"/>
          <w:highlight w:val="none"/>
          <w:u w:val="none"/>
          <w:lang w:val="zh-CN" w:eastAsia="zh-CN" w:bidi="ar-SA"/>
        </w:rPr>
        <w:t>供应商名称：</w:t>
      </w:r>
      <w:r>
        <w:rPr>
          <w:rFonts w:hint="eastAsia" w:ascii="宋体" w:hAnsi="宋体" w:eastAsia="宋体" w:cs="宋体"/>
          <w:color w:val="auto"/>
          <w:kern w:val="2"/>
          <w:sz w:val="28"/>
          <w:szCs w:val="22"/>
          <w:highlight w:val="none"/>
          <w:u w:val="single"/>
          <w:lang w:val="zh-CN" w:eastAsia="zh-CN" w:bidi="ar-SA"/>
        </w:rPr>
        <w:tab/>
      </w:r>
      <w:r>
        <w:rPr>
          <w:rFonts w:hint="eastAsia" w:ascii="宋体" w:hAnsi="宋体" w:eastAsia="宋体" w:cs="宋体"/>
          <w:color w:val="auto"/>
          <w:kern w:val="2"/>
          <w:sz w:val="28"/>
          <w:szCs w:val="22"/>
          <w:highlight w:val="none"/>
          <w:u w:val="single"/>
          <w:lang w:val="zh-CN" w:eastAsia="zh-CN" w:bidi="ar-SA"/>
        </w:rPr>
        <w:t xml:space="preserve">　　　　　　　  </w:t>
      </w:r>
      <w:r>
        <w:rPr>
          <w:rFonts w:hint="eastAsia" w:hAnsi="宋体" w:eastAsia="宋体" w:cs="宋体"/>
          <w:color w:val="auto"/>
          <w:kern w:val="2"/>
          <w:sz w:val="28"/>
          <w:szCs w:val="22"/>
          <w:highlight w:val="none"/>
          <w:u w:val="single"/>
          <w:lang w:val="en-US" w:eastAsia="zh-CN" w:bidi="ar-SA"/>
        </w:rPr>
        <w:t xml:space="preserve">    </w:t>
      </w:r>
      <w:r>
        <w:rPr>
          <w:rFonts w:hint="eastAsia" w:ascii="宋体" w:hAnsi="宋体" w:eastAsia="宋体" w:cs="宋体"/>
          <w:color w:val="auto"/>
          <w:kern w:val="2"/>
          <w:sz w:val="28"/>
          <w:szCs w:val="22"/>
          <w:highlight w:val="none"/>
          <w:u w:val="single"/>
          <w:lang w:val="zh-CN" w:eastAsia="zh-CN" w:bidi="ar-SA"/>
        </w:rPr>
        <w:t xml:space="preserve">        </w:t>
      </w:r>
    </w:p>
    <w:p>
      <w:pPr>
        <w:pStyle w:val="129"/>
        <w:ind w:firstLine="4200" w:firstLineChars="1500"/>
        <w:rPr>
          <w:rFonts w:hint="eastAsia" w:ascii="宋体" w:hAnsi="宋体" w:eastAsia="宋体" w:cs="宋体"/>
          <w:color w:val="000000"/>
          <w:lang w:val="en-US" w:eastAsia="zh-CN"/>
        </w:rPr>
      </w:pPr>
      <w:r>
        <w:rPr>
          <w:rFonts w:hint="eastAsia" w:ascii="宋体" w:hAnsi="宋体" w:eastAsia="宋体" w:cs="宋体"/>
          <w:color w:val="auto"/>
          <w:kern w:val="2"/>
          <w:sz w:val="28"/>
          <w:szCs w:val="22"/>
          <w:highlight w:val="none"/>
          <w:u w:val="none"/>
          <w:lang w:val="zh-CN" w:eastAsia="zh-CN" w:bidi="ar-SA"/>
        </w:rPr>
        <w:t>日      期：</w:t>
      </w:r>
      <w:r>
        <w:rPr>
          <w:rFonts w:hint="eastAsia" w:ascii="宋体" w:hAnsi="宋体" w:eastAsia="宋体" w:cs="宋体"/>
          <w:color w:val="auto"/>
          <w:kern w:val="2"/>
          <w:sz w:val="28"/>
          <w:szCs w:val="22"/>
          <w:highlight w:val="none"/>
          <w:u w:val="single"/>
          <w:lang w:val="zh-CN" w:eastAsia="zh-CN" w:bidi="ar-SA"/>
        </w:rPr>
        <w:t>　　年　　月　　日</w:t>
      </w:r>
    </w:p>
    <w:p>
      <w:pPr>
        <w:pStyle w:val="204"/>
        <w:outlineLvl w:val="1"/>
        <w:rPr>
          <w:rFonts w:hint="eastAsia" w:ascii="宋体" w:hAnsi="宋体" w:eastAsia="宋体" w:cs="宋体"/>
          <w:color w:val="000000"/>
          <w:lang w:val="en-US" w:eastAsia="zh-CN"/>
        </w:rPr>
      </w:pPr>
    </w:p>
    <w:p>
      <w:pPr>
        <w:pStyle w:val="204"/>
        <w:outlineLvl w:val="1"/>
        <w:rPr>
          <w:color w:val="000000"/>
        </w:rPr>
      </w:pPr>
      <w:bookmarkStart w:id="161" w:name="_Toc21435"/>
      <w:r>
        <w:rPr>
          <w:rFonts w:hint="eastAsia" w:ascii="宋体" w:hAnsi="宋体" w:eastAsia="宋体" w:cs="宋体"/>
          <w:color w:val="000000"/>
          <w:lang w:val="en-US" w:eastAsia="zh-CN"/>
        </w:rPr>
        <w:t>3.2.8</w:t>
      </w:r>
      <w:r>
        <w:rPr>
          <w:rFonts w:hint="eastAsia" w:ascii="宋体" w:hAnsi="宋体" w:eastAsia="宋体" w:cs="宋体"/>
          <w:b/>
          <w:bCs w:val="0"/>
          <w:color w:val="000000"/>
          <w:kern w:val="0"/>
          <w:sz w:val="32"/>
          <w:szCs w:val="24"/>
          <w:lang w:val="en-US" w:eastAsia="zh-CN" w:bidi="ar-SA"/>
        </w:rPr>
        <w:t>售后服务方案</w:t>
      </w:r>
      <w:bookmarkEnd w:id="161"/>
    </w:p>
    <w:p>
      <w:pPr>
        <w:pStyle w:val="166"/>
        <w:ind w:firstLine="482"/>
        <w:rPr>
          <w:rFonts w:hint="eastAsia"/>
          <w:b/>
          <w:color w:val="000000"/>
          <w:shd w:val="clear" w:color="auto" w:fill="FFFFFF"/>
        </w:rPr>
      </w:pPr>
    </w:p>
    <w:p>
      <w:pPr>
        <w:pStyle w:val="166"/>
        <w:ind w:left="0" w:leftChars="0" w:firstLine="0" w:firstLineChars="0"/>
        <w:rPr>
          <w:rFonts w:hint="eastAsia" w:ascii="宋体" w:hAnsi="宋体"/>
          <w:b/>
          <w:color w:val="auto"/>
          <w:sz w:val="28"/>
          <w:highlight w:val="none"/>
          <w:u w:val="single"/>
        </w:rPr>
      </w:pPr>
      <w:r>
        <w:rPr>
          <w:rFonts w:hint="eastAsia" w:ascii="宋体" w:hAnsi="宋体"/>
          <w:b/>
          <w:color w:val="auto"/>
          <w:sz w:val="28"/>
          <w:highlight w:val="none"/>
          <w:u w:val="none"/>
        </w:rPr>
        <w:t>项目名称：</w:t>
      </w:r>
      <w:r>
        <w:rPr>
          <w:rFonts w:hint="eastAsia" w:ascii="宋体" w:hAnsi="宋体"/>
          <w:b/>
          <w:color w:val="auto"/>
          <w:sz w:val="28"/>
          <w:highlight w:val="none"/>
          <w:u w:val="single"/>
        </w:rPr>
        <w:t xml:space="preserve"> </w:t>
      </w:r>
      <w:r>
        <w:rPr>
          <w:rFonts w:hint="eastAsia"/>
          <w:b/>
          <w:color w:val="auto"/>
          <w:sz w:val="28"/>
          <w:highlight w:val="none"/>
          <w:u w:val="single"/>
          <w:lang w:eastAsia="zh-CN"/>
        </w:rPr>
        <w:t>成都市温江区第二中学校机房及创客设备采购项目</w:t>
      </w:r>
      <w:r>
        <w:rPr>
          <w:rFonts w:hint="eastAsia" w:ascii="宋体" w:hAnsi="宋体"/>
          <w:b/>
          <w:color w:val="auto"/>
          <w:sz w:val="28"/>
          <w:highlight w:val="none"/>
          <w:u w:val="none"/>
        </w:rPr>
        <w:t xml:space="preserve">            </w:t>
      </w:r>
      <w:r>
        <w:rPr>
          <w:rFonts w:hint="eastAsia" w:ascii="宋体" w:hAnsi="宋体"/>
          <w:b/>
          <w:color w:val="auto"/>
          <w:sz w:val="28"/>
          <w:highlight w:val="none"/>
          <w:u w:val="single"/>
        </w:rPr>
        <w:t xml:space="preserve">               </w:t>
      </w:r>
    </w:p>
    <w:p>
      <w:pPr>
        <w:pStyle w:val="166"/>
        <w:ind w:left="0" w:leftChars="0" w:firstLine="0" w:firstLineChars="0"/>
        <w:rPr>
          <w:rFonts w:hint="eastAsia" w:ascii="宋体" w:hAnsi="宋体"/>
          <w:b/>
          <w:color w:val="auto"/>
          <w:sz w:val="28"/>
          <w:highlight w:val="none"/>
          <w:u w:val="single"/>
        </w:rPr>
      </w:pPr>
      <w:r>
        <w:rPr>
          <w:rFonts w:hint="eastAsia" w:ascii="宋体" w:hAnsi="宋体"/>
          <w:b/>
          <w:color w:val="auto"/>
          <w:sz w:val="28"/>
          <w:highlight w:val="none"/>
          <w:u w:val="none"/>
        </w:rPr>
        <w:t>项目编号：</w:t>
      </w:r>
      <w:r>
        <w:rPr>
          <w:rFonts w:hint="eastAsia" w:ascii="宋体" w:hAnsi="宋体"/>
          <w:b/>
          <w:color w:val="auto"/>
          <w:sz w:val="28"/>
          <w:highlight w:val="none"/>
          <w:u w:val="single"/>
        </w:rPr>
        <w:t>项目编号：</w:t>
      </w:r>
      <w:r>
        <w:rPr>
          <w:rFonts w:hint="eastAsia"/>
          <w:b/>
          <w:color w:val="auto"/>
          <w:sz w:val="28"/>
          <w:highlight w:val="none"/>
          <w:u w:val="single"/>
          <w:lang w:eastAsia="zh-CN"/>
        </w:rPr>
        <w:t>温江政采（2021）A0063号</w:t>
      </w:r>
      <w:r>
        <w:rPr>
          <w:rFonts w:hint="eastAsia" w:ascii="宋体" w:hAnsi="宋体"/>
          <w:b/>
          <w:color w:val="auto"/>
          <w:sz w:val="28"/>
          <w:highlight w:val="none"/>
          <w:u w:val="single"/>
        </w:rPr>
        <w:t xml:space="preserve"> </w:t>
      </w:r>
    </w:p>
    <w:p>
      <w:pPr>
        <w:pStyle w:val="166"/>
        <w:ind w:left="0" w:leftChars="0" w:firstLine="0" w:firstLineChars="0"/>
        <w:rPr>
          <w:rFonts w:hint="eastAsia" w:ascii="宋体" w:hAnsi="宋体"/>
          <w:b/>
          <w:color w:val="auto"/>
          <w:sz w:val="28"/>
          <w:highlight w:val="none"/>
          <w:u w:val="single"/>
        </w:rPr>
      </w:pPr>
    </w:p>
    <w:p>
      <w:pPr>
        <w:pStyle w:val="122"/>
        <w:spacing w:line="360" w:lineRule="auto"/>
        <w:rPr>
          <w:rFonts w:ascii="宋体" w:hAnsi="宋体"/>
          <w:b/>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2"/>
        <w:spacing w:line="360" w:lineRule="auto"/>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28"/>
          <w:szCs w:val="28"/>
          <w:u w:val="single"/>
          <w:shd w:val="clear" w:color="auto" w:fill="FFFFFF"/>
        </w:rPr>
      </w:pPr>
    </w:p>
    <w:p>
      <w:pPr>
        <w:pStyle w:val="121"/>
        <w:ind w:left="63" w:right="63"/>
        <w:rPr>
          <w:rFonts w:hint="eastAsia" w:ascii="宋体" w:hAnsi="宋体"/>
          <w:color w:val="000000"/>
          <w:sz w:val="32"/>
          <w:szCs w:val="32"/>
          <w:u w:val="single"/>
          <w:shd w:val="clear" w:color="auto" w:fill="FFFFFF"/>
        </w:rPr>
      </w:pPr>
    </w:p>
    <w:p>
      <w:pPr>
        <w:pStyle w:val="213"/>
        <w:ind w:firstLine="480"/>
        <w:jc w:val="center"/>
        <w:rPr>
          <w:rFonts w:hint="eastAsia"/>
          <w:color w:val="000000"/>
          <w:sz w:val="28"/>
          <w:szCs w:val="32"/>
          <w:shd w:val="clear" w:color="auto" w:fill="FFFFFF"/>
        </w:rPr>
      </w:pPr>
      <w:r>
        <w:rPr>
          <w:rFonts w:hint="eastAsia"/>
          <w:color w:val="000000"/>
          <w:sz w:val="28"/>
          <w:szCs w:val="32"/>
          <w:shd w:val="clear" w:color="auto" w:fill="FFFFFF"/>
          <w:lang w:val="en-US" w:eastAsia="zh-CN"/>
        </w:rPr>
        <w:t xml:space="preserve">                   </w:t>
      </w:r>
      <w:r>
        <w:rPr>
          <w:rFonts w:hint="eastAsia"/>
          <w:color w:val="000000"/>
          <w:sz w:val="28"/>
          <w:szCs w:val="32"/>
          <w:shd w:val="clear" w:color="auto" w:fill="FFFFFF"/>
        </w:rPr>
        <w:t>供应商名称：</w:t>
      </w:r>
      <w:r>
        <w:rPr>
          <w:rFonts w:hint="eastAsia" w:ascii="宋体" w:hAnsi="宋体" w:eastAsia="宋体" w:cs="宋体"/>
          <w:color w:val="auto"/>
          <w:kern w:val="2"/>
          <w:sz w:val="28"/>
          <w:szCs w:val="22"/>
          <w:highlight w:val="none"/>
          <w:u w:val="single"/>
          <w:lang w:val="zh-CN" w:eastAsia="zh-CN" w:bidi="ar-SA"/>
        </w:rPr>
        <w:t>　　　　　　</w:t>
      </w:r>
      <w:r>
        <w:rPr>
          <w:rFonts w:hint="eastAsia"/>
          <w:color w:val="000000"/>
          <w:sz w:val="28"/>
          <w:szCs w:val="32"/>
          <w:u w:val="single"/>
          <w:shd w:val="clear" w:color="auto" w:fill="FFFFFF"/>
        </w:rPr>
        <w:t xml:space="preserve">              </w:t>
      </w:r>
    </w:p>
    <w:p>
      <w:pPr>
        <w:pStyle w:val="166"/>
        <w:ind w:firstLine="480"/>
        <w:jc w:val="right"/>
        <w:rPr>
          <w:rFonts w:hint="eastAsia"/>
          <w:color w:val="000000"/>
          <w:sz w:val="28"/>
          <w:szCs w:val="24"/>
          <w:shd w:val="clear" w:color="auto" w:fill="FFFFFF"/>
        </w:rPr>
      </w:pPr>
      <w:r>
        <w:rPr>
          <w:rFonts w:hint="eastAsia"/>
          <w:color w:val="000000"/>
          <w:sz w:val="28"/>
          <w:szCs w:val="24"/>
          <w:shd w:val="clear" w:color="auto" w:fill="FFFFFF"/>
        </w:rPr>
        <w:t>日期：</w:t>
      </w:r>
      <w:r>
        <w:rPr>
          <w:rFonts w:hint="eastAsia"/>
          <w:color w:val="000000"/>
          <w:sz w:val="28"/>
          <w:szCs w:val="24"/>
          <w:u w:val="single"/>
          <w:shd w:val="clear" w:color="auto" w:fill="FFFFFF"/>
        </w:rPr>
        <w:t>　　</w:t>
      </w:r>
      <w:r>
        <w:rPr>
          <w:rFonts w:hint="eastAsia"/>
          <w:color w:val="000000"/>
          <w:sz w:val="28"/>
          <w:szCs w:val="24"/>
          <w:shd w:val="clear" w:color="auto" w:fill="FFFFFF"/>
        </w:rPr>
        <w:t>年</w:t>
      </w:r>
      <w:r>
        <w:rPr>
          <w:rFonts w:hint="eastAsia"/>
          <w:color w:val="000000"/>
          <w:sz w:val="28"/>
          <w:szCs w:val="24"/>
          <w:u w:val="single"/>
          <w:shd w:val="clear" w:color="auto" w:fill="FFFFFF"/>
        </w:rPr>
        <w:t>　　</w:t>
      </w:r>
      <w:r>
        <w:rPr>
          <w:rFonts w:hint="eastAsia"/>
          <w:color w:val="000000"/>
          <w:sz w:val="28"/>
          <w:szCs w:val="24"/>
          <w:shd w:val="clear" w:color="auto" w:fill="FFFFFF"/>
        </w:rPr>
        <w:t>月</w:t>
      </w:r>
      <w:r>
        <w:rPr>
          <w:rFonts w:hint="eastAsia"/>
          <w:color w:val="000000"/>
          <w:sz w:val="28"/>
          <w:szCs w:val="24"/>
          <w:u w:val="single"/>
          <w:shd w:val="clear" w:color="auto" w:fill="FFFFFF"/>
        </w:rPr>
        <w:t>　　</w:t>
      </w:r>
      <w:r>
        <w:rPr>
          <w:rFonts w:hint="eastAsia"/>
          <w:color w:val="000000"/>
          <w:sz w:val="28"/>
          <w:szCs w:val="24"/>
          <w:shd w:val="clear" w:color="auto" w:fill="FFFFFF"/>
        </w:rPr>
        <w:t>日</w:t>
      </w:r>
    </w:p>
    <w:p>
      <w:pPr>
        <w:jc w:val="righ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7"/>
        <w:spacing w:line="360" w:lineRule="auto"/>
        <w:ind w:firstLine="0" w:firstLineChars="0"/>
        <w:rPr>
          <w:rFonts w:hint="default" w:ascii="宋体" w:hAnsi="宋体" w:cs="宋体"/>
          <w:b/>
          <w:color w:val="000000"/>
          <w:kern w:val="0"/>
          <w:sz w:val="32"/>
          <w:lang w:val="en-US" w:eastAsia="zh-CN"/>
        </w:rPr>
      </w:pPr>
    </w:p>
    <w:p>
      <w:pPr>
        <w:pStyle w:val="27"/>
        <w:spacing w:line="360" w:lineRule="auto"/>
        <w:ind w:firstLine="0" w:firstLineChars="0"/>
        <w:rPr>
          <w:rFonts w:ascii="宋体" w:hAnsi="宋体" w:cs="宋体"/>
          <w:b/>
          <w:color w:val="000000"/>
          <w:kern w:val="0"/>
          <w:sz w:val="32"/>
        </w:rPr>
      </w:pPr>
      <w:r>
        <w:rPr>
          <w:rFonts w:hint="eastAsia" w:ascii="宋体" w:hAnsi="宋体" w:cs="宋体"/>
          <w:b/>
          <w:color w:val="000000"/>
          <w:kern w:val="0"/>
          <w:sz w:val="32"/>
        </w:rPr>
        <w:t>3.3.</w:t>
      </w:r>
      <w:r>
        <w:rPr>
          <w:rFonts w:hint="eastAsia" w:ascii="宋体" w:hAnsi="宋体" w:cs="宋体"/>
          <w:b/>
          <w:color w:val="000000"/>
          <w:kern w:val="0"/>
          <w:sz w:val="32"/>
          <w:lang w:val="en-US" w:eastAsia="zh-CN"/>
        </w:rPr>
        <w:t xml:space="preserve">9 </w:t>
      </w:r>
      <w:r>
        <w:rPr>
          <w:rFonts w:hint="eastAsia" w:ascii="宋体" w:hAnsi="宋体" w:cs="宋体"/>
          <w:b/>
          <w:color w:val="000000"/>
          <w:kern w:val="0"/>
          <w:sz w:val="32"/>
        </w:rPr>
        <w:t>承诺函</w:t>
      </w:r>
    </w:p>
    <w:p>
      <w:pPr>
        <w:pStyle w:val="290"/>
        <w:ind w:firstLine="0" w:firstLineChars="0"/>
        <w:rPr>
          <w:rFonts w:hint="eastAsia" w:hAnsi="Times New Roman"/>
          <w:color w:val="000000"/>
          <w:sz w:val="28"/>
          <w:szCs w:val="28"/>
          <w:u w:val="none"/>
          <w:shd w:val="clear" w:color="auto" w:fill="FFFFFF"/>
        </w:rPr>
      </w:pPr>
      <w:r>
        <w:rPr>
          <w:rFonts w:hint="eastAsia" w:hAnsi="Times New Roman"/>
          <w:color w:val="000000"/>
          <w:sz w:val="28"/>
          <w:szCs w:val="28"/>
          <w:shd w:val="clear" w:color="auto" w:fill="FFFFFF"/>
        </w:rPr>
        <w:t>项目名称：</w:t>
      </w:r>
      <w:r>
        <w:rPr>
          <w:rFonts w:hint="eastAsia" w:hAnsi="Times New Roman"/>
          <w:color w:val="000000"/>
          <w:sz w:val="28"/>
          <w:szCs w:val="28"/>
          <w:u w:val="single"/>
          <w:shd w:val="clear" w:color="auto" w:fill="FFFFFF"/>
          <w:lang w:eastAsia="zh-CN"/>
        </w:rPr>
        <w:t>成都市温江区第二中学校机房及创客设备采购项目</w:t>
      </w:r>
      <w:r>
        <w:rPr>
          <w:rFonts w:hint="eastAsia" w:hAnsi="Times New Roman"/>
          <w:color w:val="000000"/>
          <w:sz w:val="28"/>
          <w:szCs w:val="28"/>
          <w:u w:val="none"/>
          <w:shd w:val="clear" w:color="auto" w:fill="FFFFFF"/>
        </w:rPr>
        <w:t xml:space="preserve">           </w:t>
      </w:r>
    </w:p>
    <w:p>
      <w:pPr>
        <w:pStyle w:val="290"/>
        <w:ind w:firstLine="0" w:firstLineChars="0"/>
        <w:rPr>
          <w:rFonts w:hint="eastAsia" w:hAnsi="Times New Roman"/>
          <w:color w:val="000000"/>
          <w:sz w:val="28"/>
          <w:szCs w:val="28"/>
          <w:shd w:val="clear" w:color="auto" w:fill="FFFFFF"/>
        </w:rPr>
      </w:pPr>
      <w:r>
        <w:rPr>
          <w:rFonts w:hint="eastAsia"/>
          <w:color w:val="000000"/>
          <w:sz w:val="28"/>
          <w:szCs w:val="28"/>
          <w:shd w:val="clear" w:color="auto" w:fill="FFFFFF"/>
        </w:rPr>
        <w:t>项目</w:t>
      </w:r>
      <w:r>
        <w:rPr>
          <w:rFonts w:hint="eastAsia" w:hAnsi="Times New Roman"/>
          <w:color w:val="000000"/>
          <w:sz w:val="28"/>
          <w:szCs w:val="28"/>
          <w:shd w:val="clear" w:color="auto" w:fill="FFFFFF"/>
        </w:rPr>
        <w:t>编号：</w:t>
      </w:r>
      <w:r>
        <w:rPr>
          <w:rFonts w:hint="eastAsia" w:hAnsi="Times New Roman" w:cs="Times New Roman"/>
          <w:b/>
          <w:color w:val="000000"/>
          <w:kern w:val="2"/>
          <w:sz w:val="28"/>
          <w:szCs w:val="28"/>
          <w:u w:val="single"/>
          <w:shd w:val="clear" w:color="auto" w:fill="FFFFFF"/>
          <w:lang w:val="en-US" w:eastAsia="zh-CN" w:bidi="ar-SA"/>
        </w:rPr>
        <w:t>温江政采（2021）A0063号</w:t>
      </w:r>
    </w:p>
    <w:p>
      <w:pPr>
        <w:snapToGrid w:val="0"/>
        <w:spacing w:line="360" w:lineRule="auto"/>
        <w:ind w:firstLine="560" w:firstLineChars="200"/>
        <w:rPr>
          <w:rFonts w:hint="eastAsia"/>
          <w:color w:val="000000"/>
          <w:sz w:val="28"/>
          <w:highlight w:val="yellow"/>
          <w:shd w:val="clear" w:color="auto" w:fill="FFFFFF"/>
        </w:rPr>
      </w:pPr>
    </w:p>
    <w:p>
      <w:pPr>
        <w:snapToGrid w:val="0"/>
        <w:spacing w:line="360" w:lineRule="auto"/>
        <w:ind w:firstLine="560" w:firstLineChars="200"/>
        <w:rPr>
          <w:color w:val="000000"/>
          <w:highlight w:val="none"/>
          <w:shd w:val="clear" w:color="auto" w:fill="FFFFFF"/>
        </w:rPr>
      </w:pPr>
      <w:r>
        <w:rPr>
          <w:rFonts w:hint="eastAsia"/>
          <w:color w:val="000000"/>
          <w:sz w:val="28"/>
          <w:highlight w:val="none"/>
          <w:shd w:val="clear" w:color="auto" w:fill="FFFFFF"/>
        </w:rPr>
        <w:t>我公司作为参加本</w:t>
      </w:r>
      <w:r>
        <w:rPr>
          <w:color w:val="000000"/>
          <w:sz w:val="28"/>
          <w:szCs w:val="28"/>
          <w:highlight w:val="none"/>
          <w:shd w:val="clear" w:color="auto" w:fill="FFFFFF"/>
        </w:rPr>
        <w:t>项目</w:t>
      </w:r>
      <w:r>
        <w:rPr>
          <w:rFonts w:hint="eastAsia"/>
          <w:color w:val="000000"/>
          <w:sz w:val="28"/>
          <w:highlight w:val="none"/>
          <w:shd w:val="clear" w:color="auto" w:fill="FFFFFF"/>
        </w:rPr>
        <w:t>的供应商，在此郑重承诺：</w:t>
      </w:r>
    </w:p>
    <w:p>
      <w:pPr>
        <w:pStyle w:val="161"/>
        <w:numPr>
          <w:ilvl w:val="0"/>
          <w:numId w:val="12"/>
        </w:numPr>
        <w:tabs>
          <w:tab w:val="left" w:pos="1134"/>
        </w:tabs>
        <w:snapToGrid w:val="0"/>
        <w:spacing w:line="360" w:lineRule="auto"/>
        <w:ind w:left="-82" w:firstLine="562" w:firstLineChars="0"/>
        <w:rPr>
          <w:rFonts w:ascii="宋体" w:hAnsi="宋体"/>
          <w:color w:val="000000"/>
          <w:sz w:val="28"/>
          <w:szCs w:val="28"/>
          <w:highlight w:val="none"/>
          <w:shd w:val="clear" w:color="auto" w:fill="FFFFFF"/>
        </w:rPr>
      </w:pPr>
      <w:r>
        <w:rPr>
          <w:rFonts w:hint="eastAsia" w:ascii="宋体" w:hAnsi="宋体"/>
          <w:color w:val="000000"/>
          <w:sz w:val="28"/>
          <w:szCs w:val="28"/>
          <w:highlight w:val="none"/>
          <w:shd w:val="clear" w:color="auto" w:fill="FFFFFF"/>
        </w:rPr>
        <w:t>为本项目提供的所有产品、辅材中</w:t>
      </w:r>
      <w:r>
        <w:rPr>
          <w:rFonts w:ascii="宋体" w:hAnsi="宋体" w:cs="宋体"/>
          <w:color w:val="000000"/>
          <w:sz w:val="28"/>
          <w:szCs w:val="28"/>
          <w:highlight w:val="none"/>
          <w:shd w:val="clear" w:color="auto" w:fill="FFFFFF"/>
        </w:rPr>
        <w:t>属于《国家强制性产品认证目录》范围内产品的，均通过国家强制性产品认证并取得认证证书。</w:t>
      </w:r>
    </w:p>
    <w:p>
      <w:pPr>
        <w:pStyle w:val="161"/>
        <w:numPr>
          <w:ilvl w:val="0"/>
          <w:numId w:val="12"/>
        </w:numPr>
        <w:tabs>
          <w:tab w:val="left" w:pos="1134"/>
        </w:tabs>
        <w:snapToGrid w:val="0"/>
        <w:spacing w:line="360" w:lineRule="auto"/>
        <w:ind w:left="-82" w:firstLine="562" w:firstLineChars="0"/>
        <w:rPr>
          <w:rFonts w:ascii="宋体" w:hAnsi="宋体"/>
          <w:b/>
          <w:color w:val="000000"/>
          <w:sz w:val="28"/>
          <w:szCs w:val="28"/>
          <w:highlight w:val="none"/>
          <w:shd w:val="clear" w:color="auto" w:fill="FFFFFF"/>
        </w:rPr>
      </w:pPr>
      <w:r>
        <w:rPr>
          <w:rFonts w:hint="eastAsia"/>
          <w:color w:val="000000"/>
          <w:sz w:val="28"/>
          <w:szCs w:val="28"/>
          <w:highlight w:val="none"/>
          <w:shd w:val="clear" w:color="auto" w:fill="FFFFFF"/>
        </w:rPr>
        <w:t>为本项目提供的所有产品、辅材符合现行的强制性国家相关标准、行业标准。</w:t>
      </w:r>
    </w:p>
    <w:p>
      <w:pPr>
        <w:pStyle w:val="161"/>
        <w:numPr>
          <w:ilvl w:val="0"/>
          <w:numId w:val="12"/>
        </w:numPr>
        <w:tabs>
          <w:tab w:val="left" w:pos="1134"/>
        </w:tabs>
        <w:snapToGrid w:val="0"/>
        <w:spacing w:line="360" w:lineRule="auto"/>
        <w:ind w:left="-82" w:firstLine="562" w:firstLineChars="0"/>
        <w:rPr>
          <w:rFonts w:ascii="宋体" w:hAnsi="宋体"/>
          <w:color w:val="000000"/>
          <w:sz w:val="28"/>
          <w:szCs w:val="28"/>
          <w:highlight w:val="none"/>
          <w:shd w:val="clear" w:color="auto" w:fill="FFFFFF"/>
        </w:rPr>
      </w:pPr>
      <w:r>
        <w:rPr>
          <w:rFonts w:hint="eastAsia" w:ascii="宋体" w:hAnsi="宋体"/>
          <w:color w:val="000000"/>
          <w:sz w:val="28"/>
          <w:szCs w:val="28"/>
          <w:highlight w:val="none"/>
          <w:shd w:val="clear" w:color="auto" w:fill="FFFFFF"/>
          <w:lang w:val="zh-CN"/>
        </w:rPr>
        <w:t>为本项目提供的所有产品中属于节能产品政府采购品目清单中的政府强制采购产品的，均具有国家确定的认证机构出具的有效期内的节能产品认证证书。</w:t>
      </w:r>
    </w:p>
    <w:p>
      <w:pPr>
        <w:pStyle w:val="161"/>
        <w:numPr>
          <w:ilvl w:val="0"/>
          <w:numId w:val="12"/>
        </w:numPr>
        <w:tabs>
          <w:tab w:val="left" w:pos="1134"/>
        </w:tabs>
        <w:snapToGrid w:val="0"/>
        <w:spacing w:line="360" w:lineRule="auto"/>
        <w:ind w:left="-82" w:firstLine="562" w:firstLineChars="0"/>
        <w:rPr>
          <w:rFonts w:hint="eastAsia" w:ascii="宋体" w:hAnsi="宋体" w:eastAsia="宋体" w:cs="宋体"/>
          <w:b/>
          <w:bCs/>
          <w:color w:val="000000"/>
          <w:kern w:val="2"/>
          <w:sz w:val="28"/>
          <w:szCs w:val="28"/>
          <w:highlight w:val="none"/>
          <w:shd w:val="clear" w:color="auto" w:fill="FFFFFF"/>
          <w:lang w:val="en-US" w:eastAsia="zh-CN" w:bidi="ar-SA"/>
        </w:rPr>
      </w:pPr>
      <w:r>
        <w:rPr>
          <w:rFonts w:hint="eastAsia" w:ascii="宋体" w:hAnsi="宋体" w:eastAsia="宋体" w:cs="Times New Roman"/>
          <w:bCs/>
          <w:color w:val="000000"/>
          <w:sz w:val="28"/>
          <w:szCs w:val="28"/>
          <w:highlight w:val="none"/>
          <w:shd w:val="clear" w:color="auto" w:fill="FFFFFF"/>
          <w:lang w:val="zh-CN"/>
        </w:rPr>
        <w:t>为本项目提供的所有产品中属于3C认证产品的，均具有3C产品认证证书，并在中标后签订合同之前提供证书复印件加盖公章。</w:t>
      </w:r>
    </w:p>
    <w:p>
      <w:pPr>
        <w:pStyle w:val="207"/>
        <w:adjustRightInd w:val="0"/>
        <w:snapToGrid w:val="0"/>
        <w:spacing w:line="360" w:lineRule="auto"/>
        <w:ind w:firstLine="280" w:firstLineChars="100"/>
        <w:rPr>
          <w:rFonts w:hint="default" w:ascii="Times New Roman" w:hAnsi="Times New Roman" w:eastAsia="宋体" w:cs="Times New Roman"/>
          <w:b w:val="0"/>
          <w:bCs w:val="0"/>
          <w:color w:val="000000"/>
          <w:kern w:val="0"/>
          <w:sz w:val="28"/>
          <w:szCs w:val="28"/>
          <w:shd w:val="clear" w:color="auto" w:fill="FFFFFF"/>
          <w:lang w:val="en-US" w:eastAsia="zh-CN"/>
        </w:rPr>
      </w:pPr>
      <w:r>
        <w:rPr>
          <w:rFonts w:hint="eastAsia" w:ascii="Times New Roman" w:hAnsi="Times New Roman" w:eastAsia="宋体" w:cs="Times New Roman"/>
          <w:b w:val="0"/>
          <w:bCs w:val="0"/>
          <w:color w:val="000000"/>
          <w:kern w:val="0"/>
          <w:sz w:val="28"/>
          <w:szCs w:val="28"/>
          <w:shd w:val="clear" w:color="auto" w:fill="FFFFFF"/>
          <w:lang w:val="en-US" w:eastAsia="zh-CN"/>
        </w:rPr>
        <w:t xml:space="preserve">  五、</w:t>
      </w:r>
      <w:r>
        <w:rPr>
          <w:rFonts w:hint="eastAsia" w:ascii="宋体" w:hAnsi="宋体" w:eastAsia="宋体" w:cs="Times New Roman"/>
          <w:bCs/>
          <w:color w:val="000000"/>
          <w:kern w:val="2"/>
          <w:sz w:val="28"/>
          <w:szCs w:val="28"/>
          <w:highlight w:val="none"/>
          <w:shd w:val="clear" w:color="auto" w:fill="FFFFFF"/>
          <w:lang w:val="zh-CN" w:eastAsia="zh-CN" w:bidi="ar-SA"/>
        </w:rPr>
        <w:t>本项目的所有产品质保3年，质保期内因产品质量问题，提供7x24免费上门保修服务。需要提供服务含电话咨询服务、远程技术服务、现场技术支撑等。</w:t>
      </w:r>
    </w:p>
    <w:p>
      <w:pPr>
        <w:pStyle w:val="161"/>
        <w:numPr>
          <w:ilvl w:val="0"/>
          <w:numId w:val="0"/>
        </w:numPr>
        <w:tabs>
          <w:tab w:val="left" w:pos="1134"/>
        </w:tabs>
        <w:snapToGrid w:val="0"/>
        <w:spacing w:line="360" w:lineRule="auto"/>
        <w:rPr>
          <w:rFonts w:hint="eastAsia" w:ascii="Times New Roman" w:hAnsi="Times New Roman" w:eastAsia="宋体" w:cs="Times New Roman"/>
          <w:b w:val="0"/>
          <w:bCs w:val="0"/>
          <w:color w:val="000000"/>
          <w:kern w:val="0"/>
          <w:sz w:val="28"/>
          <w:szCs w:val="28"/>
          <w:shd w:val="clear" w:color="auto" w:fill="FFFFFF"/>
          <w:lang w:val="en-US" w:eastAsia="zh-CN"/>
        </w:rPr>
      </w:pPr>
    </w:p>
    <w:p>
      <w:pPr>
        <w:pStyle w:val="161"/>
        <w:numPr>
          <w:ilvl w:val="0"/>
          <w:numId w:val="0"/>
        </w:numPr>
        <w:tabs>
          <w:tab w:val="left" w:pos="1134"/>
        </w:tabs>
        <w:snapToGrid w:val="0"/>
        <w:spacing w:line="360" w:lineRule="auto"/>
        <w:ind w:left="480" w:leftChars="0"/>
        <w:rPr>
          <w:rFonts w:hint="eastAsia" w:ascii="宋体" w:hAnsi="宋体" w:eastAsia="宋体" w:cs="Times New Roman"/>
          <w:bCs/>
          <w:color w:val="000000"/>
          <w:sz w:val="28"/>
          <w:szCs w:val="28"/>
          <w:highlight w:val="yellow"/>
          <w:shd w:val="clear" w:color="auto" w:fill="FFFFFF"/>
          <w:lang w:val="zh-CN"/>
        </w:rPr>
      </w:pPr>
    </w:p>
    <w:p>
      <w:pPr>
        <w:pStyle w:val="161"/>
        <w:tabs>
          <w:tab w:val="left" w:pos="1134"/>
        </w:tabs>
        <w:snapToGrid w:val="0"/>
        <w:spacing w:line="360" w:lineRule="auto"/>
        <w:ind w:left="480" w:firstLine="0" w:firstLineChars="0"/>
        <w:rPr>
          <w:rFonts w:ascii="宋体" w:hAnsi="宋体" w:eastAsia="宋体" w:cs="Times New Roman"/>
          <w:bCs/>
          <w:color w:val="000000"/>
          <w:sz w:val="28"/>
          <w:szCs w:val="28"/>
          <w:shd w:val="clear" w:color="auto" w:fill="FFFFFF"/>
        </w:rPr>
      </w:pPr>
    </w:p>
    <w:p>
      <w:pPr>
        <w:snapToGrid w:val="0"/>
        <w:spacing w:line="360" w:lineRule="auto"/>
        <w:ind w:firstLine="560" w:firstLineChars="200"/>
        <w:rPr>
          <w:rFonts w:hint="eastAsia"/>
          <w:color w:val="000000"/>
          <w:sz w:val="28"/>
          <w:szCs w:val="28"/>
          <w:shd w:val="clear" w:color="auto" w:fill="FFFFFF"/>
        </w:rPr>
      </w:pPr>
      <w:r>
        <w:rPr>
          <w:rFonts w:hint="eastAsia"/>
          <w:color w:val="000000"/>
          <w:sz w:val="28"/>
          <w:szCs w:val="28"/>
          <w:shd w:val="clear" w:color="auto" w:fill="FFFFFF"/>
        </w:rPr>
        <w:t>特此承诺。</w:t>
      </w:r>
    </w:p>
    <w:p>
      <w:pPr>
        <w:pStyle w:val="2"/>
      </w:pPr>
    </w:p>
    <w:p>
      <w:pPr>
        <w:snapToGrid w:val="0"/>
        <w:spacing w:line="360" w:lineRule="auto"/>
        <w:rPr>
          <w:color w:val="000000"/>
          <w:shd w:val="clear" w:color="auto" w:fill="FFFFFF"/>
        </w:rPr>
      </w:pPr>
    </w:p>
    <w:p>
      <w:pPr>
        <w:pStyle w:val="281"/>
        <w:ind w:firstLine="556" w:firstLineChars="232"/>
        <w:jc w:val="center"/>
        <w:rPr>
          <w:rFonts w:hint="eastAsia"/>
          <w:color w:val="000000"/>
          <w:shd w:val="clear" w:color="auto" w:fill="FFFFFF"/>
          <w:lang w:eastAsia="zh-CN"/>
        </w:rPr>
      </w:pPr>
      <w:r>
        <w:rPr>
          <w:rFonts w:hint="eastAsia"/>
          <w:color w:val="000000"/>
          <w:shd w:val="clear" w:color="auto" w:fill="FFFFFF"/>
          <w:lang w:val="en-US" w:eastAsia="zh-CN"/>
        </w:rPr>
        <w:t xml:space="preserve">                      </w:t>
      </w:r>
      <w:r>
        <w:rPr>
          <w:rFonts w:hint="eastAsia"/>
          <w:color w:val="000000"/>
          <w:shd w:val="clear" w:color="auto" w:fill="FFFFFF"/>
          <w:lang w:eastAsia="zh-CN"/>
        </w:rPr>
        <w:t>供应商</w:t>
      </w:r>
      <w:r>
        <w:rPr>
          <w:rFonts w:hint="eastAsia"/>
          <w:color w:val="000000"/>
          <w:shd w:val="clear" w:color="auto" w:fill="FFFFFF"/>
        </w:rPr>
        <w:t>名称</w:t>
      </w:r>
      <w:r>
        <w:rPr>
          <w:rFonts w:hint="eastAsia"/>
          <w:color w:val="000000"/>
          <w:u w:val="none"/>
          <w:shd w:val="clear" w:color="auto" w:fill="FFFFFF"/>
          <w:lang w:eastAsia="zh-CN"/>
        </w:rPr>
        <w:t>：</w:t>
      </w:r>
      <w:r>
        <w:rPr>
          <w:rFonts w:hint="eastAsia"/>
          <w:color w:val="000000"/>
          <w:u w:val="none"/>
          <w:shd w:val="clear" w:color="auto" w:fill="FFFFFF"/>
        </w:rPr>
        <w:t xml:space="preserve"> </w:t>
      </w:r>
      <w:r>
        <w:rPr>
          <w:rFonts w:hint="eastAsia" w:ascii="宋体" w:hAnsi="宋体" w:eastAsia="宋体" w:cs="宋体"/>
          <w:color w:val="auto"/>
          <w:kern w:val="2"/>
          <w:sz w:val="28"/>
          <w:szCs w:val="22"/>
          <w:highlight w:val="none"/>
          <w:u w:val="single"/>
          <w:lang w:val="zh-CN" w:eastAsia="zh-CN" w:bidi="ar-SA"/>
        </w:rPr>
        <w:t>　　　　　　</w:t>
      </w:r>
      <w:r>
        <w:rPr>
          <w:rFonts w:hint="eastAsia"/>
          <w:color w:val="000000"/>
          <w:u w:val="none"/>
          <w:shd w:val="clear" w:color="auto" w:fill="FFFFFF"/>
        </w:rPr>
        <w:t xml:space="preserve"> </w:t>
      </w:r>
      <w:r>
        <w:rPr>
          <w:rFonts w:hint="eastAsia"/>
          <w:color w:val="000000"/>
          <w:u w:val="single"/>
          <w:shd w:val="clear" w:color="auto" w:fill="FFFFFF"/>
        </w:rPr>
        <w:t xml:space="preserve">             </w:t>
      </w:r>
      <w:r>
        <w:rPr>
          <w:rFonts w:hint="eastAsia"/>
          <w:color w:val="000000"/>
          <w:u w:val="single"/>
          <w:shd w:val="clear" w:color="auto" w:fill="FFFFFF"/>
          <w:lang w:val="en-US" w:eastAsia="zh-CN"/>
        </w:rPr>
        <w:t xml:space="preserve"> </w:t>
      </w:r>
    </w:p>
    <w:p>
      <w:pPr>
        <w:pStyle w:val="281"/>
        <w:ind w:firstLine="480"/>
        <w:jc w:val="center"/>
        <w:rPr>
          <w:color w:val="000000"/>
          <w:shd w:val="clear" w:color="auto" w:fill="FFFFFF"/>
        </w:rPr>
      </w:pPr>
      <w:r>
        <w:rPr>
          <w:rFonts w:hint="eastAsia"/>
          <w:color w:val="000000"/>
          <w:shd w:val="clear" w:color="auto" w:fill="FFFFFF"/>
          <w:lang w:val="en-US" w:eastAsia="zh-CN"/>
        </w:rPr>
        <w:t xml:space="preserve">                                      </w:t>
      </w:r>
      <w:r>
        <w:rPr>
          <w:color w:val="000000"/>
          <w:shd w:val="clear" w:color="auto" w:fill="FFFFFF"/>
        </w:rPr>
        <w:t>日期：</w:t>
      </w:r>
      <w:r>
        <w:rPr>
          <w:color w:val="000000"/>
          <w:u w:val="single"/>
          <w:shd w:val="clear" w:color="auto" w:fill="FFFFFF"/>
        </w:rPr>
        <w:t xml:space="preserve">      </w:t>
      </w:r>
      <w:r>
        <w:rPr>
          <w:color w:val="000000"/>
          <w:shd w:val="clear" w:color="auto" w:fill="FFFFFF"/>
        </w:rPr>
        <w:t>年</w:t>
      </w:r>
      <w:r>
        <w:rPr>
          <w:color w:val="000000"/>
          <w:u w:val="single"/>
          <w:shd w:val="clear" w:color="auto" w:fill="FFFFFF"/>
        </w:rPr>
        <w:t xml:space="preserve">   </w:t>
      </w:r>
      <w:r>
        <w:rPr>
          <w:rFonts w:hint="eastAsia"/>
          <w:color w:val="000000"/>
          <w:u w:val="single"/>
          <w:shd w:val="clear" w:color="auto" w:fill="FFFFFF"/>
          <w:lang w:val="en-US" w:eastAsia="zh-CN"/>
        </w:rPr>
        <w:t xml:space="preserve">  </w:t>
      </w:r>
      <w:r>
        <w:rPr>
          <w:color w:val="000000"/>
          <w:shd w:val="clear" w:color="auto" w:fill="FFFFFF"/>
        </w:rPr>
        <w:t>月</w:t>
      </w:r>
      <w:r>
        <w:rPr>
          <w:color w:val="000000"/>
          <w:u w:val="single"/>
          <w:shd w:val="clear" w:color="auto" w:fill="FFFFFF"/>
        </w:rPr>
        <w:t xml:space="preserve">  </w:t>
      </w:r>
      <w:r>
        <w:rPr>
          <w:rFonts w:hint="eastAsia"/>
          <w:color w:val="000000"/>
          <w:u w:val="single"/>
          <w:shd w:val="clear" w:color="auto" w:fill="FFFFFF"/>
          <w:lang w:val="en-US" w:eastAsia="zh-CN"/>
        </w:rPr>
        <w:t xml:space="preserve">  </w:t>
      </w:r>
      <w:r>
        <w:rPr>
          <w:color w:val="000000"/>
          <w:u w:val="single"/>
          <w:shd w:val="clear" w:color="auto" w:fill="FFFFFF"/>
        </w:rPr>
        <w:t xml:space="preserve"> </w:t>
      </w:r>
      <w:r>
        <w:rPr>
          <w:color w:val="000000"/>
          <w:shd w:val="clear" w:color="auto" w:fill="FFFFFF"/>
        </w:rPr>
        <w:t>日</w:t>
      </w:r>
    </w:p>
    <w:p>
      <w:pPr>
        <w:spacing w:line="560" w:lineRule="exact"/>
        <w:jc w:val="center"/>
        <w:rPr>
          <w:rFonts w:hint="eastAsia"/>
          <w:color w:val="000000"/>
          <w:sz w:val="28"/>
          <w:szCs w:val="28"/>
          <w:shd w:val="clear" w:color="auto" w:fill="FFFFFF"/>
        </w:rPr>
      </w:pPr>
      <w:r>
        <w:rPr>
          <w:rFonts w:hint="eastAsia"/>
          <w:b/>
          <w:bCs/>
          <w:color w:val="000000"/>
          <w:sz w:val="28"/>
          <w:szCs w:val="28"/>
          <w:shd w:val="clear" w:color="auto" w:fill="FFFFFF"/>
        </w:rPr>
        <w:t>第四章技术、服务要求及其他要求</w:t>
      </w:r>
    </w:p>
    <w:p>
      <w:pPr>
        <w:spacing w:line="560" w:lineRule="exact"/>
        <w:rPr>
          <w:rFonts w:hint="eastAsia"/>
          <w:color w:val="000000"/>
          <w:sz w:val="28"/>
          <w:szCs w:val="28"/>
          <w:shd w:val="clear" w:color="auto" w:fill="FFFFFF"/>
        </w:rPr>
      </w:pPr>
      <w:r>
        <w:rPr>
          <w:rFonts w:hint="eastAsia"/>
          <w:b/>
          <w:bCs/>
          <w:iCs/>
          <w:color w:val="000000"/>
          <w:kern w:val="0"/>
          <w:sz w:val="28"/>
          <w:szCs w:val="28"/>
          <w:shd w:val="clear" w:color="auto" w:fill="FFFFFF"/>
        </w:rPr>
        <w:t>4.1技术、服务要求</w:t>
      </w:r>
    </w:p>
    <w:p>
      <w:pPr>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color w:val="000000"/>
          <w:sz w:val="28"/>
          <w:szCs w:val="28"/>
          <w:shd w:val="clear" w:color="auto" w:fill="FFFFFF"/>
        </w:rPr>
      </w:pPr>
      <w:r>
        <w:rPr>
          <w:rFonts w:hint="eastAsia"/>
          <w:b/>
          <w:bCs/>
          <w:color w:val="000000"/>
          <w:sz w:val="28"/>
          <w:szCs w:val="28"/>
          <w:shd w:val="clear" w:color="auto" w:fill="FFFFFF"/>
        </w:rPr>
        <w:t>4.1.1项目名称</w:t>
      </w:r>
    </w:p>
    <w:p>
      <w:pPr>
        <w:pStyle w:val="2"/>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color w:val="000000"/>
          <w:sz w:val="28"/>
          <w:szCs w:val="28"/>
          <w:shd w:val="clear" w:color="auto" w:fill="FFFFFF"/>
          <w:lang w:eastAsia="zh-CN"/>
        </w:rPr>
      </w:pPr>
      <w:r>
        <w:rPr>
          <w:rFonts w:hint="eastAsia"/>
          <w:color w:val="000000"/>
          <w:sz w:val="28"/>
          <w:szCs w:val="28"/>
          <w:shd w:val="clear" w:color="auto" w:fill="FFFFFF"/>
          <w:lang w:eastAsia="zh-CN"/>
        </w:rPr>
        <w:t>成都市温江区第二中学校机房及创客设备采购项目</w:t>
      </w:r>
    </w:p>
    <w:p>
      <w:pPr>
        <w:keepNext/>
        <w:keepLines/>
        <w:pageBreakBefore w:val="0"/>
        <w:widowControl w:val="0"/>
        <w:kinsoku/>
        <w:wordWrap/>
        <w:overflowPunct/>
        <w:topLinePunct w:val="0"/>
        <w:autoSpaceDE/>
        <w:autoSpaceDN/>
        <w:bidi w:val="0"/>
        <w:adjustRightInd/>
        <w:snapToGrid/>
        <w:spacing w:line="560" w:lineRule="exact"/>
        <w:ind w:firstLine="281" w:firstLineChars="100"/>
        <w:jc w:val="left"/>
        <w:textAlignment w:val="auto"/>
        <w:outlineLvl w:val="2"/>
        <w:rPr>
          <w:rFonts w:hint="eastAsia" w:ascii="宋体" w:hAnsi="宋体" w:cs="宋体"/>
          <w:b/>
          <w:bCs/>
          <w:color w:val="000000"/>
          <w:kern w:val="2"/>
          <w:sz w:val="28"/>
          <w:szCs w:val="28"/>
          <w:shd w:val="clear" w:color="auto" w:fill="FFFFFF"/>
        </w:rPr>
      </w:pPr>
      <w:bookmarkStart w:id="162" w:name="_Toc30952"/>
      <w:r>
        <w:rPr>
          <w:rFonts w:hint="eastAsia" w:ascii="宋体" w:hAnsi="宋体" w:cs="宋体"/>
          <w:b/>
          <w:bCs/>
          <w:color w:val="000000"/>
          <w:kern w:val="2"/>
          <w:sz w:val="28"/>
          <w:szCs w:val="28"/>
          <w:shd w:val="clear" w:color="auto" w:fill="FFFFFF"/>
        </w:rPr>
        <w:t>4.1.2技术参数及要求</w:t>
      </w:r>
      <w:bookmarkEnd w:id="162"/>
    </w:p>
    <w:p>
      <w:pPr>
        <w:keepNext/>
        <w:keepLines/>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2"/>
        <w:rPr>
          <w:rFonts w:hint="eastAsia" w:cs="宋体"/>
          <w:b/>
          <w:bCs/>
          <w:color w:val="000000"/>
          <w:kern w:val="2"/>
          <w:sz w:val="28"/>
          <w:szCs w:val="28"/>
          <w:shd w:val="clear" w:color="auto" w:fill="FFFFFF"/>
          <w:lang w:val="en-US" w:eastAsia="zh-CN"/>
        </w:rPr>
      </w:pPr>
      <w:bookmarkStart w:id="163" w:name="_Toc214"/>
      <w:r>
        <w:rPr>
          <w:rFonts w:hint="eastAsia" w:cs="宋体"/>
          <w:b/>
          <w:bCs/>
          <w:color w:val="000000"/>
          <w:kern w:val="2"/>
          <w:sz w:val="28"/>
          <w:szCs w:val="28"/>
          <w:shd w:val="clear" w:color="auto" w:fill="FFFFFF"/>
          <w:lang w:val="en-US" w:eastAsia="zh-CN"/>
        </w:rPr>
        <w:t>详见附件《成都市温江区第二中学校机房及创客设备采购项目技术方案》</w:t>
      </w:r>
      <w:bookmarkEnd w:id="163"/>
    </w:p>
    <w:p>
      <w:pPr>
        <w:keepNext/>
        <w:keepLines/>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color w:val="000000"/>
          <w:sz w:val="28"/>
          <w:szCs w:val="28"/>
          <w:shd w:val="clear" w:color="auto" w:fill="FFFFFF"/>
        </w:rPr>
      </w:pPr>
      <w:bookmarkStart w:id="164" w:name="_Toc2461"/>
      <w:r>
        <w:rPr>
          <w:rFonts w:hint="eastAsia"/>
          <w:b/>
          <w:bCs/>
          <w:color w:val="000000"/>
          <w:sz w:val="28"/>
          <w:szCs w:val="28"/>
          <w:shd w:val="clear" w:color="auto" w:fill="FFFFFF"/>
        </w:rPr>
        <w:t>4.2商务要求</w:t>
      </w:r>
      <w:bookmarkEnd w:id="164"/>
      <w:r>
        <w:rPr>
          <w:rFonts w:hint="eastAsia"/>
          <w:color w:val="000000"/>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4.2.1履约时间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sz w:val="28"/>
          <w:szCs w:val="28"/>
          <w:highlight w:val="none"/>
          <w:shd w:val="clear" w:color="auto" w:fill="FFFFFF"/>
          <w:lang w:val="en-US" w:eastAsia="zh-CN"/>
        </w:rPr>
      </w:pPr>
      <w:r>
        <w:rPr>
          <w:rFonts w:hint="eastAsia" w:ascii="宋体" w:hAnsi="宋体" w:eastAsia="宋体" w:cs="宋体"/>
          <w:b w:val="0"/>
          <w:bCs w:val="0"/>
          <w:color w:val="000000"/>
          <w:sz w:val="28"/>
          <w:szCs w:val="28"/>
          <w:highlight w:val="none"/>
          <w:shd w:val="clear" w:color="auto" w:fill="FFFFFF"/>
          <w:lang w:val="en-US" w:eastAsia="zh-CN"/>
        </w:rPr>
        <w:t>签订合同30个日历日内按采购人指定的方式送到学校，交付时附详细发货清单和签收单，并按照甲方要求安装、调试好设备，达到正常使用要求。</w:t>
      </w:r>
    </w:p>
    <w:p>
      <w:pPr>
        <w:pStyle w:val="207"/>
        <w:adjustRightInd w:val="0"/>
        <w:snapToGrid w:val="0"/>
        <w:spacing w:line="360" w:lineRule="auto"/>
        <w:ind w:firstLine="281" w:firstLineChars="100"/>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w:t>
      </w:r>
      <w:r>
        <w:rPr>
          <w:rFonts w:hint="eastAsia" w:ascii="宋体" w:hAnsi="宋体" w:eastAsia="宋体" w:cs="宋体"/>
          <w:b/>
          <w:bCs/>
          <w:color w:val="000000"/>
          <w:kern w:val="2"/>
          <w:sz w:val="28"/>
          <w:szCs w:val="28"/>
          <w:shd w:val="clear" w:color="auto" w:fill="FFFFFF"/>
          <w:lang w:val="en-US" w:eastAsia="zh-CN" w:bidi="ar-SA"/>
        </w:rPr>
        <w:t>4.2.2质量保证期</w:t>
      </w:r>
    </w:p>
    <w:p>
      <w:pPr>
        <w:spacing w:line="360" w:lineRule="auto"/>
        <w:ind w:firstLine="560" w:firstLineChars="200"/>
        <w:rPr>
          <w:rFonts w:hint="eastAsia" w:eastAsia="宋体"/>
          <w:b/>
          <w:bCs/>
          <w:sz w:val="22"/>
          <w:szCs w:val="24"/>
          <w:lang w:val="en-US" w:eastAsia="zh-CN"/>
        </w:rPr>
      </w:pPr>
      <w:r>
        <w:rPr>
          <w:rFonts w:hint="eastAsia" w:cs="宋体"/>
          <w:b w:val="0"/>
          <w:bCs w:val="0"/>
          <w:color w:val="000000"/>
          <w:kern w:val="2"/>
          <w:sz w:val="28"/>
          <w:szCs w:val="28"/>
          <w:shd w:val="clear" w:color="auto" w:fill="FFFFFF"/>
          <w:lang w:val="en-US" w:eastAsia="zh-CN"/>
        </w:rPr>
        <w:t>本项目的所有产品</w:t>
      </w:r>
      <w:r>
        <w:rPr>
          <w:rFonts w:hint="eastAsia" w:cs="宋体"/>
          <w:b/>
          <w:bCs/>
          <w:color w:val="000000"/>
          <w:kern w:val="2"/>
          <w:sz w:val="28"/>
          <w:szCs w:val="28"/>
          <w:shd w:val="clear" w:color="auto" w:fill="FFFFFF"/>
          <w:lang w:val="en-US" w:eastAsia="zh-CN"/>
        </w:rPr>
        <w:t>质保3年</w:t>
      </w:r>
      <w:r>
        <w:rPr>
          <w:rFonts w:hint="eastAsia" w:cs="宋体"/>
          <w:b w:val="0"/>
          <w:bCs w:val="0"/>
          <w:color w:val="000000"/>
          <w:kern w:val="2"/>
          <w:sz w:val="28"/>
          <w:szCs w:val="28"/>
          <w:shd w:val="clear" w:color="auto" w:fill="FFFFFF"/>
          <w:lang w:val="en-US" w:eastAsia="zh-CN"/>
        </w:rPr>
        <w:t>，质保期内因产品质量问题，提供7x24免费上门保修服务。需要提供服务含电话咨询服务、远程技术服务、现场技术支撑等。</w:t>
      </w:r>
      <w:r>
        <w:rPr>
          <w:rFonts w:hint="eastAsia" w:ascii="宋体" w:hAnsi="宋体" w:eastAsia="宋体" w:cs="宋体"/>
          <w:b/>
          <w:bCs/>
          <w:sz w:val="28"/>
          <w:szCs w:val="28"/>
        </w:rPr>
        <w:t>（说明：供应商应按磋商文件第3章 响应文件格式3.3.</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承诺函的格式及要求提供承诺函。）</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default"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w:t>
      </w:r>
      <w:r>
        <w:rPr>
          <w:rFonts w:hint="eastAsia" w:cs="宋体"/>
          <w:b/>
          <w:bCs/>
          <w:color w:val="000000"/>
          <w:sz w:val="28"/>
          <w:szCs w:val="28"/>
          <w:shd w:val="clear" w:color="auto" w:fill="FFFFFF"/>
          <w:lang w:val="en-US" w:eastAsia="zh-CN"/>
        </w:rPr>
        <w:t>3</w:t>
      </w:r>
      <w:r>
        <w:rPr>
          <w:rFonts w:hint="eastAsia" w:ascii="宋体" w:hAnsi="宋体" w:eastAsia="宋体" w:cs="宋体"/>
          <w:b/>
          <w:bCs/>
          <w:color w:val="000000"/>
          <w:sz w:val="28"/>
          <w:szCs w:val="28"/>
          <w:shd w:val="clear" w:color="auto" w:fill="FFFFFF"/>
          <w:lang w:val="en-US" w:eastAsia="zh-CN"/>
        </w:rPr>
        <w:t>履约验收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cs="宋体"/>
          <w:b/>
          <w:bCs/>
          <w:color w:val="000000"/>
          <w:kern w:val="2"/>
          <w:sz w:val="28"/>
          <w:szCs w:val="28"/>
          <w:shd w:val="clear" w:color="auto" w:fill="FFFFFF"/>
          <w:lang w:val="en-US" w:eastAsia="zh-CN"/>
        </w:rPr>
      </w:pPr>
      <w:r>
        <w:rPr>
          <w:rFonts w:hint="eastAsia" w:cs="宋体"/>
          <w:b w:val="0"/>
          <w:bCs w:val="0"/>
          <w:color w:val="000000"/>
          <w:kern w:val="2"/>
          <w:sz w:val="28"/>
          <w:szCs w:val="28"/>
          <w:shd w:val="clear" w:color="auto" w:fill="FFFFFF"/>
          <w:lang w:val="en-US" w:eastAsia="zh-CN"/>
        </w:rPr>
        <w:t>设备安装完成后，对使用方进行操作培训。学校初验，试运行正常，未发现任何问题，按照《四川省政府采购项目需求论证和履约验收管理办法》（川财采[2016]205号）进行最终验收。</w:t>
      </w:r>
      <w:r>
        <w:rPr>
          <w:rFonts w:hint="eastAsia" w:cs="宋体"/>
          <w:b/>
          <w:bCs/>
          <w:color w:val="000000"/>
          <w:kern w:val="2"/>
          <w:sz w:val="28"/>
          <w:szCs w:val="28"/>
          <w:shd w:val="clear" w:color="auto" w:fill="FFFFFF"/>
          <w:lang w:val="en-US" w:eastAsia="zh-CN"/>
        </w:rPr>
        <w:t>其余详见附件《成都市温江区第二中学校机房及创客设备采购项目技术方案》</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4.2.</w:t>
      </w:r>
      <w:r>
        <w:rPr>
          <w:rFonts w:hint="eastAsia" w:cs="宋体"/>
          <w:b/>
          <w:bCs/>
          <w:color w:val="000000"/>
          <w:sz w:val="28"/>
          <w:szCs w:val="28"/>
          <w:shd w:val="clear" w:color="auto" w:fill="FFFFFF"/>
          <w:lang w:val="en-US" w:eastAsia="zh-CN"/>
        </w:rPr>
        <w:t>4</w:t>
      </w:r>
      <w:r>
        <w:rPr>
          <w:rFonts w:hint="eastAsia" w:ascii="宋体" w:hAnsi="宋体" w:eastAsia="宋体" w:cs="宋体"/>
          <w:b/>
          <w:bCs/>
          <w:color w:val="000000"/>
          <w:sz w:val="28"/>
          <w:szCs w:val="28"/>
          <w:shd w:val="clear" w:color="auto" w:fill="FFFFFF"/>
          <w:lang w:val="en-US" w:eastAsia="zh-CN"/>
        </w:rPr>
        <w:t>合同价款支付方式和条件</w:t>
      </w:r>
    </w:p>
    <w:p>
      <w:pPr>
        <w:numPr>
          <w:ilvl w:val="0"/>
          <w:numId w:val="0"/>
        </w:numPr>
        <w:spacing w:line="360" w:lineRule="auto"/>
        <w:ind w:firstLine="560" w:firstLineChars="200"/>
        <w:rPr>
          <w:rFonts w:hint="eastAsia" w:ascii="宋体" w:hAnsi="宋体" w:eastAsia="宋体" w:cs="宋体"/>
          <w:b/>
          <w:bCs/>
          <w:color w:val="000000"/>
          <w:sz w:val="28"/>
          <w:szCs w:val="28"/>
          <w:shd w:val="clear" w:color="auto" w:fill="FFFFFF"/>
          <w:lang w:val="en-US" w:eastAsia="zh-CN"/>
        </w:rPr>
      </w:pPr>
      <w:r>
        <w:rPr>
          <w:rFonts w:hint="eastAsia"/>
          <w:b w:val="0"/>
          <w:bCs w:val="0"/>
          <w:color w:val="000000"/>
          <w:sz w:val="28"/>
          <w:szCs w:val="28"/>
          <w:shd w:val="clear" w:color="auto" w:fill="FFFFFF"/>
        </w:rPr>
        <w:t>合同价款含运输、送货、安装、调试、培训、售后服务等所有费用。合同签订后全部产品送货到校签收后，支付第一笔采购款（2021年支付40万元），验收合格后支付余款（2022年支付）。</w:t>
      </w:r>
      <w:r>
        <w:rPr>
          <w:rFonts w:hint="eastAsia"/>
          <w:b w:val="0"/>
          <w:bCs w:val="0"/>
          <w:color w:val="000000"/>
          <w:sz w:val="28"/>
          <w:szCs w:val="28"/>
          <w:shd w:val="clear" w:color="auto" w:fill="FFFFFF"/>
          <w:lang w:val="en-US" w:eastAsia="zh-CN"/>
        </w:rPr>
        <w:t>成交供应商应在合同签订并生效之日起10个工作日内，以支票、汇票、本票或者金融机构出具的保函等非现金形式向采购人交纳规定金额的履约保证金。履约保证金在质保期满后，</w:t>
      </w:r>
      <w:r>
        <w:rPr>
          <w:rFonts w:hint="eastAsia"/>
          <w:b w:val="0"/>
          <w:bCs w:val="0"/>
          <w:color w:val="000000"/>
          <w:sz w:val="28"/>
          <w:szCs w:val="28"/>
          <w:shd w:val="clear" w:color="auto" w:fill="FFFFFF"/>
        </w:rPr>
        <w:t>采购人根据供应商的书面申请在30个日历日内予以原渠道无息退还。</w:t>
      </w: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4.</w:t>
      </w:r>
      <w:r>
        <w:rPr>
          <w:rFonts w:hint="eastAsia" w:cs="宋体"/>
          <w:b/>
          <w:bCs/>
          <w:color w:val="000000"/>
          <w:sz w:val="28"/>
          <w:szCs w:val="28"/>
          <w:shd w:val="clear" w:color="auto" w:fill="FFFFFF"/>
          <w:lang w:val="en-US" w:eastAsia="zh-CN"/>
        </w:rPr>
        <w:t>2</w:t>
      </w:r>
      <w:r>
        <w:rPr>
          <w:rFonts w:hint="eastAsia" w:ascii="宋体" w:hAnsi="宋体" w:eastAsia="宋体" w:cs="宋体"/>
          <w:b/>
          <w:bCs/>
          <w:color w:val="000000"/>
          <w:sz w:val="28"/>
          <w:szCs w:val="28"/>
          <w:shd w:val="clear" w:color="auto" w:fill="FFFFFF"/>
          <w:lang w:val="en-US" w:eastAsia="zh-CN"/>
        </w:rPr>
        <w:t>.</w:t>
      </w:r>
      <w:r>
        <w:rPr>
          <w:rFonts w:hint="eastAsia" w:cs="宋体"/>
          <w:b/>
          <w:bCs/>
          <w:color w:val="000000"/>
          <w:sz w:val="28"/>
          <w:szCs w:val="28"/>
          <w:shd w:val="clear" w:color="auto" w:fill="FFFFFF"/>
          <w:lang w:val="en-US" w:eastAsia="zh-CN"/>
        </w:rPr>
        <w:t>5</w:t>
      </w:r>
      <w:r>
        <w:rPr>
          <w:rFonts w:hint="eastAsia" w:ascii="宋体" w:hAnsi="宋体" w:eastAsia="宋体" w:cs="宋体"/>
          <w:b/>
          <w:bCs/>
          <w:color w:val="000000"/>
          <w:sz w:val="28"/>
          <w:szCs w:val="28"/>
          <w:shd w:val="clear" w:color="auto" w:fill="FFFFFF"/>
          <w:lang w:val="en-US" w:eastAsia="zh-CN"/>
        </w:rPr>
        <w:t>其他商务要求</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b w:val="0"/>
          <w:bCs w:val="0"/>
          <w:color w:val="000000"/>
          <w:sz w:val="28"/>
          <w:szCs w:val="28"/>
          <w:shd w:val="clear" w:color="auto" w:fill="FFFFFF"/>
        </w:rPr>
      </w:pPr>
      <w:r>
        <w:rPr>
          <w:rFonts w:hint="eastAsia"/>
          <w:b w:val="0"/>
          <w:bCs w:val="0"/>
          <w:color w:val="000000"/>
          <w:sz w:val="28"/>
          <w:szCs w:val="28"/>
          <w:shd w:val="clear" w:color="auto" w:fill="FFFFFF"/>
        </w:rPr>
        <w:t>（一）包装、运输及保管、保险：若遇货物包装、运输过程中造成的短缺、差错、丢失、损坏等，无条件调换、补缺。</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b w:val="0"/>
          <w:bCs w:val="0"/>
          <w:color w:val="000000"/>
          <w:sz w:val="28"/>
          <w:szCs w:val="28"/>
          <w:shd w:val="clear" w:color="auto" w:fill="FFFFFF"/>
        </w:rPr>
      </w:pPr>
      <w:r>
        <w:rPr>
          <w:rFonts w:hint="eastAsia"/>
          <w:b w:val="0"/>
          <w:bCs w:val="0"/>
          <w:color w:val="000000"/>
          <w:sz w:val="28"/>
          <w:szCs w:val="28"/>
          <w:shd w:val="clear" w:color="auto" w:fill="FFFFFF"/>
        </w:rPr>
        <w:t>（二）质量保证与安装调试：在规定时间内将货物送到指定地点，与使用方一起对全部设备的品牌、规格、型号、参数、数量等进行确认，按照要求进行安装调试后，设备正常使用。</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b w:val="0"/>
          <w:bCs w:val="0"/>
          <w:color w:val="000000"/>
          <w:sz w:val="28"/>
          <w:szCs w:val="28"/>
          <w:shd w:val="clear" w:color="auto" w:fill="FFFFFF"/>
          <w:lang w:eastAsia="zh-CN"/>
        </w:rPr>
      </w:pPr>
      <w:r>
        <w:rPr>
          <w:rFonts w:hint="eastAsia"/>
          <w:b w:val="0"/>
          <w:bCs w:val="0"/>
          <w:color w:val="000000"/>
          <w:sz w:val="28"/>
          <w:szCs w:val="28"/>
          <w:shd w:val="clear" w:color="auto" w:fill="FFFFFF"/>
        </w:rPr>
        <w:t>（三）与采购标的有关的服务要求，包括但不限于售后服务、技术服务（含培训）等</w:t>
      </w:r>
      <w:r>
        <w:rPr>
          <w:rFonts w:hint="eastAsia"/>
          <w:b w:val="0"/>
          <w:bCs w:val="0"/>
          <w:color w:val="000000"/>
          <w:sz w:val="28"/>
          <w:szCs w:val="28"/>
          <w:shd w:val="clear" w:color="auto" w:fill="FFFFFF"/>
          <w:lang w:eastAsia="zh-CN"/>
        </w:rPr>
        <w:t>。</w:t>
      </w:r>
    </w:p>
    <w:p>
      <w:pPr>
        <w:keepNext/>
        <w:keepLines/>
        <w:pageBreakBefore w:val="0"/>
        <w:widowControl w:val="0"/>
        <w:kinsoku/>
        <w:wordWrap/>
        <w:overflowPunct/>
        <w:topLinePunct w:val="0"/>
        <w:autoSpaceDE/>
        <w:autoSpaceDN/>
        <w:bidi w:val="0"/>
        <w:adjustRightInd/>
        <w:snapToGrid/>
        <w:spacing w:line="560" w:lineRule="exact"/>
        <w:ind w:firstLine="562" w:firstLineChars="200"/>
        <w:jc w:val="left"/>
        <w:textAlignment w:val="auto"/>
        <w:outlineLvl w:val="2"/>
        <w:rPr>
          <w:rFonts w:hint="default"/>
          <w:lang w:val="en-US" w:eastAsia="zh-CN"/>
        </w:rPr>
      </w:pPr>
      <w:r>
        <w:rPr>
          <w:rFonts w:hint="eastAsia" w:cs="宋体"/>
          <w:b/>
          <w:bCs/>
          <w:color w:val="000000"/>
          <w:kern w:val="2"/>
          <w:sz w:val="28"/>
          <w:szCs w:val="28"/>
          <w:shd w:val="clear" w:color="auto" w:fill="FFFFFF"/>
          <w:lang w:val="en-US" w:eastAsia="zh-CN"/>
        </w:rPr>
        <w:t>详见附件《成都市温江区第二中学校机房及创客设备采购项目技术方案》</w:t>
      </w:r>
    </w:p>
    <w:p>
      <w:pPr>
        <w:keepNext/>
        <w:keepLines/>
        <w:spacing w:line="560" w:lineRule="exact"/>
        <w:jc w:val="left"/>
        <w:outlineLvl w:val="2"/>
        <w:rPr>
          <w:rFonts w:hint="eastAsia"/>
          <w:b/>
          <w:bCs/>
          <w:color w:val="000000"/>
          <w:sz w:val="28"/>
          <w:szCs w:val="28"/>
          <w:shd w:val="clear" w:color="auto" w:fill="FFFFFF"/>
        </w:rPr>
      </w:pPr>
      <w:bookmarkStart w:id="165" w:name="_Toc14532"/>
      <w:r>
        <w:rPr>
          <w:rFonts w:hint="eastAsia"/>
          <w:b/>
          <w:bCs/>
          <w:color w:val="000000"/>
          <w:sz w:val="28"/>
          <w:szCs w:val="28"/>
          <w:shd w:val="clear" w:color="auto" w:fill="FFFFFF"/>
        </w:rPr>
        <w:t>4.3最高限价</w:t>
      </w:r>
      <w:bookmarkEnd w:id="165"/>
    </w:p>
    <w:p>
      <w:pPr>
        <w:spacing w:line="560" w:lineRule="exact"/>
        <w:ind w:firstLine="281" w:firstLineChars="100"/>
        <w:rPr>
          <w:rFonts w:hint="eastAsia"/>
          <w:b/>
          <w:color w:val="000000"/>
          <w:kern w:val="10"/>
          <w:sz w:val="28"/>
          <w:szCs w:val="28"/>
          <w:shd w:val="clear" w:color="auto" w:fill="FFFFFF"/>
        </w:rPr>
      </w:pPr>
      <w:r>
        <w:rPr>
          <w:rFonts w:hint="eastAsia"/>
          <w:b/>
          <w:color w:val="000000"/>
          <w:kern w:val="10"/>
          <w:sz w:val="28"/>
          <w:szCs w:val="28"/>
          <w:shd w:val="clear" w:color="auto" w:fill="FFFFFF"/>
        </w:rPr>
        <w:t>★本项目最高限价为人民币</w:t>
      </w:r>
      <w:r>
        <w:rPr>
          <w:rFonts w:hint="eastAsia"/>
          <w:b/>
          <w:color w:val="000000"/>
          <w:kern w:val="10"/>
          <w:sz w:val="28"/>
          <w:szCs w:val="28"/>
          <w:shd w:val="clear" w:color="auto" w:fill="FFFFFF"/>
          <w:lang w:eastAsia="zh-CN"/>
        </w:rPr>
        <w:t>976500元</w:t>
      </w:r>
      <w:r>
        <w:rPr>
          <w:rFonts w:hint="eastAsia"/>
          <w:b/>
          <w:color w:val="000000"/>
          <w:kern w:val="10"/>
          <w:sz w:val="28"/>
          <w:szCs w:val="28"/>
          <w:shd w:val="clear" w:color="auto" w:fill="FFFFFF"/>
        </w:rPr>
        <w:t>，供应商最后报价高于最高限价的则其响应文件将按无效响应文件处理。</w:t>
      </w:r>
    </w:p>
    <w:p>
      <w:pPr>
        <w:keepNext/>
        <w:keepLines/>
        <w:tabs>
          <w:tab w:val="left" w:pos="426"/>
          <w:tab w:val="left" w:pos="567"/>
        </w:tabs>
        <w:spacing w:line="560" w:lineRule="exact"/>
        <w:jc w:val="left"/>
        <w:outlineLvl w:val="1"/>
        <w:rPr>
          <w:rFonts w:hint="eastAsia"/>
          <w:b/>
          <w:bCs/>
          <w:iCs/>
          <w:color w:val="000000"/>
          <w:kern w:val="0"/>
          <w:sz w:val="28"/>
          <w:szCs w:val="28"/>
          <w:shd w:val="clear" w:color="auto" w:fill="FFFFFF"/>
        </w:rPr>
      </w:pPr>
      <w:bookmarkStart w:id="166" w:name="_Toc3399"/>
      <w:r>
        <w:rPr>
          <w:rFonts w:hint="eastAsia"/>
          <w:b/>
          <w:bCs/>
          <w:iCs/>
          <w:color w:val="000000"/>
          <w:kern w:val="0"/>
          <w:sz w:val="28"/>
          <w:szCs w:val="28"/>
          <w:shd w:val="clear" w:color="auto" w:fill="FFFFFF"/>
        </w:rPr>
        <w:t>4.4其他要求</w:t>
      </w:r>
      <w:bookmarkEnd w:id="166"/>
    </w:p>
    <w:p>
      <w:pPr>
        <w:spacing w:line="560" w:lineRule="exact"/>
        <w:ind w:firstLine="281" w:firstLineChars="100"/>
        <w:rPr>
          <w:rFonts w:hint="eastAsia"/>
          <w:color w:val="000000"/>
          <w:sz w:val="28"/>
          <w:szCs w:val="28"/>
          <w:shd w:val="clear" w:color="auto" w:fill="FFFFFF"/>
        </w:rPr>
      </w:pPr>
      <w:r>
        <w:rPr>
          <w:rFonts w:hint="eastAsia"/>
          <w:b/>
          <w:bCs/>
          <w:iCs/>
          <w:color w:val="000000"/>
          <w:kern w:val="0"/>
          <w:sz w:val="28"/>
          <w:szCs w:val="28"/>
          <w:shd w:val="clear" w:color="auto" w:fill="FFFFFF"/>
        </w:rPr>
        <w:t>★</w:t>
      </w:r>
      <w:r>
        <w:rPr>
          <w:rFonts w:hint="eastAsia"/>
          <w:color w:val="000000"/>
          <w:sz w:val="28"/>
          <w:szCs w:val="28"/>
          <w:shd w:val="clear" w:color="auto" w:fill="FFFFFF"/>
        </w:rPr>
        <w:t>一、 在评标过程中，磋商小组认为供应商投标报价明显低于其他通过符合性审查供应商的投标报价，有可能影响产品质量或者不能诚信履约的，磋商小组应当要求其在评标现场合理的时间内提供书面说明，必要时提交相关证明材料。供应商提交的书面说明、相关证明材料（如涉及），应当加盖供应商（法定名称）电子签章，在磋商小组要求的时间内通过云平台进行递交，否则无效。如因断电、断网、系统故障或其他不可抗力等因素，导致系统无法使用的，由供应商按磋商小组的要求进行澄清或者说明。供应商能证明其投标报价合理性的，磋商小组应当将其</w:t>
      </w:r>
      <w:r>
        <w:rPr>
          <w:rFonts w:hint="eastAsia"/>
          <w:color w:val="000000"/>
          <w:sz w:val="28"/>
          <w:szCs w:val="28"/>
          <w:shd w:val="clear" w:color="auto" w:fill="FFFFFF"/>
          <w:lang w:eastAsia="zh-CN"/>
        </w:rPr>
        <w:t>响应文件</w:t>
      </w:r>
      <w:r>
        <w:rPr>
          <w:rFonts w:hint="eastAsia"/>
          <w:color w:val="000000"/>
          <w:sz w:val="28"/>
          <w:szCs w:val="28"/>
          <w:shd w:val="clear" w:color="auto" w:fill="FFFFFF"/>
        </w:rPr>
        <w:t>作为无效处。</w:t>
      </w:r>
    </w:p>
    <w:p>
      <w:pPr>
        <w:widowControl/>
        <w:spacing w:line="560" w:lineRule="exact"/>
        <w:ind w:firstLine="280" w:firstLineChars="100"/>
        <w:jc w:val="left"/>
        <w:rPr>
          <w:rStyle w:val="134"/>
          <w:rFonts w:hint="eastAsia"/>
          <w:bCs/>
          <w:color w:val="000000"/>
          <w:sz w:val="28"/>
          <w:szCs w:val="28"/>
          <w:shd w:val="clear" w:color="auto" w:fill="FFFFFF"/>
        </w:rPr>
      </w:pPr>
      <w:r>
        <w:rPr>
          <w:rStyle w:val="134"/>
          <w:rFonts w:hint="eastAsia"/>
          <w:bCs/>
          <w:color w:val="000000"/>
          <w:sz w:val="28"/>
          <w:szCs w:val="28"/>
          <w:shd w:val="clear" w:color="auto" w:fill="FFFFFF"/>
        </w:rPr>
        <w:t>★二、供应商为本项目提供的所有产品、辅材中属于《国家强制性产品认证目录》范围内产品的，均通过国家强制性产品认证并取得认证证书。</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Style w:val="134"/>
          <w:rFonts w:hint="eastAsia"/>
          <w:b/>
          <w:color w:val="000000"/>
          <w:sz w:val="28"/>
          <w:szCs w:val="28"/>
          <w:shd w:val="clear" w:color="auto" w:fill="FFFFFF"/>
        </w:rPr>
      </w:pPr>
      <w:r>
        <w:rPr>
          <w:rStyle w:val="134"/>
          <w:rFonts w:hint="eastAsia"/>
          <w:bCs/>
          <w:color w:val="000000"/>
          <w:sz w:val="28"/>
          <w:szCs w:val="28"/>
          <w:shd w:val="clear" w:color="auto" w:fill="FFFFFF"/>
        </w:rPr>
        <w:t>★三、供应商为本项目提供的所有产品、辅材符合现行的强制性国家相关标准、行业标准。</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Fonts w:hint="eastAsia"/>
        </w:rPr>
      </w:pPr>
      <w:r>
        <w:rPr>
          <w:rStyle w:val="134"/>
          <w:rFonts w:hint="eastAsia"/>
          <w:bCs/>
          <w:color w:val="000000"/>
          <w:sz w:val="28"/>
          <w:szCs w:val="28"/>
          <w:shd w:val="clear" w:color="auto" w:fill="FFFFFF"/>
        </w:rPr>
        <w:t>★四、供应商为本项目提供的所有产品中属于节能产品政府采购品目清单中的政府强制采购产品的，均应具有国家确定的认证机构出具的有效期内的节能产品认证证书。</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spacing w:line="560" w:lineRule="exact"/>
        <w:ind w:firstLine="280" w:firstLineChars="100"/>
        <w:rPr>
          <w:rStyle w:val="134"/>
          <w:rFonts w:hint="eastAsia" w:asciiTheme="minorHAnsi" w:hAnsiTheme="minorHAnsi" w:eastAsiaTheme="minorEastAsia" w:cstheme="minorBidi"/>
          <w:bCs/>
          <w:color w:val="000000"/>
          <w:sz w:val="28"/>
          <w:szCs w:val="28"/>
          <w:shd w:val="clear" w:color="auto" w:fill="FFFFFF"/>
          <w:lang w:val="en-US" w:eastAsia="zh-CN"/>
        </w:rPr>
      </w:pPr>
      <w:r>
        <w:rPr>
          <w:rStyle w:val="134"/>
          <w:rFonts w:hint="eastAsia"/>
          <w:bCs/>
          <w:color w:val="000000"/>
          <w:sz w:val="28"/>
          <w:szCs w:val="28"/>
          <w:shd w:val="clear" w:color="auto" w:fill="FFFFFF"/>
        </w:rPr>
        <w:t>★</w:t>
      </w:r>
      <w:r>
        <w:rPr>
          <w:rStyle w:val="134"/>
          <w:rFonts w:hint="eastAsia" w:asciiTheme="minorHAnsi" w:hAnsiTheme="minorHAnsi" w:eastAsiaTheme="minorEastAsia" w:cstheme="minorBidi"/>
          <w:bCs/>
          <w:color w:val="000000"/>
          <w:sz w:val="28"/>
          <w:szCs w:val="28"/>
          <w:shd w:val="clear" w:color="auto" w:fill="FFFFFF"/>
          <w:lang w:val="en-US" w:eastAsia="zh-CN"/>
        </w:rPr>
        <w:t>五、</w:t>
      </w:r>
      <w:r>
        <w:rPr>
          <w:rFonts w:hint="eastAsia" w:ascii="宋体" w:hAnsi="宋体" w:eastAsia="宋体" w:cs="Times New Roman"/>
          <w:bCs/>
          <w:color w:val="000000"/>
          <w:sz w:val="28"/>
          <w:szCs w:val="28"/>
          <w:shd w:val="clear" w:color="auto" w:fill="FFFFFF"/>
          <w:lang w:val="zh-CN"/>
        </w:rPr>
        <w:t>为本项目提供的所有产品中属于3C认证产品的，均具有3C产品认证证书，并在中标后签订合同之前提供证书复印件加盖公章。</w:t>
      </w:r>
      <w:r>
        <w:rPr>
          <w:rStyle w:val="134"/>
          <w:rFonts w:hint="eastAsia"/>
          <w:b/>
          <w:color w:val="000000"/>
          <w:sz w:val="28"/>
          <w:szCs w:val="28"/>
          <w:shd w:val="clear" w:color="auto" w:fill="FFFFFF"/>
        </w:rPr>
        <w:t>（说明：供应商应按磋商文件第3章 响应文件格式3.3.</w:t>
      </w:r>
      <w:r>
        <w:rPr>
          <w:rStyle w:val="134"/>
          <w:rFonts w:hint="eastAsia"/>
          <w:b/>
          <w:color w:val="000000"/>
          <w:sz w:val="28"/>
          <w:szCs w:val="28"/>
          <w:shd w:val="clear" w:color="auto" w:fill="FFFFFF"/>
          <w:lang w:val="en-US" w:eastAsia="zh-CN"/>
        </w:rPr>
        <w:t>9</w:t>
      </w:r>
      <w:r>
        <w:rPr>
          <w:rStyle w:val="134"/>
          <w:rFonts w:hint="eastAsia"/>
          <w:b/>
          <w:color w:val="000000"/>
          <w:sz w:val="28"/>
          <w:szCs w:val="28"/>
          <w:shd w:val="clear" w:color="auto" w:fill="FFFFFF"/>
        </w:rPr>
        <w:t>承诺函的格式及要求提供承诺函。）</w:t>
      </w:r>
    </w:p>
    <w:p>
      <w:pPr>
        <w:pStyle w:val="236"/>
        <w:numPr>
          <w:numId w:val="0"/>
        </w:numPr>
        <w:spacing w:line="560" w:lineRule="exact"/>
        <w:ind w:firstLine="480" w:firstLineChars="200"/>
        <w:jc w:val="both"/>
        <w:rPr>
          <w:rFonts w:hint="eastAsia"/>
          <w:szCs w:val="21"/>
          <w:lang w:eastAsia="zh-CN"/>
        </w:rPr>
      </w:pPr>
      <w:r>
        <w:rPr>
          <w:rFonts w:hint="eastAsia"/>
          <w:lang w:val="en-US" w:eastAsia="zh-CN"/>
        </w:rPr>
        <w:t>六、</w:t>
      </w:r>
      <w:r>
        <w:rPr>
          <w:rFonts w:hint="eastAsia"/>
        </w:rPr>
        <w:t>供应商针对本项目的项目实施方案进行评分</w:t>
      </w:r>
      <w:r>
        <w:rPr>
          <w:rFonts w:hint="eastAsia"/>
          <w:lang w:eastAsia="zh-CN"/>
        </w:rPr>
        <w:t>：</w:t>
      </w:r>
      <w:r>
        <w:rPr>
          <w:rFonts w:hint="eastAsia"/>
        </w:rPr>
        <w:t>方案中包括</w:t>
      </w:r>
      <w:r>
        <w:rPr>
          <w:rFonts w:hint="eastAsia"/>
          <w:szCs w:val="21"/>
          <w:lang w:val="en-US" w:eastAsia="zh-CN"/>
        </w:rPr>
        <w:t>①</w:t>
      </w:r>
      <w:r>
        <w:rPr>
          <w:rFonts w:hint="eastAsia"/>
          <w:szCs w:val="21"/>
        </w:rPr>
        <w:t>进度计划、</w:t>
      </w:r>
      <w:r>
        <w:rPr>
          <w:rFonts w:hint="eastAsia"/>
          <w:szCs w:val="21"/>
          <w:lang w:val="en-US" w:eastAsia="zh-CN"/>
        </w:rPr>
        <w:t>②</w:t>
      </w:r>
      <w:r>
        <w:rPr>
          <w:rFonts w:hint="eastAsia"/>
          <w:szCs w:val="21"/>
        </w:rPr>
        <w:t>人员安排、</w:t>
      </w:r>
      <w:r>
        <w:rPr>
          <w:rFonts w:hint="eastAsia"/>
          <w:szCs w:val="21"/>
          <w:lang w:val="en-US" w:eastAsia="zh-CN"/>
        </w:rPr>
        <w:t>③</w:t>
      </w:r>
      <w:r>
        <w:rPr>
          <w:rFonts w:hint="eastAsia"/>
          <w:szCs w:val="21"/>
        </w:rPr>
        <w:t>质量保证措施、</w:t>
      </w:r>
      <w:r>
        <w:rPr>
          <w:rFonts w:hint="eastAsia"/>
          <w:szCs w:val="21"/>
          <w:lang w:val="en-US" w:eastAsia="zh-CN"/>
        </w:rPr>
        <w:t>④</w:t>
      </w:r>
      <w:r>
        <w:rPr>
          <w:rFonts w:hint="eastAsia"/>
          <w:szCs w:val="21"/>
        </w:rPr>
        <w:t>验收方案</w:t>
      </w:r>
      <w:r>
        <w:rPr>
          <w:rFonts w:hint="eastAsia"/>
          <w:szCs w:val="21"/>
          <w:lang w:eastAsia="zh-CN"/>
        </w:rPr>
        <w:t>。</w:t>
      </w:r>
    </w:p>
    <w:p>
      <w:pPr>
        <w:spacing w:line="560" w:lineRule="exact"/>
        <w:ind w:firstLine="480" w:firstLineChars="200"/>
        <w:rPr>
          <w:rFonts w:hint="eastAsia" w:ascii="宋体" w:hAnsi="宋体" w:eastAsia="宋体" w:cs="宋体"/>
          <w:kern w:val="2"/>
          <w:sz w:val="24"/>
          <w:szCs w:val="28"/>
          <w:lang w:val="zh-CN" w:eastAsia="zh-CN" w:bidi="ar-SA"/>
        </w:rPr>
      </w:pPr>
      <w:r>
        <w:rPr>
          <w:rFonts w:hint="eastAsia" w:ascii="宋体" w:hAnsi="宋体" w:eastAsia="宋体" w:cs="宋体"/>
          <w:kern w:val="2"/>
          <w:sz w:val="24"/>
          <w:szCs w:val="28"/>
          <w:lang w:val="en-US" w:eastAsia="zh-CN" w:bidi="ar-SA"/>
        </w:rPr>
        <w:t>七、</w:t>
      </w:r>
      <w:r>
        <w:rPr>
          <w:rFonts w:hint="eastAsia" w:ascii="宋体" w:hAnsi="宋体" w:eastAsia="宋体" w:cs="宋体"/>
          <w:kern w:val="2"/>
          <w:sz w:val="24"/>
          <w:szCs w:val="28"/>
          <w:lang w:val="zh-CN" w:eastAsia="zh-CN" w:bidi="ar-SA"/>
        </w:rPr>
        <w:t>供应商所投学生计算机生产厂商通过国家信息安全服务资质认证。</w:t>
      </w:r>
    </w:p>
    <w:p>
      <w:pPr>
        <w:spacing w:line="560" w:lineRule="exact"/>
        <w:ind w:firstLine="480" w:firstLineChars="200"/>
        <w:rPr>
          <w:rFonts w:hint="eastAsia" w:ascii="宋体" w:hAnsi="宋体" w:eastAsia="宋体" w:cs="宋体"/>
          <w:kern w:val="2"/>
          <w:sz w:val="24"/>
          <w:szCs w:val="28"/>
          <w:lang w:val="zh-CN" w:eastAsia="zh-CN" w:bidi="ar-SA"/>
        </w:rPr>
      </w:pPr>
      <w:r>
        <w:rPr>
          <w:rFonts w:hint="eastAsia" w:ascii="宋体" w:hAnsi="宋体" w:eastAsia="宋体" w:cs="宋体"/>
          <w:kern w:val="2"/>
          <w:sz w:val="24"/>
          <w:szCs w:val="28"/>
          <w:lang w:val="en-US" w:eastAsia="zh-CN" w:bidi="ar-SA"/>
        </w:rPr>
        <w:t>八、</w:t>
      </w:r>
      <w:r>
        <w:rPr>
          <w:rFonts w:hint="eastAsia" w:ascii="宋体" w:hAnsi="宋体" w:eastAsia="宋体" w:cs="宋体"/>
          <w:kern w:val="2"/>
          <w:sz w:val="24"/>
          <w:szCs w:val="28"/>
          <w:lang w:val="zh-CN" w:eastAsia="zh-CN" w:bidi="ar-SA"/>
        </w:rPr>
        <w:t>供应商所投智慧创客学习软件具有作业批改系统、智能测评系统、教材研发系统、官网自定义系统</w:t>
      </w:r>
      <w:r>
        <w:rPr>
          <w:rFonts w:hint="eastAsia" w:ascii="宋体" w:hAnsi="宋体" w:eastAsia="宋体" w:cs="宋体"/>
          <w:kern w:val="2"/>
          <w:sz w:val="24"/>
          <w:szCs w:val="28"/>
          <w:lang w:val="en-US" w:eastAsia="zh-CN" w:bidi="ar-SA"/>
        </w:rPr>
        <w:t>功能</w:t>
      </w:r>
      <w:r>
        <w:rPr>
          <w:rFonts w:hint="eastAsia" w:ascii="宋体" w:hAnsi="宋体" w:eastAsia="宋体" w:cs="宋体"/>
          <w:kern w:val="2"/>
          <w:sz w:val="24"/>
          <w:szCs w:val="28"/>
          <w:lang w:val="zh-CN" w:eastAsia="zh-CN" w:bidi="ar-SA"/>
        </w:rPr>
        <w:t>相关计算机软件著作权登记证书。</w:t>
      </w:r>
    </w:p>
    <w:p>
      <w:pPr>
        <w:pStyle w:val="2"/>
        <w:rPr>
          <w:rFonts w:hint="default"/>
          <w:lang w:val="en-US" w:eastAsia="zh-CN"/>
        </w:rPr>
      </w:pPr>
      <w:r>
        <w:rPr>
          <w:rFonts w:hint="eastAsia" w:ascii="宋体" w:hAnsi="宋体" w:eastAsia="宋体" w:cs="宋体"/>
          <w:kern w:val="2"/>
          <w:sz w:val="24"/>
          <w:szCs w:val="28"/>
          <w:lang w:val="en-US" w:eastAsia="zh-CN" w:bidi="ar-SA"/>
        </w:rPr>
        <w:t xml:space="preserve">    九、</w:t>
      </w:r>
      <w:r>
        <w:rPr>
          <w:rFonts w:hint="eastAsia" w:ascii="宋体" w:hAnsi="宋体" w:eastAsia="宋体" w:cs="宋体"/>
          <w:kern w:val="2"/>
          <w:sz w:val="24"/>
          <w:szCs w:val="28"/>
          <w:lang w:val="en-US" w:eastAsia="zh-CN" w:bidi="ar-SA"/>
        </w:rPr>
        <w:t>供应商所投教学软件生产厂商软件能力成熟度达到CMMI 5级及以下认证。</w:t>
      </w:r>
    </w:p>
    <w:p>
      <w:pPr>
        <w:pStyle w:val="236"/>
        <w:numPr>
          <w:ilvl w:val="0"/>
          <w:numId w:val="0"/>
        </w:numPr>
        <w:spacing w:line="560" w:lineRule="exact"/>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十、所投3D打印（教师机）产品配套软件取得计算机软件著作权登记证书。</w:t>
      </w:r>
    </w:p>
    <w:p>
      <w:pPr>
        <w:pStyle w:val="236"/>
        <w:numPr>
          <w:ilvl w:val="0"/>
          <w:numId w:val="0"/>
        </w:numPr>
        <w:spacing w:line="560" w:lineRule="exact"/>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十一、根据供应商提供的售后服务方案进行评分；包括①本地化服务（承诺具有或中标后提供）、②故障处理方案、③解决故障承诺时间、④人员培训方案等。</w:t>
      </w:r>
    </w:p>
    <w:p>
      <w:pPr>
        <w:pStyle w:val="236"/>
        <w:numPr>
          <w:ilvl w:val="0"/>
          <w:numId w:val="0"/>
        </w:numPr>
        <w:spacing w:line="560" w:lineRule="exact"/>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十二、</w:t>
      </w:r>
      <w:r>
        <w:rPr>
          <w:rFonts w:hint="eastAsia" w:ascii="宋体" w:hAnsi="宋体" w:eastAsia="宋体" w:cs="宋体"/>
        </w:rPr>
        <w:t>供应商</w:t>
      </w:r>
      <w:r>
        <w:rPr>
          <w:rFonts w:hint="eastAsia" w:ascii="宋体" w:hAnsi="宋体" w:eastAsia="宋体" w:cs="宋体"/>
          <w:lang w:val="en-US" w:eastAsia="zh-CN"/>
        </w:rPr>
        <w:t>承诺中标后签订合同前，向采购人提供本项目</w:t>
      </w:r>
      <w:r>
        <w:rPr>
          <w:rFonts w:hint="eastAsia" w:ascii="宋体" w:hAnsi="宋体" w:eastAsia="宋体" w:cs="宋体"/>
        </w:rPr>
        <w:t>主要设备（教学软件、学生计算机、智慧创客学习软件）</w:t>
      </w:r>
      <w:r>
        <w:rPr>
          <w:rFonts w:hint="eastAsia" w:ascii="宋体" w:hAnsi="宋体" w:eastAsia="宋体" w:cs="宋体"/>
          <w:lang w:val="en-US" w:eastAsia="zh-CN"/>
        </w:rPr>
        <w:t>的厂商</w:t>
      </w:r>
      <w:r>
        <w:rPr>
          <w:rFonts w:hint="eastAsia" w:ascii="宋体" w:hAnsi="宋体" w:eastAsia="宋体" w:cs="宋体"/>
        </w:rPr>
        <w:t>三年售后服务承诺函原件，售后服务承诺中每有一个产品承诺的，得</w:t>
      </w:r>
      <w:r>
        <w:rPr>
          <w:rFonts w:hint="eastAsia" w:ascii="宋体" w:hAnsi="宋体" w:eastAsia="宋体" w:cs="宋体"/>
          <w:lang w:val="en-US" w:eastAsia="zh-CN"/>
        </w:rPr>
        <w:t>1</w:t>
      </w:r>
      <w:r>
        <w:rPr>
          <w:rFonts w:hint="eastAsia" w:ascii="宋体" w:hAnsi="宋体" w:eastAsia="宋体" w:cs="宋体"/>
        </w:rPr>
        <w:t>分，最多得</w:t>
      </w:r>
      <w:r>
        <w:rPr>
          <w:rFonts w:hint="eastAsia" w:ascii="宋体" w:hAnsi="宋体" w:eastAsia="宋体" w:cs="宋体"/>
          <w:lang w:val="en-US" w:eastAsia="zh-CN"/>
        </w:rPr>
        <w:t>3</w:t>
      </w:r>
      <w:r>
        <w:rPr>
          <w:rFonts w:hint="eastAsia" w:ascii="宋体" w:hAnsi="宋体" w:eastAsia="宋体" w:cs="宋体"/>
        </w:rPr>
        <w:t>分。（说明:提供售后服务承诺书加盖供应商公章装入</w:t>
      </w:r>
      <w:r>
        <w:rPr>
          <w:rFonts w:hint="eastAsia" w:ascii="宋体" w:hAnsi="宋体" w:eastAsia="宋体" w:cs="宋体"/>
          <w:lang w:val="en-US" w:eastAsia="zh-CN"/>
        </w:rPr>
        <w:t>响应</w:t>
      </w:r>
      <w:r>
        <w:rPr>
          <w:rFonts w:hint="eastAsia" w:ascii="宋体" w:hAnsi="宋体" w:eastAsia="宋体" w:cs="宋体"/>
        </w:rPr>
        <w:t>文件）</w:t>
      </w:r>
    </w:p>
    <w:p>
      <w:pPr>
        <w:pStyle w:val="236"/>
        <w:numPr>
          <w:ilvl w:val="0"/>
          <w:numId w:val="0"/>
        </w:numPr>
        <w:spacing w:line="560" w:lineRule="exact"/>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十三、供应商2018年1月1日以来（含1日）每具有一个类似本项目业绩。</w:t>
      </w:r>
    </w:p>
    <w:p>
      <w:pPr>
        <w:pStyle w:val="236"/>
        <w:numPr>
          <w:ilvl w:val="0"/>
          <w:numId w:val="0"/>
        </w:numPr>
        <w:spacing w:line="560" w:lineRule="exact"/>
        <w:ind w:firstLine="480" w:firstLineChars="200"/>
        <w:jc w:val="both"/>
        <w:rPr>
          <w:rFonts w:hint="default" w:ascii="宋体" w:hAnsi="宋体" w:eastAsia="宋体" w:cs="宋体"/>
          <w:lang w:val="en-US" w:eastAsia="zh-CN"/>
        </w:rPr>
      </w:pPr>
      <w:r>
        <w:rPr>
          <w:rFonts w:hint="eastAsia" w:ascii="宋体" w:hAnsi="宋体" w:eastAsia="宋体" w:cs="宋体"/>
          <w:lang w:val="en-US" w:eastAsia="zh-CN"/>
        </w:rPr>
        <w:t>十四、供应商具有有效质量管理体系认证、环境管理体系认证、职业健康安全管理体系认证证书。</w:t>
      </w:r>
    </w:p>
    <w:p>
      <w:pPr>
        <w:pStyle w:val="236"/>
        <w:numPr>
          <w:ilvl w:val="0"/>
          <w:numId w:val="12"/>
        </w:numPr>
        <w:spacing w:line="560" w:lineRule="exact"/>
        <w:ind w:left="-82" w:leftChars="0" w:firstLine="562" w:firstLineChars="0"/>
        <w:jc w:val="both"/>
        <w:rPr>
          <w:rFonts w:hint="eastAsia"/>
          <w:color w:val="000000"/>
          <w:sz w:val="28"/>
          <w:shd w:val="clear" w:color="auto" w:fill="FFFFFF"/>
        </w:rPr>
      </w:pPr>
      <w:r>
        <w:rPr>
          <w:rFonts w:hint="eastAsia"/>
          <w:color w:val="000000"/>
          <w:sz w:val="28"/>
          <w:shd w:val="clear" w:color="auto" w:fill="FFFFFF"/>
        </w:rPr>
        <w:t>注：1、中小企业政府采购信用融资参加本次招标活动的中小企业</w:t>
      </w:r>
      <w:r>
        <w:rPr>
          <w:rFonts w:hint="eastAsia"/>
          <w:color w:val="000000"/>
          <w:sz w:val="28"/>
          <w:shd w:val="clear" w:color="auto" w:fill="FFFFFF"/>
          <w:lang w:eastAsia="zh-CN"/>
        </w:rPr>
        <w:t>供应商</w:t>
      </w:r>
      <w:r>
        <w:rPr>
          <w:rFonts w:hint="eastAsia"/>
          <w:color w:val="000000"/>
          <w:sz w:val="28"/>
          <w:shd w:val="clear" w:color="auto" w:fill="FFFFFF"/>
        </w:rPr>
        <w:t>无需提供财产抵押或第三方担保，凭借政府采购合同可向融资机构申请融资。具体内容详见招标文件附件中《成都市温江区财政局关于公布温江区首批支持中小企业政府采购信用融资银行名单的公告》和《成都市财政局关于公布成都市首批在线开展政府采购信用融资业务银行名单的通知》（成财采[2019]49号）。</w:t>
      </w:r>
    </w:p>
    <w:p>
      <w:pPr>
        <w:spacing w:line="560" w:lineRule="exact"/>
        <w:ind w:firstLine="560" w:firstLineChars="200"/>
        <w:rPr>
          <w:rFonts w:hint="eastAsia"/>
          <w:color w:val="000000"/>
          <w:sz w:val="28"/>
          <w:szCs w:val="28"/>
          <w:shd w:val="clear" w:color="auto" w:fill="FFFFFF"/>
        </w:rPr>
      </w:pPr>
      <w:r>
        <w:rPr>
          <w:rFonts w:hint="eastAsia"/>
          <w:color w:val="000000"/>
          <w:sz w:val="28"/>
          <w:szCs w:val="28"/>
          <w:shd w:val="clear" w:color="auto" w:fill="FFFFFF"/>
        </w:rPr>
        <w:t>2、采购项目资金首付比例原则上不低于政府采购合同总金额的30%。</w:t>
      </w:r>
    </w:p>
    <w:p>
      <w:pPr>
        <w:widowControl/>
        <w:spacing w:line="560" w:lineRule="exact"/>
        <w:ind w:firstLine="560" w:firstLineChars="200"/>
        <w:jc w:val="left"/>
        <w:rPr>
          <w:rFonts w:hint="eastAsia"/>
          <w:color w:val="000000"/>
          <w:sz w:val="28"/>
          <w:szCs w:val="28"/>
          <w:shd w:val="clear" w:color="auto" w:fill="FFFFFF"/>
        </w:rPr>
      </w:pPr>
      <w:r>
        <w:rPr>
          <w:rFonts w:hint="eastAsia"/>
          <w:color w:val="000000"/>
          <w:sz w:val="28"/>
          <w:szCs w:val="28"/>
          <w:shd w:val="clear" w:color="auto" w:fill="FFFFFF"/>
        </w:rPr>
        <w:t>3、采购单位应当自收到发票后20日内将资金支付到合同约定的</w:t>
      </w:r>
      <w:r>
        <w:rPr>
          <w:rFonts w:hint="eastAsia"/>
          <w:color w:val="000000"/>
          <w:sz w:val="28"/>
          <w:szCs w:val="28"/>
          <w:shd w:val="clear" w:color="auto" w:fill="FFFFFF"/>
          <w:lang w:eastAsia="zh-CN"/>
        </w:rPr>
        <w:t>供应商</w:t>
      </w:r>
      <w:r>
        <w:rPr>
          <w:rFonts w:hint="eastAsia"/>
          <w:color w:val="000000"/>
          <w:sz w:val="28"/>
          <w:szCs w:val="28"/>
          <w:shd w:val="clear" w:color="auto" w:fill="FFFFFF"/>
        </w:rPr>
        <w:t>账户。</w:t>
      </w:r>
    </w:p>
    <w:p>
      <w:pPr>
        <w:pStyle w:val="2"/>
        <w:rPr>
          <w:rFonts w:hint="eastAsia"/>
          <w:color w:val="000000"/>
        </w:rPr>
      </w:pPr>
    </w:p>
    <w:p>
      <w:pPr>
        <w:rPr>
          <w:rFonts w:hint="eastAsia"/>
          <w:color w:val="000000"/>
        </w:rPr>
      </w:pPr>
    </w:p>
    <w:p>
      <w:pPr>
        <w:pStyle w:val="2"/>
        <w:rPr>
          <w:rFonts w:hint="eastAsia"/>
          <w:color w:val="000000"/>
        </w:rPr>
      </w:pPr>
    </w:p>
    <w:p>
      <w:pPr>
        <w:rPr>
          <w:rFonts w:hint="eastAsia"/>
          <w:color w:val="000000"/>
        </w:rPr>
      </w:pPr>
    </w:p>
    <w:p>
      <w:pPr>
        <w:pStyle w:val="2"/>
        <w:rPr>
          <w:rFonts w:hint="eastAsia"/>
          <w:color w:val="000000"/>
        </w:rPr>
      </w:pPr>
    </w:p>
    <w:p>
      <w:pPr>
        <w:pStyle w:val="41"/>
        <w:ind w:left="0" w:leftChars="0" w:firstLine="0" w:firstLineChars="0"/>
      </w:pPr>
    </w:p>
    <w:p>
      <w:pPr>
        <w:pStyle w:val="207"/>
        <w:ind w:firstLine="161" w:firstLineChars="50"/>
        <w:rPr>
          <w:rFonts w:hint="eastAsia"/>
          <w:b/>
          <w:bCs/>
          <w:color w:val="000000"/>
          <w:sz w:val="32"/>
          <w:szCs w:val="36"/>
          <w:lang w:val="en-US" w:eastAsia="zh-CN"/>
        </w:rPr>
      </w:pPr>
      <w:r>
        <w:rPr>
          <w:rFonts w:hint="eastAsia"/>
          <w:b/>
          <w:bCs/>
          <w:color w:val="000000"/>
          <w:sz w:val="32"/>
          <w:szCs w:val="36"/>
          <w:lang w:val="en-US" w:eastAsia="zh-CN"/>
        </w:rPr>
        <w:t>附件</w:t>
      </w:r>
    </w:p>
    <w:p>
      <w:pPr>
        <w:pStyle w:val="207"/>
        <w:ind w:firstLine="161" w:firstLineChars="50"/>
        <w:rPr>
          <w:rFonts w:hint="eastAsia"/>
          <w:b/>
          <w:bCs/>
          <w:color w:val="000000"/>
          <w:sz w:val="32"/>
          <w:szCs w:val="36"/>
          <w:lang w:val="en-US" w:eastAsia="zh-CN"/>
        </w:rPr>
      </w:pPr>
    </w:p>
    <w:p>
      <w:pPr>
        <w:pStyle w:val="207"/>
        <w:ind w:firstLine="161" w:firstLineChars="50"/>
        <w:rPr>
          <w:rFonts w:hint="eastAsia"/>
          <w:b/>
          <w:bCs/>
          <w:color w:val="000000"/>
          <w:sz w:val="32"/>
          <w:szCs w:val="36"/>
          <w:lang w:val="en-US" w:eastAsia="zh-CN"/>
        </w:rPr>
      </w:pPr>
    </w:p>
    <w:p>
      <w:pPr>
        <w:pStyle w:val="207"/>
        <w:ind w:firstLine="161" w:firstLineChars="50"/>
        <w:rPr>
          <w:rFonts w:hint="eastAsia"/>
          <w:b/>
          <w:bCs/>
          <w:color w:val="000000"/>
          <w:sz w:val="32"/>
          <w:szCs w:val="36"/>
          <w:lang w:val="en-US" w:eastAsia="zh-CN"/>
        </w:rPr>
      </w:pPr>
    </w:p>
    <w:p>
      <w:pPr>
        <w:pStyle w:val="207"/>
        <w:ind w:firstLine="161" w:firstLineChars="50"/>
        <w:rPr>
          <w:rFonts w:hint="eastAsia"/>
          <w:b/>
          <w:bCs/>
          <w:color w:val="000000"/>
          <w:sz w:val="32"/>
          <w:szCs w:val="36"/>
          <w:lang w:val="en-US" w:eastAsia="zh-CN"/>
        </w:rPr>
      </w:pPr>
    </w:p>
    <w:p>
      <w:pPr>
        <w:pStyle w:val="207"/>
        <w:ind w:firstLine="261" w:firstLineChars="50"/>
        <w:rPr>
          <w:b/>
          <w:bCs/>
          <w:color w:val="000000"/>
          <w:sz w:val="52"/>
          <w:szCs w:val="56"/>
        </w:rPr>
      </w:pPr>
      <w:r>
        <w:rPr>
          <w:rFonts w:hint="eastAsia"/>
          <w:b/>
          <w:bCs/>
          <w:color w:val="000000"/>
          <w:sz w:val="52"/>
          <w:szCs w:val="56"/>
        </w:rPr>
        <w:t>温江二中机房及创客设备采购项目</w:t>
      </w:r>
    </w:p>
    <w:p>
      <w:pPr>
        <w:pStyle w:val="207"/>
        <w:ind w:firstLine="562" w:firstLineChars="100"/>
        <w:rPr>
          <w:rFonts w:hint="eastAsia"/>
          <w:b/>
          <w:bCs/>
          <w:color w:val="000000"/>
          <w:sz w:val="56"/>
          <w:szCs w:val="56"/>
        </w:rPr>
      </w:pPr>
      <w:r>
        <w:rPr>
          <w:rFonts w:hint="eastAsia"/>
          <w:b/>
          <w:bCs/>
          <w:color w:val="000000"/>
          <w:sz w:val="56"/>
          <w:szCs w:val="56"/>
        </w:rPr>
        <w:t xml:space="preserve"> </w:t>
      </w:r>
    </w:p>
    <w:p>
      <w:pPr>
        <w:pStyle w:val="207"/>
        <w:ind w:firstLine="562" w:firstLineChars="100"/>
        <w:rPr>
          <w:rFonts w:hint="eastAsia"/>
          <w:b/>
          <w:bCs/>
          <w:color w:val="000000"/>
          <w:sz w:val="56"/>
          <w:szCs w:val="56"/>
        </w:rPr>
      </w:pPr>
    </w:p>
    <w:p>
      <w:pPr>
        <w:pStyle w:val="207"/>
        <w:ind w:firstLine="480"/>
        <w:jc w:val="center"/>
        <w:rPr>
          <w:rFonts w:hint="eastAsia"/>
          <w:color w:val="000000"/>
          <w:sz w:val="96"/>
          <w:szCs w:val="96"/>
        </w:rPr>
      </w:pPr>
      <w:r>
        <w:rPr>
          <w:rFonts w:hint="eastAsia"/>
          <w:color w:val="000000"/>
          <w:sz w:val="96"/>
          <w:szCs w:val="96"/>
        </w:rPr>
        <w:t>技</w:t>
      </w:r>
    </w:p>
    <w:p>
      <w:pPr>
        <w:pStyle w:val="207"/>
        <w:ind w:firstLine="480"/>
        <w:jc w:val="center"/>
        <w:rPr>
          <w:rFonts w:hint="eastAsia"/>
          <w:color w:val="000000"/>
          <w:sz w:val="96"/>
          <w:szCs w:val="96"/>
        </w:rPr>
      </w:pPr>
    </w:p>
    <w:p>
      <w:pPr>
        <w:pStyle w:val="207"/>
        <w:ind w:firstLine="480"/>
        <w:jc w:val="center"/>
        <w:rPr>
          <w:rFonts w:hint="eastAsia"/>
          <w:color w:val="000000"/>
          <w:sz w:val="96"/>
          <w:szCs w:val="96"/>
        </w:rPr>
      </w:pPr>
      <w:r>
        <w:rPr>
          <w:rFonts w:hint="eastAsia"/>
          <w:color w:val="000000"/>
          <w:sz w:val="96"/>
          <w:szCs w:val="96"/>
        </w:rPr>
        <w:t>术</w:t>
      </w:r>
    </w:p>
    <w:p>
      <w:pPr>
        <w:pStyle w:val="207"/>
        <w:ind w:firstLine="480"/>
        <w:jc w:val="center"/>
        <w:rPr>
          <w:rFonts w:hint="eastAsia"/>
          <w:color w:val="000000"/>
          <w:sz w:val="96"/>
          <w:szCs w:val="96"/>
        </w:rPr>
      </w:pPr>
    </w:p>
    <w:p>
      <w:pPr>
        <w:pStyle w:val="207"/>
        <w:ind w:firstLine="480"/>
        <w:jc w:val="center"/>
        <w:rPr>
          <w:rFonts w:hint="eastAsia"/>
          <w:color w:val="000000"/>
          <w:sz w:val="96"/>
          <w:szCs w:val="96"/>
        </w:rPr>
      </w:pPr>
      <w:r>
        <w:rPr>
          <w:rFonts w:hint="eastAsia"/>
          <w:color w:val="000000"/>
          <w:sz w:val="96"/>
          <w:szCs w:val="96"/>
        </w:rPr>
        <w:t>方</w:t>
      </w:r>
    </w:p>
    <w:p>
      <w:pPr>
        <w:pStyle w:val="207"/>
        <w:ind w:firstLine="480"/>
        <w:jc w:val="center"/>
        <w:rPr>
          <w:rFonts w:hint="eastAsia"/>
          <w:color w:val="000000"/>
          <w:sz w:val="96"/>
          <w:szCs w:val="96"/>
        </w:rPr>
      </w:pPr>
    </w:p>
    <w:p>
      <w:pPr>
        <w:pStyle w:val="207"/>
        <w:ind w:firstLine="480"/>
        <w:jc w:val="center"/>
        <w:rPr>
          <w:rFonts w:hint="eastAsia"/>
          <w:color w:val="000000"/>
          <w:sz w:val="96"/>
          <w:szCs w:val="96"/>
        </w:rPr>
      </w:pPr>
      <w:r>
        <w:rPr>
          <w:rFonts w:hint="eastAsia"/>
          <w:color w:val="000000"/>
          <w:sz w:val="96"/>
          <w:szCs w:val="96"/>
        </w:rPr>
        <w:t>案</w:t>
      </w:r>
    </w:p>
    <w:p>
      <w:pPr>
        <w:pStyle w:val="31"/>
        <w:tabs>
          <w:tab w:val="left" w:pos="709"/>
          <w:tab w:val="right" w:leader="dot" w:pos="8364"/>
          <w:tab w:val="clear" w:pos="840"/>
          <w:tab w:val="clear" w:pos="9204"/>
        </w:tabs>
        <w:rPr>
          <w:rFonts w:hint="eastAsia" w:cs="Times New Roman"/>
          <w:color w:val="000000"/>
          <w:sz w:val="36"/>
          <w:szCs w:val="36"/>
        </w:rPr>
      </w:pPr>
      <w:r>
        <w:rPr>
          <w:rFonts w:hint="eastAsia" w:cs="Times New Roman"/>
          <w:color w:val="000000"/>
          <w:sz w:val="36"/>
          <w:szCs w:val="36"/>
        </w:rPr>
        <w:t xml:space="preserve"> </w:t>
      </w:r>
    </w:p>
    <w:p/>
    <w:p>
      <w:pPr>
        <w:rPr>
          <w:rFonts w:hint="eastAsia" w:cs="Times New Roman"/>
        </w:rPr>
      </w:pPr>
    </w:p>
    <w:p>
      <w:pPr>
        <w:pStyle w:val="3"/>
        <w:rPr>
          <w:color w:val="000000"/>
          <w:sz w:val="40"/>
          <w:szCs w:val="40"/>
        </w:rPr>
      </w:pPr>
      <w:bookmarkStart w:id="167" w:name="_Toc45021024"/>
      <w:bookmarkEnd w:id="167"/>
      <w:bookmarkStart w:id="168" w:name="_Toc28290"/>
      <w:bookmarkStart w:id="169" w:name="_Toc1832"/>
      <w:bookmarkStart w:id="170" w:name="_Toc11060"/>
      <w:r>
        <w:rPr>
          <w:rFonts w:hint="eastAsia"/>
          <w:color w:val="000000"/>
          <w:sz w:val="40"/>
          <w:szCs w:val="40"/>
        </w:rPr>
        <w:t>一、方案概述</w:t>
      </w:r>
      <w:bookmarkEnd w:id="168"/>
      <w:bookmarkEnd w:id="169"/>
      <w:bookmarkEnd w:id="170"/>
    </w:p>
    <w:p>
      <w:pPr>
        <w:pStyle w:val="4"/>
        <w:rPr>
          <w:rFonts w:hint="eastAsia"/>
          <w:color w:val="000000"/>
        </w:rPr>
      </w:pPr>
      <w:bookmarkStart w:id="171" w:name="_Toc4745985"/>
      <w:bookmarkEnd w:id="171"/>
      <w:bookmarkStart w:id="172" w:name="_Toc4671654"/>
      <w:bookmarkEnd w:id="172"/>
      <w:bookmarkStart w:id="173" w:name="_Toc4083908"/>
      <w:bookmarkEnd w:id="173"/>
      <w:bookmarkStart w:id="174" w:name="_Toc20312_WPSOffice_Level2"/>
      <w:bookmarkEnd w:id="174"/>
      <w:bookmarkStart w:id="175" w:name="_Toc26722399"/>
      <w:bookmarkEnd w:id="175"/>
      <w:bookmarkStart w:id="176" w:name="_Toc32011"/>
      <w:bookmarkStart w:id="177" w:name="_Toc21502"/>
      <w:bookmarkStart w:id="178" w:name="_Toc24695"/>
      <w:bookmarkStart w:id="179" w:name="_Toc45021025"/>
      <w:r>
        <w:rPr>
          <w:rFonts w:hint="eastAsia"/>
          <w:color w:val="000000"/>
        </w:rPr>
        <w:t>1.1项目名称</w:t>
      </w:r>
      <w:bookmarkEnd w:id="176"/>
      <w:bookmarkEnd w:id="177"/>
      <w:bookmarkEnd w:id="178"/>
      <w:bookmarkEnd w:id="179"/>
    </w:p>
    <w:p>
      <w:pPr>
        <w:spacing w:line="500" w:lineRule="exact"/>
        <w:ind w:firstLine="424" w:firstLineChars="177"/>
        <w:rPr>
          <w:rFonts w:hint="eastAsia" w:cs="Arial"/>
          <w:color w:val="000000"/>
          <w:sz w:val="24"/>
          <w:szCs w:val="24"/>
          <w:shd w:val="clear" w:color="auto" w:fill="FFFFFF"/>
        </w:rPr>
      </w:pPr>
      <w:r>
        <w:rPr>
          <w:rFonts w:hint="eastAsia" w:cs="Arial"/>
          <w:color w:val="000000"/>
          <w:sz w:val="24"/>
          <w:szCs w:val="24"/>
          <w:shd w:val="clear" w:color="auto" w:fill="FFFFFF"/>
        </w:rPr>
        <w:t>温江二中机房及创客设备采购项目</w:t>
      </w:r>
    </w:p>
    <w:p>
      <w:pPr>
        <w:pStyle w:val="4"/>
        <w:rPr>
          <w:rFonts w:hint="eastAsia"/>
          <w:color w:val="000000"/>
        </w:rPr>
      </w:pPr>
      <w:bookmarkStart w:id="180" w:name="_Toc4083909"/>
      <w:bookmarkEnd w:id="180"/>
      <w:bookmarkStart w:id="181" w:name="_Toc4671655"/>
      <w:bookmarkEnd w:id="181"/>
      <w:bookmarkStart w:id="182" w:name="_Toc4745986"/>
      <w:bookmarkEnd w:id="182"/>
      <w:bookmarkStart w:id="183" w:name="_Toc45021026"/>
      <w:bookmarkEnd w:id="183"/>
      <w:bookmarkStart w:id="184" w:name="_Toc26722400"/>
      <w:bookmarkEnd w:id="184"/>
      <w:bookmarkStart w:id="185" w:name="_Toc24964_WPSOffice_Level2"/>
      <w:bookmarkStart w:id="186" w:name="_Toc29658"/>
      <w:bookmarkStart w:id="187" w:name="_Toc25330"/>
      <w:bookmarkStart w:id="188" w:name="_Toc9258"/>
      <w:r>
        <w:rPr>
          <w:rFonts w:hint="eastAsia"/>
          <w:color w:val="000000"/>
        </w:rPr>
        <w:t>1.2项目建设单位</w:t>
      </w:r>
      <w:bookmarkEnd w:id="185"/>
      <w:bookmarkEnd w:id="186"/>
      <w:bookmarkEnd w:id="187"/>
      <w:bookmarkEnd w:id="188"/>
    </w:p>
    <w:p>
      <w:pPr>
        <w:spacing w:line="500" w:lineRule="exact"/>
        <w:ind w:firstLine="480" w:firstLineChars="200"/>
        <w:rPr>
          <w:rFonts w:hint="eastAsia" w:cs="Arial"/>
          <w:color w:val="000000"/>
          <w:sz w:val="24"/>
          <w:szCs w:val="24"/>
          <w:shd w:val="clear" w:color="auto" w:fill="FFFFFF"/>
        </w:rPr>
      </w:pPr>
      <w:r>
        <w:rPr>
          <w:rFonts w:hint="eastAsia" w:cs="Arial"/>
          <w:color w:val="000000"/>
          <w:sz w:val="24"/>
          <w:szCs w:val="24"/>
          <w:shd w:val="clear" w:color="auto" w:fill="FFFFFF"/>
        </w:rPr>
        <w:t>单位名称：成都市温江区第二中学校</w:t>
      </w:r>
    </w:p>
    <w:p>
      <w:pPr>
        <w:spacing w:line="500" w:lineRule="exact"/>
        <w:ind w:firstLine="480" w:firstLineChars="200"/>
        <w:rPr>
          <w:rFonts w:hint="eastAsia" w:cs="Arial"/>
          <w:color w:val="000000"/>
          <w:sz w:val="24"/>
          <w:szCs w:val="24"/>
          <w:shd w:val="clear" w:color="auto" w:fill="FFFFFF"/>
        </w:rPr>
      </w:pPr>
      <w:r>
        <w:rPr>
          <w:rFonts w:hint="eastAsia" w:cs="Arial"/>
          <w:color w:val="000000"/>
          <w:sz w:val="24"/>
          <w:szCs w:val="24"/>
          <w:shd w:val="clear" w:color="auto" w:fill="FFFFFF"/>
        </w:rPr>
        <w:t>单位职能：温江区第二中学校是一所全日制公立初高中</w:t>
      </w:r>
    </w:p>
    <w:p>
      <w:pPr>
        <w:pStyle w:val="4"/>
        <w:rPr>
          <w:rFonts w:hint="eastAsia"/>
          <w:color w:val="000000"/>
        </w:rPr>
      </w:pPr>
      <w:bookmarkStart w:id="189" w:name="_Toc4671656"/>
      <w:bookmarkEnd w:id="189"/>
      <w:bookmarkStart w:id="190" w:name="_Toc26722401"/>
      <w:bookmarkEnd w:id="190"/>
      <w:bookmarkStart w:id="191" w:name="_Toc4745987"/>
      <w:bookmarkEnd w:id="191"/>
      <w:bookmarkStart w:id="192" w:name="_Toc45021027"/>
      <w:bookmarkEnd w:id="192"/>
      <w:bookmarkStart w:id="193" w:name="_Toc28584_WPSOffice_Level2"/>
      <w:bookmarkEnd w:id="193"/>
      <w:bookmarkStart w:id="194" w:name="_Toc4083910"/>
      <w:bookmarkStart w:id="195" w:name="_Toc16220"/>
      <w:bookmarkStart w:id="196" w:name="_Toc11555"/>
      <w:bookmarkStart w:id="197" w:name="_Toc968"/>
      <w:r>
        <w:rPr>
          <w:rFonts w:hint="eastAsia"/>
          <w:color w:val="000000"/>
        </w:rPr>
        <w:t>1.3方案编制单位</w:t>
      </w:r>
      <w:bookmarkEnd w:id="194"/>
      <w:bookmarkEnd w:id="195"/>
      <w:bookmarkEnd w:id="196"/>
      <w:bookmarkEnd w:id="197"/>
    </w:p>
    <w:p>
      <w:pPr>
        <w:spacing w:line="500" w:lineRule="exact"/>
        <w:ind w:firstLine="480" w:firstLineChars="200"/>
        <w:rPr>
          <w:rFonts w:hint="eastAsia" w:cs="Arial"/>
          <w:color w:val="000000"/>
          <w:sz w:val="24"/>
          <w:szCs w:val="24"/>
          <w:shd w:val="clear" w:color="auto" w:fill="FFFFFF"/>
        </w:rPr>
      </w:pPr>
      <w:r>
        <w:rPr>
          <w:rFonts w:hint="eastAsia" w:cs="Arial"/>
          <w:color w:val="000000"/>
          <w:sz w:val="24"/>
          <w:szCs w:val="24"/>
          <w:shd w:val="clear" w:color="auto" w:fill="FFFFFF"/>
        </w:rPr>
        <w:t>单位名称：成都市温江区第二中学校</w:t>
      </w:r>
    </w:p>
    <w:p>
      <w:pPr>
        <w:pStyle w:val="4"/>
        <w:rPr>
          <w:rFonts w:hint="eastAsia"/>
          <w:color w:val="000000"/>
        </w:rPr>
      </w:pPr>
      <w:bookmarkStart w:id="198" w:name="_Toc26722402"/>
      <w:bookmarkEnd w:id="198"/>
      <w:bookmarkStart w:id="199" w:name="_Toc45021028"/>
      <w:bookmarkStart w:id="200" w:name="_Toc18310"/>
      <w:bookmarkStart w:id="201" w:name="_Toc28749"/>
      <w:bookmarkStart w:id="202" w:name="_Toc22520"/>
      <w:r>
        <w:rPr>
          <w:rFonts w:hint="eastAsia"/>
          <w:color w:val="000000"/>
        </w:rPr>
        <w:t>1.4建设依据</w:t>
      </w:r>
      <w:bookmarkEnd w:id="199"/>
      <w:bookmarkEnd w:id="200"/>
      <w:bookmarkEnd w:id="201"/>
      <w:bookmarkEnd w:id="202"/>
    </w:p>
    <w:p>
      <w:pPr>
        <w:pStyle w:val="5"/>
        <w:rPr>
          <w:rFonts w:hint="eastAsia" w:cs="宋体"/>
        </w:rPr>
      </w:pPr>
      <w:bookmarkStart w:id="203" w:name="_Toc15340"/>
      <w:bookmarkStart w:id="204" w:name="_Toc6140"/>
      <w:bookmarkStart w:id="205" w:name="_Toc73000896"/>
      <w:r>
        <w:rPr>
          <w:rFonts w:hint="eastAsia" w:cs="宋体"/>
        </w:rPr>
        <w:t>1.4.1政策文件</w:t>
      </w:r>
      <w:bookmarkEnd w:id="203"/>
      <w:bookmarkEnd w:id="204"/>
      <w:bookmarkEnd w:id="205"/>
    </w:p>
    <w:p>
      <w:pPr>
        <w:spacing w:line="500" w:lineRule="exact"/>
        <w:ind w:left="7" w:leftChars="-64" w:hanging="141" w:hangingChars="59"/>
        <w:rPr>
          <w:rFonts w:hint="eastAsia" w:cs="Arial"/>
          <w:color w:val="000000"/>
          <w:sz w:val="24"/>
          <w:szCs w:val="24"/>
          <w:shd w:val="clear" w:color="auto" w:fill="FFFFFF"/>
        </w:rPr>
      </w:pPr>
      <w:r>
        <w:rPr>
          <w:rFonts w:hint="eastAsia" w:cs="Arial"/>
          <w:color w:val="000000"/>
          <w:sz w:val="24"/>
          <w:szCs w:val="24"/>
          <w:shd w:val="clear" w:color="auto" w:fill="FFFFFF"/>
        </w:rPr>
        <w:t>《国家中长期教育改革和发展规划纲要（2010-2020年）》（中发[2010]12号）</w:t>
      </w:r>
    </w:p>
    <w:p>
      <w:pPr>
        <w:spacing w:line="500" w:lineRule="exact"/>
        <w:ind w:left="7" w:leftChars="-64" w:hanging="141" w:hangingChars="59"/>
        <w:rPr>
          <w:rFonts w:hint="eastAsia" w:cs="Arial"/>
          <w:color w:val="000000"/>
          <w:sz w:val="24"/>
          <w:szCs w:val="24"/>
          <w:shd w:val="clear" w:color="auto" w:fill="FFFFFF"/>
        </w:rPr>
      </w:pPr>
      <w:r>
        <w:rPr>
          <w:rFonts w:hint="eastAsia" w:cs="Arial"/>
          <w:color w:val="000000"/>
          <w:sz w:val="24"/>
          <w:szCs w:val="24"/>
          <w:shd w:val="clear" w:color="auto" w:fill="FFFFFF"/>
        </w:rPr>
        <w:t>《教育信息化十年发展规划（2011－2020年）》（教技[2012]5号）</w:t>
      </w:r>
    </w:p>
    <w:p>
      <w:pPr>
        <w:spacing w:line="500" w:lineRule="exact"/>
        <w:ind w:left="7" w:leftChars="-64" w:hanging="141" w:hangingChars="59"/>
        <w:rPr>
          <w:rFonts w:hint="eastAsia" w:cs="Arial"/>
          <w:color w:val="000000"/>
          <w:sz w:val="24"/>
          <w:szCs w:val="24"/>
          <w:shd w:val="clear" w:color="auto" w:fill="FFFFFF"/>
        </w:rPr>
      </w:pPr>
      <w:r>
        <w:rPr>
          <w:rFonts w:hint="eastAsia" w:cs="Arial"/>
          <w:color w:val="000000"/>
          <w:sz w:val="24"/>
          <w:szCs w:val="24"/>
          <w:shd w:val="clear" w:color="auto" w:fill="FFFFFF"/>
        </w:rPr>
        <w:t>《教育信息化2.0行动计划》（教技〔2018〕6号）</w:t>
      </w:r>
    </w:p>
    <w:p>
      <w:pPr>
        <w:spacing w:line="500" w:lineRule="exact"/>
        <w:ind w:left="7" w:leftChars="-64" w:hanging="141" w:hangingChars="59"/>
        <w:rPr>
          <w:rFonts w:hint="eastAsia" w:cs="Arial"/>
          <w:color w:val="000000"/>
          <w:sz w:val="24"/>
          <w:szCs w:val="24"/>
          <w:shd w:val="clear" w:color="auto" w:fill="FFFFFF"/>
        </w:rPr>
      </w:pPr>
      <w:r>
        <w:rPr>
          <w:rFonts w:hint="eastAsia" w:cs="Arial"/>
          <w:color w:val="000000"/>
          <w:sz w:val="24"/>
          <w:szCs w:val="24"/>
          <w:shd w:val="clear" w:color="auto" w:fill="FFFFFF"/>
        </w:rPr>
        <w:t>《成都市温江区中小学“数字校园”建设实施方案（2018-2020）》</w:t>
      </w:r>
    </w:p>
    <w:p>
      <w:pPr>
        <w:pStyle w:val="5"/>
        <w:rPr>
          <w:rFonts w:hint="eastAsia" w:cs="宋体"/>
        </w:rPr>
      </w:pPr>
      <w:bookmarkStart w:id="206" w:name="_Toc73000897"/>
      <w:bookmarkStart w:id="207" w:name="_Toc4411"/>
      <w:bookmarkStart w:id="208" w:name="_Toc5265463"/>
      <w:bookmarkStart w:id="209" w:name="_Toc8487"/>
      <w:r>
        <w:rPr>
          <w:rFonts w:hint="eastAsia" w:cs="宋体"/>
        </w:rPr>
        <w:t>1.4.2标准规范</w:t>
      </w:r>
      <w:bookmarkEnd w:id="206"/>
      <w:bookmarkEnd w:id="207"/>
      <w:bookmarkEnd w:id="208"/>
      <w:bookmarkEnd w:id="209"/>
    </w:p>
    <w:p>
      <w:pPr>
        <w:spacing w:line="500" w:lineRule="exact"/>
        <w:ind w:firstLine="480" w:firstLineChars="200"/>
        <w:rPr>
          <w:rFonts w:hint="eastAsia"/>
          <w:sz w:val="24"/>
          <w:szCs w:val="24"/>
        </w:rPr>
      </w:pPr>
      <w:r>
        <w:rPr>
          <w:rFonts w:hint="eastAsia"/>
          <w:sz w:val="24"/>
          <w:szCs w:val="24"/>
        </w:rPr>
        <w:t>《成都市中小学教育技术装备标准》（基本型）</w:t>
      </w:r>
    </w:p>
    <w:p>
      <w:pPr>
        <w:spacing w:line="500" w:lineRule="exact"/>
        <w:ind w:firstLine="480" w:firstLineChars="200"/>
        <w:rPr>
          <w:rFonts w:hint="eastAsia"/>
          <w:sz w:val="24"/>
          <w:szCs w:val="24"/>
        </w:rPr>
      </w:pPr>
      <w:r>
        <w:rPr>
          <w:rFonts w:hint="eastAsia"/>
          <w:sz w:val="24"/>
          <w:szCs w:val="24"/>
        </w:rPr>
        <w:t>《中小学数字校园建设规范》</w:t>
      </w:r>
    </w:p>
    <w:p>
      <w:pPr>
        <w:spacing w:line="500" w:lineRule="exact"/>
        <w:ind w:firstLine="480" w:firstLineChars="200"/>
        <w:rPr>
          <w:rFonts w:hint="eastAsia"/>
          <w:sz w:val="24"/>
          <w:szCs w:val="24"/>
        </w:rPr>
      </w:pPr>
      <w:r>
        <w:rPr>
          <w:rFonts w:hint="eastAsia"/>
          <w:sz w:val="24"/>
          <w:szCs w:val="24"/>
        </w:rPr>
        <w:t>《成都市数字校园建设与应用评价标准》</w:t>
      </w:r>
    </w:p>
    <w:p>
      <w:pPr>
        <w:spacing w:line="500" w:lineRule="exact"/>
        <w:ind w:firstLine="480" w:firstLineChars="200"/>
        <w:rPr>
          <w:rFonts w:hint="eastAsia"/>
          <w:sz w:val="24"/>
          <w:szCs w:val="24"/>
        </w:rPr>
      </w:pPr>
      <w:r>
        <w:rPr>
          <w:rFonts w:hint="eastAsia"/>
          <w:sz w:val="24"/>
          <w:szCs w:val="24"/>
        </w:rPr>
        <w:t>GB 50314-2015 《智能建筑设计标准》</w:t>
      </w:r>
    </w:p>
    <w:p>
      <w:pPr>
        <w:spacing w:line="500" w:lineRule="exact"/>
        <w:ind w:firstLine="480" w:firstLineChars="200"/>
        <w:rPr>
          <w:rFonts w:hint="eastAsia"/>
          <w:sz w:val="24"/>
          <w:szCs w:val="24"/>
        </w:rPr>
      </w:pPr>
      <w:r>
        <w:rPr>
          <w:rFonts w:hint="eastAsia"/>
          <w:sz w:val="24"/>
          <w:szCs w:val="24"/>
        </w:rPr>
        <w:t>GB 50339-2013  《智能建筑工程质量验收规范》</w:t>
      </w:r>
    </w:p>
    <w:p>
      <w:pPr>
        <w:spacing w:line="500" w:lineRule="exact"/>
        <w:ind w:firstLine="480" w:firstLineChars="200"/>
        <w:rPr>
          <w:rFonts w:hint="eastAsia"/>
          <w:sz w:val="24"/>
          <w:szCs w:val="24"/>
        </w:rPr>
      </w:pPr>
      <w:r>
        <w:rPr>
          <w:rFonts w:hint="eastAsia"/>
          <w:sz w:val="24"/>
          <w:szCs w:val="24"/>
        </w:rPr>
        <w:t>GB 50343-2012  《建筑物电子信息系统防雷技术规范》</w:t>
      </w:r>
    </w:p>
    <w:p>
      <w:pPr>
        <w:spacing w:line="500" w:lineRule="exact"/>
        <w:ind w:firstLine="480" w:firstLineChars="200"/>
        <w:rPr>
          <w:rFonts w:hint="eastAsia"/>
          <w:sz w:val="24"/>
          <w:szCs w:val="24"/>
        </w:rPr>
      </w:pPr>
      <w:r>
        <w:rPr>
          <w:rFonts w:hint="eastAsia"/>
          <w:sz w:val="24"/>
          <w:szCs w:val="24"/>
        </w:rPr>
        <w:t>GB 50348-2018  《安全防范工程技术规范》</w:t>
      </w:r>
    </w:p>
    <w:p>
      <w:pPr>
        <w:spacing w:line="500" w:lineRule="exact"/>
        <w:ind w:firstLine="480" w:firstLineChars="200"/>
        <w:rPr>
          <w:rFonts w:hint="eastAsia"/>
          <w:sz w:val="24"/>
          <w:szCs w:val="24"/>
        </w:rPr>
      </w:pPr>
      <w:r>
        <w:rPr>
          <w:rFonts w:hint="eastAsia"/>
          <w:sz w:val="24"/>
          <w:szCs w:val="24"/>
        </w:rPr>
        <w:t>DB51/T 2116-2016  《中小学机器人创新工作室建设规范》</w:t>
      </w:r>
    </w:p>
    <w:p>
      <w:pPr>
        <w:spacing w:line="500" w:lineRule="exact"/>
        <w:ind w:firstLine="480" w:firstLineChars="200"/>
        <w:rPr>
          <w:rFonts w:hint="eastAsia"/>
          <w:sz w:val="24"/>
          <w:szCs w:val="24"/>
        </w:rPr>
      </w:pPr>
      <w:r>
        <w:rPr>
          <w:rFonts w:hint="eastAsia"/>
          <w:sz w:val="24"/>
          <w:szCs w:val="24"/>
        </w:rPr>
        <w:t>GB 50311-2016 《综合布线系统工程设计规范》</w:t>
      </w:r>
    </w:p>
    <w:p>
      <w:pPr>
        <w:spacing w:line="500" w:lineRule="exact"/>
        <w:ind w:firstLine="480" w:firstLineChars="200"/>
        <w:rPr>
          <w:rFonts w:hint="eastAsia"/>
          <w:sz w:val="24"/>
          <w:szCs w:val="24"/>
        </w:rPr>
      </w:pPr>
      <w:r>
        <w:rPr>
          <w:rFonts w:hint="eastAsia"/>
          <w:sz w:val="24"/>
          <w:szCs w:val="24"/>
        </w:rPr>
        <w:t>GB/T 50312-2016 《综合布线系统工程验收规范》</w:t>
      </w:r>
    </w:p>
    <w:p>
      <w:pPr>
        <w:pStyle w:val="4"/>
        <w:rPr>
          <w:rFonts w:hint="eastAsia"/>
          <w:color w:val="000000"/>
        </w:rPr>
      </w:pPr>
      <w:bookmarkStart w:id="210" w:name="_Toc4745991"/>
      <w:bookmarkEnd w:id="210"/>
      <w:bookmarkStart w:id="211" w:name="_Toc26722403"/>
      <w:bookmarkEnd w:id="211"/>
      <w:bookmarkStart w:id="212" w:name="_Toc45021029"/>
      <w:bookmarkEnd w:id="212"/>
      <w:bookmarkStart w:id="213" w:name="_Toc13043_WPSOffice_Level2"/>
      <w:bookmarkEnd w:id="213"/>
      <w:bookmarkStart w:id="214" w:name="_Toc4083914"/>
      <w:bookmarkEnd w:id="214"/>
      <w:bookmarkStart w:id="215" w:name="_Toc27952"/>
      <w:bookmarkStart w:id="216" w:name="_Toc11832"/>
      <w:bookmarkStart w:id="217" w:name="_Toc4671660"/>
      <w:bookmarkStart w:id="218" w:name="_Toc16717"/>
      <w:r>
        <w:rPr>
          <w:rFonts w:hint="eastAsia"/>
          <w:color w:val="000000"/>
        </w:rPr>
        <w:t>1.5项目概述</w:t>
      </w:r>
      <w:bookmarkEnd w:id="215"/>
      <w:bookmarkEnd w:id="216"/>
      <w:bookmarkEnd w:id="217"/>
      <w:bookmarkEnd w:id="218"/>
    </w:p>
    <w:p>
      <w:pPr>
        <w:pStyle w:val="5"/>
        <w:rPr>
          <w:rFonts w:hint="eastAsia"/>
        </w:rPr>
      </w:pPr>
      <w:bookmarkStart w:id="219" w:name="_Toc4671661"/>
      <w:bookmarkEnd w:id="219"/>
      <w:bookmarkStart w:id="220" w:name="_Toc26722404"/>
      <w:bookmarkEnd w:id="220"/>
      <w:bookmarkStart w:id="221" w:name="_Toc28584_WPSOffice_Level3"/>
      <w:bookmarkEnd w:id="221"/>
      <w:bookmarkStart w:id="222" w:name="_Toc4745992"/>
      <w:bookmarkEnd w:id="222"/>
      <w:bookmarkStart w:id="223" w:name="_Toc4083915"/>
      <w:bookmarkEnd w:id="223"/>
      <w:bookmarkStart w:id="224" w:name="_Toc45021030"/>
      <w:bookmarkStart w:id="225" w:name="_Toc18661"/>
      <w:bookmarkStart w:id="226" w:name="_Toc9013"/>
      <w:bookmarkStart w:id="227" w:name="_Toc16330"/>
      <w:r>
        <w:rPr>
          <w:rFonts w:hint="eastAsia"/>
        </w:rPr>
        <w:t>1.5.1项目背景</w:t>
      </w:r>
      <w:bookmarkEnd w:id="224"/>
      <w:bookmarkEnd w:id="225"/>
      <w:bookmarkEnd w:id="226"/>
      <w:bookmarkEnd w:id="227"/>
    </w:p>
    <w:p>
      <w:pPr>
        <w:spacing w:line="500" w:lineRule="exact"/>
        <w:rPr>
          <w:rFonts w:hint="eastAsia" w:cs="Times New Roman"/>
          <w:color w:val="000000"/>
          <w:sz w:val="24"/>
          <w:szCs w:val="24"/>
        </w:rPr>
      </w:pPr>
      <w:bookmarkStart w:id="228" w:name="_Toc4655_WPSOffice_Level3"/>
      <w:bookmarkEnd w:id="228"/>
      <w:bookmarkStart w:id="229" w:name="_Toc4745993"/>
      <w:bookmarkEnd w:id="229"/>
      <w:bookmarkStart w:id="230" w:name="_Toc4671662"/>
      <w:bookmarkEnd w:id="230"/>
      <w:bookmarkStart w:id="231" w:name="_Toc4083916"/>
      <w:r>
        <w:rPr>
          <w:rFonts w:hint="eastAsia" w:cs="Times New Roman"/>
          <w:color w:val="000000"/>
          <w:sz w:val="24"/>
          <w:szCs w:val="24"/>
        </w:rPr>
        <w:t xml:space="preserve"> </w:t>
      </w:r>
      <w:bookmarkEnd w:id="231"/>
      <w:r>
        <w:rPr>
          <w:rFonts w:hint="eastAsia" w:cs="Times New Roman"/>
          <w:color w:val="000000"/>
          <w:sz w:val="24"/>
          <w:szCs w:val="24"/>
        </w:rPr>
        <w:t xml:space="preserve">   </w:t>
      </w:r>
      <w:r>
        <w:rPr>
          <w:rFonts w:cs="Times New Roman"/>
        </w:rPr>
        <w:fldChar w:fldCharType="begin"/>
      </w:r>
      <w:r>
        <w:rPr>
          <w:rFonts w:cs="Times New Roman"/>
        </w:rPr>
        <w:instrText xml:space="preserve"> HYPERLINK "https://baike.so.com/doc/2453672-2593720.html" </w:instrText>
      </w:r>
      <w:r>
        <w:rPr>
          <w:rFonts w:cs="Times New Roman"/>
        </w:rPr>
        <w:fldChar w:fldCharType="separate"/>
      </w:r>
      <w:r>
        <w:rPr>
          <w:rStyle w:val="377"/>
          <w:rFonts w:hint="eastAsia" w:ascii="宋体" w:hAnsi="宋体"/>
          <w:color w:val="000000"/>
          <w:sz w:val="24"/>
          <w:szCs w:val="24"/>
        </w:rPr>
        <w:t>成都市</w:t>
      </w:r>
      <w:r>
        <w:rPr>
          <w:rFonts w:cs="Times New Roman"/>
        </w:rPr>
        <w:fldChar w:fldCharType="end"/>
      </w:r>
      <w:r>
        <w:rPr>
          <w:rFonts w:hint="eastAsia" w:cs="Times New Roman"/>
          <w:color w:val="000000"/>
          <w:sz w:val="24"/>
          <w:szCs w:val="24"/>
        </w:rPr>
        <w:t>温江区第二中学校位于成都市温江区柳城镇柳台大道东段128号，学校占地面积137亩，校舍建筑面积6.5万平方米，学校绿化面积近3万平方米，生均绿化面积达6.81平方米。现有83个教学班，4000多名学生。厚重的文化底蕴，悠久的办学历史，铸就了学校“低进高出，高进优出”的质量特色。近年来，学校教学质量不断攀升，得到各级党委、政府和教育主管部门以及社会各界的一致好评。先后被评为成都市示范性高中、四川省校风示范学校、四川省实验教学示范学校、四川省阳光体育示范学校、中国西部名校、中国西部家长学校基地。</w:t>
      </w:r>
    </w:p>
    <w:p>
      <w:pPr>
        <w:spacing w:line="500" w:lineRule="exact"/>
        <w:ind w:firstLine="480" w:firstLineChars="200"/>
        <w:rPr>
          <w:rFonts w:hint="eastAsia" w:cs="Times New Roman"/>
          <w:color w:val="000000"/>
          <w:sz w:val="24"/>
          <w:szCs w:val="24"/>
        </w:rPr>
      </w:pPr>
      <w:r>
        <w:rPr>
          <w:rFonts w:hint="eastAsia" w:cs="Times New Roman"/>
          <w:color w:val="000000"/>
          <w:sz w:val="24"/>
          <w:szCs w:val="24"/>
        </w:rPr>
        <w:t>依据《四川省中小学教育技术装备标准》、《成都市中小学教育技术装备标准》、《成都市温江区中小学“数字校园”建设实施方案（2018-2020）》，学校扩建艺体楼需装备创客设备、机房等电教设备，以满足教育教学的需求。</w:t>
      </w:r>
      <w:bookmarkStart w:id="232" w:name="_Toc4083918"/>
      <w:bookmarkEnd w:id="232"/>
    </w:p>
    <w:p>
      <w:pPr>
        <w:pStyle w:val="5"/>
        <w:rPr>
          <w:rFonts w:hint="eastAsia"/>
        </w:rPr>
      </w:pPr>
      <w:bookmarkStart w:id="233" w:name="_Toc10761_WPSOffice_Level3"/>
      <w:bookmarkEnd w:id="233"/>
      <w:bookmarkStart w:id="234" w:name="_Toc4745995"/>
      <w:bookmarkEnd w:id="234"/>
      <w:bookmarkStart w:id="235" w:name="_Toc26722405"/>
      <w:bookmarkEnd w:id="235"/>
      <w:bookmarkStart w:id="236" w:name="_Toc45021031"/>
      <w:bookmarkEnd w:id="236"/>
      <w:bookmarkStart w:id="237" w:name="_Toc21257"/>
      <w:bookmarkStart w:id="238" w:name="_Toc14416"/>
      <w:bookmarkStart w:id="239" w:name="_Toc27915"/>
      <w:bookmarkStart w:id="240" w:name="_Toc4671664"/>
      <w:r>
        <w:rPr>
          <w:rFonts w:hint="eastAsia"/>
        </w:rPr>
        <w:t>1.5.2建设目标</w:t>
      </w:r>
      <w:bookmarkEnd w:id="237"/>
      <w:bookmarkEnd w:id="238"/>
    </w:p>
    <w:p>
      <w:pPr>
        <w:rPr>
          <w:rFonts w:hint="eastAsia" w:cs="Times New Roman"/>
          <w:color w:val="000000"/>
          <w:sz w:val="24"/>
          <w:szCs w:val="24"/>
        </w:rPr>
      </w:pPr>
      <w:r>
        <w:rPr>
          <w:rFonts w:hint="eastAsia" w:cs="Times New Roman"/>
          <w:color w:val="000000"/>
          <w:sz w:val="24"/>
          <w:szCs w:val="24"/>
        </w:rPr>
        <w:t xml:space="preserve">     本次采购项目包括机房、创客设备两项。</w:t>
      </w:r>
    </w:p>
    <w:p>
      <w:pPr>
        <w:pStyle w:val="7"/>
        <w:tabs>
          <w:tab w:val="left" w:pos="1134"/>
          <w:tab w:val="left" w:pos="1560"/>
          <w:tab w:val="clear" w:pos="709"/>
        </w:tabs>
        <w:rPr>
          <w:rFonts w:hint="eastAsia" w:ascii="宋体" w:hAnsi="宋体"/>
          <w:sz w:val="24"/>
        </w:rPr>
      </w:pPr>
      <w:r>
        <w:rPr>
          <w:rFonts w:hint="eastAsia" w:ascii="宋体" w:hAnsi="宋体"/>
          <w:sz w:val="24"/>
        </w:rPr>
        <w:t>1.5.2.1机房设备</w:t>
      </w:r>
    </w:p>
    <w:p>
      <w:pPr>
        <w:pStyle w:val="279"/>
        <w:ind w:firstLine="456" w:firstLineChars="190"/>
        <w:rPr>
          <w:rFonts w:hint="eastAsia" w:cs="Times New Roman"/>
          <w:color w:val="000000"/>
        </w:rPr>
      </w:pPr>
      <w:r>
        <w:rPr>
          <w:rFonts w:hint="eastAsia" w:cs="Times New Roman"/>
          <w:color w:val="000000"/>
        </w:rPr>
        <w:t>学校新增机房2间，满足学校的信息教学课程的正常开展，达到成都市现代教育技术示范校的标准。</w:t>
      </w:r>
    </w:p>
    <w:p>
      <w:pPr>
        <w:pStyle w:val="7"/>
        <w:tabs>
          <w:tab w:val="left" w:pos="1134"/>
          <w:tab w:val="left" w:pos="1560"/>
          <w:tab w:val="clear" w:pos="709"/>
        </w:tabs>
        <w:rPr>
          <w:rFonts w:hint="eastAsia" w:ascii="宋体" w:hAnsi="宋体"/>
          <w:sz w:val="24"/>
        </w:rPr>
      </w:pPr>
      <w:r>
        <w:rPr>
          <w:rFonts w:hint="eastAsia" w:ascii="宋体" w:hAnsi="宋体"/>
          <w:sz w:val="24"/>
        </w:rPr>
        <w:t>1.5.2.2创客设备</w:t>
      </w:r>
    </w:p>
    <w:p>
      <w:pPr>
        <w:pStyle w:val="279"/>
        <w:ind w:left="142" w:firstLine="360" w:firstLineChars="150"/>
        <w:rPr>
          <w:rFonts w:hint="eastAsia" w:cs="Times New Roman"/>
          <w:color w:val="000000"/>
        </w:rPr>
      </w:pPr>
      <w:r>
        <w:rPr>
          <w:rFonts w:hint="eastAsia" w:cs="Times New Roman"/>
          <w:color w:val="000000"/>
        </w:rPr>
        <w:t>新增创客设备一批满足学校创客教育课程正常推进。</w:t>
      </w:r>
    </w:p>
    <w:p>
      <w:pPr>
        <w:pStyle w:val="279"/>
        <w:ind w:left="142" w:firstLine="360" w:firstLineChars="150"/>
        <w:rPr>
          <w:rFonts w:hint="eastAsia" w:cs="Times New Roman"/>
          <w:color w:val="000000"/>
        </w:rPr>
      </w:pPr>
    </w:p>
    <w:p>
      <w:pPr>
        <w:pStyle w:val="5"/>
        <w:rPr>
          <w:rFonts w:hint="eastAsia"/>
        </w:rPr>
      </w:pPr>
      <w:bookmarkStart w:id="241" w:name="_Toc21757"/>
      <w:bookmarkStart w:id="242" w:name="_Toc1735"/>
      <w:r>
        <w:rPr>
          <w:rFonts w:hint="eastAsia"/>
        </w:rPr>
        <w:t>1.5.3建设内容</w:t>
      </w:r>
      <w:bookmarkEnd w:id="241"/>
      <w:bookmarkEnd w:id="242"/>
    </w:p>
    <w:p>
      <w:pPr>
        <w:ind w:firstLine="600" w:firstLineChars="250"/>
        <w:rPr>
          <w:rFonts w:hint="eastAsia" w:cs="Times New Roman"/>
          <w:color w:val="000000"/>
          <w:sz w:val="24"/>
          <w:szCs w:val="24"/>
        </w:rPr>
      </w:pPr>
      <w:r>
        <w:rPr>
          <w:rFonts w:hint="eastAsia" w:cs="Times New Roman"/>
          <w:color w:val="000000"/>
          <w:sz w:val="24"/>
          <w:szCs w:val="24"/>
        </w:rPr>
        <w:t>本次采购项目包括机房、创客设备两项。</w:t>
      </w:r>
    </w:p>
    <w:p>
      <w:pPr>
        <w:rPr>
          <w:rFonts w:hint="eastAsia" w:cs="Times New Roman"/>
          <w:color w:val="000000"/>
          <w:sz w:val="24"/>
          <w:szCs w:val="24"/>
        </w:rPr>
      </w:pPr>
    </w:p>
    <w:p>
      <w:pPr>
        <w:pStyle w:val="7"/>
        <w:tabs>
          <w:tab w:val="left" w:pos="1134"/>
          <w:tab w:val="left" w:pos="1560"/>
          <w:tab w:val="clear" w:pos="709"/>
        </w:tabs>
        <w:rPr>
          <w:rFonts w:hint="eastAsia" w:ascii="宋体" w:hAnsi="宋体"/>
          <w:sz w:val="24"/>
        </w:rPr>
      </w:pPr>
      <w:r>
        <w:rPr>
          <w:rFonts w:hint="eastAsia" w:ascii="宋体" w:hAnsi="宋体"/>
          <w:sz w:val="24"/>
        </w:rPr>
        <w:t>1.5.3.1机房设备</w:t>
      </w:r>
    </w:p>
    <w:p>
      <w:pPr>
        <w:spacing w:line="360" w:lineRule="auto"/>
        <w:ind w:firstLine="600" w:firstLineChars="250"/>
        <w:rPr>
          <w:rFonts w:hint="eastAsia"/>
          <w:sz w:val="24"/>
          <w:szCs w:val="28"/>
        </w:rPr>
      </w:pPr>
      <w:r>
        <w:rPr>
          <w:rFonts w:hint="eastAsia"/>
          <w:sz w:val="24"/>
          <w:szCs w:val="28"/>
        </w:rPr>
        <w:t>机房设备主要包括112台学生计算机、教学软件，以及两间机房的56人标准学生桌椅、静电地板等基础设施设备。</w:t>
      </w:r>
    </w:p>
    <w:p>
      <w:pPr>
        <w:pStyle w:val="7"/>
        <w:tabs>
          <w:tab w:val="left" w:pos="1134"/>
          <w:tab w:val="left" w:pos="1560"/>
          <w:tab w:val="clear" w:pos="709"/>
        </w:tabs>
        <w:rPr>
          <w:rFonts w:hint="eastAsia" w:ascii="宋体" w:hAnsi="宋体"/>
          <w:sz w:val="24"/>
        </w:rPr>
      </w:pPr>
      <w:r>
        <w:rPr>
          <w:rFonts w:hint="eastAsia" w:ascii="宋体" w:hAnsi="宋体"/>
          <w:sz w:val="24"/>
        </w:rPr>
        <w:t>1.5.3.2创客设备</w:t>
      </w:r>
    </w:p>
    <w:p>
      <w:pPr>
        <w:rPr>
          <w:rFonts w:hint="eastAsia"/>
        </w:rPr>
      </w:pPr>
      <w:r>
        <w:rPr>
          <w:rFonts w:hint="eastAsia"/>
        </w:rPr>
        <w:t xml:space="preserve">     </w:t>
      </w:r>
      <w:r>
        <w:rPr>
          <w:rFonts w:hint="eastAsia"/>
          <w:sz w:val="24"/>
          <w:szCs w:val="28"/>
        </w:rPr>
        <w:t>创客设备主要包括1台3D打印机及相关学习软件，以及上课使用耗材。</w:t>
      </w:r>
    </w:p>
    <w:p>
      <w:pPr>
        <w:rPr>
          <w:rFonts w:hint="eastAsia"/>
        </w:rPr>
      </w:pPr>
    </w:p>
    <w:p>
      <w:pPr>
        <w:pStyle w:val="5"/>
        <w:rPr>
          <w:rFonts w:hint="eastAsia"/>
          <w:szCs w:val="24"/>
        </w:rPr>
      </w:pPr>
      <w:bookmarkStart w:id="243" w:name="_Toc14139"/>
      <w:bookmarkStart w:id="244" w:name="_Toc617"/>
      <w:r>
        <w:rPr>
          <w:rFonts w:hint="eastAsia"/>
        </w:rPr>
        <w:t>1.5.4建设周期</w:t>
      </w:r>
      <w:bookmarkEnd w:id="239"/>
      <w:bookmarkEnd w:id="240"/>
      <w:bookmarkEnd w:id="243"/>
      <w:bookmarkEnd w:id="24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41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序号</w:t>
            </w:r>
          </w:p>
        </w:tc>
        <w:tc>
          <w:tcPr>
            <w:tcW w:w="3415"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建设内容</w:t>
            </w:r>
          </w:p>
        </w:tc>
        <w:tc>
          <w:tcPr>
            <w:tcW w:w="3044"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1</w:t>
            </w:r>
          </w:p>
        </w:tc>
        <w:tc>
          <w:tcPr>
            <w:tcW w:w="3415"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设备采购安装调试</w:t>
            </w:r>
          </w:p>
        </w:tc>
        <w:tc>
          <w:tcPr>
            <w:tcW w:w="3044"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2</w:t>
            </w:r>
          </w:p>
        </w:tc>
        <w:tc>
          <w:tcPr>
            <w:tcW w:w="3415"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培训及验收阶段</w:t>
            </w:r>
          </w:p>
        </w:tc>
        <w:tc>
          <w:tcPr>
            <w:tcW w:w="3044" w:type="dxa"/>
            <w:tcBorders>
              <w:top w:val="single" w:color="auto" w:sz="4" w:space="0"/>
              <w:left w:val="nil"/>
              <w:bottom w:val="single" w:color="auto" w:sz="4" w:space="0"/>
              <w:right w:val="single" w:color="auto" w:sz="4" w:space="0"/>
            </w:tcBorders>
            <w:noWrap w:val="0"/>
            <w:vAlign w:val="center"/>
          </w:tcPr>
          <w:p>
            <w:pPr>
              <w:adjustRightInd w:val="0"/>
              <w:snapToGrid w:val="0"/>
              <w:spacing w:before="100" w:beforeAutospacing="1" w:after="200" w:line="500" w:lineRule="exact"/>
              <w:ind w:firstLine="480" w:firstLineChars="200"/>
              <w:rPr>
                <w:rFonts w:cs="Times New Roman"/>
                <w:color w:val="000000"/>
                <w:sz w:val="24"/>
                <w:szCs w:val="24"/>
              </w:rPr>
            </w:pPr>
            <w:r>
              <w:rPr>
                <w:rFonts w:hint="eastAsia" w:cs="Times New Roman"/>
                <w:color w:val="000000"/>
                <w:sz w:val="24"/>
                <w:szCs w:val="24"/>
              </w:rPr>
              <w:t>15天</w:t>
            </w:r>
          </w:p>
        </w:tc>
      </w:tr>
    </w:tbl>
    <w:p>
      <w:pPr>
        <w:rPr>
          <w:rFonts w:hint="eastAsia" w:cs="Times New Roman"/>
          <w:color w:val="000000"/>
        </w:rPr>
      </w:pPr>
      <w:bookmarkStart w:id="245" w:name="_Toc4671665"/>
      <w:bookmarkEnd w:id="245"/>
      <w:bookmarkStart w:id="246" w:name="_Toc4083919"/>
      <w:bookmarkEnd w:id="246"/>
      <w:bookmarkStart w:id="247" w:name="_Toc8529_WPSOffice_Level3"/>
      <w:bookmarkEnd w:id="247"/>
      <w:bookmarkStart w:id="248" w:name="_Toc4745996"/>
    </w:p>
    <w:p>
      <w:pPr>
        <w:rPr>
          <w:rFonts w:hint="eastAsia" w:cs="Times New Roman"/>
          <w:color w:val="000000"/>
        </w:rPr>
      </w:pPr>
      <w:r>
        <w:rPr>
          <w:rFonts w:hint="eastAsia" w:cs="Times New Roman"/>
          <w:color w:val="000000"/>
        </w:rPr>
        <w:t xml:space="preserve"> </w:t>
      </w:r>
      <w:bookmarkEnd w:id="248"/>
    </w:p>
    <w:p>
      <w:pPr>
        <w:rPr>
          <w:rFonts w:hint="eastAsia" w:cs="Times New Roman"/>
          <w:color w:val="000000"/>
          <w:sz w:val="22"/>
        </w:rPr>
      </w:pPr>
    </w:p>
    <w:p>
      <w:pPr>
        <w:pStyle w:val="3"/>
        <w:rPr>
          <w:rFonts w:hint="eastAsia"/>
          <w:color w:val="000000"/>
          <w:szCs w:val="30"/>
        </w:rPr>
      </w:pPr>
      <w:bookmarkStart w:id="249" w:name="_Toc26722406"/>
      <w:bookmarkEnd w:id="249"/>
      <w:bookmarkStart w:id="250" w:name="_Toc5198567"/>
      <w:bookmarkEnd w:id="250"/>
      <w:bookmarkStart w:id="251" w:name="_Toc507080992"/>
      <w:bookmarkEnd w:id="251"/>
      <w:bookmarkStart w:id="252" w:name="_Toc1463593"/>
      <w:bookmarkEnd w:id="252"/>
      <w:bookmarkStart w:id="253" w:name="_Toc45021036"/>
      <w:bookmarkStart w:id="254" w:name="_Toc15805"/>
      <w:bookmarkStart w:id="255" w:name="_Toc1911"/>
      <w:bookmarkStart w:id="256" w:name="_Toc27006"/>
      <w:r>
        <w:rPr>
          <w:rFonts w:hint="eastAsia"/>
          <w:color w:val="000000"/>
        </w:rPr>
        <w:t>二、</w:t>
      </w:r>
      <w:bookmarkEnd w:id="253"/>
      <w:bookmarkStart w:id="257" w:name="_Toc411262862"/>
      <w:bookmarkEnd w:id="257"/>
      <w:bookmarkStart w:id="258" w:name="_Toc501357193"/>
      <w:bookmarkEnd w:id="258"/>
      <w:bookmarkStart w:id="259" w:name="_Toc477247431"/>
      <w:bookmarkEnd w:id="259"/>
      <w:r>
        <w:rPr>
          <w:rFonts w:hint="eastAsia"/>
          <w:color w:val="000000"/>
        </w:rPr>
        <w:t>需求分析</w:t>
      </w:r>
      <w:bookmarkEnd w:id="254"/>
      <w:bookmarkEnd w:id="255"/>
      <w:bookmarkEnd w:id="256"/>
    </w:p>
    <w:p>
      <w:pPr>
        <w:pStyle w:val="4"/>
        <w:rPr>
          <w:rFonts w:hint="eastAsia"/>
          <w:color w:val="000000"/>
        </w:rPr>
      </w:pPr>
      <w:bookmarkStart w:id="260" w:name="_Toc5198573"/>
      <w:bookmarkEnd w:id="260"/>
      <w:bookmarkStart w:id="261" w:name="_Toc25286"/>
      <w:bookmarkStart w:id="262" w:name="_Toc19603"/>
      <w:bookmarkStart w:id="263" w:name="_Toc45021037"/>
      <w:bookmarkStart w:id="264" w:name="_Toc14630"/>
      <w:r>
        <w:rPr>
          <w:rFonts w:hint="eastAsia"/>
          <w:color w:val="000000"/>
        </w:rPr>
        <w:t>2</w:t>
      </w:r>
      <w:r>
        <w:rPr>
          <w:rFonts w:hint="eastAsia"/>
          <w:color w:val="000000"/>
          <w:lang w:eastAsia="zh-CN"/>
        </w:rPr>
        <w:t>.1机房</w:t>
      </w:r>
      <w:r>
        <w:rPr>
          <w:rFonts w:hint="eastAsia"/>
          <w:color w:val="000000"/>
        </w:rPr>
        <w:t>设备需求</w:t>
      </w:r>
      <w:bookmarkEnd w:id="261"/>
      <w:bookmarkEnd w:id="262"/>
      <w:bookmarkEnd w:id="263"/>
      <w:bookmarkEnd w:id="264"/>
    </w:p>
    <w:p>
      <w:pPr>
        <w:spacing w:line="360" w:lineRule="auto"/>
        <w:ind w:firstLine="480" w:firstLineChars="200"/>
        <w:rPr>
          <w:rFonts w:cs="Times New Roman"/>
          <w:color w:val="000000"/>
          <w:sz w:val="24"/>
          <w:szCs w:val="24"/>
        </w:rPr>
      </w:pPr>
      <w:r>
        <w:rPr>
          <w:rFonts w:hint="eastAsia" w:cs="Times New Roman"/>
          <w:color w:val="000000"/>
          <w:sz w:val="24"/>
          <w:szCs w:val="24"/>
        </w:rPr>
        <w:t>学校现有2012年建设的四间机房，设备长期使用老化严重。现有机房已经无法满足在校学生4000余人、83个教学班级的正常教学需求，无法达到成都市现代教育技术示范校的标准，需要新建机房2间。按56人的教学标准每个学生配备一台学生计算机和一套教学软件，保证学生正常上课使用，老师也配备一台教师计算机和一套教学软件，便于老师教育教学和教学管理。为了建设良好的机房教室环境，根据教室环境需要，每间机房配备一套吸顶空调，其他教室2间也需要配备一套吸顶空调纳入机房中一起采购。</w:t>
      </w:r>
    </w:p>
    <w:p>
      <w:pPr>
        <w:spacing w:line="360" w:lineRule="auto"/>
        <w:rPr>
          <w:rFonts w:hint="eastAsia" w:cs="Times New Roman"/>
          <w:color w:val="000000"/>
          <w:sz w:val="22"/>
        </w:rPr>
      </w:pPr>
      <w:r>
        <w:rPr>
          <w:rFonts w:hint="eastAsia" w:cs="Times New Roman"/>
          <w:color w:val="000000"/>
        </w:rPr>
        <w:t xml:space="preserve"> </w:t>
      </w:r>
    </w:p>
    <w:p>
      <w:pPr>
        <w:pStyle w:val="4"/>
        <w:rPr>
          <w:rFonts w:hint="eastAsia"/>
          <w:color w:val="000000"/>
        </w:rPr>
      </w:pPr>
      <w:bookmarkStart w:id="265" w:name="_Toc5198575"/>
      <w:bookmarkEnd w:id="265"/>
      <w:bookmarkStart w:id="266" w:name="_Toc507080993"/>
      <w:bookmarkEnd w:id="266"/>
      <w:bookmarkStart w:id="267" w:name="_Toc507081000"/>
      <w:bookmarkEnd w:id="267"/>
      <w:bookmarkStart w:id="268" w:name="_Toc1463601"/>
      <w:bookmarkEnd w:id="268"/>
      <w:bookmarkStart w:id="269" w:name="_Toc501357199"/>
      <w:bookmarkEnd w:id="269"/>
      <w:bookmarkStart w:id="270" w:name="_Toc501357194"/>
      <w:bookmarkEnd w:id="270"/>
      <w:bookmarkStart w:id="271" w:name="_Toc22370"/>
      <w:bookmarkStart w:id="272" w:name="_Toc676"/>
      <w:bookmarkStart w:id="273" w:name="_Toc45021038"/>
      <w:bookmarkStart w:id="274" w:name="_Toc11001"/>
      <w:r>
        <w:rPr>
          <w:rFonts w:hint="eastAsia"/>
          <w:color w:val="000000"/>
        </w:rPr>
        <w:t>2</w:t>
      </w:r>
      <w:r>
        <w:rPr>
          <w:rFonts w:hint="eastAsia"/>
          <w:color w:val="000000"/>
          <w:lang w:eastAsia="zh-CN"/>
        </w:rPr>
        <w:t>.2创客</w:t>
      </w:r>
      <w:r>
        <w:rPr>
          <w:rFonts w:hint="eastAsia"/>
          <w:color w:val="000000"/>
        </w:rPr>
        <w:t>设备需求</w:t>
      </w:r>
      <w:bookmarkEnd w:id="271"/>
      <w:bookmarkEnd w:id="272"/>
      <w:bookmarkEnd w:id="273"/>
      <w:bookmarkEnd w:id="274"/>
    </w:p>
    <w:p>
      <w:pPr>
        <w:spacing w:line="500" w:lineRule="exact"/>
        <w:ind w:firstLine="480" w:firstLineChars="200"/>
        <w:rPr>
          <w:rFonts w:hint="eastAsia" w:cs="Times New Roman"/>
          <w:color w:val="000000"/>
          <w:sz w:val="24"/>
          <w:szCs w:val="24"/>
        </w:rPr>
      </w:pPr>
      <w:r>
        <w:rPr>
          <w:rFonts w:hint="eastAsia" w:cs="Times New Roman"/>
          <w:color w:val="000000"/>
          <w:sz w:val="24"/>
          <w:szCs w:val="24"/>
        </w:rPr>
        <w:t>温江二中的创客教育取得了良好的社会效益，给教育教学方式带来了变革与引领，为了继续探索新技术带来的教育变革，现学校希望再采购创客设备1批来支持学校的教育教学工作正常开展。为了进一步加强学生的动手能力和思维能力研发能力、团队协作、激发对科学的探索兴趣，配备一套3D打印机及相关耗材，来满足创客教学需要。通过配备智慧创客学习软件一套，来辅助学校老师的创客教学、强化学校创客教育教学工作。配备1套吸顶空调，为创客教育提供良好的教学环境。</w:t>
      </w:r>
    </w:p>
    <w:p>
      <w:pPr>
        <w:spacing w:line="500" w:lineRule="exact"/>
        <w:ind w:firstLine="480" w:firstLineChars="200"/>
        <w:rPr>
          <w:rFonts w:cs="Times New Roman"/>
          <w:color w:val="000000"/>
          <w:sz w:val="24"/>
          <w:szCs w:val="24"/>
        </w:rPr>
      </w:pPr>
      <w:r>
        <w:rPr>
          <w:rFonts w:hint="eastAsia" w:cs="Times New Roman"/>
          <w:color w:val="000000"/>
          <w:sz w:val="24"/>
          <w:szCs w:val="24"/>
        </w:rPr>
        <w:br w:type="page"/>
      </w:r>
    </w:p>
    <w:p>
      <w:pPr>
        <w:pStyle w:val="3"/>
        <w:widowControl/>
        <w:numPr>
          <w:ilvl w:val="0"/>
          <w:numId w:val="13"/>
        </w:numPr>
        <w:adjustRightInd w:val="0"/>
        <w:snapToGrid w:val="0"/>
        <w:spacing w:line="578" w:lineRule="auto"/>
        <w:ind w:left="0" w:firstLine="0"/>
        <w:rPr>
          <w:rFonts w:hint="eastAsia" w:cs="宋体"/>
          <w:sz w:val="32"/>
        </w:rPr>
      </w:pPr>
      <w:bookmarkStart w:id="275" w:name="_Toc32114"/>
      <w:bookmarkStart w:id="276" w:name="_Toc73000911"/>
      <w:bookmarkStart w:id="277" w:name="_Toc26419"/>
      <w:r>
        <w:rPr>
          <w:rFonts w:hint="eastAsia" w:cs="宋体"/>
          <w:sz w:val="32"/>
        </w:rPr>
        <w:t>方案设计</w:t>
      </w:r>
      <w:bookmarkEnd w:id="275"/>
      <w:bookmarkEnd w:id="276"/>
      <w:bookmarkEnd w:id="277"/>
    </w:p>
    <w:p>
      <w:pPr>
        <w:pStyle w:val="4"/>
        <w:rPr>
          <w:rFonts w:hint="eastAsia" w:cs="宋体"/>
        </w:rPr>
      </w:pPr>
      <w:bookmarkStart w:id="278" w:name="_Toc73000912"/>
      <w:bookmarkStart w:id="279" w:name="_Toc30494"/>
      <w:bookmarkStart w:id="280" w:name="_Toc12919"/>
      <w:r>
        <w:rPr>
          <w:rFonts w:hint="eastAsia" w:cs="宋体"/>
        </w:rPr>
        <w:t>3.1总体设计</w:t>
      </w:r>
      <w:bookmarkEnd w:id="278"/>
      <w:bookmarkEnd w:id="279"/>
      <w:bookmarkEnd w:id="280"/>
    </w:p>
    <w:p>
      <w:pPr>
        <w:spacing w:line="360" w:lineRule="auto"/>
        <w:ind w:firstLine="480" w:firstLineChars="200"/>
        <w:rPr>
          <w:rFonts w:hint="eastAsia"/>
          <w:sz w:val="24"/>
          <w:szCs w:val="32"/>
        </w:rPr>
      </w:pPr>
      <w:r>
        <w:rPr>
          <w:rFonts w:hint="eastAsia"/>
          <w:sz w:val="24"/>
          <w:szCs w:val="32"/>
        </w:rPr>
        <w:t>1）坚持现行装备标准，与全区主流配置一致。</w:t>
      </w:r>
    </w:p>
    <w:p>
      <w:pPr>
        <w:spacing w:line="360" w:lineRule="auto"/>
        <w:ind w:firstLine="480" w:firstLineChars="200"/>
        <w:rPr>
          <w:rFonts w:hint="eastAsia"/>
          <w:sz w:val="24"/>
          <w:szCs w:val="32"/>
        </w:rPr>
      </w:pPr>
      <w:r>
        <w:rPr>
          <w:rFonts w:hint="eastAsia"/>
          <w:sz w:val="24"/>
          <w:szCs w:val="32"/>
        </w:rPr>
        <w:t>2）坚持技术支撑、培训及后勤保障服务，确保所购设备尽快应用到教学中。</w:t>
      </w:r>
    </w:p>
    <w:p>
      <w:pPr>
        <w:spacing w:line="360" w:lineRule="auto"/>
        <w:ind w:firstLine="480" w:firstLineChars="200"/>
        <w:rPr>
          <w:rFonts w:hint="eastAsia"/>
          <w:sz w:val="24"/>
          <w:szCs w:val="32"/>
        </w:rPr>
      </w:pPr>
      <w:r>
        <w:rPr>
          <w:rFonts w:hint="eastAsia"/>
          <w:sz w:val="24"/>
          <w:szCs w:val="32"/>
        </w:rPr>
        <w:t>3）坚持满足教育教学需求，保证系统功能的完整性、稳定性、可用性、正常运行。</w:t>
      </w:r>
    </w:p>
    <w:p>
      <w:pPr>
        <w:pStyle w:val="4"/>
        <w:ind w:left="614" w:leftChars="67" w:hanging="473" w:hangingChars="157"/>
        <w:rPr>
          <w:rFonts w:hint="eastAsia" w:cs="宋体"/>
          <w:sz w:val="30"/>
          <w:szCs w:val="30"/>
        </w:rPr>
      </w:pPr>
      <w:bookmarkStart w:id="281" w:name="_Toc73000913"/>
      <w:bookmarkStart w:id="282" w:name="_Toc28094"/>
      <w:bookmarkStart w:id="283" w:name="_Toc19593"/>
      <w:bookmarkStart w:id="284" w:name="_Toc5265479"/>
      <w:r>
        <w:rPr>
          <w:rFonts w:hint="eastAsia" w:cs="宋体"/>
          <w:sz w:val="30"/>
          <w:szCs w:val="30"/>
        </w:rPr>
        <w:t>3.2设计原则</w:t>
      </w:r>
      <w:bookmarkEnd w:id="281"/>
      <w:bookmarkEnd w:id="282"/>
      <w:bookmarkEnd w:id="283"/>
    </w:p>
    <w:bookmarkEnd w:id="284"/>
    <w:p>
      <w:pPr>
        <w:spacing w:line="360" w:lineRule="auto"/>
        <w:ind w:firstLine="480" w:firstLineChars="200"/>
        <w:rPr>
          <w:rFonts w:hint="eastAsia"/>
          <w:sz w:val="24"/>
          <w:szCs w:val="32"/>
        </w:rPr>
      </w:pPr>
      <w:r>
        <w:rPr>
          <w:rFonts w:hint="eastAsia"/>
          <w:sz w:val="24"/>
          <w:szCs w:val="32"/>
        </w:rPr>
        <w:t>遵循国家《教育信息化2.0行动计划》，符合《成都市中小学教育技术装备标准（基本型）》和学校当前教育信息现状，本着经济、实用、够用及适度超前的原则，提高办事效率，提升教育教学质量，加快教育现代化建设步伐。为实现信息设备高质、高效互联的目标要求，在系统设计构建上始终坚持以下思想：</w:t>
      </w:r>
    </w:p>
    <w:p>
      <w:pPr>
        <w:spacing w:line="360" w:lineRule="auto"/>
        <w:ind w:firstLine="480" w:firstLineChars="200"/>
        <w:rPr>
          <w:rFonts w:hint="eastAsia"/>
          <w:sz w:val="24"/>
          <w:szCs w:val="32"/>
        </w:rPr>
      </w:pPr>
      <w:r>
        <w:rPr>
          <w:rFonts w:hint="eastAsia"/>
          <w:sz w:val="24"/>
          <w:szCs w:val="32"/>
        </w:rPr>
        <w:t>先进性原则：具有先进成熟的主流技术，并具有长期的发展能力。系统整体设计先进、软硬件设备先进合理。</w:t>
      </w:r>
    </w:p>
    <w:p>
      <w:pPr>
        <w:spacing w:line="360" w:lineRule="auto"/>
        <w:ind w:firstLine="480" w:firstLineChars="200"/>
        <w:rPr>
          <w:rFonts w:hint="eastAsia"/>
          <w:sz w:val="24"/>
          <w:szCs w:val="32"/>
        </w:rPr>
      </w:pPr>
      <w:r>
        <w:rPr>
          <w:rFonts w:hint="eastAsia"/>
          <w:sz w:val="24"/>
          <w:szCs w:val="32"/>
        </w:rPr>
        <w:t>可靠性原则：系统建设的主要目的是为教学服务，必须保证其稳定可靠，能够提供每周7×24小时正常和高效地运行。</w:t>
      </w:r>
    </w:p>
    <w:p>
      <w:pPr>
        <w:spacing w:line="360" w:lineRule="auto"/>
        <w:ind w:firstLine="480" w:firstLineChars="200"/>
        <w:rPr>
          <w:rFonts w:hint="eastAsia"/>
          <w:sz w:val="24"/>
          <w:szCs w:val="32"/>
        </w:rPr>
      </w:pPr>
      <w:r>
        <w:rPr>
          <w:rFonts w:hint="eastAsia"/>
          <w:sz w:val="24"/>
          <w:szCs w:val="32"/>
        </w:rPr>
        <w:t>标准性原则：系统相关设备符合国际标准或工业标准，充分利用不同的应用和不同优势，将它们有机地结合起来。</w:t>
      </w:r>
    </w:p>
    <w:p>
      <w:pPr>
        <w:spacing w:line="360" w:lineRule="auto"/>
        <w:ind w:firstLine="480" w:firstLineChars="200"/>
        <w:rPr>
          <w:rFonts w:hint="eastAsia"/>
          <w:sz w:val="24"/>
          <w:szCs w:val="32"/>
        </w:rPr>
      </w:pPr>
      <w:r>
        <w:rPr>
          <w:rFonts w:hint="eastAsia"/>
          <w:sz w:val="24"/>
          <w:szCs w:val="32"/>
        </w:rPr>
        <w:t>扩充性原则：系统采用的架构和设备要充分体现易升级性，基础设施有扩展能力，包括技术和性能的提升，升级时能最大限度地保护原有的硬件设备和软件投资。</w:t>
      </w:r>
    </w:p>
    <w:p>
      <w:pPr>
        <w:spacing w:line="360" w:lineRule="auto"/>
        <w:ind w:firstLine="480" w:firstLineChars="200"/>
        <w:rPr>
          <w:rFonts w:hint="eastAsia"/>
          <w:sz w:val="24"/>
          <w:szCs w:val="32"/>
        </w:rPr>
      </w:pPr>
      <w:r>
        <w:rPr>
          <w:rFonts w:hint="eastAsia"/>
          <w:sz w:val="24"/>
          <w:szCs w:val="32"/>
        </w:rPr>
        <w:t>实用性原则：系统中的设备和软件在满足先进性的同时，具有良好的实用性和性能价格比。</w:t>
      </w:r>
    </w:p>
    <w:p>
      <w:pPr>
        <w:pStyle w:val="4"/>
        <w:rPr>
          <w:rFonts w:hint="eastAsia" w:cs="宋体"/>
          <w:sz w:val="30"/>
          <w:szCs w:val="30"/>
        </w:rPr>
      </w:pPr>
      <w:bookmarkStart w:id="285" w:name="_Toc32022"/>
      <w:bookmarkStart w:id="286" w:name="_Toc73000914"/>
      <w:bookmarkStart w:id="287" w:name="_Toc17140"/>
      <w:r>
        <w:rPr>
          <w:rFonts w:hint="eastAsia" w:cs="宋体"/>
          <w:sz w:val="30"/>
          <w:szCs w:val="30"/>
        </w:rPr>
        <w:t>3.3</w:t>
      </w:r>
      <w:bookmarkStart w:id="288" w:name="_Toc5265480"/>
      <w:r>
        <w:rPr>
          <w:rFonts w:hint="eastAsia" w:cs="宋体"/>
          <w:sz w:val="30"/>
          <w:szCs w:val="30"/>
        </w:rPr>
        <w:t>测算依据</w:t>
      </w:r>
      <w:bookmarkEnd w:id="285"/>
      <w:bookmarkEnd w:id="286"/>
      <w:bookmarkEnd w:id="287"/>
      <w:bookmarkEnd w:id="288"/>
    </w:p>
    <w:p>
      <w:pPr>
        <w:spacing w:line="360" w:lineRule="auto"/>
        <w:ind w:firstLine="480" w:firstLineChars="200"/>
        <w:rPr>
          <w:rFonts w:hint="eastAsia"/>
          <w:sz w:val="24"/>
          <w:szCs w:val="32"/>
        </w:rPr>
      </w:pPr>
      <w:r>
        <w:rPr>
          <w:rFonts w:hint="eastAsia"/>
          <w:sz w:val="24"/>
          <w:szCs w:val="32"/>
        </w:rPr>
        <w:t>设备采购方案技术参数及预算来源依据：一是2020年过行政审批局评审且已经完成实施的3所新建学校电教设备方案；二是省、市电教设备装备参考标准；三是近期四川政府采购网学校电教设备采购信息。</w:t>
      </w:r>
    </w:p>
    <w:p>
      <w:pPr>
        <w:spacing w:line="500" w:lineRule="exact"/>
        <w:ind w:firstLine="480" w:firstLineChars="200"/>
        <w:rPr>
          <w:rFonts w:hint="eastAsia" w:cs="Times New Roman"/>
          <w:color w:val="000000"/>
          <w:sz w:val="24"/>
          <w:szCs w:val="24"/>
        </w:rPr>
      </w:pPr>
    </w:p>
    <w:p>
      <w:pPr>
        <w:pStyle w:val="4"/>
        <w:rPr>
          <w:rFonts w:hint="eastAsia"/>
          <w:b w:val="0"/>
          <w:bCs w:val="0"/>
          <w:color w:val="000000"/>
        </w:rPr>
      </w:pPr>
      <w:bookmarkStart w:id="289" w:name="_Toc477247441"/>
      <w:bookmarkEnd w:id="289"/>
      <w:bookmarkStart w:id="290" w:name="_Toc1463610"/>
      <w:bookmarkEnd w:id="290"/>
      <w:bookmarkStart w:id="291" w:name="_Toc501357208"/>
      <w:bookmarkEnd w:id="291"/>
      <w:bookmarkStart w:id="292" w:name="_Toc507081006"/>
      <w:bookmarkEnd w:id="292"/>
      <w:bookmarkStart w:id="293" w:name="_Toc45021045"/>
      <w:bookmarkEnd w:id="293"/>
      <w:bookmarkStart w:id="294" w:name="_Toc23285"/>
      <w:bookmarkStart w:id="295" w:name="_Toc10525"/>
      <w:bookmarkStart w:id="296" w:name="_Toc25761"/>
      <w:bookmarkStart w:id="297" w:name="_Toc5198584"/>
      <w:r>
        <w:rPr>
          <w:rFonts w:hint="eastAsia" w:cs="宋体"/>
          <w:sz w:val="30"/>
          <w:szCs w:val="30"/>
        </w:rPr>
        <w:t>3.4功能要求</w:t>
      </w:r>
      <w:bookmarkEnd w:id="294"/>
      <w:bookmarkEnd w:id="295"/>
    </w:p>
    <w:bookmarkEnd w:id="296"/>
    <w:bookmarkEnd w:id="297"/>
    <w:p>
      <w:pPr>
        <w:pStyle w:val="5"/>
        <w:rPr>
          <w:rFonts w:hint="eastAsia"/>
          <w:sz w:val="28"/>
        </w:rPr>
      </w:pPr>
      <w:bookmarkStart w:id="298" w:name="_Toc5198590"/>
      <w:bookmarkEnd w:id="298"/>
      <w:bookmarkStart w:id="299" w:name="_Toc507081007"/>
      <w:bookmarkEnd w:id="299"/>
      <w:bookmarkStart w:id="300" w:name="_Toc1463616"/>
      <w:bookmarkEnd w:id="300"/>
      <w:bookmarkStart w:id="301" w:name="_Toc45021046"/>
      <w:bookmarkStart w:id="302" w:name="_Toc21012"/>
      <w:bookmarkStart w:id="303" w:name="_Toc29509"/>
      <w:bookmarkStart w:id="304" w:name="_Toc28495"/>
      <w:r>
        <w:rPr>
          <w:rFonts w:hint="eastAsia"/>
          <w:sz w:val="28"/>
        </w:rPr>
        <w:t>3.4.1</w:t>
      </w:r>
      <w:bookmarkEnd w:id="301"/>
      <w:r>
        <w:rPr>
          <w:rFonts w:hint="eastAsia"/>
          <w:sz w:val="28"/>
          <w:lang w:eastAsia="zh-CN"/>
        </w:rPr>
        <w:t>机房</w:t>
      </w:r>
      <w:r>
        <w:rPr>
          <w:rFonts w:hint="eastAsia"/>
          <w:sz w:val="28"/>
        </w:rPr>
        <w:t>设备</w:t>
      </w:r>
      <w:bookmarkEnd w:id="302"/>
      <w:bookmarkEnd w:id="303"/>
      <w:bookmarkEnd w:id="304"/>
    </w:p>
    <w:p>
      <w:pPr>
        <w:spacing w:line="500" w:lineRule="exact"/>
        <w:ind w:firstLine="480" w:firstLineChars="200"/>
        <w:rPr>
          <w:rFonts w:hint="eastAsia" w:cs="Times New Roman"/>
          <w:color w:val="000000"/>
          <w:sz w:val="32"/>
          <w:szCs w:val="32"/>
        </w:rPr>
      </w:pPr>
      <w:r>
        <w:rPr>
          <w:rFonts w:hint="eastAsia" w:cs="Times New Roman"/>
          <w:color w:val="000000"/>
          <w:sz w:val="24"/>
          <w:szCs w:val="28"/>
        </w:rPr>
        <w:t>机房设备为了方便管理采用普通计算机电脑+云教学软件的方式，教师电脑通过云教学软件来管控学生电脑具备对学生机自主快速恢复和还原功能，可</w:t>
      </w:r>
      <w:r>
        <w:rPr>
          <w:rFonts w:cs="Times New Roman"/>
          <w:color w:val="000000"/>
          <w:sz w:val="24"/>
          <w:szCs w:val="28"/>
        </w:rPr>
        <w:t>1分钟内将系统回溯到健康状态</w:t>
      </w:r>
      <w:r>
        <w:rPr>
          <w:rFonts w:hint="eastAsia" w:cs="Times New Roman"/>
          <w:color w:val="000000"/>
          <w:sz w:val="24"/>
          <w:szCs w:val="28"/>
        </w:rPr>
        <w:t>，实现老师对学生进行屏幕广播教学、文件分发、锁屏、禁网等操作来完成教学实现各种功能达到教学目的。</w:t>
      </w:r>
    </w:p>
    <w:p>
      <w:pPr>
        <w:widowControl/>
        <w:jc w:val="left"/>
        <w:rPr>
          <w:kern w:val="0"/>
          <w:sz w:val="24"/>
          <w:szCs w:val="24"/>
        </w:rPr>
      </w:pPr>
    </w:p>
    <w:p>
      <w:pPr>
        <w:widowControl/>
        <w:jc w:val="left"/>
        <w:rPr>
          <w:kern w:val="0"/>
          <w:sz w:val="24"/>
          <w:szCs w:val="24"/>
        </w:rPr>
      </w:pPr>
    </w:p>
    <w:p>
      <w:pPr>
        <w:pStyle w:val="5"/>
        <w:rPr>
          <w:rFonts w:hint="eastAsia"/>
          <w:sz w:val="28"/>
          <w:lang w:eastAsia="zh-CN"/>
        </w:rPr>
      </w:pPr>
      <w:bookmarkStart w:id="305" w:name="_Toc507081008"/>
      <w:bookmarkEnd w:id="305"/>
      <w:bookmarkStart w:id="306" w:name="_Toc1463618"/>
      <w:bookmarkEnd w:id="306"/>
      <w:bookmarkStart w:id="307" w:name="_Toc507081014"/>
      <w:bookmarkEnd w:id="307"/>
      <w:bookmarkStart w:id="308" w:name="_Toc45021047"/>
      <w:bookmarkEnd w:id="308"/>
      <w:bookmarkStart w:id="309" w:name="_Toc5198592"/>
      <w:bookmarkStart w:id="310" w:name="_Toc28460"/>
      <w:bookmarkStart w:id="311" w:name="_Toc24011"/>
      <w:bookmarkStart w:id="312" w:name="_Toc29519"/>
      <w:r>
        <w:rPr>
          <w:rFonts w:hint="eastAsia"/>
          <w:sz w:val="28"/>
        </w:rPr>
        <w:t>3.</w:t>
      </w:r>
      <w:bookmarkEnd w:id="309"/>
      <w:r>
        <w:rPr>
          <w:rFonts w:hint="eastAsia"/>
          <w:sz w:val="28"/>
        </w:rPr>
        <w:t>4.2</w:t>
      </w:r>
      <w:bookmarkEnd w:id="310"/>
      <w:r>
        <w:rPr>
          <w:rFonts w:hint="eastAsia"/>
          <w:sz w:val="28"/>
          <w:lang w:eastAsia="zh-CN"/>
        </w:rPr>
        <w:t>创客设备</w:t>
      </w:r>
      <w:bookmarkEnd w:id="311"/>
      <w:bookmarkEnd w:id="312"/>
    </w:p>
    <w:p>
      <w:pPr>
        <w:widowControl/>
        <w:spacing w:line="360" w:lineRule="auto"/>
        <w:ind w:firstLine="480" w:firstLineChars="200"/>
        <w:jc w:val="left"/>
        <w:rPr>
          <w:rFonts w:cs="Times New Roman"/>
          <w:color w:val="000000"/>
          <w:sz w:val="24"/>
          <w:szCs w:val="28"/>
        </w:rPr>
      </w:pPr>
      <w:r>
        <w:rPr>
          <w:rFonts w:hint="eastAsia" w:cs="Times New Roman"/>
          <w:color w:val="000000"/>
          <w:sz w:val="24"/>
          <w:szCs w:val="28"/>
        </w:rPr>
        <w:t>教师要通过智慧创客学习软件登录学习平台来获取教材相关的学习资源、课程案例示范，把创客设备3D打印机等创客设备让学生自己动手操作起来。学生通过登录学习平台完成课前预习，课中提问，课后复习三大板块教育核心理念，达到学习事半功倍的效果。</w:t>
      </w:r>
    </w:p>
    <w:p>
      <w:pPr>
        <w:widowControl/>
        <w:jc w:val="left"/>
        <w:rPr>
          <w:rFonts w:cs="Times New Roman"/>
          <w:color w:val="000000"/>
        </w:rPr>
      </w:pPr>
      <w:r>
        <w:rPr>
          <w:rFonts w:cs="Times New Roman"/>
          <w:color w:val="000000"/>
        </w:rPr>
        <w:t xml:space="preserve"> </w:t>
      </w:r>
    </w:p>
    <w:p>
      <w:pPr>
        <w:widowControl/>
        <w:jc w:val="left"/>
        <w:rPr>
          <w:rFonts w:cs="Times New Roman"/>
          <w:color w:val="000000"/>
        </w:rPr>
      </w:pPr>
      <w:r>
        <w:rPr>
          <w:rFonts w:hint="eastAsia" w:cs="Times New Roman"/>
          <w:color w:val="000000"/>
        </w:rPr>
        <w:t xml:space="preserve">   </w:t>
      </w:r>
      <w:r>
        <w:fldChar w:fldCharType="begin"/>
      </w:r>
      <w:r>
        <w:instrText xml:space="preserve"> INCLUDEPICTURE "C:\\Users\\hp\\AppData\\Local\\Temp\\ksohtml12248\\wps4.jpg" \* MERGEFORMAT </w:instrText>
      </w:r>
      <w:r>
        <w:fldChar w:fldCharType="separate"/>
      </w:r>
      <w:r>
        <w:rPr>
          <w:color w:val="000000"/>
        </w:rPr>
        <w:drawing>
          <wp:inline distT="0" distB="0" distL="114300" distR="114300">
            <wp:extent cx="4876800" cy="2076450"/>
            <wp:effectExtent l="0" t="0" r="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r:link="rId11"/>
                    <a:stretch>
                      <a:fillRect/>
                    </a:stretch>
                  </pic:blipFill>
                  <pic:spPr>
                    <a:xfrm>
                      <a:off x="0" y="0"/>
                      <a:ext cx="4876800" cy="2076450"/>
                    </a:xfrm>
                    <a:prstGeom prst="rect">
                      <a:avLst/>
                    </a:prstGeom>
                    <a:noFill/>
                    <a:ln>
                      <a:noFill/>
                    </a:ln>
                  </pic:spPr>
                </pic:pic>
              </a:graphicData>
            </a:graphic>
          </wp:inline>
        </w:drawing>
      </w:r>
      <w:r>
        <w:fldChar w:fldCharType="end"/>
      </w:r>
    </w:p>
    <w:p>
      <w:pPr>
        <w:widowControl/>
        <w:jc w:val="left"/>
        <w:rPr>
          <w:rFonts w:cs="Times New Roman"/>
          <w:color w:val="000000"/>
        </w:rPr>
      </w:pPr>
      <w:r>
        <w:rPr>
          <w:rFonts w:cs="Times New Roman"/>
          <w:color w:val="000000"/>
        </w:rPr>
        <w:t xml:space="preserve"> </w:t>
      </w:r>
    </w:p>
    <w:p>
      <w:pPr>
        <w:widowControl/>
        <w:spacing w:line="360" w:lineRule="auto"/>
        <w:jc w:val="left"/>
        <w:rPr>
          <w:rFonts w:cs="Times New Roman"/>
          <w:color w:val="000000"/>
        </w:rPr>
      </w:pPr>
      <w:r>
        <w:rPr>
          <w:rFonts w:hint="eastAsia" w:cs="Times New Roman"/>
          <w:color w:val="000000"/>
        </w:rPr>
        <w:t xml:space="preserve">   </w:t>
      </w:r>
      <w:r>
        <w:rPr>
          <w:rFonts w:hint="eastAsia" w:cs="Times New Roman"/>
          <w:color w:val="000000"/>
          <w:sz w:val="24"/>
          <w:szCs w:val="24"/>
        </w:rPr>
        <w:t>其中还要求了多次到校培训，来培训日常的交互教学、编程课程以及参加成都市创客相关创客比赛。</w:t>
      </w:r>
    </w:p>
    <w:p>
      <w:pPr>
        <w:pStyle w:val="3"/>
        <w:rPr>
          <w:rFonts w:hint="eastAsia" w:cs="宋体"/>
          <w:sz w:val="32"/>
        </w:rPr>
      </w:pPr>
      <w:bookmarkStart w:id="313" w:name="_Toc1463621"/>
      <w:bookmarkEnd w:id="313"/>
      <w:bookmarkStart w:id="314" w:name="_Toc507081015"/>
      <w:bookmarkEnd w:id="314"/>
      <w:bookmarkStart w:id="315" w:name="_Toc45021048"/>
      <w:bookmarkEnd w:id="315"/>
      <w:bookmarkStart w:id="316" w:name="_Toc853"/>
      <w:bookmarkStart w:id="317" w:name="_Toc73000922"/>
      <w:bookmarkStart w:id="318" w:name="_Toc7172"/>
      <w:r>
        <w:rPr>
          <w:rFonts w:hint="eastAsia" w:cs="宋体"/>
          <w:sz w:val="32"/>
        </w:rPr>
        <w:t>四、实施计划</w:t>
      </w:r>
      <w:bookmarkEnd w:id="316"/>
      <w:bookmarkEnd w:id="317"/>
      <w:bookmarkEnd w:id="318"/>
    </w:p>
    <w:p>
      <w:pPr>
        <w:spacing w:line="360" w:lineRule="auto"/>
        <w:ind w:firstLine="480" w:firstLineChars="200"/>
        <w:rPr>
          <w:rFonts w:hint="eastAsia"/>
          <w:sz w:val="24"/>
          <w:szCs w:val="24"/>
        </w:rPr>
      </w:pPr>
      <w:bookmarkStart w:id="319" w:name="_Toc8611"/>
      <w:bookmarkStart w:id="320" w:name="_Toc73000923"/>
      <w:r>
        <w:rPr>
          <w:rFonts w:hint="eastAsia"/>
          <w:sz w:val="24"/>
          <w:szCs w:val="24"/>
        </w:rPr>
        <w:t>实施计划详见1.5.4建设周期。</w:t>
      </w: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cs="宋体"/>
          <w:sz w:val="32"/>
        </w:rPr>
      </w:pPr>
      <w:bookmarkStart w:id="321" w:name="_Toc7600"/>
      <w:r>
        <w:rPr>
          <w:rFonts w:hint="eastAsia" w:cs="宋体"/>
          <w:sz w:val="32"/>
        </w:rPr>
        <w:t>五、人员培训</w:t>
      </w:r>
      <w:bookmarkEnd w:id="319"/>
      <w:bookmarkEnd w:id="320"/>
      <w:bookmarkEnd w:id="321"/>
    </w:p>
    <w:p>
      <w:pPr>
        <w:spacing w:line="360" w:lineRule="auto"/>
        <w:rPr>
          <w:rFonts w:hint="eastAsia"/>
          <w:sz w:val="24"/>
          <w:szCs w:val="24"/>
        </w:rPr>
      </w:pPr>
      <w:r>
        <w:rPr>
          <w:rFonts w:hint="eastAsia"/>
          <w:szCs w:val="24"/>
        </w:rPr>
        <w:t>培</w:t>
      </w:r>
      <w:r>
        <w:rPr>
          <w:rFonts w:hint="eastAsia"/>
          <w:sz w:val="24"/>
          <w:szCs w:val="24"/>
        </w:rPr>
        <w:t>训地点：学校指定地点</w:t>
      </w:r>
    </w:p>
    <w:p>
      <w:pPr>
        <w:spacing w:line="360" w:lineRule="auto"/>
        <w:rPr>
          <w:rFonts w:hint="eastAsia"/>
          <w:sz w:val="24"/>
          <w:szCs w:val="24"/>
        </w:rPr>
      </w:pPr>
      <w:r>
        <w:rPr>
          <w:rFonts w:hint="eastAsia"/>
          <w:sz w:val="24"/>
          <w:szCs w:val="24"/>
        </w:rPr>
        <w:t>培训时间：安装调试完毕后采购方确定</w:t>
      </w:r>
    </w:p>
    <w:p>
      <w:pPr>
        <w:spacing w:line="360" w:lineRule="auto"/>
        <w:rPr>
          <w:rFonts w:hint="eastAsia"/>
          <w:sz w:val="24"/>
          <w:szCs w:val="24"/>
        </w:rPr>
      </w:pPr>
      <w:r>
        <w:rPr>
          <w:rFonts w:hint="eastAsia"/>
          <w:sz w:val="24"/>
          <w:szCs w:val="24"/>
        </w:rPr>
        <w:t>培训目标：让学校管理者，使用的老师学会每一个系统的各项功能能够正常使用。</w:t>
      </w:r>
    </w:p>
    <w:p>
      <w:pPr>
        <w:spacing w:line="360" w:lineRule="auto"/>
        <w:rPr>
          <w:rFonts w:hint="eastAsia"/>
          <w:sz w:val="24"/>
          <w:szCs w:val="24"/>
        </w:rPr>
      </w:pPr>
      <w:r>
        <w:rPr>
          <w:rFonts w:hint="eastAsia"/>
          <w:sz w:val="24"/>
          <w:szCs w:val="24"/>
        </w:rPr>
        <w:t>培训人数：具体参加人员由学校确定，每次培训不少于10人以上老师参加。</w:t>
      </w:r>
    </w:p>
    <w:p>
      <w:pPr>
        <w:spacing w:line="360" w:lineRule="auto"/>
        <w:rPr>
          <w:rFonts w:hint="eastAsia"/>
          <w:sz w:val="24"/>
          <w:szCs w:val="24"/>
        </w:rPr>
      </w:pPr>
      <w:r>
        <w:rPr>
          <w:rFonts w:hint="eastAsia"/>
          <w:sz w:val="24"/>
          <w:szCs w:val="24"/>
        </w:rPr>
        <w:t>培训办法：</w:t>
      </w:r>
    </w:p>
    <w:p>
      <w:pPr>
        <w:spacing w:line="360" w:lineRule="auto"/>
        <w:ind w:firstLine="480" w:firstLineChars="200"/>
        <w:rPr>
          <w:sz w:val="24"/>
          <w:szCs w:val="24"/>
        </w:rPr>
        <w:sectPr>
          <w:pgSz w:w="11906" w:h="16838"/>
          <w:pgMar w:top="1440" w:right="1800" w:bottom="1440" w:left="1800" w:header="708" w:footer="708" w:gutter="0"/>
          <w:cols w:space="720" w:num="1"/>
          <w:docGrid w:linePitch="360" w:charSpace="0"/>
        </w:sectPr>
      </w:pPr>
      <w:r>
        <w:rPr>
          <w:rFonts w:hint="eastAsia"/>
          <w:sz w:val="24"/>
          <w:szCs w:val="24"/>
        </w:rPr>
        <w:t>设备到现场进行安装调试，对管理技术工作老师进行设备的安装、使用、操作、维修、保养等现场免费基本培训。保证管理老师人员对设备全面的了解认识、掌握正确的使用方法和设备的运行维护技术（并提供安装使用、维护说明书包括电子文档等</w:t>
      </w:r>
    </w:p>
    <w:p>
      <w:pPr>
        <w:pStyle w:val="3"/>
        <w:rPr>
          <w:rFonts w:hint="eastAsia" w:cs="宋体"/>
          <w:sz w:val="32"/>
        </w:rPr>
      </w:pPr>
      <w:bookmarkStart w:id="322" w:name="_Toc73000924"/>
      <w:bookmarkStart w:id="323" w:name="_Toc4671694"/>
      <w:bookmarkStart w:id="324" w:name="_Toc4083956"/>
      <w:bookmarkStart w:id="325" w:name="_Toc10761_WPSOffice_Level1"/>
      <w:bookmarkStart w:id="326" w:name="_Toc13388"/>
      <w:bookmarkStart w:id="327" w:name="_Toc4746024"/>
      <w:bookmarkStart w:id="328" w:name="_Toc597"/>
      <w:r>
        <w:rPr>
          <w:rFonts w:hint="eastAsia" w:cs="宋体"/>
          <w:sz w:val="32"/>
        </w:rPr>
        <w:t>六、运行维护</w:t>
      </w:r>
      <w:bookmarkEnd w:id="322"/>
      <w:bookmarkEnd w:id="323"/>
      <w:bookmarkEnd w:id="324"/>
      <w:bookmarkEnd w:id="325"/>
      <w:bookmarkEnd w:id="326"/>
      <w:bookmarkEnd w:id="327"/>
      <w:bookmarkEnd w:id="328"/>
    </w:p>
    <w:p>
      <w:pPr>
        <w:pStyle w:val="207"/>
        <w:adjustRightInd w:val="0"/>
        <w:snapToGrid w:val="0"/>
        <w:spacing w:line="360" w:lineRule="auto"/>
        <w:ind w:left="61" w:leftChars="29" w:firstLine="482"/>
        <w:rPr>
          <w:rFonts w:hint="eastAsia"/>
          <w:sz w:val="24"/>
          <w:szCs w:val="24"/>
        </w:rPr>
      </w:pPr>
      <w:bookmarkStart w:id="329" w:name="_Toc27434_WPSOffice_Level2"/>
      <w:bookmarkStart w:id="330" w:name="_Toc4083957"/>
      <w:r>
        <w:rPr>
          <w:rFonts w:hint="eastAsia"/>
          <w:b/>
          <w:sz w:val="24"/>
          <w:szCs w:val="24"/>
        </w:rPr>
        <w:t>质量保证期</w:t>
      </w:r>
      <w:r>
        <w:rPr>
          <w:rFonts w:hint="eastAsia"/>
          <w:sz w:val="24"/>
          <w:szCs w:val="24"/>
        </w:rPr>
        <w:t>：</w:t>
      </w:r>
      <w:bookmarkEnd w:id="329"/>
    </w:p>
    <w:p>
      <w:pPr>
        <w:spacing w:line="360" w:lineRule="auto"/>
        <w:ind w:firstLine="480" w:firstLineChars="200"/>
        <w:rPr>
          <w:rFonts w:hint="eastAsia"/>
          <w:sz w:val="24"/>
          <w:szCs w:val="24"/>
        </w:rPr>
      </w:pPr>
      <w:r>
        <w:rPr>
          <w:rFonts w:hint="eastAsia"/>
          <w:sz w:val="24"/>
          <w:szCs w:val="24"/>
        </w:rPr>
        <w:t>本项目的所有产品质保3年，质保期内因产品质量问题，提供7x24免费上门保修服务。需要提供服务含电话咨询服务、远程技术服务、现场技术支撑等。</w:t>
      </w:r>
    </w:p>
    <w:p>
      <w:pPr>
        <w:spacing w:line="360" w:lineRule="auto"/>
        <w:rPr>
          <w:rFonts w:hint="eastAsia"/>
          <w:sz w:val="24"/>
          <w:szCs w:val="24"/>
        </w:rPr>
      </w:pPr>
      <w:r>
        <w:rPr>
          <w:rFonts w:hint="eastAsia"/>
          <w:sz w:val="24"/>
          <w:szCs w:val="24"/>
        </w:rPr>
        <w:t>运行维护措施：</w:t>
      </w:r>
    </w:p>
    <w:p>
      <w:pPr>
        <w:spacing w:line="360" w:lineRule="auto"/>
        <w:rPr>
          <w:rFonts w:hint="eastAsia"/>
          <w:sz w:val="24"/>
          <w:szCs w:val="24"/>
        </w:rPr>
      </w:pPr>
      <w:r>
        <w:rPr>
          <w:rFonts w:hint="eastAsia"/>
          <w:sz w:val="24"/>
          <w:szCs w:val="24"/>
        </w:rPr>
        <w:t>1、有完善独立的售后服务机构，一旦在设备使用过程中出现问题，需要更换，或者维修，都将在第一时间处理响应。</w:t>
      </w:r>
    </w:p>
    <w:p>
      <w:pPr>
        <w:spacing w:line="360" w:lineRule="auto"/>
        <w:rPr>
          <w:rFonts w:hint="eastAsia"/>
          <w:sz w:val="24"/>
          <w:szCs w:val="24"/>
        </w:rPr>
      </w:pPr>
      <w:r>
        <w:rPr>
          <w:rFonts w:hint="eastAsia"/>
          <w:sz w:val="24"/>
          <w:szCs w:val="24"/>
        </w:rPr>
        <w:t>2、在质保期内硬件维修、更换和软件故障排除、系统恢复、软件升级等所需的一切免费，提供本地化的系统软件升级服务，备有一定数量的备品备件。</w:t>
      </w:r>
    </w:p>
    <w:p>
      <w:pPr>
        <w:spacing w:line="360" w:lineRule="auto"/>
        <w:rPr>
          <w:rFonts w:hint="eastAsia"/>
          <w:sz w:val="24"/>
          <w:szCs w:val="24"/>
        </w:rPr>
      </w:pPr>
      <w:bookmarkStart w:id="331" w:name="_Toc329022466"/>
      <w:r>
        <w:rPr>
          <w:rFonts w:hint="eastAsia"/>
          <w:sz w:val="24"/>
          <w:szCs w:val="24"/>
        </w:rPr>
        <w:t>3、维修维护响应时间</w:t>
      </w:r>
      <w:bookmarkEnd w:id="331"/>
    </w:p>
    <w:p>
      <w:pPr>
        <w:spacing w:line="360" w:lineRule="auto"/>
        <w:ind w:firstLine="480" w:firstLineChars="200"/>
        <w:rPr>
          <w:rFonts w:hint="eastAsia"/>
          <w:sz w:val="24"/>
          <w:szCs w:val="24"/>
        </w:rPr>
      </w:pPr>
      <w:r>
        <w:rPr>
          <w:rFonts w:hint="eastAsia"/>
          <w:sz w:val="24"/>
          <w:szCs w:val="24"/>
        </w:rPr>
        <w:t>接到报障通知，</w:t>
      </w:r>
      <w:bookmarkStart w:id="332" w:name="_Toc329022467"/>
      <w:r>
        <w:rPr>
          <w:rFonts w:hint="eastAsia"/>
          <w:sz w:val="24"/>
          <w:szCs w:val="24"/>
        </w:rPr>
        <w:t>维护电话响应不能解决的非硬件故障在2小时内到达现场，并在到达现场后4小时内修复故障。</w:t>
      </w:r>
    </w:p>
    <w:p>
      <w:pPr>
        <w:spacing w:line="360" w:lineRule="auto"/>
        <w:rPr>
          <w:rFonts w:hint="eastAsia"/>
          <w:sz w:val="24"/>
          <w:szCs w:val="24"/>
        </w:rPr>
      </w:pPr>
      <w:r>
        <w:rPr>
          <w:rFonts w:hint="eastAsia"/>
          <w:sz w:val="24"/>
          <w:szCs w:val="24"/>
        </w:rPr>
        <w:t>4、软、硬件升级及故障</w:t>
      </w:r>
      <w:bookmarkEnd w:id="332"/>
    </w:p>
    <w:p>
      <w:pPr>
        <w:spacing w:line="360" w:lineRule="auto"/>
        <w:ind w:firstLine="480" w:firstLineChars="200"/>
        <w:rPr>
          <w:rFonts w:hint="eastAsia"/>
          <w:sz w:val="24"/>
          <w:szCs w:val="24"/>
        </w:rPr>
      </w:pPr>
      <w:r>
        <w:rPr>
          <w:rFonts w:hint="eastAsia"/>
          <w:sz w:val="24"/>
          <w:szCs w:val="24"/>
        </w:rPr>
        <w:t>软件升级情况：免费提供软件升级服务。</w:t>
      </w:r>
    </w:p>
    <w:p>
      <w:pPr>
        <w:spacing w:line="360" w:lineRule="auto"/>
        <w:rPr>
          <w:rFonts w:hint="eastAsia"/>
          <w:sz w:val="24"/>
          <w:szCs w:val="24"/>
        </w:rPr>
      </w:pPr>
      <w:bookmarkStart w:id="333" w:name="_Toc329022468"/>
      <w:r>
        <w:rPr>
          <w:rFonts w:hint="eastAsia"/>
          <w:sz w:val="24"/>
          <w:szCs w:val="24"/>
        </w:rPr>
        <w:t>5、备件替换服务</w:t>
      </w:r>
      <w:bookmarkEnd w:id="333"/>
    </w:p>
    <w:p>
      <w:pPr>
        <w:spacing w:line="360" w:lineRule="auto"/>
        <w:ind w:firstLine="480" w:firstLineChars="200"/>
        <w:rPr>
          <w:rFonts w:hint="eastAsia"/>
          <w:sz w:val="24"/>
          <w:szCs w:val="24"/>
        </w:rPr>
      </w:pPr>
      <w:r>
        <w:rPr>
          <w:rFonts w:hint="eastAsia"/>
          <w:sz w:val="24"/>
          <w:szCs w:val="24"/>
        </w:rPr>
        <w:t>质保期间需要备有充足的备件、配件，及时提供技术具备服务和备件服务。</w:t>
      </w:r>
      <w:bookmarkStart w:id="334" w:name="_Toc329022469"/>
    </w:p>
    <w:p>
      <w:pPr>
        <w:spacing w:line="360" w:lineRule="auto"/>
        <w:rPr>
          <w:rFonts w:hint="eastAsia"/>
          <w:sz w:val="24"/>
          <w:szCs w:val="24"/>
        </w:rPr>
      </w:pPr>
      <w:r>
        <w:rPr>
          <w:rFonts w:hint="eastAsia"/>
          <w:sz w:val="24"/>
          <w:szCs w:val="24"/>
        </w:rPr>
        <w:t>6、巡检服务</w:t>
      </w:r>
      <w:bookmarkEnd w:id="334"/>
    </w:p>
    <w:p>
      <w:pPr>
        <w:spacing w:line="360" w:lineRule="auto"/>
        <w:ind w:firstLine="480" w:firstLineChars="200"/>
        <w:rPr>
          <w:rFonts w:hint="eastAsia"/>
          <w:sz w:val="24"/>
          <w:szCs w:val="24"/>
        </w:rPr>
      </w:pPr>
      <w:r>
        <w:rPr>
          <w:rFonts w:hint="eastAsia"/>
          <w:sz w:val="24"/>
          <w:szCs w:val="24"/>
        </w:rPr>
        <w:t>质保期内技术人员每三个月定期对所供的设备进行上门巡检服务，确保系统设备的正常运行。如果设备过质保期，要求厂家只是收取配件成本费用。</w:t>
      </w:r>
    </w:p>
    <w:p>
      <w:pPr>
        <w:spacing w:line="480" w:lineRule="auto"/>
        <w:ind w:firstLine="420" w:firstLineChars="200"/>
        <w:rPr>
          <w:rFonts w:hint="eastAsia"/>
          <w:szCs w:val="24"/>
        </w:rPr>
      </w:pPr>
    </w:p>
    <w:p>
      <w:pPr>
        <w:spacing w:line="480" w:lineRule="auto"/>
        <w:rPr>
          <w:rFonts w:hint="eastAsia"/>
          <w:szCs w:val="24"/>
        </w:rPr>
      </w:pPr>
    </w:p>
    <w:p>
      <w:pPr>
        <w:spacing w:line="480" w:lineRule="auto"/>
        <w:ind w:firstLine="420" w:firstLineChars="200"/>
        <w:rPr>
          <w:rFonts w:hint="eastAsia"/>
          <w:szCs w:val="24"/>
        </w:rPr>
      </w:pPr>
    </w:p>
    <w:p>
      <w:pPr>
        <w:pStyle w:val="3"/>
        <w:rPr>
          <w:rFonts w:hint="eastAsia" w:cs="宋体"/>
          <w:sz w:val="32"/>
        </w:rPr>
      </w:pPr>
      <w:bookmarkStart w:id="335" w:name="_Toc73000925"/>
      <w:bookmarkStart w:id="336" w:name="_Toc8529_WPSOffice_Level1"/>
      <w:bookmarkStart w:id="337" w:name="_Toc4671695"/>
      <w:bookmarkStart w:id="338" w:name="_Toc31579"/>
      <w:bookmarkStart w:id="339" w:name="_Toc27011"/>
      <w:bookmarkStart w:id="340" w:name="_Toc4746025"/>
      <w:r>
        <w:rPr>
          <w:rFonts w:hint="eastAsia" w:cs="宋体"/>
          <w:sz w:val="32"/>
        </w:rPr>
        <w:t>七、其他要求</w:t>
      </w:r>
      <w:bookmarkEnd w:id="330"/>
      <w:bookmarkEnd w:id="335"/>
      <w:bookmarkEnd w:id="336"/>
      <w:bookmarkEnd w:id="337"/>
      <w:bookmarkEnd w:id="338"/>
      <w:bookmarkEnd w:id="339"/>
      <w:bookmarkEnd w:id="340"/>
    </w:p>
    <w:p>
      <w:pPr>
        <w:pStyle w:val="4"/>
        <w:rPr>
          <w:rFonts w:hint="eastAsia" w:cs="宋体"/>
        </w:rPr>
      </w:pPr>
      <w:bookmarkStart w:id="341" w:name="_Toc507081017"/>
      <w:bookmarkStart w:id="342" w:name="_Toc8314"/>
      <w:bookmarkStart w:id="343" w:name="_Toc4083958"/>
      <w:bookmarkStart w:id="344" w:name="_Toc73000926"/>
      <w:bookmarkStart w:id="345" w:name="_Toc19948_WPSOffice_Level2"/>
      <w:bookmarkStart w:id="346" w:name="_Toc4671696"/>
      <w:bookmarkStart w:id="347" w:name="_Toc516130412"/>
      <w:bookmarkStart w:id="348" w:name="_Toc516130555"/>
      <w:bookmarkStart w:id="349" w:name="_Toc12180"/>
      <w:bookmarkStart w:id="350" w:name="_Toc4746026"/>
      <w:r>
        <w:rPr>
          <w:rFonts w:hint="eastAsia" w:cs="宋体"/>
        </w:rPr>
        <w:t>7.1质量要求</w:t>
      </w:r>
      <w:bookmarkEnd w:id="341"/>
      <w:bookmarkEnd w:id="342"/>
      <w:bookmarkEnd w:id="343"/>
      <w:bookmarkEnd w:id="344"/>
      <w:bookmarkEnd w:id="345"/>
      <w:bookmarkEnd w:id="346"/>
      <w:bookmarkEnd w:id="347"/>
      <w:bookmarkEnd w:id="348"/>
      <w:bookmarkEnd w:id="349"/>
      <w:bookmarkEnd w:id="350"/>
    </w:p>
    <w:p>
      <w:pPr>
        <w:pStyle w:val="5"/>
        <w:rPr>
          <w:rFonts w:hint="eastAsia" w:cs="宋体"/>
          <w:szCs w:val="24"/>
        </w:rPr>
      </w:pPr>
      <w:bookmarkStart w:id="351" w:name="_Toc23859"/>
      <w:bookmarkStart w:id="352" w:name="_Toc24920_WPSOffice_Level3"/>
      <w:bookmarkStart w:id="353" w:name="_Toc73000927"/>
      <w:bookmarkStart w:id="354" w:name="_Toc516130413"/>
      <w:bookmarkStart w:id="355" w:name="_Toc507081018"/>
      <w:bookmarkStart w:id="356" w:name="_Toc516130556"/>
      <w:bookmarkStart w:id="357" w:name="_Toc14459"/>
      <w:r>
        <w:rPr>
          <w:rFonts w:hint="eastAsia" w:cs="宋体"/>
          <w:szCs w:val="24"/>
        </w:rPr>
        <w:t>7.1.1确保施工质量</w:t>
      </w:r>
      <w:bookmarkEnd w:id="351"/>
      <w:bookmarkEnd w:id="352"/>
      <w:bookmarkEnd w:id="353"/>
      <w:bookmarkEnd w:id="354"/>
      <w:bookmarkEnd w:id="355"/>
      <w:bookmarkEnd w:id="356"/>
      <w:bookmarkEnd w:id="357"/>
    </w:p>
    <w:p>
      <w:pPr>
        <w:pStyle w:val="207"/>
        <w:spacing w:line="500" w:lineRule="exact"/>
        <w:ind w:firstLine="480" w:firstLineChars="200"/>
        <w:rPr>
          <w:rFonts w:hint="eastAsia"/>
          <w:sz w:val="24"/>
          <w:szCs w:val="24"/>
        </w:rPr>
      </w:pPr>
      <w:r>
        <w:rPr>
          <w:rFonts w:hint="eastAsia"/>
          <w:sz w:val="24"/>
          <w:szCs w:val="24"/>
        </w:rPr>
        <w:t>按ISO9001质量标准建立完善的质量体系，确保工程安装质量符合规定要求；并针对安装、服务过程制定质量措施，确保工程项目、产品质量满足合同规定要求。该质量体系将适用于项目实施的全过程。</w:t>
      </w:r>
    </w:p>
    <w:p>
      <w:pPr>
        <w:pStyle w:val="5"/>
        <w:rPr>
          <w:rFonts w:hint="eastAsia" w:cs="宋体"/>
          <w:szCs w:val="24"/>
        </w:rPr>
      </w:pPr>
      <w:bookmarkStart w:id="358" w:name="_Toc25282"/>
      <w:bookmarkStart w:id="359" w:name="_Toc516130557"/>
      <w:bookmarkStart w:id="360" w:name="_Toc507081019"/>
      <w:bookmarkStart w:id="361" w:name="_Toc4568"/>
      <w:bookmarkStart w:id="362" w:name="_Toc25217_WPSOffice_Level3"/>
      <w:bookmarkStart w:id="363" w:name="_Toc516130414"/>
      <w:bookmarkStart w:id="364" w:name="_Toc73000928"/>
      <w:r>
        <w:rPr>
          <w:rFonts w:hint="eastAsia" w:cs="宋体"/>
          <w:szCs w:val="24"/>
        </w:rPr>
        <w:t>7.1.2工程质量控制</w:t>
      </w:r>
      <w:bookmarkEnd w:id="358"/>
      <w:bookmarkEnd w:id="359"/>
      <w:bookmarkEnd w:id="360"/>
      <w:bookmarkEnd w:id="361"/>
      <w:bookmarkEnd w:id="362"/>
      <w:bookmarkEnd w:id="363"/>
      <w:bookmarkEnd w:id="364"/>
    </w:p>
    <w:p>
      <w:pPr>
        <w:pStyle w:val="207"/>
        <w:spacing w:line="500" w:lineRule="exact"/>
        <w:ind w:firstLine="480" w:firstLineChars="200"/>
        <w:rPr>
          <w:rFonts w:hint="eastAsia"/>
          <w:sz w:val="24"/>
          <w:szCs w:val="24"/>
        </w:rPr>
      </w:pPr>
      <w:r>
        <w:rPr>
          <w:rFonts w:hint="eastAsia"/>
          <w:sz w:val="24"/>
          <w:szCs w:val="24"/>
        </w:rPr>
        <w:t>依据设计的材料清单审核进场材料材质、规格、数量。按照图纸的设计进行材料、设备的安装。项目辅材要有产品的产地、合格证及相关能证明该产品的资料。现场设备、材料的合格证书，产品说明书以及工程中发生的往来文件均以文档资料的形式妥善保管，便于追溯。对于安装的设备、数量进行校对确认并做好记录。</w:t>
      </w:r>
    </w:p>
    <w:p>
      <w:pPr>
        <w:pStyle w:val="4"/>
        <w:rPr>
          <w:rFonts w:hint="eastAsia" w:cs="宋体"/>
        </w:rPr>
      </w:pPr>
      <w:bookmarkStart w:id="365" w:name="_Toc11956_WPSOffice_Level2"/>
      <w:bookmarkStart w:id="366" w:name="_Toc516130558"/>
      <w:bookmarkStart w:id="367" w:name="_Toc4746027"/>
      <w:bookmarkStart w:id="368" w:name="_Toc17516"/>
      <w:bookmarkStart w:id="369" w:name="_Toc516130415"/>
      <w:bookmarkStart w:id="370" w:name="_Toc4671697"/>
      <w:bookmarkStart w:id="371" w:name="_Toc73000929"/>
      <w:bookmarkStart w:id="372" w:name="_Toc13292"/>
      <w:bookmarkStart w:id="373" w:name="_Toc4083959"/>
      <w:bookmarkStart w:id="374" w:name="_Toc507081020"/>
      <w:r>
        <w:rPr>
          <w:rFonts w:hint="eastAsia" w:cs="宋体"/>
        </w:rPr>
        <w:t>7.2验收要求</w:t>
      </w:r>
      <w:bookmarkEnd w:id="365"/>
      <w:bookmarkEnd w:id="366"/>
      <w:bookmarkEnd w:id="367"/>
      <w:bookmarkEnd w:id="368"/>
      <w:bookmarkEnd w:id="369"/>
      <w:bookmarkEnd w:id="370"/>
      <w:bookmarkEnd w:id="371"/>
      <w:bookmarkEnd w:id="372"/>
      <w:bookmarkEnd w:id="373"/>
      <w:bookmarkEnd w:id="374"/>
    </w:p>
    <w:p>
      <w:pPr>
        <w:pStyle w:val="5"/>
        <w:rPr>
          <w:rFonts w:hint="eastAsia" w:cs="宋体"/>
          <w:szCs w:val="24"/>
        </w:rPr>
      </w:pPr>
      <w:bookmarkStart w:id="375" w:name="_Toc507081021"/>
      <w:bookmarkStart w:id="376" w:name="_Toc18521"/>
      <w:bookmarkStart w:id="377" w:name="_Toc516130559"/>
      <w:bookmarkStart w:id="378" w:name="_Toc25015_WPSOffice_Level3"/>
      <w:bookmarkStart w:id="379" w:name="_Toc516130416"/>
      <w:bookmarkStart w:id="380" w:name="_Toc13216"/>
      <w:bookmarkStart w:id="381" w:name="_Toc73000930"/>
      <w:r>
        <w:rPr>
          <w:rFonts w:hint="eastAsia" w:cs="宋体"/>
          <w:szCs w:val="24"/>
        </w:rPr>
        <w:t>7.2.1产品到货验收</w:t>
      </w:r>
      <w:bookmarkEnd w:id="375"/>
      <w:bookmarkEnd w:id="376"/>
      <w:bookmarkEnd w:id="377"/>
      <w:bookmarkEnd w:id="378"/>
      <w:bookmarkEnd w:id="379"/>
      <w:bookmarkEnd w:id="380"/>
      <w:bookmarkEnd w:id="381"/>
    </w:p>
    <w:p>
      <w:pPr>
        <w:pStyle w:val="207"/>
        <w:spacing w:line="500" w:lineRule="exact"/>
        <w:ind w:firstLine="480" w:firstLineChars="200"/>
        <w:rPr>
          <w:rFonts w:hint="eastAsia"/>
          <w:sz w:val="24"/>
          <w:szCs w:val="24"/>
        </w:rPr>
      </w:pPr>
      <w:r>
        <w:rPr>
          <w:rFonts w:hint="eastAsia"/>
          <w:sz w:val="24"/>
          <w:szCs w:val="24"/>
        </w:rPr>
        <w:t>双方共同检查设备的完整性，保证各种设备处于正常运行状态。检查系统设备的品牌、规格、型号、数量、技术参数等是否与合同一致，并共同依据方案要求进行验收。</w:t>
      </w:r>
    </w:p>
    <w:p>
      <w:pPr>
        <w:pStyle w:val="207"/>
        <w:spacing w:line="500" w:lineRule="exact"/>
        <w:ind w:firstLine="480" w:firstLineChars="200"/>
        <w:rPr>
          <w:rFonts w:hint="eastAsia"/>
          <w:sz w:val="24"/>
          <w:szCs w:val="24"/>
        </w:rPr>
      </w:pPr>
      <w:r>
        <w:rPr>
          <w:rFonts w:hint="eastAsia"/>
          <w:sz w:val="24"/>
          <w:szCs w:val="24"/>
        </w:rPr>
        <w:t>实施方将对硬件及软件全部安装完成且连接完毕进行系统测试，严格按测试计划进行，做好各项原始记录，并对系统测试给出具体的测试计划、测试的内容和方法。</w:t>
      </w:r>
    </w:p>
    <w:p>
      <w:pPr>
        <w:pStyle w:val="5"/>
        <w:rPr>
          <w:rFonts w:hint="eastAsia" w:cs="宋体"/>
          <w:szCs w:val="24"/>
        </w:rPr>
      </w:pPr>
      <w:bookmarkStart w:id="382" w:name="_Toc3828_WPSOffice_Level3"/>
      <w:bookmarkStart w:id="383" w:name="_Toc29018"/>
      <w:bookmarkStart w:id="384" w:name="_Toc73000931"/>
      <w:bookmarkStart w:id="385" w:name="_Toc513"/>
      <w:bookmarkStart w:id="386" w:name="_Toc516130560"/>
      <w:bookmarkStart w:id="387" w:name="_Toc516130417"/>
      <w:bookmarkStart w:id="388" w:name="_Toc507081022"/>
      <w:r>
        <w:rPr>
          <w:rFonts w:hint="eastAsia" w:cs="宋体"/>
          <w:szCs w:val="24"/>
        </w:rPr>
        <w:t>7.2.2项目初验</w:t>
      </w:r>
      <w:bookmarkEnd w:id="382"/>
      <w:bookmarkEnd w:id="383"/>
      <w:bookmarkEnd w:id="384"/>
      <w:bookmarkEnd w:id="385"/>
      <w:bookmarkEnd w:id="386"/>
      <w:bookmarkEnd w:id="387"/>
      <w:bookmarkEnd w:id="388"/>
    </w:p>
    <w:p>
      <w:pPr>
        <w:pStyle w:val="207"/>
        <w:spacing w:line="500" w:lineRule="exact"/>
        <w:ind w:firstLine="480" w:firstLineChars="200"/>
        <w:rPr>
          <w:rFonts w:hint="eastAsia"/>
          <w:sz w:val="24"/>
          <w:szCs w:val="24"/>
        </w:rPr>
      </w:pPr>
      <w:r>
        <w:rPr>
          <w:rFonts w:hint="eastAsia"/>
          <w:sz w:val="24"/>
          <w:szCs w:val="24"/>
        </w:rPr>
        <w:t>项目实施完成后，将由双方共同拟定测试内容、测试指标、测试结果说明、测试仪器及方法等内容报告给项目负责人审查通过，并为用户提供初验报告。</w:t>
      </w:r>
    </w:p>
    <w:p>
      <w:pPr>
        <w:pStyle w:val="207"/>
        <w:spacing w:line="500" w:lineRule="exact"/>
        <w:ind w:firstLine="480" w:firstLineChars="200"/>
        <w:rPr>
          <w:rFonts w:hint="eastAsia"/>
          <w:sz w:val="24"/>
          <w:szCs w:val="24"/>
        </w:rPr>
      </w:pPr>
      <w:r>
        <w:rPr>
          <w:rFonts w:hint="eastAsia"/>
          <w:sz w:val="24"/>
          <w:szCs w:val="24"/>
        </w:rPr>
        <w:t>初验通过后系统将进入试运行阶段，在试运行期间，实施方工程人员将观察记录产品的各项功能实施情况，试运行期间实施方还要根据用户需求完善该系统的功能，并解决相关问题。</w:t>
      </w:r>
    </w:p>
    <w:p>
      <w:pPr>
        <w:pStyle w:val="5"/>
        <w:rPr>
          <w:rFonts w:hint="eastAsia" w:cs="宋体"/>
          <w:szCs w:val="24"/>
        </w:rPr>
      </w:pPr>
      <w:bookmarkStart w:id="389" w:name="_Toc516130561"/>
      <w:bookmarkStart w:id="390" w:name="_Toc507081023"/>
      <w:bookmarkStart w:id="391" w:name="_Toc516130418"/>
      <w:bookmarkStart w:id="392" w:name="_Toc31600"/>
      <w:bookmarkStart w:id="393" w:name="_Toc11724_WPSOffice_Level3"/>
      <w:bookmarkStart w:id="394" w:name="_Toc73000932"/>
      <w:bookmarkStart w:id="395" w:name="_Toc32343"/>
      <w:r>
        <w:rPr>
          <w:rFonts w:hint="eastAsia" w:cs="宋体"/>
          <w:szCs w:val="24"/>
        </w:rPr>
        <w:t>7.2.3试运行</w:t>
      </w:r>
      <w:bookmarkEnd w:id="389"/>
      <w:bookmarkEnd w:id="390"/>
      <w:bookmarkEnd w:id="391"/>
      <w:bookmarkEnd w:id="392"/>
      <w:bookmarkEnd w:id="393"/>
      <w:bookmarkEnd w:id="394"/>
      <w:bookmarkEnd w:id="395"/>
    </w:p>
    <w:p>
      <w:pPr>
        <w:pStyle w:val="207"/>
        <w:spacing w:line="500" w:lineRule="exact"/>
        <w:ind w:firstLine="480" w:firstLineChars="200"/>
        <w:rPr>
          <w:rFonts w:hint="eastAsia"/>
          <w:sz w:val="24"/>
          <w:szCs w:val="24"/>
        </w:rPr>
      </w:pPr>
      <w:r>
        <w:rPr>
          <w:rFonts w:hint="eastAsia"/>
          <w:sz w:val="24"/>
          <w:szCs w:val="24"/>
        </w:rPr>
        <w:t>在试运行期间，实施方工程人员将观察记录产品的各项功能实施情况，若发现问题，及时解决。</w:t>
      </w:r>
    </w:p>
    <w:p>
      <w:pPr>
        <w:pStyle w:val="5"/>
        <w:rPr>
          <w:rFonts w:hint="eastAsia" w:cs="宋体"/>
          <w:szCs w:val="24"/>
        </w:rPr>
      </w:pPr>
      <w:bookmarkStart w:id="396" w:name="_Toc20179"/>
      <w:bookmarkStart w:id="397" w:name="_Toc10245_WPSOffice_Level3"/>
      <w:bookmarkStart w:id="398" w:name="_Toc516130419"/>
      <w:bookmarkStart w:id="399" w:name="_Toc507081024"/>
      <w:bookmarkStart w:id="400" w:name="_Toc73000933"/>
      <w:bookmarkStart w:id="401" w:name="_Toc516130562"/>
      <w:bookmarkStart w:id="402" w:name="_Toc30687"/>
      <w:r>
        <w:rPr>
          <w:rFonts w:hint="eastAsia" w:cs="宋体"/>
          <w:szCs w:val="24"/>
        </w:rPr>
        <w:t>7.2.4项目最终验收</w:t>
      </w:r>
      <w:bookmarkEnd w:id="396"/>
      <w:bookmarkEnd w:id="397"/>
      <w:bookmarkEnd w:id="398"/>
      <w:bookmarkEnd w:id="399"/>
      <w:bookmarkEnd w:id="400"/>
      <w:bookmarkEnd w:id="401"/>
      <w:bookmarkEnd w:id="402"/>
    </w:p>
    <w:p>
      <w:pPr>
        <w:pStyle w:val="207"/>
        <w:spacing w:line="500" w:lineRule="exact"/>
        <w:ind w:firstLine="480" w:firstLineChars="200"/>
        <w:rPr>
          <w:rFonts w:hint="eastAsia"/>
          <w:sz w:val="24"/>
          <w:szCs w:val="24"/>
        </w:rPr>
      </w:pPr>
      <w:r>
        <w:rPr>
          <w:rFonts w:hint="eastAsia"/>
          <w:sz w:val="24"/>
          <w:szCs w:val="24"/>
        </w:rPr>
        <w:t>遵照合同要求，经过试运行后，进行最终验收，检验使用是否达到总体设计和方案设计说明书的设计要求，验收合格后双方代表签字，进入系统正式运行。</w:t>
      </w:r>
      <w:bookmarkStart w:id="403" w:name="_Toc516130563"/>
      <w:bookmarkStart w:id="404" w:name="_Toc507081025"/>
      <w:bookmarkStart w:id="405" w:name="_Toc516130420"/>
    </w:p>
    <w:p>
      <w:pPr>
        <w:pStyle w:val="207"/>
        <w:spacing w:line="500" w:lineRule="exact"/>
        <w:ind w:firstLine="480" w:firstLineChars="200"/>
        <w:rPr>
          <w:rFonts w:hint="eastAsia"/>
          <w:sz w:val="24"/>
          <w:szCs w:val="24"/>
        </w:rPr>
      </w:pPr>
    </w:p>
    <w:p>
      <w:pPr>
        <w:pStyle w:val="4"/>
        <w:rPr>
          <w:rFonts w:hint="eastAsia" w:cs="宋体"/>
        </w:rPr>
      </w:pPr>
      <w:bookmarkStart w:id="406" w:name="_Toc4671698"/>
      <w:bookmarkStart w:id="407" w:name="_Toc4083960"/>
      <w:bookmarkStart w:id="408" w:name="_Toc4746028"/>
      <w:bookmarkStart w:id="409" w:name="_Toc31910_WPSOffice_Level2"/>
      <w:bookmarkStart w:id="410" w:name="_Toc29835"/>
      <w:bookmarkStart w:id="411" w:name="_Toc73000934"/>
      <w:bookmarkStart w:id="412" w:name="_Toc22838"/>
      <w:r>
        <w:rPr>
          <w:rFonts w:hint="eastAsia" w:cs="宋体"/>
        </w:rPr>
        <w:t>7.3</w:t>
      </w:r>
      <w:bookmarkEnd w:id="403"/>
      <w:bookmarkEnd w:id="404"/>
      <w:bookmarkEnd w:id="405"/>
      <w:bookmarkEnd w:id="406"/>
      <w:bookmarkEnd w:id="407"/>
      <w:bookmarkEnd w:id="408"/>
      <w:bookmarkEnd w:id="409"/>
      <w:r>
        <w:rPr>
          <w:rFonts w:hint="eastAsia" w:cs="宋体"/>
        </w:rPr>
        <w:t>验收文档</w:t>
      </w:r>
      <w:bookmarkEnd w:id="410"/>
      <w:bookmarkEnd w:id="411"/>
      <w:bookmarkEnd w:id="412"/>
    </w:p>
    <w:p>
      <w:pPr>
        <w:pStyle w:val="207"/>
        <w:spacing w:line="500" w:lineRule="exact"/>
        <w:ind w:firstLine="480" w:firstLineChars="200"/>
        <w:rPr>
          <w:rFonts w:hint="eastAsia"/>
          <w:sz w:val="24"/>
          <w:szCs w:val="24"/>
        </w:rPr>
      </w:pPr>
      <w:r>
        <w:rPr>
          <w:rFonts w:hint="eastAsia"/>
          <w:sz w:val="24"/>
          <w:szCs w:val="24"/>
        </w:rPr>
        <w:t>在正式验收前向相关文档。包括：1、项目验收申请报告；2、项目招投标书；3、项目中标通知书；4、项目合同；5、项目实施相关方案；6、项目设备签收单、学校初验单；7、项目实施变更资料；8、项目有关的测试检查报告、系统试运行报告；9、项目培训文档及培训签字表、系统运维手册；10、各设备的使用说明书、保修卡（纸质和电子）；11、售后服务保证文件。</w:t>
      </w:r>
      <w:bookmarkStart w:id="413" w:name="_Toc480200154"/>
      <w:bookmarkEnd w:id="413"/>
    </w:p>
    <w:p>
      <w:pPr>
        <w:spacing w:line="500" w:lineRule="exact"/>
        <w:ind w:firstLine="480" w:firstLineChars="200"/>
        <w:rPr>
          <w:rFonts w:hint="eastAsia" w:cs="Times New Roman"/>
          <w:color w:val="000000"/>
          <w:sz w:val="24"/>
          <w:szCs w:val="24"/>
        </w:rPr>
      </w:pPr>
      <w:r>
        <w:rPr>
          <w:rFonts w:hint="eastAsia" w:cs="Times New Roman"/>
          <w:color w:val="000000"/>
          <w:sz w:val="24"/>
          <w:szCs w:val="24"/>
        </w:rPr>
        <w:t xml:space="preserve"> </w:t>
      </w:r>
    </w:p>
    <w:p>
      <w:pPr>
        <w:spacing w:line="500" w:lineRule="exact"/>
        <w:ind w:firstLine="480" w:firstLineChars="200"/>
        <w:rPr>
          <w:rFonts w:hint="eastAsia" w:cs="Times New Roman"/>
          <w:color w:val="000000"/>
          <w:sz w:val="24"/>
          <w:szCs w:val="24"/>
        </w:rPr>
      </w:pPr>
      <w:r>
        <w:rPr>
          <w:rFonts w:hint="eastAsia" w:cs="Times New Roman"/>
          <w:color w:val="000000"/>
          <w:sz w:val="24"/>
          <w:szCs w:val="24"/>
        </w:rPr>
        <w:t xml:space="preserve"> </w:t>
      </w:r>
    </w:p>
    <w:p>
      <w:pPr>
        <w:spacing w:line="500" w:lineRule="exact"/>
        <w:ind w:firstLine="480" w:firstLineChars="200"/>
        <w:rPr>
          <w:rFonts w:hint="eastAsia" w:cs="Times New Roman"/>
          <w:color w:val="000000"/>
          <w:sz w:val="24"/>
          <w:szCs w:val="24"/>
        </w:rPr>
      </w:pPr>
      <w:r>
        <w:rPr>
          <w:rFonts w:hint="eastAsia" w:cs="Times New Roman"/>
          <w:color w:val="000000"/>
          <w:sz w:val="24"/>
          <w:szCs w:val="24"/>
        </w:rPr>
        <w:t xml:space="preserve"> </w:t>
      </w:r>
    </w:p>
    <w:p>
      <w:pPr>
        <w:spacing w:line="500" w:lineRule="exact"/>
        <w:ind w:firstLine="480" w:firstLineChars="200"/>
        <w:rPr>
          <w:rFonts w:hint="eastAsia" w:cs="Times New Roman"/>
          <w:color w:val="000000"/>
          <w:sz w:val="24"/>
          <w:szCs w:val="24"/>
        </w:rPr>
      </w:pPr>
      <w:r>
        <w:rPr>
          <w:rFonts w:hint="eastAsia" w:cs="Times New Roman"/>
          <w:color w:val="000000"/>
          <w:sz w:val="24"/>
          <w:szCs w:val="24"/>
        </w:rPr>
        <w:t xml:space="preserve"> </w:t>
      </w:r>
    </w:p>
    <w:p>
      <w:pPr>
        <w:spacing w:line="500" w:lineRule="exact"/>
        <w:rPr>
          <w:rFonts w:cs="Times New Roman"/>
          <w:b/>
          <w:bCs/>
          <w:color w:val="000000"/>
          <w:spacing w:val="-20"/>
          <w:kern w:val="44"/>
          <w:sz w:val="30"/>
          <w:szCs w:val="30"/>
        </w:rPr>
        <w:sectPr>
          <w:pgSz w:w="11906" w:h="16838"/>
          <w:pgMar w:top="1440" w:right="1800" w:bottom="1440" w:left="1800" w:header="708" w:footer="708" w:gutter="0"/>
          <w:cols w:space="720" w:num="1"/>
          <w:docGrid w:type="lines" w:linePitch="360" w:charSpace="0"/>
        </w:sectPr>
      </w:pPr>
    </w:p>
    <w:p>
      <w:pPr>
        <w:pStyle w:val="3"/>
        <w:rPr>
          <w:rFonts w:hint="eastAsia"/>
          <w:color w:val="000000"/>
          <w:szCs w:val="30"/>
        </w:rPr>
      </w:pPr>
      <w:bookmarkStart w:id="414" w:name="_Toc45021061"/>
      <w:bookmarkEnd w:id="414"/>
      <w:bookmarkStart w:id="415" w:name="_Toc24568"/>
      <w:bookmarkStart w:id="416" w:name="_Toc4587"/>
      <w:bookmarkStart w:id="417" w:name="_Toc25613"/>
      <w:r>
        <w:rPr>
          <w:rFonts w:hint="eastAsia"/>
          <w:color w:val="000000"/>
        </w:rPr>
        <w:t>八、设备清单</w:t>
      </w:r>
      <w:bookmarkEnd w:id="415"/>
      <w:bookmarkEnd w:id="416"/>
      <w:bookmarkEnd w:id="417"/>
    </w:p>
    <w:p>
      <w:pPr>
        <w:pStyle w:val="4"/>
        <w:rPr>
          <w:rFonts w:hint="eastAsia"/>
          <w:b w:val="0"/>
          <w:bCs w:val="0"/>
          <w:color w:val="000000"/>
          <w:lang w:eastAsia="zh-CN"/>
        </w:rPr>
      </w:pPr>
      <w:bookmarkStart w:id="418" w:name="_Toc45021062"/>
      <w:bookmarkEnd w:id="418"/>
      <w:bookmarkStart w:id="419" w:name="_Toc19877"/>
      <w:bookmarkStart w:id="420" w:name="_Toc19440"/>
      <w:bookmarkStart w:id="421" w:name="_Toc29344"/>
      <w:r>
        <w:rPr>
          <w:rFonts w:hint="eastAsia"/>
          <w:color w:val="000000"/>
        </w:rPr>
        <w:t>8.1</w:t>
      </w:r>
      <w:r>
        <w:rPr>
          <w:rFonts w:hint="eastAsia"/>
          <w:color w:val="000000"/>
          <w:lang w:eastAsia="zh-CN"/>
        </w:rPr>
        <w:t>机房</w:t>
      </w:r>
      <w:r>
        <w:rPr>
          <w:rFonts w:hint="eastAsia"/>
          <w:color w:val="000000"/>
        </w:rPr>
        <w:t>设备</w:t>
      </w:r>
      <w:bookmarkEnd w:id="419"/>
      <w:bookmarkEnd w:id="420"/>
      <w:bookmarkEnd w:id="421"/>
    </w:p>
    <w:tbl>
      <w:tblPr>
        <w:tblStyle w:val="42"/>
        <w:tblW w:w="5014" w:type="pct"/>
        <w:tblInd w:w="0" w:type="dxa"/>
        <w:tblLayout w:type="fixed"/>
        <w:tblCellMar>
          <w:top w:w="0" w:type="dxa"/>
          <w:left w:w="108" w:type="dxa"/>
          <w:bottom w:w="0" w:type="dxa"/>
          <w:right w:w="108" w:type="dxa"/>
        </w:tblCellMar>
      </w:tblPr>
      <w:tblGrid>
        <w:gridCol w:w="347"/>
        <w:gridCol w:w="993"/>
        <w:gridCol w:w="5895"/>
        <w:gridCol w:w="624"/>
        <w:gridCol w:w="687"/>
      </w:tblGrid>
      <w:tr>
        <w:tblPrEx>
          <w:tblCellMar>
            <w:top w:w="0" w:type="dxa"/>
            <w:left w:w="108" w:type="dxa"/>
            <w:bottom w:w="0" w:type="dxa"/>
            <w:right w:w="108" w:type="dxa"/>
          </w:tblCellMar>
        </w:tblPrEx>
        <w:trPr>
          <w:trHeight w:val="1230" w:hRule="atLeast"/>
        </w:trPr>
        <w:tc>
          <w:tcPr>
            <w:tcW w:w="5000" w:type="pct"/>
            <w:gridSpan w:val="5"/>
            <w:tcBorders>
              <w:top w:val="nil"/>
              <w:left w:val="nil"/>
              <w:bottom w:val="single" w:color="auto" w:sz="4" w:space="0"/>
              <w:right w:val="nil"/>
            </w:tcBorders>
            <w:noWrap/>
            <w:vAlign w:val="center"/>
          </w:tcPr>
          <w:p>
            <w:pPr>
              <w:widowControl/>
              <w:jc w:val="center"/>
              <w:rPr>
                <w:b/>
                <w:bCs/>
                <w:kern w:val="0"/>
                <w:sz w:val="48"/>
                <w:szCs w:val="48"/>
              </w:rPr>
            </w:pPr>
            <w:r>
              <w:rPr>
                <w:rFonts w:hint="eastAsia"/>
                <w:b/>
                <w:bCs/>
                <w:kern w:val="0"/>
                <w:sz w:val="48"/>
                <w:szCs w:val="48"/>
              </w:rPr>
              <w:t>机房设备清单（2间）</w:t>
            </w:r>
          </w:p>
        </w:tc>
      </w:tr>
      <w:tr>
        <w:tblPrEx>
          <w:tblCellMar>
            <w:top w:w="0" w:type="dxa"/>
            <w:left w:w="108" w:type="dxa"/>
            <w:bottom w:w="0" w:type="dxa"/>
            <w:right w:w="108" w:type="dxa"/>
          </w:tblCellMar>
        </w:tblPrEx>
        <w:trPr>
          <w:trHeight w:val="420" w:hRule="atLeast"/>
        </w:trPr>
        <w:tc>
          <w:tcPr>
            <w:tcW w:w="203"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rFonts w:hint="eastAsia"/>
                <w:kern w:val="0"/>
                <w:sz w:val="18"/>
                <w:szCs w:val="18"/>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257175</wp:posOffset>
                  </wp:positionV>
                  <wp:extent cx="28575" cy="742950"/>
                  <wp:effectExtent l="0" t="0" r="0" b="0"/>
                  <wp:wrapNone/>
                  <wp:docPr id="8" name="图片 3" descr="page58image355549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page58image3555499552"/>
                          <pic:cNvPicPr>
                            <a:picLocks noChangeAspect="1"/>
                          </pic:cNvPicPr>
                        </pic:nvPicPr>
                        <pic:blipFill>
                          <a:blip r:embed="rId12"/>
                          <a:stretch>
                            <a:fillRect/>
                          </a:stretch>
                        </pic:blipFill>
                        <pic:spPr>
                          <a:xfrm>
                            <a:off x="0" y="0"/>
                            <a:ext cx="28575" cy="742950"/>
                          </a:xfrm>
                          <a:prstGeom prst="rect">
                            <a:avLst/>
                          </a:prstGeom>
                          <a:noFill/>
                          <a:ln>
                            <a:noFill/>
                          </a:ln>
                        </pic:spPr>
                      </pic:pic>
                    </a:graphicData>
                  </a:graphic>
                </wp:anchor>
              </w:drawing>
            </w:r>
            <w:r>
              <w:rPr>
                <w:rFonts w:hint="eastAsia"/>
                <w:kern w:val="0"/>
                <w:sz w:val="18"/>
                <w:szCs w:val="18"/>
              </w:rPr>
              <w:t>序号</w:t>
            </w:r>
          </w:p>
        </w:tc>
        <w:tc>
          <w:tcPr>
            <w:tcW w:w="580" w:type="pct"/>
            <w:tcBorders>
              <w:top w:val="nil"/>
              <w:left w:val="single" w:color="auto" w:sz="4" w:space="0"/>
              <w:bottom w:val="single" w:color="auto" w:sz="4" w:space="0"/>
              <w:right w:val="single" w:color="auto" w:sz="4" w:space="0"/>
            </w:tcBorders>
            <w:noWrap w:val="0"/>
            <w:vAlign w:val="center"/>
          </w:tcPr>
          <w:p>
            <w:pPr>
              <w:widowControl/>
              <w:jc w:val="center"/>
              <w:rPr>
                <w:kern w:val="0"/>
                <w:sz w:val="18"/>
                <w:szCs w:val="18"/>
              </w:rPr>
            </w:pPr>
            <w:r>
              <w:rPr>
                <w:rFonts w:hint="eastAsia"/>
                <w:kern w:val="0"/>
                <w:sz w:val="18"/>
                <w:szCs w:val="18"/>
              </w:rPr>
              <w:t>设备名称</w:t>
            </w:r>
          </w:p>
        </w:tc>
        <w:tc>
          <w:tcPr>
            <w:tcW w:w="3448" w:type="pct"/>
            <w:tcBorders>
              <w:top w:val="nil"/>
              <w:left w:val="nil"/>
              <w:bottom w:val="single" w:color="auto" w:sz="4" w:space="0"/>
              <w:right w:val="single" w:color="auto" w:sz="4" w:space="0"/>
            </w:tcBorders>
            <w:noWrap w:val="0"/>
            <w:vAlign w:val="center"/>
          </w:tcPr>
          <w:p>
            <w:pPr>
              <w:widowControl/>
              <w:jc w:val="center"/>
              <w:rPr>
                <w:kern w:val="0"/>
                <w:sz w:val="18"/>
                <w:szCs w:val="18"/>
              </w:rPr>
            </w:pPr>
            <w:r>
              <w:rPr>
                <w:rFonts w:hint="eastAsia"/>
                <w:kern w:val="0"/>
                <w:sz w:val="18"/>
                <w:szCs w:val="18"/>
              </w:rPr>
              <w:t>技术参数及功能要求</w:t>
            </w:r>
          </w:p>
        </w:tc>
        <w:tc>
          <w:tcPr>
            <w:tcW w:w="365" w:type="pct"/>
            <w:tcBorders>
              <w:top w:val="nil"/>
              <w:left w:val="nil"/>
              <w:bottom w:val="single" w:color="auto" w:sz="4" w:space="0"/>
              <w:right w:val="single" w:color="auto" w:sz="4" w:space="0"/>
            </w:tcBorders>
            <w:noWrap w:val="0"/>
            <w:vAlign w:val="center"/>
          </w:tcPr>
          <w:p>
            <w:pPr>
              <w:widowControl/>
              <w:jc w:val="center"/>
              <w:rPr>
                <w:kern w:val="0"/>
                <w:sz w:val="18"/>
                <w:szCs w:val="18"/>
              </w:rPr>
            </w:pPr>
            <w:r>
              <w:rPr>
                <w:rFonts w:hint="eastAsia"/>
                <w:kern w:val="0"/>
                <w:sz w:val="18"/>
                <w:szCs w:val="18"/>
              </w:rPr>
              <w:t>数量</w:t>
            </w:r>
          </w:p>
        </w:tc>
        <w:tc>
          <w:tcPr>
            <w:tcW w:w="401" w:type="pct"/>
            <w:tcBorders>
              <w:top w:val="nil"/>
              <w:left w:val="nil"/>
              <w:bottom w:val="single" w:color="auto" w:sz="4" w:space="0"/>
              <w:right w:val="single" w:color="auto" w:sz="4" w:space="0"/>
            </w:tcBorders>
            <w:noWrap w:val="0"/>
            <w:vAlign w:val="center"/>
          </w:tcPr>
          <w:p>
            <w:pPr>
              <w:widowControl/>
              <w:jc w:val="center"/>
              <w:rPr>
                <w:kern w:val="0"/>
                <w:sz w:val="18"/>
                <w:szCs w:val="18"/>
              </w:rPr>
            </w:pPr>
            <w:r>
              <w:rPr>
                <w:rFonts w:hint="eastAsia"/>
                <w:kern w:val="0"/>
                <w:sz w:val="18"/>
                <w:szCs w:val="18"/>
              </w:rPr>
              <w:t>单位</w:t>
            </w:r>
          </w:p>
        </w:tc>
      </w:tr>
      <w:tr>
        <w:tblPrEx>
          <w:tblCellMar>
            <w:top w:w="0" w:type="dxa"/>
            <w:left w:w="108" w:type="dxa"/>
            <w:bottom w:w="0" w:type="dxa"/>
            <w:right w:w="108" w:type="dxa"/>
          </w:tblCellMar>
        </w:tblPrEx>
        <w:trPr>
          <w:trHeight w:val="225" w:hRule="atLeast"/>
        </w:trPr>
        <w:tc>
          <w:tcPr>
            <w:tcW w:w="20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1</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机柜</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color w:val="auto"/>
                <w:kern w:val="0"/>
                <w:sz w:val="18"/>
                <w:szCs w:val="18"/>
                <w:highlight w:val="none"/>
              </w:rPr>
            </w:pPr>
            <w:r>
              <w:rPr>
                <w:rFonts w:hint="eastAsia"/>
                <w:color w:val="auto"/>
                <w:kern w:val="0"/>
                <w:sz w:val="18"/>
                <w:szCs w:val="18"/>
                <w:highlight w:val="none"/>
              </w:rPr>
              <w:t>1、冷扎钢板制作，尺寸≥1200mm×600mm×1000mm(±5mm)。表面处理:脱脂、酸洗、磷化、静电喷塑。标准19U理线架/配线架6套</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2</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989"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2</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接入交换机</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18"/>
                <w:szCs w:val="18"/>
                <w:highlight w:val="none"/>
              </w:rPr>
            </w:pPr>
            <w:r>
              <w:rPr>
                <w:rFonts w:hint="eastAsia"/>
                <w:color w:val="auto"/>
                <w:kern w:val="0"/>
                <w:sz w:val="18"/>
                <w:szCs w:val="18"/>
                <w:highlight w:val="none"/>
              </w:rPr>
              <w:t>1、机架式企业级接入交换机；</w:t>
            </w:r>
            <w:r>
              <w:rPr>
                <w:rFonts w:hint="eastAsia"/>
                <w:color w:val="auto"/>
                <w:kern w:val="0"/>
                <w:sz w:val="18"/>
                <w:szCs w:val="18"/>
                <w:highlight w:val="none"/>
              </w:rPr>
              <w:br w:type="textWrapping"/>
            </w:r>
            <w:r>
              <w:rPr>
                <w:rFonts w:hint="eastAsia"/>
                <w:color w:val="auto"/>
                <w:highlight w:val="none"/>
                <w:shd w:val="clear" w:color="auto" w:fill="FFFFFF"/>
              </w:rPr>
              <w:t>▲</w:t>
            </w:r>
            <w:r>
              <w:rPr>
                <w:rFonts w:hint="eastAsia"/>
                <w:color w:val="auto"/>
                <w:kern w:val="0"/>
                <w:sz w:val="18"/>
                <w:szCs w:val="18"/>
                <w:highlight w:val="none"/>
              </w:rPr>
              <w:t>2、实配业务端口：≥24个千兆电口，≥4个千兆光口；</w:t>
            </w:r>
            <w:r>
              <w:rPr>
                <w:rFonts w:hint="eastAsia"/>
                <w:color w:val="auto"/>
                <w:kern w:val="0"/>
                <w:sz w:val="18"/>
                <w:szCs w:val="18"/>
                <w:highlight w:val="none"/>
              </w:rPr>
              <w:br w:type="textWrapping"/>
            </w:r>
            <w:r>
              <w:rPr>
                <w:rFonts w:hint="eastAsia"/>
                <w:color w:val="auto"/>
                <w:kern w:val="0"/>
                <w:sz w:val="18"/>
                <w:szCs w:val="18"/>
                <w:highlight w:val="none"/>
              </w:rPr>
              <w:t>3、交换容量≥330Gbps，转发性能≥50Mpps；</w:t>
            </w:r>
            <w:r>
              <w:rPr>
                <w:rFonts w:hint="eastAsia"/>
                <w:color w:val="auto"/>
                <w:kern w:val="0"/>
                <w:sz w:val="18"/>
                <w:szCs w:val="18"/>
                <w:highlight w:val="none"/>
              </w:rPr>
              <w:br w:type="textWrapping"/>
            </w:r>
            <w:r>
              <w:rPr>
                <w:rFonts w:hint="eastAsia"/>
                <w:color w:val="auto"/>
                <w:kern w:val="0"/>
                <w:sz w:val="18"/>
                <w:szCs w:val="18"/>
                <w:highlight w:val="none"/>
              </w:rPr>
              <w:t>4、MAC地址表特性：支持静态MAC地址，支持MAC地址过滤；</w:t>
            </w:r>
            <w:r>
              <w:rPr>
                <w:rFonts w:hint="eastAsia"/>
                <w:color w:val="auto"/>
                <w:kern w:val="0"/>
                <w:sz w:val="18"/>
                <w:szCs w:val="18"/>
                <w:highlight w:val="none"/>
              </w:rPr>
              <w:br w:type="textWrapping"/>
            </w:r>
            <w:r>
              <w:rPr>
                <w:rFonts w:hint="eastAsia"/>
                <w:color w:val="auto"/>
                <w:kern w:val="0"/>
                <w:sz w:val="18"/>
                <w:szCs w:val="18"/>
                <w:highlight w:val="none"/>
              </w:rPr>
              <w:t>5、802.1Q VLAN特性：支持4K 802.1Q VLAN、支持GVRP；</w:t>
            </w:r>
            <w:r>
              <w:rPr>
                <w:rFonts w:hint="eastAsia"/>
                <w:color w:val="auto"/>
                <w:kern w:val="0"/>
                <w:sz w:val="18"/>
                <w:szCs w:val="18"/>
                <w:highlight w:val="none"/>
              </w:rPr>
              <w:br w:type="textWrapping"/>
            </w:r>
            <w:r>
              <w:rPr>
                <w:rFonts w:hint="eastAsia"/>
                <w:color w:val="auto"/>
                <w:kern w:val="0"/>
                <w:sz w:val="18"/>
                <w:szCs w:val="18"/>
                <w:highlight w:val="none"/>
              </w:rPr>
              <w:t>6、DHCP特性：支持IPv6 DHCP Snooping，支持IPv6 DHCP Client；</w:t>
            </w:r>
            <w:r>
              <w:rPr>
                <w:rFonts w:hint="eastAsia"/>
                <w:color w:val="auto"/>
                <w:kern w:val="0"/>
                <w:sz w:val="18"/>
                <w:szCs w:val="18"/>
                <w:highlight w:val="none"/>
              </w:rPr>
              <w:br w:type="textWrapping"/>
            </w:r>
            <w:r>
              <w:rPr>
                <w:rFonts w:hint="eastAsia"/>
                <w:color w:val="auto"/>
                <w:kern w:val="0"/>
                <w:sz w:val="18"/>
                <w:szCs w:val="18"/>
                <w:highlight w:val="none"/>
              </w:rPr>
              <w:t>7、IP路由：支持IPv4/IPv6 静态路由；</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6</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2715"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3</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教学软件</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numPr>
                <w:ilvl w:val="0"/>
                <w:numId w:val="14"/>
              </w:numPr>
              <w:jc w:val="left"/>
              <w:rPr>
                <w:rFonts w:hint="eastAsia"/>
                <w:color w:val="auto"/>
                <w:kern w:val="0"/>
                <w:sz w:val="18"/>
                <w:szCs w:val="18"/>
                <w:highlight w:val="none"/>
              </w:rPr>
            </w:pPr>
            <w:r>
              <w:rPr>
                <w:rFonts w:hint="eastAsia"/>
                <w:color w:val="auto"/>
                <w:kern w:val="0"/>
                <w:sz w:val="18"/>
                <w:szCs w:val="18"/>
                <w:highlight w:val="none"/>
              </w:rPr>
              <w:t>B/S和C/S双架构，具备自动更新和手动更新功能，可管控学生一体计算机在线时长、IP地址、MAC地址、机器名并能进行增、改、删等操作；可管控学生一体计算机主板、CPU、内存、硬盘、显卡等信息；</w:t>
            </w:r>
          </w:p>
          <w:p>
            <w:pPr>
              <w:widowControl/>
              <w:jc w:val="left"/>
              <w:rPr>
                <w:color w:val="auto"/>
                <w:kern w:val="0"/>
                <w:sz w:val="18"/>
                <w:szCs w:val="18"/>
                <w:highlight w:val="none"/>
              </w:rPr>
            </w:pPr>
            <w:r>
              <w:rPr>
                <w:rFonts w:hint="eastAsia"/>
                <w:color w:val="auto"/>
                <w:highlight w:val="none"/>
                <w:shd w:val="clear" w:color="auto" w:fill="FFFFFF"/>
              </w:rPr>
              <w:t>▲</w:t>
            </w:r>
            <w:r>
              <w:rPr>
                <w:rFonts w:hint="eastAsia"/>
                <w:color w:val="auto"/>
                <w:kern w:val="0"/>
                <w:sz w:val="18"/>
                <w:szCs w:val="18"/>
                <w:highlight w:val="none"/>
              </w:rPr>
              <w:t>2、具备对学生机自主快速恢复和还原功能，可1分钟内将系统回溯到健康状态；具备对学生一体计算机远程开机、重启、关机及发送消息，可自定义编写、保存、下发各种系统命令至学生一体计算机；</w:t>
            </w:r>
            <w:r>
              <w:rPr>
                <w:rFonts w:hint="eastAsia"/>
                <w:color w:val="auto"/>
                <w:kern w:val="0"/>
                <w:sz w:val="18"/>
                <w:szCs w:val="18"/>
                <w:highlight w:val="none"/>
              </w:rPr>
              <w:br w:type="textWrapping"/>
            </w:r>
            <w:r>
              <w:rPr>
                <w:rFonts w:hint="eastAsia"/>
                <w:color w:val="auto"/>
                <w:kern w:val="0"/>
                <w:sz w:val="18"/>
                <w:szCs w:val="18"/>
                <w:highlight w:val="none"/>
              </w:rPr>
              <w:t>3、具备时间设置功能，可按需在学生一体计算机上设置某时间、频次执行开关机、重启等日常运维动作；</w:t>
            </w:r>
            <w:r>
              <w:rPr>
                <w:rFonts w:hint="eastAsia"/>
                <w:color w:val="auto"/>
                <w:kern w:val="0"/>
                <w:sz w:val="18"/>
                <w:szCs w:val="18"/>
                <w:highlight w:val="none"/>
              </w:rPr>
              <w:br w:type="textWrapping"/>
            </w:r>
            <w:r>
              <w:rPr>
                <w:rFonts w:hint="eastAsia"/>
                <w:color w:val="auto"/>
                <w:highlight w:val="none"/>
                <w:shd w:val="clear" w:color="auto" w:fill="FFFFFF"/>
              </w:rPr>
              <w:t>▲</w:t>
            </w:r>
            <w:r>
              <w:rPr>
                <w:rFonts w:hint="eastAsia"/>
                <w:color w:val="auto"/>
                <w:kern w:val="0"/>
                <w:sz w:val="18"/>
                <w:szCs w:val="18"/>
                <w:highlight w:val="none"/>
              </w:rPr>
              <w:t>4、支持跨服务器进行管理，各教学楼、分校区等可通过自有的桌面管理服务器为本单位主机提供桌面服务，上级单位也可以通过总服务器查看管控下级单位的桌面情况。</w:t>
            </w:r>
            <w:r>
              <w:rPr>
                <w:rFonts w:hint="eastAsia"/>
                <w:color w:val="auto"/>
                <w:kern w:val="0"/>
                <w:sz w:val="18"/>
                <w:szCs w:val="18"/>
                <w:highlight w:val="none"/>
              </w:rPr>
              <w:br w:type="textWrapping"/>
            </w:r>
            <w:r>
              <w:rPr>
                <w:rFonts w:hint="eastAsia"/>
                <w:color w:val="auto"/>
                <w:kern w:val="0"/>
                <w:sz w:val="18"/>
                <w:szCs w:val="18"/>
                <w:highlight w:val="none"/>
              </w:rPr>
              <w:t>5、教师演示功能支持对单一、部分或全体学生进行屏幕演示、全屏、窗口方式均可；支持多种文件格式，不低于1080p的高清视频；</w:t>
            </w:r>
            <w:r>
              <w:rPr>
                <w:rFonts w:hint="eastAsia"/>
                <w:color w:val="auto"/>
                <w:kern w:val="0"/>
                <w:sz w:val="18"/>
                <w:szCs w:val="18"/>
                <w:highlight w:val="none"/>
              </w:rPr>
              <w:br w:type="textWrapping"/>
            </w:r>
            <w:r>
              <w:rPr>
                <w:rFonts w:hint="eastAsia"/>
                <w:color w:val="auto"/>
                <w:kern w:val="0"/>
                <w:sz w:val="18"/>
                <w:szCs w:val="18"/>
                <w:highlight w:val="none"/>
              </w:rPr>
              <w:t>6、具备指定学生演示功能，具备分组教学功能，具备分组讨论功能。</w:t>
            </w:r>
          </w:p>
          <w:p>
            <w:pPr>
              <w:widowControl/>
              <w:jc w:val="left"/>
              <w:rPr>
                <w:color w:val="auto"/>
                <w:kern w:val="0"/>
                <w:sz w:val="18"/>
                <w:szCs w:val="18"/>
                <w:highlight w:val="none"/>
              </w:rPr>
            </w:pPr>
            <w:r>
              <w:rPr>
                <w:rFonts w:hint="eastAsia"/>
                <w:color w:val="auto"/>
                <w:kern w:val="0"/>
                <w:sz w:val="18"/>
                <w:szCs w:val="18"/>
                <w:highlight w:val="none"/>
              </w:rPr>
              <w:t>7、教学软件需部署至2间机房114台计算机上以满足正常教学功能</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color w:val="auto"/>
                <w:kern w:val="0"/>
                <w:sz w:val="18"/>
                <w:szCs w:val="18"/>
                <w:highlight w:val="none"/>
              </w:rPr>
            </w:pPr>
            <w:r>
              <w:rPr>
                <w:rFonts w:hint="eastAsia"/>
                <w:color w:val="auto"/>
                <w:highlight w:val="none"/>
              </w:rPr>
              <w:t>1</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套</w:t>
            </w:r>
          </w:p>
        </w:tc>
      </w:tr>
      <w:tr>
        <w:tblPrEx>
          <w:tblCellMar>
            <w:top w:w="0" w:type="dxa"/>
            <w:left w:w="108" w:type="dxa"/>
            <w:bottom w:w="0" w:type="dxa"/>
            <w:right w:w="108" w:type="dxa"/>
          </w:tblCellMar>
        </w:tblPrEx>
        <w:trPr>
          <w:trHeight w:val="841"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4</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教师计算机</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color w:val="auto"/>
                <w:kern w:val="0"/>
                <w:sz w:val="18"/>
                <w:szCs w:val="18"/>
                <w:highlight w:val="none"/>
              </w:rPr>
            </w:pPr>
            <w:r>
              <w:rPr>
                <w:rFonts w:hint="eastAsia"/>
                <w:color w:val="auto"/>
                <w:highlight w:val="none"/>
                <w:shd w:val="clear" w:color="auto" w:fill="FFFFFF"/>
              </w:rPr>
              <w:t>▲</w:t>
            </w:r>
            <w:r>
              <w:rPr>
                <w:rFonts w:hint="eastAsia"/>
                <w:color w:val="auto"/>
                <w:kern w:val="0"/>
                <w:sz w:val="18"/>
                <w:szCs w:val="18"/>
                <w:highlight w:val="none"/>
              </w:rPr>
              <w:t>1、6核及以上处理器，线程数≥8，主频≥3.6GHz，缓存不低于30MB；≥8G DDR4 2666MHz 内存；≥256GB 固态硬盘，1T机械硬盘；</w:t>
            </w:r>
            <w:r>
              <w:rPr>
                <w:rFonts w:hint="eastAsia"/>
                <w:color w:val="auto"/>
                <w:kern w:val="0"/>
                <w:sz w:val="18"/>
                <w:szCs w:val="18"/>
                <w:highlight w:val="none"/>
              </w:rPr>
              <w:br w:type="textWrapping"/>
            </w:r>
            <w:r>
              <w:rPr>
                <w:rFonts w:hint="eastAsia"/>
                <w:color w:val="auto"/>
                <w:kern w:val="0"/>
                <w:sz w:val="18"/>
                <w:szCs w:val="18"/>
                <w:highlight w:val="none"/>
              </w:rPr>
              <w:t>2、集成HD Audio，支持5.1声道，不低于5个音频接口；</w:t>
            </w:r>
            <w:r>
              <w:rPr>
                <w:rFonts w:hint="eastAsia"/>
                <w:color w:val="auto"/>
                <w:kern w:val="0"/>
                <w:sz w:val="18"/>
                <w:szCs w:val="18"/>
                <w:highlight w:val="none"/>
              </w:rPr>
              <w:br w:type="textWrapping"/>
            </w:r>
            <w:r>
              <w:rPr>
                <w:rFonts w:hint="eastAsia"/>
                <w:color w:val="auto"/>
                <w:highlight w:val="none"/>
                <w:shd w:val="clear" w:color="auto" w:fill="FFFFFF"/>
              </w:rPr>
              <w:t>▲</w:t>
            </w:r>
            <w:r>
              <w:rPr>
                <w:rFonts w:hint="eastAsia"/>
                <w:color w:val="auto"/>
                <w:kern w:val="0"/>
                <w:sz w:val="18"/>
                <w:szCs w:val="18"/>
                <w:highlight w:val="none"/>
              </w:rPr>
              <w:t>3、前置≥6个USB 3.2 Gen1、≥1组PS/2接口、≥1个串口、VGA+HDMI接口； </w:t>
            </w:r>
            <w:r>
              <w:rPr>
                <w:rFonts w:hint="eastAsia"/>
                <w:color w:val="auto"/>
                <w:kern w:val="0"/>
                <w:sz w:val="18"/>
                <w:szCs w:val="18"/>
                <w:highlight w:val="none"/>
              </w:rPr>
              <w:br w:type="textWrapping"/>
            </w:r>
            <w:r>
              <w:rPr>
                <w:rFonts w:hint="eastAsia"/>
                <w:color w:val="auto"/>
                <w:kern w:val="0"/>
                <w:sz w:val="18"/>
                <w:szCs w:val="18"/>
                <w:highlight w:val="none"/>
              </w:rPr>
              <w:t xml:space="preserve">4、标准MATX立式机箱， 机箱不大于15L；                                                                                                                                                                                     </w:t>
            </w:r>
            <w:r>
              <w:rPr>
                <w:rFonts w:hint="eastAsia"/>
                <w:color w:val="auto"/>
                <w:highlight w:val="none"/>
                <w:shd w:val="clear" w:color="auto" w:fill="FFFFFF"/>
              </w:rPr>
              <w:t>▲</w:t>
            </w:r>
            <w:r>
              <w:rPr>
                <w:rFonts w:hint="eastAsia"/>
                <w:color w:val="auto"/>
                <w:kern w:val="0"/>
                <w:sz w:val="18"/>
                <w:szCs w:val="18"/>
                <w:highlight w:val="none"/>
              </w:rPr>
              <w:t xml:space="preserve">5、≥23.8寸显示器，分辨率≥1920x1080（16：9），响应时间≤5ms；                                                                           </w:t>
            </w:r>
            <w:r>
              <w:rPr>
                <w:rFonts w:hint="eastAsia"/>
                <w:color w:val="auto"/>
                <w:kern w:val="0"/>
                <w:sz w:val="18"/>
                <w:szCs w:val="18"/>
                <w:highlight w:val="none"/>
              </w:rPr>
              <w:br w:type="textWrapping"/>
            </w:r>
            <w:r>
              <w:rPr>
                <w:rFonts w:hint="eastAsia"/>
                <w:color w:val="auto"/>
                <w:kern w:val="0"/>
                <w:sz w:val="18"/>
                <w:szCs w:val="18"/>
                <w:highlight w:val="none"/>
              </w:rPr>
              <w:t>6、出厂预装网络同传软件；预装正版系统，供货时提供正版序列号；</w:t>
            </w:r>
            <w:r>
              <w:rPr>
                <w:rFonts w:hint="eastAsia"/>
                <w:color w:val="auto"/>
                <w:kern w:val="0"/>
                <w:sz w:val="18"/>
                <w:szCs w:val="18"/>
                <w:highlight w:val="none"/>
              </w:rPr>
              <w:br w:type="textWrapping"/>
            </w:r>
            <w:r>
              <w:rPr>
                <w:rFonts w:hint="eastAsia"/>
                <w:color w:val="auto"/>
                <w:kern w:val="0"/>
                <w:sz w:val="18"/>
                <w:szCs w:val="18"/>
                <w:highlight w:val="none"/>
              </w:rPr>
              <w:t xml:space="preserve">7、标配USB智能屏蔽技术，可在BIOS中设置仅识别USB键盘、鼠标，无法识别USB存储设备，有效防止数据泄露；        </w:t>
            </w:r>
          </w:p>
          <w:p>
            <w:pPr>
              <w:widowControl/>
              <w:jc w:val="left"/>
              <w:rPr>
                <w:color w:val="auto"/>
                <w:kern w:val="0"/>
                <w:sz w:val="18"/>
                <w:szCs w:val="18"/>
                <w:highlight w:val="none"/>
              </w:rPr>
            </w:pPr>
            <w:r>
              <w:rPr>
                <w:rFonts w:ascii="宋体" w:hAnsi="宋体" w:eastAsia="宋体" w:cs="宋体"/>
                <w:b/>
                <w:bCs/>
                <w:spacing w:val="-5"/>
                <w:sz w:val="18"/>
                <w:szCs w:val="18"/>
              </w:rPr>
              <w:t>★</w:t>
            </w:r>
            <w:r>
              <w:rPr>
                <w:rFonts w:hint="eastAsia" w:cs="宋体"/>
                <w:b/>
                <w:bCs/>
                <w:spacing w:val="-5"/>
                <w:sz w:val="18"/>
                <w:szCs w:val="18"/>
                <w:lang w:val="en-US" w:eastAsia="zh-CN"/>
              </w:rPr>
              <w:t>8</w:t>
            </w:r>
            <w:r>
              <w:rPr>
                <w:rFonts w:ascii="宋体" w:hAnsi="宋体" w:eastAsia="宋体" w:cs="宋体"/>
                <w:b/>
                <w:bCs/>
                <w:spacing w:val="-5"/>
                <w:sz w:val="18"/>
                <w:szCs w:val="18"/>
              </w:rPr>
              <w:t>、</w:t>
            </w:r>
            <w:r>
              <w:rPr>
                <w:rFonts w:ascii="宋体" w:hAnsi="宋体" w:eastAsia="宋体" w:cs="宋体"/>
                <w:b/>
                <w:bCs/>
                <w:spacing w:val="-5"/>
                <w:sz w:val="18"/>
                <w:szCs w:val="18"/>
              </w:rPr>
              <w:t>应具有国家确定的认证机构出具的在有效期内的节能产品认证证书。（说明：</w:t>
            </w:r>
            <w:r>
              <w:rPr>
                <w:rFonts w:hint="eastAsia" w:ascii="宋体" w:hAnsi="宋体" w:eastAsia="宋体" w:cs="宋体"/>
                <w:b/>
                <w:bCs/>
                <w:spacing w:val="-5"/>
                <w:sz w:val="18"/>
                <w:szCs w:val="18"/>
                <w:lang w:val="en-US" w:eastAsia="zh-CN"/>
              </w:rPr>
              <w:t>提供具有</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lang w:val="en-US" w:eastAsia="zh-CN"/>
              </w:rPr>
              <w:t>主机”及“显示器</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lang w:val="en-US" w:eastAsia="zh-CN"/>
              </w:rPr>
              <w:t>的节能产品认证</w:t>
            </w:r>
            <w:r>
              <w:rPr>
                <w:rFonts w:hint="eastAsia" w:ascii="宋体" w:hAnsi="宋体" w:eastAsia="宋体" w:cs="宋体"/>
                <w:b/>
                <w:bCs/>
                <w:spacing w:val="-5"/>
                <w:sz w:val="18"/>
                <w:szCs w:val="18"/>
              </w:rPr>
              <w:t xml:space="preserve">证书复印件）       </w:t>
            </w:r>
            <w:r>
              <w:rPr>
                <w:rFonts w:hint="eastAsia"/>
                <w:color w:val="auto"/>
                <w:kern w:val="0"/>
                <w:sz w:val="18"/>
                <w:szCs w:val="18"/>
                <w:highlight w:val="none"/>
              </w:rPr>
              <w:t xml:space="preserve">                                                                                                           </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2</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3150"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5</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学生计算机</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color w:val="auto"/>
                <w:kern w:val="0"/>
                <w:sz w:val="18"/>
                <w:szCs w:val="18"/>
                <w:highlight w:val="none"/>
              </w:rPr>
            </w:pPr>
            <w:r>
              <w:rPr>
                <w:rFonts w:hint="eastAsia"/>
                <w:color w:val="auto"/>
                <w:highlight w:val="none"/>
                <w:shd w:val="clear" w:color="auto" w:fill="FFFFFF"/>
              </w:rPr>
              <w:t>▲1、</w:t>
            </w:r>
            <w:r>
              <w:rPr>
                <w:rFonts w:hint="eastAsia"/>
                <w:color w:val="auto"/>
                <w:kern w:val="0"/>
                <w:sz w:val="18"/>
                <w:szCs w:val="18"/>
                <w:highlight w:val="none"/>
              </w:rPr>
              <w:t>四核及以上处理器，线程数≥8，主频≥3.7GHz；≥8G DDR4 2666MHz 内存；≥256GB 固态硬盘；</w:t>
            </w:r>
            <w:r>
              <w:rPr>
                <w:rFonts w:hint="eastAsia"/>
                <w:color w:val="auto"/>
                <w:kern w:val="0"/>
                <w:sz w:val="18"/>
                <w:szCs w:val="18"/>
                <w:highlight w:val="none"/>
              </w:rPr>
              <w:br w:type="textWrapping"/>
            </w:r>
            <w:r>
              <w:rPr>
                <w:rFonts w:hint="eastAsia"/>
                <w:color w:val="auto"/>
                <w:kern w:val="0"/>
                <w:sz w:val="18"/>
                <w:szCs w:val="18"/>
                <w:highlight w:val="none"/>
              </w:rPr>
              <w:t xml:space="preserve">2、集成HD Audio，支持5.1声道，不低于5个音频接口；                                                                                                         </w:t>
            </w:r>
            <w:r>
              <w:rPr>
                <w:rFonts w:hint="eastAsia"/>
                <w:color w:val="auto"/>
                <w:highlight w:val="none"/>
                <w:shd w:val="clear" w:color="auto" w:fill="FFFFFF"/>
              </w:rPr>
              <w:t>▲</w:t>
            </w:r>
            <w:r>
              <w:rPr>
                <w:rFonts w:hint="eastAsia"/>
                <w:color w:val="auto"/>
                <w:kern w:val="0"/>
                <w:sz w:val="18"/>
                <w:szCs w:val="18"/>
                <w:highlight w:val="none"/>
              </w:rPr>
              <w:t>3、前置≥6个USB 3.2 Gen1、≥1组PS/2接口、≥1个串口、VGA+HDMI接口； </w:t>
            </w:r>
            <w:r>
              <w:rPr>
                <w:rFonts w:hint="eastAsia" w:cs="楷体"/>
                <w:color w:val="auto"/>
                <w:kern w:val="0"/>
                <w:sz w:val="18"/>
                <w:szCs w:val="18"/>
                <w:highlight w:val="none"/>
              </w:rPr>
              <w:br w:type="textWrapping"/>
            </w:r>
            <w:r>
              <w:rPr>
                <w:rFonts w:hint="eastAsia" w:cs="楷体"/>
                <w:color w:val="auto"/>
                <w:kern w:val="0"/>
                <w:sz w:val="18"/>
                <w:szCs w:val="18"/>
                <w:highlight w:val="none"/>
              </w:rPr>
              <w:t>4</w:t>
            </w:r>
            <w:r>
              <w:rPr>
                <w:rFonts w:hint="eastAsia"/>
                <w:color w:val="auto"/>
                <w:kern w:val="0"/>
                <w:sz w:val="18"/>
                <w:szCs w:val="18"/>
                <w:highlight w:val="none"/>
              </w:rPr>
              <w:t xml:space="preserve">、标准MATX立式机箱， 机箱不大于15L；                                                                                                                                                                                </w:t>
            </w:r>
            <w:r>
              <w:rPr>
                <w:rFonts w:hint="eastAsia"/>
                <w:color w:val="auto"/>
                <w:highlight w:val="none"/>
                <w:shd w:val="clear" w:color="auto" w:fill="FFFFFF"/>
              </w:rPr>
              <w:t>▲</w:t>
            </w:r>
            <w:r>
              <w:rPr>
                <w:rFonts w:hint="eastAsia"/>
                <w:color w:val="auto"/>
                <w:kern w:val="0"/>
                <w:sz w:val="18"/>
                <w:szCs w:val="18"/>
                <w:highlight w:val="none"/>
              </w:rPr>
              <w:t xml:space="preserve">5、≥23.8寸显示器，分辨率≥1920x1080（16：9），响应时间≤5ms；                                                                           </w:t>
            </w:r>
            <w:r>
              <w:rPr>
                <w:rFonts w:hint="eastAsia"/>
                <w:color w:val="auto"/>
                <w:kern w:val="0"/>
                <w:sz w:val="18"/>
                <w:szCs w:val="18"/>
                <w:highlight w:val="none"/>
              </w:rPr>
              <w:br w:type="textWrapping"/>
            </w:r>
            <w:r>
              <w:rPr>
                <w:rFonts w:hint="eastAsia"/>
                <w:color w:val="auto"/>
                <w:kern w:val="0"/>
                <w:sz w:val="18"/>
                <w:szCs w:val="18"/>
                <w:highlight w:val="none"/>
              </w:rPr>
              <w:t>6、出厂预装网络同传软件；预装正版系统，供货时提供正版序列号；</w:t>
            </w:r>
            <w:r>
              <w:rPr>
                <w:rFonts w:hint="eastAsia"/>
                <w:color w:val="auto"/>
                <w:kern w:val="0"/>
                <w:sz w:val="18"/>
                <w:szCs w:val="18"/>
                <w:highlight w:val="none"/>
              </w:rPr>
              <w:br w:type="textWrapping"/>
            </w:r>
            <w:r>
              <w:rPr>
                <w:rFonts w:hint="eastAsia"/>
                <w:color w:val="auto"/>
                <w:kern w:val="0"/>
                <w:sz w:val="18"/>
                <w:szCs w:val="18"/>
                <w:highlight w:val="none"/>
              </w:rPr>
              <w:t xml:space="preserve">7、标配USB智能屏蔽技术，可在BIOS中设置仅识别USB键盘、鼠标，无法识别USB存储设备，有效防止数据泄露；   </w:t>
            </w:r>
          </w:p>
          <w:p>
            <w:pPr>
              <w:widowControl/>
              <w:jc w:val="left"/>
              <w:rPr>
                <w:color w:val="auto"/>
                <w:kern w:val="0"/>
                <w:sz w:val="18"/>
                <w:szCs w:val="18"/>
                <w:highlight w:val="none"/>
              </w:rPr>
            </w:pPr>
            <w:r>
              <w:rPr>
                <w:rFonts w:ascii="宋体" w:hAnsi="宋体" w:eastAsia="宋体" w:cs="宋体"/>
                <w:b/>
                <w:bCs/>
                <w:spacing w:val="-5"/>
                <w:sz w:val="18"/>
                <w:szCs w:val="18"/>
              </w:rPr>
              <w:t>★</w:t>
            </w:r>
            <w:r>
              <w:rPr>
                <w:rFonts w:hint="eastAsia" w:cs="宋体"/>
                <w:b/>
                <w:bCs/>
                <w:spacing w:val="-5"/>
                <w:sz w:val="18"/>
                <w:szCs w:val="18"/>
                <w:lang w:val="en-US" w:eastAsia="zh-CN"/>
              </w:rPr>
              <w:t>8</w:t>
            </w:r>
            <w:r>
              <w:rPr>
                <w:rFonts w:ascii="宋体" w:hAnsi="宋体" w:eastAsia="宋体" w:cs="宋体"/>
                <w:b/>
                <w:bCs/>
                <w:spacing w:val="-5"/>
                <w:sz w:val="18"/>
                <w:szCs w:val="18"/>
              </w:rPr>
              <w:t>、</w:t>
            </w:r>
            <w:r>
              <w:rPr>
                <w:rFonts w:ascii="宋体" w:hAnsi="宋体" w:eastAsia="宋体" w:cs="宋体"/>
                <w:b/>
                <w:bCs/>
                <w:spacing w:val="-5"/>
                <w:sz w:val="18"/>
                <w:szCs w:val="18"/>
              </w:rPr>
              <w:t>应具有国家确定的认证机构出具的在有效期内的节能产品认证证书。（说明：</w:t>
            </w:r>
            <w:r>
              <w:rPr>
                <w:rFonts w:hint="eastAsia" w:ascii="宋体" w:hAnsi="宋体" w:eastAsia="宋体" w:cs="宋体"/>
                <w:b/>
                <w:bCs/>
                <w:spacing w:val="-5"/>
                <w:sz w:val="18"/>
                <w:szCs w:val="18"/>
                <w:lang w:val="en-US" w:eastAsia="zh-CN"/>
              </w:rPr>
              <w:t>提供具有</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lang w:val="en-US" w:eastAsia="zh-CN"/>
              </w:rPr>
              <w:t>主机”及“显示器</w:t>
            </w:r>
            <w:r>
              <w:rPr>
                <w:rFonts w:hint="eastAsia" w:ascii="宋体" w:hAnsi="宋体" w:eastAsia="宋体" w:cs="宋体"/>
                <w:b/>
                <w:bCs/>
                <w:spacing w:val="-5"/>
                <w:sz w:val="18"/>
                <w:szCs w:val="18"/>
                <w:lang w:eastAsia="zh-CN"/>
              </w:rPr>
              <w:t>”</w:t>
            </w:r>
            <w:r>
              <w:rPr>
                <w:rFonts w:hint="eastAsia" w:ascii="宋体" w:hAnsi="宋体" w:eastAsia="宋体" w:cs="宋体"/>
                <w:b/>
                <w:bCs/>
                <w:spacing w:val="-5"/>
                <w:sz w:val="18"/>
                <w:szCs w:val="18"/>
                <w:lang w:val="en-US" w:eastAsia="zh-CN"/>
              </w:rPr>
              <w:t>的节能产品认证</w:t>
            </w:r>
            <w:r>
              <w:rPr>
                <w:rFonts w:hint="eastAsia" w:ascii="宋体" w:hAnsi="宋体" w:eastAsia="宋体" w:cs="宋体"/>
                <w:b/>
                <w:bCs/>
                <w:spacing w:val="-5"/>
                <w:sz w:val="18"/>
                <w:szCs w:val="18"/>
              </w:rPr>
              <w:t xml:space="preserve">证书复印件）  </w:t>
            </w:r>
            <w:r>
              <w:rPr>
                <w:rFonts w:hint="eastAsia"/>
                <w:color w:val="auto"/>
                <w:kern w:val="0"/>
                <w:sz w:val="18"/>
                <w:szCs w:val="18"/>
                <w:highlight w:val="none"/>
              </w:rPr>
              <w:t xml:space="preserve">                                                                                                                                    </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112</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1575"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6</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教师桌椅</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18"/>
                <w:szCs w:val="18"/>
                <w:highlight w:val="none"/>
              </w:rPr>
            </w:pPr>
            <w:r>
              <w:rPr>
                <w:rFonts w:hint="eastAsia"/>
                <w:color w:val="auto"/>
                <w:kern w:val="0"/>
                <w:sz w:val="18"/>
                <w:szCs w:val="18"/>
                <w:highlight w:val="none"/>
              </w:rPr>
              <w:t>1、规格：长×宽×高≥1400mm×800mm×780mm；</w:t>
            </w:r>
            <w:r>
              <w:rPr>
                <w:rFonts w:hint="eastAsia"/>
                <w:color w:val="auto"/>
                <w:kern w:val="0"/>
                <w:sz w:val="18"/>
                <w:szCs w:val="18"/>
                <w:highlight w:val="none"/>
              </w:rPr>
              <w:br w:type="textWrapping"/>
            </w:r>
            <w:r>
              <w:rPr>
                <w:rFonts w:hint="eastAsia"/>
                <w:color w:val="auto"/>
                <w:kern w:val="0"/>
                <w:sz w:val="18"/>
                <w:szCs w:val="18"/>
                <w:highlight w:val="none"/>
              </w:rPr>
              <w:t>台面采用E1级防火板制作、板材厚度≥25mm；</w:t>
            </w:r>
            <w:r>
              <w:rPr>
                <w:rFonts w:hint="eastAsia"/>
                <w:color w:val="auto"/>
                <w:kern w:val="0"/>
                <w:sz w:val="18"/>
                <w:szCs w:val="18"/>
                <w:highlight w:val="none"/>
              </w:rPr>
              <w:br w:type="textWrapping"/>
            </w:r>
            <w:r>
              <w:rPr>
                <w:rFonts w:hint="eastAsia"/>
                <w:color w:val="auto"/>
                <w:kern w:val="0"/>
                <w:sz w:val="18"/>
                <w:szCs w:val="18"/>
                <w:highlight w:val="none"/>
              </w:rPr>
              <w:t xml:space="preserve">柜体采用E1级三聚氰胺双饰面板制作，板材厚度≥16mm； </w:t>
            </w:r>
            <w:r>
              <w:rPr>
                <w:rFonts w:hint="eastAsia"/>
                <w:color w:val="auto"/>
                <w:kern w:val="0"/>
                <w:sz w:val="18"/>
                <w:szCs w:val="18"/>
                <w:highlight w:val="none"/>
              </w:rPr>
              <w:br w:type="textWrapping"/>
            </w:r>
            <w:r>
              <w:rPr>
                <w:rFonts w:hint="eastAsia"/>
                <w:color w:val="auto"/>
                <w:kern w:val="0"/>
                <w:sz w:val="18"/>
                <w:szCs w:val="18"/>
                <w:highlight w:val="none"/>
              </w:rPr>
              <w:t>板材暴露断面封边：采用厚度≥2mm的PVC同色封边条；</w:t>
            </w:r>
            <w:r>
              <w:rPr>
                <w:rFonts w:hint="eastAsia"/>
                <w:color w:val="auto"/>
                <w:kern w:val="0"/>
                <w:sz w:val="18"/>
                <w:szCs w:val="18"/>
                <w:highlight w:val="none"/>
              </w:rPr>
              <w:br w:type="textWrapping"/>
            </w:r>
            <w:r>
              <w:rPr>
                <w:rFonts w:hint="eastAsia"/>
                <w:color w:val="auto"/>
                <w:kern w:val="0"/>
                <w:sz w:val="18"/>
                <w:szCs w:val="18"/>
                <w:highlight w:val="none"/>
              </w:rPr>
              <w:t>有键盘托板、有≥2个可关锁小物件的抽屉；</w:t>
            </w:r>
            <w:r>
              <w:rPr>
                <w:rFonts w:hint="eastAsia"/>
                <w:color w:val="auto"/>
                <w:kern w:val="0"/>
                <w:sz w:val="18"/>
                <w:szCs w:val="18"/>
                <w:highlight w:val="none"/>
              </w:rPr>
              <w:br w:type="textWrapping"/>
            </w:r>
            <w:r>
              <w:rPr>
                <w:rFonts w:hint="eastAsia"/>
                <w:color w:val="auto"/>
                <w:kern w:val="0"/>
                <w:sz w:val="18"/>
                <w:szCs w:val="18"/>
                <w:highlight w:val="none"/>
              </w:rPr>
              <w:t>配五轮转椅1把,尺寸：≥480*500*850。</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2</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套</w:t>
            </w:r>
          </w:p>
        </w:tc>
      </w:tr>
      <w:tr>
        <w:tblPrEx>
          <w:tblCellMar>
            <w:top w:w="0" w:type="dxa"/>
            <w:left w:w="108" w:type="dxa"/>
            <w:bottom w:w="0" w:type="dxa"/>
            <w:right w:w="108" w:type="dxa"/>
          </w:tblCellMar>
        </w:tblPrEx>
        <w:trPr>
          <w:trHeight w:val="1575"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7</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学生桌凳</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18"/>
                <w:szCs w:val="18"/>
                <w:highlight w:val="none"/>
              </w:rPr>
            </w:pPr>
            <w:r>
              <w:rPr>
                <w:rFonts w:hint="eastAsia"/>
                <w:color w:val="auto"/>
                <w:kern w:val="0"/>
                <w:sz w:val="18"/>
                <w:szCs w:val="18"/>
                <w:highlight w:val="none"/>
              </w:rPr>
              <w:t>1、双人桌，长×宽×高≥1200mm×600mm×760mm；</w:t>
            </w:r>
            <w:r>
              <w:rPr>
                <w:rFonts w:hint="eastAsia"/>
                <w:color w:val="auto"/>
                <w:kern w:val="0"/>
                <w:sz w:val="18"/>
                <w:szCs w:val="18"/>
                <w:highlight w:val="none"/>
              </w:rPr>
              <w:br w:type="textWrapping"/>
            </w:r>
            <w:r>
              <w:rPr>
                <w:rFonts w:hint="eastAsia"/>
                <w:color w:val="auto"/>
                <w:kern w:val="0"/>
                <w:sz w:val="18"/>
                <w:szCs w:val="18"/>
                <w:highlight w:val="none"/>
              </w:rPr>
              <w:t>台面采用E1级防火板制作、板材厚度≥25mm；</w:t>
            </w:r>
            <w:r>
              <w:rPr>
                <w:rFonts w:hint="eastAsia"/>
                <w:color w:val="auto"/>
                <w:kern w:val="0"/>
                <w:sz w:val="18"/>
                <w:szCs w:val="18"/>
                <w:highlight w:val="none"/>
              </w:rPr>
              <w:br w:type="textWrapping"/>
            </w:r>
            <w:r>
              <w:rPr>
                <w:rFonts w:hint="eastAsia"/>
                <w:color w:val="auto"/>
                <w:kern w:val="0"/>
                <w:sz w:val="18"/>
                <w:szCs w:val="18"/>
                <w:highlight w:val="none"/>
              </w:rPr>
              <w:t xml:space="preserve">柜体采用E1级三聚氰胺双饰面板制作，板材厚度≥16mm； </w:t>
            </w:r>
            <w:r>
              <w:rPr>
                <w:rFonts w:hint="eastAsia"/>
                <w:color w:val="auto"/>
                <w:kern w:val="0"/>
                <w:sz w:val="18"/>
                <w:szCs w:val="18"/>
                <w:highlight w:val="none"/>
              </w:rPr>
              <w:br w:type="textWrapping"/>
            </w:r>
            <w:r>
              <w:rPr>
                <w:rFonts w:hint="eastAsia"/>
                <w:color w:val="auto"/>
                <w:kern w:val="0"/>
                <w:sz w:val="18"/>
                <w:szCs w:val="18"/>
                <w:highlight w:val="none"/>
              </w:rPr>
              <w:t>板材暴露断面封边：采用厚度≥2mm的PVC同色封边条；</w:t>
            </w:r>
            <w:r>
              <w:rPr>
                <w:rFonts w:hint="eastAsia"/>
                <w:color w:val="auto"/>
                <w:kern w:val="0"/>
                <w:sz w:val="18"/>
                <w:szCs w:val="18"/>
                <w:highlight w:val="none"/>
              </w:rPr>
              <w:br w:type="textWrapping"/>
            </w:r>
            <w:r>
              <w:rPr>
                <w:rFonts w:hint="eastAsia"/>
                <w:color w:val="auto"/>
                <w:kern w:val="0"/>
                <w:sz w:val="18"/>
                <w:szCs w:val="18"/>
                <w:highlight w:val="none"/>
              </w:rPr>
              <w:t>有键盘托板、有≥2个可关锁小物件的抽屉；</w:t>
            </w:r>
            <w:r>
              <w:rPr>
                <w:rFonts w:hint="eastAsia"/>
                <w:color w:val="auto"/>
                <w:kern w:val="0"/>
                <w:sz w:val="18"/>
                <w:szCs w:val="18"/>
                <w:highlight w:val="none"/>
              </w:rPr>
              <w:br w:type="textWrapping"/>
            </w:r>
            <w:r>
              <w:rPr>
                <w:rFonts w:hint="eastAsia"/>
                <w:color w:val="auto"/>
                <w:kern w:val="0"/>
                <w:sz w:val="18"/>
                <w:szCs w:val="18"/>
                <w:highlight w:val="none"/>
              </w:rPr>
              <w:t>每套配实木板面钢结构微机凳2个，尺寸：≥340*240*420mm。</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56</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套</w:t>
            </w:r>
          </w:p>
        </w:tc>
      </w:tr>
      <w:tr>
        <w:tblPrEx>
          <w:tblCellMar>
            <w:top w:w="0" w:type="dxa"/>
            <w:left w:w="108" w:type="dxa"/>
            <w:bottom w:w="0" w:type="dxa"/>
            <w:right w:w="108" w:type="dxa"/>
          </w:tblCellMar>
        </w:tblPrEx>
        <w:trPr>
          <w:trHeight w:val="1125"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8</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静电地板</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18"/>
                <w:szCs w:val="18"/>
                <w:highlight w:val="none"/>
              </w:rPr>
            </w:pPr>
            <w:r>
              <w:rPr>
                <w:rFonts w:hint="eastAsia"/>
                <w:color w:val="000000"/>
                <w:kern w:val="0"/>
                <w:sz w:val="18"/>
                <w:szCs w:val="18"/>
              </w:rPr>
              <w:t>1、规格≥600*600*35mm；</w:t>
            </w:r>
            <w:r>
              <w:rPr>
                <w:rFonts w:hint="eastAsia"/>
                <w:color w:val="000000"/>
                <w:kern w:val="0"/>
                <w:sz w:val="18"/>
                <w:szCs w:val="18"/>
              </w:rPr>
              <w:br w:type="textWrapping"/>
            </w:r>
            <w:r>
              <w:rPr>
                <w:rFonts w:hint="eastAsia"/>
                <w:color w:val="000000"/>
                <w:kern w:val="0"/>
                <w:sz w:val="18"/>
                <w:szCs w:val="18"/>
              </w:rPr>
              <w:t>2、上板采用0.6mm厚的冷轧硬钢板；</w:t>
            </w:r>
            <w:r>
              <w:rPr>
                <w:rFonts w:hint="eastAsia"/>
                <w:color w:val="000000"/>
                <w:kern w:val="0"/>
                <w:sz w:val="18"/>
                <w:szCs w:val="18"/>
              </w:rPr>
              <w:br w:type="textWrapping"/>
            </w:r>
            <w:r>
              <w:rPr>
                <w:rFonts w:hint="eastAsia"/>
                <w:color w:val="000000"/>
                <w:kern w:val="0"/>
                <w:sz w:val="18"/>
                <w:szCs w:val="18"/>
              </w:rPr>
              <w:t>3、中间填充材料为轻质水泥加发泡剂；</w:t>
            </w:r>
            <w:r>
              <w:rPr>
                <w:rFonts w:hint="eastAsia"/>
                <w:color w:val="000000"/>
                <w:kern w:val="0"/>
                <w:sz w:val="18"/>
                <w:szCs w:val="18"/>
              </w:rPr>
              <w:br w:type="textWrapping"/>
            </w:r>
            <w:r>
              <w:rPr>
                <w:rFonts w:hint="eastAsia"/>
                <w:color w:val="000000"/>
                <w:kern w:val="0"/>
                <w:sz w:val="18"/>
                <w:szCs w:val="18"/>
              </w:rPr>
              <w:t>4、支架为可调型标准支架；</w:t>
            </w:r>
            <w:r>
              <w:rPr>
                <w:rFonts w:hint="eastAsia"/>
                <w:color w:val="000000"/>
                <w:kern w:val="0"/>
                <w:sz w:val="18"/>
                <w:szCs w:val="18"/>
              </w:rPr>
              <w:br w:type="textWrapping"/>
            </w:r>
            <w:r>
              <w:rPr>
                <w:rFonts w:hint="eastAsia"/>
                <w:color w:val="000000"/>
                <w:kern w:val="0"/>
                <w:sz w:val="18"/>
                <w:szCs w:val="18"/>
              </w:rPr>
              <w:t>5、均布载荷≥9600N/㎡。</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180</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平方</w:t>
            </w:r>
          </w:p>
        </w:tc>
      </w:tr>
      <w:tr>
        <w:tblPrEx>
          <w:tblCellMar>
            <w:top w:w="0" w:type="dxa"/>
            <w:left w:w="108" w:type="dxa"/>
            <w:bottom w:w="0" w:type="dxa"/>
            <w:right w:w="108" w:type="dxa"/>
          </w:tblCellMar>
        </w:tblPrEx>
        <w:trPr>
          <w:trHeight w:val="1665"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9</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吸顶空调</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numPr>
                <w:ilvl w:val="0"/>
                <w:numId w:val="15"/>
              </w:numPr>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制冷量≥12000W，制热量≥13000W（含电辅加热≥2100W）；制冷功率≥3600W，制热功率≥3620W。室内噪音≤54dB，室内循环风量每小时≥2000立方米。定频、二级及以上效能、遥控，配安装支架及辅材。</w:t>
            </w:r>
          </w:p>
          <w:p>
            <w:pPr>
              <w:pStyle w:val="41"/>
              <w:ind w:left="0" w:leftChars="0" w:firstLine="0" w:firstLineChars="0"/>
              <w:rPr>
                <w:rFonts w:hint="default" w:eastAsia="宋体"/>
                <w:lang w:val="en-US" w:eastAsia="zh-CN"/>
              </w:rPr>
            </w:pPr>
            <w:r>
              <w:rPr>
                <w:rFonts w:hint="eastAsia" w:ascii="宋体" w:hAnsi="宋体" w:eastAsia="宋体" w:cs="宋体"/>
                <w:b/>
                <w:bCs/>
                <w:color w:val="auto"/>
                <w:kern w:val="0"/>
                <w:sz w:val="18"/>
                <w:szCs w:val="18"/>
                <w:highlight w:val="none"/>
                <w:lang w:val="en-US" w:eastAsia="zh-CN" w:bidi="ar-SA"/>
              </w:rPr>
              <w:t>★2、应具有国家确定的认证机构出具的在有效期内的节能产品认证证书。（说明：提供证书复印件加盖公章）</w:t>
            </w:r>
            <w:r>
              <w:rPr>
                <w:rFonts w:hint="eastAsia" w:ascii="宋体" w:hAnsi="宋体" w:eastAsia="宋体" w:cs="宋体"/>
                <w:color w:val="auto"/>
                <w:kern w:val="0"/>
                <w:sz w:val="18"/>
                <w:szCs w:val="18"/>
                <w:highlight w:val="none"/>
                <w:lang w:val="en-US" w:eastAsia="zh-CN" w:bidi="ar-SA"/>
              </w:rPr>
              <w:t xml:space="preserve">  </w:t>
            </w: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4</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132" w:hRule="atLeast"/>
        </w:trPr>
        <w:tc>
          <w:tcPr>
            <w:tcW w:w="20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10</w:t>
            </w:r>
          </w:p>
        </w:tc>
        <w:tc>
          <w:tcPr>
            <w:tcW w:w="580"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安装及辅材</w:t>
            </w:r>
          </w:p>
        </w:tc>
        <w:tc>
          <w:tcPr>
            <w:tcW w:w="344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color w:val="auto"/>
                <w:kern w:val="0"/>
                <w:sz w:val="18"/>
                <w:szCs w:val="18"/>
                <w:highlight w:val="none"/>
              </w:rPr>
            </w:pPr>
            <w:r>
              <w:rPr>
                <w:rFonts w:hint="eastAsia"/>
                <w:color w:val="auto"/>
                <w:kern w:val="0"/>
                <w:sz w:val="18"/>
                <w:szCs w:val="18"/>
                <w:highlight w:val="none"/>
              </w:rPr>
              <w:t>1、含安装所需网线，各线头均有标识且清晰、不掉色；各线头标识须记录；</w:t>
            </w:r>
            <w:r>
              <w:rPr>
                <w:rFonts w:hint="eastAsia"/>
                <w:color w:val="auto"/>
                <w:kern w:val="0"/>
                <w:sz w:val="18"/>
                <w:szCs w:val="18"/>
                <w:highlight w:val="none"/>
              </w:rPr>
              <w:br w:type="textWrapping"/>
            </w:r>
            <w:r>
              <w:rPr>
                <w:rFonts w:hint="eastAsia"/>
                <w:color w:val="auto"/>
                <w:kern w:val="0"/>
                <w:sz w:val="18"/>
                <w:szCs w:val="18"/>
                <w:highlight w:val="none"/>
              </w:rPr>
              <w:t>强电电线接头的部分做防氧化处理，整间机房防雷接地处理。</w:t>
            </w:r>
            <w:r>
              <w:rPr>
                <w:rFonts w:hint="eastAsia"/>
                <w:color w:val="auto"/>
                <w:kern w:val="0"/>
                <w:sz w:val="18"/>
                <w:szCs w:val="18"/>
                <w:highlight w:val="none"/>
              </w:rPr>
              <w:br w:type="textWrapping"/>
            </w:r>
            <w:r>
              <w:rPr>
                <w:rFonts w:hint="eastAsia"/>
                <w:color w:val="auto"/>
                <w:kern w:val="0"/>
                <w:sz w:val="18"/>
                <w:szCs w:val="18"/>
                <w:highlight w:val="none"/>
              </w:rPr>
              <w:t>配电柜至少可以独立控制教师机、学生机分6组控制；</w:t>
            </w:r>
            <w:r>
              <w:rPr>
                <w:rFonts w:hint="eastAsia"/>
                <w:color w:val="auto"/>
                <w:kern w:val="0"/>
                <w:sz w:val="18"/>
                <w:szCs w:val="18"/>
                <w:highlight w:val="none"/>
              </w:rPr>
              <w:br w:type="textWrapping"/>
            </w:r>
            <w:r>
              <w:rPr>
                <w:rFonts w:hint="eastAsia"/>
                <w:color w:val="auto"/>
                <w:kern w:val="0"/>
                <w:sz w:val="18"/>
                <w:szCs w:val="18"/>
                <w:highlight w:val="none"/>
              </w:rPr>
              <w:t>对本项目内的各软、硬件进行安装、调试至可正常使用。</w:t>
            </w:r>
          </w:p>
          <w:p>
            <w:pPr>
              <w:widowControl/>
              <w:jc w:val="left"/>
              <w:rPr>
                <w:rFonts w:hint="eastAsia"/>
                <w:color w:val="auto"/>
                <w:kern w:val="0"/>
                <w:sz w:val="18"/>
                <w:szCs w:val="18"/>
                <w:highlight w:val="none"/>
              </w:rPr>
            </w:pPr>
          </w:p>
        </w:tc>
        <w:tc>
          <w:tcPr>
            <w:tcW w:w="365"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18"/>
                <w:szCs w:val="18"/>
                <w:highlight w:val="none"/>
              </w:rPr>
            </w:pPr>
            <w:r>
              <w:rPr>
                <w:rFonts w:hint="eastAsia"/>
                <w:color w:val="auto"/>
                <w:kern w:val="0"/>
                <w:sz w:val="18"/>
                <w:szCs w:val="18"/>
                <w:highlight w:val="none"/>
              </w:rPr>
              <w:t>114</w:t>
            </w:r>
          </w:p>
        </w:tc>
        <w:tc>
          <w:tcPr>
            <w:tcW w:w="401" w:type="pct"/>
            <w:tcBorders>
              <w:top w:val="nil"/>
              <w:left w:val="nil"/>
              <w:bottom w:val="single" w:color="auto" w:sz="4" w:space="0"/>
              <w:right w:val="single" w:color="auto" w:sz="4" w:space="0"/>
            </w:tcBorders>
            <w:shd w:val="clear" w:color="auto" w:fill="auto"/>
            <w:noWrap w:val="0"/>
            <w:vAlign w:val="center"/>
          </w:tcPr>
          <w:p>
            <w:pPr>
              <w:widowControl/>
              <w:jc w:val="center"/>
              <w:rPr>
                <w:color w:val="auto"/>
                <w:kern w:val="0"/>
                <w:sz w:val="18"/>
                <w:szCs w:val="18"/>
                <w:highlight w:val="none"/>
              </w:rPr>
            </w:pPr>
            <w:r>
              <w:rPr>
                <w:rFonts w:hint="eastAsia"/>
                <w:color w:val="auto"/>
                <w:kern w:val="0"/>
                <w:sz w:val="18"/>
                <w:szCs w:val="18"/>
                <w:highlight w:val="none"/>
              </w:rPr>
              <w:t>点</w:t>
            </w:r>
          </w:p>
        </w:tc>
      </w:tr>
    </w:tbl>
    <w:p>
      <w:pPr>
        <w:rPr>
          <w:rFonts w:hint="eastAsia"/>
          <w:color w:val="auto"/>
          <w:highlight w:val="none"/>
        </w:rPr>
      </w:pPr>
    </w:p>
    <w:p>
      <w:pPr>
        <w:rPr>
          <w:rFonts w:hint="eastAsia"/>
          <w:color w:val="auto"/>
          <w:highlight w:val="none"/>
        </w:rPr>
      </w:pPr>
    </w:p>
    <w:p>
      <w:pPr>
        <w:rPr>
          <w:rFonts w:hint="eastAsia"/>
          <w:color w:val="auto"/>
          <w:highlight w:val="none"/>
        </w:rPr>
      </w:pPr>
    </w:p>
    <w:p>
      <w:pPr>
        <w:pStyle w:val="4"/>
        <w:rPr>
          <w:rFonts w:hint="eastAsia"/>
          <w:b w:val="0"/>
          <w:bCs w:val="0"/>
          <w:color w:val="auto"/>
          <w:highlight w:val="none"/>
        </w:rPr>
      </w:pPr>
      <w:bookmarkStart w:id="422" w:name="_Toc45021063"/>
      <w:bookmarkEnd w:id="422"/>
      <w:bookmarkStart w:id="423" w:name="_Toc18061"/>
      <w:bookmarkStart w:id="424" w:name="_Toc25521"/>
      <w:bookmarkStart w:id="425" w:name="_Toc30863"/>
      <w:r>
        <w:rPr>
          <w:rFonts w:hint="eastAsia"/>
          <w:color w:val="auto"/>
          <w:highlight w:val="none"/>
        </w:rPr>
        <w:t>8.2</w:t>
      </w:r>
      <w:r>
        <w:rPr>
          <w:rFonts w:hint="eastAsia"/>
          <w:color w:val="auto"/>
          <w:highlight w:val="none"/>
          <w:lang w:eastAsia="zh-CN"/>
        </w:rPr>
        <w:t>创客</w:t>
      </w:r>
      <w:r>
        <w:rPr>
          <w:rFonts w:hint="eastAsia"/>
          <w:color w:val="auto"/>
          <w:highlight w:val="none"/>
        </w:rPr>
        <w:t>设备</w:t>
      </w:r>
      <w:bookmarkEnd w:id="423"/>
      <w:bookmarkEnd w:id="424"/>
      <w:bookmarkEnd w:id="425"/>
    </w:p>
    <w:tbl>
      <w:tblPr>
        <w:tblStyle w:val="42"/>
        <w:tblW w:w="5008" w:type="pct"/>
        <w:tblInd w:w="0" w:type="dxa"/>
        <w:tblLayout w:type="fixed"/>
        <w:tblCellMar>
          <w:top w:w="0" w:type="dxa"/>
          <w:left w:w="108" w:type="dxa"/>
          <w:bottom w:w="0" w:type="dxa"/>
          <w:right w:w="108" w:type="dxa"/>
        </w:tblCellMar>
      </w:tblPr>
      <w:tblGrid>
        <w:gridCol w:w="444"/>
        <w:gridCol w:w="1152"/>
        <w:gridCol w:w="5172"/>
        <w:gridCol w:w="704"/>
        <w:gridCol w:w="1064"/>
      </w:tblGrid>
      <w:tr>
        <w:tblPrEx>
          <w:tblCellMar>
            <w:top w:w="0" w:type="dxa"/>
            <w:left w:w="108" w:type="dxa"/>
            <w:bottom w:w="0" w:type="dxa"/>
            <w:right w:w="108" w:type="dxa"/>
          </w:tblCellMar>
        </w:tblPrEx>
        <w:trPr>
          <w:trHeight w:val="998"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b/>
                <w:bCs/>
                <w:color w:val="auto"/>
                <w:kern w:val="0"/>
                <w:sz w:val="40"/>
                <w:szCs w:val="40"/>
                <w:highlight w:val="none"/>
              </w:rPr>
            </w:pPr>
            <w:r>
              <w:rPr>
                <w:rFonts w:hint="eastAsia"/>
                <w:b/>
                <w:bCs/>
                <w:color w:val="auto"/>
                <w:kern w:val="0"/>
                <w:sz w:val="40"/>
                <w:szCs w:val="40"/>
                <w:highlight w:val="none"/>
              </w:rPr>
              <w:t>创客设备清单</w:t>
            </w:r>
          </w:p>
        </w:tc>
      </w:tr>
      <w:tr>
        <w:tblPrEx>
          <w:tblCellMar>
            <w:top w:w="0" w:type="dxa"/>
            <w:left w:w="108" w:type="dxa"/>
            <w:bottom w:w="0" w:type="dxa"/>
            <w:right w:w="108" w:type="dxa"/>
          </w:tblCellMar>
        </w:tblPrEx>
        <w:trPr>
          <w:trHeight w:val="672" w:hRule="atLeast"/>
        </w:trPr>
        <w:tc>
          <w:tcPr>
            <w:tcW w:w="26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b/>
                <w:bCs/>
                <w:color w:val="auto"/>
                <w:kern w:val="0"/>
                <w:sz w:val="20"/>
                <w:szCs w:val="20"/>
                <w:highlight w:val="none"/>
              </w:rPr>
            </w:pPr>
            <w:r>
              <w:rPr>
                <w:rFonts w:hint="eastAsia"/>
                <w:b/>
                <w:bCs/>
                <w:color w:val="auto"/>
                <w:kern w:val="0"/>
                <w:sz w:val="20"/>
                <w:szCs w:val="20"/>
                <w:highlight w:val="none"/>
              </w:rPr>
              <w:t>序号</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center"/>
              <w:rPr>
                <w:b/>
                <w:bCs/>
                <w:color w:val="auto"/>
                <w:kern w:val="0"/>
                <w:sz w:val="20"/>
                <w:szCs w:val="20"/>
                <w:highlight w:val="none"/>
              </w:rPr>
            </w:pPr>
            <w:r>
              <w:rPr>
                <w:rFonts w:hint="eastAsia"/>
                <w:b/>
                <w:bCs/>
                <w:color w:val="auto"/>
                <w:kern w:val="0"/>
                <w:sz w:val="20"/>
                <w:szCs w:val="20"/>
                <w:highlight w:val="none"/>
              </w:rPr>
              <w:t>产品名称</w:t>
            </w:r>
          </w:p>
        </w:tc>
        <w:tc>
          <w:tcPr>
            <w:tcW w:w="3029" w:type="pct"/>
            <w:tcBorders>
              <w:top w:val="nil"/>
              <w:left w:val="nil"/>
              <w:bottom w:val="single" w:color="auto" w:sz="4" w:space="0"/>
              <w:right w:val="single" w:color="auto" w:sz="4" w:space="0"/>
            </w:tcBorders>
            <w:noWrap w:val="0"/>
            <w:vAlign w:val="center"/>
          </w:tcPr>
          <w:p>
            <w:pPr>
              <w:widowControl/>
              <w:jc w:val="center"/>
              <w:rPr>
                <w:b/>
                <w:bCs/>
                <w:color w:val="auto"/>
                <w:kern w:val="0"/>
                <w:sz w:val="20"/>
                <w:szCs w:val="20"/>
                <w:highlight w:val="none"/>
              </w:rPr>
            </w:pPr>
            <w:r>
              <w:rPr>
                <w:rFonts w:hint="eastAsia"/>
                <w:b/>
                <w:bCs/>
                <w:color w:val="auto"/>
                <w:kern w:val="0"/>
                <w:sz w:val="20"/>
                <w:szCs w:val="20"/>
                <w:highlight w:val="none"/>
              </w:rPr>
              <w:t>主要技术参数及功能要求</w:t>
            </w:r>
          </w:p>
        </w:tc>
        <w:tc>
          <w:tcPr>
            <w:tcW w:w="412" w:type="pct"/>
            <w:tcBorders>
              <w:top w:val="nil"/>
              <w:left w:val="nil"/>
              <w:bottom w:val="single" w:color="auto" w:sz="4" w:space="0"/>
              <w:right w:val="single" w:color="auto" w:sz="4" w:space="0"/>
            </w:tcBorders>
            <w:noWrap w:val="0"/>
            <w:vAlign w:val="center"/>
          </w:tcPr>
          <w:p>
            <w:pPr>
              <w:widowControl/>
              <w:jc w:val="center"/>
              <w:rPr>
                <w:b/>
                <w:bCs/>
                <w:color w:val="auto"/>
                <w:kern w:val="0"/>
                <w:sz w:val="20"/>
                <w:szCs w:val="20"/>
                <w:highlight w:val="none"/>
              </w:rPr>
            </w:pPr>
            <w:r>
              <w:rPr>
                <w:rFonts w:hint="eastAsia"/>
                <w:b/>
                <w:bCs/>
                <w:color w:val="auto"/>
                <w:kern w:val="0"/>
                <w:sz w:val="20"/>
                <w:szCs w:val="20"/>
                <w:highlight w:val="none"/>
              </w:rPr>
              <w:t>数量</w:t>
            </w:r>
          </w:p>
        </w:tc>
        <w:tc>
          <w:tcPr>
            <w:tcW w:w="623" w:type="pct"/>
            <w:tcBorders>
              <w:top w:val="nil"/>
              <w:left w:val="nil"/>
              <w:bottom w:val="single" w:color="auto" w:sz="4" w:space="0"/>
              <w:right w:val="single" w:color="auto" w:sz="4" w:space="0"/>
            </w:tcBorders>
            <w:noWrap w:val="0"/>
            <w:vAlign w:val="center"/>
          </w:tcPr>
          <w:p>
            <w:pPr>
              <w:widowControl/>
              <w:jc w:val="center"/>
              <w:rPr>
                <w:b/>
                <w:bCs/>
                <w:color w:val="auto"/>
                <w:kern w:val="0"/>
                <w:sz w:val="20"/>
                <w:szCs w:val="20"/>
                <w:highlight w:val="none"/>
              </w:rPr>
            </w:pPr>
            <w:r>
              <w:rPr>
                <w:rFonts w:hint="eastAsia"/>
                <w:b/>
                <w:bCs/>
                <w:color w:val="auto"/>
                <w:kern w:val="0"/>
                <w:sz w:val="20"/>
                <w:szCs w:val="20"/>
                <w:highlight w:val="none"/>
              </w:rPr>
              <w:t>单位</w:t>
            </w:r>
          </w:p>
        </w:tc>
      </w:tr>
      <w:tr>
        <w:tblPrEx>
          <w:tblCellMar>
            <w:top w:w="0" w:type="dxa"/>
            <w:left w:w="108" w:type="dxa"/>
            <w:bottom w:w="0" w:type="dxa"/>
            <w:right w:w="108" w:type="dxa"/>
          </w:tblCellMar>
        </w:tblPrEx>
        <w:trPr>
          <w:trHeight w:val="395"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auto"/>
                <w:kern w:val="0"/>
                <w:sz w:val="18"/>
                <w:szCs w:val="18"/>
                <w:highlight w:val="none"/>
              </w:rPr>
            </w:pPr>
            <w:r>
              <w:rPr>
                <w:rFonts w:hint="eastAsia"/>
                <w:color w:val="auto"/>
                <w:kern w:val="0"/>
                <w:sz w:val="18"/>
                <w:szCs w:val="18"/>
                <w:highlight w:val="none"/>
              </w:rPr>
              <w:t>1</w:t>
            </w:r>
          </w:p>
        </w:tc>
        <w:tc>
          <w:tcPr>
            <w:tcW w:w="674" w:type="pct"/>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kern w:val="0"/>
                <w:sz w:val="18"/>
                <w:szCs w:val="18"/>
                <w:highlight w:val="none"/>
              </w:rPr>
              <w:t>3D打印（教师机）</w:t>
            </w:r>
          </w:p>
        </w:tc>
        <w:tc>
          <w:tcPr>
            <w:tcW w:w="3029" w:type="pct"/>
            <w:tcBorders>
              <w:top w:val="nil"/>
              <w:left w:val="nil"/>
              <w:bottom w:val="single" w:color="auto" w:sz="4" w:space="0"/>
              <w:right w:val="single" w:color="auto" w:sz="4" w:space="0"/>
            </w:tcBorders>
            <w:noWrap w:val="0"/>
            <w:vAlign w:val="center"/>
          </w:tcPr>
          <w:p>
            <w:pPr>
              <w:widowControl/>
              <w:jc w:val="left"/>
              <w:rPr>
                <w:rFonts w:hint="eastAsia"/>
                <w:color w:val="auto"/>
                <w:kern w:val="0"/>
                <w:sz w:val="18"/>
                <w:szCs w:val="18"/>
                <w:highlight w:val="none"/>
              </w:rPr>
            </w:pPr>
            <w:r>
              <w:rPr>
                <w:rFonts w:hint="eastAsia"/>
                <w:color w:val="auto"/>
                <w:kern w:val="0"/>
                <w:sz w:val="18"/>
                <w:szCs w:val="18"/>
                <w:highlight w:val="none"/>
              </w:rPr>
              <w:t>1. 打印技术：熔融堆积（FDM）；打印尺寸不小于300*225*320mm，设备尺寸≥450*390*590mm。</w:t>
            </w:r>
            <w:r>
              <w:rPr>
                <w:rFonts w:hint="eastAsia"/>
                <w:color w:val="auto"/>
                <w:kern w:val="0"/>
                <w:sz w:val="18"/>
                <w:szCs w:val="18"/>
                <w:highlight w:val="none"/>
              </w:rPr>
              <w:br w:type="textWrapping"/>
            </w:r>
            <w:r>
              <w:rPr>
                <w:rFonts w:hint="eastAsia"/>
                <w:color w:val="auto"/>
                <w:kern w:val="0"/>
                <w:sz w:val="18"/>
                <w:szCs w:val="18"/>
                <w:highlight w:val="none"/>
              </w:rPr>
              <w:t>2. 喷头结构：最新的两进一出（两进两出），单喷嘴最高温度≥250℃  双色打印。机器结构：机身采用的是≥2mm全钢板无缝焊机工艺，机壳钣金,磨砂喷漆工艺，防止爆漆，在喷头高速运动过程中，保证稳固。</w:t>
            </w:r>
            <w:r>
              <w:rPr>
                <w:rFonts w:hint="eastAsia"/>
                <w:color w:val="auto"/>
                <w:kern w:val="0"/>
                <w:sz w:val="18"/>
                <w:szCs w:val="18"/>
                <w:highlight w:val="none"/>
              </w:rPr>
              <w:br w:type="textWrapping"/>
            </w:r>
            <w:r>
              <w:rPr>
                <w:rFonts w:hint="eastAsia"/>
                <w:color w:val="auto"/>
                <w:kern w:val="0"/>
                <w:sz w:val="18"/>
                <w:szCs w:val="18"/>
                <w:highlight w:val="none"/>
              </w:rPr>
              <w:t>3. 平台可加热温度≥110度；</w:t>
            </w:r>
            <w:r>
              <w:rPr>
                <w:rFonts w:hint="eastAsia"/>
                <w:color w:val="auto"/>
                <w:kern w:val="0"/>
                <w:sz w:val="18"/>
                <w:szCs w:val="18"/>
                <w:highlight w:val="none"/>
              </w:rPr>
              <w:br w:type="textWrapping"/>
            </w:r>
            <w:r>
              <w:rPr>
                <w:rFonts w:hint="eastAsia"/>
                <w:color w:val="auto"/>
                <w:kern w:val="0"/>
                <w:sz w:val="18"/>
                <w:szCs w:val="18"/>
                <w:highlight w:val="none"/>
              </w:rPr>
              <w:t>4. 成型平台材质≥5MM一体铝制成型平台，有效防止模型翘边，铝板一体加热平台；</w:t>
            </w:r>
            <w:r>
              <w:rPr>
                <w:rFonts w:hint="eastAsia"/>
                <w:color w:val="auto"/>
                <w:kern w:val="0"/>
                <w:sz w:val="18"/>
                <w:szCs w:val="18"/>
                <w:highlight w:val="none"/>
              </w:rPr>
              <w:br w:type="textWrapping"/>
            </w:r>
            <w:r>
              <w:rPr>
                <w:rFonts w:hint="eastAsia"/>
                <w:color w:val="auto"/>
                <w:kern w:val="0"/>
                <w:sz w:val="18"/>
                <w:szCs w:val="18"/>
                <w:highlight w:val="none"/>
              </w:rPr>
              <w:t>5. 远端送料。</w:t>
            </w:r>
            <w:r>
              <w:rPr>
                <w:rFonts w:hint="eastAsia"/>
                <w:color w:val="auto"/>
                <w:kern w:val="0"/>
                <w:sz w:val="18"/>
                <w:szCs w:val="18"/>
                <w:highlight w:val="none"/>
              </w:rPr>
              <w:br w:type="textWrapping"/>
            </w:r>
            <w:r>
              <w:rPr>
                <w:rFonts w:hint="eastAsia"/>
                <w:color w:val="auto"/>
                <w:kern w:val="0"/>
                <w:sz w:val="18"/>
                <w:szCs w:val="18"/>
                <w:highlight w:val="none"/>
              </w:rPr>
              <w:t>6. 断料检测功能：设备具备断料检测功能，在断料或者缺料情况下可以继续打印。</w:t>
            </w:r>
            <w:r>
              <w:rPr>
                <w:rFonts w:hint="eastAsia"/>
                <w:color w:val="auto"/>
                <w:kern w:val="0"/>
                <w:sz w:val="18"/>
                <w:szCs w:val="18"/>
                <w:highlight w:val="none"/>
              </w:rPr>
              <w:br w:type="textWrapping"/>
            </w:r>
            <w:r>
              <w:rPr>
                <w:rFonts w:hint="eastAsia"/>
                <w:color w:val="auto"/>
                <w:highlight w:val="none"/>
                <w:shd w:val="clear" w:color="auto" w:fill="FFFFFF"/>
              </w:rPr>
              <w:t>▲</w:t>
            </w:r>
            <w:r>
              <w:rPr>
                <w:rFonts w:hint="eastAsia"/>
                <w:color w:val="auto"/>
                <w:kern w:val="0"/>
                <w:sz w:val="18"/>
                <w:szCs w:val="18"/>
                <w:highlight w:val="none"/>
              </w:rPr>
              <w:t>7. 断电续打功能：能在断电情况后，来电继续打印。</w:t>
            </w:r>
            <w:r>
              <w:rPr>
                <w:rFonts w:hint="eastAsia"/>
                <w:color w:val="auto"/>
                <w:kern w:val="0"/>
                <w:sz w:val="18"/>
                <w:szCs w:val="18"/>
                <w:highlight w:val="none"/>
              </w:rPr>
              <w:br w:type="textWrapping"/>
            </w:r>
            <w:r>
              <w:rPr>
                <w:rFonts w:hint="eastAsia"/>
                <w:color w:val="auto"/>
                <w:kern w:val="0"/>
                <w:sz w:val="18"/>
                <w:szCs w:val="18"/>
                <w:highlight w:val="none"/>
              </w:rPr>
              <w:t>8. 层厚度：最高≥0.05MM； 输入文件格式：STL，G-Code； XY轴定位≥0.01mm；Z轴定位≥0.0025mm； 喷嘴直径≥0.4mm，支持0.2，0.3喷嘴。</w:t>
            </w:r>
            <w:r>
              <w:rPr>
                <w:rFonts w:hint="eastAsia"/>
                <w:color w:val="auto"/>
                <w:kern w:val="0"/>
                <w:sz w:val="18"/>
                <w:szCs w:val="18"/>
                <w:highlight w:val="none"/>
              </w:rPr>
              <w:br w:type="textWrapping"/>
            </w:r>
            <w:r>
              <w:rPr>
                <w:rFonts w:hint="eastAsia"/>
                <w:color w:val="auto"/>
                <w:kern w:val="0"/>
                <w:sz w:val="18"/>
                <w:szCs w:val="18"/>
                <w:highlight w:val="none"/>
              </w:rPr>
              <w:t>9. 打印速度：最高200㎜/s（最快速度）；打印耗材：优质PLA,能打印ABS、TPU软胶、木材、混色耗材、碳纤维等市面主流耗材； 打印方式：SD卡脱机打印，USB联机打印。</w:t>
            </w:r>
            <w:r>
              <w:rPr>
                <w:rFonts w:hint="eastAsia"/>
                <w:color w:val="auto"/>
                <w:kern w:val="0"/>
                <w:sz w:val="18"/>
                <w:szCs w:val="18"/>
                <w:highlight w:val="none"/>
              </w:rPr>
              <w:br w:type="textWrapping"/>
            </w:r>
            <w:r>
              <w:rPr>
                <w:rFonts w:hint="eastAsia"/>
                <w:color w:val="auto"/>
                <w:kern w:val="0"/>
                <w:sz w:val="18"/>
                <w:szCs w:val="18"/>
                <w:highlight w:val="none"/>
              </w:rPr>
              <w:t>10. 素材支持：配备一个 3d 素材库，素材库数量须大于 2 万个，素材涵盖人物.卡通.教育.建筑.时尚.玩具.动物.植物.家居.工具.动漫游戏等类别，素材拥有 25 个以上特色专题，每个专题包含至少 5 个以上同类别优质素材。素材库包含网站及 APP，APP 同步支持安卓及 IOS 下载；</w:t>
            </w:r>
          </w:p>
        </w:tc>
        <w:tc>
          <w:tcPr>
            <w:tcW w:w="412" w:type="pct"/>
            <w:tcBorders>
              <w:top w:val="nil"/>
              <w:left w:val="nil"/>
              <w:bottom w:val="single" w:color="auto" w:sz="4" w:space="0"/>
              <w:right w:val="single" w:color="auto" w:sz="4" w:space="0"/>
            </w:tcBorders>
            <w:noWrap/>
            <w:vAlign w:val="center"/>
          </w:tcPr>
          <w:p>
            <w:pPr>
              <w:widowControl/>
              <w:jc w:val="center"/>
              <w:rPr>
                <w:color w:val="auto"/>
                <w:kern w:val="0"/>
                <w:sz w:val="18"/>
                <w:szCs w:val="18"/>
                <w:highlight w:val="none"/>
              </w:rPr>
            </w:pPr>
            <w:r>
              <w:rPr>
                <w:rFonts w:hint="eastAsia"/>
                <w:color w:val="auto"/>
                <w:kern w:val="0"/>
                <w:sz w:val="18"/>
                <w:szCs w:val="18"/>
                <w:highlight w:val="none"/>
              </w:rPr>
              <w:t>1</w:t>
            </w:r>
          </w:p>
        </w:tc>
        <w:tc>
          <w:tcPr>
            <w:tcW w:w="623" w:type="pct"/>
            <w:tcBorders>
              <w:top w:val="nil"/>
              <w:left w:val="nil"/>
              <w:bottom w:val="single" w:color="auto" w:sz="4" w:space="0"/>
              <w:right w:val="single" w:color="auto" w:sz="4" w:space="0"/>
            </w:tcBorders>
            <w:noWrap/>
            <w:vAlign w:val="center"/>
          </w:tcPr>
          <w:p>
            <w:pPr>
              <w:widowControl/>
              <w:jc w:val="center"/>
              <w:rPr>
                <w:color w:val="auto"/>
                <w:kern w:val="0"/>
                <w:sz w:val="18"/>
                <w:szCs w:val="18"/>
                <w:highlight w:val="none"/>
              </w:rPr>
            </w:pPr>
            <w:r>
              <w:rPr>
                <w:rFonts w:hint="eastAsia"/>
                <w:color w:val="auto"/>
                <w:kern w:val="0"/>
                <w:sz w:val="18"/>
                <w:szCs w:val="18"/>
                <w:highlight w:val="none"/>
              </w:rPr>
              <w:t>套</w:t>
            </w:r>
          </w:p>
        </w:tc>
      </w:tr>
      <w:tr>
        <w:tblPrEx>
          <w:tblCellMar>
            <w:top w:w="0" w:type="dxa"/>
            <w:left w:w="108" w:type="dxa"/>
            <w:bottom w:w="0" w:type="dxa"/>
            <w:right w:w="108" w:type="dxa"/>
          </w:tblCellMar>
        </w:tblPrEx>
        <w:trPr>
          <w:trHeight w:val="1836"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auto"/>
                <w:kern w:val="0"/>
                <w:sz w:val="18"/>
                <w:szCs w:val="18"/>
                <w:highlight w:val="none"/>
              </w:rPr>
            </w:pPr>
            <w:r>
              <w:rPr>
                <w:rFonts w:hint="eastAsia"/>
                <w:color w:val="auto"/>
                <w:kern w:val="0"/>
                <w:sz w:val="18"/>
                <w:szCs w:val="18"/>
                <w:highlight w:val="none"/>
              </w:rPr>
              <w:t>2</w:t>
            </w:r>
          </w:p>
        </w:tc>
        <w:tc>
          <w:tcPr>
            <w:tcW w:w="674" w:type="pct"/>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kern w:val="0"/>
                <w:sz w:val="18"/>
                <w:szCs w:val="18"/>
                <w:highlight w:val="none"/>
              </w:rPr>
              <w:t>打印机耗材</w:t>
            </w:r>
          </w:p>
        </w:tc>
        <w:tc>
          <w:tcPr>
            <w:tcW w:w="3029" w:type="pct"/>
            <w:tcBorders>
              <w:top w:val="nil"/>
              <w:left w:val="nil"/>
              <w:bottom w:val="single" w:color="auto" w:sz="4" w:space="0"/>
              <w:right w:val="single" w:color="auto" w:sz="4" w:space="0"/>
            </w:tcBorders>
            <w:noWrap w:val="0"/>
            <w:vAlign w:val="center"/>
          </w:tcPr>
          <w:p>
            <w:pPr>
              <w:widowControl/>
              <w:numPr>
                <w:ilvl w:val="0"/>
                <w:numId w:val="16"/>
              </w:numPr>
              <w:jc w:val="left"/>
              <w:rPr>
                <w:rFonts w:hint="eastAsia"/>
                <w:color w:val="auto"/>
                <w:kern w:val="0"/>
                <w:sz w:val="18"/>
                <w:szCs w:val="18"/>
                <w:highlight w:val="none"/>
              </w:rPr>
            </w:pPr>
            <w:r>
              <w:rPr>
                <w:rFonts w:hint="eastAsia"/>
                <w:color w:val="auto"/>
                <w:kern w:val="0"/>
                <w:sz w:val="18"/>
                <w:szCs w:val="18"/>
                <w:highlight w:val="none"/>
              </w:rPr>
              <w:t>直径（mm）≥1.75</w:t>
            </w:r>
            <w:r>
              <w:rPr>
                <w:rFonts w:hint="eastAsia"/>
                <w:color w:val="auto"/>
                <w:kern w:val="0"/>
                <w:sz w:val="18"/>
                <w:szCs w:val="18"/>
                <w:highlight w:val="none"/>
                <w:lang w:eastAsia="zh-CN"/>
              </w:rPr>
              <w:t>，</w:t>
            </w:r>
            <w:r>
              <w:rPr>
                <w:rFonts w:hint="eastAsia"/>
                <w:color w:val="auto"/>
                <w:kern w:val="0"/>
                <w:sz w:val="18"/>
                <w:szCs w:val="18"/>
                <w:highlight w:val="none"/>
              </w:rPr>
              <w:t>安全无毒可降解</w:t>
            </w:r>
            <w:r>
              <w:rPr>
                <w:rFonts w:hint="eastAsia"/>
                <w:color w:val="auto"/>
                <w:kern w:val="0"/>
                <w:sz w:val="18"/>
                <w:szCs w:val="18"/>
                <w:highlight w:val="none"/>
                <w:lang w:eastAsia="zh-CN"/>
              </w:rPr>
              <w:t>，</w:t>
            </w:r>
            <w:r>
              <w:rPr>
                <w:rFonts w:hint="eastAsia"/>
                <w:color w:val="auto"/>
                <w:kern w:val="0"/>
                <w:sz w:val="18"/>
                <w:szCs w:val="18"/>
                <w:highlight w:val="none"/>
              </w:rPr>
              <w:t>密度（g/cm3）≥1.24</w:t>
            </w:r>
            <w:r>
              <w:rPr>
                <w:rFonts w:hint="eastAsia"/>
                <w:color w:val="auto"/>
                <w:kern w:val="0"/>
                <w:sz w:val="18"/>
                <w:szCs w:val="18"/>
                <w:highlight w:val="none"/>
              </w:rPr>
              <w:br w:type="textWrapping"/>
            </w:r>
            <w:r>
              <w:rPr>
                <w:rFonts w:hint="eastAsia"/>
                <w:color w:val="auto"/>
                <w:kern w:val="0"/>
                <w:sz w:val="18"/>
                <w:szCs w:val="18"/>
                <w:highlight w:val="none"/>
              </w:rPr>
              <w:t>熔融指数（g/10min）：≥5（190℃/2.16kg）或更优</w:t>
            </w:r>
            <w:r>
              <w:rPr>
                <w:rFonts w:hint="eastAsia"/>
                <w:color w:val="auto"/>
                <w:kern w:val="0"/>
                <w:sz w:val="18"/>
                <w:szCs w:val="18"/>
                <w:highlight w:val="none"/>
                <w:lang w:eastAsia="zh-CN"/>
              </w:rPr>
              <w:t>，</w:t>
            </w:r>
            <w:r>
              <w:rPr>
                <w:rFonts w:hint="eastAsia"/>
                <w:color w:val="auto"/>
                <w:kern w:val="0"/>
                <w:sz w:val="18"/>
                <w:szCs w:val="18"/>
                <w:highlight w:val="none"/>
              </w:rPr>
              <w:t>拉伸强度（Mpa）至少达到≥ 65</w:t>
            </w:r>
            <w:r>
              <w:rPr>
                <w:rFonts w:hint="eastAsia"/>
                <w:color w:val="auto"/>
                <w:kern w:val="0"/>
                <w:sz w:val="18"/>
                <w:szCs w:val="18"/>
                <w:highlight w:val="none"/>
                <w:lang w:eastAsia="zh-CN"/>
              </w:rPr>
              <w:t>，</w:t>
            </w:r>
            <w:r>
              <w:rPr>
                <w:rFonts w:hint="eastAsia"/>
                <w:color w:val="auto"/>
                <w:kern w:val="0"/>
                <w:sz w:val="18"/>
                <w:szCs w:val="18"/>
                <w:highlight w:val="none"/>
              </w:rPr>
              <w:t>弯曲强度（Mpa）至少达到≥87</w:t>
            </w:r>
            <w:r>
              <w:rPr>
                <w:rFonts w:hint="eastAsia"/>
                <w:color w:val="auto"/>
                <w:kern w:val="0"/>
                <w:sz w:val="18"/>
                <w:szCs w:val="18"/>
                <w:highlight w:val="none"/>
                <w:lang w:eastAsia="zh-CN"/>
              </w:rPr>
              <w:t>，</w:t>
            </w:r>
            <w:r>
              <w:rPr>
                <w:rFonts w:hint="eastAsia"/>
                <w:color w:val="auto"/>
                <w:kern w:val="0"/>
                <w:sz w:val="18"/>
                <w:szCs w:val="18"/>
                <w:highlight w:val="none"/>
              </w:rPr>
              <w:t>与其他3D打印设备有良好的兼容性</w:t>
            </w:r>
            <w:r>
              <w:rPr>
                <w:rFonts w:hint="eastAsia"/>
                <w:color w:val="auto"/>
                <w:kern w:val="0"/>
                <w:sz w:val="18"/>
                <w:szCs w:val="18"/>
                <w:highlight w:val="none"/>
                <w:lang w:eastAsia="zh-CN"/>
              </w:rPr>
              <w:t>。</w:t>
            </w:r>
          </w:p>
        </w:tc>
        <w:tc>
          <w:tcPr>
            <w:tcW w:w="412" w:type="pct"/>
            <w:tcBorders>
              <w:top w:val="nil"/>
              <w:left w:val="nil"/>
              <w:bottom w:val="single" w:color="auto" w:sz="4" w:space="0"/>
              <w:right w:val="single" w:color="auto" w:sz="4" w:space="0"/>
            </w:tcBorders>
            <w:noWrap/>
            <w:vAlign w:val="center"/>
          </w:tcPr>
          <w:p>
            <w:pPr>
              <w:widowControl/>
              <w:jc w:val="center"/>
              <w:rPr>
                <w:color w:val="auto"/>
                <w:kern w:val="0"/>
                <w:sz w:val="18"/>
                <w:szCs w:val="18"/>
                <w:highlight w:val="none"/>
              </w:rPr>
            </w:pPr>
            <w:r>
              <w:rPr>
                <w:rFonts w:hint="eastAsia"/>
                <w:color w:val="auto"/>
                <w:kern w:val="0"/>
                <w:sz w:val="18"/>
                <w:szCs w:val="18"/>
                <w:highlight w:val="none"/>
              </w:rPr>
              <w:t>4</w:t>
            </w:r>
          </w:p>
        </w:tc>
        <w:tc>
          <w:tcPr>
            <w:tcW w:w="623" w:type="pct"/>
            <w:tcBorders>
              <w:top w:val="nil"/>
              <w:left w:val="nil"/>
              <w:bottom w:val="single" w:color="auto" w:sz="4" w:space="0"/>
              <w:right w:val="single" w:color="auto" w:sz="4" w:space="0"/>
            </w:tcBorders>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千克</w:t>
            </w:r>
          </w:p>
        </w:tc>
      </w:tr>
      <w:tr>
        <w:tblPrEx>
          <w:tblCellMar>
            <w:top w:w="0" w:type="dxa"/>
            <w:left w:w="108" w:type="dxa"/>
            <w:bottom w:w="0" w:type="dxa"/>
            <w:right w:w="108" w:type="dxa"/>
          </w:tblCellMar>
        </w:tblPrEx>
        <w:trPr>
          <w:trHeight w:val="975"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color w:val="auto"/>
                <w:kern w:val="0"/>
                <w:sz w:val="18"/>
                <w:szCs w:val="18"/>
                <w:highlight w:val="none"/>
              </w:rPr>
            </w:pPr>
            <w:r>
              <w:rPr>
                <w:rFonts w:hint="eastAsia"/>
                <w:color w:val="auto"/>
                <w:kern w:val="0"/>
                <w:sz w:val="18"/>
                <w:szCs w:val="18"/>
                <w:highlight w:val="none"/>
              </w:rPr>
              <w:t>3</w:t>
            </w:r>
          </w:p>
        </w:tc>
        <w:tc>
          <w:tcPr>
            <w:tcW w:w="674" w:type="pct"/>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kern w:val="0"/>
                <w:sz w:val="18"/>
                <w:szCs w:val="18"/>
                <w:highlight w:val="none"/>
              </w:rPr>
              <w:t>智慧创客学习软件</w:t>
            </w:r>
          </w:p>
        </w:tc>
        <w:tc>
          <w:tcPr>
            <w:tcW w:w="3029" w:type="pct"/>
            <w:tcBorders>
              <w:top w:val="nil"/>
              <w:left w:val="nil"/>
              <w:bottom w:val="single" w:color="auto" w:sz="4" w:space="0"/>
              <w:right w:val="single" w:color="auto" w:sz="4" w:space="0"/>
            </w:tcBorders>
            <w:noWrap w:val="0"/>
            <w:vAlign w:val="center"/>
          </w:tcPr>
          <w:p>
            <w:pPr>
              <w:widowControl/>
              <w:jc w:val="left"/>
              <w:rPr>
                <w:rFonts w:hint="eastAsia"/>
                <w:color w:val="auto"/>
                <w:kern w:val="0"/>
                <w:sz w:val="18"/>
                <w:szCs w:val="18"/>
                <w:highlight w:val="none"/>
              </w:rPr>
            </w:pPr>
            <w:r>
              <w:rPr>
                <w:rFonts w:hint="eastAsia"/>
                <w:color w:val="auto"/>
                <w:kern w:val="0"/>
                <w:sz w:val="18"/>
                <w:szCs w:val="18"/>
                <w:highlight w:val="none"/>
              </w:rPr>
              <w:t xml:space="preserve">1、结合最新的教育信息化2.0纲要，实现互联网+教学的深度融合，提供在线编程教育资源平台：配备不低于3个教师学习账号，结合初级编程上下学期课程内容，满足不少于60课时教学资源（教学内容与所配器材一致，并配有≥3本教师用书）；                                                                                                                        2、支持配套课程同步学习视频，配套教学同步PPT课件、同步示例程序在线下载、在线学员作业检查等；                                                                                        3、支持一键生成学生微课堂学习账号，支持在线答疑、提问、作业提交、智能解锁、智能评测、智能学习报告生成功能；                                                                                                                                                       4、支持学校自主官网设计、新闻活动发布、优秀教师展示等；                                                                                                     </w:t>
            </w:r>
            <w:r>
              <w:rPr>
                <w:rFonts w:hint="eastAsia"/>
                <w:color w:val="auto"/>
                <w:highlight w:val="none"/>
                <w:shd w:val="clear" w:color="auto" w:fill="FFFFFF"/>
              </w:rPr>
              <w:t>▲5</w:t>
            </w:r>
            <w:r>
              <w:rPr>
                <w:rFonts w:hint="eastAsia"/>
                <w:color w:val="auto"/>
                <w:kern w:val="0"/>
                <w:sz w:val="18"/>
                <w:szCs w:val="18"/>
                <w:highlight w:val="none"/>
              </w:rPr>
              <w:t xml:space="preserve">、提供教师智能在线课程研发功能，自主管理课程内容，题库更新等；                                                        </w:t>
            </w:r>
            <w:r>
              <w:rPr>
                <w:rFonts w:hint="eastAsia"/>
                <w:color w:val="auto"/>
                <w:highlight w:val="none"/>
                <w:shd w:val="clear" w:color="auto" w:fill="FFFFFF"/>
              </w:rPr>
              <w:t>▲</w:t>
            </w:r>
            <w:r>
              <w:rPr>
                <w:rFonts w:hint="eastAsia"/>
                <w:color w:val="auto"/>
                <w:kern w:val="0"/>
                <w:sz w:val="18"/>
                <w:szCs w:val="18"/>
                <w:highlight w:val="none"/>
              </w:rPr>
              <w:t xml:space="preserve">6、软件提供集成在线编程功能；提供配套离线版软件，可支持硬件编程/可视化编程/语音识别功能，支持python代码切换，配套硬件烧录等功能。                                                                              7、结合学校原有器材提供课程上架服务，整体上架平台课程内容不低于32课时。                 </w:t>
            </w:r>
          </w:p>
        </w:tc>
        <w:tc>
          <w:tcPr>
            <w:tcW w:w="412" w:type="pct"/>
            <w:tcBorders>
              <w:top w:val="nil"/>
              <w:left w:val="nil"/>
              <w:bottom w:val="single" w:color="auto" w:sz="4" w:space="0"/>
              <w:right w:val="single" w:color="auto" w:sz="4" w:space="0"/>
            </w:tcBorders>
            <w:noWrap/>
            <w:vAlign w:val="center"/>
          </w:tcPr>
          <w:p>
            <w:pPr>
              <w:widowControl/>
              <w:jc w:val="center"/>
              <w:rPr>
                <w:color w:val="auto"/>
                <w:kern w:val="0"/>
                <w:sz w:val="18"/>
                <w:szCs w:val="18"/>
                <w:highlight w:val="none"/>
              </w:rPr>
            </w:pPr>
            <w:r>
              <w:rPr>
                <w:rFonts w:hint="eastAsia"/>
                <w:color w:val="auto"/>
                <w:kern w:val="0"/>
                <w:sz w:val="18"/>
                <w:szCs w:val="18"/>
                <w:highlight w:val="none"/>
              </w:rPr>
              <w:t>1</w:t>
            </w:r>
          </w:p>
        </w:tc>
        <w:tc>
          <w:tcPr>
            <w:tcW w:w="623" w:type="pct"/>
            <w:tcBorders>
              <w:top w:val="nil"/>
              <w:left w:val="nil"/>
              <w:bottom w:val="single" w:color="auto" w:sz="4" w:space="0"/>
              <w:right w:val="single" w:color="auto" w:sz="4" w:space="0"/>
            </w:tcBorders>
            <w:noWrap/>
            <w:vAlign w:val="center"/>
          </w:tcPr>
          <w:p>
            <w:pPr>
              <w:widowControl/>
              <w:jc w:val="center"/>
              <w:rPr>
                <w:color w:val="auto"/>
                <w:kern w:val="0"/>
                <w:sz w:val="18"/>
                <w:szCs w:val="18"/>
                <w:highlight w:val="none"/>
              </w:rPr>
            </w:pPr>
            <w:r>
              <w:rPr>
                <w:rFonts w:hint="eastAsia"/>
                <w:color w:val="auto"/>
                <w:kern w:val="0"/>
                <w:sz w:val="18"/>
                <w:szCs w:val="18"/>
                <w:highlight w:val="none"/>
              </w:rPr>
              <w:t>套</w:t>
            </w:r>
          </w:p>
        </w:tc>
      </w:tr>
      <w:tr>
        <w:tblPrEx>
          <w:tblCellMar>
            <w:top w:w="0" w:type="dxa"/>
            <w:left w:w="108" w:type="dxa"/>
            <w:bottom w:w="0" w:type="dxa"/>
            <w:right w:w="108" w:type="dxa"/>
          </w:tblCellMar>
        </w:tblPrEx>
        <w:trPr>
          <w:trHeight w:val="1118"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4</w:t>
            </w:r>
          </w:p>
        </w:tc>
        <w:tc>
          <w:tcPr>
            <w:tcW w:w="67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吸顶空调</w:t>
            </w:r>
          </w:p>
        </w:tc>
        <w:tc>
          <w:tcPr>
            <w:tcW w:w="3029" w:type="pct"/>
            <w:tcBorders>
              <w:top w:val="nil"/>
              <w:left w:val="nil"/>
              <w:bottom w:val="single" w:color="auto" w:sz="4" w:space="0"/>
              <w:right w:val="single" w:color="auto" w:sz="4" w:space="0"/>
            </w:tcBorders>
            <w:shd w:val="clear" w:color="auto" w:fill="auto"/>
            <w:noWrap w:val="0"/>
            <w:vAlign w:val="center"/>
          </w:tcPr>
          <w:p>
            <w:pPr>
              <w:widowControl/>
              <w:numPr>
                <w:ilvl w:val="0"/>
                <w:numId w:val="17"/>
              </w:numPr>
              <w:jc w:val="left"/>
              <w:rPr>
                <w:rFonts w:hint="eastAsia"/>
              </w:rPr>
            </w:pPr>
            <w:r>
              <w:rPr>
                <w:rFonts w:hint="eastAsia"/>
              </w:rPr>
              <w:t>制冷量≥12000W，制热量≥13000W（含电辅加热≥2100W）；制冷功率≥3600W，制热功率≥3620W。室内噪音≤54dB，室内循环风量每小时≥2000立方米。定频、二级及以上效能、遥控，配安装支架及辅材。</w:t>
            </w:r>
          </w:p>
          <w:p>
            <w:pPr>
              <w:pStyle w:val="41"/>
              <w:numPr>
                <w:ilvl w:val="0"/>
                <w:numId w:val="0"/>
              </w:numPr>
              <w:rPr>
                <w:rFonts w:hint="eastAsia"/>
              </w:rPr>
            </w:pPr>
            <w:r>
              <w:rPr>
                <w:rFonts w:hint="eastAsia" w:ascii="宋体" w:hAnsi="宋体" w:eastAsia="宋体" w:cs="宋体"/>
                <w:b/>
                <w:bCs/>
                <w:kern w:val="2"/>
                <w:sz w:val="21"/>
                <w:szCs w:val="22"/>
                <w:lang w:val="en-US" w:eastAsia="zh-CN" w:bidi="ar-SA"/>
              </w:rPr>
              <w:t xml:space="preserve">★2、应具有国家确定的认证机构出具的在有效期内的节能产品认证证书。（说明：提供证书复印件加盖公章）  </w:t>
            </w:r>
          </w:p>
        </w:tc>
        <w:tc>
          <w:tcPr>
            <w:tcW w:w="412" w:type="pct"/>
            <w:tcBorders>
              <w:top w:val="nil"/>
              <w:left w:val="nil"/>
              <w:bottom w:val="single" w:color="auto" w:sz="4" w:space="0"/>
              <w:right w:val="single" w:color="auto" w:sz="4" w:space="0"/>
            </w:tcBorders>
            <w:shd w:val="clear" w:color="auto" w:fill="auto"/>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1</w:t>
            </w:r>
          </w:p>
        </w:tc>
        <w:tc>
          <w:tcPr>
            <w:tcW w:w="62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台</w:t>
            </w:r>
          </w:p>
        </w:tc>
      </w:tr>
      <w:tr>
        <w:tblPrEx>
          <w:tblCellMar>
            <w:top w:w="0" w:type="dxa"/>
            <w:left w:w="108" w:type="dxa"/>
            <w:bottom w:w="0" w:type="dxa"/>
            <w:right w:w="108" w:type="dxa"/>
          </w:tblCellMar>
        </w:tblPrEx>
        <w:trPr>
          <w:trHeight w:val="661"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5</w:t>
            </w:r>
          </w:p>
        </w:tc>
        <w:tc>
          <w:tcPr>
            <w:tcW w:w="67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空调铜管</w:t>
            </w:r>
          </w:p>
        </w:tc>
        <w:tc>
          <w:tcPr>
            <w:tcW w:w="3029"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color w:val="auto"/>
                <w:kern w:val="0"/>
                <w:sz w:val="18"/>
                <w:szCs w:val="18"/>
                <w:highlight w:val="none"/>
              </w:rPr>
            </w:pPr>
            <w:r>
              <w:rPr>
                <w:rFonts w:hint="eastAsia"/>
                <w:color w:val="auto"/>
                <w:kern w:val="0"/>
                <w:sz w:val="18"/>
                <w:szCs w:val="18"/>
                <w:highlight w:val="none"/>
              </w:rPr>
              <w:t>1.材质：铜，吸顶空调专用定制</w:t>
            </w:r>
          </w:p>
        </w:tc>
        <w:tc>
          <w:tcPr>
            <w:tcW w:w="412" w:type="pct"/>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18"/>
                <w:szCs w:val="18"/>
                <w:highlight w:val="none"/>
              </w:rPr>
            </w:pPr>
            <w:r>
              <w:rPr>
                <w:rFonts w:hint="eastAsia"/>
                <w:color w:val="auto"/>
                <w:kern w:val="0"/>
                <w:sz w:val="18"/>
                <w:szCs w:val="18"/>
                <w:highlight w:val="none"/>
              </w:rPr>
              <w:t>50</w:t>
            </w:r>
          </w:p>
        </w:tc>
        <w:tc>
          <w:tcPr>
            <w:tcW w:w="62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米</w:t>
            </w:r>
          </w:p>
        </w:tc>
      </w:tr>
      <w:tr>
        <w:tblPrEx>
          <w:tblCellMar>
            <w:top w:w="0" w:type="dxa"/>
            <w:left w:w="108" w:type="dxa"/>
            <w:bottom w:w="0" w:type="dxa"/>
            <w:right w:w="108" w:type="dxa"/>
          </w:tblCellMar>
        </w:tblPrEx>
        <w:trPr>
          <w:trHeight w:val="1118" w:hRule="atLeast"/>
        </w:trPr>
        <w:tc>
          <w:tcPr>
            <w:tcW w:w="26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6</w:t>
            </w:r>
          </w:p>
        </w:tc>
        <w:tc>
          <w:tcPr>
            <w:tcW w:w="674"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系统集成</w:t>
            </w:r>
          </w:p>
        </w:tc>
        <w:tc>
          <w:tcPr>
            <w:tcW w:w="3029" w:type="pct"/>
            <w:tcBorders>
              <w:top w:val="nil"/>
              <w:left w:val="nil"/>
              <w:bottom w:val="single" w:color="auto" w:sz="4" w:space="0"/>
              <w:right w:val="single" w:color="auto" w:sz="4" w:space="0"/>
            </w:tcBorders>
            <w:shd w:val="clear" w:color="auto" w:fill="auto"/>
            <w:noWrap w:val="0"/>
            <w:vAlign w:val="center"/>
          </w:tcPr>
          <w:p>
            <w:pPr>
              <w:widowControl/>
              <w:numPr>
                <w:ilvl w:val="0"/>
                <w:numId w:val="18"/>
              </w:numPr>
              <w:jc w:val="left"/>
              <w:rPr>
                <w:rFonts w:hint="eastAsia"/>
              </w:rPr>
            </w:pPr>
            <w:r>
              <w:rPr>
                <w:rFonts w:hint="eastAsia"/>
              </w:rPr>
              <w:t>梳理课程体系，具备为学校重新开课服务能力。</w:t>
            </w:r>
          </w:p>
          <w:p>
            <w:pPr>
              <w:widowControl/>
              <w:numPr>
                <w:ilvl w:val="0"/>
                <w:numId w:val="18"/>
              </w:numPr>
              <w:jc w:val="left"/>
              <w:rPr>
                <w:rFonts w:hint="eastAsia"/>
              </w:rPr>
            </w:pPr>
            <w:r>
              <w:rPr>
                <w:rFonts w:hint="eastAsia"/>
              </w:rPr>
              <w:t>对本项目内的各软、硬件进行安装、调试至可正常使用。</w:t>
            </w:r>
          </w:p>
          <w:p>
            <w:pPr>
              <w:pStyle w:val="41"/>
              <w:ind w:left="0" w:leftChars="0" w:firstLine="0" w:firstLineChars="0"/>
              <w:rPr>
                <w:rFonts w:hint="eastAsia"/>
              </w:rPr>
            </w:pPr>
            <w:r>
              <w:rPr>
                <w:rFonts w:hint="eastAsia"/>
                <w:lang w:val="en-US" w:eastAsia="zh-CN"/>
              </w:rPr>
              <w:t>3</w:t>
            </w:r>
            <w:r>
              <w:rPr>
                <w:rFonts w:hint="eastAsia"/>
              </w:rPr>
              <w:t>.提供不低于40次到校指导培训，到校培训服务每次不低于2小时.线上不限次数指导，并在本区不定期举办线下定点师培交流活动；</w:t>
            </w:r>
          </w:p>
          <w:p>
            <w:pPr>
              <w:pStyle w:val="41"/>
              <w:ind w:left="0" w:leftChars="0" w:firstLine="0" w:firstLineChars="0"/>
              <w:rPr>
                <w:rFonts w:hint="eastAsia"/>
              </w:rPr>
            </w:pPr>
            <w:r>
              <w:rPr>
                <w:rFonts w:hint="eastAsia"/>
                <w:lang w:val="en-US" w:eastAsia="zh-CN"/>
              </w:rPr>
              <w:t>4</w:t>
            </w:r>
            <w:r>
              <w:rPr>
                <w:rFonts w:hint="eastAsia"/>
              </w:rPr>
              <w:t>.提供每学期不低于2次到校指导培训，线上不限次数指导，并在本区不定期举办线下定点师培交流活动，每月至少提供 1 次交流机会。</w:t>
            </w:r>
          </w:p>
        </w:tc>
        <w:tc>
          <w:tcPr>
            <w:tcW w:w="412" w:type="pct"/>
            <w:tcBorders>
              <w:top w:val="nil"/>
              <w:left w:val="nil"/>
              <w:bottom w:val="single" w:color="auto" w:sz="4" w:space="0"/>
              <w:right w:val="single" w:color="auto" w:sz="4" w:space="0"/>
            </w:tcBorders>
            <w:shd w:val="clear" w:color="auto" w:fill="auto"/>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1</w:t>
            </w:r>
          </w:p>
        </w:tc>
        <w:tc>
          <w:tcPr>
            <w:tcW w:w="62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color w:val="auto"/>
                <w:kern w:val="0"/>
                <w:sz w:val="18"/>
                <w:szCs w:val="18"/>
                <w:highlight w:val="none"/>
              </w:rPr>
            </w:pPr>
            <w:r>
              <w:rPr>
                <w:rFonts w:hint="eastAsia"/>
                <w:color w:val="auto"/>
                <w:kern w:val="0"/>
                <w:sz w:val="18"/>
                <w:szCs w:val="18"/>
                <w:highlight w:val="none"/>
              </w:rPr>
              <w:t>项</w:t>
            </w:r>
          </w:p>
        </w:tc>
      </w:tr>
    </w:tbl>
    <w:p>
      <w:pPr>
        <w:rPr>
          <w:rFonts w:hint="eastAsia"/>
          <w:color w:val="000000"/>
        </w:rPr>
      </w:pPr>
    </w:p>
    <w:p>
      <w:pPr>
        <w:pStyle w:val="3"/>
        <w:rPr>
          <w:rFonts w:hint="eastAsia"/>
          <w:color w:val="000000"/>
          <w:shd w:val="clear" w:color="auto" w:fill="FFFFFF"/>
        </w:rPr>
      </w:pPr>
      <w:bookmarkStart w:id="426" w:name="_Toc5508"/>
      <w:r>
        <w:rPr>
          <w:rFonts w:hint="eastAsia"/>
          <w:color w:val="000000"/>
          <w:shd w:val="clear" w:color="auto" w:fill="FFFFFF"/>
        </w:rPr>
        <w:t>第5章 磋商办法</w:t>
      </w:r>
      <w:bookmarkEnd w:id="426"/>
    </w:p>
    <w:p>
      <w:pPr>
        <w:rPr>
          <w:color w:val="000000"/>
          <w:shd w:val="clear" w:color="auto" w:fill="FFFFFF"/>
        </w:rPr>
      </w:pPr>
      <w:bookmarkStart w:id="427" w:name="EB80352aaf483c41059977fe84431aa5f8"/>
      <w:r>
        <w:rPr>
          <w:rFonts w:hint="eastAsia"/>
          <w:color w:val="000000"/>
          <w:sz w:val="20"/>
          <w:shd w:val="clear" w:color="auto" w:fill="FFFFFF"/>
        </w:rPr>
        <w:t xml:space="preserve"> </w:t>
      </w:r>
      <w:bookmarkEnd w:id="427"/>
      <w:bookmarkStart w:id="428" w:name="EB2517064192614bef9c5415b5a0a44e0b"/>
      <w:r>
        <w:rPr>
          <w:rFonts w:hint="eastAsia"/>
          <w:color w:val="000000"/>
          <w:sz w:val="20"/>
          <w:shd w:val="clear" w:color="auto" w:fill="FFFFFF"/>
        </w:rPr>
        <w:t xml:space="preserve"> </w:t>
      </w:r>
      <w:bookmarkEnd w:id="428"/>
    </w:p>
    <w:p>
      <w:pPr>
        <w:pStyle w:val="4"/>
        <w:spacing w:before="156" w:after="156"/>
        <w:ind w:left="0" w:firstLine="0"/>
        <w:rPr>
          <w:color w:val="000000"/>
          <w:shd w:val="clear" w:color="auto" w:fill="FFFFFF"/>
        </w:rPr>
      </w:pPr>
      <w:bookmarkStart w:id="429" w:name="_Toc12435"/>
      <w:r>
        <w:rPr>
          <w:rFonts w:hint="eastAsia"/>
          <w:color w:val="000000"/>
          <w:shd w:val="clear" w:color="auto" w:fill="FFFFFF"/>
        </w:rPr>
        <w:t>5.1总则</w:t>
      </w:r>
      <w:bookmarkEnd w:id="429"/>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根据《中华人民共和国政府采购法》、《中华人民共和国政府采购法实施条例》和《政府采购竞争性磋商采购方式管理暂行办法》等法律及规范性文件，结合采购项目特点制定本办法。</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评审工作由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公资交易中心负责组织，具体评审事务由采购人和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公资交易中心依法组建的磋商小组负责。磋商小组由采购人代表和评审专家组成。</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评审工作应遵循公平、公正、科学及择优的原则，并以相同的评审程序和标准对待所有供应商。</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磋商小组按照磋商文件规定的磋商程序、评审方法和标准进行独立评审，并独立履行下列职责：</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从符合相应资格条件并通过符合性审查的供应商名单中确定不少于三家的供应商参加磋商；</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审查供应商的响应文件并作出评价</w:t>
      </w:r>
      <w:r>
        <w:rPr>
          <w:rFonts w:hint="eastAsia" w:ascii="宋体" w:hAnsi="宋体"/>
          <w:color w:val="auto"/>
          <w:sz w:val="24"/>
          <w:szCs w:val="24"/>
          <w:highlight w:val="none"/>
        </w:rPr>
        <w:t>；</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要求供应商解释或者澄清其响应文件</w:t>
      </w:r>
      <w:r>
        <w:rPr>
          <w:rFonts w:hint="eastAsia" w:ascii="宋体" w:hAnsi="宋体"/>
          <w:color w:val="auto"/>
          <w:sz w:val="24"/>
          <w:szCs w:val="24"/>
          <w:highlight w:val="none"/>
        </w:rPr>
        <w:t>；</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依法、客观、公平、公正开展供应商资格性审查、符合性审查、磋商和推荐成交候选供应商</w:t>
      </w:r>
      <w:r>
        <w:rPr>
          <w:rFonts w:hint="eastAsia" w:ascii="宋体" w:hAnsi="宋体"/>
          <w:color w:val="auto"/>
          <w:sz w:val="24"/>
          <w:szCs w:val="24"/>
          <w:highlight w:val="none"/>
        </w:rPr>
        <w:t>；</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编写评审报告</w:t>
      </w:r>
      <w:r>
        <w:rPr>
          <w:rFonts w:hint="eastAsia" w:ascii="宋体" w:hAnsi="宋体"/>
          <w:color w:val="auto"/>
          <w:sz w:val="24"/>
          <w:szCs w:val="24"/>
          <w:highlight w:val="none"/>
        </w:rPr>
        <w:t>；</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告知采购人、采购代理机构在评审过程中发现的供应商的违法违规行为</w:t>
      </w:r>
      <w:r>
        <w:rPr>
          <w:rFonts w:hint="eastAsia" w:ascii="宋体" w:hAnsi="宋体"/>
          <w:color w:val="auto"/>
          <w:sz w:val="24"/>
          <w:szCs w:val="24"/>
          <w:highlight w:val="none"/>
        </w:rPr>
        <w:t>；</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保守供应商的商业秘密；</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配合处理供应商质疑；</w:t>
      </w:r>
    </w:p>
    <w:p>
      <w:pPr>
        <w:keepNext w:val="0"/>
        <w:keepLines w:val="0"/>
        <w:pageBreakBefore w:val="0"/>
        <w:widowControl w:val="0"/>
        <w:numPr>
          <w:ilvl w:val="1"/>
          <w:numId w:val="20"/>
        </w:numPr>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olor w:val="auto"/>
          <w:sz w:val="24"/>
          <w:szCs w:val="24"/>
          <w:highlight w:val="none"/>
        </w:rPr>
        <w:t>配合处理供应商投诉；</w:t>
      </w:r>
    </w:p>
    <w:p>
      <w:pPr>
        <w:keepNext w:val="0"/>
        <w:keepLines w:val="0"/>
        <w:pageBreakBefore w:val="0"/>
        <w:widowControl w:val="0"/>
        <w:numPr>
          <w:ilvl w:val="1"/>
          <w:numId w:val="20"/>
        </w:numPr>
        <w:tabs>
          <w:tab w:val="left" w:pos="1418"/>
        </w:tabs>
        <w:kinsoku/>
        <w:wordWrap/>
        <w:overflowPunct/>
        <w:topLinePunct w:val="0"/>
        <w:autoSpaceDE/>
        <w:autoSpaceDN/>
        <w:bidi w:val="0"/>
        <w:adjustRightInd/>
        <w:snapToGrid/>
        <w:spacing w:line="240" w:lineRule="auto"/>
        <w:ind w:left="0" w:firstLine="567"/>
        <w:textAlignment w:val="auto"/>
        <w:rPr>
          <w:rFonts w:ascii="宋体" w:hAnsi="宋体"/>
          <w:color w:val="auto"/>
          <w:sz w:val="24"/>
          <w:szCs w:val="24"/>
          <w:highlight w:val="none"/>
        </w:rPr>
      </w:pPr>
      <w:r>
        <w:rPr>
          <w:rFonts w:hint="eastAsia" w:ascii="宋体" w:hAnsi="宋体" w:cs="宋体"/>
          <w:color w:val="auto"/>
          <w:sz w:val="24"/>
          <w:szCs w:val="24"/>
          <w:highlight w:val="none"/>
        </w:rPr>
        <w:t>其他需要履行的工作职责</w:t>
      </w:r>
      <w:r>
        <w:rPr>
          <w:rFonts w:hint="eastAsia" w:ascii="宋体" w:hAnsi="宋体"/>
          <w:color w:val="auto"/>
          <w:sz w:val="24"/>
          <w:szCs w:val="24"/>
          <w:highlight w:val="none"/>
        </w:rPr>
        <w:t>。</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评审过程独立、保密。供应商非法干预评审过程的行为将导致其响应文件作无效处理。</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磋商小组审查响应文件的响应性依据响应文件本身的内容，而不寻求外部的证据，磋商文件有明确约定的除外。</w:t>
      </w:r>
    </w:p>
    <w:p>
      <w:pPr>
        <w:numPr>
          <w:ilvl w:val="0"/>
          <w:numId w:val="19"/>
        </w:numPr>
        <w:tabs>
          <w:tab w:val="left" w:pos="1134"/>
        </w:tabs>
        <w:spacing w:after="200" w:line="360" w:lineRule="auto"/>
        <w:ind w:left="0" w:firstLine="484" w:firstLineChars="202"/>
        <w:rPr>
          <w:rFonts w:ascii="宋体" w:hAnsi="宋体"/>
          <w:color w:val="auto"/>
          <w:sz w:val="24"/>
          <w:szCs w:val="24"/>
          <w:highlight w:val="none"/>
        </w:rPr>
      </w:pPr>
      <w:r>
        <w:rPr>
          <w:rFonts w:hint="eastAsia" w:ascii="宋体" w:hAnsi="宋体"/>
          <w:color w:val="auto"/>
          <w:sz w:val="24"/>
          <w:szCs w:val="24"/>
          <w:highlight w:val="none"/>
        </w:rPr>
        <w:t>磋商小组发现磋商文件表述不明确或需要说明的事项，可提请采购人和</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公资交易中心书面解释说明。</w:t>
      </w:r>
    </w:p>
    <w:p>
      <w:pPr>
        <w:pStyle w:val="4"/>
        <w:spacing w:before="156" w:after="156"/>
        <w:ind w:left="0" w:firstLine="0"/>
        <w:rPr>
          <w:color w:val="000000"/>
          <w:shd w:val="clear" w:color="auto" w:fill="FFFFFF"/>
        </w:rPr>
      </w:pPr>
      <w:bookmarkStart w:id="430" w:name="_Toc26754"/>
      <w:r>
        <w:rPr>
          <w:rFonts w:hint="eastAsia"/>
          <w:color w:val="000000"/>
          <w:shd w:val="clear" w:color="auto" w:fill="FFFFFF"/>
        </w:rPr>
        <w:t>5.2磋商程序</w:t>
      </w:r>
      <w:bookmarkEnd w:id="430"/>
    </w:p>
    <w:p>
      <w:pPr>
        <w:pStyle w:val="24"/>
        <w:spacing w:line="360" w:lineRule="auto"/>
        <w:rPr>
          <w:rFonts w:hint="default" w:ascii="宋体" w:hAnsi="宋体" w:eastAsia="宋体" w:cs="Times New Roman"/>
          <w:b/>
          <w:bCs/>
          <w:color w:val="auto"/>
          <w:kern w:val="2"/>
          <w:sz w:val="24"/>
          <w:szCs w:val="28"/>
          <w:highlight w:val="none"/>
          <w:lang w:val="en-US" w:eastAsia="zh-CN" w:bidi="ar-SA"/>
        </w:rPr>
      </w:pPr>
      <w:r>
        <w:rPr>
          <w:rFonts w:hint="eastAsia" w:ascii="宋体" w:hAnsi="宋体" w:eastAsia="宋体" w:cs="Times New Roman"/>
          <w:b/>
          <w:bCs/>
          <w:color w:val="auto"/>
          <w:kern w:val="2"/>
          <w:sz w:val="24"/>
          <w:szCs w:val="28"/>
          <w:highlight w:val="none"/>
          <w:lang w:val="en-US" w:eastAsia="zh-CN" w:bidi="ar-SA"/>
        </w:rPr>
        <w:t>5.2.1磋商小组</w:t>
      </w:r>
    </w:p>
    <w:p>
      <w:pPr>
        <w:pStyle w:val="24"/>
        <w:spacing w:line="360" w:lineRule="auto"/>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磋商小组由采购人代表和根据采购项目情况确定的技术或经济或法律等有关专家3人以上的单数组成。磋商小组负责本项目的磋商和评审工作。</w:t>
      </w:r>
    </w:p>
    <w:p>
      <w:pPr>
        <w:pStyle w:val="5"/>
        <w:numPr>
          <w:ilvl w:val="0"/>
          <w:numId w:val="0"/>
        </w:numPr>
        <w:rPr>
          <w:color w:val="auto"/>
          <w:highlight w:val="none"/>
        </w:rPr>
      </w:pPr>
      <w:bookmarkStart w:id="431" w:name="_Toc5459"/>
      <w:bookmarkStart w:id="432" w:name="_Toc20444"/>
      <w:r>
        <w:rPr>
          <w:rFonts w:hint="eastAsia"/>
          <w:color w:val="auto"/>
          <w:highlight w:val="none"/>
        </w:rPr>
        <w:t>5.2.</w:t>
      </w:r>
      <w:r>
        <w:rPr>
          <w:rFonts w:hint="eastAsia"/>
          <w:color w:val="auto"/>
          <w:highlight w:val="none"/>
          <w:lang w:val="en-US" w:eastAsia="zh-CN"/>
        </w:rPr>
        <w:t>2</w:t>
      </w:r>
      <w:r>
        <w:rPr>
          <w:rFonts w:hint="eastAsia"/>
          <w:color w:val="auto"/>
          <w:highlight w:val="none"/>
        </w:rPr>
        <w:t>资格性审查</w:t>
      </w:r>
      <w:bookmarkEnd w:id="431"/>
      <w:bookmarkEnd w:id="432"/>
    </w:p>
    <w:p>
      <w:pPr>
        <w:spacing w:line="360" w:lineRule="auto"/>
        <w:ind w:firstLine="513" w:firstLineChars="214"/>
        <w:rPr>
          <w:rFonts w:ascii="宋体" w:hAnsi="宋体"/>
          <w:color w:val="auto"/>
          <w:sz w:val="24"/>
          <w:szCs w:val="24"/>
          <w:highlight w:val="none"/>
        </w:rPr>
      </w:pPr>
      <w:r>
        <w:rPr>
          <w:rFonts w:hint="eastAsia" w:ascii="宋体" w:hAnsi="宋体"/>
          <w:color w:val="auto"/>
          <w:sz w:val="24"/>
          <w:szCs w:val="24"/>
          <w:highlight w:val="none"/>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pStyle w:val="113"/>
        <w:ind w:firstLine="480"/>
        <w:rPr>
          <w:rFonts w:hint="eastAsia"/>
          <w:color w:val="auto"/>
          <w:highlight w:val="none"/>
          <w:lang w:eastAsia="zh-CN"/>
        </w:rPr>
      </w:pPr>
      <w:r>
        <w:rPr>
          <w:rFonts w:hint="eastAsia"/>
          <w:color w:val="auto"/>
          <w:highlight w:val="none"/>
        </w:rPr>
        <w:t>供应商资格审查的标准：</w:t>
      </w:r>
    </w:p>
    <w:tbl>
      <w:tblPr>
        <w:tblStyle w:val="4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25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序号</w:t>
            </w:r>
          </w:p>
        </w:tc>
        <w:tc>
          <w:tcPr>
            <w:tcW w:w="2552" w:type="dxa"/>
            <w:gridSpan w:val="2"/>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项     目</w:t>
            </w:r>
          </w:p>
        </w:tc>
        <w:tc>
          <w:tcPr>
            <w:tcW w:w="5253"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通过条件</w:t>
            </w:r>
          </w:p>
        </w:tc>
        <w:tc>
          <w:tcPr>
            <w:tcW w:w="842" w:type="dxa"/>
            <w:noWrap w:val="0"/>
            <w:vAlign w:val="center"/>
          </w:tcPr>
          <w:p>
            <w:pPr>
              <w:snapToGrid w:val="0"/>
              <w:spacing w:line="240" w:lineRule="atLeast"/>
              <w:jc w:val="center"/>
              <w:rPr>
                <w:rFonts w:ascii="宋体" w:hAnsi="宋体"/>
                <w:b/>
                <w:color w:val="auto"/>
                <w:sz w:val="20"/>
                <w:szCs w:val="28"/>
                <w:highlight w:val="none"/>
              </w:rPr>
            </w:pPr>
            <w:r>
              <w:rPr>
                <w:rFonts w:hint="eastAsia" w:ascii="宋体" w:hAnsi="宋体"/>
                <w:b/>
                <w:color w:val="auto"/>
                <w:sz w:val="20"/>
                <w:szCs w:val="2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noWrap w:val="0"/>
            <w:vAlign w:val="center"/>
          </w:tcPr>
          <w:p>
            <w:pPr>
              <w:pStyle w:val="161"/>
              <w:numPr>
                <w:ilvl w:val="0"/>
                <w:numId w:val="21"/>
              </w:numPr>
              <w:tabs>
                <w:tab w:val="left" w:pos="275"/>
              </w:tabs>
              <w:snapToGrid w:val="0"/>
              <w:spacing w:line="240" w:lineRule="atLeast"/>
              <w:ind w:left="0" w:firstLine="0" w:firstLineChars="0"/>
              <w:jc w:val="both"/>
              <w:rPr>
                <w:rFonts w:ascii="宋体" w:hAnsi="宋体" w:eastAsia="宋体"/>
                <w:color w:val="auto"/>
                <w:sz w:val="20"/>
                <w:szCs w:val="28"/>
                <w:highlight w:val="none"/>
              </w:rPr>
            </w:pPr>
          </w:p>
        </w:tc>
        <w:tc>
          <w:tcPr>
            <w:tcW w:w="2552" w:type="dxa"/>
            <w:gridSpan w:val="2"/>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在中华人民共和国境内注册，并有效存续具有独立法人资格的供应商</w:t>
            </w:r>
          </w:p>
        </w:tc>
        <w:tc>
          <w:tcPr>
            <w:tcW w:w="5253" w:type="dxa"/>
            <w:noWrap w:val="0"/>
            <w:vAlign w:val="center"/>
          </w:tcPr>
          <w:p>
            <w:pPr>
              <w:spacing w:line="240" w:lineRule="atLeast"/>
              <w:rPr>
                <w:rFonts w:ascii="宋体" w:hAnsi="宋体"/>
                <w:color w:val="auto"/>
                <w:sz w:val="20"/>
                <w:szCs w:val="28"/>
                <w:highlight w:val="none"/>
              </w:rPr>
            </w:pPr>
            <w:r>
              <w:rPr>
                <w:rFonts w:ascii="宋体" w:hAnsi="宋体"/>
                <w:color w:val="auto"/>
                <w:sz w:val="20"/>
                <w:szCs w:val="28"/>
                <w:highlight w:val="none"/>
              </w:rPr>
              <w:t>营业执照（正本或副本）复印件或法人证书（正本或副本）复印件</w:t>
            </w:r>
            <w:r>
              <w:rPr>
                <w:rFonts w:hint="eastAsia" w:ascii="宋体" w:hAnsi="宋体"/>
                <w:color w:val="auto"/>
                <w:sz w:val="20"/>
                <w:szCs w:val="28"/>
                <w:highlight w:val="none"/>
              </w:rPr>
              <w:t>【说明：①营业执照或法人证书载明有期限的，应在有效期限内；②在中华人民共和国境内注册，具有独立法人资格。】。</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noWrap w:val="0"/>
            <w:vAlign w:val="center"/>
          </w:tcPr>
          <w:p>
            <w:pPr>
              <w:tabs>
                <w:tab w:val="left" w:pos="851"/>
              </w:tabs>
              <w:spacing w:after="0" w:line="360" w:lineRule="auto"/>
              <w:rPr>
                <w:rFonts w:ascii="宋体" w:hAnsi="宋体"/>
                <w:color w:val="auto"/>
                <w:sz w:val="20"/>
                <w:szCs w:val="28"/>
                <w:highlight w:val="none"/>
              </w:rPr>
            </w:pPr>
            <w:r>
              <w:rPr>
                <w:rFonts w:hint="eastAsia"/>
                <w:color w:val="auto"/>
                <w:sz w:val="20"/>
                <w:highlight w:val="none"/>
              </w:rPr>
              <w:t>书面声明材料</w:t>
            </w: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具有良好的商业信誉</w:t>
            </w:r>
          </w:p>
        </w:tc>
        <w:tc>
          <w:tcPr>
            <w:tcW w:w="5253" w:type="dxa"/>
            <w:noWrap w:val="0"/>
            <w:vAlign w:val="center"/>
          </w:tcPr>
          <w:p>
            <w:pPr>
              <w:shd w:val="clear" w:color="auto" w:fill="FFFFFF"/>
              <w:spacing w:line="240" w:lineRule="atLeast"/>
              <w:rPr>
                <w:rFonts w:ascii="宋体" w:hAnsi="宋体"/>
                <w:color w:val="auto"/>
                <w:sz w:val="20"/>
                <w:szCs w:val="20"/>
                <w:highlight w:val="none"/>
              </w:rPr>
            </w:pPr>
            <w:r>
              <w:rPr>
                <w:rFonts w:ascii="宋体" w:hAnsi="宋体"/>
                <w:color w:val="auto"/>
                <w:sz w:val="20"/>
                <w:szCs w:val="20"/>
                <w:highlight w:val="none"/>
              </w:rPr>
              <w:t>供应商具有良好的商业信誉的书面声明材料</w:t>
            </w:r>
            <w:r>
              <w:rPr>
                <w:rFonts w:hint="eastAsia" w:ascii="宋体" w:hAnsi="宋体"/>
                <w:color w:val="auto"/>
                <w:sz w:val="20"/>
                <w:szCs w:val="20"/>
                <w:highlight w:val="none"/>
              </w:rPr>
              <w:t>【说明：按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w:t>
            </w:r>
            <w:r>
              <w:rPr>
                <w:rFonts w:ascii="宋体" w:hAnsi="宋体"/>
                <w:color w:val="auto"/>
                <w:sz w:val="20"/>
                <w:szCs w:val="20"/>
                <w:highlight w:val="none"/>
              </w:rPr>
              <w:t>具有良好的商业信誉</w:t>
            </w:r>
            <w:r>
              <w:rPr>
                <w:rFonts w:hint="eastAsia" w:ascii="宋体" w:hAnsi="宋体"/>
                <w:color w:val="auto"/>
                <w:sz w:val="20"/>
                <w:szCs w:val="20"/>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noWrap w:val="0"/>
            <w:vAlign w:val="center"/>
          </w:tcPr>
          <w:p>
            <w:pPr>
              <w:snapToGrid w:val="0"/>
              <w:spacing w:line="240" w:lineRule="atLeast"/>
              <w:jc w:val="center"/>
              <w:rPr>
                <w:rFonts w:ascii="宋体" w:hAnsi="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参加政府采购活动前三年内，在经营活动中没有重大违法记录</w:t>
            </w:r>
          </w:p>
        </w:tc>
        <w:tc>
          <w:tcPr>
            <w:tcW w:w="5253" w:type="dxa"/>
            <w:noWrap w:val="0"/>
            <w:vAlign w:val="center"/>
          </w:tcPr>
          <w:p>
            <w:pPr>
              <w:snapToGrid w:val="0"/>
              <w:spacing w:line="240" w:lineRule="atLeast"/>
              <w:rPr>
                <w:rFonts w:ascii="宋体" w:hAnsi="宋体"/>
                <w:color w:val="auto"/>
                <w:sz w:val="20"/>
                <w:szCs w:val="20"/>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供应商参加政府采购活动前三年内，在经营活动中没有重大违法记录的书面声</w:t>
            </w:r>
            <w:r>
              <w:rPr>
                <w:rFonts w:ascii="宋体" w:hAnsi="宋体"/>
                <w:color w:val="auto"/>
                <w:sz w:val="20"/>
                <w:szCs w:val="20"/>
                <w:highlight w:val="none"/>
              </w:rPr>
              <w:t>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；②供应商参加政府采购活动前三年内，在经营活动中没有重大违法记录。】。</w:t>
            </w:r>
          </w:p>
          <w:p>
            <w:pPr>
              <w:snapToGrid w:val="0"/>
              <w:spacing w:line="240" w:lineRule="atLeast"/>
              <w:rPr>
                <w:rFonts w:ascii="宋体" w:hAnsi="宋体"/>
                <w:color w:val="auto"/>
                <w:sz w:val="20"/>
                <w:szCs w:val="20"/>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小组根据“信用中国”网站、“中国政府采购网”的查询结果，对供应商在参加政府采购活动前三年内，在经营活动中是否有重大违法记录进行审查【说明：供</w:t>
            </w:r>
            <w:r>
              <w:rPr>
                <w:rFonts w:hint="eastAsia" w:ascii="宋体" w:hAnsi="宋体"/>
                <w:color w:val="auto"/>
                <w:sz w:val="20"/>
                <w:szCs w:val="28"/>
                <w:highlight w:val="none"/>
              </w:rPr>
              <w:t>应商参加政府采购活动前三年内，在经营活动中没有重大违法记录】。</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未被列入失信被执行人、重大税收违法案件当事人名单、政府采购严重违法失信行为记录名单</w:t>
            </w:r>
          </w:p>
        </w:tc>
        <w:tc>
          <w:tcPr>
            <w:tcW w:w="5253" w:type="dxa"/>
            <w:noWrap w:val="0"/>
            <w:vAlign w:val="center"/>
          </w:tcPr>
          <w:p>
            <w:pPr>
              <w:spacing w:line="240" w:lineRule="atLeast"/>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供应商未被列入失信被执行人、重大税收违法案件当事人</w:t>
            </w:r>
            <w:r>
              <w:rPr>
                <w:rFonts w:ascii="宋体" w:hAnsi="宋体"/>
                <w:color w:val="auto"/>
                <w:sz w:val="20"/>
                <w:szCs w:val="20"/>
                <w:highlight w:val="none"/>
              </w:rPr>
              <w:t>名单、政府采购严重违法失信行为记录名单的书面声明材料【说明：</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；②供应商未被列入失信被执行人、重大税收违法案件当事人名单</w:t>
            </w:r>
            <w:r>
              <w:rPr>
                <w:rFonts w:hint="eastAsia" w:ascii="宋体" w:hAnsi="宋体"/>
                <w:color w:val="auto"/>
                <w:sz w:val="20"/>
                <w:szCs w:val="28"/>
                <w:highlight w:val="none"/>
              </w:rPr>
              <w:t>、政府采购严重违法失信行为记录名单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p>
            <w:pPr>
              <w:spacing w:line="240" w:lineRule="atLeast"/>
              <w:rPr>
                <w:rFonts w:ascii="宋体" w:hAnsi="宋体"/>
                <w:color w:val="auto"/>
                <w:sz w:val="20"/>
                <w:szCs w:val="28"/>
                <w:highlight w:val="none"/>
              </w:rPr>
            </w:pPr>
            <w:r>
              <w:rPr>
                <w:rFonts w:hint="eastAsia"/>
                <w:color w:val="auto"/>
                <w:sz w:val="20"/>
                <w:szCs w:val="20"/>
                <w:highlight w:val="none"/>
                <w:lang w:val="en-US" w:eastAsia="zh-CN"/>
              </w:rPr>
              <w:t>2.</w:t>
            </w:r>
            <w:r>
              <w:rPr>
                <w:rFonts w:hint="eastAsia"/>
                <w:color w:val="auto"/>
                <w:sz w:val="20"/>
                <w:szCs w:val="20"/>
                <w:highlight w:val="none"/>
                <w:lang w:eastAsia="zh-CN"/>
              </w:rPr>
              <w:t>磋商</w:t>
            </w:r>
            <w:r>
              <w:rPr>
                <w:rFonts w:hint="eastAsia" w:ascii="宋体" w:hAnsi="宋体"/>
                <w:color w:val="auto"/>
                <w:sz w:val="20"/>
                <w:szCs w:val="20"/>
                <w:highlight w:val="none"/>
              </w:rPr>
              <w:t>小组</w:t>
            </w:r>
            <w:r>
              <w:rPr>
                <w:rFonts w:hint="eastAsia" w:ascii="宋体" w:hAnsi="宋体"/>
                <w:color w:val="auto"/>
                <w:sz w:val="20"/>
                <w:szCs w:val="28"/>
                <w:highlight w:val="none"/>
              </w:rPr>
              <w:t>根据“信用中国”网站、“中国政府采购网”的查询结果，对供应商在参加政府采购活动前三年内，在经营活动中是否被列入失信被执行人、重大税收违法案件当事人名单、政府采购严重违法失信行为记录名单进行审查【说明：供应商未被列入失信被执行人、重大税收违法案件当事人名单、政府采购严重违法失信行为记录名单。</w:t>
            </w:r>
            <w:r>
              <w:rPr>
                <w:rFonts w:ascii="宋体" w:hAnsi="宋体"/>
                <w:color w:val="auto"/>
                <w:sz w:val="20"/>
                <w:szCs w:val="28"/>
                <w:highlight w:val="none"/>
              </w:rPr>
              <w:t>】</w:t>
            </w:r>
            <w:r>
              <w:rPr>
                <w:rFonts w:hint="eastAsia" w:ascii="宋体" w:hAnsi="宋体"/>
                <w:color w:val="auto"/>
                <w:sz w:val="20"/>
                <w:szCs w:val="28"/>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pacing w:line="240" w:lineRule="atLeast"/>
              <w:jc w:val="center"/>
              <w:rPr>
                <w:rFonts w:ascii="宋体" w:hAnsi="宋体"/>
                <w:color w:val="auto"/>
                <w:sz w:val="20"/>
                <w:szCs w:val="28"/>
                <w:highlight w:val="none"/>
              </w:rPr>
            </w:pPr>
            <w:r>
              <w:rPr>
                <w:rFonts w:hint="eastAsia" w:ascii="宋体" w:hAnsi="宋体"/>
                <w:color w:val="auto"/>
                <w:sz w:val="20"/>
                <w:szCs w:val="28"/>
                <w:highlight w:val="none"/>
              </w:rPr>
              <w:t>未处于被行政部门禁止参与政府采购活动的期限内</w:t>
            </w:r>
          </w:p>
        </w:tc>
        <w:tc>
          <w:tcPr>
            <w:tcW w:w="5253" w:type="dxa"/>
            <w:noWrap w:val="0"/>
            <w:vAlign w:val="top"/>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供应商未处于被行政部门禁止参与政府采购活动的期限内</w:t>
            </w:r>
            <w:r>
              <w:rPr>
                <w:rFonts w:ascii="宋体" w:hAnsi="宋体"/>
                <w:color w:val="auto"/>
                <w:sz w:val="20"/>
                <w:szCs w:val="28"/>
                <w:highlight w:val="none"/>
              </w:rPr>
              <w:t>的</w:t>
            </w:r>
            <w:r>
              <w:rPr>
                <w:rFonts w:ascii="宋体" w:hAnsi="宋体"/>
                <w:color w:val="auto"/>
                <w:sz w:val="20"/>
                <w:szCs w:val="20"/>
                <w:highlight w:val="none"/>
              </w:rPr>
              <w:t>书面声明材料</w:t>
            </w:r>
            <w:r>
              <w:rPr>
                <w:rFonts w:hint="eastAsia" w:ascii="宋体" w:hAnsi="宋体"/>
                <w:color w:val="auto"/>
                <w:sz w:val="20"/>
                <w:szCs w:val="20"/>
                <w:highlight w:val="none"/>
              </w:rPr>
              <w:t>【说明：①按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；②供应商未处于被行政部门禁止参与政府采购活动的期限内。】</w:t>
            </w:r>
            <w:r>
              <w:rPr>
                <w:rFonts w:hint="eastAsia" w:ascii="宋体" w:hAnsi="宋体"/>
                <w:color w:val="auto"/>
                <w:sz w:val="20"/>
                <w:szCs w:val="28"/>
                <w:highlight w:val="none"/>
              </w:rPr>
              <w:t>。</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jc w:val="center"/>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行贿犯罪记录</w:t>
            </w:r>
          </w:p>
        </w:tc>
        <w:tc>
          <w:tcPr>
            <w:tcW w:w="5253"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在行贿犯罪信息查询期限内，供应商及其现任法定代表人、主要负责人没有行贿犯罪记录的书面声明材料【注：</w:t>
            </w:r>
            <w:r>
              <w:rPr>
                <w:rFonts w:hint="eastAsia" w:ascii="宋体" w:hAnsi="宋体"/>
                <w:color w:val="auto"/>
                <w:sz w:val="20"/>
                <w:szCs w:val="20"/>
                <w:highlight w:val="none"/>
              </w:rPr>
              <w:t>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w:t>
            </w:r>
            <w:r>
              <w:rPr>
                <w:rFonts w:hint="eastAsia"/>
                <w:color w:val="auto"/>
                <w:sz w:val="20"/>
                <w:szCs w:val="20"/>
                <w:highlight w:val="none"/>
                <w:lang w:eastAsia="zh-CN"/>
              </w:rPr>
              <w:t>响应</w:t>
            </w:r>
            <w:r>
              <w:rPr>
                <w:rFonts w:hint="eastAsia" w:ascii="宋体" w:hAnsi="宋体"/>
                <w:color w:val="auto"/>
                <w:sz w:val="20"/>
                <w:szCs w:val="20"/>
                <w:highlight w:val="none"/>
              </w:rPr>
              <w:t>文件中不需提供中国裁判文书网（</w:t>
            </w:r>
            <w:r>
              <w:rPr>
                <w:rFonts w:ascii="宋体" w:hAnsi="宋体"/>
                <w:color w:val="auto"/>
                <w:sz w:val="20"/>
                <w:szCs w:val="20"/>
                <w:highlight w:val="none"/>
              </w:rPr>
              <w:t>http://wenshu.court.gov.cn</w:t>
            </w:r>
            <w:r>
              <w:rPr>
                <w:rFonts w:hint="eastAsia" w:ascii="宋体" w:hAnsi="宋体"/>
                <w:color w:val="auto"/>
                <w:sz w:val="20"/>
                <w:szCs w:val="20"/>
                <w:highlight w:val="none"/>
              </w:rPr>
              <w:t>）</w:t>
            </w:r>
            <w:r>
              <w:rPr>
                <w:rFonts w:hint="eastAsia" w:ascii="宋体" w:hAnsi="宋体"/>
                <w:color w:val="auto"/>
                <w:sz w:val="20"/>
                <w:szCs w:val="28"/>
                <w:highlight w:val="none"/>
              </w:rPr>
              <w:t>查询结果的证明材料；②在行贿犯罪信息查询期限内，供应商及其现任法定代表人、主要负责人没有行贿犯罪记录。】。</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pacing w:line="240" w:lineRule="atLeast"/>
              <w:rPr>
                <w:rFonts w:ascii="宋体" w:hAnsi="宋体"/>
                <w:color w:val="auto"/>
                <w:sz w:val="20"/>
                <w:szCs w:val="28"/>
                <w:highlight w:val="none"/>
              </w:rPr>
            </w:pPr>
            <w:r>
              <w:rPr>
                <w:rFonts w:hint="eastAsia" w:ascii="宋体" w:hAnsi="宋体"/>
                <w:color w:val="auto"/>
                <w:sz w:val="20"/>
                <w:szCs w:val="28"/>
                <w:highlight w:val="none"/>
              </w:rPr>
              <w:t>单位负责人为同一人或者存在直接控股、管理关系的不同供应商，不得参加同一项目的</w:t>
            </w:r>
            <w:r>
              <w:rPr>
                <w:rFonts w:hint="eastAsia"/>
                <w:color w:val="auto"/>
                <w:sz w:val="20"/>
                <w:szCs w:val="28"/>
                <w:highlight w:val="none"/>
                <w:lang w:eastAsia="zh-CN"/>
              </w:rPr>
              <w:t>磋商</w:t>
            </w:r>
          </w:p>
        </w:tc>
        <w:tc>
          <w:tcPr>
            <w:tcW w:w="5253" w:type="dxa"/>
            <w:noWrap w:val="0"/>
            <w:vAlign w:val="center"/>
          </w:tcPr>
          <w:p>
            <w:pPr>
              <w:spacing w:line="240" w:lineRule="atLeast"/>
              <w:rPr>
                <w:rFonts w:ascii="宋体" w:hAnsi="宋体"/>
                <w:color w:val="auto"/>
                <w:sz w:val="20"/>
                <w:szCs w:val="20"/>
                <w:highlight w:val="none"/>
              </w:rPr>
            </w:pPr>
            <w:r>
              <w:rPr>
                <w:rFonts w:hint="eastAsia" w:ascii="宋体" w:hAnsi="宋体"/>
                <w:color w:val="auto"/>
                <w:sz w:val="20"/>
                <w:szCs w:val="20"/>
                <w:highlight w:val="none"/>
              </w:rPr>
              <w:t>负责人为同一人或者存在直接控股、管理关系的相关供应商未同时参加本项目书面声明材料【说明：①按</w:t>
            </w:r>
            <w:r>
              <w:rPr>
                <w:rFonts w:hint="eastAsia"/>
                <w:color w:val="auto"/>
                <w:sz w:val="20"/>
                <w:szCs w:val="20"/>
                <w:highlight w:val="none"/>
                <w:lang w:eastAsia="zh-CN"/>
              </w:rPr>
              <w:t>磋商文件</w:t>
            </w:r>
            <w:r>
              <w:rPr>
                <w:rFonts w:hint="eastAsia" w:ascii="宋体" w:hAnsi="宋体"/>
                <w:color w:val="auto"/>
                <w:sz w:val="20"/>
                <w:szCs w:val="20"/>
                <w:highlight w:val="none"/>
              </w:rPr>
              <w:t>3.</w:t>
            </w:r>
            <w:r>
              <w:rPr>
                <w:rFonts w:hint="eastAsia"/>
                <w:color w:val="auto"/>
                <w:sz w:val="20"/>
                <w:szCs w:val="20"/>
                <w:highlight w:val="none"/>
                <w:lang w:val="en-US" w:eastAsia="zh-CN"/>
              </w:rPr>
              <w:t>1</w:t>
            </w:r>
            <w:r>
              <w:rPr>
                <w:rFonts w:hint="eastAsia" w:ascii="宋体" w:hAnsi="宋体"/>
                <w:color w:val="auto"/>
                <w:sz w:val="20"/>
                <w:szCs w:val="20"/>
                <w:highlight w:val="none"/>
              </w:rPr>
              <w:t>.</w:t>
            </w:r>
            <w:r>
              <w:rPr>
                <w:rFonts w:hint="eastAsia"/>
                <w:color w:val="auto"/>
                <w:sz w:val="20"/>
                <w:szCs w:val="20"/>
                <w:highlight w:val="none"/>
                <w:lang w:val="en-US" w:eastAsia="zh-CN"/>
              </w:rPr>
              <w:t>3</w:t>
            </w:r>
            <w:r>
              <w:rPr>
                <w:rFonts w:hint="eastAsia" w:ascii="宋体" w:hAnsi="宋体"/>
                <w:color w:val="auto"/>
                <w:sz w:val="20"/>
                <w:szCs w:val="20"/>
                <w:highlight w:val="none"/>
              </w:rPr>
              <w:t>声明</w:t>
            </w:r>
            <w:r>
              <w:rPr>
                <w:rFonts w:ascii="宋体" w:hAnsi="宋体"/>
                <w:color w:val="auto"/>
                <w:sz w:val="20"/>
                <w:szCs w:val="20"/>
                <w:highlight w:val="none"/>
              </w:rPr>
              <w:t>的内容提供书面声明材料</w:t>
            </w:r>
            <w:r>
              <w:rPr>
                <w:rFonts w:hint="eastAsia" w:ascii="宋体" w:hAnsi="宋体"/>
                <w:color w:val="auto"/>
                <w:sz w:val="20"/>
                <w:szCs w:val="20"/>
                <w:highlight w:val="none"/>
              </w:rPr>
              <w:t>；②参加</w:t>
            </w:r>
            <w:r>
              <w:rPr>
                <w:rFonts w:hint="eastAsia"/>
                <w:color w:val="auto"/>
                <w:sz w:val="20"/>
                <w:szCs w:val="20"/>
                <w:highlight w:val="none"/>
                <w:lang w:eastAsia="zh-CN"/>
              </w:rPr>
              <w:t>磋商</w:t>
            </w:r>
            <w:r>
              <w:rPr>
                <w:rFonts w:hint="eastAsia" w:ascii="宋体" w:hAnsi="宋体"/>
                <w:color w:val="auto"/>
                <w:sz w:val="20"/>
                <w:szCs w:val="20"/>
                <w:highlight w:val="none"/>
              </w:rPr>
              <w:t>的供应商中无与供应商的负责人为同一人或者存在直接控股、管理关系的供应商</w:t>
            </w:r>
            <w:r>
              <w:rPr>
                <w:rFonts w:hint="eastAsia" w:ascii="宋体" w:hAnsi="宋体"/>
                <w:color w:val="auto"/>
                <w:sz w:val="20"/>
                <w:szCs w:val="28"/>
                <w:highlight w:val="none"/>
              </w:rPr>
              <w:t>。</w:t>
            </w:r>
            <w:r>
              <w:rPr>
                <w:rFonts w:hint="eastAsia" w:ascii="宋体" w:hAnsi="宋体"/>
                <w:color w:val="auto"/>
                <w:sz w:val="20"/>
                <w:szCs w:val="20"/>
                <w:highlight w:val="none"/>
              </w:rPr>
              <w:t>】。</w:t>
            </w:r>
          </w:p>
          <w:p>
            <w:pPr>
              <w:spacing w:line="240" w:lineRule="atLeast"/>
              <w:rPr>
                <w:rFonts w:ascii="宋体" w:hAnsi="宋体"/>
                <w:color w:val="auto"/>
                <w:sz w:val="20"/>
                <w:szCs w:val="28"/>
                <w:highlight w:val="none"/>
              </w:rPr>
            </w:pP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restart"/>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其他</w:t>
            </w: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具有履行合同所必须的设备和专业技术能力</w:t>
            </w:r>
          </w:p>
        </w:tc>
        <w:tc>
          <w:tcPr>
            <w:tcW w:w="5253" w:type="dxa"/>
            <w:noWrap w:val="0"/>
            <w:vAlign w:val="center"/>
          </w:tcPr>
          <w:p>
            <w:pPr>
              <w:snapToGrid w:val="0"/>
              <w:spacing w:line="240" w:lineRule="atLeast"/>
              <w:rPr>
                <w:rFonts w:ascii="宋体" w:hAnsi="宋体"/>
                <w:color w:val="auto"/>
                <w:sz w:val="20"/>
                <w:szCs w:val="20"/>
                <w:highlight w:val="none"/>
              </w:rPr>
            </w:pPr>
            <w:r>
              <w:rPr>
                <w:rFonts w:hint="eastAsia" w:ascii="宋体" w:hAnsi="宋体"/>
                <w:color w:val="auto"/>
                <w:sz w:val="20"/>
                <w:szCs w:val="20"/>
                <w:highlight w:val="none"/>
              </w:rPr>
              <w:t>采购人对供应商履行合同所必须的设备和专业技术能力无特殊要求，供应商具有有效的营业执照或法人证书即可，可不提供其他证明材料。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联合体</w:t>
            </w:r>
          </w:p>
        </w:tc>
        <w:tc>
          <w:tcPr>
            <w:tcW w:w="5253"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非联合体形式参加</w:t>
            </w:r>
            <w:r>
              <w:rPr>
                <w:rFonts w:hint="eastAsia" w:ascii="宋体" w:hAnsi="宋体"/>
                <w:color w:val="auto"/>
                <w:sz w:val="20"/>
                <w:szCs w:val="28"/>
                <w:highlight w:val="none"/>
                <w:lang w:eastAsia="zh-CN"/>
              </w:rPr>
              <w:t>磋商</w:t>
            </w:r>
            <w:r>
              <w:rPr>
                <w:rFonts w:hint="eastAsia" w:ascii="宋体" w:hAnsi="宋体"/>
                <w:color w:val="auto"/>
                <w:sz w:val="20"/>
                <w:szCs w:val="28"/>
                <w:highlight w:val="none"/>
              </w:rPr>
              <w:t>。</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lang w:eastAsia="zh-CN"/>
              </w:rPr>
              <w:t>资质要求</w:t>
            </w:r>
          </w:p>
        </w:tc>
        <w:tc>
          <w:tcPr>
            <w:tcW w:w="5253" w:type="dxa"/>
            <w:noWrap w:val="0"/>
            <w:vAlign w:val="center"/>
          </w:tcPr>
          <w:p>
            <w:pPr>
              <w:tabs>
                <w:tab w:val="left" w:pos="851"/>
              </w:tabs>
              <w:spacing w:line="360" w:lineRule="auto"/>
              <w:rPr>
                <w:rFonts w:ascii="宋体" w:hAnsi="宋体"/>
                <w:color w:val="auto"/>
                <w:sz w:val="20"/>
                <w:szCs w:val="20"/>
                <w:highlight w:val="none"/>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磋商保证金</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rPr>
              <w:t>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color w:val="auto"/>
                <w:sz w:val="20"/>
                <w:szCs w:val="28"/>
                <w:highlight w:val="none"/>
                <w:lang w:eastAsia="zh-CN"/>
              </w:rPr>
            </w:pPr>
            <w:r>
              <w:rPr>
                <w:rFonts w:hint="eastAsia" w:ascii="宋体" w:hAnsi="宋体"/>
                <w:color w:val="auto"/>
                <w:sz w:val="20"/>
                <w:szCs w:val="28"/>
                <w:highlight w:val="none"/>
                <w:lang w:eastAsia="zh-CN"/>
              </w:rPr>
              <w:t>响应文件</w:t>
            </w:r>
            <w:r>
              <w:rPr>
                <w:rFonts w:hint="eastAsia" w:ascii="宋体" w:hAnsi="宋体"/>
                <w:color w:val="auto"/>
                <w:sz w:val="20"/>
                <w:szCs w:val="28"/>
                <w:highlight w:val="none"/>
              </w:rPr>
              <w:t>签章</w:t>
            </w:r>
          </w:p>
        </w:tc>
        <w:tc>
          <w:tcPr>
            <w:tcW w:w="5253" w:type="dxa"/>
            <w:noWrap w:val="0"/>
            <w:vAlign w:val="center"/>
          </w:tcPr>
          <w:p>
            <w:pPr>
              <w:snapToGrid w:val="0"/>
              <w:spacing w:line="240" w:lineRule="atLeast"/>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文件加盖有</w:t>
            </w:r>
            <w:r>
              <w:rPr>
                <w:rFonts w:hint="eastAsia"/>
                <w:color w:val="auto"/>
                <w:sz w:val="20"/>
                <w:highlight w:val="none"/>
                <w:lang w:eastAsia="zh-CN"/>
              </w:rPr>
              <w:t>供应商</w:t>
            </w:r>
            <w:r>
              <w:rPr>
                <w:rFonts w:hint="eastAsia"/>
                <w:color w:val="auto"/>
                <w:sz w:val="20"/>
                <w:highlight w:val="none"/>
              </w:rPr>
              <w:t>（法定名称）电子签章。【说明：无须提供证明材料，上传空白页即可，不对本项上传的材料作资格审查】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lang w:eastAsia="zh-CN"/>
              </w:rPr>
              <w:t>响应文件</w:t>
            </w:r>
            <w:r>
              <w:rPr>
                <w:rFonts w:ascii="宋体" w:hAnsi="宋体"/>
                <w:color w:val="auto"/>
                <w:sz w:val="20"/>
                <w:szCs w:val="28"/>
                <w:highlight w:val="none"/>
              </w:rPr>
              <w:t>解密情况</w:t>
            </w:r>
          </w:p>
        </w:tc>
        <w:tc>
          <w:tcPr>
            <w:tcW w:w="5253"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除因断电、断网、系统故障或其他不可抗力等因素，导致系统无法使用外，</w:t>
            </w:r>
            <w:r>
              <w:rPr>
                <w:rFonts w:hint="eastAsia" w:ascii="宋体" w:hAnsi="宋体"/>
                <w:color w:val="auto"/>
                <w:sz w:val="20"/>
                <w:szCs w:val="28"/>
                <w:highlight w:val="none"/>
                <w:lang w:eastAsia="zh-CN"/>
              </w:rPr>
              <w:t>响应</w:t>
            </w:r>
            <w:r>
              <w:rPr>
                <w:rFonts w:hint="eastAsia" w:ascii="宋体" w:hAnsi="宋体"/>
                <w:color w:val="auto"/>
                <w:sz w:val="20"/>
                <w:szCs w:val="28"/>
                <w:highlight w:val="none"/>
              </w:rPr>
              <w:t>文件已成功解密。</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napToGrid w:val="0"/>
              <w:spacing w:line="240" w:lineRule="atLeast"/>
              <w:rPr>
                <w:rFonts w:ascii="宋体" w:hAnsi="宋体"/>
                <w:color w:val="auto"/>
                <w:sz w:val="20"/>
                <w:szCs w:val="28"/>
                <w:highlight w:val="none"/>
              </w:rPr>
            </w:pPr>
          </w:p>
        </w:tc>
        <w:tc>
          <w:tcPr>
            <w:tcW w:w="1318" w:type="dxa"/>
            <w:noWrap w:val="0"/>
            <w:vAlign w:val="center"/>
          </w:tcPr>
          <w:p>
            <w:pPr>
              <w:tabs>
                <w:tab w:val="left" w:pos="851"/>
              </w:tabs>
              <w:spacing w:line="360" w:lineRule="auto"/>
              <w:rPr>
                <w:rFonts w:ascii="宋体" w:hAnsi="宋体"/>
                <w:color w:val="auto"/>
                <w:sz w:val="20"/>
                <w:szCs w:val="28"/>
                <w:highlight w:val="none"/>
              </w:rPr>
            </w:pPr>
            <w:r>
              <w:rPr>
                <w:rFonts w:hint="eastAsia" w:ascii="宋体" w:hAnsi="宋体"/>
                <w:color w:val="auto"/>
                <w:sz w:val="20"/>
                <w:szCs w:val="28"/>
                <w:highlight w:val="none"/>
              </w:rPr>
              <w:t>响应文件的语言、有效期</w:t>
            </w:r>
          </w:p>
        </w:tc>
        <w:tc>
          <w:tcPr>
            <w:tcW w:w="5253" w:type="dxa"/>
            <w:noWrap w:val="0"/>
            <w:vAlign w:val="center"/>
          </w:tcPr>
          <w:p>
            <w:pPr>
              <w:tabs>
                <w:tab w:val="left" w:pos="851"/>
              </w:tabs>
              <w:spacing w:line="360" w:lineRule="auto"/>
              <w:rPr>
                <w:rFonts w:ascii="宋体" w:hAnsi="宋体"/>
                <w:color w:val="auto"/>
                <w:sz w:val="20"/>
                <w:szCs w:val="28"/>
                <w:highlight w:val="none"/>
              </w:rPr>
            </w:pPr>
            <w:r>
              <w:rPr>
                <w:rFonts w:hint="eastAsia"/>
                <w:color w:val="auto"/>
                <w:sz w:val="20"/>
                <w:highlight w:val="none"/>
              </w:rPr>
              <w:t>语言符合</w:t>
            </w:r>
            <w:r>
              <w:rPr>
                <w:rFonts w:hint="eastAsia"/>
                <w:color w:val="auto"/>
                <w:sz w:val="20"/>
                <w:highlight w:val="none"/>
                <w:lang w:eastAsia="zh-CN"/>
              </w:rPr>
              <w:t>磋商</w:t>
            </w:r>
            <w:r>
              <w:rPr>
                <w:rFonts w:hint="eastAsia"/>
                <w:color w:val="auto"/>
                <w:sz w:val="20"/>
                <w:highlight w:val="none"/>
              </w:rPr>
              <w:t>文件的要求。【说明：无须提供证明材料，上传空白页即可，不对本项上传的材料作资格审查】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不属于其他国家相关法律法规规定的禁止参加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tc>
        <w:tc>
          <w:tcPr>
            <w:tcW w:w="5253" w:type="dxa"/>
            <w:noWrap w:val="0"/>
            <w:vAlign w:val="center"/>
          </w:tcPr>
          <w:p>
            <w:pPr>
              <w:spacing w:line="240" w:lineRule="atLeast"/>
              <w:rPr>
                <w:rFonts w:ascii="宋体" w:hAnsi="宋体"/>
                <w:color w:val="auto"/>
                <w:sz w:val="20"/>
                <w:szCs w:val="28"/>
                <w:highlight w:val="none"/>
              </w:rPr>
            </w:pPr>
            <w:r>
              <w:rPr>
                <w:rFonts w:hint="eastAsia"/>
                <w:color w:val="auto"/>
                <w:sz w:val="20"/>
                <w:szCs w:val="28"/>
                <w:highlight w:val="none"/>
                <w:lang w:val="en-US" w:eastAsia="zh-CN"/>
              </w:rPr>
              <w:t>1.</w:t>
            </w:r>
            <w:r>
              <w:rPr>
                <w:rFonts w:ascii="宋体" w:hAnsi="宋体"/>
                <w:color w:val="auto"/>
                <w:sz w:val="20"/>
                <w:szCs w:val="28"/>
                <w:highlight w:val="none"/>
              </w:rPr>
              <w:t>根据</w:t>
            </w:r>
            <w:r>
              <w:rPr>
                <w:rFonts w:hint="eastAsia"/>
                <w:color w:val="auto"/>
                <w:sz w:val="20"/>
                <w:szCs w:val="28"/>
                <w:highlight w:val="none"/>
                <w:lang w:eastAsia="zh-CN"/>
              </w:rPr>
              <w:t>磋商</w:t>
            </w:r>
            <w:r>
              <w:rPr>
                <w:rFonts w:hint="eastAsia" w:ascii="宋体" w:hAnsi="宋体"/>
                <w:color w:val="auto"/>
                <w:sz w:val="20"/>
                <w:szCs w:val="28"/>
                <w:highlight w:val="none"/>
              </w:rPr>
              <w:t>文件的要求不属于禁止参加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p>
          <w:p>
            <w:pPr>
              <w:spacing w:line="240" w:lineRule="atLeast"/>
              <w:rPr>
                <w:rFonts w:ascii="宋体" w:hAnsi="宋体"/>
                <w:color w:val="auto"/>
                <w:sz w:val="20"/>
                <w:szCs w:val="28"/>
                <w:highlight w:val="none"/>
              </w:rPr>
            </w:pPr>
            <w:r>
              <w:rPr>
                <w:rFonts w:hint="eastAsia"/>
                <w:color w:val="auto"/>
                <w:sz w:val="20"/>
                <w:szCs w:val="28"/>
                <w:highlight w:val="none"/>
                <w:lang w:val="en-US" w:eastAsia="zh-CN"/>
              </w:rPr>
              <w:t>2.</w:t>
            </w:r>
            <w:r>
              <w:rPr>
                <w:rFonts w:hint="eastAsia"/>
                <w:color w:val="auto"/>
                <w:sz w:val="20"/>
                <w:szCs w:val="28"/>
                <w:highlight w:val="none"/>
                <w:lang w:eastAsia="zh-CN"/>
              </w:rPr>
              <w:t>磋商</w:t>
            </w:r>
            <w:r>
              <w:rPr>
                <w:rFonts w:hint="eastAsia" w:ascii="宋体" w:hAnsi="宋体"/>
                <w:color w:val="auto"/>
                <w:sz w:val="20"/>
                <w:szCs w:val="28"/>
                <w:highlight w:val="none"/>
              </w:rPr>
              <w:t>小组未发现或者未知晓供应商存在属于国家相关法律法规规定的禁止参加</w:t>
            </w:r>
            <w:r>
              <w:rPr>
                <w:rFonts w:hint="eastAsia"/>
                <w:color w:val="auto"/>
                <w:sz w:val="20"/>
                <w:szCs w:val="28"/>
                <w:highlight w:val="none"/>
                <w:lang w:eastAsia="zh-CN"/>
              </w:rPr>
              <w:t>磋商</w:t>
            </w:r>
            <w:r>
              <w:rPr>
                <w:rFonts w:hint="eastAsia" w:ascii="宋体" w:hAnsi="宋体"/>
                <w:color w:val="auto"/>
                <w:sz w:val="20"/>
                <w:szCs w:val="28"/>
                <w:highlight w:val="none"/>
              </w:rPr>
              <w:t>的供应商。</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noWrap w:val="0"/>
            <w:vAlign w:val="center"/>
          </w:tcPr>
          <w:p>
            <w:pPr>
              <w:pStyle w:val="161"/>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1234" w:type="dxa"/>
            <w:vMerge w:val="continue"/>
            <w:noWrap w:val="0"/>
            <w:vAlign w:val="center"/>
          </w:tcPr>
          <w:p>
            <w:pPr>
              <w:spacing w:line="240" w:lineRule="atLeast"/>
              <w:rPr>
                <w:rFonts w:ascii="宋体" w:hAnsi="宋体"/>
                <w:color w:val="auto"/>
                <w:sz w:val="20"/>
                <w:szCs w:val="28"/>
                <w:highlight w:val="none"/>
              </w:rPr>
            </w:pPr>
          </w:p>
        </w:tc>
        <w:tc>
          <w:tcPr>
            <w:tcW w:w="1318" w:type="dxa"/>
            <w:noWrap w:val="0"/>
            <w:vAlign w:val="center"/>
          </w:tcPr>
          <w:p>
            <w:pPr>
              <w:snapToGrid w:val="0"/>
              <w:spacing w:line="240" w:lineRule="atLeast"/>
              <w:rPr>
                <w:rFonts w:hint="eastAsia" w:ascii="宋体" w:hAnsi="宋体" w:eastAsia="宋体" w:cs="宋体"/>
                <w:color w:val="auto"/>
                <w:kern w:val="2"/>
                <w:sz w:val="20"/>
                <w:szCs w:val="28"/>
                <w:highlight w:val="none"/>
                <w:lang w:val="en-US" w:eastAsia="zh-CN" w:bidi="ar-SA"/>
              </w:rPr>
            </w:pPr>
            <w:r>
              <w:rPr>
                <w:rFonts w:hint="eastAsia" w:ascii="宋体" w:hAnsi="宋体"/>
                <w:color w:val="auto"/>
                <w:sz w:val="20"/>
                <w:szCs w:val="28"/>
                <w:highlight w:val="none"/>
              </w:rPr>
              <w:t>法律、行政法规规定的其他条件</w:t>
            </w:r>
          </w:p>
        </w:tc>
        <w:tc>
          <w:tcPr>
            <w:tcW w:w="5253" w:type="dxa"/>
            <w:noWrap w:val="0"/>
            <w:vAlign w:val="center"/>
          </w:tcPr>
          <w:p>
            <w:pPr>
              <w:snapToGrid w:val="0"/>
              <w:spacing w:line="240" w:lineRule="atLeast"/>
              <w:rPr>
                <w:rFonts w:hint="eastAsia" w:ascii="宋体" w:hAnsi="宋体" w:cs="宋体"/>
                <w:color w:val="auto"/>
                <w:kern w:val="2"/>
                <w:sz w:val="20"/>
                <w:szCs w:val="28"/>
                <w:highlight w:val="none"/>
                <w:lang w:val="en-US" w:eastAsia="zh-CN" w:bidi="ar-SA"/>
              </w:rPr>
            </w:pPr>
            <w:r>
              <w:rPr>
                <w:rFonts w:hint="eastAsia" w:ascii="宋体" w:hAnsi="宋体"/>
                <w:color w:val="auto"/>
                <w:sz w:val="20"/>
                <w:szCs w:val="28"/>
                <w:highlight w:val="none"/>
              </w:rPr>
              <w:t>采购人对法律、行政法规规定的其他条件无特殊要求，供应商具有有效的营业执照或法人证书即可，可不提供其他证明材料。</w:t>
            </w:r>
            <w:r>
              <w:rPr>
                <w:rFonts w:hint="eastAsia"/>
                <w:color w:val="auto"/>
                <w:sz w:val="20"/>
                <w:highlight w:val="none"/>
              </w:rPr>
              <w:t>【说明：无须提供证明材料，上传空白页即可，不对本项上传的材料作资格审查】。</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lang w:eastAsia="zh-CN"/>
              </w:rPr>
              <w:t>响应</w:t>
            </w:r>
            <w:r>
              <w:rPr>
                <w:rFonts w:hint="eastAsia"/>
                <w:color w:val="auto"/>
                <w:sz w:val="20"/>
                <w:highlight w:val="none"/>
              </w:rPr>
              <w:t>文件资格性审查部分组成</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color w:val="auto"/>
                <w:sz w:val="20"/>
                <w:highlight w:val="none"/>
              </w:rPr>
              <w:t>符合</w:t>
            </w:r>
            <w:r>
              <w:rPr>
                <w:rFonts w:hint="eastAsia"/>
                <w:color w:val="auto"/>
                <w:sz w:val="20"/>
                <w:highlight w:val="none"/>
                <w:lang w:eastAsia="zh-CN"/>
              </w:rPr>
              <w:t>磋商</w:t>
            </w:r>
            <w:r>
              <w:rPr>
                <w:rFonts w:hint="eastAsia"/>
                <w:color w:val="auto"/>
                <w:sz w:val="20"/>
                <w:highlight w:val="none"/>
              </w:rPr>
              <w:t>文件“2.4.</w:t>
            </w:r>
            <w:r>
              <w:rPr>
                <w:rFonts w:hint="eastAsia"/>
                <w:color w:val="auto"/>
                <w:sz w:val="20"/>
                <w:highlight w:val="none"/>
                <w:lang w:val="en-US" w:eastAsia="zh-CN"/>
              </w:rPr>
              <w:t>5</w:t>
            </w:r>
            <w:r>
              <w:rPr>
                <w:rFonts w:hint="eastAsia"/>
                <w:color w:val="auto"/>
                <w:sz w:val="20"/>
                <w:highlight w:val="none"/>
                <w:lang w:eastAsia="zh-CN"/>
              </w:rPr>
              <w:t>响应</w:t>
            </w:r>
            <w:r>
              <w:rPr>
                <w:rFonts w:hint="eastAsia"/>
                <w:color w:val="auto"/>
                <w:sz w:val="20"/>
                <w:highlight w:val="none"/>
              </w:rPr>
              <w:t>文件的组成”规定要求。【说明①供应商按磋商文件3.1.2关于供应商申明的内容提供供应商申明函；②供应商按磋商文件3.1.</w:t>
            </w:r>
            <w:r>
              <w:rPr>
                <w:rFonts w:hint="eastAsia"/>
                <w:color w:val="auto"/>
                <w:sz w:val="20"/>
                <w:highlight w:val="none"/>
                <w:lang w:val="en-US" w:eastAsia="zh-CN"/>
              </w:rPr>
              <w:t>5</w:t>
            </w:r>
            <w:r>
              <w:rPr>
                <w:rFonts w:hint="eastAsia"/>
                <w:color w:val="auto"/>
                <w:sz w:val="20"/>
                <w:highlight w:val="none"/>
              </w:rPr>
              <w:t>供应商基本情况表的内容提供供应商基本情况表。】</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pStyle w:val="161"/>
              <w:numPr>
                <w:ilvl w:val="0"/>
                <w:numId w:val="21"/>
              </w:numPr>
              <w:tabs>
                <w:tab w:val="left" w:pos="275"/>
              </w:tabs>
              <w:snapToGrid w:val="0"/>
              <w:spacing w:line="240" w:lineRule="atLeast"/>
              <w:ind w:left="0" w:firstLine="0" w:firstLineChars="0"/>
              <w:jc w:val="center"/>
              <w:rPr>
                <w:rFonts w:ascii="宋体" w:hAnsi="宋体" w:eastAsia="宋体"/>
                <w:color w:val="auto"/>
                <w:sz w:val="20"/>
                <w:szCs w:val="28"/>
                <w:highlight w:val="none"/>
              </w:rPr>
            </w:pPr>
          </w:p>
        </w:tc>
        <w:tc>
          <w:tcPr>
            <w:tcW w:w="2552" w:type="dxa"/>
            <w:gridSpan w:val="2"/>
            <w:noWrap w:val="0"/>
            <w:vAlign w:val="center"/>
          </w:tcPr>
          <w:p>
            <w:pPr>
              <w:snapToGrid w:val="0"/>
              <w:spacing w:line="240" w:lineRule="atLeast"/>
              <w:rPr>
                <w:rFonts w:ascii="宋体" w:hAnsi="宋体"/>
                <w:color w:val="auto"/>
                <w:sz w:val="20"/>
                <w:szCs w:val="28"/>
                <w:highlight w:val="none"/>
              </w:rPr>
            </w:pPr>
            <w:r>
              <w:rPr>
                <w:rFonts w:hint="eastAsia" w:ascii="宋体" w:hAnsi="宋体"/>
                <w:color w:val="auto"/>
                <w:sz w:val="20"/>
                <w:szCs w:val="28"/>
                <w:highlight w:val="none"/>
              </w:rPr>
              <w:t>具有健全的财务会计制度的证明材料</w:t>
            </w:r>
          </w:p>
        </w:tc>
        <w:tc>
          <w:tcPr>
            <w:tcW w:w="5253" w:type="dxa"/>
            <w:noWrap w:val="0"/>
            <w:vAlign w:val="center"/>
          </w:tcPr>
          <w:p>
            <w:pPr>
              <w:tabs>
                <w:tab w:val="left" w:pos="851"/>
              </w:tabs>
              <w:spacing w:line="360" w:lineRule="auto"/>
              <w:rPr>
                <w:rFonts w:ascii="宋体" w:hAnsi="宋体"/>
                <w:color w:val="auto"/>
                <w:sz w:val="20"/>
                <w:szCs w:val="28"/>
                <w:highlight w:val="none"/>
              </w:rPr>
            </w:pPr>
            <w:r>
              <w:rPr>
                <w:color w:val="auto"/>
                <w:sz w:val="20"/>
                <w:highlight w:val="none"/>
              </w:rPr>
              <w:t>2019</w:t>
            </w:r>
            <w:r>
              <w:rPr>
                <w:rFonts w:hint="eastAsia"/>
                <w:color w:val="auto"/>
                <w:sz w:val="20"/>
                <w:highlight w:val="none"/>
              </w:rPr>
              <w:t>或</w:t>
            </w:r>
            <w:r>
              <w:rPr>
                <w:color w:val="auto"/>
                <w:sz w:val="20"/>
                <w:highlight w:val="none"/>
              </w:rPr>
              <w:t>2020</w:t>
            </w:r>
            <w:r>
              <w:rPr>
                <w:rFonts w:hint="eastAsia"/>
                <w:color w:val="auto"/>
                <w:sz w:val="20"/>
                <w:highlight w:val="none"/>
              </w:rPr>
              <w:t>会计年度资产负债表复印件。【说明：</w:t>
            </w:r>
            <w:r>
              <w:rPr>
                <w:rFonts w:hint="eastAsia" w:ascii="宋体" w:hAnsi="宋体"/>
                <w:color w:val="auto"/>
                <w:sz w:val="20"/>
                <w:szCs w:val="28"/>
                <w:highlight w:val="none"/>
              </w:rPr>
              <w:t>供应商</w:t>
            </w:r>
            <w:r>
              <w:rPr>
                <w:rFonts w:hint="eastAsia"/>
                <w:color w:val="auto"/>
                <w:sz w:val="20"/>
                <w:highlight w:val="none"/>
              </w:rPr>
              <w:t>成立时间至</w:t>
            </w:r>
            <w:r>
              <w:rPr>
                <w:rFonts w:hint="eastAsia"/>
                <w:color w:val="auto"/>
                <w:sz w:val="20"/>
                <w:highlight w:val="none"/>
                <w:lang w:eastAsia="zh-CN"/>
              </w:rPr>
              <w:t>递交响应文件</w:t>
            </w:r>
            <w:r>
              <w:rPr>
                <w:rFonts w:hint="eastAsia"/>
                <w:color w:val="auto"/>
                <w:sz w:val="20"/>
                <w:highlight w:val="none"/>
              </w:rPr>
              <w:t>截止时间止不足一年的，提供成立后任意时段的资产负债表复印件。】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6.</w:t>
            </w:r>
          </w:p>
        </w:tc>
        <w:tc>
          <w:tcPr>
            <w:tcW w:w="2552" w:type="dxa"/>
            <w:gridSpan w:val="2"/>
            <w:noWrap w:val="0"/>
            <w:vAlign w:val="center"/>
          </w:tcPr>
          <w:p>
            <w:pPr>
              <w:tabs>
                <w:tab w:val="left" w:pos="851"/>
              </w:tabs>
              <w:spacing w:line="360" w:lineRule="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缴纳社会保障资金的证明材料</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年任意时段的社保的银行电子回单或行政部门出具的社保缴纳证明材料复印件。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eastAsia" w:ascii="宋体" w:hAnsi="宋体" w:eastAsia="宋体" w:cs="宋体"/>
                <w:color w:val="auto"/>
                <w:kern w:val="2"/>
                <w:sz w:val="20"/>
                <w:szCs w:val="22"/>
                <w:highlight w:val="none"/>
                <w:lang w:val="en-US" w:eastAsia="zh-CN" w:bidi="ar-SA"/>
              </w:rPr>
            </w:pPr>
            <w:r>
              <w:rPr>
                <w:rFonts w:hint="eastAsia"/>
                <w:color w:val="auto"/>
                <w:sz w:val="20"/>
                <w:highlight w:val="none"/>
                <w:lang w:val="en-US" w:eastAsia="zh-CN"/>
              </w:rPr>
              <w:t>7.</w:t>
            </w:r>
          </w:p>
        </w:tc>
        <w:tc>
          <w:tcPr>
            <w:tcW w:w="2552" w:type="dxa"/>
            <w:gridSpan w:val="2"/>
            <w:noWrap w:val="0"/>
            <w:vAlign w:val="center"/>
          </w:tcPr>
          <w:p>
            <w:pPr>
              <w:tabs>
                <w:tab w:val="left" w:pos="851"/>
              </w:tabs>
              <w:spacing w:line="360" w:lineRule="auto"/>
              <w:rPr>
                <w:rFonts w:ascii="宋体" w:hAnsi="宋体" w:cs="宋体"/>
                <w:color w:val="auto"/>
                <w:kern w:val="2"/>
                <w:sz w:val="20"/>
                <w:szCs w:val="22"/>
                <w:highlight w:val="none"/>
                <w:lang w:val="en-US" w:eastAsia="zh-CN" w:bidi="ar-SA"/>
              </w:rPr>
            </w:pPr>
            <w:r>
              <w:rPr>
                <w:rFonts w:hint="eastAsia" w:ascii="宋体" w:hAnsi="宋体" w:cs="宋体"/>
                <w:color w:val="auto"/>
                <w:kern w:val="2"/>
                <w:sz w:val="20"/>
                <w:szCs w:val="22"/>
                <w:highlight w:val="none"/>
                <w:lang w:val="en-US" w:eastAsia="zh-CN" w:bidi="ar-SA"/>
              </w:rPr>
              <w:t>缴纳税收的证明材料</w:t>
            </w:r>
          </w:p>
        </w:tc>
        <w:tc>
          <w:tcPr>
            <w:tcW w:w="5253" w:type="dxa"/>
            <w:noWrap w:val="0"/>
            <w:vAlign w:val="center"/>
          </w:tcPr>
          <w:p>
            <w:pPr>
              <w:tabs>
                <w:tab w:val="left" w:pos="851"/>
              </w:tabs>
              <w:spacing w:line="360" w:lineRule="auto"/>
              <w:rPr>
                <w:rFonts w:hint="eastAsia" w:ascii="宋体" w:hAnsi="宋体" w:cs="宋体"/>
                <w:color w:val="auto"/>
                <w:kern w:val="2"/>
                <w:sz w:val="20"/>
                <w:szCs w:val="22"/>
                <w:highlight w:val="none"/>
                <w:lang w:val="en-US" w:eastAsia="zh-CN" w:bidi="ar-SA"/>
              </w:rPr>
            </w:pPr>
            <w:r>
              <w:rPr>
                <w:rFonts w:hint="eastAsia" w:ascii="宋体" w:hAnsi="宋体"/>
                <w:color w:val="auto"/>
                <w:sz w:val="20"/>
                <w:szCs w:val="28"/>
                <w:highlight w:val="none"/>
              </w:rPr>
              <w:t>供应商</w:t>
            </w:r>
            <w:r>
              <w:rPr>
                <w:rFonts w:hint="eastAsia"/>
                <w:color w:val="auto"/>
                <w:sz w:val="20"/>
                <w:highlight w:val="none"/>
              </w:rPr>
              <w:t>缴纳</w:t>
            </w:r>
            <w:r>
              <w:rPr>
                <w:color w:val="auto"/>
                <w:sz w:val="20"/>
                <w:highlight w:val="none"/>
              </w:rPr>
              <w:t>2020</w:t>
            </w:r>
            <w:r>
              <w:rPr>
                <w:rFonts w:hint="eastAsia"/>
                <w:color w:val="auto"/>
                <w:sz w:val="20"/>
                <w:highlight w:val="none"/>
              </w:rPr>
              <w:t>或</w:t>
            </w:r>
            <w:r>
              <w:rPr>
                <w:color w:val="auto"/>
                <w:sz w:val="20"/>
                <w:highlight w:val="none"/>
              </w:rPr>
              <w:t>2021</w:t>
            </w:r>
            <w:r>
              <w:rPr>
                <w:rFonts w:hint="eastAsia"/>
                <w:color w:val="auto"/>
                <w:sz w:val="20"/>
                <w:highlight w:val="none"/>
              </w:rPr>
              <w:t>年任意时段的税收的银行电子回单或者行政部门出具的纳税证明或完税证明的复印件。</w:t>
            </w:r>
          </w:p>
        </w:tc>
        <w:tc>
          <w:tcPr>
            <w:tcW w:w="842" w:type="dxa"/>
            <w:noWrap w:val="0"/>
            <w:vAlign w:val="center"/>
          </w:tcPr>
          <w:p>
            <w:pPr>
              <w:snapToGrid w:val="0"/>
              <w:spacing w:line="240" w:lineRule="atLeast"/>
              <w:rPr>
                <w:rFonts w:ascii="宋体" w:hAnsi="宋体"/>
                <w:color w:val="auto"/>
                <w:sz w:val="2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noWrap w:val="0"/>
            <w:vAlign w:val="center"/>
          </w:tcPr>
          <w:p>
            <w:pPr>
              <w:tabs>
                <w:tab w:val="left" w:pos="851"/>
              </w:tabs>
              <w:spacing w:line="360" w:lineRule="auto"/>
              <w:jc w:val="center"/>
              <w:rPr>
                <w:rFonts w:hint="default"/>
                <w:color w:val="auto"/>
                <w:sz w:val="20"/>
                <w:highlight w:val="none"/>
                <w:lang w:val="en-US" w:eastAsia="zh-CN"/>
              </w:rPr>
            </w:pPr>
            <w:r>
              <w:rPr>
                <w:rFonts w:hint="eastAsia"/>
                <w:color w:val="auto"/>
                <w:sz w:val="20"/>
                <w:highlight w:val="none"/>
                <w:lang w:val="en-US" w:eastAsia="zh-CN"/>
              </w:rPr>
              <w:t>8.</w:t>
            </w:r>
          </w:p>
        </w:tc>
        <w:tc>
          <w:tcPr>
            <w:tcW w:w="2552" w:type="dxa"/>
            <w:gridSpan w:val="2"/>
            <w:noWrap w:val="0"/>
            <w:vAlign w:val="center"/>
          </w:tcPr>
          <w:p>
            <w:pPr>
              <w:tabs>
                <w:tab w:val="left" w:pos="851"/>
              </w:tabs>
              <w:spacing w:line="360" w:lineRule="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法定代表人身份证明书及法定代表人身份证复印件或护照复印件</w:t>
            </w:r>
          </w:p>
        </w:tc>
        <w:tc>
          <w:tcPr>
            <w:tcW w:w="5253" w:type="dxa"/>
            <w:noWrap w:val="0"/>
            <w:vAlign w:val="center"/>
          </w:tcPr>
          <w:p>
            <w:pPr>
              <w:tabs>
                <w:tab w:val="left" w:pos="851"/>
              </w:tabs>
              <w:spacing w:line="360" w:lineRule="auto"/>
              <w:rPr>
                <w:rFonts w:hint="eastAsia" w:ascii="宋体" w:hAnsi="宋体"/>
                <w:color w:val="auto"/>
                <w:sz w:val="20"/>
                <w:szCs w:val="28"/>
                <w:highlight w:val="none"/>
                <w:lang w:val="en-US" w:eastAsia="zh-CN"/>
              </w:rPr>
            </w:pPr>
            <w:r>
              <w:rPr>
                <w:rFonts w:hint="eastAsia" w:ascii="宋体" w:hAnsi="宋体"/>
                <w:color w:val="auto"/>
                <w:sz w:val="20"/>
                <w:szCs w:val="28"/>
                <w:highlight w:val="none"/>
              </w:rPr>
              <w:t>1、供应商按磋商文件3.1.</w:t>
            </w:r>
            <w:r>
              <w:rPr>
                <w:rFonts w:hint="eastAsia"/>
                <w:color w:val="auto"/>
                <w:sz w:val="20"/>
                <w:szCs w:val="28"/>
                <w:highlight w:val="none"/>
                <w:lang w:val="en-US" w:eastAsia="zh-CN"/>
              </w:rPr>
              <w:t>4</w:t>
            </w:r>
            <w:r>
              <w:rPr>
                <w:rFonts w:hint="eastAsia" w:ascii="宋体" w:hAnsi="宋体"/>
                <w:color w:val="auto"/>
                <w:sz w:val="20"/>
                <w:szCs w:val="28"/>
                <w:highlight w:val="none"/>
              </w:rPr>
              <w:t>关于法定代表人身份证明书的内容提供法定代表人身份证明书；2、身份证复印件或护照复印件【注：法定代表人身份证复印件（身份证两面均应复印，在有效期内）或护照复印件（法定代表人为外籍人士的，按此提供）】。</w:t>
            </w:r>
          </w:p>
        </w:tc>
        <w:tc>
          <w:tcPr>
            <w:tcW w:w="842" w:type="dxa"/>
            <w:noWrap w:val="0"/>
            <w:vAlign w:val="center"/>
          </w:tcPr>
          <w:p>
            <w:pPr>
              <w:snapToGrid w:val="0"/>
              <w:spacing w:line="240" w:lineRule="atLeast"/>
              <w:rPr>
                <w:rFonts w:ascii="宋体" w:hAnsi="宋体"/>
                <w:color w:val="auto"/>
                <w:sz w:val="20"/>
                <w:szCs w:val="28"/>
                <w:highlight w:val="none"/>
              </w:rPr>
            </w:pPr>
          </w:p>
        </w:tc>
      </w:tr>
    </w:tbl>
    <w:p>
      <w:pPr>
        <w:rPr>
          <w:color w:val="auto"/>
          <w:highlight w:val="none"/>
        </w:rPr>
      </w:pPr>
    </w:p>
    <w:p>
      <w:pPr>
        <w:tabs>
          <w:tab w:val="left" w:pos="851"/>
        </w:tabs>
        <w:spacing w:line="360" w:lineRule="auto"/>
        <w:ind w:firstLine="404" w:firstLineChars="202"/>
        <w:rPr>
          <w:rFonts w:ascii="宋体" w:hAnsi="宋体"/>
          <w:color w:val="auto"/>
          <w:sz w:val="28"/>
          <w:szCs w:val="28"/>
          <w:highlight w:val="none"/>
        </w:rPr>
      </w:pPr>
      <w:r>
        <w:rPr>
          <w:rFonts w:hint="eastAsia"/>
          <w:color w:val="auto"/>
          <w:sz w:val="20"/>
          <w:highlight w:val="none"/>
        </w:rPr>
        <w:t xml:space="preserve"> </w:t>
      </w:r>
      <w:r>
        <w:rPr>
          <w:rFonts w:hint="eastAsia"/>
          <w:color w:val="auto"/>
          <w:sz w:val="20"/>
          <w:highlight w:val="none"/>
          <w:lang w:val="en-US" w:eastAsia="zh-CN"/>
        </w:rPr>
        <w:t xml:space="preserve">  </w:t>
      </w:r>
      <w:r>
        <w:rPr>
          <w:rFonts w:hint="eastAsia" w:ascii="宋体" w:hAnsi="宋体"/>
          <w:color w:val="auto"/>
          <w:sz w:val="28"/>
          <w:szCs w:val="28"/>
          <w:highlight w:val="none"/>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二、“信用中国” “中国政府采购网”网站的查询结果，将以电子介质的形式留存。</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rPr>
        <w:t>三、磋商小组资格审查结束后，应当出具资格审查报告。没有通过资格审查的供应商，磋商小组应当在资格审查报告中说明原因。</w:t>
      </w:r>
    </w:p>
    <w:p>
      <w:pPr>
        <w:spacing w:line="360" w:lineRule="auto"/>
        <w:ind w:firstLine="599" w:firstLineChars="214"/>
        <w:rPr>
          <w:rFonts w:ascii="宋体" w:hAnsi="宋体"/>
          <w:color w:val="auto"/>
          <w:sz w:val="28"/>
          <w:szCs w:val="28"/>
          <w:highlight w:val="none"/>
        </w:rPr>
      </w:pPr>
      <w:r>
        <w:rPr>
          <w:rFonts w:hint="eastAsia" w:ascii="宋体" w:hAnsi="宋体"/>
          <w:color w:val="auto"/>
          <w:sz w:val="28"/>
          <w:szCs w:val="28"/>
          <w:highlight w:val="none"/>
          <w:lang w:eastAsia="zh-CN"/>
        </w:rPr>
        <w:t>四、</w:t>
      </w:r>
      <w:r>
        <w:rPr>
          <w:rFonts w:hint="eastAsia" w:ascii="宋体" w:hAnsi="宋体"/>
          <w:color w:val="auto"/>
          <w:sz w:val="28"/>
          <w:szCs w:val="28"/>
          <w:highlight w:val="none"/>
        </w:rPr>
        <w:t>通过资格审查的供应商不足三家的，采购失败。</w:t>
      </w:r>
    </w:p>
    <w:p>
      <w:pPr>
        <w:pStyle w:val="5"/>
        <w:ind w:left="0" w:firstLine="0"/>
        <w:rPr>
          <w:rFonts w:hint="eastAsia" w:ascii="宋体" w:hAnsi="宋体"/>
          <w:b/>
          <w:color w:val="auto"/>
          <w:sz w:val="28"/>
          <w:szCs w:val="28"/>
          <w:highlight w:val="none"/>
        </w:rPr>
      </w:pPr>
      <w:bookmarkStart w:id="433" w:name="_Toc309"/>
      <w:bookmarkStart w:id="434" w:name="_Toc2850"/>
      <w:r>
        <w:rPr>
          <w:rFonts w:hint="eastAsia" w:ascii="宋体" w:hAnsi="宋体"/>
          <w:b/>
          <w:color w:val="auto"/>
          <w:sz w:val="28"/>
          <w:szCs w:val="28"/>
          <w:highlight w:val="none"/>
        </w:rPr>
        <w:t>特别说明：磋商文件中要求提供复印件的证明材料的，包含原件的影印件或复印件。</w:t>
      </w:r>
      <w:bookmarkEnd w:id="433"/>
      <w:bookmarkEnd w:id="434"/>
    </w:p>
    <w:p>
      <w:pPr>
        <w:pStyle w:val="5"/>
        <w:numPr>
          <w:ilvl w:val="2"/>
          <w:numId w:val="0"/>
        </w:numPr>
        <w:spacing w:after="200"/>
        <w:ind w:leftChars="0"/>
        <w:rPr>
          <w:rFonts w:hint="default"/>
          <w:color w:val="auto"/>
          <w:highlight w:val="none"/>
          <w:lang w:val="en-US" w:eastAsia="zh-CN"/>
        </w:rPr>
      </w:pPr>
      <w:bookmarkStart w:id="435" w:name="_Toc29190"/>
      <w:bookmarkStart w:id="436" w:name="_Toc22015"/>
      <w:r>
        <w:rPr>
          <w:rFonts w:hint="eastAsia"/>
          <w:color w:val="auto"/>
          <w:highlight w:val="none"/>
          <w:lang w:val="en-US" w:eastAsia="zh-CN"/>
        </w:rPr>
        <w:t>5.2.3符合性</w:t>
      </w:r>
      <w:bookmarkEnd w:id="435"/>
      <w:r>
        <w:rPr>
          <w:rFonts w:hint="eastAsia"/>
          <w:color w:val="auto"/>
          <w:highlight w:val="none"/>
          <w:lang w:val="en-US" w:eastAsia="zh-CN"/>
        </w:rPr>
        <w:t>审查</w:t>
      </w:r>
      <w:bookmarkEnd w:id="436"/>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资格</w:t>
      </w:r>
      <w:r>
        <w:rPr>
          <w:rFonts w:ascii="宋体" w:hAnsi="宋体" w:eastAsia="宋体"/>
          <w:color w:val="auto"/>
          <w:sz w:val="24"/>
          <w:szCs w:val="24"/>
          <w:highlight w:val="none"/>
        </w:rPr>
        <w:t>审查</w:t>
      </w:r>
      <w:r>
        <w:rPr>
          <w:rFonts w:hint="eastAsia" w:ascii="宋体" w:hAnsi="宋体" w:eastAsia="宋体"/>
          <w:color w:val="auto"/>
          <w:sz w:val="24"/>
          <w:szCs w:val="24"/>
          <w:highlight w:val="none"/>
        </w:rPr>
        <w:t>结束后，由磋商小组对供应商响应文件进行符合性审查。</w:t>
      </w:r>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磋商小组在符合性审查过程中，磋商小组成员对供应商是否符合规定存在争议的，应当以少数服从多数的原则处理，但不得违背政府采购法和磋商文件规定。</w:t>
      </w:r>
    </w:p>
    <w:p>
      <w:pPr>
        <w:pStyle w:val="237"/>
        <w:numPr>
          <w:ilvl w:val="0"/>
          <w:numId w:val="22"/>
        </w:numPr>
        <w:tabs>
          <w:tab w:val="left" w:pos="1134"/>
          <w:tab w:val="left" w:pos="1276"/>
          <w:tab w:val="left" w:pos="1418"/>
        </w:tabs>
        <w:spacing w:after="200" w:line="360" w:lineRule="auto"/>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供应商符合性审查标准（按以下顺序审查）： </w:t>
      </w:r>
    </w:p>
    <w:tbl>
      <w:tblPr>
        <w:tblStyle w:val="42"/>
        <w:tblW w:w="96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color w:val="auto"/>
                <w:sz w:val="24"/>
                <w:szCs w:val="28"/>
                <w:highlight w:val="none"/>
              </w:rPr>
            </w:pPr>
            <w:r>
              <w:rPr>
                <w:rFonts w:hint="eastAsia" w:ascii="宋体" w:hAnsi="宋体"/>
                <w:b/>
                <w:color w:val="auto"/>
                <w:sz w:val="24"/>
                <w:szCs w:val="28"/>
                <w:highlight w:val="none"/>
              </w:rPr>
              <w:t>符合性审查项</w:t>
            </w:r>
          </w:p>
        </w:tc>
        <w:tc>
          <w:tcPr>
            <w:tcW w:w="465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color w:val="auto"/>
                <w:sz w:val="24"/>
                <w:szCs w:val="28"/>
                <w:highlight w:val="none"/>
              </w:rPr>
            </w:pPr>
            <w:r>
              <w:rPr>
                <w:rFonts w:hint="eastAsia" w:ascii="宋体" w:hAnsi="宋体"/>
                <w:b/>
                <w:color w:val="auto"/>
                <w:sz w:val="24"/>
                <w:szCs w:val="28"/>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1</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技术、服务性响应文件的组成</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2</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eastAsia="zh-CN"/>
              </w:rPr>
            </w:pPr>
            <w:r>
              <w:rPr>
                <w:rFonts w:hint="eastAsia" w:ascii="宋体" w:hAnsi="宋体"/>
              </w:rPr>
              <w:t>技术、服务性响应文件计量单位、语言</w:t>
            </w:r>
            <w:r>
              <w:rPr>
                <w:rFonts w:hint="eastAsia" w:ascii="宋体" w:hAnsi="宋体"/>
                <w:lang w:eastAsia="zh-CN"/>
              </w:rPr>
              <w:t>、报价货币</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计量单位、语言</w:t>
            </w:r>
            <w:r>
              <w:rPr>
                <w:rFonts w:hint="eastAsia" w:ascii="宋体" w:hAnsi="宋体"/>
                <w:lang w:eastAsia="zh-CN"/>
              </w:rPr>
              <w:t>、报价货币均</w:t>
            </w:r>
            <w:r>
              <w:rPr>
                <w:rFonts w:hint="eastAsia" w:ascii="宋体" w:hAnsi="宋体"/>
              </w:rPr>
              <w:t>满足磋商文件要求。【说明：无须提供证明材料，上传空白页即可，不对本项上传的材料作</w:t>
            </w:r>
            <w:r>
              <w:rPr>
                <w:rFonts w:hint="eastAsia" w:ascii="宋体" w:hAnsi="宋体"/>
                <w:lang w:eastAsia="zh-CN"/>
              </w:rPr>
              <w:t>符合性</w:t>
            </w:r>
            <w:r>
              <w:rPr>
                <w:rFonts w:hint="eastAsia" w:ascii="宋体" w:hAnsi="宋体"/>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3</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技术、服务性响应文件对磋商文件规定的采购项目实质性响应要求的响应情况</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rPr>
            </w:pPr>
            <w:r>
              <w:rPr>
                <w:rFonts w:hint="eastAsia" w:ascii="宋体" w:hAnsi="宋体"/>
              </w:rPr>
              <w:t>符合磋商文件规定的采购项目实质性响应要求。【说明：无须提供证明材料，上传空白页即可，不对本项上传的材料作</w:t>
            </w:r>
            <w:r>
              <w:rPr>
                <w:rFonts w:hint="eastAsia" w:ascii="宋体" w:hAnsi="宋体"/>
                <w:lang w:eastAsia="zh-CN"/>
              </w:rPr>
              <w:t>符合性</w:t>
            </w:r>
            <w:r>
              <w:rPr>
                <w:rFonts w:hint="eastAsia" w:ascii="宋体" w:hAnsi="宋体"/>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4</w:t>
            </w:r>
          </w:p>
        </w:tc>
        <w:tc>
          <w:tcPr>
            <w:tcW w:w="4218"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进口产品</w:t>
            </w:r>
          </w:p>
        </w:tc>
        <w:tc>
          <w:tcPr>
            <w:tcW w:w="4651"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rPr>
                <w:rFonts w:hint="eastAsia" w:ascii="宋体" w:hAnsi="宋体"/>
                <w:lang w:val="en-US" w:eastAsia="zh-CN"/>
              </w:rPr>
            </w:pPr>
            <w:r>
              <w:rPr>
                <w:rFonts w:hint="eastAsia" w:ascii="宋体" w:hAnsi="宋体"/>
              </w:rPr>
              <w:t>磋商文件中未载明“允许采购进口产品”的产品，拒绝进口产品的报价。磋商文件中载明“允许采购进口产品”的产品，允许国产产品参与竞争。【说明：无须提供证明材料，上传空白页即可，不对本项上传的材料作</w:t>
            </w:r>
            <w:r>
              <w:rPr>
                <w:rFonts w:hint="eastAsia" w:ascii="宋体" w:hAnsi="宋体"/>
                <w:lang w:eastAsia="zh-CN"/>
              </w:rPr>
              <w:t>符合性</w:t>
            </w:r>
            <w:r>
              <w:rPr>
                <w:rFonts w:hint="eastAsia" w:ascii="宋体" w:hAnsi="宋体"/>
              </w:rPr>
              <w:t>审查】</w:t>
            </w:r>
          </w:p>
        </w:tc>
      </w:tr>
    </w:tbl>
    <w:p>
      <w:pPr>
        <w:snapToGrid w:val="0"/>
        <w:spacing w:line="360" w:lineRule="auto"/>
        <w:rPr>
          <w:rFonts w:hint="eastAsia" w:ascii="宋体" w:hAnsi="宋体"/>
        </w:rPr>
      </w:pPr>
    </w:p>
    <w:p>
      <w:pPr>
        <w:tabs>
          <w:tab w:val="left" w:pos="85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237"/>
        <w:numPr>
          <w:ilvl w:val="0"/>
          <w:numId w:val="23"/>
        </w:numPr>
        <w:ind w:left="0" w:firstLine="560"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磋商小组符合性审查结束后，应当出具符合性审查报告，确定参加磋商的供应商名单。</w:t>
      </w:r>
    </w:p>
    <w:p>
      <w:pPr>
        <w:pStyle w:val="237"/>
        <w:numPr>
          <w:ilvl w:val="0"/>
          <w:numId w:val="23"/>
        </w:numPr>
        <w:tabs>
          <w:tab w:val="left" w:pos="1134"/>
          <w:tab w:val="left" w:pos="1418"/>
        </w:tabs>
        <w:spacing w:after="200" w:line="360" w:lineRule="auto"/>
        <w:ind w:firstLineChars="0"/>
        <w:rPr>
          <w:rFonts w:ascii="宋体" w:hAnsi="宋体" w:eastAsia="宋体"/>
          <w:color w:val="auto"/>
          <w:sz w:val="28"/>
          <w:szCs w:val="28"/>
          <w:highlight w:val="none"/>
        </w:rPr>
      </w:pPr>
      <w:r>
        <w:rPr>
          <w:rFonts w:hint="eastAsia" w:ascii="宋体" w:hAnsi="宋体" w:eastAsia="宋体"/>
          <w:color w:val="auto"/>
          <w:sz w:val="28"/>
          <w:szCs w:val="28"/>
          <w:highlight w:val="none"/>
        </w:rPr>
        <w:t>通过符合性审查的供应商不足三家的，采购失败。</w:t>
      </w:r>
    </w:p>
    <w:p>
      <w:pPr>
        <w:spacing w:line="360" w:lineRule="auto"/>
        <w:ind w:firstLine="602" w:firstLineChars="214"/>
        <w:rPr>
          <w:rFonts w:ascii="宋体" w:hAnsi="宋体"/>
          <w:b/>
          <w:color w:val="auto"/>
          <w:sz w:val="28"/>
          <w:szCs w:val="28"/>
          <w:highlight w:val="none"/>
        </w:rPr>
      </w:pPr>
      <w:r>
        <w:rPr>
          <w:rFonts w:hint="eastAsia" w:ascii="宋体" w:hAnsi="宋体"/>
          <w:b/>
          <w:color w:val="auto"/>
          <w:sz w:val="28"/>
          <w:szCs w:val="28"/>
          <w:highlight w:val="none"/>
        </w:rPr>
        <w:t>特别说明：磋商文件中要求提供复印件的证明材料的，包含原件的影印件或复印件。</w:t>
      </w:r>
    </w:p>
    <w:p>
      <w:pPr>
        <w:pStyle w:val="5"/>
        <w:numPr>
          <w:ilvl w:val="0"/>
          <w:numId w:val="0"/>
        </w:numPr>
        <w:rPr>
          <w:color w:val="auto"/>
          <w:highlight w:val="none"/>
        </w:rPr>
      </w:pPr>
      <w:bookmarkStart w:id="437" w:name="_Toc32767"/>
      <w:bookmarkStart w:id="438" w:name="_Toc7031"/>
      <w:r>
        <w:rPr>
          <w:rFonts w:hint="eastAsia"/>
          <w:color w:val="auto"/>
          <w:highlight w:val="none"/>
        </w:rPr>
        <w:t>5.2.</w:t>
      </w:r>
      <w:r>
        <w:rPr>
          <w:rFonts w:hint="eastAsia"/>
          <w:color w:val="auto"/>
          <w:highlight w:val="none"/>
          <w:lang w:val="en-US" w:eastAsia="zh-CN"/>
        </w:rPr>
        <w:t>4</w:t>
      </w:r>
      <w:r>
        <w:rPr>
          <w:rFonts w:hint="eastAsia"/>
          <w:color w:val="auto"/>
          <w:highlight w:val="none"/>
        </w:rPr>
        <w:t>磋商</w:t>
      </w:r>
      <w:bookmarkEnd w:id="437"/>
      <w:bookmarkEnd w:id="438"/>
    </w:p>
    <w:p>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磋商会议在成都市公共资源交易服务中心“政府采购云平台”进行。磋商会议由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公资交易中心在线主持，供应商代表在线参加。</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磋商小组按照磋商文件的规定与邀请参加磋商的供应商分别进行磋商，磋商顺序由磋商小组确定，磋商通过“政府采购云平台”在线进行。供应商应</w:t>
      </w:r>
      <w:r>
        <w:rPr>
          <w:rFonts w:ascii="宋体" w:hAnsi="宋体"/>
          <w:color w:val="auto"/>
          <w:sz w:val="24"/>
          <w:szCs w:val="24"/>
          <w:highlight w:val="none"/>
        </w:rPr>
        <w:t>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及时参与</w:t>
      </w:r>
      <w:r>
        <w:rPr>
          <w:rFonts w:ascii="宋体" w:hAnsi="宋体"/>
          <w:color w:val="auto"/>
          <w:sz w:val="24"/>
          <w:szCs w:val="24"/>
          <w:highlight w:val="none"/>
        </w:rPr>
        <w:t>在线</w:t>
      </w:r>
      <w:r>
        <w:rPr>
          <w:rFonts w:hint="eastAsia" w:ascii="宋体" w:hAnsi="宋体"/>
          <w:color w:val="auto"/>
          <w:sz w:val="24"/>
          <w:szCs w:val="24"/>
          <w:highlight w:val="none"/>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color w:val="auto"/>
          <w:sz w:val="24"/>
          <w:szCs w:val="24"/>
          <w:highlight w:val="none"/>
        </w:rPr>
        <w:t>。</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磋商小组所有成员集中与单一供应商分别进行一轮或多轮的磋商。在磋商中，磋商的任何一方不得透露与磋商有关的其他供应商的技术资料、价格和其他信息。</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磋商内容为第4章中“技术、服务、商务及其他要求”、第6章“合同草案条款”。其中第4章中加★号的条款为采购项目的</w:t>
      </w:r>
      <w:r>
        <w:rPr>
          <w:rFonts w:hint="eastAsia" w:ascii="宋体" w:hAnsi="宋体" w:cs="宋体"/>
          <w:color w:val="auto"/>
          <w:sz w:val="24"/>
          <w:szCs w:val="24"/>
          <w:highlight w:val="none"/>
        </w:rPr>
        <w:t>实质性</w:t>
      </w:r>
      <w:r>
        <w:rPr>
          <w:rFonts w:ascii="宋体" w:hAnsi="宋体" w:cs="宋体"/>
          <w:color w:val="auto"/>
          <w:sz w:val="24"/>
          <w:szCs w:val="24"/>
          <w:highlight w:val="none"/>
        </w:rPr>
        <w:t>响应</w:t>
      </w:r>
      <w:r>
        <w:rPr>
          <w:rFonts w:hint="eastAsia" w:ascii="宋体" w:hAnsi="宋体" w:cs="宋体"/>
          <w:color w:val="auto"/>
          <w:sz w:val="24"/>
          <w:szCs w:val="24"/>
          <w:highlight w:val="none"/>
        </w:rPr>
        <w:t>要求</w:t>
      </w:r>
      <w:r>
        <w:rPr>
          <w:rFonts w:hint="eastAsia" w:ascii="宋体" w:hAnsi="宋体"/>
          <w:color w:val="auto"/>
          <w:sz w:val="24"/>
          <w:szCs w:val="24"/>
          <w:highlight w:val="none"/>
        </w:rPr>
        <w:t>，不允许实质性</w:t>
      </w:r>
      <w:r>
        <w:rPr>
          <w:rFonts w:ascii="宋体" w:hAnsi="宋体"/>
          <w:color w:val="auto"/>
          <w:sz w:val="24"/>
          <w:szCs w:val="24"/>
          <w:highlight w:val="none"/>
        </w:rPr>
        <w:t>变动。</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磋商过程中，磋商小组获得采购人同意（由采购人代表签字确认）后，可以根据磋商文件和磋商情况实质性变动磋商文件中的第4章技术、服务、商务及其他要求、第6章合同草案条款可</w:t>
      </w:r>
      <w:r>
        <w:rPr>
          <w:rFonts w:ascii="宋体" w:hAnsi="宋体"/>
          <w:color w:val="auto"/>
          <w:sz w:val="24"/>
          <w:szCs w:val="24"/>
          <w:highlight w:val="none"/>
        </w:rPr>
        <w:t>实质性变动的内容</w:t>
      </w:r>
      <w:r>
        <w:rPr>
          <w:rFonts w:hint="eastAsia" w:ascii="宋体" w:hAnsi="宋体"/>
          <w:color w:val="auto"/>
          <w:sz w:val="24"/>
          <w:szCs w:val="24"/>
          <w:highlight w:val="none"/>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24"/>
        </w:numPr>
        <w:tabs>
          <w:tab w:val="left" w:pos="1134"/>
        </w:tabs>
        <w:spacing w:after="200" w:line="360" w:lineRule="auto"/>
        <w:ind w:left="0" w:firstLine="480" w:firstLineChars="200"/>
        <w:rPr>
          <w:rFonts w:ascii="宋体" w:hAnsi="宋体"/>
          <w:b/>
          <w:bCs/>
          <w:color w:val="auto"/>
          <w:sz w:val="24"/>
          <w:szCs w:val="24"/>
          <w:highlight w:val="none"/>
        </w:rPr>
      </w:pPr>
      <w:r>
        <w:rPr>
          <w:rFonts w:hint="eastAsia" w:ascii="宋体" w:hAnsi="宋体"/>
          <w:color w:val="auto"/>
          <w:sz w:val="24"/>
          <w:szCs w:val="24"/>
          <w:highlight w:val="none"/>
        </w:rPr>
        <w:t>磋商过程中，磋商的任何一方不得透露与磋商有关的其他供应商的技术资料、价格和其他信息。</w:t>
      </w:r>
    </w:p>
    <w:p>
      <w:pPr>
        <w:numPr>
          <w:ilvl w:val="1"/>
          <w:numId w:val="24"/>
        </w:numPr>
        <w:tabs>
          <w:tab w:val="left" w:pos="1134"/>
        </w:tabs>
        <w:spacing w:after="200"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磋商过程中，磋商小组发现或者知晓供应商存在违法行为的，应当在评审报告中予以记录，并向财政部门报告，依法应将该供应商响应文件作无效处理的，应当作无效处理。</w:t>
      </w:r>
    </w:p>
    <w:p>
      <w:pPr>
        <w:pStyle w:val="5"/>
        <w:numPr>
          <w:ilvl w:val="0"/>
          <w:numId w:val="0"/>
        </w:numPr>
        <w:rPr>
          <w:color w:val="auto"/>
          <w:highlight w:val="none"/>
        </w:rPr>
      </w:pPr>
      <w:bookmarkStart w:id="439" w:name="_Toc15432"/>
      <w:bookmarkStart w:id="440" w:name="_Toc29654"/>
      <w:r>
        <w:rPr>
          <w:rFonts w:hint="eastAsia"/>
          <w:color w:val="auto"/>
          <w:highlight w:val="none"/>
        </w:rPr>
        <w:t>5.2.</w:t>
      </w:r>
      <w:r>
        <w:rPr>
          <w:rFonts w:hint="eastAsia"/>
          <w:color w:val="auto"/>
          <w:highlight w:val="none"/>
          <w:lang w:val="en-US" w:eastAsia="zh-CN"/>
        </w:rPr>
        <w:t>5</w:t>
      </w:r>
      <w:r>
        <w:rPr>
          <w:rFonts w:hint="eastAsia"/>
          <w:color w:val="auto"/>
          <w:highlight w:val="none"/>
        </w:rPr>
        <w:t>最后报价审查</w:t>
      </w:r>
      <w:bookmarkEnd w:id="439"/>
      <w:bookmarkEnd w:id="440"/>
    </w:p>
    <w:p>
      <w:pPr>
        <w:widowControl/>
        <w:numPr>
          <w:ilvl w:val="0"/>
          <w:numId w:val="25"/>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磋商结束</w:t>
      </w:r>
      <w:r>
        <w:rPr>
          <w:rFonts w:ascii="宋体" w:hAnsi="宋体"/>
          <w:color w:val="auto"/>
          <w:sz w:val="24"/>
          <w:szCs w:val="24"/>
          <w:highlight w:val="none"/>
        </w:rPr>
        <w:t>后，</w:t>
      </w:r>
      <w:r>
        <w:rPr>
          <w:rFonts w:hint="eastAsia" w:ascii="宋体" w:hAnsi="宋体"/>
          <w:color w:val="auto"/>
          <w:sz w:val="24"/>
          <w:szCs w:val="24"/>
          <w:highlight w:val="none"/>
        </w:rPr>
        <w:t>磋商小组应当要求所有实质性响应的供应商在规定时间内进行最后报价。磋商小组</w:t>
      </w:r>
      <w:r>
        <w:rPr>
          <w:rFonts w:ascii="宋体" w:hAnsi="宋体"/>
          <w:color w:val="auto"/>
          <w:sz w:val="24"/>
          <w:szCs w:val="24"/>
          <w:highlight w:val="none"/>
        </w:rPr>
        <w:t>开启报价后，供应商应随时关注“</w:t>
      </w:r>
      <w:r>
        <w:rPr>
          <w:rFonts w:hint="eastAsia" w:ascii="宋体" w:hAnsi="宋体"/>
          <w:color w:val="auto"/>
          <w:sz w:val="24"/>
          <w:szCs w:val="24"/>
          <w:highlight w:val="none"/>
        </w:rPr>
        <w:t>政府</w:t>
      </w:r>
      <w:r>
        <w:rPr>
          <w:rFonts w:ascii="宋体" w:hAnsi="宋体"/>
          <w:color w:val="auto"/>
          <w:sz w:val="24"/>
          <w:szCs w:val="24"/>
          <w:highlight w:val="none"/>
        </w:rPr>
        <w:t>采购</w:t>
      </w:r>
      <w:r>
        <w:rPr>
          <w:rFonts w:hint="eastAsia" w:ascii="宋体" w:hAnsi="宋体"/>
          <w:color w:val="auto"/>
          <w:sz w:val="24"/>
          <w:szCs w:val="24"/>
          <w:highlight w:val="none"/>
        </w:rPr>
        <w:t>云</w:t>
      </w:r>
      <w:r>
        <w:rPr>
          <w:rFonts w:ascii="宋体" w:hAnsi="宋体"/>
          <w:color w:val="auto"/>
          <w:sz w:val="24"/>
          <w:szCs w:val="24"/>
          <w:highlight w:val="none"/>
        </w:rPr>
        <w:t>平台”</w:t>
      </w:r>
      <w:r>
        <w:rPr>
          <w:rFonts w:hint="eastAsia" w:ascii="宋体" w:hAnsi="宋体"/>
          <w:color w:val="auto"/>
          <w:sz w:val="24"/>
          <w:szCs w:val="24"/>
          <w:highlight w:val="none"/>
        </w:rPr>
        <w:t>站内信息或</w:t>
      </w:r>
      <w:r>
        <w:rPr>
          <w:rFonts w:ascii="宋体" w:hAnsi="宋体"/>
          <w:color w:val="auto"/>
          <w:sz w:val="24"/>
          <w:szCs w:val="24"/>
          <w:highlight w:val="none"/>
        </w:rPr>
        <w:t>短信提醒，</w:t>
      </w:r>
      <w:r>
        <w:rPr>
          <w:rFonts w:hint="eastAsia" w:ascii="宋体" w:hAnsi="宋体"/>
          <w:color w:val="auto"/>
          <w:sz w:val="24"/>
          <w:szCs w:val="24"/>
          <w:highlight w:val="none"/>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color w:val="auto"/>
          <w:sz w:val="24"/>
          <w:szCs w:val="24"/>
          <w:highlight w:val="none"/>
        </w:rPr>
        <w:t>并</w:t>
      </w:r>
      <w:r>
        <w:rPr>
          <w:rFonts w:hint="eastAsia" w:ascii="宋体" w:hAnsi="宋体"/>
          <w:color w:val="auto"/>
          <w:sz w:val="24"/>
          <w:szCs w:val="24"/>
          <w:highlight w:val="none"/>
        </w:rPr>
        <w:t>签章</w:t>
      </w:r>
      <w:r>
        <w:rPr>
          <w:rFonts w:ascii="宋体" w:hAnsi="宋体"/>
          <w:color w:val="auto"/>
          <w:sz w:val="24"/>
          <w:szCs w:val="24"/>
          <w:highlight w:val="none"/>
        </w:rPr>
        <w:t>后</w:t>
      </w:r>
      <w:r>
        <w:rPr>
          <w:rFonts w:hint="eastAsia" w:ascii="宋体" w:hAnsi="宋体"/>
          <w:color w:val="auto"/>
          <w:sz w:val="24"/>
          <w:szCs w:val="24"/>
          <w:highlight w:val="none"/>
        </w:rPr>
        <w:t>递交。报价</w:t>
      </w:r>
      <w:r>
        <w:rPr>
          <w:rFonts w:ascii="宋体" w:hAnsi="宋体"/>
          <w:color w:val="auto"/>
          <w:sz w:val="24"/>
          <w:szCs w:val="24"/>
          <w:highlight w:val="none"/>
        </w:rPr>
        <w:t>时间截止后，系统</w:t>
      </w:r>
      <w:r>
        <w:rPr>
          <w:rFonts w:hint="eastAsia" w:ascii="宋体" w:hAnsi="宋体"/>
          <w:color w:val="auto"/>
          <w:sz w:val="24"/>
          <w:szCs w:val="24"/>
          <w:highlight w:val="none"/>
        </w:rPr>
        <w:t>统一</w:t>
      </w:r>
      <w:r>
        <w:rPr>
          <w:rFonts w:ascii="宋体" w:hAnsi="宋体"/>
          <w:color w:val="auto"/>
          <w:sz w:val="24"/>
          <w:szCs w:val="24"/>
          <w:highlight w:val="none"/>
        </w:rPr>
        <w:t>公布报价。</w:t>
      </w:r>
      <w:r>
        <w:rPr>
          <w:rFonts w:hint="eastAsia" w:ascii="宋体" w:hAnsi="宋体"/>
          <w:color w:val="auto"/>
          <w:sz w:val="24"/>
          <w:szCs w:val="24"/>
          <w:highlight w:val="none"/>
        </w:rPr>
        <w:t>提示：供应商未按时登录不见面开标系统，未在报价</w:t>
      </w:r>
      <w:r>
        <w:rPr>
          <w:rFonts w:ascii="宋体" w:hAnsi="宋体"/>
          <w:color w:val="auto"/>
          <w:sz w:val="24"/>
          <w:szCs w:val="24"/>
          <w:highlight w:val="none"/>
        </w:rPr>
        <w:t>截止时间内</w:t>
      </w:r>
      <w:r>
        <w:rPr>
          <w:rFonts w:hint="eastAsia" w:ascii="宋体" w:hAnsi="宋体"/>
          <w:color w:val="auto"/>
          <w:sz w:val="24"/>
          <w:szCs w:val="24"/>
          <w:highlight w:val="none"/>
        </w:rPr>
        <w:t>递交</w:t>
      </w:r>
      <w:r>
        <w:rPr>
          <w:rFonts w:ascii="宋体" w:hAnsi="宋体"/>
          <w:color w:val="auto"/>
          <w:sz w:val="24"/>
          <w:szCs w:val="24"/>
          <w:highlight w:val="none"/>
        </w:rPr>
        <w:t>报价</w:t>
      </w:r>
      <w:r>
        <w:rPr>
          <w:rFonts w:hint="eastAsia" w:ascii="宋体" w:hAnsi="宋体"/>
          <w:color w:val="auto"/>
          <w:sz w:val="24"/>
          <w:szCs w:val="24"/>
          <w:highlight w:val="none"/>
        </w:rPr>
        <w:t>或未按要求进行报价的，</w:t>
      </w:r>
      <w:r>
        <w:rPr>
          <w:rFonts w:ascii="宋体" w:hAnsi="宋体"/>
          <w:color w:val="auto"/>
          <w:sz w:val="24"/>
          <w:szCs w:val="24"/>
          <w:highlight w:val="none"/>
        </w:rPr>
        <w:t>视为供应商</w:t>
      </w:r>
      <w:r>
        <w:rPr>
          <w:rFonts w:hint="eastAsia" w:ascii="宋体" w:hAnsi="宋体"/>
          <w:color w:val="auto"/>
          <w:sz w:val="24"/>
          <w:szCs w:val="24"/>
          <w:highlight w:val="none"/>
        </w:rPr>
        <w:t>响应文件无效，由供应商自行承担不利后果。</w:t>
      </w:r>
    </w:p>
    <w:p>
      <w:pPr>
        <w:widowControl/>
        <w:numPr>
          <w:ilvl w:val="0"/>
          <w:numId w:val="25"/>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已提交响应文件的供应商，在提交最后报价之前，可以根据磋商情况退出磋商。</w:t>
      </w:r>
    </w:p>
    <w:p>
      <w:pPr>
        <w:widowControl/>
        <w:numPr>
          <w:ilvl w:val="0"/>
          <w:numId w:val="25"/>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供应商未按磋商小组要求在规定时间内提交最后报价的，视为其退出磋商。</w:t>
      </w:r>
    </w:p>
    <w:p>
      <w:pPr>
        <w:widowControl/>
        <w:numPr>
          <w:ilvl w:val="0"/>
          <w:numId w:val="25"/>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最后报价一旦递交后，供应商不得以任何理由撤回。</w:t>
      </w:r>
    </w:p>
    <w:p>
      <w:pPr>
        <w:widowControl/>
        <w:numPr>
          <w:ilvl w:val="0"/>
          <w:numId w:val="25"/>
        </w:numPr>
        <w:tabs>
          <w:tab w:val="left" w:pos="1134"/>
        </w:tabs>
        <w:snapToGrid w:val="0"/>
        <w:spacing w:after="200" w:line="360" w:lineRule="auto"/>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最后报价为有效报价应符合下列条件：</w:t>
      </w:r>
    </w:p>
    <w:p>
      <w:pPr>
        <w:widowControl/>
        <w:numPr>
          <w:ilvl w:val="0"/>
          <w:numId w:val="26"/>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供应商所提供的最后报价是在规定的时间内提交。</w:t>
      </w:r>
    </w:p>
    <w:p>
      <w:pPr>
        <w:widowControl/>
        <w:numPr>
          <w:ilvl w:val="0"/>
          <w:numId w:val="26"/>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供应商的最后报价应加盖供应商（法定名称）电子签章。</w:t>
      </w:r>
    </w:p>
    <w:p>
      <w:pPr>
        <w:widowControl/>
        <w:numPr>
          <w:ilvl w:val="0"/>
          <w:numId w:val="26"/>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供应商的最后报价符合磋商文件的要求。</w:t>
      </w:r>
    </w:p>
    <w:p>
      <w:pPr>
        <w:widowControl/>
        <w:numPr>
          <w:ilvl w:val="0"/>
          <w:numId w:val="26"/>
        </w:numPr>
        <w:tabs>
          <w:tab w:val="left" w:pos="-2127"/>
          <w:tab w:val="left" w:pos="1134"/>
        </w:tabs>
        <w:snapToGrid w:val="0"/>
        <w:spacing w:after="200" w:line="360" w:lineRule="auto"/>
        <w:ind w:left="0" w:firstLine="557"/>
        <w:rPr>
          <w:rFonts w:ascii="宋体" w:hAnsi="宋体" w:cs="宋体"/>
          <w:color w:val="auto"/>
          <w:sz w:val="24"/>
          <w:szCs w:val="24"/>
          <w:highlight w:val="none"/>
        </w:rPr>
      </w:pPr>
      <w:r>
        <w:rPr>
          <w:rFonts w:hint="eastAsia" w:ascii="宋体" w:hAnsi="宋体" w:cs="宋体"/>
          <w:color w:val="auto"/>
          <w:sz w:val="24"/>
          <w:szCs w:val="24"/>
          <w:highlight w:val="none"/>
        </w:rPr>
        <w:t>最后报价唯一，且不高于最高限价。</w:t>
      </w:r>
    </w:p>
    <w:p>
      <w:pPr>
        <w:pStyle w:val="237"/>
        <w:numPr>
          <w:ilvl w:val="0"/>
          <w:numId w:val="25"/>
        </w:numPr>
        <w:ind w:left="0" w:firstLine="568"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在未提高响应文件中承诺的服务质量的情况下，最后报价不高于技术、服务性响应文件中的报价，否则，磋商小组应当对其响应文件按无效处理。</w:t>
      </w:r>
    </w:p>
    <w:p>
      <w:pPr>
        <w:widowControl/>
        <w:numPr>
          <w:ilvl w:val="0"/>
          <w:numId w:val="25"/>
        </w:numPr>
        <w:tabs>
          <w:tab w:val="left" w:pos="-2127"/>
          <w:tab w:val="left" w:pos="1134"/>
        </w:tabs>
        <w:snapToGrid w:val="0"/>
        <w:spacing w:line="620" w:lineRule="exact"/>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最后报价出现下列情况的，不需要供应商澄清，按以下原则处理：</w:t>
      </w:r>
    </w:p>
    <w:p>
      <w:pPr>
        <w:pStyle w:val="319"/>
        <w:numPr>
          <w:ilvl w:val="0"/>
          <w:numId w:val="27"/>
        </w:numPr>
        <w:tabs>
          <w:tab w:val="left" w:pos="1134"/>
          <w:tab w:val="clear" w:pos="846"/>
        </w:tabs>
        <w:snapToGrid w:val="0"/>
        <w:spacing w:line="620" w:lineRule="exact"/>
        <w:ind w:left="0" w:firstLine="567"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最后报价中的大写金额和小写金额不一致的，以大写金额为准，但大写金额出现文字错误，导致金额无法判断的除外；</w:t>
      </w:r>
    </w:p>
    <w:p>
      <w:pPr>
        <w:pStyle w:val="319"/>
        <w:numPr>
          <w:ilvl w:val="0"/>
          <w:numId w:val="27"/>
        </w:numPr>
        <w:tabs>
          <w:tab w:val="left" w:pos="1134"/>
          <w:tab w:val="clear" w:pos="846"/>
        </w:tabs>
        <w:snapToGrid w:val="0"/>
        <w:spacing w:line="620" w:lineRule="exact"/>
        <w:ind w:left="0" w:firstLine="525"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单价金额小数点或者百分比有明显错位的，应以总价为准，并修改单价；</w:t>
      </w:r>
    </w:p>
    <w:p>
      <w:pPr>
        <w:pStyle w:val="319"/>
        <w:numPr>
          <w:ilvl w:val="0"/>
          <w:numId w:val="27"/>
        </w:numPr>
        <w:tabs>
          <w:tab w:val="left" w:pos="1134"/>
          <w:tab w:val="clear" w:pos="846"/>
        </w:tabs>
        <w:snapToGrid w:val="0"/>
        <w:spacing w:line="620" w:lineRule="exact"/>
        <w:ind w:left="0" w:firstLine="525"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总价金额与按单价汇总金额不一致的，以单价汇总金额计算结果为准；</w:t>
      </w:r>
    </w:p>
    <w:p>
      <w:pPr>
        <w:snapToGrid w:val="0"/>
        <w:spacing w:line="620" w:lineRule="exact"/>
        <w:ind w:firstLine="480" w:firstLineChars="200"/>
        <w:rPr>
          <w:color w:val="auto"/>
          <w:sz w:val="24"/>
          <w:szCs w:val="24"/>
          <w:highlight w:val="none"/>
        </w:rPr>
      </w:pPr>
      <w:r>
        <w:rPr>
          <w:rFonts w:hint="eastAsia" w:cs="Arial"/>
          <w:color w:val="auto"/>
          <w:sz w:val="24"/>
          <w:szCs w:val="24"/>
          <w:highlight w:val="none"/>
        </w:rPr>
        <w:t>同时出现两种以上不一致的，按照前款规定的顺序修正。修正后的</w:t>
      </w:r>
      <w:r>
        <w:rPr>
          <w:rFonts w:hint="eastAsia" w:ascii="宋体" w:hAnsi="宋体"/>
          <w:color w:val="auto"/>
          <w:sz w:val="24"/>
          <w:szCs w:val="24"/>
          <w:highlight w:val="none"/>
        </w:rPr>
        <w:t>最后</w:t>
      </w:r>
      <w:r>
        <w:rPr>
          <w:rFonts w:hint="eastAsia" w:cs="Arial"/>
          <w:color w:val="auto"/>
          <w:sz w:val="24"/>
          <w:szCs w:val="24"/>
          <w:highlight w:val="none"/>
        </w:rPr>
        <w:t>报价经加盖供应商（法定名称）电子签章后产生约束力，供应商不确认的，其</w:t>
      </w:r>
      <w:r>
        <w:rPr>
          <w:rFonts w:hint="eastAsia" w:ascii="宋体" w:hAnsi="宋体"/>
          <w:color w:val="auto"/>
          <w:sz w:val="24"/>
          <w:szCs w:val="24"/>
          <w:highlight w:val="none"/>
        </w:rPr>
        <w:t>最后</w:t>
      </w:r>
      <w:r>
        <w:rPr>
          <w:rFonts w:hint="eastAsia" w:cs="Arial"/>
          <w:color w:val="auto"/>
          <w:sz w:val="24"/>
          <w:szCs w:val="24"/>
          <w:highlight w:val="none"/>
        </w:rPr>
        <w:t>报价无效。</w:t>
      </w:r>
    </w:p>
    <w:p>
      <w:pPr>
        <w:pStyle w:val="2"/>
        <w:ind w:firstLine="484" w:firstLineChars="202"/>
        <w:rPr>
          <w:rFonts w:ascii="宋体" w:hAnsi="宋体"/>
          <w:color w:val="auto"/>
          <w:sz w:val="24"/>
          <w:szCs w:val="24"/>
          <w:highlight w:val="none"/>
        </w:rPr>
      </w:pPr>
      <w:r>
        <w:rPr>
          <w:rFonts w:hint="eastAsia" w:ascii="宋体" w:hAnsi="宋体"/>
          <w:color w:val="auto"/>
          <w:sz w:val="24"/>
          <w:szCs w:val="24"/>
          <w:highlight w:val="none"/>
        </w:rPr>
        <w:t>对不同语言文本响应文件的解释发生异议的，以中文文本为准。</w:t>
      </w:r>
    </w:p>
    <w:p>
      <w:pPr>
        <w:widowControl/>
        <w:numPr>
          <w:ilvl w:val="0"/>
          <w:numId w:val="25"/>
        </w:numPr>
        <w:tabs>
          <w:tab w:val="left" w:pos="-2127"/>
          <w:tab w:val="left" w:pos="1134"/>
        </w:tabs>
        <w:snapToGrid w:val="0"/>
        <w:spacing w:line="620" w:lineRule="exact"/>
        <w:ind w:left="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有效最后报价的供应商不足</w:t>
      </w:r>
      <w:r>
        <w:rPr>
          <w:rFonts w:hint="eastAsia"/>
          <w:color w:val="auto"/>
          <w:sz w:val="24"/>
          <w:szCs w:val="24"/>
          <w:highlight w:val="none"/>
          <w:lang w:eastAsia="zh-CN"/>
        </w:rPr>
        <w:t>三</w:t>
      </w:r>
      <w:r>
        <w:rPr>
          <w:rFonts w:hint="eastAsia" w:ascii="宋体" w:hAnsi="宋体"/>
          <w:color w:val="auto"/>
          <w:sz w:val="24"/>
          <w:szCs w:val="24"/>
          <w:highlight w:val="none"/>
        </w:rPr>
        <w:t>家的，采购失败。</w:t>
      </w:r>
    </w:p>
    <w:p>
      <w:pPr>
        <w:pStyle w:val="5"/>
        <w:numPr>
          <w:ilvl w:val="0"/>
          <w:numId w:val="0"/>
        </w:numPr>
        <w:rPr>
          <w:color w:val="auto"/>
          <w:highlight w:val="none"/>
        </w:rPr>
      </w:pPr>
      <w:bookmarkStart w:id="441" w:name="_Toc16894"/>
      <w:bookmarkStart w:id="442" w:name="_Toc23446"/>
      <w:r>
        <w:rPr>
          <w:rFonts w:hint="eastAsia"/>
          <w:color w:val="auto"/>
          <w:highlight w:val="none"/>
        </w:rPr>
        <w:t>5.2.</w:t>
      </w:r>
      <w:r>
        <w:rPr>
          <w:rFonts w:hint="eastAsia"/>
          <w:color w:val="auto"/>
          <w:highlight w:val="none"/>
          <w:lang w:val="en-US" w:eastAsia="zh-CN"/>
        </w:rPr>
        <w:t>6</w:t>
      </w:r>
      <w:r>
        <w:rPr>
          <w:rFonts w:hint="eastAsia"/>
          <w:color w:val="auto"/>
          <w:highlight w:val="none"/>
        </w:rPr>
        <w:t>解释、澄清、说明的有关问题</w:t>
      </w:r>
      <w:bookmarkEnd w:id="441"/>
      <w:bookmarkEnd w:id="442"/>
    </w:p>
    <w:p>
      <w:pPr>
        <w:numPr>
          <w:ilvl w:val="0"/>
          <w:numId w:val="28"/>
        </w:numPr>
        <w:tabs>
          <w:tab w:val="left" w:pos="1134"/>
        </w:tabs>
        <w:spacing w:after="200"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评审过程中，磋商小组认为磋商文件有关事项表述不明确或需要说明的，可以提请</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公资交易中心书面解释。</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公资交易中心的解释不得改变磋商文件的原义或者影响公平、公正，解释事项如果涉及供应商权益的以有利于供应商的原则进行解释。</w:t>
      </w:r>
    </w:p>
    <w:p>
      <w:pPr>
        <w:numPr>
          <w:ilvl w:val="0"/>
          <w:numId w:val="28"/>
        </w:numPr>
        <w:tabs>
          <w:tab w:val="left" w:pos="1134"/>
        </w:tabs>
        <w:spacing w:after="200"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360" w:lineRule="auto"/>
        <w:ind w:firstLine="482" w:firstLineChars="200"/>
        <w:rPr>
          <w:rFonts w:ascii="宋体" w:hAnsi="宋体"/>
          <w:b/>
          <w:color w:val="auto"/>
          <w:sz w:val="28"/>
          <w:szCs w:val="28"/>
          <w:highlight w:val="none"/>
        </w:rPr>
      </w:pPr>
      <w:r>
        <w:rPr>
          <w:rFonts w:hint="eastAsia" w:ascii="宋体" w:hAnsi="宋体"/>
          <w:b/>
          <w:color w:val="auto"/>
          <w:sz w:val="24"/>
          <w:szCs w:val="24"/>
          <w:highlight w:val="none"/>
        </w:rPr>
        <w:t>磋商小组应当积极履行澄清、说明或者更正的职责，不得滥用权力。</w:t>
      </w:r>
    </w:p>
    <w:p>
      <w:pPr>
        <w:pStyle w:val="5"/>
        <w:numPr>
          <w:ilvl w:val="0"/>
          <w:numId w:val="0"/>
        </w:numPr>
        <w:rPr>
          <w:color w:val="auto"/>
          <w:highlight w:val="none"/>
        </w:rPr>
      </w:pPr>
      <w:bookmarkStart w:id="443" w:name="_Toc7406"/>
      <w:bookmarkStart w:id="444" w:name="_Toc11477"/>
      <w:r>
        <w:rPr>
          <w:rFonts w:hint="eastAsia"/>
          <w:color w:val="auto"/>
          <w:highlight w:val="none"/>
        </w:rPr>
        <w:t>5.2.</w:t>
      </w:r>
      <w:r>
        <w:rPr>
          <w:rFonts w:hint="eastAsia"/>
          <w:color w:val="auto"/>
          <w:highlight w:val="none"/>
          <w:lang w:val="en-US" w:eastAsia="zh-CN"/>
        </w:rPr>
        <w:t>7</w:t>
      </w:r>
      <w:r>
        <w:rPr>
          <w:color w:val="auto"/>
          <w:highlight w:val="none"/>
        </w:rPr>
        <w:t>复核</w:t>
      </w:r>
      <w:bookmarkEnd w:id="443"/>
      <w:bookmarkEnd w:id="44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评审结束后，磋商小组应当进行复核，特别要对拟推荐为成交候选供应商的、报价最低的、响应文件被认定为无效的进行重点复核。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评审结果汇总完成后，磋商小组拟出具评审报告前，</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公资交易中心应当组织2名以上的工作人员，在采购现场监督人员的监督之下，依据有关的法律制度和采购文件对评审结果进行复核，出具复核报告。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评审结果汇总完成后，除下列情形外，任何人不得修改评审结果：</w:t>
      </w:r>
    </w:p>
    <w:p>
      <w:pPr>
        <w:pStyle w:val="237"/>
        <w:widowControl/>
        <w:numPr>
          <w:ilvl w:val="0"/>
          <w:numId w:val="29"/>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资格性认定错误；</w:t>
      </w:r>
    </w:p>
    <w:p>
      <w:pPr>
        <w:pStyle w:val="237"/>
        <w:widowControl/>
        <w:numPr>
          <w:ilvl w:val="0"/>
          <w:numId w:val="29"/>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分值汇总计算错误的；</w:t>
      </w:r>
    </w:p>
    <w:p>
      <w:pPr>
        <w:pStyle w:val="237"/>
        <w:widowControl/>
        <w:numPr>
          <w:ilvl w:val="0"/>
          <w:numId w:val="29"/>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分项评分超出评分标准范围的；</w:t>
      </w:r>
    </w:p>
    <w:p>
      <w:pPr>
        <w:pStyle w:val="237"/>
        <w:widowControl/>
        <w:numPr>
          <w:ilvl w:val="0"/>
          <w:numId w:val="29"/>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磋商小组成员对客观评审因素评分不一致的；</w:t>
      </w:r>
    </w:p>
    <w:p>
      <w:pPr>
        <w:pStyle w:val="237"/>
        <w:widowControl/>
        <w:numPr>
          <w:ilvl w:val="0"/>
          <w:numId w:val="29"/>
        </w:numPr>
        <w:tabs>
          <w:tab w:val="left" w:pos="1418"/>
        </w:tabs>
        <w:spacing w:after="200" w:line="360" w:lineRule="auto"/>
        <w:ind w:left="0" w:firstLine="48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经磋商小组认定评分畸高、畸低的。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存在本条上述情形的，由磋商小组自主决定是否采纳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公资交易中心的书面建议，并承担独立评审责任。磋商小组采纳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公资交易中心书面建议的，应当按照规定现场修改评审结果或者重新评审，并在磋商报告中详细记载有关事宜；不采纳</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公资交易中心书面建议的，应当书面说明理由。</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公资交易中心书面建议未被磋商小组采纳的，应当按照规定程序要求继续组织实施采购活动，不得擅自中止采购活动。</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公资交易中心认为磋商小组评审结果不合法的，应当书面报告采购项目同级财政部门。</w:t>
      </w:r>
    </w:p>
    <w:p>
      <w:pPr>
        <w:tabs>
          <w:tab w:val="left" w:pos="851"/>
        </w:tabs>
        <w:spacing w:line="360" w:lineRule="auto"/>
        <w:ind w:firstLine="480" w:firstLineChars="200"/>
        <w:rPr>
          <w:rFonts w:ascii="宋体" w:hAnsi="宋体"/>
          <w:color w:val="auto"/>
          <w:sz w:val="28"/>
          <w:szCs w:val="28"/>
          <w:highlight w:val="none"/>
        </w:rPr>
      </w:pP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公资交易中心复核过程中，磋商小组成员不得离开评审现场。</w:t>
      </w:r>
    </w:p>
    <w:p>
      <w:pPr>
        <w:pStyle w:val="5"/>
        <w:numPr>
          <w:ilvl w:val="0"/>
          <w:numId w:val="0"/>
        </w:numPr>
        <w:rPr>
          <w:rFonts w:hint="eastAsia"/>
          <w:color w:val="auto"/>
          <w:highlight w:val="none"/>
        </w:rPr>
      </w:pPr>
      <w:bookmarkStart w:id="445" w:name="_Toc20046"/>
      <w:bookmarkStart w:id="446" w:name="_Toc13466"/>
      <w:r>
        <w:rPr>
          <w:rFonts w:hint="eastAsia"/>
          <w:color w:val="auto"/>
          <w:highlight w:val="none"/>
        </w:rPr>
        <w:t>5.2.</w:t>
      </w:r>
      <w:bookmarkStart w:id="447" w:name="_Toc73622795"/>
      <w:bookmarkStart w:id="448" w:name="_Toc63084330"/>
      <w:bookmarkStart w:id="449" w:name="_Toc63437916"/>
      <w:r>
        <w:rPr>
          <w:rFonts w:hint="eastAsia"/>
          <w:color w:val="auto"/>
          <w:highlight w:val="none"/>
          <w:lang w:val="en-US" w:eastAsia="zh-CN"/>
        </w:rPr>
        <w:t>8</w:t>
      </w:r>
      <w:r>
        <w:rPr>
          <w:rFonts w:hint="eastAsia"/>
          <w:color w:val="auto"/>
          <w:highlight w:val="none"/>
        </w:rPr>
        <w:t>推荐成交候选供应商</w:t>
      </w:r>
      <w:bookmarkEnd w:id="445"/>
      <w:bookmarkEnd w:id="446"/>
      <w:bookmarkEnd w:id="447"/>
      <w:bookmarkEnd w:id="448"/>
      <w:bookmarkEnd w:id="449"/>
    </w:p>
    <w:p>
      <w:pPr>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磋商小组应当根据综合评分情况，按照评审得分由高到低顺序推荐</w:t>
      </w:r>
      <w:r>
        <w:rPr>
          <w:rFonts w:hint="eastAsia"/>
          <w:color w:val="auto"/>
          <w:sz w:val="24"/>
          <w:szCs w:val="24"/>
          <w:highlight w:val="none"/>
          <w:lang w:val="en-US" w:eastAsia="zh-CN"/>
        </w:rPr>
        <w:t>1-3</w:t>
      </w:r>
      <w:r>
        <w:rPr>
          <w:rFonts w:hint="eastAsia" w:ascii="宋体" w:hAnsi="宋体"/>
          <w:color w:val="auto"/>
          <w:sz w:val="24"/>
          <w:szCs w:val="24"/>
          <w:highlight w:val="none"/>
        </w:rPr>
        <w:t>名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由采购人随机抽签确定成交供应商。</w:t>
      </w:r>
    </w:p>
    <w:p>
      <w:pPr>
        <w:pStyle w:val="5"/>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bookmarkStart w:id="450" w:name="_Toc30456"/>
      <w:bookmarkStart w:id="451" w:name="_Toc565"/>
      <w:bookmarkStart w:id="452" w:name="_Toc8990"/>
      <w:bookmarkStart w:id="453" w:name="_Toc23585"/>
      <w:bookmarkStart w:id="454" w:name="_Toc26218"/>
      <w:bookmarkStart w:id="455" w:name="_Toc18959"/>
      <w:r>
        <w:rPr>
          <w:rFonts w:hint="eastAsia" w:ascii="宋体" w:hAnsi="宋体" w:eastAsia="宋体" w:cs="宋体"/>
          <w:b w:val="0"/>
          <w:bCs w:val="0"/>
          <w:color w:val="auto"/>
          <w:kern w:val="2"/>
          <w:sz w:val="24"/>
          <w:szCs w:val="24"/>
          <w:highlight w:val="none"/>
          <w:lang w:val="en-US" w:eastAsia="zh-CN" w:bidi="ar-SA"/>
        </w:rPr>
        <w:t>提供核心产品品牌相同且通过资格检查和符合性检查的不同供应商参加同一项目磋商的，按一家供应商计算，评审后得分最高的供应商获得成交候选人推荐资格；评审得分相同的，报价最低的供应商获得成交候选人推荐资格；评审得分相同且报价相同的，由磋商小组采取随机抽取的方式确定一名供应商获得成交候选人推荐资格。</w:t>
      </w:r>
      <w:bookmarkEnd w:id="450"/>
      <w:bookmarkEnd w:id="451"/>
      <w:bookmarkEnd w:id="452"/>
      <w:bookmarkEnd w:id="453"/>
      <w:bookmarkEnd w:id="454"/>
      <w:bookmarkEnd w:id="455"/>
    </w:p>
    <w:p>
      <w:pPr>
        <w:pStyle w:val="5"/>
        <w:numPr>
          <w:ilvl w:val="0"/>
          <w:numId w:val="0"/>
        </w:numPr>
        <w:rPr>
          <w:rFonts w:hint="eastAsia"/>
          <w:color w:val="auto"/>
          <w:highlight w:val="none"/>
          <w:lang w:val="en-US" w:eastAsia="zh-CN"/>
        </w:rPr>
      </w:pPr>
      <w:bookmarkStart w:id="456" w:name="_Toc21950"/>
      <w:bookmarkStart w:id="457" w:name="_Toc12915"/>
      <w:r>
        <w:rPr>
          <w:rFonts w:hint="eastAsia"/>
          <w:color w:val="auto"/>
          <w:highlight w:val="none"/>
          <w:lang w:val="en-US" w:eastAsia="zh-CN"/>
        </w:rPr>
        <w:t>5.2.9编写评审报告</w:t>
      </w:r>
      <w:bookmarkEnd w:id="456"/>
      <w:bookmarkEnd w:id="45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评审报告是磋商小组根据全体成员签字的原始评审记录和评审结果编写的报告，其主要内容包括：</w:t>
      </w:r>
    </w:p>
    <w:p>
      <w:pPr>
        <w:pStyle w:val="237"/>
        <w:widowControl/>
        <w:numPr>
          <w:ilvl w:val="0"/>
          <w:numId w:val="30"/>
        </w:numPr>
        <w:tabs>
          <w:tab w:val="left" w:pos="1134"/>
        </w:tabs>
        <w:spacing w:after="200"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邀请供应商参加采购活动的具体方式和相关情况；</w:t>
      </w:r>
    </w:p>
    <w:p>
      <w:pPr>
        <w:pStyle w:val="237"/>
        <w:widowControl/>
        <w:numPr>
          <w:ilvl w:val="0"/>
          <w:numId w:val="30"/>
        </w:numPr>
        <w:tabs>
          <w:tab w:val="left" w:pos="1134"/>
        </w:tabs>
        <w:spacing w:after="200"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响应文件开启日期和地点；</w:t>
      </w:r>
    </w:p>
    <w:p>
      <w:pPr>
        <w:pStyle w:val="237"/>
        <w:widowControl/>
        <w:numPr>
          <w:ilvl w:val="0"/>
          <w:numId w:val="30"/>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获取磋商文件的供应商名单和磋商小组成员名单；</w:t>
      </w:r>
    </w:p>
    <w:p>
      <w:pPr>
        <w:pStyle w:val="237"/>
        <w:widowControl/>
        <w:numPr>
          <w:ilvl w:val="0"/>
          <w:numId w:val="30"/>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评审情况记录和说明，包括对供应商的资格审查情况、供应商响应文件评审情况、磋商情况、报价情况等；</w:t>
      </w:r>
    </w:p>
    <w:p>
      <w:pPr>
        <w:pStyle w:val="237"/>
        <w:widowControl/>
        <w:numPr>
          <w:ilvl w:val="0"/>
          <w:numId w:val="30"/>
        </w:numPr>
        <w:tabs>
          <w:tab w:val="left" w:pos="1134"/>
        </w:tabs>
        <w:spacing w:after="200" w:line="360" w:lineRule="auto"/>
        <w:ind w:left="0" w:firstLine="560"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提出的成交候选供应商的排序名单及理由。</w:t>
      </w:r>
    </w:p>
    <w:p>
      <w:pPr>
        <w:tabs>
          <w:tab w:val="left" w:pos="1155"/>
        </w:tabs>
        <w:spacing w:line="360" w:lineRule="auto"/>
        <w:ind w:firstLine="448" w:firstLineChars="187"/>
        <w:rPr>
          <w:rFonts w:ascii="宋体" w:hAnsi="宋体"/>
          <w:color w:val="auto"/>
          <w:sz w:val="24"/>
          <w:szCs w:val="24"/>
          <w:highlight w:val="none"/>
        </w:rPr>
      </w:pPr>
      <w:r>
        <w:rPr>
          <w:rFonts w:hint="eastAsia" w:ascii="宋体" w:hAnsi="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4"/>
        <w:numPr>
          <w:ilvl w:val="1"/>
          <w:numId w:val="0"/>
        </w:numPr>
        <w:spacing w:before="0" w:after="200"/>
        <w:ind w:leftChars="0"/>
        <w:rPr>
          <w:color w:val="auto"/>
          <w:highlight w:val="none"/>
        </w:rPr>
      </w:pPr>
      <w:bookmarkStart w:id="458" w:name="_Toc1134"/>
      <w:bookmarkStart w:id="459" w:name="_Toc9428"/>
      <w:r>
        <w:rPr>
          <w:rFonts w:hint="eastAsia"/>
          <w:color w:val="auto"/>
          <w:highlight w:val="none"/>
        </w:rPr>
        <w:t>5.3</w:t>
      </w:r>
      <w:bookmarkStart w:id="460" w:name="_Toc58943347"/>
      <w:bookmarkStart w:id="461" w:name="_Toc77688497"/>
      <w:r>
        <w:rPr>
          <w:rFonts w:hint="eastAsia"/>
          <w:color w:val="auto"/>
          <w:highlight w:val="none"/>
        </w:rPr>
        <w:t>磋商</w:t>
      </w:r>
      <w:r>
        <w:rPr>
          <w:color w:val="auto"/>
          <w:highlight w:val="none"/>
        </w:rPr>
        <w:t>异议</w:t>
      </w:r>
      <w:r>
        <w:rPr>
          <w:rFonts w:hint="eastAsia"/>
          <w:color w:val="auto"/>
          <w:highlight w:val="none"/>
        </w:rPr>
        <w:t>处理</w:t>
      </w:r>
      <w:bookmarkEnd w:id="458"/>
      <w:bookmarkEnd w:id="459"/>
      <w:bookmarkEnd w:id="460"/>
      <w:bookmarkEnd w:id="461"/>
    </w:p>
    <w:p>
      <w:pPr>
        <w:tabs>
          <w:tab w:val="left" w:pos="1155"/>
        </w:tabs>
        <w:spacing w:line="360" w:lineRule="auto"/>
        <w:ind w:firstLine="484" w:firstLineChars="202"/>
        <w:rPr>
          <w:rFonts w:ascii="宋体" w:hAnsi="宋体"/>
          <w:color w:val="auto"/>
          <w:kern w:val="0"/>
          <w:sz w:val="24"/>
          <w:szCs w:val="24"/>
          <w:highlight w:val="none"/>
        </w:rPr>
      </w:pPr>
      <w:r>
        <w:rPr>
          <w:rFonts w:hint="eastAsia" w:ascii="宋体" w:hAnsi="宋体"/>
          <w:color w:val="auto"/>
          <w:kern w:val="0"/>
          <w:sz w:val="24"/>
          <w:szCs w:val="24"/>
          <w:highlight w:val="none"/>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4"/>
        <w:numPr>
          <w:ilvl w:val="0"/>
          <w:numId w:val="0"/>
        </w:numPr>
        <w:spacing w:before="156" w:after="156"/>
        <w:rPr>
          <w:rFonts w:hint="eastAsia" w:ascii="宋体" w:hAnsi="宋体" w:cs="Times New Roman"/>
          <w:b/>
          <w:bCs/>
          <w:color w:val="auto"/>
          <w:highlight w:val="none"/>
        </w:rPr>
      </w:pPr>
      <w:bookmarkStart w:id="462" w:name="_Toc7349"/>
      <w:bookmarkStart w:id="463" w:name="_Toc21547"/>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w:t>
      </w:r>
      <w:r>
        <w:rPr>
          <w:rFonts w:hint="eastAsia" w:ascii="宋体" w:hAnsi="宋体" w:cs="Times New Roman"/>
          <w:b/>
          <w:bCs/>
          <w:color w:val="auto"/>
          <w:highlight w:val="none"/>
        </w:rPr>
        <w:t>评审办法和标准</w:t>
      </w:r>
      <w:bookmarkEnd w:id="462"/>
      <w:bookmarkEnd w:id="463"/>
    </w:p>
    <w:p>
      <w:pPr>
        <w:pStyle w:val="24"/>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一、由磋商小组根据磋商文件的要求采用相同的评审程序、评分办法及标准对提交最后报价的供应商的响应文件和最后报价进行综合评分；</w:t>
      </w:r>
    </w:p>
    <w:p>
      <w:pPr>
        <w:tabs>
          <w:tab w:val="left" w:pos="1155"/>
        </w:tabs>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二、本次综合评分的因素是：价格、技术、服务等；</w:t>
      </w:r>
    </w:p>
    <w:p>
      <w:pPr>
        <w:tabs>
          <w:tab w:val="left" w:pos="1155"/>
        </w:tabs>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三、评审时，磋商小组各成员应当独立对每个有效响应的文件进行评价、打分，然后汇总每个供应商每项评分因素的得分。</w:t>
      </w:r>
    </w:p>
    <w:p>
      <w:pPr>
        <w:pStyle w:val="4"/>
        <w:numPr>
          <w:ilvl w:val="0"/>
          <w:numId w:val="0"/>
        </w:numPr>
        <w:spacing w:before="156" w:after="156"/>
        <w:rPr>
          <w:rFonts w:hint="eastAsia" w:ascii="宋体" w:hAnsi="宋体" w:cs="Times New Roman"/>
          <w:b/>
          <w:bCs/>
          <w:color w:val="auto"/>
          <w:highlight w:val="none"/>
          <w:lang w:val="en-US" w:eastAsia="zh-CN"/>
        </w:rPr>
      </w:pPr>
      <w:bookmarkStart w:id="464" w:name="_Toc17232"/>
      <w:bookmarkStart w:id="465" w:name="_Toc23082"/>
      <w:r>
        <w:rPr>
          <w:rFonts w:hint="eastAsia" w:ascii="宋体" w:hAnsi="宋体" w:cs="Times New Roman"/>
          <w:b/>
          <w:bCs/>
          <w:color w:val="auto"/>
          <w:highlight w:val="none"/>
          <w:lang w:val="en-US" w:eastAsia="zh-CN"/>
        </w:rPr>
        <w:t>5.</w:t>
      </w:r>
      <w:r>
        <w:rPr>
          <w:rFonts w:hint="eastAsia" w:cs="Times New Roman"/>
          <w:b/>
          <w:bCs/>
          <w:color w:val="auto"/>
          <w:highlight w:val="none"/>
          <w:lang w:val="en-US" w:eastAsia="zh-CN"/>
        </w:rPr>
        <w:t>4.1</w:t>
      </w:r>
      <w:r>
        <w:rPr>
          <w:rFonts w:hint="eastAsia" w:ascii="宋体" w:hAnsi="宋体" w:cs="Times New Roman"/>
          <w:b/>
          <w:bCs/>
          <w:color w:val="auto"/>
          <w:highlight w:val="none"/>
          <w:lang w:val="en-US" w:eastAsia="zh-CN"/>
        </w:rPr>
        <w:t>评分办法</w:t>
      </w:r>
      <w:bookmarkEnd w:id="464"/>
      <w:bookmarkEnd w:id="465"/>
    </w:p>
    <w:p>
      <w:pPr>
        <w:pStyle w:val="24"/>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评审得分＝（A1＋A2＋……＋An）/n1</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A1、A2……An分别为磋商小组每个成员的打分，n1为磋商小组人数。 </w:t>
      </w:r>
    </w:p>
    <w:p>
      <w:pPr>
        <w:pStyle w:val="5"/>
        <w:ind w:left="0" w:firstLine="0"/>
        <w:rPr>
          <w:rFonts w:hint="eastAsia"/>
          <w:shd w:val="clear" w:color="auto" w:fill="FFFFFF"/>
        </w:rPr>
      </w:pPr>
      <w:bookmarkStart w:id="466" w:name="_Toc15392"/>
      <w:r>
        <w:rPr>
          <w:rFonts w:hint="eastAsia"/>
          <w:shd w:val="clear" w:color="auto" w:fill="FFFFFF"/>
        </w:rPr>
        <w:t>5.</w:t>
      </w:r>
      <w:r>
        <w:rPr>
          <w:rFonts w:hint="eastAsia"/>
          <w:shd w:val="clear" w:color="auto" w:fill="FFFFFF"/>
          <w:lang w:val="en-US" w:eastAsia="zh-CN"/>
        </w:rPr>
        <w:t>4</w:t>
      </w:r>
      <w:r>
        <w:rPr>
          <w:rFonts w:hint="eastAsia"/>
          <w:shd w:val="clear" w:color="auto" w:fill="FFFFFF"/>
        </w:rPr>
        <w:t>.2评分标准</w:t>
      </w:r>
      <w:bookmarkEnd w:id="466"/>
    </w:p>
    <w:p>
      <w:pPr>
        <w:rPr>
          <w:b/>
          <w:vanish/>
          <w:color w:val="000000"/>
          <w:shd w:val="clear" w:color="auto" w:fill="FFFFFF"/>
        </w:rPr>
      </w:pPr>
    </w:p>
    <w:tbl>
      <w:tblPr>
        <w:tblStyle w:val="42"/>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65"/>
        <w:gridCol w:w="1053"/>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pPr>
              <w:jc w:val="center"/>
              <w:rPr>
                <w:rFonts w:hint="eastAsia"/>
                <w:b/>
                <w:bCs/>
                <w:shd w:val="clear" w:color="auto" w:fill="FFFFFF"/>
              </w:rPr>
            </w:pPr>
            <w:r>
              <w:rPr>
                <w:rFonts w:hint="eastAsia"/>
                <w:b/>
                <w:bCs/>
                <w:shd w:val="clear" w:color="auto" w:fill="FFFFFF"/>
              </w:rPr>
              <w:t>评委类别</w:t>
            </w:r>
          </w:p>
        </w:tc>
        <w:tc>
          <w:tcPr>
            <w:tcW w:w="1365" w:type="dxa"/>
            <w:noWrap w:val="0"/>
            <w:vAlign w:val="center"/>
          </w:tcPr>
          <w:p>
            <w:pPr>
              <w:jc w:val="center"/>
              <w:rPr>
                <w:rFonts w:hint="eastAsia"/>
                <w:b/>
                <w:bCs/>
                <w:shd w:val="clear" w:color="auto" w:fill="FFFFFF"/>
              </w:rPr>
            </w:pPr>
            <w:r>
              <w:rPr>
                <w:rFonts w:hint="eastAsia"/>
                <w:b/>
                <w:bCs/>
                <w:shd w:val="clear" w:color="auto" w:fill="FFFFFF"/>
              </w:rPr>
              <w:t>评审项目</w:t>
            </w:r>
          </w:p>
        </w:tc>
        <w:tc>
          <w:tcPr>
            <w:tcW w:w="1053" w:type="dxa"/>
            <w:noWrap w:val="0"/>
            <w:vAlign w:val="center"/>
          </w:tcPr>
          <w:p>
            <w:pPr>
              <w:jc w:val="center"/>
              <w:rPr>
                <w:rFonts w:hint="eastAsia"/>
                <w:b/>
                <w:bCs/>
                <w:shd w:val="clear" w:color="auto" w:fill="FFFFFF"/>
              </w:rPr>
            </w:pPr>
            <w:r>
              <w:rPr>
                <w:rFonts w:hint="eastAsia"/>
                <w:b/>
                <w:bCs/>
                <w:shd w:val="clear" w:color="auto" w:fill="FFFFFF"/>
              </w:rPr>
              <w:t>分值</w:t>
            </w:r>
          </w:p>
        </w:tc>
        <w:tc>
          <w:tcPr>
            <w:tcW w:w="5292" w:type="dxa"/>
            <w:noWrap w:val="0"/>
            <w:vAlign w:val="center"/>
          </w:tcPr>
          <w:p>
            <w:pPr>
              <w:jc w:val="center"/>
              <w:rPr>
                <w:rFonts w:hint="eastAsia"/>
                <w:b/>
                <w:bCs/>
                <w:shd w:val="clear" w:color="auto" w:fill="FFFFFF"/>
              </w:rPr>
            </w:pPr>
            <w:r>
              <w:rPr>
                <w:rFonts w:hint="eastAsia"/>
                <w:b/>
                <w:bCs/>
                <w:shd w:val="clear"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shd w:val="clear" w:color="auto" w:fill="auto"/>
            <w:noWrap w:val="0"/>
            <w:vAlign w:val="center"/>
          </w:tcPr>
          <w:p>
            <w:pPr>
              <w:jc w:val="left"/>
              <w:rPr>
                <w:rFonts w:hint="eastAsia"/>
                <w:shd w:val="clear" w:color="auto" w:fill="FFFFFF"/>
              </w:rPr>
            </w:pPr>
            <w:r>
              <w:rPr>
                <w:rFonts w:hint="eastAsia"/>
                <w:b/>
                <w:bCs/>
                <w:shd w:val="clear" w:color="auto" w:fill="FFFFFF"/>
              </w:rPr>
              <w:t>经济类评委</w:t>
            </w:r>
          </w:p>
        </w:tc>
        <w:tc>
          <w:tcPr>
            <w:tcW w:w="1365" w:type="dxa"/>
            <w:shd w:val="clear" w:color="auto" w:fill="FFFFFF"/>
            <w:noWrap w:val="0"/>
            <w:vAlign w:val="center"/>
          </w:tcPr>
          <w:p>
            <w:pPr>
              <w:jc w:val="left"/>
              <w:rPr>
                <w:rFonts w:hint="eastAsia"/>
                <w:shd w:val="clear" w:color="auto" w:fill="FFFFFF"/>
              </w:rPr>
            </w:pPr>
            <w:r>
              <w:rPr>
                <w:rFonts w:hint="eastAsia"/>
                <w:shd w:val="clear" w:color="auto" w:fill="FFFFFF"/>
              </w:rPr>
              <w:t>报价</w:t>
            </w:r>
          </w:p>
        </w:tc>
        <w:tc>
          <w:tcPr>
            <w:tcW w:w="1053" w:type="dxa"/>
            <w:noWrap w:val="0"/>
            <w:vAlign w:val="center"/>
          </w:tcPr>
          <w:p>
            <w:pPr>
              <w:jc w:val="center"/>
              <w:rPr>
                <w:rFonts w:hint="eastAsia"/>
                <w:shd w:val="clear" w:color="auto" w:fill="FFFFFF"/>
              </w:rPr>
            </w:pPr>
            <w:r>
              <w:rPr>
                <w:rFonts w:hint="eastAsia"/>
                <w:shd w:val="clear" w:color="auto" w:fill="FFFFFF"/>
              </w:rPr>
              <w:t>40.00分</w:t>
            </w:r>
          </w:p>
        </w:tc>
        <w:tc>
          <w:tcPr>
            <w:tcW w:w="5292" w:type="dxa"/>
            <w:noWrap w:val="0"/>
            <w:vAlign w:val="center"/>
          </w:tcPr>
          <w:p>
            <w:pPr>
              <w:keepNext w:val="0"/>
              <w:keepLines w:val="0"/>
              <w:widowControl/>
              <w:numPr>
                <w:ilvl w:val="0"/>
                <w:numId w:val="31"/>
              </w:numPr>
              <w:suppressLineNumbers w:val="0"/>
              <w:jc w:val="left"/>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对小型企业、微型企业、监狱企业、残疾人福利性单位制造的货物的价格（如涉及）给予 10%的价格扣除，用扣除后的价格参与评审；</w:t>
            </w:r>
            <w:r>
              <w:rPr>
                <w:rFonts w:hint="eastAsia" w:asciiTheme="minorEastAsia" w:hAnsiTheme="minorEastAsia" w:eastAsiaTheme="minorEastAsia" w:cstheme="minorEastAsia"/>
                <w:b/>
                <w:bCs/>
                <w:color w:val="auto"/>
                <w:kern w:val="0"/>
                <w:sz w:val="21"/>
                <w:szCs w:val="21"/>
                <w:lang w:val="en-US" w:eastAsia="zh-CN" w:bidi="ar-SA"/>
              </w:rPr>
              <w:t>[说明：所投产品中为监狱企业生产的产品应提供由省级以上监狱管理局、戒毒管理局（含新疆生产建设兵团）出具的生产厂商属于监狱企业的证明文件复印件。]</w:t>
            </w:r>
          </w:p>
          <w:p>
            <w:pPr>
              <w:keepNext w:val="0"/>
              <w:keepLines w:val="0"/>
              <w:widowControl/>
              <w:numPr>
                <w:ilvl w:val="0"/>
                <w:numId w:val="31"/>
              </w:numPr>
              <w:suppressLineNumbers w:val="0"/>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 xml:space="preserve">经磋商小组评审，响应文件满足磋商文件最低要求，且最后报价最低的供应商的最后报价作为磋商基准价； </w:t>
            </w:r>
          </w:p>
          <w:p>
            <w:pPr>
              <w:jc w:val="left"/>
              <w:rPr>
                <w:rFonts w:hint="eastAsia"/>
                <w:shd w:val="clear" w:color="auto" w:fill="FFFFFF"/>
              </w:rPr>
            </w:pPr>
            <w:r>
              <w:rPr>
                <w:rFonts w:hint="eastAsia" w:asciiTheme="minorEastAsia" w:hAnsiTheme="minorEastAsia" w:eastAsiaTheme="minorEastAsia" w:cstheme="minorEastAsia"/>
                <w:color w:val="auto"/>
                <w:kern w:val="0"/>
                <w:sz w:val="21"/>
                <w:szCs w:val="21"/>
                <w:lang w:val="en-US" w:eastAsia="zh-CN" w:bidi="ar-SA"/>
              </w:rPr>
              <w:t>3、报价得分=(磋商基准价／最后报价)×40。</w:t>
            </w:r>
            <w:r>
              <w:rPr>
                <w:rFonts w:hint="eastAsia" w:asciiTheme="minorEastAsia" w:hAnsiTheme="minorEastAsia" w:eastAsiaTheme="minorEastAsia" w:cstheme="minorEastAsia"/>
                <w:b/>
                <w:bCs/>
                <w:color w:val="auto"/>
                <w:kern w:val="0"/>
                <w:sz w:val="21"/>
                <w:szCs w:val="21"/>
                <w:lang w:val="en-US" w:eastAsia="zh-CN" w:bidi="ar-SA"/>
              </w:rPr>
              <w:t>（说明：①同一货物仅作一次价格扣除。②提供的货物既有中小企业制造货物，也有大型企业制造货物的，不享受价格扣除。）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noWrap w:val="0"/>
            <w:vAlign w:val="center"/>
          </w:tcPr>
          <w:p>
            <w:pPr>
              <w:jc w:val="left"/>
              <w:rPr>
                <w:rFonts w:hint="eastAsia"/>
                <w:b/>
                <w:bCs/>
                <w:shd w:val="clear" w:color="auto" w:fill="FFFFFF"/>
              </w:rPr>
            </w:pPr>
            <w:r>
              <w:rPr>
                <w:rFonts w:hint="eastAsia"/>
                <w:b/>
                <w:bCs/>
                <w:shd w:val="clear" w:color="auto" w:fill="FFFFFF"/>
              </w:rPr>
              <w:t>技术类评委评审</w:t>
            </w:r>
          </w:p>
          <w:p>
            <w:pPr>
              <w:jc w:val="left"/>
              <w:rPr>
                <w:rFonts w:hint="eastAsia"/>
                <w:shd w:val="clear" w:color="auto" w:fill="FFFFFF"/>
              </w:rPr>
            </w:pPr>
          </w:p>
        </w:tc>
        <w:tc>
          <w:tcPr>
            <w:tcW w:w="1365" w:type="dxa"/>
            <w:noWrap w:val="0"/>
            <w:vAlign w:val="center"/>
          </w:tcPr>
          <w:p>
            <w:pPr>
              <w:jc w:val="left"/>
              <w:rPr>
                <w:rFonts w:hint="eastAsia"/>
                <w:shd w:val="clear" w:color="auto" w:fill="FFFFFF"/>
              </w:rPr>
            </w:pPr>
            <w:r>
              <w:rPr>
                <w:rFonts w:hint="eastAsia"/>
                <w:shd w:val="clear" w:color="auto" w:fill="FFFFFF"/>
              </w:rPr>
              <w:t>技术参数</w:t>
            </w:r>
          </w:p>
          <w:p>
            <w:pPr>
              <w:jc w:val="left"/>
              <w:rPr>
                <w:rFonts w:hint="eastAsia"/>
                <w:shd w:val="clear" w:color="auto" w:fill="FFFFFF"/>
              </w:rPr>
            </w:pPr>
            <w:r>
              <w:rPr>
                <w:rFonts w:hint="eastAsia"/>
                <w:shd w:val="clear" w:color="auto" w:fill="FFFFFF"/>
              </w:rPr>
              <w:t>及要求</w:t>
            </w:r>
          </w:p>
        </w:tc>
        <w:tc>
          <w:tcPr>
            <w:tcW w:w="1053" w:type="dxa"/>
            <w:noWrap w:val="0"/>
            <w:vAlign w:val="center"/>
          </w:tcPr>
          <w:p>
            <w:pPr>
              <w:jc w:val="left"/>
              <w:rPr>
                <w:rFonts w:hint="eastAsia"/>
                <w:shd w:val="clear" w:color="auto" w:fill="FFFFFF"/>
              </w:rPr>
            </w:pPr>
            <w:r>
              <w:rPr>
                <w:rFonts w:hint="eastAsia"/>
                <w:shd w:val="clear" w:color="auto" w:fill="FFFFFF"/>
              </w:rPr>
              <w:t>2</w:t>
            </w:r>
            <w:r>
              <w:rPr>
                <w:rFonts w:hint="eastAsia"/>
                <w:shd w:val="clear" w:color="auto" w:fill="FFFFFF"/>
                <w:lang w:val="en-US" w:eastAsia="zh-CN"/>
              </w:rPr>
              <w:t>6</w:t>
            </w:r>
            <w:r>
              <w:rPr>
                <w:rFonts w:hint="eastAsia"/>
                <w:shd w:val="clear" w:color="auto" w:fill="FFFFFF"/>
              </w:rPr>
              <w:t>.00分</w:t>
            </w:r>
          </w:p>
        </w:tc>
        <w:tc>
          <w:tcPr>
            <w:tcW w:w="5292" w:type="dxa"/>
            <w:noWrap w:val="0"/>
            <w:vAlign w:val="center"/>
          </w:tcPr>
          <w:p>
            <w:pPr>
              <w:numPr>
                <w:ilvl w:val="0"/>
                <w:numId w:val="32"/>
              </w:numPr>
              <w:jc w:val="left"/>
              <w:rPr>
                <w:rFonts w:asciiTheme="minorEastAsia" w:hAnsiTheme="minorEastAsia" w:cstheme="minorEastAsia"/>
                <w:b/>
                <w:bCs/>
                <w:szCs w:val="21"/>
                <w:highlight w:val="none"/>
                <w:shd w:val="clear" w:color="auto" w:fill="FFFFFF"/>
              </w:rPr>
            </w:pPr>
            <w:r>
              <w:rPr>
                <w:rFonts w:hint="eastAsia" w:asciiTheme="minorEastAsia" w:hAnsiTheme="minorEastAsia" w:cstheme="minorEastAsia"/>
                <w:szCs w:val="21"/>
                <w:highlight w:val="none"/>
                <w:shd w:val="clear" w:color="auto" w:fill="FFFFFF"/>
              </w:rPr>
              <w:t>供应商所投产品的技术参数完全满足磋商文件中加▲号的技术参数及要求的得1</w:t>
            </w:r>
            <w:r>
              <w:rPr>
                <w:rFonts w:hint="eastAsia" w:asciiTheme="minorEastAsia" w:hAnsiTheme="minorEastAsia" w:cstheme="minorEastAsia"/>
                <w:szCs w:val="21"/>
                <w:highlight w:val="none"/>
                <w:shd w:val="clear" w:color="auto" w:fill="FFFFFF"/>
                <w:lang w:val="en-US" w:eastAsia="zh-CN"/>
              </w:rPr>
              <w:t>8</w:t>
            </w:r>
            <w:r>
              <w:rPr>
                <w:rFonts w:hint="eastAsia" w:asciiTheme="minorEastAsia" w:hAnsiTheme="minorEastAsia" w:cstheme="minorEastAsia"/>
                <w:szCs w:val="21"/>
                <w:highlight w:val="none"/>
                <w:shd w:val="clear" w:color="auto" w:fill="FFFFFF"/>
              </w:rPr>
              <w:t>分；供应商所投产品的技术参数不满足磋商文件中加▲号的技术参数及要求的，则在1</w:t>
            </w:r>
            <w:r>
              <w:rPr>
                <w:rFonts w:hint="eastAsia" w:asciiTheme="minorEastAsia" w:hAnsiTheme="minorEastAsia" w:cstheme="minorEastAsia"/>
                <w:szCs w:val="21"/>
                <w:highlight w:val="none"/>
                <w:shd w:val="clear" w:color="auto" w:fill="FFFFFF"/>
                <w:lang w:val="en-US" w:eastAsia="zh-CN"/>
              </w:rPr>
              <w:t>8</w:t>
            </w:r>
            <w:r>
              <w:rPr>
                <w:rFonts w:hint="eastAsia" w:asciiTheme="minorEastAsia" w:hAnsiTheme="minorEastAsia" w:cstheme="minorEastAsia"/>
                <w:szCs w:val="21"/>
                <w:highlight w:val="none"/>
                <w:shd w:val="clear" w:color="auto" w:fill="FFFFFF"/>
              </w:rPr>
              <w:t>分的基础上，按以下原则扣分，扣完为止：每有一项不满足磋商文件中加▲号的技术参数及要求</w:t>
            </w:r>
            <w:r>
              <w:rPr>
                <w:rFonts w:hint="eastAsia" w:asciiTheme="minorEastAsia" w:hAnsiTheme="minorEastAsia" w:cstheme="minorEastAsia"/>
                <w:szCs w:val="21"/>
                <w:highlight w:val="none"/>
              </w:rPr>
              <w:t>的，扣1</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分。</w:t>
            </w:r>
            <w:r>
              <w:rPr>
                <w:rFonts w:hint="eastAsia" w:ascii="宋体" w:hAnsi="宋体" w:cs="宋体"/>
                <w:b/>
                <w:bCs/>
                <w:color w:val="auto"/>
                <w:kern w:val="2"/>
                <w:sz w:val="20"/>
                <w:szCs w:val="20"/>
                <w:highlight w:val="none"/>
                <w:lang w:val="en-US" w:eastAsia="zh-CN" w:bidi="ar-SA"/>
              </w:rPr>
              <w:t>【</w:t>
            </w:r>
            <w:r>
              <w:rPr>
                <w:rFonts w:hint="eastAsia" w:ascii="宋体" w:hAnsi="宋体" w:eastAsia="宋体" w:cs="宋体"/>
                <w:b/>
                <w:bCs/>
                <w:color w:val="auto"/>
                <w:kern w:val="2"/>
                <w:sz w:val="20"/>
                <w:szCs w:val="20"/>
                <w:highlight w:val="none"/>
                <w:lang w:val="en-US" w:eastAsia="zh-CN" w:bidi="ar-SA"/>
              </w:rPr>
              <w:t>说明：</w:t>
            </w:r>
            <w:r>
              <w:rPr>
                <w:rFonts w:hint="eastAsia" w:ascii="宋体" w:hAnsi="宋体" w:cs="宋体"/>
                <w:b/>
                <w:bCs/>
                <w:color w:val="auto"/>
                <w:kern w:val="2"/>
                <w:sz w:val="20"/>
                <w:szCs w:val="20"/>
                <w:highlight w:val="none"/>
                <w:lang w:val="en-US" w:eastAsia="zh-CN" w:bidi="ar-SA"/>
              </w:rPr>
              <w:t>1.</w:t>
            </w:r>
            <w:r>
              <w:rPr>
                <w:rFonts w:hint="eastAsia" w:ascii="宋体" w:hAnsi="宋体" w:eastAsia="宋体" w:cs="宋体"/>
                <w:b/>
                <w:bCs/>
                <w:color w:val="auto"/>
                <w:kern w:val="2"/>
                <w:sz w:val="20"/>
                <w:szCs w:val="20"/>
                <w:highlight w:val="none"/>
                <w:lang w:val="en-US" w:eastAsia="zh-CN" w:bidi="ar-SA"/>
              </w:rPr>
              <w:t>以</w:t>
            </w:r>
            <w:r>
              <w:rPr>
                <w:rFonts w:hint="eastAsia" w:cs="宋体"/>
                <w:b/>
                <w:bCs/>
                <w:color w:val="auto"/>
                <w:kern w:val="2"/>
                <w:sz w:val="20"/>
                <w:szCs w:val="20"/>
                <w:highlight w:val="none"/>
                <w:lang w:val="en-US" w:eastAsia="zh-CN" w:bidi="ar-SA"/>
              </w:rPr>
              <w:t>技术方案</w:t>
            </w:r>
            <w:r>
              <w:rPr>
                <w:rFonts w:hint="eastAsia" w:ascii="宋体" w:hAnsi="宋体" w:eastAsia="宋体" w:cs="宋体"/>
                <w:b/>
                <w:bCs/>
                <w:color w:val="auto"/>
                <w:kern w:val="2"/>
                <w:sz w:val="20"/>
                <w:szCs w:val="20"/>
                <w:highlight w:val="none"/>
                <w:lang w:val="en-US" w:eastAsia="zh-CN" w:bidi="ar-SA"/>
              </w:rPr>
              <w:t>设备清单中技术参数及</w:t>
            </w:r>
            <w:r>
              <w:rPr>
                <w:rFonts w:hint="eastAsia" w:cs="宋体"/>
                <w:b/>
                <w:bCs/>
                <w:color w:val="auto"/>
                <w:kern w:val="2"/>
                <w:sz w:val="20"/>
                <w:szCs w:val="20"/>
                <w:highlight w:val="none"/>
                <w:lang w:val="en-US" w:eastAsia="zh-CN" w:bidi="ar-SA"/>
              </w:rPr>
              <w:t>功能</w:t>
            </w:r>
            <w:r>
              <w:rPr>
                <w:rFonts w:hint="eastAsia" w:ascii="宋体" w:hAnsi="宋体" w:eastAsia="宋体" w:cs="宋体"/>
                <w:b/>
                <w:bCs/>
                <w:color w:val="auto"/>
                <w:kern w:val="2"/>
                <w:sz w:val="20"/>
                <w:szCs w:val="20"/>
                <w:highlight w:val="none"/>
                <w:lang w:val="en-US" w:eastAsia="zh-CN" w:bidi="ar-SA"/>
              </w:rPr>
              <w:t>要求的阿拉伯数字标注为一项</w:t>
            </w:r>
            <w:r>
              <w:rPr>
                <w:rFonts w:hint="eastAsia" w:ascii="宋体" w:hAnsi="宋体" w:cs="宋体"/>
                <w:b/>
                <w:bCs/>
                <w:color w:val="auto"/>
                <w:kern w:val="2"/>
                <w:sz w:val="20"/>
                <w:szCs w:val="20"/>
                <w:highlight w:val="none"/>
                <w:lang w:val="en-US" w:eastAsia="zh-CN" w:bidi="ar-SA"/>
              </w:rPr>
              <w:t>。</w:t>
            </w:r>
            <w:r>
              <w:rPr>
                <w:rFonts w:hint="eastAsia" w:asciiTheme="minorEastAsia" w:hAnsiTheme="minorEastAsia" w:cstheme="minorEastAsia"/>
                <w:b/>
                <w:bCs/>
                <w:szCs w:val="21"/>
              </w:rPr>
              <w:t>2、带▲的产品技术参数须提供厂家相关参数证明材料加盖供应商公章是装入</w:t>
            </w:r>
            <w:r>
              <w:rPr>
                <w:rFonts w:hint="eastAsia" w:asciiTheme="minorEastAsia" w:hAnsiTheme="minorEastAsia" w:cstheme="minorEastAsia"/>
                <w:b/>
                <w:bCs/>
                <w:szCs w:val="21"/>
                <w:lang w:eastAsia="zh-CN"/>
              </w:rPr>
              <w:t>响应文件</w:t>
            </w:r>
            <w:r>
              <w:rPr>
                <w:rFonts w:hint="eastAsia" w:asciiTheme="minorEastAsia" w:hAnsiTheme="minorEastAsia" w:cstheme="minorEastAsia"/>
                <w:b/>
                <w:bCs/>
                <w:szCs w:val="21"/>
              </w:rPr>
              <w:t>，未提供厂家相关参数证明材料的该项为不满足，做扣分处理。</w:t>
            </w:r>
            <w:r>
              <w:rPr>
                <w:rFonts w:hint="eastAsia" w:asciiTheme="minorEastAsia" w:hAnsiTheme="minorEastAsia" w:cstheme="minorEastAsia"/>
                <w:b/>
                <w:bCs/>
                <w:szCs w:val="21"/>
                <w:shd w:val="clear" w:color="auto" w:fill="FFFFFF"/>
              </w:rPr>
              <w:t>）</w:t>
            </w:r>
          </w:p>
          <w:p>
            <w:pPr>
              <w:pStyle w:val="41"/>
              <w:ind w:left="0" w:leftChars="0" w:firstLine="0" w:firstLineChars="0"/>
              <w:rPr>
                <w:rFonts w:hint="eastAsia"/>
              </w:rPr>
            </w:pPr>
            <w:r>
              <w:rPr>
                <w:rFonts w:hint="eastAsia" w:asciiTheme="minorEastAsia" w:hAnsiTheme="minorEastAsia" w:cstheme="minorEastAsia"/>
                <w:szCs w:val="21"/>
                <w:highlight w:val="none"/>
                <w:shd w:val="clear" w:color="auto" w:fill="FFFFFF"/>
              </w:rPr>
              <w:t>2.供应商所投产品的技术参数完全满足磋商文件中未加</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shd w:val="clear" w:color="auto" w:fill="FFFFFF"/>
              </w:rPr>
              <w:t>▲号的技术参数及要求的得</w:t>
            </w:r>
            <w:r>
              <w:rPr>
                <w:rFonts w:hint="eastAsia" w:asciiTheme="minorEastAsia" w:hAnsiTheme="minorEastAsia" w:cstheme="minorEastAsia"/>
                <w:szCs w:val="21"/>
                <w:highlight w:val="none"/>
                <w:shd w:val="clear" w:color="auto" w:fill="FFFFFF"/>
                <w:lang w:val="en-US" w:eastAsia="zh-CN"/>
              </w:rPr>
              <w:t>8</w:t>
            </w:r>
            <w:bookmarkStart w:id="487" w:name="_GoBack"/>
            <w:bookmarkEnd w:id="487"/>
            <w:r>
              <w:rPr>
                <w:rFonts w:hint="eastAsia" w:asciiTheme="minorEastAsia" w:hAnsiTheme="minorEastAsia" w:cstheme="minorEastAsia"/>
                <w:szCs w:val="21"/>
                <w:highlight w:val="none"/>
                <w:shd w:val="clear" w:color="auto" w:fill="FFFFFF"/>
              </w:rPr>
              <w:t>分；供应商所投产品的技术参数不满足磋商文件中未加</w:t>
            </w:r>
            <w:r>
              <w:rPr>
                <w:rFonts w:hint="eastAsia" w:asciiTheme="minorEastAsia" w:hAnsiTheme="minorEastAsia" w:cstheme="minorEastAsia"/>
                <w:szCs w:val="21"/>
                <w:highlight w:val="none"/>
              </w:rPr>
              <w:t>★、</w:t>
            </w:r>
            <w:r>
              <w:rPr>
                <w:rFonts w:hint="eastAsia" w:asciiTheme="minorEastAsia" w:hAnsiTheme="minorEastAsia" w:cstheme="minorEastAsia"/>
                <w:szCs w:val="21"/>
                <w:highlight w:val="none"/>
                <w:shd w:val="clear" w:color="auto" w:fill="FFFFFF"/>
              </w:rPr>
              <w:t>▲号的技术参数及要求的，则在</w:t>
            </w:r>
            <w:r>
              <w:rPr>
                <w:rFonts w:hint="eastAsia" w:asciiTheme="minorEastAsia" w:hAnsiTheme="minorEastAsia" w:cstheme="minorEastAsia"/>
                <w:szCs w:val="21"/>
                <w:highlight w:val="none"/>
                <w:shd w:val="clear" w:color="auto" w:fill="FFFFFF"/>
                <w:lang w:val="en-US" w:eastAsia="zh-CN"/>
              </w:rPr>
              <w:t>8</w:t>
            </w:r>
            <w:r>
              <w:rPr>
                <w:rFonts w:hint="eastAsia" w:asciiTheme="minorEastAsia" w:hAnsiTheme="minorEastAsia" w:cstheme="minorEastAsia"/>
                <w:szCs w:val="21"/>
                <w:highlight w:val="none"/>
                <w:shd w:val="clear" w:color="auto" w:fill="FFFFFF"/>
              </w:rPr>
              <w:t>分的基础上，按以下原则扣分，扣完为止：每有一项不满足磋商文件中未加★、▲号的技术参数及要求的，扣0.</w:t>
            </w:r>
            <w:r>
              <w:rPr>
                <w:rFonts w:hint="eastAsia" w:asciiTheme="minorEastAsia" w:hAnsiTheme="minorEastAsia" w:cstheme="minorEastAsia"/>
                <w:szCs w:val="21"/>
                <w:highlight w:val="none"/>
                <w:shd w:val="clear" w:color="auto" w:fill="FFFFFF"/>
                <w:lang w:val="en-US" w:eastAsia="zh-CN"/>
              </w:rPr>
              <w:t>16</w:t>
            </w:r>
            <w:r>
              <w:rPr>
                <w:rFonts w:hint="eastAsia" w:asciiTheme="minorEastAsia" w:hAnsiTheme="minorEastAsia" w:cstheme="minorEastAsia"/>
                <w:szCs w:val="21"/>
                <w:highlight w:val="none"/>
                <w:shd w:val="clear" w:color="auto" w:fill="FFFFFF"/>
              </w:rPr>
              <w:t>分。</w:t>
            </w:r>
            <w:r>
              <w:rPr>
                <w:rFonts w:hint="eastAsia" w:asciiTheme="minorEastAsia" w:hAnsiTheme="minorEastAsia" w:cstheme="minorEastAsia"/>
                <w:b/>
                <w:bCs/>
                <w:szCs w:val="21"/>
                <w:highlight w:val="none"/>
                <w:shd w:val="clear" w:color="auto" w:fill="FFFFFF"/>
              </w:rPr>
              <w:t>（说明</w:t>
            </w:r>
            <w:r>
              <w:rPr>
                <w:rFonts w:hint="eastAsia" w:asciiTheme="minorEastAsia" w:hAnsiTheme="minorEastAsia" w:cstheme="minorEastAsia"/>
                <w:b/>
                <w:bCs/>
                <w:szCs w:val="21"/>
                <w:highlight w:val="none"/>
                <w:shd w:val="clear" w:color="auto" w:fill="FFFFFF"/>
                <w:lang w:eastAsia="zh-CN"/>
              </w:rPr>
              <w:t>：</w:t>
            </w:r>
            <w:r>
              <w:rPr>
                <w:rFonts w:hint="eastAsia" w:asciiTheme="minorEastAsia" w:hAnsiTheme="minorEastAsia" w:cstheme="minorEastAsia"/>
                <w:b/>
                <w:bCs/>
                <w:szCs w:val="21"/>
                <w:highlight w:val="none"/>
                <w:shd w:val="clear" w:color="auto" w:fill="FFFFFF"/>
                <w:lang w:val="en-US" w:eastAsia="zh-CN"/>
              </w:rPr>
              <w:t>以技术方案</w:t>
            </w:r>
            <w:r>
              <w:rPr>
                <w:rFonts w:hint="eastAsia" w:asciiTheme="minorEastAsia" w:hAnsiTheme="minorEastAsia" w:cstheme="minorEastAsia"/>
                <w:b/>
                <w:bCs/>
                <w:szCs w:val="21"/>
                <w:highlight w:val="none"/>
                <w:shd w:val="clear" w:color="auto" w:fill="FFFFFF"/>
              </w:rPr>
              <w:t>设备清单中技术参数及</w:t>
            </w:r>
            <w:r>
              <w:rPr>
                <w:rFonts w:hint="eastAsia" w:asciiTheme="minorEastAsia" w:hAnsiTheme="minorEastAsia" w:cstheme="minorEastAsia"/>
                <w:b/>
                <w:bCs/>
                <w:szCs w:val="21"/>
                <w:highlight w:val="none"/>
                <w:shd w:val="clear" w:color="auto" w:fill="FFFFFF"/>
                <w:lang w:val="en-US" w:eastAsia="zh-CN"/>
              </w:rPr>
              <w:t>功能</w:t>
            </w:r>
            <w:r>
              <w:rPr>
                <w:rFonts w:hint="eastAsia" w:asciiTheme="minorEastAsia" w:hAnsiTheme="minorEastAsia" w:cstheme="minorEastAsia"/>
                <w:b/>
                <w:bCs/>
                <w:szCs w:val="21"/>
                <w:highlight w:val="none"/>
                <w:shd w:val="clear" w:color="auto" w:fill="FFFFFF"/>
              </w:rPr>
              <w:t>要求阿拉伯数字标注为一项）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92" w:type="dxa"/>
            <w:vMerge w:val="continue"/>
            <w:noWrap w:val="0"/>
            <w:vAlign w:val="center"/>
          </w:tcPr>
          <w:p>
            <w:pPr>
              <w:jc w:val="left"/>
              <w:rPr>
                <w:rFonts w:hint="eastAsia"/>
                <w:shd w:val="clear" w:color="auto" w:fill="FFFFFF"/>
              </w:rPr>
            </w:pPr>
          </w:p>
        </w:tc>
        <w:tc>
          <w:tcPr>
            <w:tcW w:w="1365" w:type="dxa"/>
            <w:noWrap w:val="0"/>
            <w:vAlign w:val="center"/>
          </w:tcPr>
          <w:p>
            <w:pPr>
              <w:jc w:val="left"/>
              <w:rPr>
                <w:rFonts w:hint="eastAsia"/>
                <w:shd w:val="clear" w:color="auto" w:fill="FFFFFF"/>
              </w:rPr>
            </w:pPr>
            <w:r>
              <w:rPr>
                <w:shd w:val="clear" w:color="auto" w:fill="FFFFFF"/>
              </w:rPr>
              <w:t>项目实施方案</w:t>
            </w:r>
          </w:p>
        </w:tc>
        <w:tc>
          <w:tcPr>
            <w:tcW w:w="1053" w:type="dxa"/>
            <w:noWrap w:val="0"/>
            <w:vAlign w:val="center"/>
          </w:tcPr>
          <w:p>
            <w:pPr>
              <w:jc w:val="left"/>
              <w:rPr>
                <w:rFonts w:hint="eastAsia"/>
                <w:shd w:val="clear" w:color="auto" w:fill="FFFFFF"/>
              </w:rPr>
            </w:pPr>
            <w:r>
              <w:rPr>
                <w:rFonts w:hint="eastAsia"/>
                <w:shd w:val="clear" w:color="auto" w:fill="FFFFFF"/>
                <w:lang w:val="en-US" w:eastAsia="zh-CN"/>
              </w:rPr>
              <w:t>6</w:t>
            </w:r>
            <w:r>
              <w:rPr>
                <w:rFonts w:hint="eastAsia"/>
                <w:shd w:val="clear" w:color="auto" w:fill="FFFFFF"/>
              </w:rPr>
              <w:t>.00分</w:t>
            </w:r>
          </w:p>
        </w:tc>
        <w:tc>
          <w:tcPr>
            <w:tcW w:w="5292" w:type="dxa"/>
            <w:noWrap w:val="0"/>
            <w:vAlign w:val="center"/>
          </w:tcPr>
          <w:p>
            <w:pPr>
              <w:pStyle w:val="41"/>
              <w:ind w:left="0" w:leftChars="0" w:firstLine="0" w:firstLineChars="0"/>
              <w:rPr>
                <w:rFonts w:hint="eastAsia"/>
                <w:shd w:val="clear" w:color="auto" w:fill="FFFFFF"/>
              </w:rPr>
            </w:pPr>
            <w:r>
              <w:rPr>
                <w:rFonts w:hint="eastAsia"/>
              </w:rPr>
              <w:t>根据供应商针对本项目的项目实施方案进行评分</w:t>
            </w:r>
            <w:r>
              <w:rPr>
                <w:rFonts w:hint="eastAsia"/>
                <w:lang w:eastAsia="zh-CN"/>
              </w:rPr>
              <w:t>：</w:t>
            </w:r>
            <w:r>
              <w:rPr>
                <w:rFonts w:hint="eastAsia"/>
              </w:rPr>
              <w:t>方案中包括</w:t>
            </w:r>
            <w:r>
              <w:rPr>
                <w:rFonts w:hint="eastAsia"/>
                <w:szCs w:val="21"/>
                <w:lang w:val="en-US" w:eastAsia="zh-CN"/>
              </w:rPr>
              <w:t>①</w:t>
            </w:r>
            <w:r>
              <w:rPr>
                <w:rFonts w:hint="eastAsia"/>
                <w:szCs w:val="21"/>
              </w:rPr>
              <w:t>进度计划、</w:t>
            </w:r>
            <w:r>
              <w:rPr>
                <w:rFonts w:hint="eastAsia"/>
                <w:szCs w:val="21"/>
                <w:lang w:val="en-US" w:eastAsia="zh-CN"/>
              </w:rPr>
              <w:t>②</w:t>
            </w:r>
            <w:r>
              <w:rPr>
                <w:rFonts w:hint="eastAsia"/>
                <w:szCs w:val="21"/>
              </w:rPr>
              <w:t>人员安排、</w:t>
            </w:r>
            <w:r>
              <w:rPr>
                <w:rFonts w:hint="eastAsia"/>
                <w:szCs w:val="21"/>
                <w:lang w:val="en-US" w:eastAsia="zh-CN"/>
              </w:rPr>
              <w:t>③</w:t>
            </w:r>
            <w:r>
              <w:rPr>
                <w:rFonts w:hint="eastAsia"/>
                <w:szCs w:val="21"/>
              </w:rPr>
              <w:t>质量保证措施、</w:t>
            </w:r>
            <w:r>
              <w:rPr>
                <w:rFonts w:hint="eastAsia"/>
                <w:szCs w:val="21"/>
                <w:lang w:val="en-US" w:eastAsia="zh-CN"/>
              </w:rPr>
              <w:t>④</w:t>
            </w:r>
            <w:r>
              <w:rPr>
                <w:rFonts w:hint="eastAsia"/>
                <w:szCs w:val="21"/>
              </w:rPr>
              <w:t>验收方案</w:t>
            </w:r>
            <w:r>
              <w:rPr>
                <w:rFonts w:hint="eastAsia"/>
                <w:lang w:eastAsia="zh-CN"/>
              </w:rPr>
              <w:t>，</w:t>
            </w:r>
            <w:r>
              <w:rPr>
                <w:rFonts w:hint="eastAsia" w:asciiTheme="minorEastAsia" w:hAnsiTheme="minorEastAsia" w:eastAsiaTheme="minorEastAsia" w:cstheme="minorEastAsia"/>
                <w:sz w:val="21"/>
                <w:szCs w:val="21"/>
              </w:rPr>
              <w:t>每具备以上一个要素的得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分，最多得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分；在具备以上四个要素的基础上，每有一个要素完全符合采购需求的各加0.5分，最多加2分，本项最多得</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分。（说明：不符合或不完全符合釆购需求是指存在不适用项目实际情况、凭空编造、逻辑漏洞、原理错误、内容阐述不清晰的情形。）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792" w:type="dxa"/>
            <w:vMerge w:val="continue"/>
            <w:noWrap w:val="0"/>
            <w:vAlign w:val="center"/>
          </w:tcPr>
          <w:p>
            <w:pPr>
              <w:jc w:val="left"/>
              <w:rPr>
                <w:rFonts w:hint="eastAsia"/>
                <w:shd w:val="clear" w:color="auto" w:fill="FFFFFF"/>
              </w:rPr>
            </w:pPr>
          </w:p>
        </w:tc>
        <w:tc>
          <w:tcPr>
            <w:tcW w:w="1365" w:type="dxa"/>
            <w:noWrap w:val="0"/>
            <w:vAlign w:val="center"/>
          </w:tcPr>
          <w:p>
            <w:pPr>
              <w:jc w:val="center"/>
              <w:rPr>
                <w:rFonts w:hint="eastAsia"/>
                <w:shd w:val="clear" w:color="auto" w:fill="FFFFFF"/>
              </w:rPr>
            </w:pPr>
            <w:r>
              <w:rPr>
                <w:rFonts w:hint="eastAsia"/>
                <w:shd w:val="clear" w:color="auto" w:fill="FFFFFF"/>
              </w:rPr>
              <w:t>综合能力</w:t>
            </w:r>
          </w:p>
        </w:tc>
        <w:tc>
          <w:tcPr>
            <w:tcW w:w="1053" w:type="dxa"/>
            <w:noWrap w:val="0"/>
            <w:vAlign w:val="center"/>
          </w:tcPr>
          <w:p>
            <w:pPr>
              <w:jc w:val="left"/>
              <w:rPr>
                <w:highlight w:val="none"/>
                <w:shd w:val="clear" w:color="auto" w:fill="FFFFFF"/>
              </w:rPr>
            </w:pPr>
            <w:r>
              <w:rPr>
                <w:rFonts w:hint="eastAsia"/>
                <w:highlight w:val="none"/>
                <w:shd w:val="clear" w:color="auto" w:fill="FFFFFF"/>
              </w:rPr>
              <w:t>1</w:t>
            </w:r>
            <w:r>
              <w:rPr>
                <w:rFonts w:hint="eastAsia"/>
                <w:highlight w:val="none"/>
                <w:shd w:val="clear" w:color="auto" w:fill="FFFFFF"/>
                <w:lang w:val="en-US" w:eastAsia="zh-CN"/>
              </w:rPr>
              <w:t>3</w:t>
            </w:r>
            <w:r>
              <w:rPr>
                <w:rFonts w:hint="eastAsia"/>
                <w:highlight w:val="none"/>
                <w:shd w:val="clear" w:color="auto" w:fill="FFFFFF"/>
              </w:rPr>
              <w:t>.00分</w:t>
            </w:r>
          </w:p>
        </w:tc>
        <w:tc>
          <w:tcPr>
            <w:tcW w:w="5292" w:type="dxa"/>
            <w:noWrap w:val="0"/>
            <w:vAlign w:val="center"/>
          </w:tcPr>
          <w:p>
            <w:pPr>
              <w:jc w:val="left"/>
              <w:rPr>
                <w:rFonts w:hint="eastAsia"/>
                <w:b/>
                <w:bCs/>
                <w:szCs w:val="21"/>
                <w:highlight w:val="none"/>
              </w:rPr>
            </w:pPr>
            <w:r>
              <w:rPr>
                <w:rFonts w:hint="eastAsia"/>
                <w:szCs w:val="21"/>
                <w:highlight w:val="none"/>
              </w:rPr>
              <w:t>1、供应商所投学生计算机生产厂商通过国家信息安全服务资质认证得</w:t>
            </w:r>
            <w:r>
              <w:rPr>
                <w:rFonts w:hint="eastAsia"/>
                <w:szCs w:val="21"/>
                <w:highlight w:val="none"/>
                <w:lang w:val="en-US" w:eastAsia="zh-CN"/>
              </w:rPr>
              <w:t>3</w:t>
            </w:r>
            <w:r>
              <w:rPr>
                <w:rFonts w:hint="eastAsia"/>
                <w:szCs w:val="21"/>
                <w:highlight w:val="none"/>
              </w:rPr>
              <w:t>分。</w:t>
            </w:r>
            <w:r>
              <w:rPr>
                <w:rFonts w:hint="eastAsia"/>
                <w:b/>
                <w:bCs/>
                <w:szCs w:val="21"/>
                <w:highlight w:val="none"/>
              </w:rPr>
              <w:t>（提供相关证明材料加盖公章装入</w:t>
            </w:r>
            <w:r>
              <w:rPr>
                <w:rFonts w:hint="eastAsia"/>
                <w:b/>
                <w:bCs/>
                <w:szCs w:val="21"/>
                <w:highlight w:val="none"/>
                <w:lang w:val="en-US" w:eastAsia="zh-CN"/>
              </w:rPr>
              <w:t>响应</w:t>
            </w:r>
            <w:r>
              <w:rPr>
                <w:rFonts w:hint="eastAsia"/>
                <w:b/>
                <w:bCs/>
                <w:szCs w:val="21"/>
                <w:highlight w:val="none"/>
              </w:rPr>
              <w:t>文件）</w:t>
            </w:r>
          </w:p>
          <w:p>
            <w:pPr>
              <w:jc w:val="left"/>
              <w:rPr>
                <w:rFonts w:hint="eastAsia"/>
                <w:b/>
                <w:bCs/>
                <w:szCs w:val="21"/>
                <w:highlight w:val="none"/>
              </w:rPr>
            </w:pPr>
            <w:r>
              <w:rPr>
                <w:rFonts w:hint="eastAsia"/>
                <w:color w:val="auto"/>
                <w:szCs w:val="21"/>
                <w:highlight w:val="none"/>
                <w:lang w:val="en-US" w:eastAsia="zh-CN"/>
              </w:rPr>
              <w:t>2</w:t>
            </w:r>
            <w:r>
              <w:rPr>
                <w:rFonts w:hint="eastAsia"/>
                <w:color w:val="auto"/>
                <w:szCs w:val="21"/>
                <w:highlight w:val="none"/>
              </w:rPr>
              <w:t>、供应商所投智慧创客学习软件具</w:t>
            </w:r>
            <w:r>
              <w:rPr>
                <w:rFonts w:hint="eastAsia"/>
                <w:szCs w:val="21"/>
                <w:highlight w:val="none"/>
              </w:rPr>
              <w:t>有作业批改系统、智能测评系统、教材研发系统、官网自定义系统功能的相关计算机软件著作权登记证书每提供一份得</w:t>
            </w:r>
            <w:r>
              <w:rPr>
                <w:rFonts w:hint="eastAsia"/>
                <w:szCs w:val="21"/>
                <w:highlight w:val="none"/>
                <w:lang w:val="en-US" w:eastAsia="zh-CN"/>
              </w:rPr>
              <w:t>1</w:t>
            </w:r>
            <w:r>
              <w:rPr>
                <w:rFonts w:hint="eastAsia"/>
                <w:szCs w:val="21"/>
                <w:highlight w:val="none"/>
              </w:rPr>
              <w:t>分，最多得</w:t>
            </w:r>
            <w:r>
              <w:rPr>
                <w:rFonts w:hint="eastAsia"/>
                <w:szCs w:val="21"/>
                <w:highlight w:val="none"/>
                <w:lang w:val="en-US" w:eastAsia="zh-CN"/>
              </w:rPr>
              <w:t>4</w:t>
            </w:r>
            <w:r>
              <w:rPr>
                <w:rFonts w:hint="eastAsia"/>
                <w:szCs w:val="21"/>
                <w:highlight w:val="none"/>
              </w:rPr>
              <w:t>分。未提供的不得分。</w:t>
            </w:r>
            <w:r>
              <w:rPr>
                <w:rFonts w:hint="eastAsia"/>
                <w:b/>
                <w:bCs/>
                <w:szCs w:val="21"/>
                <w:highlight w:val="none"/>
              </w:rPr>
              <w:t>（提供相关证明材料加盖公章装入</w:t>
            </w:r>
            <w:r>
              <w:rPr>
                <w:rFonts w:hint="eastAsia"/>
                <w:b/>
                <w:bCs/>
                <w:szCs w:val="21"/>
                <w:highlight w:val="none"/>
                <w:lang w:val="en-US" w:eastAsia="zh-CN"/>
              </w:rPr>
              <w:t>响应</w:t>
            </w:r>
            <w:r>
              <w:rPr>
                <w:rFonts w:hint="eastAsia"/>
                <w:b/>
                <w:bCs/>
                <w:szCs w:val="21"/>
                <w:highlight w:val="none"/>
              </w:rPr>
              <w:t>文件）</w:t>
            </w:r>
          </w:p>
          <w:p>
            <w:pPr>
              <w:jc w:val="left"/>
              <w:rPr>
                <w:rFonts w:hint="eastAsia" w:ascii="宋体" w:hAnsi="宋体" w:eastAsia="宋体" w:cs="宋体"/>
                <w:b/>
                <w:bCs/>
                <w:szCs w:val="21"/>
                <w:highlight w:val="none"/>
                <w:lang w:val="en-US" w:eastAsia="zh-CN"/>
              </w:rPr>
            </w:pPr>
            <w:r>
              <w:rPr>
                <w:rFonts w:hint="eastAsia" w:ascii="宋体" w:hAnsi="宋体" w:eastAsia="宋体" w:cs="宋体"/>
                <w:kern w:val="2"/>
                <w:sz w:val="21"/>
                <w:szCs w:val="22"/>
                <w:highlight w:val="none"/>
                <w:lang w:val="en-US" w:eastAsia="zh-CN" w:bidi="ar-SA"/>
              </w:rPr>
              <w:t>3、供应商所投教学软件生产厂商软件能力成熟度达到CMMI</w:t>
            </w:r>
            <w:r>
              <w:rPr>
                <w:rFonts w:hint="eastAsia" w:ascii="宋体" w:hAnsi="宋体" w:cs="宋体"/>
                <w:kern w:val="2"/>
                <w:sz w:val="21"/>
                <w:szCs w:val="22"/>
                <w:highlight w:val="none"/>
                <w:lang w:val="en-US" w:eastAsia="zh-CN" w:bidi="ar-SA"/>
              </w:rPr>
              <w:t xml:space="preserve"> </w:t>
            </w:r>
            <w:r>
              <w:rPr>
                <w:rFonts w:hint="eastAsia" w:ascii="宋体" w:hAnsi="宋体" w:eastAsia="宋体" w:cs="宋体"/>
                <w:kern w:val="2"/>
                <w:sz w:val="21"/>
                <w:szCs w:val="22"/>
                <w:highlight w:val="none"/>
                <w:lang w:val="en-US" w:eastAsia="zh-CN" w:bidi="ar-SA"/>
              </w:rPr>
              <w:t>5级</w:t>
            </w:r>
            <w:r>
              <w:rPr>
                <w:rFonts w:hint="eastAsia" w:ascii="宋体" w:hAnsi="宋体" w:eastAsia="宋体" w:cs="宋体"/>
                <w:szCs w:val="21"/>
                <w:highlight w:val="none"/>
                <w:lang w:val="en-US" w:eastAsia="zh-CN"/>
              </w:rPr>
              <w:t>认证得3分，达到CMMI 4级得2分，达到CMMI 3级或以下得1分，不提供不得分。</w:t>
            </w:r>
            <w:r>
              <w:rPr>
                <w:rFonts w:hint="eastAsia" w:ascii="宋体" w:hAnsi="宋体" w:eastAsia="宋体" w:cs="宋体"/>
                <w:b/>
                <w:bCs/>
                <w:szCs w:val="21"/>
                <w:highlight w:val="none"/>
                <w:lang w:val="en-US" w:eastAsia="zh-CN"/>
              </w:rPr>
              <w:t>（提供相关证明材料加盖公章装入投标文件）</w:t>
            </w:r>
          </w:p>
          <w:p>
            <w:pPr>
              <w:jc w:val="left"/>
              <w:rPr>
                <w:rFonts w:hint="eastAsia" w:ascii="Times New Roman" w:hAnsi="Times New Roman"/>
                <w:highlight w:val="none"/>
                <w:lang w:val="en-US" w:eastAsia="zh-CN"/>
              </w:rPr>
            </w:pPr>
            <w:r>
              <w:rPr>
                <w:rFonts w:hint="eastAsia" w:ascii="宋体" w:hAnsi="宋体" w:eastAsia="宋体" w:cs="宋体"/>
                <w:szCs w:val="21"/>
                <w:highlight w:val="none"/>
                <w:lang w:val="en-US" w:eastAsia="zh-CN"/>
              </w:rPr>
              <w:t>4、所投3D打印（教师机）产品配套软件取得计算机软件著作权登记证书得3分，未提供</w:t>
            </w:r>
            <w:r>
              <w:rPr>
                <w:rFonts w:hint="eastAsia" w:ascii="宋体" w:hAnsi="宋体" w:eastAsia="宋体" w:cs="宋体"/>
                <w:kern w:val="2"/>
                <w:sz w:val="21"/>
                <w:szCs w:val="21"/>
                <w:highlight w:val="none"/>
                <w:lang w:val="en-US" w:eastAsia="zh-CN" w:bidi="ar-SA"/>
              </w:rPr>
              <w:t>不得分。</w:t>
            </w:r>
            <w:r>
              <w:rPr>
                <w:rFonts w:hint="eastAsia" w:ascii="宋体" w:hAnsi="宋体" w:eastAsia="宋体" w:cs="宋体"/>
                <w:b/>
                <w:bCs/>
                <w:kern w:val="2"/>
                <w:sz w:val="21"/>
                <w:szCs w:val="21"/>
                <w:highlight w:val="none"/>
                <w:lang w:val="en-US" w:eastAsia="zh-CN" w:bidi="ar-SA"/>
              </w:rPr>
              <w:t>（提供相关证明材料加盖供应商公章装入响应文件）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2" w:type="dxa"/>
            <w:vMerge w:val="continue"/>
            <w:noWrap w:val="0"/>
            <w:vAlign w:val="center"/>
          </w:tcPr>
          <w:p>
            <w:pPr>
              <w:jc w:val="left"/>
              <w:rPr>
                <w:rFonts w:hint="eastAsia"/>
                <w:shd w:val="clear" w:color="auto" w:fill="FFFFFF"/>
              </w:rPr>
            </w:pPr>
          </w:p>
        </w:tc>
        <w:tc>
          <w:tcPr>
            <w:tcW w:w="1365" w:type="dxa"/>
            <w:noWrap w:val="0"/>
            <w:vAlign w:val="center"/>
          </w:tcPr>
          <w:p>
            <w:pPr>
              <w:jc w:val="left"/>
              <w:rPr>
                <w:shd w:val="clear" w:color="auto" w:fill="FFFFFF"/>
              </w:rPr>
            </w:pPr>
            <w:r>
              <w:rPr>
                <w:shd w:val="clear" w:color="auto" w:fill="FFFFFF"/>
              </w:rPr>
              <w:t>售后服务方案</w:t>
            </w:r>
          </w:p>
        </w:tc>
        <w:tc>
          <w:tcPr>
            <w:tcW w:w="1053" w:type="dxa"/>
            <w:noWrap w:val="0"/>
            <w:vAlign w:val="center"/>
          </w:tcPr>
          <w:p>
            <w:pPr>
              <w:jc w:val="left"/>
              <w:rPr>
                <w:rFonts w:hint="eastAsia"/>
                <w:shd w:val="clear" w:color="auto" w:fill="FFFFFF"/>
              </w:rPr>
            </w:pPr>
            <w:r>
              <w:rPr>
                <w:rFonts w:hint="eastAsia"/>
                <w:shd w:val="clear" w:color="auto" w:fill="FFFFFF"/>
                <w:lang w:val="en-US" w:eastAsia="zh-CN"/>
              </w:rPr>
              <w:t>9</w:t>
            </w:r>
            <w:r>
              <w:rPr>
                <w:rFonts w:hint="eastAsia"/>
                <w:shd w:val="clear" w:color="auto" w:fill="FFFFFF"/>
              </w:rPr>
              <w:t>.00分</w:t>
            </w:r>
          </w:p>
        </w:tc>
        <w:tc>
          <w:tcPr>
            <w:tcW w:w="5292" w:type="dxa"/>
            <w:noWrap w:val="0"/>
            <w:vAlign w:val="center"/>
          </w:tcPr>
          <w:p>
            <w:pPr>
              <w:numPr>
                <w:ilvl w:val="0"/>
                <w:numId w:val="33"/>
              </w:numPr>
              <w:jc w:val="left"/>
              <w:rPr>
                <w:rFonts w:hint="eastAsia"/>
              </w:rPr>
            </w:pPr>
            <w:r>
              <w:rPr>
                <w:rFonts w:hint="eastAsia"/>
              </w:rPr>
              <w:t>根据供应商</w:t>
            </w:r>
            <w:r>
              <w:t>提供的售后服务方案</w:t>
            </w:r>
            <w:r>
              <w:rPr>
                <w:rFonts w:hint="eastAsia"/>
              </w:rPr>
              <w:t>进行评分；包括</w:t>
            </w:r>
            <w:r>
              <w:rPr>
                <w:rFonts w:hint="eastAsia"/>
                <w:lang w:val="en-US" w:eastAsia="zh-CN"/>
              </w:rPr>
              <w:t>①</w:t>
            </w:r>
            <w:r>
              <w:t>本地化服务</w:t>
            </w:r>
            <w:r>
              <w:rPr>
                <w:rFonts w:hint="eastAsia"/>
              </w:rPr>
              <w:t>（承诺具有或中标后提供）</w:t>
            </w:r>
            <w:r>
              <w:t>、</w:t>
            </w:r>
            <w:r>
              <w:rPr>
                <w:rFonts w:hint="eastAsia"/>
                <w:lang w:val="en-US" w:eastAsia="zh-CN"/>
              </w:rPr>
              <w:t>②</w:t>
            </w:r>
            <w:r>
              <w:t>故障处理方案、</w:t>
            </w:r>
            <w:r>
              <w:rPr>
                <w:rFonts w:hint="eastAsia"/>
                <w:lang w:val="en-US" w:eastAsia="zh-CN"/>
              </w:rPr>
              <w:t>③</w:t>
            </w:r>
            <w:r>
              <w:t>解决故障承诺时间、</w:t>
            </w:r>
            <w:r>
              <w:rPr>
                <w:rFonts w:hint="eastAsia"/>
                <w:lang w:val="en-US" w:eastAsia="zh-CN"/>
              </w:rPr>
              <w:t>④</w:t>
            </w:r>
            <w:r>
              <w:t>人员</w:t>
            </w:r>
            <w:r>
              <w:rPr>
                <w:rFonts w:hint="eastAsia"/>
              </w:rPr>
              <w:t>培训方案</w:t>
            </w:r>
            <w:r>
              <w:t>等</w:t>
            </w:r>
            <w:r>
              <w:rPr>
                <w:rFonts w:hint="eastAsia"/>
              </w:rPr>
              <w:t>四个要素每具备以上一个要素的得</w:t>
            </w:r>
            <w:r>
              <w:rPr>
                <w:rFonts w:hint="eastAsia"/>
                <w:lang w:val="en-US" w:eastAsia="zh-CN"/>
              </w:rPr>
              <w:t>1</w:t>
            </w:r>
            <w:r>
              <w:rPr>
                <w:rFonts w:hint="eastAsia"/>
              </w:rPr>
              <w:t>分，最多得</w:t>
            </w:r>
            <w:r>
              <w:rPr>
                <w:rFonts w:hint="eastAsia"/>
                <w:lang w:val="en-US" w:eastAsia="zh-CN"/>
              </w:rPr>
              <w:t>4</w:t>
            </w:r>
            <w:r>
              <w:rPr>
                <w:rFonts w:hint="eastAsia"/>
              </w:rPr>
              <w:t>分；在具备以上四个要素的基础上，每有一个要素完全符合采购需求的各加0.5分，最多加2分，本项最多得</w:t>
            </w:r>
            <w:r>
              <w:rPr>
                <w:rFonts w:hint="eastAsia"/>
                <w:lang w:val="en-US" w:eastAsia="zh-CN"/>
              </w:rPr>
              <w:t>6</w:t>
            </w:r>
            <w:r>
              <w:rPr>
                <w:rFonts w:hint="eastAsia"/>
              </w:rPr>
              <w:t>分。（说明：不符合或不完全符合釆购需求是指存在不适用项目实际情况、凭空编造、逻辑漏洞、原理错误、内容阐述不清晰的情形。）</w:t>
            </w:r>
          </w:p>
          <w:p>
            <w:pPr>
              <w:numPr>
                <w:ilvl w:val="0"/>
                <w:numId w:val="33"/>
              </w:numPr>
              <w:jc w:val="left"/>
              <w:rPr>
                <w:rFonts w:hint="eastAsia"/>
              </w:rPr>
            </w:pPr>
            <w:r>
              <w:rPr>
                <w:rFonts w:hint="eastAsia"/>
              </w:rPr>
              <w:t>供应商</w:t>
            </w:r>
            <w:r>
              <w:rPr>
                <w:rFonts w:hint="eastAsia"/>
                <w:lang w:val="en-US" w:eastAsia="zh-CN"/>
              </w:rPr>
              <w:t>承诺中标后签订合同前，向采购人提供本项目</w:t>
            </w:r>
            <w:r>
              <w:rPr>
                <w:rFonts w:hint="eastAsia"/>
              </w:rPr>
              <w:t>主要设备（教学软件、学生计算机、智慧创客学习软件</w:t>
            </w:r>
            <w:r>
              <w:rPr>
                <w:rFonts w:hint="eastAsia"/>
              </w:rPr>
              <w:t>）</w:t>
            </w:r>
            <w:r>
              <w:rPr>
                <w:rFonts w:hint="eastAsia"/>
                <w:lang w:val="en-US" w:eastAsia="zh-CN"/>
              </w:rPr>
              <w:t>的厂商</w:t>
            </w:r>
            <w:r>
              <w:rPr>
                <w:rFonts w:hint="eastAsia"/>
              </w:rPr>
              <w:t>三年售后服务承诺函原件，售后服务承诺中每有一个产品承诺的，得</w:t>
            </w:r>
            <w:r>
              <w:rPr>
                <w:rFonts w:hint="eastAsia"/>
                <w:lang w:val="en-US" w:eastAsia="zh-CN"/>
              </w:rPr>
              <w:t>1</w:t>
            </w:r>
            <w:r>
              <w:rPr>
                <w:rFonts w:hint="eastAsia"/>
              </w:rPr>
              <w:t>分，最多得</w:t>
            </w:r>
            <w:r>
              <w:rPr>
                <w:rFonts w:hint="eastAsia"/>
                <w:lang w:val="en-US" w:eastAsia="zh-CN"/>
              </w:rPr>
              <w:t>3</w:t>
            </w:r>
            <w:r>
              <w:rPr>
                <w:rFonts w:hint="eastAsia"/>
              </w:rPr>
              <w:t>分。（说明:提供售后服务承诺书加盖供应商公章装入</w:t>
            </w:r>
            <w:r>
              <w:rPr>
                <w:rFonts w:hint="eastAsia"/>
                <w:lang w:val="en-US" w:eastAsia="zh-CN"/>
              </w:rPr>
              <w:t>响应</w:t>
            </w:r>
            <w:r>
              <w:rPr>
                <w:rFonts w:hint="eastAsia"/>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2" w:type="dxa"/>
            <w:vMerge w:val="restart"/>
            <w:noWrap w:val="0"/>
            <w:vAlign w:val="center"/>
          </w:tcPr>
          <w:p>
            <w:pPr>
              <w:jc w:val="left"/>
              <w:rPr>
                <w:rFonts w:hint="eastAsia"/>
                <w:b/>
                <w:bCs/>
                <w:shd w:val="clear" w:color="auto" w:fill="FFFFFF"/>
              </w:rPr>
            </w:pPr>
            <w:r>
              <w:rPr>
                <w:rFonts w:hint="eastAsia"/>
                <w:b/>
                <w:bCs/>
                <w:shd w:val="clear" w:color="auto" w:fill="FFFFFF"/>
              </w:rPr>
              <w:t>评审委员会评审</w:t>
            </w:r>
          </w:p>
          <w:p>
            <w:pPr>
              <w:jc w:val="left"/>
              <w:rPr>
                <w:rFonts w:hint="eastAsia"/>
                <w:shd w:val="clear" w:color="auto" w:fill="FFFFFF"/>
              </w:rPr>
            </w:pPr>
          </w:p>
        </w:tc>
        <w:tc>
          <w:tcPr>
            <w:tcW w:w="1365" w:type="dxa"/>
            <w:noWrap w:val="0"/>
            <w:vAlign w:val="center"/>
          </w:tcPr>
          <w:p>
            <w:pPr>
              <w:jc w:val="center"/>
              <w:rPr>
                <w:rFonts w:hint="eastAsia"/>
                <w:shd w:val="clear" w:color="auto" w:fill="FFFFFF"/>
              </w:rPr>
            </w:pPr>
          </w:p>
          <w:p>
            <w:pPr>
              <w:jc w:val="center"/>
              <w:rPr>
                <w:rFonts w:hint="eastAsia"/>
                <w:shd w:val="clear" w:color="auto" w:fill="FFFFFF"/>
              </w:rPr>
            </w:pPr>
            <w:r>
              <w:rPr>
                <w:rFonts w:hint="eastAsia"/>
                <w:shd w:val="clear" w:color="auto" w:fill="FFFFFF"/>
              </w:rPr>
              <w:t>履约能力</w:t>
            </w:r>
          </w:p>
        </w:tc>
        <w:tc>
          <w:tcPr>
            <w:tcW w:w="1053" w:type="dxa"/>
            <w:noWrap w:val="0"/>
            <w:vAlign w:val="center"/>
          </w:tcPr>
          <w:p>
            <w:pPr>
              <w:jc w:val="left"/>
              <w:rPr>
                <w:rFonts w:hint="eastAsia"/>
                <w:shd w:val="clear" w:color="auto" w:fill="FFFFFF"/>
                <w:lang w:val="en-US" w:eastAsia="zh-CN"/>
              </w:rPr>
            </w:pPr>
          </w:p>
          <w:p>
            <w:pPr>
              <w:jc w:val="left"/>
              <w:rPr>
                <w:rFonts w:hint="eastAsia"/>
                <w:shd w:val="clear" w:color="auto" w:fill="FFFFFF"/>
              </w:rPr>
            </w:pPr>
            <w:r>
              <w:rPr>
                <w:rFonts w:hint="eastAsia"/>
                <w:shd w:val="clear" w:color="auto" w:fill="FFFFFF"/>
                <w:lang w:val="en-US" w:eastAsia="zh-CN"/>
              </w:rPr>
              <w:t>5</w:t>
            </w:r>
            <w:r>
              <w:rPr>
                <w:rFonts w:hint="eastAsia"/>
                <w:shd w:val="clear" w:color="auto" w:fill="FFFFFF"/>
              </w:rPr>
              <w:t>.00分</w:t>
            </w:r>
          </w:p>
          <w:p>
            <w:pPr>
              <w:jc w:val="left"/>
              <w:rPr>
                <w:rFonts w:hint="eastAsia"/>
                <w:shd w:val="clear" w:color="auto" w:fill="FFFFFF"/>
              </w:rPr>
            </w:pPr>
          </w:p>
        </w:tc>
        <w:tc>
          <w:tcPr>
            <w:tcW w:w="5292" w:type="dxa"/>
            <w:noWrap w:val="0"/>
            <w:vAlign w:val="center"/>
          </w:tcPr>
          <w:p>
            <w:pPr>
              <w:widowControl/>
              <w:numPr>
                <w:ilvl w:val="0"/>
                <w:numId w:val="34"/>
              </w:numPr>
              <w:rPr>
                <w:b/>
                <w:szCs w:val="21"/>
              </w:rPr>
            </w:pPr>
            <w:r>
              <w:rPr>
                <w:rFonts w:hint="eastAsia"/>
                <w:szCs w:val="21"/>
              </w:rPr>
              <w:t>供应商</w:t>
            </w:r>
            <w:r>
              <w:rPr>
                <w:szCs w:val="21"/>
              </w:rPr>
              <w:t>201</w:t>
            </w:r>
            <w:r>
              <w:rPr>
                <w:rFonts w:hint="eastAsia"/>
                <w:szCs w:val="21"/>
              </w:rPr>
              <w:t>8</w:t>
            </w:r>
            <w:r>
              <w:rPr>
                <w:szCs w:val="21"/>
              </w:rPr>
              <w:t>年</w:t>
            </w:r>
            <w:r>
              <w:rPr>
                <w:rFonts w:hint="eastAsia"/>
                <w:szCs w:val="21"/>
              </w:rPr>
              <w:t>1</w:t>
            </w:r>
            <w:r>
              <w:rPr>
                <w:szCs w:val="21"/>
              </w:rPr>
              <w:t>月1日以</w:t>
            </w:r>
            <w:r>
              <w:rPr>
                <w:rFonts w:hint="eastAsia"/>
                <w:szCs w:val="21"/>
              </w:rPr>
              <w:t>来</w:t>
            </w:r>
            <w:r>
              <w:rPr>
                <w:szCs w:val="21"/>
              </w:rPr>
              <w:t>（含1日）每具有一个类似</w:t>
            </w:r>
            <w:r>
              <w:rPr>
                <w:rFonts w:hint="eastAsia"/>
                <w:szCs w:val="21"/>
              </w:rPr>
              <w:t>本</w:t>
            </w:r>
            <w:r>
              <w:rPr>
                <w:szCs w:val="21"/>
              </w:rPr>
              <w:t>项目业绩的得</w:t>
            </w:r>
            <w:r>
              <w:rPr>
                <w:rFonts w:hint="eastAsia"/>
                <w:szCs w:val="21"/>
              </w:rPr>
              <w:t>0.5</w:t>
            </w:r>
            <w:r>
              <w:rPr>
                <w:szCs w:val="21"/>
              </w:rPr>
              <w:t>分，最多得</w:t>
            </w:r>
            <w:r>
              <w:rPr>
                <w:rFonts w:hint="eastAsia"/>
                <w:szCs w:val="21"/>
                <w:lang w:val="en-US" w:eastAsia="zh-CN"/>
              </w:rPr>
              <w:t>2</w:t>
            </w:r>
            <w:r>
              <w:rPr>
                <w:szCs w:val="21"/>
              </w:rPr>
              <w:t>分。</w:t>
            </w:r>
            <w:r>
              <w:rPr>
                <w:b/>
                <w:szCs w:val="21"/>
              </w:rPr>
              <w:t>（说明：提供合同复印件</w:t>
            </w:r>
            <w:r>
              <w:rPr>
                <w:rFonts w:hint="eastAsia"/>
                <w:b/>
                <w:szCs w:val="21"/>
              </w:rPr>
              <w:t>加盖供应商公章装入</w:t>
            </w:r>
            <w:r>
              <w:rPr>
                <w:rFonts w:hint="eastAsia"/>
                <w:b/>
                <w:bCs/>
                <w:szCs w:val="21"/>
                <w:lang w:val="en-US" w:eastAsia="zh-CN"/>
              </w:rPr>
              <w:t>响应</w:t>
            </w:r>
            <w:r>
              <w:rPr>
                <w:rFonts w:hint="eastAsia"/>
                <w:b/>
                <w:szCs w:val="21"/>
              </w:rPr>
              <w:t>文件</w:t>
            </w:r>
            <w:r>
              <w:rPr>
                <w:b/>
                <w:szCs w:val="21"/>
              </w:rPr>
              <w:t>）</w:t>
            </w:r>
          </w:p>
          <w:p>
            <w:pPr>
              <w:widowControl/>
              <w:numPr>
                <w:ilvl w:val="0"/>
                <w:numId w:val="34"/>
              </w:numPr>
              <w:rPr>
                <w:szCs w:val="21"/>
              </w:rPr>
            </w:pPr>
            <w:r>
              <w:rPr>
                <w:rFonts w:hint="eastAsia"/>
                <w:color w:val="000000"/>
                <w:kern w:val="0"/>
                <w:szCs w:val="21"/>
                <w:lang w:bidi="ar"/>
              </w:rPr>
              <w:t>供</w:t>
            </w:r>
            <w:r>
              <w:rPr>
                <w:rFonts w:hint="eastAsia"/>
                <w:kern w:val="0"/>
                <w:szCs w:val="21"/>
                <w:lang w:bidi="ar"/>
              </w:rPr>
              <w:t>应商具有有效质量管理体系认证、环境管理体系认证、职业健康安全管理体系认证证书，每提供一个得1分，最多得3分。</w:t>
            </w:r>
            <w:r>
              <w:rPr>
                <w:b/>
                <w:szCs w:val="21"/>
              </w:rPr>
              <w:t>（说明：</w:t>
            </w:r>
            <w:r>
              <w:rPr>
                <w:rFonts w:hint="eastAsia"/>
                <w:b/>
                <w:szCs w:val="21"/>
              </w:rPr>
              <w:t>提供相关证明材料加盖公章</w:t>
            </w:r>
            <w:r>
              <w:rPr>
                <w:b/>
                <w:szCs w:val="21"/>
              </w:rPr>
              <w:t>装入</w:t>
            </w:r>
            <w:r>
              <w:rPr>
                <w:rFonts w:hint="eastAsia"/>
                <w:b/>
                <w:bCs/>
                <w:szCs w:val="21"/>
                <w:lang w:val="en-US" w:eastAsia="zh-CN"/>
              </w:rPr>
              <w:t>响应</w:t>
            </w:r>
            <w:r>
              <w:rPr>
                <w:b/>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2" w:type="dxa"/>
            <w:vMerge w:val="continue"/>
            <w:noWrap w:val="0"/>
            <w:vAlign w:val="center"/>
          </w:tcPr>
          <w:p>
            <w:pPr>
              <w:jc w:val="left"/>
              <w:rPr>
                <w:rFonts w:hint="eastAsia"/>
                <w:shd w:val="clear" w:color="auto" w:fill="FFFFFF"/>
              </w:rPr>
            </w:pPr>
          </w:p>
        </w:tc>
        <w:tc>
          <w:tcPr>
            <w:tcW w:w="1365" w:type="dxa"/>
            <w:noWrap w:val="0"/>
            <w:vAlign w:val="center"/>
          </w:tcPr>
          <w:p>
            <w:pPr>
              <w:jc w:val="left"/>
              <w:rPr>
                <w:rFonts w:hint="eastAsia"/>
                <w:shd w:val="clear" w:color="auto" w:fill="FFFFFF"/>
              </w:rPr>
            </w:pPr>
            <w:r>
              <w:rPr>
                <w:rFonts w:hint="eastAsia"/>
                <w:shd w:val="clear" w:color="auto" w:fill="FFFFFF"/>
              </w:rPr>
              <w:t>节能、环保，无线局域网认证产品</w:t>
            </w:r>
          </w:p>
        </w:tc>
        <w:tc>
          <w:tcPr>
            <w:tcW w:w="1053" w:type="dxa"/>
            <w:noWrap w:val="0"/>
            <w:vAlign w:val="center"/>
          </w:tcPr>
          <w:p>
            <w:pPr>
              <w:jc w:val="left"/>
              <w:rPr>
                <w:rFonts w:hint="eastAsia"/>
                <w:shd w:val="clear" w:color="auto" w:fill="FFFFFF"/>
              </w:rPr>
            </w:pPr>
            <w:r>
              <w:rPr>
                <w:rFonts w:hint="eastAsia"/>
                <w:shd w:val="clear" w:color="auto" w:fill="FFFFFF"/>
              </w:rPr>
              <w:t>1.00分</w:t>
            </w:r>
          </w:p>
        </w:tc>
        <w:tc>
          <w:tcPr>
            <w:tcW w:w="5292" w:type="dxa"/>
            <w:noWrap w:val="0"/>
            <w:vAlign w:val="center"/>
          </w:tcPr>
          <w:p>
            <w:pPr>
              <w:pStyle w:val="41"/>
              <w:ind w:left="0" w:leftChars="0" w:firstLine="0" w:firstLineChars="0"/>
              <w:rPr>
                <w:rFonts w:hint="eastAsia"/>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所投产品中每有一项产品（除节能产品政府采购品目清单中的政府强制采购产品外）具有国家确定的认证机构出具的节能产品认证证书的得0.</w:t>
            </w:r>
            <w:r>
              <w:rPr>
                <w:rFonts w:hint="eastAsia" w:cs="宋体"/>
                <w:color w:val="auto"/>
                <w:highlight w:val="none"/>
                <w:lang w:val="en-US" w:eastAsia="zh-CN"/>
              </w:rPr>
              <w:t>2</w:t>
            </w:r>
            <w:r>
              <w:rPr>
                <w:rFonts w:hint="eastAsia" w:ascii="宋体" w:hAnsi="宋体" w:eastAsia="宋体" w:cs="宋体"/>
                <w:color w:val="auto"/>
                <w:highlight w:val="none"/>
              </w:rPr>
              <w:t>5分；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所投产品中每有一项产品具有国家确定的认证机构出具的环境标志产品认证证书的得0.</w:t>
            </w:r>
            <w:r>
              <w:rPr>
                <w:rFonts w:hint="eastAsia" w:cs="宋体"/>
                <w:color w:val="auto"/>
                <w:highlight w:val="none"/>
                <w:lang w:val="en-US" w:eastAsia="zh-CN"/>
              </w:rPr>
              <w:t>2</w:t>
            </w:r>
            <w:r>
              <w:rPr>
                <w:rFonts w:hint="eastAsia" w:ascii="宋体" w:hAnsi="宋体" w:eastAsia="宋体" w:cs="宋体"/>
                <w:color w:val="auto"/>
                <w:highlight w:val="none"/>
              </w:rPr>
              <w:t>5分；</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所投产品中如果有属于无线局域网认证产品政府采购清单（最新一期）中采购目录范围的得0.</w:t>
            </w:r>
            <w:r>
              <w:rPr>
                <w:rFonts w:hint="eastAsia" w:cs="宋体"/>
                <w:color w:val="auto"/>
                <w:highlight w:val="none"/>
                <w:lang w:val="en-US" w:eastAsia="zh-CN"/>
              </w:rPr>
              <w:t>2</w:t>
            </w:r>
            <w:r>
              <w:rPr>
                <w:rFonts w:hint="eastAsia" w:ascii="宋体" w:hAnsi="宋体" w:eastAsia="宋体" w:cs="宋体"/>
                <w:color w:val="auto"/>
                <w:highlight w:val="none"/>
              </w:rPr>
              <w:t>5分</w:t>
            </w:r>
            <w:r>
              <w:rPr>
                <w:rFonts w:hint="eastAsia" w:ascii="宋体" w:hAnsi="宋体" w:eastAsia="宋体" w:cs="宋体"/>
                <w:color w:val="auto"/>
                <w:highlight w:val="none"/>
                <w:lang w:eastAsia="zh-CN"/>
              </w:rPr>
              <w:t>，本项最多得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分。</w:t>
            </w:r>
            <w:r>
              <w:rPr>
                <w:rFonts w:hint="eastAsia" w:ascii="宋体" w:hAnsi="宋体" w:eastAsia="宋体" w:cs="宋体"/>
                <w:b/>
                <w:bCs/>
                <w:color w:val="auto"/>
                <w:highlight w:val="none"/>
              </w:rPr>
              <w:t>（</w:t>
            </w:r>
            <w:r>
              <w:rPr>
                <w:rFonts w:hint="eastAsia" w:ascii="宋体" w:hAnsi="宋体" w:eastAsia="宋体" w:cs="宋体"/>
                <w:b/>
                <w:bCs/>
                <w:color w:val="000000"/>
                <w:kern w:val="0"/>
                <w:sz w:val="20"/>
                <w:szCs w:val="20"/>
                <w:lang w:val="en-US" w:eastAsia="zh-CN" w:bidi="ar"/>
              </w:rPr>
              <w:t>说明</w:t>
            </w:r>
            <w:r>
              <w:rPr>
                <w:rFonts w:hint="eastAsia" w:ascii="宋体" w:hAnsi="宋体" w:eastAsia="宋体" w:cs="宋体"/>
                <w:b/>
                <w:bCs/>
                <w:color w:val="auto"/>
                <w:highlight w:val="none"/>
              </w:rPr>
              <w:t>：无线局域网认证产品提供清单复印件，节能产品、环境标志产品提供有效的证书复印件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p>
        </w:tc>
      </w:tr>
    </w:tbl>
    <w:p>
      <w:pPr>
        <w:pStyle w:val="113"/>
        <w:ind w:firstLine="482"/>
        <w:rPr>
          <w:rFonts w:hint="eastAsia"/>
          <w:b/>
          <w:color w:val="000000"/>
          <w:shd w:val="clear" w:color="auto" w:fill="FFFFFF"/>
        </w:rPr>
      </w:pPr>
    </w:p>
    <w:p>
      <w:pPr>
        <w:pStyle w:val="113"/>
        <w:ind w:firstLine="482"/>
        <w:rPr>
          <w:b/>
          <w:color w:val="000000"/>
          <w:shd w:val="clear" w:color="auto" w:fill="FFFFFF"/>
        </w:rPr>
      </w:pPr>
      <w:r>
        <w:rPr>
          <w:rFonts w:hint="eastAsia"/>
          <w:b/>
          <w:color w:val="000000"/>
          <w:shd w:val="clear" w:color="auto" w:fill="FFFFFF"/>
        </w:rPr>
        <w:t>说明：</w:t>
      </w:r>
    </w:p>
    <w:p>
      <w:pPr>
        <w:pStyle w:val="113"/>
        <w:ind w:firstLine="480"/>
        <w:rPr>
          <w:color w:val="000000"/>
          <w:shd w:val="clear" w:color="auto" w:fill="FFFFFF"/>
        </w:rPr>
      </w:pPr>
      <w:r>
        <w:rPr>
          <w:rFonts w:hint="eastAsia"/>
          <w:color w:val="000000"/>
          <w:shd w:val="clear" w:color="auto" w:fill="FFFFFF"/>
        </w:rPr>
        <w:t>1、评分的取值按四舍五入法，保留小数点后两位；</w:t>
      </w:r>
    </w:p>
    <w:p>
      <w:pPr>
        <w:pStyle w:val="4"/>
        <w:spacing w:before="156" w:after="156"/>
        <w:ind w:left="0" w:firstLine="480" w:firstLineChars="200"/>
        <w:rPr>
          <w:rFonts w:hint="eastAsia" w:ascii="宋体" w:hAnsi="宋体" w:eastAsiaTheme="minorEastAsia" w:cstheme="minorBidi"/>
          <w:b w:val="0"/>
          <w:bCs w:val="0"/>
          <w:iCs w:val="0"/>
          <w:color w:val="000000"/>
          <w:kern w:val="10"/>
          <w:sz w:val="24"/>
          <w:szCs w:val="22"/>
          <w:shd w:val="clear" w:color="auto" w:fill="FFFFFF"/>
          <w:lang w:val="en-US" w:eastAsia="zh-CN" w:bidi="ar-SA"/>
        </w:rPr>
      </w:pPr>
      <w:bookmarkStart w:id="467" w:name="_Toc32691"/>
      <w:bookmarkStart w:id="468" w:name="_Toc30637"/>
      <w:r>
        <w:rPr>
          <w:rFonts w:hint="eastAsia" w:ascii="宋体" w:hAnsi="宋体" w:eastAsiaTheme="minorEastAsia" w:cstheme="minorBidi"/>
          <w:b w:val="0"/>
          <w:bCs w:val="0"/>
          <w:iCs w:val="0"/>
          <w:color w:val="000000"/>
          <w:kern w:val="10"/>
          <w:sz w:val="24"/>
          <w:szCs w:val="22"/>
          <w:shd w:val="clear" w:color="auto" w:fill="FFFFFF"/>
          <w:lang w:val="en-US" w:eastAsia="zh-CN" w:bidi="ar-SA"/>
        </w:rPr>
        <w:t>2、评分标准中要求提供复印件的证明材料须清晰可辨。</w:t>
      </w:r>
      <w:bookmarkEnd w:id="467"/>
      <w:bookmarkEnd w:id="468"/>
      <w:r>
        <w:rPr>
          <w:rFonts w:hint="eastAsia" w:ascii="宋体" w:hAnsi="宋体" w:eastAsiaTheme="minorEastAsia" w:cstheme="minorBidi"/>
          <w:b w:val="0"/>
          <w:bCs w:val="0"/>
          <w:iCs w:val="0"/>
          <w:color w:val="000000"/>
          <w:kern w:val="10"/>
          <w:sz w:val="24"/>
          <w:szCs w:val="22"/>
          <w:shd w:val="clear" w:color="auto" w:fill="FFFFFF"/>
          <w:lang w:val="en-US" w:eastAsia="zh-CN" w:bidi="ar-SA"/>
        </w:rPr>
        <w:t xml:space="preserve"> </w:t>
      </w:r>
    </w:p>
    <w:p>
      <w:pPr>
        <w:pStyle w:val="4"/>
        <w:numPr>
          <w:ilvl w:val="0"/>
          <w:numId w:val="0"/>
        </w:numPr>
        <w:spacing w:before="156" w:after="156"/>
        <w:ind w:left="567" w:hanging="567"/>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w:t>
      </w:r>
      <w:bookmarkStart w:id="469" w:name="_Toc3911"/>
      <w:r>
        <w:rPr>
          <w:rFonts w:hint="eastAsia" w:ascii="宋体" w:hAnsi="宋体" w:eastAsia="宋体" w:cs="Times New Roman"/>
          <w:color w:val="auto"/>
          <w:highlight w:val="none"/>
          <w:lang w:val="en-US" w:eastAsia="zh-CN"/>
        </w:rPr>
        <w:t>5.5采购失败情形</w:t>
      </w:r>
      <w:bookmarkEnd w:id="469"/>
    </w:p>
    <w:p>
      <w:pPr>
        <w:pStyle w:val="113"/>
        <w:ind w:firstLine="480"/>
        <w:rPr>
          <w:color w:val="000000"/>
          <w:shd w:val="clear" w:color="auto" w:fill="FFFFFF"/>
        </w:rPr>
      </w:pPr>
      <w:r>
        <w:rPr>
          <w:rFonts w:hint="eastAsia"/>
          <w:color w:val="000000"/>
          <w:shd w:val="clear" w:color="auto" w:fill="FFFFFF"/>
        </w:rPr>
        <w:t>有下列情形之一的，本项目采购失败：</w:t>
      </w:r>
    </w:p>
    <w:p>
      <w:pPr>
        <w:pStyle w:val="113"/>
        <w:ind w:firstLine="480"/>
        <w:rPr>
          <w:color w:val="000000"/>
          <w:shd w:val="clear" w:color="auto" w:fill="FFFFFF"/>
        </w:rPr>
      </w:pPr>
      <w:r>
        <w:rPr>
          <w:rFonts w:hint="eastAsia"/>
          <w:color w:val="000000"/>
          <w:shd w:val="clear" w:color="auto" w:fill="FFFFFF"/>
        </w:rPr>
        <w:t>一、因情况变化，不再符合规定的竞争性磋商采购方式适用情形的；</w:t>
      </w:r>
    </w:p>
    <w:p>
      <w:pPr>
        <w:pStyle w:val="113"/>
        <w:ind w:firstLine="480"/>
        <w:rPr>
          <w:color w:val="000000"/>
          <w:shd w:val="clear" w:color="auto" w:fill="FFFFFF"/>
        </w:rPr>
      </w:pPr>
      <w:r>
        <w:rPr>
          <w:rFonts w:hint="eastAsia"/>
          <w:color w:val="000000"/>
          <w:shd w:val="clear" w:color="auto" w:fill="FFFFFF"/>
        </w:rPr>
        <w:t>二、出现影响采购公正的违法、违规行为的；</w:t>
      </w:r>
    </w:p>
    <w:p>
      <w:pPr>
        <w:pStyle w:val="113"/>
        <w:ind w:firstLine="480"/>
        <w:rPr>
          <w:color w:val="000000"/>
          <w:shd w:val="clear" w:color="auto" w:fill="FFFFFF"/>
        </w:rPr>
      </w:pPr>
      <w:r>
        <w:rPr>
          <w:rFonts w:hint="eastAsia"/>
          <w:color w:val="000000"/>
          <w:shd w:val="clear" w:color="auto" w:fill="FFFFFF"/>
        </w:rPr>
        <w:t>三、递交响应文件的供应商不足三家的；</w:t>
      </w:r>
    </w:p>
    <w:p>
      <w:pPr>
        <w:pStyle w:val="113"/>
        <w:ind w:firstLine="480"/>
        <w:rPr>
          <w:color w:val="000000"/>
          <w:shd w:val="clear" w:color="auto" w:fill="FFFFFF"/>
        </w:rPr>
      </w:pPr>
      <w:r>
        <w:rPr>
          <w:rFonts w:hint="eastAsia"/>
          <w:color w:val="000000"/>
          <w:shd w:val="clear" w:color="auto" w:fill="FFFFFF"/>
        </w:rPr>
        <w:t>四、通过资格性审查的供应商不足三家的；</w:t>
      </w:r>
    </w:p>
    <w:p>
      <w:pPr>
        <w:pStyle w:val="113"/>
        <w:ind w:firstLine="480"/>
        <w:rPr>
          <w:color w:val="000000"/>
          <w:shd w:val="clear" w:color="auto" w:fill="FFFFFF"/>
        </w:rPr>
      </w:pPr>
      <w:r>
        <w:rPr>
          <w:rFonts w:hint="eastAsia"/>
          <w:color w:val="000000"/>
          <w:shd w:val="clear" w:color="auto" w:fill="FFFFFF"/>
        </w:rPr>
        <w:t>五、通过符合性审查的供应商不足三家的；</w:t>
      </w:r>
    </w:p>
    <w:p>
      <w:pPr>
        <w:pStyle w:val="113"/>
        <w:ind w:firstLine="480"/>
        <w:rPr>
          <w:color w:val="000000"/>
          <w:shd w:val="clear" w:color="auto" w:fill="FFFFFF"/>
        </w:rPr>
      </w:pPr>
      <w:r>
        <w:rPr>
          <w:rFonts w:hint="eastAsia"/>
          <w:color w:val="000000"/>
          <w:shd w:val="clear" w:color="auto" w:fill="FFFFFF"/>
        </w:rPr>
        <w:t>六、提交最后报价的供应商不足三家的；</w:t>
      </w:r>
    </w:p>
    <w:p>
      <w:pPr>
        <w:pStyle w:val="113"/>
        <w:ind w:firstLine="480"/>
        <w:rPr>
          <w:color w:val="000000"/>
          <w:shd w:val="clear" w:color="auto" w:fill="FFFFFF"/>
        </w:rPr>
      </w:pPr>
      <w:r>
        <w:rPr>
          <w:rFonts w:hint="eastAsia"/>
          <w:color w:val="000000"/>
          <w:shd w:val="clear" w:color="auto" w:fill="FFFFFF"/>
        </w:rPr>
        <w:t>七、通过最后报价审查的供应商不足三家的。</w:t>
      </w:r>
    </w:p>
    <w:p>
      <w:pPr>
        <w:pStyle w:val="4"/>
        <w:spacing w:before="156" w:after="156"/>
        <w:ind w:left="0" w:firstLine="0"/>
        <w:rPr>
          <w:color w:val="000000"/>
          <w:shd w:val="clear" w:color="auto" w:fill="FFFFFF"/>
        </w:rPr>
      </w:pPr>
      <w:bookmarkStart w:id="470" w:name="_Toc19856"/>
      <w:r>
        <w:rPr>
          <w:rFonts w:hint="eastAsia"/>
          <w:color w:val="000000"/>
          <w:shd w:val="clear" w:color="auto" w:fill="FFFFFF"/>
        </w:rPr>
        <w:t>5.</w:t>
      </w:r>
      <w:r>
        <w:rPr>
          <w:rFonts w:hint="eastAsia"/>
          <w:color w:val="000000"/>
          <w:shd w:val="clear" w:color="auto" w:fill="FFFFFF"/>
          <w:lang w:val="en-US" w:eastAsia="zh-CN"/>
        </w:rPr>
        <w:t>6</w:t>
      </w:r>
      <w:r>
        <w:rPr>
          <w:rFonts w:hint="eastAsia"/>
          <w:color w:val="000000"/>
          <w:shd w:val="clear" w:color="auto" w:fill="FFFFFF"/>
        </w:rPr>
        <w:t>确定成交供应商</w:t>
      </w:r>
      <w:bookmarkEnd w:id="470"/>
    </w:p>
    <w:p>
      <w:pPr>
        <w:widowControl/>
        <w:numPr>
          <w:ilvl w:val="0"/>
          <w:numId w:val="35"/>
        </w:numPr>
        <w:tabs>
          <w:tab w:val="left" w:pos="1134"/>
        </w:tabs>
        <w:snapToGrid w:val="0"/>
        <w:spacing w:after="200" w:line="360" w:lineRule="auto"/>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采购人根据磋商小组推荐的成交候选供应商名单，按顺序确定1名成交供应商。成交候选供应商并列的，采购人采取随机抽取的方式确定。</w:t>
      </w:r>
    </w:p>
    <w:p>
      <w:pPr>
        <w:widowControl/>
        <w:numPr>
          <w:ilvl w:val="0"/>
          <w:numId w:val="35"/>
        </w:numPr>
        <w:tabs>
          <w:tab w:val="left" w:pos="1134"/>
        </w:tabs>
        <w:snapToGrid w:val="0"/>
        <w:spacing w:after="200" w:line="620" w:lineRule="exact"/>
        <w:ind w:lef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评审结束后，</w:t>
      </w:r>
      <w:r>
        <w:rPr>
          <w:rFonts w:hint="eastAsia" w:ascii="宋体" w:hAnsi="宋体" w:cs="宋体"/>
          <w:color w:val="auto"/>
          <w:sz w:val="24"/>
          <w:szCs w:val="24"/>
          <w:highlight w:val="none"/>
          <w:lang w:eastAsia="zh-CN"/>
        </w:rPr>
        <w:t>区</w:t>
      </w:r>
      <w:r>
        <w:rPr>
          <w:rFonts w:hint="eastAsia" w:ascii="宋体" w:hAnsi="宋体" w:cs="宋体"/>
          <w:color w:val="auto"/>
          <w:sz w:val="24"/>
          <w:szCs w:val="24"/>
          <w:highlight w:val="none"/>
        </w:rPr>
        <w:t>公资交易中心在评审结束之日起2个工作日内将评审报告及有关资料送交采购人确定1名成交供应商。</w:t>
      </w:r>
    </w:p>
    <w:p>
      <w:pPr>
        <w:widowControl/>
        <w:numPr>
          <w:ilvl w:val="0"/>
          <w:numId w:val="35"/>
        </w:numPr>
        <w:tabs>
          <w:tab w:val="left" w:pos="1134"/>
        </w:tabs>
        <w:snapToGrid w:val="0"/>
        <w:spacing w:after="200"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采购人在收到评审报告后</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个工作日内，按照评审报告中推荐的成交候选供应商顺序确定成交</w:t>
      </w:r>
      <w:r>
        <w:rPr>
          <w:rFonts w:ascii="宋体" w:hAnsi="宋体" w:cs="宋体"/>
          <w:color w:val="auto"/>
          <w:sz w:val="24"/>
          <w:szCs w:val="24"/>
          <w:highlight w:val="none"/>
        </w:rPr>
        <w:t>供应商</w:t>
      </w:r>
      <w:r>
        <w:rPr>
          <w:rFonts w:hint="eastAsia" w:ascii="宋体" w:hAnsi="宋体" w:cs="宋体"/>
          <w:color w:val="auto"/>
          <w:sz w:val="24"/>
          <w:szCs w:val="24"/>
          <w:highlight w:val="none"/>
        </w:rPr>
        <w:t>。若成交候选供应商及其现任法定代表人、主要负责人存在行贿犯罪记录，采购人将不确定其为成交</w:t>
      </w:r>
      <w:r>
        <w:rPr>
          <w:rFonts w:ascii="宋体" w:hAnsi="宋体" w:cs="宋体"/>
          <w:color w:val="auto"/>
          <w:sz w:val="24"/>
          <w:szCs w:val="24"/>
          <w:highlight w:val="none"/>
        </w:rPr>
        <w:t>供应商</w:t>
      </w:r>
      <w:r>
        <w:rPr>
          <w:rFonts w:hint="eastAsia" w:ascii="宋体" w:hAnsi="宋体" w:cs="宋体"/>
          <w:color w:val="auto"/>
          <w:sz w:val="24"/>
          <w:szCs w:val="24"/>
          <w:highlight w:val="none"/>
        </w:rPr>
        <w:t>。</w:t>
      </w:r>
    </w:p>
    <w:p>
      <w:pPr>
        <w:widowControl/>
        <w:numPr>
          <w:ilvl w:val="0"/>
          <w:numId w:val="35"/>
        </w:numPr>
        <w:tabs>
          <w:tab w:val="left" w:pos="1134"/>
        </w:tabs>
        <w:snapToGrid w:val="0"/>
        <w:spacing w:after="200" w:line="360" w:lineRule="auto"/>
        <w:ind w:lef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采购人逾期未确定成交供应商且不提出异议的，视为确定评审报告提出的排序第一的供应商为成交供应商。</w:t>
      </w:r>
    </w:p>
    <w:p>
      <w:pPr>
        <w:pStyle w:val="4"/>
        <w:spacing w:before="156" w:after="156"/>
        <w:ind w:left="0" w:firstLine="0"/>
        <w:rPr>
          <w:color w:val="000000"/>
          <w:shd w:val="clear" w:color="auto" w:fill="FFFFFF"/>
        </w:rPr>
      </w:pPr>
      <w:bookmarkStart w:id="471" w:name="_Toc6101"/>
      <w:r>
        <w:rPr>
          <w:rFonts w:hint="eastAsia"/>
          <w:color w:val="000000"/>
          <w:shd w:val="clear" w:color="auto" w:fill="FFFFFF"/>
        </w:rPr>
        <w:t>5.</w:t>
      </w:r>
      <w:r>
        <w:rPr>
          <w:rFonts w:hint="eastAsia"/>
          <w:color w:val="000000"/>
          <w:shd w:val="clear" w:color="auto" w:fill="FFFFFF"/>
          <w:lang w:val="en-US" w:eastAsia="zh-CN"/>
        </w:rPr>
        <w:t>7</w:t>
      </w:r>
      <w:r>
        <w:rPr>
          <w:rFonts w:hint="eastAsia"/>
          <w:color w:val="000000"/>
          <w:shd w:val="clear" w:color="auto" w:fill="FFFFFF"/>
        </w:rPr>
        <w:t>磋商小组成员义务</w:t>
      </w:r>
      <w:bookmarkEnd w:id="471"/>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szCs w:val="24"/>
          <w:highlight w:val="none"/>
        </w:rPr>
      </w:pPr>
      <w:r>
        <w:rPr>
          <w:rFonts w:hint="eastAsia"/>
          <w:color w:val="auto"/>
          <w:sz w:val="24"/>
          <w:szCs w:val="24"/>
          <w:highlight w:val="none"/>
        </w:rPr>
        <w:t>磋商小组成员在政府采购活动中承担以下义务：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一、遵守评审工作纪律；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二、按照客观、公正、审慎的原则，根据磋商文件规定的评审程序、评审方法和评审标准进行独立评审；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三、不得泄露评审文件、评审情况和在评审过程中获悉的商业秘密；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六、及时向财政、监察等部门举报在评审过程中受到非法干预的情况；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szCs w:val="24"/>
          <w:highlight w:val="none"/>
        </w:rPr>
      </w:pPr>
      <w:r>
        <w:rPr>
          <w:rFonts w:hint="eastAsia"/>
          <w:color w:val="auto"/>
          <w:sz w:val="24"/>
          <w:szCs w:val="24"/>
          <w:highlight w:val="none"/>
        </w:rPr>
        <w:t>七、配合答复处理供应商的询问、质疑和投诉等事项；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000000"/>
          <w:shd w:val="clear" w:color="auto" w:fill="FFFFFF"/>
        </w:rPr>
      </w:pPr>
      <w:r>
        <w:rPr>
          <w:rFonts w:hint="eastAsia"/>
          <w:color w:val="auto"/>
          <w:sz w:val="24"/>
          <w:szCs w:val="24"/>
          <w:highlight w:val="none"/>
        </w:rPr>
        <w:t>八、法律、法规和规章规定的其他义务。</w:t>
      </w:r>
    </w:p>
    <w:p>
      <w:pPr>
        <w:pStyle w:val="4"/>
        <w:numPr>
          <w:ilvl w:val="1"/>
          <w:numId w:val="0"/>
        </w:numPr>
        <w:spacing w:before="0" w:after="200"/>
        <w:ind w:leftChars="0"/>
        <w:rPr>
          <w:color w:val="auto"/>
          <w:highlight w:val="none"/>
        </w:rPr>
      </w:pPr>
      <w:bookmarkStart w:id="472" w:name="_Toc58943353"/>
      <w:bookmarkStart w:id="473" w:name="_Toc17317"/>
      <w:bookmarkStart w:id="474" w:name="_Toc1303"/>
      <w:bookmarkStart w:id="475" w:name="_Toc77688521"/>
      <w:r>
        <w:rPr>
          <w:rFonts w:hint="eastAsia"/>
          <w:color w:val="auto"/>
          <w:highlight w:val="none"/>
          <w:lang w:val="en-US" w:eastAsia="zh-CN"/>
        </w:rPr>
        <w:t>5.8</w:t>
      </w:r>
      <w:r>
        <w:rPr>
          <w:rFonts w:hint="eastAsia"/>
          <w:color w:val="auto"/>
          <w:highlight w:val="none"/>
        </w:rPr>
        <w:t>磋商纪律</w:t>
      </w:r>
      <w:bookmarkEnd w:id="472"/>
      <w:bookmarkEnd w:id="473"/>
      <w:bookmarkEnd w:id="474"/>
      <w:bookmarkEnd w:id="475"/>
    </w:p>
    <w:p>
      <w:pPr>
        <w:snapToGrid w:val="0"/>
        <w:spacing w:line="360" w:lineRule="auto"/>
        <w:ind w:firstLine="480" w:firstLineChars="200"/>
        <w:rPr>
          <w:color w:val="auto"/>
          <w:sz w:val="24"/>
          <w:szCs w:val="24"/>
          <w:highlight w:val="none"/>
        </w:rPr>
      </w:pPr>
      <w:r>
        <w:rPr>
          <w:rFonts w:hint="eastAsia"/>
          <w:color w:val="auto"/>
          <w:sz w:val="24"/>
          <w:szCs w:val="24"/>
          <w:highlight w:val="none"/>
        </w:rPr>
        <w:t>磋商小组成员在政府采购活动中应当遵守以下工作纪律：</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二、评审前，应当将通讯工具或者相关电子设备交由采购代理机构统一保管。进入评标区之前应将所有的通信设备存入</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公资交易中心指定的存放处。评审专家不得以任何方式将通信设备带入评标区，否则将被取消本项目的评审资格。遇特殊情况不能出席或途中遇阻不能按时参加评审或咨询的，应及时告知财政部门或者采购人或者</w:t>
      </w:r>
      <w:r>
        <w:rPr>
          <w:rFonts w:hint="eastAsia" w:ascii="宋体" w:hAnsi="宋体"/>
          <w:color w:val="auto"/>
          <w:sz w:val="24"/>
          <w:szCs w:val="24"/>
          <w:highlight w:val="none"/>
          <w:lang w:eastAsia="zh-CN"/>
        </w:rPr>
        <w:t>区</w:t>
      </w:r>
      <w:r>
        <w:rPr>
          <w:rFonts w:hint="eastAsia" w:ascii="宋体" w:hAnsi="宋体"/>
          <w:color w:val="auto"/>
          <w:sz w:val="24"/>
          <w:szCs w:val="24"/>
          <w:highlight w:val="none"/>
        </w:rPr>
        <w:t>公资交易中心，不得私自转托他人；</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w:t>
      </w:r>
      <w:r>
        <w:rPr>
          <w:rFonts w:hint="eastAsia" w:ascii="宋体" w:hAnsi="宋体"/>
          <w:color w:val="auto"/>
          <w:sz w:val="24"/>
          <w:szCs w:val="24"/>
          <w:highlight w:val="none"/>
        </w:rPr>
        <w:t>对需要专业</w:t>
      </w:r>
      <w:r>
        <w:rPr>
          <w:rFonts w:ascii="宋体" w:hAnsi="宋体"/>
          <w:color w:val="auto"/>
          <w:sz w:val="24"/>
          <w:szCs w:val="24"/>
          <w:highlight w:val="none"/>
        </w:rPr>
        <w:t>判断的主管评审因素不得协商评分；</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w:t>
      </w:r>
      <w:r>
        <w:rPr>
          <w:rFonts w:hint="eastAsia" w:ascii="宋体" w:hAnsi="宋体"/>
          <w:color w:val="auto"/>
          <w:sz w:val="24"/>
          <w:szCs w:val="24"/>
          <w:highlight w:val="none"/>
        </w:rPr>
        <w:t>在</w:t>
      </w:r>
      <w:r>
        <w:rPr>
          <w:rFonts w:ascii="宋体" w:hAnsi="宋体"/>
          <w:color w:val="auto"/>
          <w:sz w:val="24"/>
          <w:szCs w:val="24"/>
          <w:highlight w:val="none"/>
        </w:rPr>
        <w:t>评审过程中不得擅离职守，影响磋商程序</w:t>
      </w:r>
      <w:r>
        <w:rPr>
          <w:rFonts w:hint="eastAsia" w:ascii="宋体" w:hAnsi="宋体"/>
          <w:color w:val="auto"/>
          <w:sz w:val="24"/>
          <w:szCs w:val="24"/>
          <w:highlight w:val="none"/>
        </w:rPr>
        <w:t>正常进行；</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w:t>
      </w:r>
      <w:r>
        <w:rPr>
          <w:rFonts w:hint="eastAsia" w:ascii="宋体" w:hAnsi="宋体"/>
          <w:color w:val="auto"/>
          <w:sz w:val="24"/>
          <w:szCs w:val="24"/>
          <w:highlight w:val="none"/>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w:t>
      </w:r>
      <w:r>
        <w:rPr>
          <w:rFonts w:hint="eastAsia" w:ascii="宋体" w:hAnsi="宋体"/>
          <w:color w:val="auto"/>
          <w:sz w:val="24"/>
          <w:szCs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w:t>
      </w:r>
      <w:r>
        <w:rPr>
          <w:rFonts w:hint="eastAsia" w:ascii="宋体" w:hAnsi="宋体"/>
          <w:color w:val="auto"/>
          <w:sz w:val="24"/>
          <w:szCs w:val="24"/>
          <w:highlight w:val="none"/>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w:t>
      </w:r>
      <w:r>
        <w:rPr>
          <w:rFonts w:ascii="宋体" w:hAnsi="宋体"/>
          <w:color w:val="auto"/>
          <w:sz w:val="24"/>
          <w:szCs w:val="24"/>
          <w:highlight w:val="none"/>
        </w:rPr>
        <w:t>、</w:t>
      </w:r>
      <w:r>
        <w:rPr>
          <w:rFonts w:hint="eastAsia" w:ascii="宋体" w:hAnsi="宋体"/>
          <w:color w:val="auto"/>
          <w:sz w:val="24"/>
          <w:szCs w:val="24"/>
          <w:highlight w:val="none"/>
        </w:rPr>
        <w:t>评审现场服从采购代理机构工作人员的管理，接受现场监督人员的合法监督；</w:t>
      </w:r>
    </w:p>
    <w:p>
      <w:pPr>
        <w:tabs>
          <w:tab w:val="left" w:pos="766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w:t>
      </w:r>
      <w:r>
        <w:rPr>
          <w:rFonts w:ascii="宋体" w:hAnsi="宋体"/>
          <w:color w:val="auto"/>
          <w:sz w:val="24"/>
          <w:szCs w:val="24"/>
          <w:highlight w:val="none"/>
        </w:rPr>
        <w:t>、</w:t>
      </w:r>
      <w:r>
        <w:rPr>
          <w:rFonts w:hint="eastAsia" w:ascii="宋体" w:hAnsi="宋体"/>
          <w:color w:val="auto"/>
          <w:sz w:val="24"/>
          <w:szCs w:val="24"/>
          <w:highlight w:val="none"/>
        </w:rPr>
        <w:t>遵守有关廉洁自律规定，不得私下接触供应商，不得收受供应商及有关业务单位和个人的财物或好处，不得接受采购代理机构的请托。</w:t>
      </w:r>
    </w:p>
    <w:p>
      <w:pPr>
        <w:pStyle w:val="3"/>
        <w:jc w:val="both"/>
        <w:rPr>
          <w:rFonts w:hint="eastAsia" w:eastAsia="宋体"/>
          <w:color w:val="000000"/>
          <w:shd w:val="clear" w:color="auto" w:fill="FFFFFF"/>
          <w:lang w:val="en-US" w:eastAsia="zh-CN"/>
        </w:rPr>
      </w:pPr>
    </w:p>
    <w:p>
      <w:pPr>
        <w:rPr>
          <w:rFonts w:hint="eastAsia" w:eastAsia="宋体"/>
          <w:color w:val="000000"/>
          <w:shd w:val="clear" w:color="auto" w:fill="FFFFFF"/>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color w:val="000000"/>
          <w:shd w:val="clear" w:color="auto" w:fill="FFFFFF"/>
        </w:rPr>
      </w:pPr>
      <w:bookmarkStart w:id="476" w:name="_Toc1746"/>
      <w:r>
        <w:rPr>
          <w:rFonts w:hint="eastAsia"/>
          <w:color w:val="000000"/>
          <w:shd w:val="clear" w:color="auto" w:fill="FFFFFF"/>
        </w:rPr>
        <w:t>第6章 合同主要条款</w:t>
      </w:r>
      <w:bookmarkEnd w:id="476"/>
    </w:p>
    <w:p>
      <w:pPr>
        <w:rPr>
          <w:color w:val="000000"/>
          <w:shd w:val="clear" w:color="auto" w:fill="FFFFFF"/>
        </w:rPr>
      </w:pPr>
      <w:bookmarkStart w:id="477" w:name="EB1f0aafc679f74a3b911babc8d3654e3f"/>
    </w:p>
    <w:bookmarkEnd w:id="477"/>
    <w:p>
      <w:pPr>
        <w:keepNext/>
        <w:keepLines/>
        <w:spacing w:line="360" w:lineRule="auto"/>
        <w:ind w:firstLine="2813" w:firstLineChars="1000"/>
        <w:outlineLvl w:val="0"/>
        <w:rPr>
          <w:b/>
          <w:bCs/>
          <w:spacing w:val="-20"/>
          <w:kern w:val="44"/>
          <w:sz w:val="32"/>
          <w:szCs w:val="32"/>
        </w:rPr>
      </w:pPr>
      <w:bookmarkStart w:id="478" w:name="_Toc23567"/>
      <w:r>
        <w:rPr>
          <w:rFonts w:hint="eastAsia"/>
          <w:b/>
          <w:bCs/>
          <w:spacing w:val="-20"/>
          <w:kern w:val="44"/>
          <w:sz w:val="32"/>
          <w:szCs w:val="32"/>
        </w:rPr>
        <w:t>拟定签订合同文本</w:t>
      </w:r>
      <w:bookmarkEnd w:id="478"/>
    </w:p>
    <w:p>
      <w:pPr>
        <w:spacing w:line="360" w:lineRule="auto"/>
        <w:rPr>
          <w:rFonts w:hint="eastAsia" w:ascii="Times New Roman" w:hAnsi="Times New Roman" w:eastAsia="仿宋_GB2312"/>
          <w:szCs w:val="21"/>
        </w:rPr>
      </w:pPr>
    </w:p>
    <w:p>
      <w:pPr>
        <w:spacing w:line="360" w:lineRule="auto"/>
        <w:rPr>
          <w:rFonts w:ascii="Times New Roman" w:hAnsi="Times New Roman" w:eastAsia="仿宋_GB2312"/>
          <w:szCs w:val="21"/>
        </w:rPr>
      </w:pPr>
      <w:r>
        <w:rPr>
          <w:rFonts w:hint="eastAsia" w:ascii="Times New Roman" w:hAnsi="Times New Roman" w:eastAsia="仿宋_GB2312"/>
          <w:szCs w:val="21"/>
        </w:rPr>
        <w:t>合同编号：</w:t>
      </w:r>
    </w:p>
    <w:p>
      <w:pPr>
        <w:spacing w:line="360" w:lineRule="auto"/>
        <w:rPr>
          <w:rFonts w:ascii="Times New Roman" w:hAnsi="Times New Roman" w:eastAsia="仿宋_GB2312"/>
          <w:szCs w:val="21"/>
        </w:rPr>
      </w:pPr>
      <w:r>
        <w:rPr>
          <w:rFonts w:hint="eastAsia" w:ascii="Times New Roman" w:hAnsi="Times New Roman" w:eastAsia="仿宋_GB2312"/>
          <w:szCs w:val="21"/>
        </w:rPr>
        <w:t>签订地点：</w:t>
      </w:r>
    </w:p>
    <w:p>
      <w:pPr>
        <w:spacing w:line="360" w:lineRule="auto"/>
        <w:rPr>
          <w:rFonts w:ascii="Times New Roman" w:hAnsi="Times New Roman" w:eastAsia="仿宋_GB2312"/>
          <w:szCs w:val="21"/>
        </w:rPr>
      </w:pPr>
      <w:r>
        <w:rPr>
          <w:rFonts w:hint="eastAsia" w:ascii="Times New Roman" w:hAnsi="Times New Roman" w:eastAsia="仿宋_GB2312"/>
          <w:szCs w:val="21"/>
        </w:rPr>
        <w:t>签订时间：XXXX年XX月XX日。</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采购人（甲方）：                              </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供应商（乙方）：                                                                     </w:t>
      </w:r>
    </w:p>
    <w:p>
      <w:pPr>
        <w:spacing w:line="360" w:lineRule="auto"/>
        <w:rPr>
          <w:rFonts w:ascii="Times New Roman" w:hAnsi="Times New Roman" w:eastAsia="仿宋_GB2312"/>
          <w:szCs w:val="21"/>
        </w:rPr>
      </w:pPr>
    </w:p>
    <w:p>
      <w:pPr>
        <w:spacing w:line="360" w:lineRule="auto"/>
        <w:rPr>
          <w:rFonts w:ascii="Times New Roman" w:hAnsi="Times New Roman" w:eastAsia="仿宋_GB2312"/>
          <w:szCs w:val="21"/>
        </w:rPr>
      </w:pPr>
      <w:r>
        <w:rPr>
          <w:rFonts w:hint="eastAsia" w:ascii="Times New Roman" w:hAnsi="Times New Roman" w:eastAsia="仿宋_GB2312"/>
          <w:szCs w:val="21"/>
        </w:rPr>
        <w:t>根据《中华人民共和国政府采购法》、《中华人民共和国合同法》及 XXXXXXXXX （项目编号：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rPr>
          <w:rFonts w:hint="eastAsia" w:ascii="Times New Roman" w:hAnsi="Times New Roman" w:eastAsia="仿宋_GB2312"/>
          <w:szCs w:val="21"/>
        </w:rPr>
      </w:pPr>
      <w:r>
        <w:rPr>
          <w:rFonts w:hint="eastAsia" w:ascii="Times New Roman" w:hAnsi="Times New Roman" w:eastAsia="仿宋_GB2312"/>
          <w:szCs w:val="21"/>
        </w:rPr>
        <w:t>一、标的物</w:t>
      </w:r>
    </w:p>
    <w:tbl>
      <w:tblPr>
        <w:tblStyle w:val="42"/>
        <w:tblW w:w="84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1098"/>
        <w:gridCol w:w="753"/>
        <w:gridCol w:w="939"/>
        <w:gridCol w:w="1128"/>
        <w:gridCol w:w="1101"/>
        <w:gridCol w:w="1185"/>
        <w:gridCol w:w="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仿宋_GB2312"/>
                <w:szCs w:val="21"/>
              </w:rPr>
            </w:pPr>
            <w:r>
              <w:rPr>
                <w:rFonts w:hint="eastAsia" w:ascii="Times New Roman" w:hAnsi="Times New Roman" w:eastAsia="仿宋_GB2312"/>
                <w:szCs w:val="21"/>
              </w:rPr>
              <w:t>货物品名</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规格</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型号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单位</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数量</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单价</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（万元）</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总价</w:t>
            </w:r>
          </w:p>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随机</w:t>
            </w:r>
          </w:p>
          <w:p>
            <w:pPr>
              <w:spacing w:line="360" w:lineRule="auto"/>
              <w:ind w:left="-8" w:leftChars="-34" w:hanging="63" w:hangingChars="30"/>
              <w:jc w:val="center"/>
              <w:rPr>
                <w:rFonts w:ascii="Times New Roman" w:hAnsi="Times New Roman" w:eastAsia="仿宋_GB2312"/>
                <w:szCs w:val="21"/>
              </w:rPr>
            </w:pPr>
            <w:r>
              <w:rPr>
                <w:rFonts w:hint="eastAsia" w:ascii="Times New Roman" w:hAnsi="Times New Roman" w:eastAsia="仿宋_GB2312"/>
                <w:szCs w:val="21"/>
              </w:rPr>
              <w:t>配件</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8" w:leftChars="-34" w:hanging="63" w:hangingChars="30"/>
              <w:rPr>
                <w:rFonts w:ascii="Times New Roman" w:hAnsi="Times New Roman" w:eastAsia="仿宋_GB2312"/>
                <w:szCs w:val="21"/>
              </w:rPr>
            </w:pPr>
            <w:r>
              <w:rPr>
                <w:rFonts w:hint="eastAsia" w:ascii="Times New Roman" w:hAnsi="Times New Roman" w:eastAsia="仿宋_GB2312"/>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jc w:val="center"/>
              <w:rPr>
                <w:sz w:val="24"/>
              </w:rPr>
            </w:pPr>
            <w:r>
              <w:rPr>
                <w:rFonts w:hint="eastAsia"/>
                <w:sz w:val="24"/>
              </w:rPr>
              <w:t> </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jc w:val="center"/>
              <w:rPr>
                <w:sz w:val="24"/>
              </w:rPr>
            </w:pPr>
            <w:r>
              <w:rPr>
                <w:rFonts w:hint="eastAsia"/>
                <w:sz w:val="24"/>
              </w:rPr>
              <w:t> </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 w:leftChars="-34" w:hanging="72" w:hangingChars="30"/>
              <w:jc w:val="center"/>
              <w:rPr>
                <w:sz w:val="24"/>
              </w:rPr>
            </w:pPr>
            <w:r>
              <w:rPr>
                <w:rFonts w:hint="eastAsia"/>
                <w:sz w:val="24"/>
              </w:rPr>
              <w:t> </w:t>
            </w:r>
          </w:p>
        </w:tc>
      </w:tr>
    </w:tbl>
    <w:p>
      <w:pPr>
        <w:spacing w:line="360" w:lineRule="auto"/>
        <w:rPr>
          <w:rFonts w:ascii="Times New Roman" w:hAnsi="Times New Roman" w:eastAsia="仿宋_GB2312"/>
          <w:szCs w:val="21"/>
        </w:rPr>
      </w:pP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r>
        <w:rPr>
          <w:rFonts w:ascii="Times New Roman" w:hAnsi="Times New Roman" w:eastAsia="仿宋_GB2312"/>
          <w:szCs w:val="21"/>
        </w:rPr>
        <w:tab/>
      </w:r>
      <w:r>
        <w:rPr>
          <w:rFonts w:ascii="Times New Roman" w:hAnsi="Times New Roman" w:eastAsia="仿宋_GB2312"/>
          <w:szCs w:val="21"/>
        </w:rPr>
        <w:t xml:space="preserve"> </w:t>
      </w:r>
    </w:p>
    <w:p>
      <w:pPr>
        <w:spacing w:line="360" w:lineRule="auto"/>
        <w:rPr>
          <w:rFonts w:ascii="Times New Roman" w:hAnsi="Times New Roman" w:eastAsia="仿宋_GB2312"/>
          <w:szCs w:val="21"/>
        </w:rPr>
      </w:pPr>
      <w:r>
        <w:rPr>
          <w:rFonts w:hint="eastAsia" w:ascii="Times New Roman" w:hAnsi="Times New Roman" w:eastAsia="仿宋_GB2312"/>
          <w:szCs w:val="21"/>
        </w:rPr>
        <w:t>二、合同价款</w:t>
      </w:r>
    </w:p>
    <w:p>
      <w:pPr>
        <w:spacing w:line="360" w:lineRule="auto"/>
        <w:rPr>
          <w:rFonts w:ascii="Times New Roman" w:hAnsi="Times New Roman" w:eastAsia="仿宋_GB2312"/>
          <w:szCs w:val="21"/>
        </w:rPr>
      </w:pPr>
      <w:r>
        <w:rPr>
          <w:rFonts w:hint="eastAsia" w:ascii="Times New Roman" w:hAnsi="Times New Roman" w:eastAsia="仿宋_GB2312"/>
          <w:szCs w:val="21"/>
        </w:rPr>
        <w:t>合同总价为人民币大写：                元，即RMB￥        元；该合同总价已包括货物设计、材料、制造、包装、运输、安装、调试、验收合格交付使用之前及三年保修服务与备用物件等等所有其他有关各项的含税费用。本合同执行期间合同总价不变，甲方无须另向乙方支付本合同规定之外的其他任何费用。</w:t>
      </w:r>
    </w:p>
    <w:p>
      <w:pPr>
        <w:spacing w:line="360" w:lineRule="auto"/>
        <w:rPr>
          <w:rFonts w:ascii="Times New Roman" w:hAnsi="Times New Roman" w:eastAsia="仿宋_GB2312"/>
          <w:szCs w:val="21"/>
        </w:rPr>
      </w:pPr>
      <w:r>
        <w:rPr>
          <w:rFonts w:hint="eastAsia" w:ascii="Times New Roman" w:hAnsi="Times New Roman" w:eastAsia="仿宋_GB2312"/>
          <w:szCs w:val="21"/>
        </w:rPr>
        <w:t>三、质量要求</w:t>
      </w:r>
    </w:p>
    <w:p>
      <w:pPr>
        <w:spacing w:line="360" w:lineRule="auto"/>
        <w:rPr>
          <w:rFonts w:ascii="Times New Roman" w:hAnsi="Times New Roman" w:eastAsia="仿宋_GB2312"/>
          <w:szCs w:val="21"/>
        </w:rPr>
      </w:pPr>
      <w:r>
        <w:rPr>
          <w:rFonts w:hint="eastAsia" w:ascii="Times New Roman" w:hAnsi="Times New Roman" w:eastAsia="仿宋_GB2312"/>
          <w:szCs w:val="21"/>
        </w:rPr>
        <w:t>1、乙方须提供全新的货物（含零部件、配件等），表面无划伤、无碰撞痕迹，且权属清楚，不得侵害他人的知识产权。</w:t>
      </w:r>
    </w:p>
    <w:p>
      <w:pPr>
        <w:spacing w:line="360" w:lineRule="auto"/>
        <w:rPr>
          <w:rFonts w:ascii="Times New Roman" w:hAnsi="Times New Roman" w:eastAsia="仿宋_GB2312"/>
          <w:szCs w:val="21"/>
        </w:rPr>
      </w:pPr>
      <w:r>
        <w:rPr>
          <w:rFonts w:hint="eastAsia" w:ascii="Times New Roman" w:hAnsi="Times New Roman" w:eastAsia="仿宋_GB2312"/>
          <w:szCs w:val="21"/>
        </w:rPr>
        <w:t>2、货物必须符合或优于国家（行业）          标准，以及本项目招标文件的质量要求和技术指标与出厂标准。</w:t>
      </w:r>
    </w:p>
    <w:p>
      <w:pPr>
        <w:spacing w:line="360" w:lineRule="auto"/>
        <w:rPr>
          <w:rFonts w:ascii="Times New Roman" w:hAnsi="Times New Roman" w:eastAsia="仿宋_GB2312"/>
          <w:szCs w:val="21"/>
        </w:rPr>
      </w:pPr>
      <w:r>
        <w:rPr>
          <w:rFonts w:hint="eastAsia" w:ascii="Times New Roman" w:hAnsi="Times New Roman" w:eastAsia="仿宋_GB2312"/>
          <w:szCs w:val="21"/>
        </w:rPr>
        <w:t>3、货物制造质量出现问题，乙方应负责三包（包修、包换、包退），费用由乙方负担，甲方有权到乙方生产场地检查货物质量和生产进度。</w:t>
      </w:r>
    </w:p>
    <w:p>
      <w:pPr>
        <w:spacing w:line="360" w:lineRule="auto"/>
        <w:rPr>
          <w:rFonts w:ascii="Times New Roman" w:hAnsi="Times New Roman" w:eastAsia="仿宋_GB2312"/>
          <w:szCs w:val="21"/>
        </w:rPr>
      </w:pPr>
      <w:r>
        <w:rPr>
          <w:rFonts w:hint="eastAsia" w:ascii="Times New Roman" w:hAnsi="Times New Roman" w:eastAsia="仿宋_GB2312"/>
          <w:szCs w:val="21"/>
        </w:rPr>
        <w:t>4、货到现场后由于甲方保管不当造成的质量问题，乙方亦应负责修理，但费用由甲方负担。</w:t>
      </w:r>
    </w:p>
    <w:p>
      <w:pPr>
        <w:spacing w:line="300" w:lineRule="exact"/>
        <w:rPr>
          <w:rFonts w:hint="eastAsia" w:ascii="Times New Roman" w:hAnsi="Times New Roman" w:eastAsia="仿宋_GB2312"/>
          <w:szCs w:val="21"/>
        </w:rPr>
      </w:pPr>
      <w:r>
        <w:rPr>
          <w:rFonts w:hint="eastAsia" w:ascii="Times New Roman" w:hAnsi="Times New Roman" w:eastAsia="仿宋_GB2312"/>
          <w:szCs w:val="21"/>
        </w:rPr>
        <w:t>四、交货时间、地点、验收标准和要求</w:t>
      </w:r>
    </w:p>
    <w:p>
      <w:pPr>
        <w:pStyle w:val="2"/>
        <w:tabs>
          <w:tab w:val="left" w:pos="420"/>
        </w:tabs>
        <w:spacing w:line="300" w:lineRule="exact"/>
        <w:rPr>
          <w:rFonts w:hint="eastAsia"/>
        </w:rPr>
      </w:pPr>
    </w:p>
    <w:p>
      <w:pPr>
        <w:numPr>
          <w:ilvl w:val="0"/>
          <w:numId w:val="36"/>
        </w:numPr>
        <w:spacing w:line="300" w:lineRule="exact"/>
      </w:pPr>
      <w:r>
        <w:rPr>
          <w:rFonts w:hint="eastAsia" w:ascii="Times New Roman" w:hAnsi="Times New Roman" w:eastAsia="仿宋_GB2312"/>
          <w:szCs w:val="21"/>
        </w:rPr>
        <w:t>履约保证金</w:t>
      </w:r>
    </w:p>
    <w:p>
      <w:pPr>
        <w:pStyle w:val="2"/>
        <w:widowControl/>
        <w:tabs>
          <w:tab w:val="left" w:pos="420"/>
        </w:tabs>
        <w:spacing w:line="300" w:lineRule="exact"/>
        <w:ind w:left="420" w:hanging="420"/>
      </w:pPr>
    </w:p>
    <w:p>
      <w:pPr>
        <w:numPr>
          <w:ilvl w:val="0"/>
          <w:numId w:val="36"/>
        </w:numPr>
        <w:spacing w:line="300" w:lineRule="exact"/>
        <w:rPr>
          <w:rFonts w:ascii="Times New Roman" w:hAnsi="Times New Roman" w:eastAsia="仿宋_GB2312"/>
          <w:szCs w:val="21"/>
        </w:rPr>
      </w:pPr>
      <w:r>
        <w:rPr>
          <w:rFonts w:hint="eastAsia" w:ascii="Times New Roman" w:hAnsi="Times New Roman" w:eastAsia="仿宋_GB2312"/>
          <w:szCs w:val="21"/>
        </w:rPr>
        <w:t>付款方式</w:t>
      </w:r>
    </w:p>
    <w:p>
      <w:pPr>
        <w:pStyle w:val="2"/>
        <w:tabs>
          <w:tab w:val="left" w:pos="420"/>
        </w:tabs>
        <w:spacing w:line="300" w:lineRule="exact"/>
      </w:pPr>
    </w:p>
    <w:p>
      <w:pPr>
        <w:spacing w:line="300" w:lineRule="exact"/>
        <w:rPr>
          <w:rFonts w:ascii="Times New Roman" w:hAnsi="Times New Roman" w:eastAsia="仿宋_GB2312"/>
          <w:szCs w:val="21"/>
        </w:rPr>
      </w:pPr>
      <w:r>
        <w:rPr>
          <w:rFonts w:hint="eastAsia" w:ascii="Times New Roman" w:hAnsi="Times New Roman" w:eastAsia="仿宋_GB2312"/>
          <w:szCs w:val="21"/>
        </w:rPr>
        <w:t>七、售后服务</w:t>
      </w:r>
    </w:p>
    <w:p>
      <w:pPr>
        <w:spacing w:line="360" w:lineRule="auto"/>
        <w:rPr>
          <w:rFonts w:ascii="Times New Roman" w:hAnsi="Times New Roman" w:eastAsia="仿宋_GB2312"/>
          <w:szCs w:val="21"/>
        </w:rPr>
      </w:pPr>
      <w:r>
        <w:rPr>
          <w:rFonts w:hint="eastAsia" w:ascii="Times New Roman" w:hAnsi="Times New Roman" w:eastAsia="仿宋_GB2312"/>
          <w:szCs w:val="21"/>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2、乙方须指派专人负责与甲方联系售后服务事宜。 </w:t>
      </w:r>
    </w:p>
    <w:p>
      <w:pPr>
        <w:spacing w:line="360" w:lineRule="auto"/>
        <w:rPr>
          <w:rFonts w:ascii="Times New Roman" w:hAnsi="Times New Roman" w:eastAsia="仿宋_GB2312"/>
          <w:szCs w:val="21"/>
        </w:rPr>
      </w:pPr>
      <w:r>
        <w:rPr>
          <w:rFonts w:hint="eastAsia" w:ascii="Times New Roman" w:hAnsi="Times New Roman" w:eastAsia="仿宋_GB2312"/>
          <w:szCs w:val="21"/>
        </w:rPr>
        <w:t>八、违约责任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1、甲方违约责任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 甲方无正当理由拒收货物的，甲方应偿付合同总价百分之  的违约金；</w:t>
      </w:r>
    </w:p>
    <w:p>
      <w:pPr>
        <w:spacing w:line="360" w:lineRule="auto"/>
        <w:rPr>
          <w:rFonts w:ascii="Times New Roman" w:hAnsi="Times New Roman" w:eastAsia="仿宋_GB2312"/>
          <w:szCs w:val="21"/>
        </w:rPr>
      </w:pPr>
      <w:r>
        <w:rPr>
          <w:rFonts w:hint="eastAsia" w:ascii="Times New Roman" w:hAnsi="Times New Roman" w:eastAsia="仿宋_GB2312"/>
          <w:szCs w:val="21"/>
        </w:rPr>
        <w:t>（2） 甲方逾期支付货款的，除应及时付足货款外，应向乙方偿付欠款总额万分之   /天的违约金；逾期付款超过  天的，乙方有权终止合同；</w:t>
      </w:r>
    </w:p>
    <w:p>
      <w:pPr>
        <w:spacing w:line="360" w:lineRule="auto"/>
        <w:rPr>
          <w:rFonts w:ascii="Times New Roman" w:hAnsi="Times New Roman" w:eastAsia="仿宋_GB2312"/>
          <w:szCs w:val="21"/>
        </w:rPr>
      </w:pPr>
      <w:r>
        <w:rPr>
          <w:rFonts w:hint="eastAsia" w:ascii="Times New Roman" w:hAnsi="Times New Roman" w:eastAsia="仿宋_GB2312"/>
          <w:szCs w:val="21"/>
        </w:rPr>
        <w:t>（3） 甲方偿付的违约金不足以弥补乙方损失的，还应按乙方损失尚未弥补的部分，支付赔偿金给乙方。</w:t>
      </w:r>
    </w:p>
    <w:p>
      <w:pPr>
        <w:spacing w:line="360" w:lineRule="auto"/>
        <w:rPr>
          <w:rFonts w:ascii="Times New Roman" w:hAnsi="Times New Roman" w:eastAsia="仿宋_GB2312"/>
          <w:szCs w:val="21"/>
        </w:rPr>
      </w:pPr>
      <w:r>
        <w:rPr>
          <w:rFonts w:hint="eastAsia" w:ascii="Times New Roman" w:hAnsi="Times New Roman" w:eastAsia="仿宋_GB2312"/>
          <w:szCs w:val="21"/>
        </w:rPr>
        <w:t>2、乙方违约责任</w:t>
      </w:r>
    </w:p>
    <w:p>
      <w:pPr>
        <w:spacing w:line="360" w:lineRule="auto"/>
        <w:rPr>
          <w:rFonts w:ascii="Times New Roman" w:hAnsi="Times New Roman" w:eastAsia="仿宋_GB2312"/>
          <w:szCs w:val="21"/>
        </w:rPr>
      </w:pPr>
      <w:r>
        <w:rPr>
          <w:rFonts w:hint="eastAsia" w:ascii="Times New Roman" w:hAnsi="Times New Roman" w:eastAsia="仿宋_GB2312"/>
          <w:szCs w:val="21"/>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spacing w:line="360" w:lineRule="auto"/>
        <w:rPr>
          <w:rFonts w:ascii="Times New Roman" w:hAnsi="Times New Roman" w:eastAsia="仿宋_GB2312"/>
          <w:szCs w:val="21"/>
        </w:rPr>
      </w:pPr>
      <w:r>
        <w:rPr>
          <w:rFonts w:hint="eastAsia" w:ascii="Times New Roman" w:hAnsi="Times New Roman" w:eastAsia="仿宋_GB2312"/>
          <w:szCs w:val="21"/>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rPr>
          <w:rFonts w:ascii="Times New Roman" w:hAnsi="Times New Roman" w:eastAsia="仿宋_GB2312"/>
          <w:szCs w:val="21"/>
        </w:rPr>
      </w:pPr>
      <w:r>
        <w:rPr>
          <w:rFonts w:hint="eastAsia" w:ascii="Times New Roman" w:hAnsi="Times New Roman" w:eastAsia="仿宋_GB2312"/>
          <w:szCs w:val="21"/>
        </w:rPr>
        <w:t>（5）乙方偿付的违约金不足以弥补甲方损失的，还应按甲方损失尚未弥补的部分，支付赔偿金给甲方。</w:t>
      </w:r>
    </w:p>
    <w:p>
      <w:pPr>
        <w:spacing w:line="360" w:lineRule="auto"/>
        <w:rPr>
          <w:rFonts w:ascii="Times New Roman" w:hAnsi="Times New Roman" w:eastAsia="仿宋_GB2312"/>
          <w:szCs w:val="21"/>
        </w:rPr>
      </w:pPr>
      <w:r>
        <w:rPr>
          <w:rFonts w:hint="eastAsia" w:ascii="Times New Roman" w:hAnsi="Times New Roman" w:eastAsia="仿宋_GB2312"/>
          <w:szCs w:val="21"/>
        </w:rPr>
        <w:t>九、解决合同纠纷的方式</w:t>
      </w:r>
    </w:p>
    <w:p>
      <w:pPr>
        <w:spacing w:line="360" w:lineRule="auto"/>
        <w:rPr>
          <w:rFonts w:ascii="Times New Roman" w:hAnsi="Times New Roman" w:eastAsia="仿宋_GB2312"/>
          <w:szCs w:val="21"/>
        </w:rPr>
      </w:pPr>
      <w:r>
        <w:rPr>
          <w:rFonts w:hint="eastAsia" w:ascii="Times New Roman" w:hAnsi="Times New Roman" w:eastAsia="仿宋_GB2312"/>
          <w:szCs w:val="21"/>
        </w:rPr>
        <w:t>1、在执行本合同中发生的或与本合同有关的争端，双方应通过友好协商解决，经协商在XX天内不能达成协议时，由甲方所在地人民法院诉讼管辖。</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2、诉讼费、律师费、保全费等应由败诉方负担。 </w:t>
      </w:r>
    </w:p>
    <w:p>
      <w:pPr>
        <w:spacing w:line="360" w:lineRule="auto"/>
        <w:rPr>
          <w:rFonts w:ascii="Times New Roman" w:hAnsi="Times New Roman" w:eastAsia="仿宋_GB2312"/>
          <w:szCs w:val="21"/>
        </w:rPr>
      </w:pPr>
      <w:r>
        <w:rPr>
          <w:rFonts w:hint="eastAsia" w:ascii="Times New Roman" w:hAnsi="Times New Roman" w:eastAsia="仿宋_GB2312"/>
          <w:szCs w:val="21"/>
        </w:rPr>
        <w:t>3、在诉讼期间，除正在进行诉讼部分外，合同其他部分继续执行。</w:t>
      </w:r>
    </w:p>
    <w:p>
      <w:pPr>
        <w:spacing w:line="360" w:lineRule="auto"/>
        <w:rPr>
          <w:rFonts w:ascii="Times New Roman" w:hAnsi="Times New Roman" w:eastAsia="仿宋_GB2312"/>
          <w:szCs w:val="21"/>
        </w:rPr>
      </w:pPr>
      <w:r>
        <w:rPr>
          <w:rFonts w:hint="eastAsia" w:ascii="Times New Roman" w:hAnsi="Times New Roman" w:eastAsia="仿宋_GB2312"/>
          <w:szCs w:val="21"/>
        </w:rPr>
        <w:t>十、其他</w:t>
      </w:r>
    </w:p>
    <w:p>
      <w:pPr>
        <w:spacing w:line="360" w:lineRule="auto"/>
        <w:rPr>
          <w:rFonts w:ascii="Times New Roman" w:hAnsi="Times New Roman" w:eastAsia="仿宋_GB2312"/>
          <w:szCs w:val="21"/>
        </w:rPr>
      </w:pPr>
      <w:r>
        <w:rPr>
          <w:rFonts w:hint="eastAsia" w:ascii="Times New Roman" w:hAnsi="Times New Roman" w:eastAsia="仿宋_GB2312"/>
          <w:szCs w:val="21"/>
        </w:rPr>
        <w:t>1、如有未尽事宜，由双方依法订立补充合同。</w:t>
      </w:r>
    </w:p>
    <w:p>
      <w:pPr>
        <w:spacing w:line="360" w:lineRule="auto"/>
        <w:rPr>
          <w:rFonts w:ascii="Times New Roman" w:hAnsi="Times New Roman" w:eastAsia="仿宋_GB2312"/>
          <w:szCs w:val="21"/>
        </w:rPr>
      </w:pPr>
      <w:r>
        <w:rPr>
          <w:rFonts w:hint="eastAsia" w:ascii="Times New Roman" w:hAnsi="Times New Roman" w:eastAsia="仿宋_GB2312"/>
          <w:szCs w:val="21"/>
        </w:rPr>
        <w:t>2、本合同一式七份，自双方签章之日起生效。甲方三份，乙方、政府采购管理部门、采购代理机构各一份。</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甲方：   （盖章）   </w:t>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 xml:space="preserve">       乙方：   （盖章）</w:t>
      </w:r>
    </w:p>
    <w:p>
      <w:pPr>
        <w:spacing w:line="360" w:lineRule="auto"/>
        <w:rPr>
          <w:rFonts w:ascii="Times New Roman" w:hAnsi="Times New Roman" w:eastAsia="仿宋_GB2312"/>
          <w:szCs w:val="21"/>
        </w:rPr>
      </w:pPr>
      <w:r>
        <w:rPr>
          <w:rFonts w:hint="eastAsia" w:ascii="Times New Roman" w:hAnsi="Times New Roman" w:eastAsia="仿宋_GB2312"/>
          <w:szCs w:val="21"/>
        </w:rPr>
        <w:t>法定代表人（授权代表）：            法定代表人（授权代表）：</w:t>
      </w:r>
    </w:p>
    <w:p>
      <w:pPr>
        <w:spacing w:line="360" w:lineRule="auto"/>
        <w:rPr>
          <w:rFonts w:ascii="Times New Roman" w:hAnsi="Times New Roman" w:eastAsia="仿宋_GB2312"/>
          <w:szCs w:val="21"/>
        </w:rPr>
      </w:pPr>
      <w:r>
        <w:rPr>
          <w:rFonts w:hint="eastAsia" w:ascii="Times New Roman" w:hAnsi="Times New Roman" w:eastAsia="仿宋_GB2312"/>
          <w:szCs w:val="21"/>
        </w:rPr>
        <w:t>地    址：                         地    址：</w:t>
      </w:r>
    </w:p>
    <w:p>
      <w:pPr>
        <w:spacing w:line="360" w:lineRule="auto"/>
        <w:rPr>
          <w:rFonts w:ascii="Times New Roman" w:hAnsi="Times New Roman" w:eastAsia="仿宋_GB2312"/>
          <w:szCs w:val="21"/>
        </w:rPr>
      </w:pPr>
      <w:r>
        <w:rPr>
          <w:rFonts w:hint="eastAsia" w:ascii="Times New Roman" w:hAnsi="Times New Roman" w:eastAsia="仿宋_GB2312"/>
          <w:szCs w:val="21"/>
        </w:rPr>
        <w:t>开户银行：                         开户银行：</w:t>
      </w:r>
    </w:p>
    <w:p>
      <w:pPr>
        <w:spacing w:line="360" w:lineRule="auto"/>
        <w:rPr>
          <w:rFonts w:ascii="Times New Roman" w:hAnsi="Times New Roman" w:eastAsia="仿宋_GB2312"/>
          <w:szCs w:val="21"/>
        </w:rPr>
      </w:pPr>
      <w:r>
        <w:rPr>
          <w:rFonts w:hint="eastAsia" w:ascii="Times New Roman" w:hAnsi="Times New Roman" w:eastAsia="仿宋_GB2312"/>
          <w:szCs w:val="21"/>
        </w:rPr>
        <w:t>账号：                             账号：</w:t>
      </w:r>
    </w:p>
    <w:p>
      <w:pPr>
        <w:spacing w:line="360" w:lineRule="auto"/>
        <w:rPr>
          <w:rFonts w:ascii="Times New Roman" w:hAnsi="Times New Roman" w:eastAsia="仿宋_GB2312"/>
          <w:szCs w:val="21"/>
        </w:rPr>
      </w:pPr>
      <w:r>
        <w:rPr>
          <w:rFonts w:hint="eastAsia" w:ascii="Times New Roman" w:hAnsi="Times New Roman" w:eastAsia="仿宋_GB2312"/>
          <w:szCs w:val="21"/>
        </w:rPr>
        <w:t>电    话：                         电    话：</w:t>
      </w:r>
    </w:p>
    <w:p>
      <w:pPr>
        <w:spacing w:line="360" w:lineRule="auto"/>
        <w:rPr>
          <w:rFonts w:ascii="Times New Roman" w:hAnsi="Times New Roman" w:eastAsia="仿宋_GB2312"/>
          <w:szCs w:val="21"/>
        </w:rPr>
      </w:pPr>
      <w:r>
        <w:rPr>
          <w:rFonts w:hint="eastAsia" w:ascii="Times New Roman" w:hAnsi="Times New Roman" w:eastAsia="仿宋_GB2312"/>
          <w:szCs w:val="21"/>
        </w:rPr>
        <w:t>传    真：                         传    真：</w:t>
      </w:r>
    </w:p>
    <w:p>
      <w:pPr>
        <w:spacing w:line="360" w:lineRule="auto"/>
        <w:rPr>
          <w:rFonts w:ascii="Times New Roman" w:hAnsi="Times New Roman" w:eastAsia="仿宋_GB2312"/>
          <w:szCs w:val="21"/>
        </w:rPr>
      </w:pPr>
      <w:r>
        <w:rPr>
          <w:rFonts w:hint="eastAsia" w:ascii="Times New Roman" w:hAnsi="Times New Roman" w:eastAsia="仿宋_GB2312"/>
          <w:szCs w:val="21"/>
        </w:rPr>
        <w:t xml:space="preserve">签约日期：XX年XX月XX日 </w:t>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ab/>
      </w:r>
      <w:r>
        <w:rPr>
          <w:rFonts w:hint="eastAsia" w:ascii="Times New Roman" w:hAnsi="Times New Roman" w:eastAsia="仿宋_GB2312"/>
          <w:szCs w:val="21"/>
        </w:rPr>
        <w:t>签约日期：XX年XX月XX日</w:t>
      </w:r>
    </w:p>
    <w:p>
      <w:pPr>
        <w:pStyle w:val="131"/>
        <w:widowControl/>
        <w:spacing w:line="360" w:lineRule="auto"/>
        <w:ind w:firstLine="420" w:firstLineChars="200"/>
        <w:jc w:val="left"/>
        <w:rPr>
          <w:rFonts w:hint="eastAsia" w:ascii="Times New Roman" w:hAnsi="Times New Roman" w:eastAsia="仿宋_GB2312"/>
          <w:szCs w:val="21"/>
        </w:rPr>
      </w:pPr>
      <w:r>
        <w:rPr>
          <w:rFonts w:hint="eastAsia" w:ascii="Times New Roman" w:hAnsi="Times New Roman" w:eastAsia="仿宋_GB2312"/>
          <w:szCs w:val="21"/>
        </w:rPr>
        <w:t>注：1、以上合同条款采购人与中标人签订合同时可根据实际情况进行调整、修改或重新起草合同条款</w:t>
      </w:r>
    </w:p>
    <w:p>
      <w:pPr>
        <w:widowControl/>
        <w:tabs>
          <w:tab w:val="left" w:pos="720"/>
        </w:tabs>
        <w:spacing w:beforeLines="50" w:afterLines="50" w:line="276" w:lineRule="auto"/>
        <w:jc w:val="left"/>
        <w:rPr>
          <w:rFonts w:hint="eastAsia"/>
          <w:b/>
          <w:bCs/>
          <w:color w:val="auto"/>
          <w:highlight w:val="none"/>
        </w:rPr>
      </w:pPr>
    </w:p>
    <w:p>
      <w:pPr>
        <w:widowControl/>
        <w:tabs>
          <w:tab w:val="left" w:pos="720"/>
        </w:tabs>
        <w:spacing w:beforeLines="50" w:afterLines="50" w:line="276" w:lineRule="auto"/>
        <w:jc w:val="left"/>
        <w:rPr>
          <w:b/>
          <w:bCs/>
          <w:color w:val="auto"/>
          <w:highlight w:val="none"/>
        </w:rPr>
      </w:pPr>
      <w:r>
        <w:rPr>
          <w:rFonts w:hint="eastAsia"/>
          <w:b/>
          <w:bCs/>
          <w:color w:val="auto"/>
          <w:highlight w:val="none"/>
        </w:rPr>
        <w:t>附件</w:t>
      </w:r>
    </w:p>
    <w:p>
      <w:pPr>
        <w:rPr>
          <w:color w:val="auto"/>
          <w:highlight w:val="none"/>
        </w:rPr>
      </w:pPr>
    </w:p>
    <w:p>
      <w:pPr>
        <w:jc w:val="center"/>
        <w:rPr>
          <w:color w:val="auto"/>
          <w:highlight w:val="none"/>
        </w:rPr>
      </w:pPr>
      <w:r>
        <w:rPr>
          <w:color w:val="auto"/>
          <w:highlight w:val="none"/>
        </w:rPr>
        <w:drawing>
          <wp:inline distT="0" distB="0" distL="114300" distR="114300">
            <wp:extent cx="4907280" cy="6797040"/>
            <wp:effectExtent l="0" t="0" r="762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3"/>
                    <a:stretch>
                      <a:fillRect/>
                    </a:stretch>
                  </pic:blipFill>
                  <pic:spPr>
                    <a:xfrm>
                      <a:off x="0" y="0"/>
                      <a:ext cx="4907280" cy="6797040"/>
                    </a:xfrm>
                    <a:prstGeom prst="rect">
                      <a:avLst/>
                    </a:prstGeom>
                    <a:noFill/>
                    <a:ln>
                      <a:noFill/>
                    </a:ln>
                  </pic:spPr>
                </pic:pic>
              </a:graphicData>
            </a:graphic>
          </wp:inline>
        </w:drawing>
      </w:r>
    </w:p>
    <w:p>
      <w:pPr>
        <w:jc w:val="center"/>
        <w:rPr>
          <w:color w:val="auto"/>
          <w:highlight w:val="none"/>
        </w:rPr>
      </w:pPr>
      <w:r>
        <w:rPr>
          <w:color w:val="auto"/>
          <w:highlight w:val="none"/>
        </w:rPr>
        <w:drawing>
          <wp:inline distT="0" distB="0" distL="114300" distR="114300">
            <wp:extent cx="4991100" cy="6675120"/>
            <wp:effectExtent l="0" t="0" r="0" b="50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4"/>
                    <a:stretch>
                      <a:fillRect/>
                    </a:stretch>
                  </pic:blipFill>
                  <pic:spPr>
                    <a:xfrm>
                      <a:off x="0" y="0"/>
                      <a:ext cx="4991100" cy="6675120"/>
                    </a:xfrm>
                    <a:prstGeom prst="rect">
                      <a:avLst/>
                    </a:prstGeom>
                    <a:noFill/>
                    <a:ln>
                      <a:noFill/>
                    </a:ln>
                  </pic:spPr>
                </pic:pic>
              </a:graphicData>
            </a:graphic>
          </wp:inline>
        </w:drawing>
      </w:r>
    </w:p>
    <w:p>
      <w:pPr>
        <w:rPr>
          <w:color w:val="auto"/>
          <w:highlight w:val="none"/>
        </w:rPr>
      </w:pPr>
    </w:p>
    <w:p>
      <w:pPr>
        <w:rPr>
          <w:color w:val="auto"/>
          <w:highlight w:val="none"/>
        </w:rPr>
      </w:pPr>
    </w:p>
    <w:p>
      <w:pPr>
        <w:jc w:val="center"/>
        <w:rPr>
          <w:color w:val="auto"/>
          <w:highlight w:val="none"/>
        </w:rPr>
        <w:sectPr>
          <w:pgSz w:w="11906" w:h="16838"/>
          <w:pgMar w:top="1440" w:right="1800" w:bottom="1440" w:left="1800" w:header="851" w:footer="992" w:gutter="0"/>
          <w:cols w:space="720" w:num="1"/>
          <w:docGrid w:type="lines" w:linePitch="312" w:charSpace="0"/>
        </w:sectPr>
      </w:pPr>
    </w:p>
    <w:p>
      <w:pPr>
        <w:jc w:val="center"/>
        <w:rPr>
          <w:color w:val="auto"/>
          <w:highlight w:val="none"/>
        </w:rPr>
        <w:sectPr>
          <w:pgSz w:w="16838" w:h="11906" w:orient="landscape"/>
          <w:pgMar w:top="1800" w:right="1440" w:bottom="1800" w:left="1440" w:header="851" w:footer="992" w:gutter="0"/>
          <w:cols w:space="720" w:num="1"/>
          <w:docGrid w:type="lines" w:linePitch="312" w:charSpace="0"/>
        </w:sectPr>
      </w:pPr>
      <w:r>
        <w:rPr>
          <w:color w:val="auto"/>
          <w:highlight w:val="none"/>
        </w:rPr>
        <w:drawing>
          <wp:inline distT="0" distB="0" distL="114300" distR="114300">
            <wp:extent cx="7559675" cy="4876800"/>
            <wp:effectExtent l="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5"/>
                    <a:stretch>
                      <a:fillRect/>
                    </a:stretch>
                  </pic:blipFill>
                  <pic:spPr>
                    <a:xfrm>
                      <a:off x="0" y="0"/>
                      <a:ext cx="7559675" cy="4876800"/>
                    </a:xfrm>
                    <a:prstGeom prst="rect">
                      <a:avLst/>
                    </a:prstGeom>
                    <a:noFill/>
                    <a:ln>
                      <a:noFill/>
                    </a:ln>
                  </pic:spPr>
                </pic:pic>
              </a:graphicData>
            </a:graphic>
          </wp:inline>
        </w:drawing>
      </w:r>
    </w:p>
    <w:p>
      <w:pPr>
        <w:rPr>
          <w:color w:val="auto"/>
          <w:highlight w:val="none"/>
        </w:rPr>
      </w:pPr>
      <w:r>
        <w:rPr>
          <w:color w:val="auto"/>
          <w:highlight w:val="none"/>
        </w:rPr>
        <w:drawing>
          <wp:inline distT="0" distB="0" distL="114300" distR="114300">
            <wp:extent cx="5105400" cy="6530340"/>
            <wp:effectExtent l="0" t="0" r="0" b="1016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6"/>
                    <a:stretch>
                      <a:fillRect/>
                    </a:stretch>
                  </pic:blipFill>
                  <pic:spPr>
                    <a:xfrm>
                      <a:off x="0" y="0"/>
                      <a:ext cx="5105400" cy="6530340"/>
                    </a:xfrm>
                    <a:prstGeom prst="rect">
                      <a:avLst/>
                    </a:prstGeom>
                    <a:noFill/>
                    <a:ln>
                      <a:noFill/>
                    </a:ln>
                  </pic:spPr>
                </pic:pic>
              </a:graphicData>
            </a:graphic>
          </wp:inline>
        </w:drawing>
      </w:r>
    </w:p>
    <w:p>
      <w:pPr>
        <w:tabs>
          <w:tab w:val="left" w:pos="937"/>
        </w:tabs>
        <w:adjustRightInd w:val="0"/>
        <w:snapToGrid w:val="0"/>
        <w:spacing w:line="56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270" w:line="240" w:lineRule="atLeast"/>
        <w:rPr>
          <w:color w:val="auto"/>
          <w:sz w:val="27"/>
          <w:szCs w:val="27"/>
          <w:highlight w:val="none"/>
        </w:rPr>
      </w:pPr>
      <w:bookmarkStart w:id="479" w:name="_Toc13225"/>
      <w:bookmarkStart w:id="480" w:name="_Toc76459766"/>
      <w:bookmarkStart w:id="481" w:name="_Toc25527"/>
      <w:bookmarkStart w:id="482" w:name="_Toc29629"/>
      <w:bookmarkStart w:id="483" w:name="_Toc6698"/>
      <w:bookmarkStart w:id="484" w:name="_Toc26689"/>
      <w:bookmarkStart w:id="485" w:name="_Toc9608"/>
      <w:bookmarkStart w:id="486" w:name="_Toc14474"/>
      <w:r>
        <w:rPr>
          <w:rFonts w:hint="eastAsia"/>
          <w:b w:val="0"/>
          <w:bCs w:val="0"/>
          <w:color w:val="auto"/>
          <w:sz w:val="27"/>
          <w:szCs w:val="27"/>
          <w:highlight w:val="none"/>
          <w:shd w:val="clear" w:color="auto" w:fill="FFFFFF"/>
        </w:rPr>
        <w:t>成都市温江区财政局关于公布温江区首批支持中小企业政府采购信用融资银行名单的公告</w:t>
      </w:r>
      <w:bookmarkEnd w:id="479"/>
      <w:bookmarkEnd w:id="480"/>
      <w:bookmarkEnd w:id="481"/>
      <w:bookmarkEnd w:id="482"/>
      <w:bookmarkEnd w:id="483"/>
      <w:bookmarkEnd w:id="484"/>
      <w:bookmarkEnd w:id="485"/>
      <w:bookmarkEnd w:id="486"/>
    </w:p>
    <w:p>
      <w:pPr>
        <w:spacing w:before="270"/>
        <w:rPr>
          <w:color w:val="auto"/>
          <w:sz w:val="21"/>
          <w:szCs w:val="21"/>
          <w:highlight w:val="none"/>
        </w:rPr>
      </w:pPr>
      <w:r>
        <w:rPr>
          <w:rFonts w:hint="eastAsia" w:ascii="方正仿宋简体" w:eastAsia="方正仿宋简体"/>
          <w:color w:val="auto"/>
          <w:sz w:val="28"/>
          <w:szCs w:val="28"/>
          <w:highlight w:val="none"/>
          <w:shd w:val="clear" w:color="auto" w:fill="FFFFFF"/>
        </w:rPr>
        <w:t xml:space="preserve">    按照《成都市温江区支持中小企业政府采购信用融资实施方案》有关规定，我局于2019年7月11日公开发布征集温江区政府采购信用融资银行的公告，截止8月7日共收到7家银行的报名材料，现将名单公布如下：</w:t>
      </w:r>
    </w:p>
    <w:tbl>
      <w:tblPr>
        <w:tblStyle w:val="42"/>
        <w:tblW w:w="0" w:type="auto"/>
        <w:tblInd w:w="187" w:type="dxa"/>
        <w:tblLayout w:type="fixed"/>
        <w:tblCellMar>
          <w:top w:w="15" w:type="dxa"/>
          <w:left w:w="15" w:type="dxa"/>
          <w:bottom w:w="15" w:type="dxa"/>
          <w:right w:w="15" w:type="dxa"/>
        </w:tblCellMar>
      </w:tblPr>
      <w:tblGrid>
        <w:gridCol w:w="585"/>
        <w:gridCol w:w="1474"/>
        <w:gridCol w:w="1706"/>
        <w:gridCol w:w="928"/>
        <w:gridCol w:w="1822"/>
        <w:gridCol w:w="1819"/>
      </w:tblGrid>
      <w:tr>
        <w:tblPrEx>
          <w:tblCellMar>
            <w:top w:w="15" w:type="dxa"/>
            <w:left w:w="15" w:type="dxa"/>
            <w:bottom w:w="15" w:type="dxa"/>
            <w:right w:w="15" w:type="dxa"/>
          </w:tblCellMar>
        </w:tblPrEx>
        <w:trPr>
          <w:trHeight w:val="700" w:hRule="atLeast"/>
        </w:trPr>
        <w:tc>
          <w:tcPr>
            <w:tcW w:w="585"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b/>
                <w:bCs/>
                <w:color w:val="auto"/>
                <w:sz w:val="22"/>
                <w:szCs w:val="22"/>
                <w:highlight w:val="none"/>
              </w:rPr>
              <w:t>序号</w:t>
            </w:r>
          </w:p>
        </w:tc>
        <w:tc>
          <w:tcPr>
            <w:tcW w:w="1474"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b/>
                <w:bCs/>
                <w:color w:val="auto"/>
                <w:sz w:val="22"/>
                <w:szCs w:val="22"/>
                <w:highlight w:val="none"/>
              </w:rPr>
              <w:t>银行名称</w:t>
            </w:r>
          </w:p>
        </w:tc>
        <w:tc>
          <w:tcPr>
            <w:tcW w:w="1706"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b/>
                <w:bCs/>
                <w:color w:val="auto"/>
                <w:sz w:val="22"/>
                <w:szCs w:val="22"/>
                <w:highlight w:val="none"/>
              </w:rPr>
              <w:t>部门名称</w:t>
            </w:r>
          </w:p>
        </w:tc>
        <w:tc>
          <w:tcPr>
            <w:tcW w:w="928"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联系人</w:t>
            </w:r>
          </w:p>
        </w:tc>
        <w:tc>
          <w:tcPr>
            <w:tcW w:w="1822"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b/>
                <w:bCs/>
                <w:color w:val="auto"/>
                <w:sz w:val="22"/>
                <w:szCs w:val="22"/>
                <w:highlight w:val="none"/>
              </w:rPr>
              <w:t>联系电话</w:t>
            </w:r>
          </w:p>
        </w:tc>
        <w:tc>
          <w:tcPr>
            <w:tcW w:w="1819" w:type="dxa"/>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b/>
                <w:bCs/>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成都银行股份有限公司温江支行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公司银行部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徐文博</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18628071700、028-82682256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98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2</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中国工商银行股份有限公司成都温江支行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法人营销部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席蕾</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13194885084、028-86291335</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3</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中国农业银行股份有限公司成都温江支行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向淑阳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13908185957、028-63931924</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4</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中国银行股份有限公司温江支行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公司金融部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涂杰钧</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18200571237、028-82725091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5</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中国建设银行股份有限公司成都温江支行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普惠金融事业部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杨冰浩</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18382396093、028-82727576</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6</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交通银行股份有限公司成都温江支行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公司科</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吴晋阳</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13880416649、028-82764348</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r>
        <w:tblPrEx>
          <w:tblCellMar>
            <w:top w:w="15" w:type="dxa"/>
            <w:left w:w="15" w:type="dxa"/>
            <w:bottom w:w="15" w:type="dxa"/>
            <w:right w:w="15" w:type="dxa"/>
          </w:tblCellMar>
        </w:tblPrEx>
        <w:trPr>
          <w:trHeight w:val="700" w:hRule="atLeast"/>
        </w:trPr>
        <w:tc>
          <w:tcPr>
            <w:tcW w:w="585" w:type="dxa"/>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7</w:t>
            </w:r>
          </w:p>
        </w:tc>
        <w:tc>
          <w:tcPr>
            <w:tcW w:w="1474"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成都农村商业银行股份有限公司温江支行</w:t>
            </w:r>
          </w:p>
        </w:tc>
        <w:tc>
          <w:tcPr>
            <w:tcW w:w="1706"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公司业务部</w:t>
            </w:r>
          </w:p>
        </w:tc>
        <w:tc>
          <w:tcPr>
            <w:tcW w:w="928"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郭金芬</w:t>
            </w:r>
          </w:p>
        </w:tc>
        <w:tc>
          <w:tcPr>
            <w:tcW w:w="1822"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Calibri" w:hAnsi="Calibri"/>
                <w:color w:val="auto"/>
                <w:kern w:val="2"/>
                <w:sz w:val="21"/>
                <w:szCs w:val="21"/>
                <w:highlight w:val="none"/>
              </w:rPr>
            </w:pPr>
            <w:r>
              <w:rPr>
                <w:rFonts w:hint="eastAsia" w:ascii="微软雅黑" w:hAnsi="微软雅黑" w:eastAsia="微软雅黑"/>
                <w:color w:val="auto"/>
                <w:sz w:val="22"/>
                <w:szCs w:val="22"/>
                <w:highlight w:val="none"/>
              </w:rPr>
              <w:t>13568999424、028-82721831</w:t>
            </w:r>
          </w:p>
        </w:tc>
        <w:tc>
          <w:tcPr>
            <w:tcW w:w="1819" w:type="dxa"/>
            <w:tcBorders>
              <w:top w:val="nil"/>
              <w:left w:val="nil"/>
              <w:bottom w:val="single" w:color="auto" w:sz="8" w:space="0"/>
              <w:right w:val="single" w:color="auto" w:sz="8"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微软雅黑" w:hAnsi="微软雅黑" w:eastAsia="微软雅黑"/>
                <w:color w:val="auto"/>
                <w:sz w:val="22"/>
                <w:szCs w:val="22"/>
                <w:highlight w:val="none"/>
              </w:rPr>
            </w:pPr>
          </w:p>
        </w:tc>
      </w:tr>
    </w:tbl>
    <w:p>
      <w:pPr>
        <w:spacing w:line="560" w:lineRule="atLeast"/>
        <w:ind w:firstLine="560"/>
        <w:rPr>
          <w:rFonts w:ascii="Calibri" w:hAnsi="Calibri"/>
          <w:color w:val="auto"/>
          <w:kern w:val="2"/>
          <w:sz w:val="21"/>
          <w:szCs w:val="21"/>
          <w:highlight w:val="none"/>
        </w:rPr>
      </w:pPr>
      <w:r>
        <w:rPr>
          <w:rFonts w:hint="eastAsia" w:ascii="方正仿宋简体" w:eastAsia="方正仿宋简体"/>
          <w:color w:val="auto"/>
          <w:sz w:val="28"/>
          <w:szCs w:val="28"/>
          <w:highlight w:val="none"/>
          <w:shd w:val="clear" w:color="auto" w:fill="FFFFFF"/>
        </w:rPr>
        <w:t>即日起，参与温江区政府采购项目的中标（成交）供应商在采购结果公告发布或领取中标（成交）通知书后，若有贷款融资需求，即可联系上述银行咨询贷款融资事宜。</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注：成都市财政局已于2019年6月28日公布成都市首批在线开展政府采购信用融资业务银行名单（详见附件），参与温江区政府采购项目的中标（成交）供应商也可联系市级名单内融资机构咨询贷款融资事宜。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w:t>
      </w:r>
    </w:p>
    <w:p>
      <w:pPr>
        <w:spacing w:line="560" w:lineRule="atLeast"/>
        <w:ind w:firstLine="640"/>
        <w:rPr>
          <w:color w:val="auto"/>
          <w:highlight w:val="none"/>
        </w:rPr>
      </w:pPr>
      <w:r>
        <w:rPr>
          <w:rFonts w:hint="eastAsia" w:ascii="方正仿宋简体" w:eastAsia="方正仿宋简体"/>
          <w:color w:val="auto"/>
          <w:sz w:val="28"/>
          <w:szCs w:val="28"/>
          <w:highlight w:val="none"/>
          <w:shd w:val="clear" w:color="auto" w:fill="FFFFFF"/>
        </w:rPr>
        <w:t xml:space="preserve">                                   成都市温江区财政局</w:t>
      </w:r>
    </w:p>
    <w:p>
      <w:pPr>
        <w:spacing w:line="560" w:lineRule="atLeast"/>
        <w:rPr>
          <w:color w:val="auto"/>
          <w:highlight w:val="none"/>
        </w:rPr>
      </w:pPr>
      <w:r>
        <w:rPr>
          <w:rFonts w:hint="eastAsia" w:ascii="方正仿宋简体" w:eastAsia="方正仿宋简体"/>
          <w:color w:val="auto"/>
          <w:sz w:val="28"/>
          <w:szCs w:val="28"/>
          <w:highlight w:val="none"/>
          <w:shd w:val="clear" w:color="auto" w:fill="FFFFFF"/>
        </w:rPr>
        <w:t xml:space="preserve">                                           2019年8月8日</w:t>
      </w:r>
    </w:p>
    <w:p>
      <w:pPr>
        <w:rPr>
          <w:color w:val="auto"/>
          <w:highlight w:val="none"/>
        </w:rPr>
      </w:pPr>
      <w:r>
        <w:rPr>
          <w:color w:val="auto"/>
          <w:highlight w:val="none"/>
        </w:rPr>
        <w:t xml:space="preserve"> </w:t>
      </w:r>
    </w:p>
    <w:p>
      <w:pPr>
        <w:pStyle w:val="131"/>
        <w:widowControl/>
        <w:spacing w:line="360" w:lineRule="auto"/>
        <w:ind w:firstLine="420" w:firstLineChars="200"/>
        <w:jc w:val="left"/>
        <w:rPr>
          <w:rFonts w:hint="eastAsia" w:ascii="Times New Roman" w:hAnsi="Times New Roman" w:eastAsia="仿宋_GB2312"/>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New (W1)">
    <w:altName w:val="Segoe Print"/>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92</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rPr>
        <w:highlight w:val="white"/>
      </w:rPr>
      <w:instrText xml:space="preserve"> PAGE   \* MERGEFORMAT </w:instrText>
    </w:r>
    <w:r>
      <w:fldChar w:fldCharType="separate"/>
    </w:r>
    <w:r>
      <w:rPr>
        <w:highlight w:val="white"/>
        <w:lang w:val="zh-CN"/>
      </w:rPr>
      <w:t>1</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rPr>
      <w:t>58</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65B1"/>
    <w:multiLevelType w:val="singleLevel"/>
    <w:tmpl w:val="8BC265B1"/>
    <w:lvl w:ilvl="0" w:tentative="0">
      <w:start w:val="11"/>
      <w:numFmt w:val="chineseCounting"/>
      <w:suff w:val="nothing"/>
      <w:lvlText w:val="%1、"/>
      <w:lvlJc w:val="left"/>
      <w:rPr>
        <w:rFonts w:hint="eastAsia"/>
      </w:rPr>
    </w:lvl>
  </w:abstractNum>
  <w:abstractNum w:abstractNumId="1">
    <w:nsid w:val="A210CF3A"/>
    <w:multiLevelType w:val="singleLevel"/>
    <w:tmpl w:val="A210CF3A"/>
    <w:lvl w:ilvl="0" w:tentative="0">
      <w:start w:val="1"/>
      <w:numFmt w:val="decimal"/>
      <w:suff w:val="nothing"/>
      <w:lvlText w:val="%1、"/>
      <w:lvlJc w:val="left"/>
    </w:lvl>
  </w:abstractNum>
  <w:abstractNum w:abstractNumId="2">
    <w:nsid w:val="B7FAA304"/>
    <w:multiLevelType w:val="singleLevel"/>
    <w:tmpl w:val="B7FAA304"/>
    <w:lvl w:ilvl="0" w:tentative="0">
      <w:start w:val="1"/>
      <w:numFmt w:val="decimal"/>
      <w:lvlText w:val="%1."/>
      <w:lvlJc w:val="left"/>
      <w:pPr>
        <w:tabs>
          <w:tab w:val="left" w:pos="312"/>
        </w:tabs>
      </w:pPr>
    </w:lvl>
  </w:abstractNum>
  <w:abstractNum w:abstractNumId="3">
    <w:nsid w:val="B9335015"/>
    <w:multiLevelType w:val="singleLevel"/>
    <w:tmpl w:val="B9335015"/>
    <w:lvl w:ilvl="0" w:tentative="0">
      <w:start w:val="1"/>
      <w:numFmt w:val="decimal"/>
      <w:suff w:val="space"/>
      <w:lvlText w:val="%1."/>
      <w:lvlJc w:val="left"/>
    </w:lvl>
  </w:abstractNum>
  <w:abstractNum w:abstractNumId="4">
    <w:nsid w:val="C8A2B976"/>
    <w:multiLevelType w:val="singleLevel"/>
    <w:tmpl w:val="C8A2B976"/>
    <w:lvl w:ilvl="0" w:tentative="0">
      <w:start w:val="2"/>
      <w:numFmt w:val="decimal"/>
      <w:lvlText w:val="%1."/>
      <w:lvlJc w:val="left"/>
      <w:pPr>
        <w:tabs>
          <w:tab w:val="left" w:pos="312"/>
        </w:tabs>
      </w:pPr>
    </w:lvl>
  </w:abstractNum>
  <w:abstractNum w:abstractNumId="5">
    <w:nsid w:val="D2CAED3C"/>
    <w:multiLevelType w:val="singleLevel"/>
    <w:tmpl w:val="D2CAED3C"/>
    <w:lvl w:ilvl="0" w:tentative="0">
      <w:start w:val="13"/>
      <w:numFmt w:val="decimal"/>
      <w:lvlText w:val="%1."/>
      <w:lvlJc w:val="left"/>
      <w:pPr>
        <w:tabs>
          <w:tab w:val="left" w:pos="312"/>
        </w:tabs>
      </w:pPr>
    </w:lvl>
  </w:abstractNum>
  <w:abstractNum w:abstractNumId="6">
    <w:nsid w:val="D6D6624F"/>
    <w:multiLevelType w:val="singleLevel"/>
    <w:tmpl w:val="D6D6624F"/>
    <w:lvl w:ilvl="0" w:tentative="0">
      <w:start w:val="1"/>
      <w:numFmt w:val="chineseCounting"/>
      <w:suff w:val="nothing"/>
      <w:lvlText w:val="%1、"/>
      <w:lvlJc w:val="left"/>
      <w:rPr>
        <w:rFonts w:hint="eastAsia"/>
      </w:rPr>
    </w:lvl>
  </w:abstractNum>
  <w:abstractNum w:abstractNumId="7">
    <w:nsid w:val="EB776FE9"/>
    <w:multiLevelType w:val="singleLevel"/>
    <w:tmpl w:val="EB776FE9"/>
    <w:lvl w:ilvl="0" w:tentative="0">
      <w:start w:val="2"/>
      <w:numFmt w:val="chineseCounting"/>
      <w:suff w:val="nothing"/>
      <w:lvlText w:val="%1、"/>
      <w:lvlJc w:val="left"/>
      <w:rPr>
        <w:rFonts w:hint="eastAsia"/>
      </w:rPr>
    </w:lvl>
  </w:abstractNum>
  <w:abstractNum w:abstractNumId="8">
    <w:nsid w:val="FBBC9188"/>
    <w:multiLevelType w:val="singleLevel"/>
    <w:tmpl w:val="FBBC9188"/>
    <w:lvl w:ilvl="0" w:tentative="0">
      <w:start w:val="1"/>
      <w:numFmt w:val="decimal"/>
      <w:suff w:val="nothing"/>
      <w:lvlText w:val="%1、"/>
      <w:lvlJc w:val="left"/>
    </w:lvl>
  </w:abstractNum>
  <w:abstractNum w:abstractNumId="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D054748"/>
    <w:multiLevelType w:val="singleLevel"/>
    <w:tmpl w:val="0D054748"/>
    <w:lvl w:ilvl="0" w:tentative="0">
      <w:start w:val="1"/>
      <w:numFmt w:val="decimal"/>
      <w:suff w:val="nothing"/>
      <w:lvlText w:val="%1、"/>
      <w:lvlJc w:val="left"/>
    </w:lvl>
  </w:abstractNum>
  <w:abstractNum w:abstractNumId="1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7BB4742"/>
    <w:multiLevelType w:val="singleLevel"/>
    <w:tmpl w:val="17BB4742"/>
    <w:lvl w:ilvl="0" w:tentative="0">
      <w:start w:val="1"/>
      <w:numFmt w:val="decimal"/>
      <w:lvlText w:val="%1."/>
      <w:lvlJc w:val="left"/>
      <w:pPr>
        <w:tabs>
          <w:tab w:val="left" w:pos="312"/>
        </w:tabs>
      </w:pPr>
    </w:lvl>
  </w:abstractNum>
  <w:abstractNum w:abstractNumId="14">
    <w:nsid w:val="19A13BF9"/>
    <w:multiLevelType w:val="singleLevel"/>
    <w:tmpl w:val="19A13BF9"/>
    <w:lvl w:ilvl="0" w:tentative="0">
      <w:start w:val="1"/>
      <w:numFmt w:val="decimal"/>
      <w:suff w:val="nothing"/>
      <w:lvlText w:val="%1、"/>
      <w:lvlJc w:val="left"/>
    </w:lvl>
  </w:abstractNum>
  <w:abstractNum w:abstractNumId="15">
    <w:nsid w:val="1B246E06"/>
    <w:multiLevelType w:val="multilevel"/>
    <w:tmpl w:val="1B246E06"/>
    <w:lvl w:ilvl="0" w:tentative="0">
      <w:start w:val="1"/>
      <w:numFmt w:val="japaneseCounting"/>
      <w:lvlText w:val="%1、"/>
      <w:lvlJc w:val="left"/>
      <w:pPr>
        <w:ind w:left="1206" w:hanging="720"/>
      </w:pPr>
      <w:rPr>
        <w:rFonts w:hint="default"/>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7">
    <w:nsid w:val="248F8166"/>
    <w:multiLevelType w:val="singleLevel"/>
    <w:tmpl w:val="248F8166"/>
    <w:lvl w:ilvl="0" w:tentative="0">
      <w:start w:val="5"/>
      <w:numFmt w:val="chineseCounting"/>
      <w:suff w:val="nothing"/>
      <w:lvlText w:val="%1、"/>
      <w:lvlJc w:val="left"/>
      <w:rPr>
        <w:rFonts w:hint="eastAsia"/>
      </w:rPr>
    </w:lvl>
  </w:abstractNum>
  <w:abstractNum w:abstractNumId="18">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9BA4EFD"/>
    <w:multiLevelType w:val="singleLevel"/>
    <w:tmpl w:val="29BA4EFD"/>
    <w:lvl w:ilvl="0" w:tentative="0">
      <w:start w:val="1"/>
      <w:numFmt w:val="decimal"/>
      <w:suff w:val="nothing"/>
      <w:lvlText w:val="%1、"/>
      <w:lvlJc w:val="left"/>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3">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4">
    <w:nsid w:val="44399F05"/>
    <w:multiLevelType w:val="singleLevel"/>
    <w:tmpl w:val="44399F05"/>
    <w:lvl w:ilvl="0" w:tentative="0">
      <w:start w:val="3"/>
      <w:numFmt w:val="chineseCounting"/>
      <w:suff w:val="nothing"/>
      <w:lvlText w:val="%1、"/>
      <w:lvlJc w:val="left"/>
      <w:rPr>
        <w:rFonts w:hint="eastAsia"/>
      </w:rPr>
    </w:lvl>
  </w:abstractNum>
  <w:abstractNum w:abstractNumId="25">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6">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9">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1">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3">
    <w:nsid w:val="6F882CC3"/>
    <w:multiLevelType w:val="singleLevel"/>
    <w:tmpl w:val="6F882CC3"/>
    <w:lvl w:ilvl="0" w:tentative="0">
      <w:start w:val="1"/>
      <w:numFmt w:val="decimal"/>
      <w:suff w:val="nothing"/>
      <w:lvlText w:val="%1、"/>
      <w:lvlJc w:val="left"/>
      <w:rPr>
        <w:rFonts w:hint="default"/>
        <w:b w:val="0"/>
        <w:bCs w:val="0"/>
      </w:rPr>
    </w:lvl>
  </w:abstractNum>
  <w:abstractNum w:abstractNumId="34">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0"/>
  </w:num>
  <w:num w:numId="3">
    <w:abstractNumId w:val="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0"/>
  </w:num>
  <w:num w:numId="10">
    <w:abstractNumId w:val="5"/>
  </w:num>
  <w:num w:numId="11">
    <w:abstractNumId w:val="4"/>
  </w:num>
  <w:num w:numId="12">
    <w:abstractNumId w:val="15"/>
  </w:num>
  <w:num w:numId="13">
    <w:abstractNumId w:val="24"/>
  </w:num>
  <w:num w:numId="14">
    <w:abstractNumId w:val="1"/>
  </w:num>
  <w:num w:numId="15">
    <w:abstractNumId w:val="20"/>
  </w:num>
  <w:num w:numId="16">
    <w:abstractNumId w:val="3"/>
  </w:num>
  <w:num w:numId="17">
    <w:abstractNumId w:val="14"/>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3"/>
  </w:num>
  <w:num w:numId="33">
    <w:abstractNumId w:val="11"/>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BA"/>
    <w:rsid w:val="00013EAD"/>
    <w:rsid w:val="000456E4"/>
    <w:rsid w:val="00046050"/>
    <w:rsid w:val="000544A0"/>
    <w:rsid w:val="00061F3D"/>
    <w:rsid w:val="000704FC"/>
    <w:rsid w:val="00074024"/>
    <w:rsid w:val="0008623B"/>
    <w:rsid w:val="00092C63"/>
    <w:rsid w:val="000939EC"/>
    <w:rsid w:val="000A0760"/>
    <w:rsid w:val="000D47AE"/>
    <w:rsid w:val="000E05F9"/>
    <w:rsid w:val="000E0CF0"/>
    <w:rsid w:val="000E4902"/>
    <w:rsid w:val="000F449A"/>
    <w:rsid w:val="00100034"/>
    <w:rsid w:val="00106148"/>
    <w:rsid w:val="00106EED"/>
    <w:rsid w:val="00112C79"/>
    <w:rsid w:val="00114571"/>
    <w:rsid w:val="00115101"/>
    <w:rsid w:val="00132E3E"/>
    <w:rsid w:val="00142630"/>
    <w:rsid w:val="00157CF8"/>
    <w:rsid w:val="00165D94"/>
    <w:rsid w:val="00180C55"/>
    <w:rsid w:val="00182149"/>
    <w:rsid w:val="00195A27"/>
    <w:rsid w:val="001A1990"/>
    <w:rsid w:val="001B2D72"/>
    <w:rsid w:val="001B6BC9"/>
    <w:rsid w:val="001C3734"/>
    <w:rsid w:val="001E4BC6"/>
    <w:rsid w:val="002048DE"/>
    <w:rsid w:val="00237DA5"/>
    <w:rsid w:val="00247E2F"/>
    <w:rsid w:val="00263438"/>
    <w:rsid w:val="0026550C"/>
    <w:rsid w:val="00272D80"/>
    <w:rsid w:val="002743E5"/>
    <w:rsid w:val="00281320"/>
    <w:rsid w:val="00294ABB"/>
    <w:rsid w:val="002A0702"/>
    <w:rsid w:val="002B11BC"/>
    <w:rsid w:val="002C4D48"/>
    <w:rsid w:val="002D1AC7"/>
    <w:rsid w:val="002D48EF"/>
    <w:rsid w:val="002E62A1"/>
    <w:rsid w:val="002F2D73"/>
    <w:rsid w:val="002F2ED1"/>
    <w:rsid w:val="002F39C5"/>
    <w:rsid w:val="002F4470"/>
    <w:rsid w:val="00300F79"/>
    <w:rsid w:val="00306793"/>
    <w:rsid w:val="003207EE"/>
    <w:rsid w:val="00343DAA"/>
    <w:rsid w:val="003458E7"/>
    <w:rsid w:val="003506F6"/>
    <w:rsid w:val="00361336"/>
    <w:rsid w:val="003729B1"/>
    <w:rsid w:val="00373FB8"/>
    <w:rsid w:val="003A4610"/>
    <w:rsid w:val="003A5BEA"/>
    <w:rsid w:val="003A67BD"/>
    <w:rsid w:val="003C03AC"/>
    <w:rsid w:val="003C4545"/>
    <w:rsid w:val="003C6BD8"/>
    <w:rsid w:val="003E11D7"/>
    <w:rsid w:val="004304A9"/>
    <w:rsid w:val="004437C4"/>
    <w:rsid w:val="0044565D"/>
    <w:rsid w:val="0046057A"/>
    <w:rsid w:val="0047391E"/>
    <w:rsid w:val="0047633C"/>
    <w:rsid w:val="00481883"/>
    <w:rsid w:val="00495FD0"/>
    <w:rsid w:val="004970AD"/>
    <w:rsid w:val="004974ED"/>
    <w:rsid w:val="004A5069"/>
    <w:rsid w:val="004B4C87"/>
    <w:rsid w:val="004C2DBD"/>
    <w:rsid w:val="004C5DAE"/>
    <w:rsid w:val="004C5DDC"/>
    <w:rsid w:val="004D0601"/>
    <w:rsid w:val="004E1E22"/>
    <w:rsid w:val="004F425A"/>
    <w:rsid w:val="004F5ECA"/>
    <w:rsid w:val="0050275D"/>
    <w:rsid w:val="005249D7"/>
    <w:rsid w:val="00525C76"/>
    <w:rsid w:val="00545899"/>
    <w:rsid w:val="00550316"/>
    <w:rsid w:val="00576359"/>
    <w:rsid w:val="005A4CF1"/>
    <w:rsid w:val="005B20EF"/>
    <w:rsid w:val="005B6EF6"/>
    <w:rsid w:val="005E122B"/>
    <w:rsid w:val="00634763"/>
    <w:rsid w:val="00681658"/>
    <w:rsid w:val="00687930"/>
    <w:rsid w:val="00693ACF"/>
    <w:rsid w:val="00697688"/>
    <w:rsid w:val="006A1325"/>
    <w:rsid w:val="006D7BE1"/>
    <w:rsid w:val="006E7D22"/>
    <w:rsid w:val="007209F9"/>
    <w:rsid w:val="0072343B"/>
    <w:rsid w:val="007266A1"/>
    <w:rsid w:val="00766849"/>
    <w:rsid w:val="00770BC1"/>
    <w:rsid w:val="0077556A"/>
    <w:rsid w:val="00781F88"/>
    <w:rsid w:val="0078388D"/>
    <w:rsid w:val="007A56F7"/>
    <w:rsid w:val="007C7749"/>
    <w:rsid w:val="007D775D"/>
    <w:rsid w:val="007E6973"/>
    <w:rsid w:val="007F28FD"/>
    <w:rsid w:val="0080199C"/>
    <w:rsid w:val="008035DC"/>
    <w:rsid w:val="008105A0"/>
    <w:rsid w:val="00813DA3"/>
    <w:rsid w:val="00827094"/>
    <w:rsid w:val="00827AFC"/>
    <w:rsid w:val="008366F2"/>
    <w:rsid w:val="00855086"/>
    <w:rsid w:val="0086660F"/>
    <w:rsid w:val="0087035F"/>
    <w:rsid w:val="00872063"/>
    <w:rsid w:val="00880FA4"/>
    <w:rsid w:val="008841B0"/>
    <w:rsid w:val="00892FC0"/>
    <w:rsid w:val="008B176B"/>
    <w:rsid w:val="008B1EDE"/>
    <w:rsid w:val="008B1FD4"/>
    <w:rsid w:val="00914B58"/>
    <w:rsid w:val="009307CA"/>
    <w:rsid w:val="00943F1B"/>
    <w:rsid w:val="00953782"/>
    <w:rsid w:val="00980A53"/>
    <w:rsid w:val="009A6B94"/>
    <w:rsid w:val="009C59DD"/>
    <w:rsid w:val="009D3368"/>
    <w:rsid w:val="009E1F8B"/>
    <w:rsid w:val="009F22B7"/>
    <w:rsid w:val="00A0336C"/>
    <w:rsid w:val="00A04394"/>
    <w:rsid w:val="00A06E89"/>
    <w:rsid w:val="00A15D57"/>
    <w:rsid w:val="00A25BA5"/>
    <w:rsid w:val="00A26175"/>
    <w:rsid w:val="00A302D4"/>
    <w:rsid w:val="00A4524B"/>
    <w:rsid w:val="00A64A8C"/>
    <w:rsid w:val="00A66EAD"/>
    <w:rsid w:val="00A719E7"/>
    <w:rsid w:val="00A8467E"/>
    <w:rsid w:val="00AC0E05"/>
    <w:rsid w:val="00AC2793"/>
    <w:rsid w:val="00AC5879"/>
    <w:rsid w:val="00AC70CC"/>
    <w:rsid w:val="00AD27F4"/>
    <w:rsid w:val="00AD6EDE"/>
    <w:rsid w:val="00AF3AC8"/>
    <w:rsid w:val="00B00E89"/>
    <w:rsid w:val="00B04460"/>
    <w:rsid w:val="00B112CF"/>
    <w:rsid w:val="00B13DE5"/>
    <w:rsid w:val="00B2001E"/>
    <w:rsid w:val="00B21D05"/>
    <w:rsid w:val="00B25342"/>
    <w:rsid w:val="00B35C66"/>
    <w:rsid w:val="00B5378E"/>
    <w:rsid w:val="00B7059B"/>
    <w:rsid w:val="00B73D4C"/>
    <w:rsid w:val="00B969BA"/>
    <w:rsid w:val="00BE2681"/>
    <w:rsid w:val="00BF021C"/>
    <w:rsid w:val="00C0100E"/>
    <w:rsid w:val="00C11E2B"/>
    <w:rsid w:val="00C17FEE"/>
    <w:rsid w:val="00C2727F"/>
    <w:rsid w:val="00C30B2A"/>
    <w:rsid w:val="00C4704B"/>
    <w:rsid w:val="00C778E5"/>
    <w:rsid w:val="00C927FA"/>
    <w:rsid w:val="00CB0C9E"/>
    <w:rsid w:val="00CC70DB"/>
    <w:rsid w:val="00CD69C9"/>
    <w:rsid w:val="00CE0F85"/>
    <w:rsid w:val="00D02B87"/>
    <w:rsid w:val="00D03142"/>
    <w:rsid w:val="00D05DB4"/>
    <w:rsid w:val="00D17D3D"/>
    <w:rsid w:val="00D25DCA"/>
    <w:rsid w:val="00D47055"/>
    <w:rsid w:val="00D47071"/>
    <w:rsid w:val="00D526CE"/>
    <w:rsid w:val="00D62998"/>
    <w:rsid w:val="00D87E23"/>
    <w:rsid w:val="00DA45A8"/>
    <w:rsid w:val="00DA7254"/>
    <w:rsid w:val="00DC239F"/>
    <w:rsid w:val="00DE23EA"/>
    <w:rsid w:val="00DE4EBA"/>
    <w:rsid w:val="00E00991"/>
    <w:rsid w:val="00E00AD6"/>
    <w:rsid w:val="00E051AD"/>
    <w:rsid w:val="00E0584D"/>
    <w:rsid w:val="00E12192"/>
    <w:rsid w:val="00E218AA"/>
    <w:rsid w:val="00E33BE3"/>
    <w:rsid w:val="00E33DF9"/>
    <w:rsid w:val="00E42F89"/>
    <w:rsid w:val="00E557FE"/>
    <w:rsid w:val="00E80159"/>
    <w:rsid w:val="00E84BCE"/>
    <w:rsid w:val="00E86293"/>
    <w:rsid w:val="00E91569"/>
    <w:rsid w:val="00EA385E"/>
    <w:rsid w:val="00EA5883"/>
    <w:rsid w:val="00EB7723"/>
    <w:rsid w:val="00ED6621"/>
    <w:rsid w:val="00EE1312"/>
    <w:rsid w:val="00EE1356"/>
    <w:rsid w:val="00EE4D31"/>
    <w:rsid w:val="00EF5CBE"/>
    <w:rsid w:val="00EF5FDA"/>
    <w:rsid w:val="00F043DB"/>
    <w:rsid w:val="00F25822"/>
    <w:rsid w:val="00F274DB"/>
    <w:rsid w:val="00F348CD"/>
    <w:rsid w:val="00F5063F"/>
    <w:rsid w:val="00F50CCE"/>
    <w:rsid w:val="00F913F3"/>
    <w:rsid w:val="00F91EE7"/>
    <w:rsid w:val="00FB3021"/>
    <w:rsid w:val="00FC51B9"/>
    <w:rsid w:val="00FD2E79"/>
    <w:rsid w:val="00FD52A1"/>
    <w:rsid w:val="00FD573E"/>
    <w:rsid w:val="00FF37C7"/>
    <w:rsid w:val="00FF4C15"/>
    <w:rsid w:val="01BF34B2"/>
    <w:rsid w:val="01D35131"/>
    <w:rsid w:val="02457F27"/>
    <w:rsid w:val="02C50EDE"/>
    <w:rsid w:val="030B39B7"/>
    <w:rsid w:val="03102154"/>
    <w:rsid w:val="03444C64"/>
    <w:rsid w:val="03521DBF"/>
    <w:rsid w:val="03A529F8"/>
    <w:rsid w:val="03D9563C"/>
    <w:rsid w:val="03FB2BD1"/>
    <w:rsid w:val="048B6C97"/>
    <w:rsid w:val="04A37FF5"/>
    <w:rsid w:val="05813D84"/>
    <w:rsid w:val="05855309"/>
    <w:rsid w:val="05B13158"/>
    <w:rsid w:val="06681CBB"/>
    <w:rsid w:val="068B775D"/>
    <w:rsid w:val="07472F4E"/>
    <w:rsid w:val="076F7286"/>
    <w:rsid w:val="07AE46A7"/>
    <w:rsid w:val="07CE6015"/>
    <w:rsid w:val="07E30179"/>
    <w:rsid w:val="07E3411A"/>
    <w:rsid w:val="080E6F15"/>
    <w:rsid w:val="08350491"/>
    <w:rsid w:val="08F8593B"/>
    <w:rsid w:val="098C5EBA"/>
    <w:rsid w:val="09DF492A"/>
    <w:rsid w:val="09E11AE2"/>
    <w:rsid w:val="0AFC2BA0"/>
    <w:rsid w:val="0B500EDC"/>
    <w:rsid w:val="0B7A220B"/>
    <w:rsid w:val="0BD80715"/>
    <w:rsid w:val="0BE8237F"/>
    <w:rsid w:val="0C645A57"/>
    <w:rsid w:val="0C7E0E94"/>
    <w:rsid w:val="0C8A7DD2"/>
    <w:rsid w:val="0CD71A0F"/>
    <w:rsid w:val="0D1424ED"/>
    <w:rsid w:val="0D2569E4"/>
    <w:rsid w:val="0D480B01"/>
    <w:rsid w:val="0D5146DA"/>
    <w:rsid w:val="0D5910DE"/>
    <w:rsid w:val="0DBA5523"/>
    <w:rsid w:val="0DDD5C46"/>
    <w:rsid w:val="0DFB20AA"/>
    <w:rsid w:val="0E35425C"/>
    <w:rsid w:val="0E682C64"/>
    <w:rsid w:val="0E741CD0"/>
    <w:rsid w:val="0F61738A"/>
    <w:rsid w:val="0F6D6189"/>
    <w:rsid w:val="0FCA13A3"/>
    <w:rsid w:val="0FE54120"/>
    <w:rsid w:val="0FEA4520"/>
    <w:rsid w:val="10103044"/>
    <w:rsid w:val="1049519C"/>
    <w:rsid w:val="10577410"/>
    <w:rsid w:val="10A1301B"/>
    <w:rsid w:val="10B826FA"/>
    <w:rsid w:val="10EB76B1"/>
    <w:rsid w:val="113705C4"/>
    <w:rsid w:val="11440F55"/>
    <w:rsid w:val="11842F5F"/>
    <w:rsid w:val="11B05E8B"/>
    <w:rsid w:val="11D37A5E"/>
    <w:rsid w:val="124950C8"/>
    <w:rsid w:val="126029B1"/>
    <w:rsid w:val="12607B17"/>
    <w:rsid w:val="126F7DC1"/>
    <w:rsid w:val="12C058B4"/>
    <w:rsid w:val="131B51FB"/>
    <w:rsid w:val="13337971"/>
    <w:rsid w:val="13835DA3"/>
    <w:rsid w:val="13A224CC"/>
    <w:rsid w:val="143F5FE5"/>
    <w:rsid w:val="14C52CEB"/>
    <w:rsid w:val="15845A6F"/>
    <w:rsid w:val="16822153"/>
    <w:rsid w:val="16E61167"/>
    <w:rsid w:val="17101F77"/>
    <w:rsid w:val="173E7D78"/>
    <w:rsid w:val="1743546C"/>
    <w:rsid w:val="176C2832"/>
    <w:rsid w:val="1796310A"/>
    <w:rsid w:val="179C4083"/>
    <w:rsid w:val="18015CCB"/>
    <w:rsid w:val="180B37A4"/>
    <w:rsid w:val="18237220"/>
    <w:rsid w:val="1858568A"/>
    <w:rsid w:val="186D4672"/>
    <w:rsid w:val="189F3318"/>
    <w:rsid w:val="18D7222B"/>
    <w:rsid w:val="191A1B70"/>
    <w:rsid w:val="193B51F1"/>
    <w:rsid w:val="19693313"/>
    <w:rsid w:val="1A296A41"/>
    <w:rsid w:val="1A4F78E6"/>
    <w:rsid w:val="1A5F3B02"/>
    <w:rsid w:val="1A6B4F14"/>
    <w:rsid w:val="1B6B1E6E"/>
    <w:rsid w:val="1C3154EF"/>
    <w:rsid w:val="1C953C42"/>
    <w:rsid w:val="1D172F01"/>
    <w:rsid w:val="1D257080"/>
    <w:rsid w:val="1DA92DB3"/>
    <w:rsid w:val="1DE06EE7"/>
    <w:rsid w:val="1DEA2587"/>
    <w:rsid w:val="1E246450"/>
    <w:rsid w:val="1E867E23"/>
    <w:rsid w:val="1EB60D7D"/>
    <w:rsid w:val="1ED8758A"/>
    <w:rsid w:val="1EF355C2"/>
    <w:rsid w:val="1F460EFC"/>
    <w:rsid w:val="1F6E384D"/>
    <w:rsid w:val="1F762D1C"/>
    <w:rsid w:val="1FE85338"/>
    <w:rsid w:val="202B2C6E"/>
    <w:rsid w:val="20770624"/>
    <w:rsid w:val="20995672"/>
    <w:rsid w:val="209A7378"/>
    <w:rsid w:val="20B10053"/>
    <w:rsid w:val="20F31379"/>
    <w:rsid w:val="211D3F6E"/>
    <w:rsid w:val="212E1B5E"/>
    <w:rsid w:val="21576EE5"/>
    <w:rsid w:val="217E6B54"/>
    <w:rsid w:val="224E17A5"/>
    <w:rsid w:val="228B5349"/>
    <w:rsid w:val="22D363CD"/>
    <w:rsid w:val="22ED218F"/>
    <w:rsid w:val="235E415F"/>
    <w:rsid w:val="23832395"/>
    <w:rsid w:val="238B19F3"/>
    <w:rsid w:val="23B9651E"/>
    <w:rsid w:val="23D96CFA"/>
    <w:rsid w:val="2463140E"/>
    <w:rsid w:val="24681D8C"/>
    <w:rsid w:val="24AF00C1"/>
    <w:rsid w:val="25310B18"/>
    <w:rsid w:val="257E15CA"/>
    <w:rsid w:val="25B2247A"/>
    <w:rsid w:val="25D10086"/>
    <w:rsid w:val="25E05250"/>
    <w:rsid w:val="27367042"/>
    <w:rsid w:val="27A452E4"/>
    <w:rsid w:val="27FC2F7D"/>
    <w:rsid w:val="28D930D3"/>
    <w:rsid w:val="28F117CD"/>
    <w:rsid w:val="299A59FA"/>
    <w:rsid w:val="29A77281"/>
    <w:rsid w:val="2A0B6A91"/>
    <w:rsid w:val="2A7C34CE"/>
    <w:rsid w:val="2A95442A"/>
    <w:rsid w:val="2A965922"/>
    <w:rsid w:val="2B240F6F"/>
    <w:rsid w:val="2BAC25E6"/>
    <w:rsid w:val="2BB8032C"/>
    <w:rsid w:val="2BC92AEB"/>
    <w:rsid w:val="2BE05AB5"/>
    <w:rsid w:val="2BFF682A"/>
    <w:rsid w:val="2C204410"/>
    <w:rsid w:val="2C606998"/>
    <w:rsid w:val="2C92349A"/>
    <w:rsid w:val="2D0325EB"/>
    <w:rsid w:val="2D2453C3"/>
    <w:rsid w:val="2D2D47E5"/>
    <w:rsid w:val="2D5F752F"/>
    <w:rsid w:val="2D8B6A44"/>
    <w:rsid w:val="2E076C07"/>
    <w:rsid w:val="2E334A52"/>
    <w:rsid w:val="2E3703CC"/>
    <w:rsid w:val="2E521658"/>
    <w:rsid w:val="2E5C0B4D"/>
    <w:rsid w:val="2E6B201C"/>
    <w:rsid w:val="2EB7338A"/>
    <w:rsid w:val="2F416351"/>
    <w:rsid w:val="300A0211"/>
    <w:rsid w:val="30173ADC"/>
    <w:rsid w:val="307D7E73"/>
    <w:rsid w:val="30815DF1"/>
    <w:rsid w:val="311E25EC"/>
    <w:rsid w:val="314809D6"/>
    <w:rsid w:val="3181575A"/>
    <w:rsid w:val="31A55870"/>
    <w:rsid w:val="31BE51B8"/>
    <w:rsid w:val="31C55354"/>
    <w:rsid w:val="31E73F35"/>
    <w:rsid w:val="31EF2445"/>
    <w:rsid w:val="321C2F8F"/>
    <w:rsid w:val="32514C35"/>
    <w:rsid w:val="3299752B"/>
    <w:rsid w:val="32A94A2C"/>
    <w:rsid w:val="32E807C2"/>
    <w:rsid w:val="32EF2D96"/>
    <w:rsid w:val="335D29F3"/>
    <w:rsid w:val="34136A82"/>
    <w:rsid w:val="34360E23"/>
    <w:rsid w:val="345A1B31"/>
    <w:rsid w:val="34DC189D"/>
    <w:rsid w:val="34EC6F7C"/>
    <w:rsid w:val="3517258F"/>
    <w:rsid w:val="36614F5A"/>
    <w:rsid w:val="373374AF"/>
    <w:rsid w:val="375B6371"/>
    <w:rsid w:val="378D528A"/>
    <w:rsid w:val="38257D55"/>
    <w:rsid w:val="38941A00"/>
    <w:rsid w:val="38EE07CC"/>
    <w:rsid w:val="39430080"/>
    <w:rsid w:val="3AB32010"/>
    <w:rsid w:val="3AD74EBC"/>
    <w:rsid w:val="3B72264E"/>
    <w:rsid w:val="3B74484F"/>
    <w:rsid w:val="3C4369A1"/>
    <w:rsid w:val="3CFE6D7F"/>
    <w:rsid w:val="3D195582"/>
    <w:rsid w:val="3D43105A"/>
    <w:rsid w:val="3D683130"/>
    <w:rsid w:val="3D6B1F6F"/>
    <w:rsid w:val="3D92137A"/>
    <w:rsid w:val="3DB64991"/>
    <w:rsid w:val="3E1D0248"/>
    <w:rsid w:val="3E54685C"/>
    <w:rsid w:val="3E8C6495"/>
    <w:rsid w:val="3EEA58A1"/>
    <w:rsid w:val="3F3C0831"/>
    <w:rsid w:val="3F527EFD"/>
    <w:rsid w:val="3F7858D9"/>
    <w:rsid w:val="3FA31917"/>
    <w:rsid w:val="3FE37346"/>
    <w:rsid w:val="40164280"/>
    <w:rsid w:val="40DE4596"/>
    <w:rsid w:val="412F6E3B"/>
    <w:rsid w:val="414370B7"/>
    <w:rsid w:val="41441E6D"/>
    <w:rsid w:val="41865B62"/>
    <w:rsid w:val="42047688"/>
    <w:rsid w:val="423107B1"/>
    <w:rsid w:val="426C17ED"/>
    <w:rsid w:val="428950FF"/>
    <w:rsid w:val="428B0E78"/>
    <w:rsid w:val="42BB78D5"/>
    <w:rsid w:val="42F5688B"/>
    <w:rsid w:val="435F418F"/>
    <w:rsid w:val="4446096F"/>
    <w:rsid w:val="44AF7B6C"/>
    <w:rsid w:val="44F57226"/>
    <w:rsid w:val="4509195B"/>
    <w:rsid w:val="458D0B5B"/>
    <w:rsid w:val="45CB26F4"/>
    <w:rsid w:val="45D10C28"/>
    <w:rsid w:val="45F975B0"/>
    <w:rsid w:val="46123B1D"/>
    <w:rsid w:val="461A7309"/>
    <w:rsid w:val="46255D96"/>
    <w:rsid w:val="463F615A"/>
    <w:rsid w:val="464E0672"/>
    <w:rsid w:val="46B11318"/>
    <w:rsid w:val="46DE096A"/>
    <w:rsid w:val="46E77832"/>
    <w:rsid w:val="46EC18CA"/>
    <w:rsid w:val="471C7E10"/>
    <w:rsid w:val="47C20D7E"/>
    <w:rsid w:val="47F303BB"/>
    <w:rsid w:val="481173AB"/>
    <w:rsid w:val="485721F0"/>
    <w:rsid w:val="48937526"/>
    <w:rsid w:val="48F413B8"/>
    <w:rsid w:val="495E557E"/>
    <w:rsid w:val="497A69F0"/>
    <w:rsid w:val="49C51F17"/>
    <w:rsid w:val="4A162997"/>
    <w:rsid w:val="4A9473CE"/>
    <w:rsid w:val="4AC63DAE"/>
    <w:rsid w:val="4AF877B2"/>
    <w:rsid w:val="4B107578"/>
    <w:rsid w:val="4BC20A87"/>
    <w:rsid w:val="4CA91B4F"/>
    <w:rsid w:val="4CD7172F"/>
    <w:rsid w:val="4D5000C5"/>
    <w:rsid w:val="4DD874DE"/>
    <w:rsid w:val="4E5C293F"/>
    <w:rsid w:val="4E6E0DE4"/>
    <w:rsid w:val="4EA249F9"/>
    <w:rsid w:val="4EEF2B51"/>
    <w:rsid w:val="4EF43167"/>
    <w:rsid w:val="4F6033CD"/>
    <w:rsid w:val="4F735C39"/>
    <w:rsid w:val="50510342"/>
    <w:rsid w:val="50F842AD"/>
    <w:rsid w:val="5147009D"/>
    <w:rsid w:val="5159049A"/>
    <w:rsid w:val="51842EFE"/>
    <w:rsid w:val="51977C1F"/>
    <w:rsid w:val="51F93325"/>
    <w:rsid w:val="529C44B1"/>
    <w:rsid w:val="52CC5EDC"/>
    <w:rsid w:val="531930B3"/>
    <w:rsid w:val="53530F1D"/>
    <w:rsid w:val="547B0B62"/>
    <w:rsid w:val="5629011A"/>
    <w:rsid w:val="565F3191"/>
    <w:rsid w:val="56B86D01"/>
    <w:rsid w:val="56C46824"/>
    <w:rsid w:val="572D50E6"/>
    <w:rsid w:val="573055F3"/>
    <w:rsid w:val="57861306"/>
    <w:rsid w:val="58B605C8"/>
    <w:rsid w:val="591D6139"/>
    <w:rsid w:val="598C15F5"/>
    <w:rsid w:val="59D73ABE"/>
    <w:rsid w:val="5A29676C"/>
    <w:rsid w:val="5A2F5047"/>
    <w:rsid w:val="5A553756"/>
    <w:rsid w:val="5A693346"/>
    <w:rsid w:val="5A827244"/>
    <w:rsid w:val="5AEA4B98"/>
    <w:rsid w:val="5BBA6D8C"/>
    <w:rsid w:val="5CFE578F"/>
    <w:rsid w:val="5D72028E"/>
    <w:rsid w:val="5D9C0656"/>
    <w:rsid w:val="5E28448F"/>
    <w:rsid w:val="5E697F45"/>
    <w:rsid w:val="5EBD3CCB"/>
    <w:rsid w:val="5EDC19D3"/>
    <w:rsid w:val="5FA80252"/>
    <w:rsid w:val="5FAB1B60"/>
    <w:rsid w:val="606C525C"/>
    <w:rsid w:val="60BC2D48"/>
    <w:rsid w:val="60CD3765"/>
    <w:rsid w:val="60F43515"/>
    <w:rsid w:val="617E68D8"/>
    <w:rsid w:val="6243486C"/>
    <w:rsid w:val="63347AB6"/>
    <w:rsid w:val="636A194C"/>
    <w:rsid w:val="63945534"/>
    <w:rsid w:val="646602CF"/>
    <w:rsid w:val="649458A8"/>
    <w:rsid w:val="652501C2"/>
    <w:rsid w:val="65B730C3"/>
    <w:rsid w:val="663427A1"/>
    <w:rsid w:val="6678487D"/>
    <w:rsid w:val="667F4B6B"/>
    <w:rsid w:val="669030BA"/>
    <w:rsid w:val="66A43539"/>
    <w:rsid w:val="66C667E2"/>
    <w:rsid w:val="67893DDB"/>
    <w:rsid w:val="67A7771E"/>
    <w:rsid w:val="67D0700F"/>
    <w:rsid w:val="681378DF"/>
    <w:rsid w:val="68140388"/>
    <w:rsid w:val="685E3DBC"/>
    <w:rsid w:val="6914451F"/>
    <w:rsid w:val="6970493D"/>
    <w:rsid w:val="69985205"/>
    <w:rsid w:val="69CA2D7D"/>
    <w:rsid w:val="6A7A0018"/>
    <w:rsid w:val="6AB74519"/>
    <w:rsid w:val="6AB92B76"/>
    <w:rsid w:val="6ACA673B"/>
    <w:rsid w:val="6B7B1AB7"/>
    <w:rsid w:val="6BCA3420"/>
    <w:rsid w:val="6CC9571F"/>
    <w:rsid w:val="6D643BAB"/>
    <w:rsid w:val="6D762625"/>
    <w:rsid w:val="6DB65956"/>
    <w:rsid w:val="6E353095"/>
    <w:rsid w:val="6E4C67AA"/>
    <w:rsid w:val="6E92084F"/>
    <w:rsid w:val="6ECF65D2"/>
    <w:rsid w:val="6F007C36"/>
    <w:rsid w:val="6F2D1905"/>
    <w:rsid w:val="6FBE704E"/>
    <w:rsid w:val="6FC0297B"/>
    <w:rsid w:val="700316AE"/>
    <w:rsid w:val="708421F0"/>
    <w:rsid w:val="717F6598"/>
    <w:rsid w:val="71C71B70"/>
    <w:rsid w:val="71E61AA1"/>
    <w:rsid w:val="71EB657A"/>
    <w:rsid w:val="72C21CF8"/>
    <w:rsid w:val="72CD5269"/>
    <w:rsid w:val="72E77906"/>
    <w:rsid w:val="733A0E38"/>
    <w:rsid w:val="735F6062"/>
    <w:rsid w:val="73B52221"/>
    <w:rsid w:val="73E255CC"/>
    <w:rsid w:val="74926401"/>
    <w:rsid w:val="74FA60B8"/>
    <w:rsid w:val="75DC6900"/>
    <w:rsid w:val="75FB1217"/>
    <w:rsid w:val="76086620"/>
    <w:rsid w:val="7609151C"/>
    <w:rsid w:val="760C3585"/>
    <w:rsid w:val="763C2984"/>
    <w:rsid w:val="763F6203"/>
    <w:rsid w:val="764C3F55"/>
    <w:rsid w:val="765A6A9A"/>
    <w:rsid w:val="766C53D0"/>
    <w:rsid w:val="767B0422"/>
    <w:rsid w:val="769D7B52"/>
    <w:rsid w:val="77D022F2"/>
    <w:rsid w:val="78052084"/>
    <w:rsid w:val="7820592E"/>
    <w:rsid w:val="785113DB"/>
    <w:rsid w:val="78574FA5"/>
    <w:rsid w:val="79167459"/>
    <w:rsid w:val="794762A8"/>
    <w:rsid w:val="797F032F"/>
    <w:rsid w:val="79835725"/>
    <w:rsid w:val="7A43685C"/>
    <w:rsid w:val="7A952E5F"/>
    <w:rsid w:val="7AD915EC"/>
    <w:rsid w:val="7B357360"/>
    <w:rsid w:val="7BCC5FFC"/>
    <w:rsid w:val="7C291516"/>
    <w:rsid w:val="7C6E676D"/>
    <w:rsid w:val="7D654F4E"/>
    <w:rsid w:val="7D8D43FA"/>
    <w:rsid w:val="7DF7334A"/>
    <w:rsid w:val="7E0D38B9"/>
    <w:rsid w:val="7E0F6E31"/>
    <w:rsid w:val="7EA65D61"/>
    <w:rsid w:val="7EFE7FAF"/>
    <w:rsid w:val="7F27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3">
    <w:name w:val="heading 1"/>
    <w:basedOn w:val="1"/>
    <w:next w:val="1"/>
    <w:link w:val="56"/>
    <w:qFormat/>
    <w:uiPriority w:val="0"/>
    <w:pPr>
      <w:keepNext/>
      <w:keepLines/>
      <w:spacing w:before="340" w:after="330" w:line="360" w:lineRule="auto"/>
      <w:jc w:val="center"/>
      <w:outlineLvl w:val="0"/>
    </w:pPr>
    <w:rPr>
      <w:rFonts w:cs="Times New Roman"/>
      <w:b/>
      <w:bCs/>
      <w:kern w:val="44"/>
      <w:sz w:val="30"/>
      <w:szCs w:val="32"/>
    </w:rPr>
  </w:style>
  <w:style w:type="paragraph" w:styleId="4">
    <w:name w:val="heading 2"/>
    <w:basedOn w:val="1"/>
    <w:next w:val="1"/>
    <w:link w:val="57"/>
    <w:qFormat/>
    <w:uiPriority w:val="0"/>
    <w:pPr>
      <w:keepNext/>
      <w:keepLines/>
      <w:tabs>
        <w:tab w:val="left" w:pos="426"/>
        <w:tab w:val="left" w:pos="567"/>
      </w:tabs>
      <w:spacing w:beforeLines="50" w:afterLines="50" w:line="360" w:lineRule="auto"/>
      <w:ind w:left="567" w:hanging="567"/>
      <w:outlineLvl w:val="1"/>
    </w:pPr>
    <w:rPr>
      <w:rFonts w:cs="Times New Roman"/>
      <w:b/>
      <w:bCs/>
      <w:iCs/>
      <w:kern w:val="0"/>
      <w:sz w:val="28"/>
      <w:szCs w:val="28"/>
    </w:rPr>
  </w:style>
  <w:style w:type="paragraph" w:styleId="5">
    <w:name w:val="heading 3"/>
    <w:basedOn w:val="1"/>
    <w:next w:val="1"/>
    <w:link w:val="58"/>
    <w:qFormat/>
    <w:uiPriority w:val="0"/>
    <w:pPr>
      <w:keepNext/>
      <w:keepLines/>
      <w:spacing w:line="360" w:lineRule="auto"/>
      <w:ind w:left="567" w:hanging="567"/>
      <w:outlineLvl w:val="2"/>
    </w:pPr>
    <w:rPr>
      <w:rFonts w:cs="Times New Roman"/>
      <w:b/>
      <w:bCs/>
      <w:color w:val="000000"/>
      <w:sz w:val="24"/>
      <w:szCs w:val="28"/>
    </w:rPr>
  </w:style>
  <w:style w:type="paragraph" w:styleId="6">
    <w:name w:val="heading 4"/>
    <w:basedOn w:val="1"/>
    <w:next w:val="1"/>
    <w:link w:val="59"/>
    <w:qFormat/>
    <w:uiPriority w:val="0"/>
    <w:pPr>
      <w:keepNext/>
      <w:keepLines/>
      <w:tabs>
        <w:tab w:val="left" w:pos="851"/>
      </w:tabs>
      <w:spacing w:line="360" w:lineRule="auto"/>
      <w:ind w:firstLine="198"/>
      <w:outlineLvl w:val="3"/>
    </w:pPr>
    <w:rPr>
      <w:rFonts w:cs="Times New Roman"/>
      <w:b/>
      <w:bCs/>
      <w:kern w:val="0"/>
      <w:sz w:val="24"/>
      <w:szCs w:val="28"/>
    </w:rPr>
  </w:style>
  <w:style w:type="paragraph" w:styleId="7">
    <w:name w:val="heading 5"/>
    <w:basedOn w:val="1"/>
    <w:next w:val="1"/>
    <w:link w:val="60"/>
    <w:qFormat/>
    <w:uiPriority w:val="0"/>
    <w:pPr>
      <w:keepNext/>
      <w:keepLines/>
      <w:tabs>
        <w:tab w:val="left" w:pos="709"/>
      </w:tabs>
      <w:autoSpaceDE w:val="0"/>
      <w:autoSpaceDN w:val="0"/>
      <w:adjustRightInd w:val="0"/>
      <w:spacing w:before="280" w:after="290" w:line="376" w:lineRule="auto"/>
      <w:outlineLvl w:val="4"/>
    </w:pPr>
    <w:rPr>
      <w:rFonts w:ascii="Times New Roman" w:hAnsi="Times New Roman" w:cs="Times New Roman"/>
      <w:b/>
      <w:bCs/>
      <w:kern w:val="0"/>
      <w:sz w:val="28"/>
      <w:szCs w:val="28"/>
    </w:rPr>
  </w:style>
  <w:style w:type="paragraph" w:styleId="8">
    <w:name w:val="heading 6"/>
    <w:basedOn w:val="1"/>
    <w:next w:val="1"/>
    <w:link w:val="61"/>
    <w:qFormat/>
    <w:uiPriority w:val="0"/>
    <w:pPr>
      <w:keepNext/>
      <w:keepLines/>
      <w:tabs>
        <w:tab w:val="left" w:pos="1134"/>
      </w:tabs>
      <w:spacing w:before="240" w:after="64" w:line="320" w:lineRule="auto"/>
      <w:ind w:left="1134" w:hanging="1134"/>
      <w:outlineLvl w:val="5"/>
    </w:pPr>
    <w:rPr>
      <w:rFonts w:ascii="Arial" w:hAnsi="Arial" w:eastAsia="黑体" w:cs="Times New Roman"/>
      <w:b/>
      <w:bCs/>
      <w:sz w:val="24"/>
      <w:szCs w:val="24"/>
    </w:rPr>
  </w:style>
  <w:style w:type="paragraph" w:styleId="9">
    <w:name w:val="heading 7"/>
    <w:basedOn w:val="1"/>
    <w:next w:val="1"/>
    <w:link w:val="62"/>
    <w:qFormat/>
    <w:uiPriority w:val="0"/>
    <w:pPr>
      <w:keepNext/>
      <w:tabs>
        <w:tab w:val="left" w:pos="3600"/>
      </w:tabs>
      <w:spacing w:after="120"/>
      <w:outlineLvl w:val="6"/>
    </w:pPr>
    <w:rPr>
      <w:rFonts w:ascii="Arial Narrow" w:hAnsi="Arial Narrow" w:cs="Times New Roman"/>
      <w:b/>
      <w:kern w:val="0"/>
      <w:sz w:val="20"/>
      <w:szCs w:val="20"/>
      <w:lang w:eastAsia="en-US"/>
    </w:rPr>
  </w:style>
  <w:style w:type="paragraph" w:styleId="10">
    <w:name w:val="heading 8"/>
    <w:basedOn w:val="1"/>
    <w:next w:val="1"/>
    <w:link w:val="63"/>
    <w:qFormat/>
    <w:uiPriority w:val="0"/>
    <w:pPr>
      <w:keepNext/>
      <w:keepLines/>
      <w:spacing w:before="240" w:after="64" w:line="317" w:lineRule="auto"/>
      <w:outlineLvl w:val="7"/>
    </w:pPr>
    <w:rPr>
      <w:rFonts w:ascii="Arial" w:hAnsi="Arial" w:eastAsia="黑体" w:cs="Times New Roman"/>
      <w:sz w:val="24"/>
      <w:szCs w:val="20"/>
    </w:rPr>
  </w:style>
  <w:style w:type="paragraph" w:styleId="11">
    <w:name w:val="heading 9"/>
    <w:basedOn w:val="1"/>
    <w:next w:val="1"/>
    <w:link w:val="64"/>
    <w:qFormat/>
    <w:uiPriority w:val="0"/>
    <w:pPr>
      <w:keepNext/>
      <w:keepLines/>
      <w:spacing w:before="240" w:after="64" w:line="317" w:lineRule="auto"/>
      <w:outlineLvl w:val="8"/>
    </w:pPr>
    <w:rPr>
      <w:rFonts w:ascii="Arial" w:hAnsi="Arial" w:eastAsia="黑体" w:cs="Times New Roman"/>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rFonts w:ascii="Times New Roman" w:hAnsi="Times New Roman" w:cs="Times New Roman"/>
      <w:kern w:val="0"/>
      <w:sz w:val="24"/>
      <w:szCs w:val="24"/>
    </w:rPr>
  </w:style>
  <w:style w:type="paragraph" w:styleId="12">
    <w:name w:val="toc 7"/>
    <w:basedOn w:val="1"/>
    <w:next w:val="1"/>
    <w:qFormat/>
    <w:uiPriority w:val="39"/>
    <w:pPr>
      <w:ind w:left="1080"/>
    </w:pPr>
    <w:rPr>
      <w:sz w:val="18"/>
      <w:szCs w:val="20"/>
    </w:rPr>
  </w:style>
  <w:style w:type="paragraph" w:styleId="13">
    <w:name w:val="Normal Indent"/>
    <w:basedOn w:val="1"/>
    <w:link w:val="66"/>
    <w:qFormat/>
    <w:uiPriority w:val="0"/>
    <w:pPr>
      <w:spacing w:line="360" w:lineRule="auto"/>
      <w:ind w:firstLine="420" w:firstLineChars="200"/>
    </w:pPr>
    <w:rPr>
      <w:rFonts w:ascii="Times New Roman" w:hAnsi="Times New Roman" w:cs="Times New Roman"/>
      <w:szCs w:val="24"/>
    </w:rPr>
  </w:style>
  <w:style w:type="paragraph" w:styleId="14">
    <w:name w:val="caption"/>
    <w:basedOn w:val="1"/>
    <w:next w:val="1"/>
    <w:qFormat/>
    <w:uiPriority w:val="0"/>
    <w:pPr>
      <w:spacing w:before="152" w:after="160" w:line="360" w:lineRule="auto"/>
    </w:pPr>
    <w:rPr>
      <w:rFonts w:ascii="Arial" w:hAnsi="Arial" w:eastAsia="黑体"/>
      <w:sz w:val="20"/>
      <w:szCs w:val="20"/>
    </w:rPr>
  </w:style>
  <w:style w:type="paragraph" w:styleId="15">
    <w:name w:val="List Bullet"/>
    <w:basedOn w:val="1"/>
    <w:qFormat/>
    <w:uiPriority w:val="0"/>
    <w:pPr>
      <w:tabs>
        <w:tab w:val="left" w:pos="360"/>
      </w:tabs>
      <w:ind w:left="283" w:hanging="425"/>
    </w:pPr>
    <w:rPr>
      <w:rFonts w:ascii="Calibri" w:hAnsi="Calibri" w:cs="Times New Roman"/>
      <w:szCs w:val="24"/>
    </w:rPr>
  </w:style>
  <w:style w:type="paragraph" w:styleId="16">
    <w:name w:val="Document Map"/>
    <w:basedOn w:val="1"/>
    <w:link w:val="67"/>
    <w:unhideWhenUsed/>
    <w:qFormat/>
    <w:uiPriority w:val="99"/>
    <w:rPr>
      <w:rFonts w:hAnsi="Times New Roman" w:cs="Times New Roman"/>
      <w:kern w:val="0"/>
      <w:sz w:val="18"/>
      <w:szCs w:val="18"/>
    </w:rPr>
  </w:style>
  <w:style w:type="paragraph" w:styleId="17">
    <w:name w:val="annotation text"/>
    <w:basedOn w:val="1"/>
    <w:link w:val="68"/>
    <w:qFormat/>
    <w:uiPriority w:val="0"/>
    <w:rPr>
      <w:rFonts w:ascii="Times New Roman" w:hAnsi="Times New Roman" w:cs="Times New Roman"/>
      <w:sz w:val="18"/>
      <w:szCs w:val="20"/>
    </w:rPr>
  </w:style>
  <w:style w:type="paragraph" w:styleId="18">
    <w:name w:val="Salutation"/>
    <w:basedOn w:val="1"/>
    <w:next w:val="1"/>
    <w:link w:val="69"/>
    <w:qFormat/>
    <w:uiPriority w:val="0"/>
    <w:rPr>
      <w:rFonts w:ascii="Times New Roman" w:hAnsi="Times New Roman" w:eastAsia="黑体" w:cs="Times New Roman"/>
      <w:sz w:val="24"/>
      <w:szCs w:val="20"/>
    </w:rPr>
  </w:style>
  <w:style w:type="paragraph" w:styleId="19">
    <w:name w:val="Body Text 3"/>
    <w:basedOn w:val="1"/>
    <w:link w:val="70"/>
    <w:qFormat/>
    <w:uiPriority w:val="0"/>
    <w:pPr>
      <w:spacing w:after="120"/>
    </w:pPr>
    <w:rPr>
      <w:rFonts w:ascii="Times New Roman" w:hAnsi="Times New Roman" w:cs="Times New Roman"/>
      <w:kern w:val="0"/>
      <w:sz w:val="16"/>
      <w:szCs w:val="16"/>
    </w:rPr>
  </w:style>
  <w:style w:type="paragraph" w:styleId="20">
    <w:name w:val="Body Text Indent"/>
    <w:basedOn w:val="1"/>
    <w:link w:val="71"/>
    <w:qFormat/>
    <w:uiPriority w:val="0"/>
    <w:pPr>
      <w:autoSpaceDE w:val="0"/>
      <w:autoSpaceDN w:val="0"/>
      <w:adjustRightInd w:val="0"/>
      <w:spacing w:line="360" w:lineRule="auto"/>
      <w:ind w:firstLine="540" w:firstLineChars="180"/>
    </w:pPr>
    <w:rPr>
      <w:rFonts w:hAnsi="Times New Roman" w:cs="Times New Roman"/>
      <w:kern w:val="0"/>
      <w:sz w:val="30"/>
      <w:szCs w:val="24"/>
    </w:rPr>
  </w:style>
  <w:style w:type="paragraph" w:styleId="21">
    <w:name w:val="Block Text"/>
    <w:basedOn w:val="1"/>
    <w:qFormat/>
    <w:uiPriority w:val="0"/>
    <w:pPr>
      <w:ind w:left="-540" w:leftChars="-257" w:right="-334" w:rightChars="-159" w:firstLine="540" w:firstLineChars="180"/>
    </w:pPr>
    <w:rPr>
      <w:sz w:val="30"/>
    </w:rPr>
  </w:style>
  <w:style w:type="paragraph" w:styleId="22">
    <w:name w:val="toc 5"/>
    <w:basedOn w:val="1"/>
    <w:next w:val="1"/>
    <w:qFormat/>
    <w:uiPriority w:val="39"/>
    <w:pPr>
      <w:ind w:left="720"/>
    </w:pPr>
    <w:rPr>
      <w:sz w:val="18"/>
      <w:szCs w:val="20"/>
    </w:rPr>
  </w:style>
  <w:style w:type="paragraph" w:styleId="23">
    <w:name w:val="toc 3"/>
    <w:basedOn w:val="1"/>
    <w:next w:val="1"/>
    <w:qFormat/>
    <w:uiPriority w:val="39"/>
    <w:pPr>
      <w:ind w:left="200" w:leftChars="200"/>
    </w:pPr>
    <w:rPr>
      <w:sz w:val="20"/>
      <w:szCs w:val="20"/>
    </w:rPr>
  </w:style>
  <w:style w:type="paragraph" w:styleId="24">
    <w:name w:val="Plain Text"/>
    <w:basedOn w:val="1"/>
    <w:link w:val="72"/>
    <w:qFormat/>
    <w:uiPriority w:val="0"/>
    <w:pPr>
      <w:autoSpaceDE w:val="0"/>
      <w:autoSpaceDN w:val="0"/>
      <w:adjustRightInd w:val="0"/>
    </w:pPr>
    <w:rPr>
      <w:rFonts w:hAnsi="Tms Rmn" w:cs="Times New Roman"/>
      <w:kern w:val="0"/>
      <w:szCs w:val="21"/>
    </w:rPr>
  </w:style>
  <w:style w:type="paragraph" w:styleId="25">
    <w:name w:val="toc 8"/>
    <w:basedOn w:val="1"/>
    <w:next w:val="1"/>
    <w:qFormat/>
    <w:uiPriority w:val="39"/>
    <w:pPr>
      <w:ind w:left="1260"/>
    </w:pPr>
    <w:rPr>
      <w:sz w:val="18"/>
      <w:szCs w:val="20"/>
    </w:rPr>
  </w:style>
  <w:style w:type="paragraph" w:styleId="26">
    <w:name w:val="Date"/>
    <w:basedOn w:val="1"/>
    <w:next w:val="1"/>
    <w:link w:val="73"/>
    <w:qFormat/>
    <w:uiPriority w:val="0"/>
    <w:pPr>
      <w:ind w:left="100" w:leftChars="2500"/>
    </w:pPr>
    <w:rPr>
      <w:rFonts w:ascii="Times New Roman" w:hAnsi="Times New Roman" w:cs="Times New Roman"/>
      <w:kern w:val="0"/>
      <w:sz w:val="24"/>
      <w:szCs w:val="24"/>
    </w:rPr>
  </w:style>
  <w:style w:type="paragraph" w:styleId="27">
    <w:name w:val="Body Text Indent 2"/>
    <w:basedOn w:val="1"/>
    <w:link w:val="74"/>
    <w:qFormat/>
    <w:uiPriority w:val="0"/>
    <w:pPr>
      <w:ind w:firstLine="540" w:firstLineChars="257"/>
    </w:pPr>
    <w:rPr>
      <w:rFonts w:ascii="Times New Roman" w:hAnsi="Times New Roman" w:cs="Times New Roman"/>
      <w:szCs w:val="24"/>
    </w:rPr>
  </w:style>
  <w:style w:type="paragraph" w:styleId="28">
    <w:name w:val="Balloon Text"/>
    <w:basedOn w:val="1"/>
    <w:link w:val="75"/>
    <w:qFormat/>
    <w:uiPriority w:val="0"/>
    <w:rPr>
      <w:rFonts w:ascii="Times New Roman" w:hAnsi="Times New Roman" w:cs="Times New Roman"/>
      <w:kern w:val="0"/>
      <w:sz w:val="18"/>
      <w:szCs w:val="18"/>
    </w:rPr>
  </w:style>
  <w:style w:type="paragraph" w:styleId="29">
    <w:name w:val="footer"/>
    <w:basedOn w:val="1"/>
    <w:link w:val="76"/>
    <w:qFormat/>
    <w:uiPriority w:val="99"/>
    <w:pPr>
      <w:tabs>
        <w:tab w:val="center" w:pos="4153"/>
        <w:tab w:val="right" w:pos="8306"/>
      </w:tabs>
      <w:snapToGrid w:val="0"/>
    </w:pPr>
    <w:rPr>
      <w:rFonts w:ascii="Times New Roman" w:hAnsi="Times New Roman" w:cs="Times New Roman"/>
      <w:kern w:val="0"/>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31">
    <w:name w:val="toc 1"/>
    <w:basedOn w:val="1"/>
    <w:next w:val="1"/>
    <w:qFormat/>
    <w:uiPriority w:val="39"/>
    <w:pPr>
      <w:tabs>
        <w:tab w:val="left" w:pos="840"/>
        <w:tab w:val="right" w:leader="dot" w:pos="9204"/>
      </w:tabs>
      <w:spacing w:before="120" w:after="120"/>
    </w:pPr>
    <w:rPr>
      <w:bCs/>
      <w:caps/>
      <w:sz w:val="20"/>
      <w:szCs w:val="20"/>
    </w:rPr>
  </w:style>
  <w:style w:type="paragraph" w:styleId="32">
    <w:name w:val="toc 4"/>
    <w:basedOn w:val="1"/>
    <w:next w:val="1"/>
    <w:qFormat/>
    <w:uiPriority w:val="39"/>
    <w:pPr>
      <w:ind w:left="540"/>
    </w:pPr>
    <w:rPr>
      <w:sz w:val="18"/>
      <w:szCs w:val="20"/>
    </w:rPr>
  </w:style>
  <w:style w:type="paragraph" w:styleId="33">
    <w:name w:val="toc 6"/>
    <w:basedOn w:val="1"/>
    <w:next w:val="1"/>
    <w:qFormat/>
    <w:uiPriority w:val="39"/>
    <w:pPr>
      <w:ind w:left="1200"/>
    </w:pPr>
    <w:rPr>
      <w:sz w:val="18"/>
      <w:szCs w:val="18"/>
    </w:rPr>
  </w:style>
  <w:style w:type="paragraph" w:styleId="34">
    <w:name w:val="Body Text Indent 3"/>
    <w:basedOn w:val="1"/>
    <w:link w:val="78"/>
    <w:qFormat/>
    <w:uiPriority w:val="0"/>
    <w:pPr>
      <w:spacing w:after="120"/>
      <w:ind w:left="420" w:leftChars="200"/>
    </w:pPr>
    <w:rPr>
      <w:rFonts w:ascii="Times New Roman" w:hAnsi="Times New Roman" w:cs="Times New Roman"/>
      <w:sz w:val="16"/>
      <w:szCs w:val="16"/>
    </w:rPr>
  </w:style>
  <w:style w:type="paragraph" w:styleId="35">
    <w:name w:val="toc 2"/>
    <w:basedOn w:val="1"/>
    <w:next w:val="1"/>
    <w:qFormat/>
    <w:uiPriority w:val="39"/>
    <w:pPr>
      <w:ind w:left="100" w:leftChars="100"/>
    </w:pPr>
    <w:rPr>
      <w:smallCaps/>
      <w:sz w:val="20"/>
      <w:szCs w:val="20"/>
    </w:rPr>
  </w:style>
  <w:style w:type="paragraph" w:styleId="36">
    <w:name w:val="toc 9"/>
    <w:basedOn w:val="1"/>
    <w:next w:val="1"/>
    <w:qFormat/>
    <w:uiPriority w:val="39"/>
    <w:pPr>
      <w:ind w:left="1440"/>
    </w:pPr>
    <w:rPr>
      <w:sz w:val="18"/>
      <w:szCs w:val="20"/>
    </w:rPr>
  </w:style>
  <w:style w:type="paragraph" w:styleId="37">
    <w:name w:val="Body Text 2"/>
    <w:basedOn w:val="1"/>
    <w:link w:val="79"/>
    <w:qFormat/>
    <w:uiPriority w:val="0"/>
    <w:pPr>
      <w:autoSpaceDE w:val="0"/>
      <w:autoSpaceDN w:val="0"/>
      <w:adjustRightInd w:val="0"/>
      <w:spacing w:after="120" w:line="480" w:lineRule="auto"/>
    </w:pPr>
    <w:rPr>
      <w:rFonts w:ascii="Times New Roman" w:hAnsi="Times New Roman" w:cs="Times New Roman"/>
      <w:kern w:val="0"/>
      <w:szCs w:val="21"/>
    </w:rPr>
  </w:style>
  <w:style w:type="paragraph" w:styleId="38">
    <w:name w:val="Normal (Web)"/>
    <w:basedOn w:val="1"/>
    <w:qFormat/>
    <w:uiPriority w:val="99"/>
    <w:pPr>
      <w:spacing w:before="100" w:beforeAutospacing="1" w:after="100" w:afterAutospacing="1"/>
    </w:pPr>
  </w:style>
  <w:style w:type="paragraph" w:styleId="39">
    <w:name w:val="Title"/>
    <w:basedOn w:val="1"/>
    <w:next w:val="1"/>
    <w:link w:val="80"/>
    <w:qFormat/>
    <w:uiPriority w:val="0"/>
    <w:pPr>
      <w:spacing w:line="360" w:lineRule="auto"/>
      <w:ind w:firstLine="200" w:firstLineChars="200"/>
    </w:pPr>
    <w:rPr>
      <w:rFonts w:hAnsi="Cambria" w:cs="Times New Roman"/>
      <w:b/>
      <w:bCs/>
      <w:sz w:val="24"/>
      <w:szCs w:val="32"/>
    </w:rPr>
  </w:style>
  <w:style w:type="paragraph" w:styleId="40">
    <w:name w:val="annotation subject"/>
    <w:basedOn w:val="17"/>
    <w:next w:val="17"/>
    <w:link w:val="81"/>
    <w:qFormat/>
    <w:uiPriority w:val="0"/>
    <w:rPr>
      <w:b/>
    </w:rPr>
  </w:style>
  <w:style w:type="paragraph" w:styleId="41">
    <w:name w:val="Body Text First Indent"/>
    <w:basedOn w:val="2"/>
    <w:link w:val="82"/>
    <w:qFormat/>
    <w:uiPriority w:val="0"/>
    <w:pPr>
      <w:ind w:firstLine="420" w:firstLineChars="100"/>
    </w:pPr>
    <w:rPr>
      <w:rFonts w:ascii="宋体" w:hAnsi="宋体"/>
      <w:kern w:val="2"/>
      <w:sz w:val="21"/>
    </w:r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Elegant"/>
    <w:basedOn w:val="42"/>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basedOn w:val="45"/>
    <w:unhideWhenUsed/>
    <w:qFormat/>
    <w:uiPriority w:val="0"/>
    <w:rPr>
      <w:color w:val="3177FD"/>
      <w:u w:val="none"/>
    </w:rPr>
  </w:style>
  <w:style w:type="character" w:styleId="49">
    <w:name w:val="Emphasis"/>
    <w:qFormat/>
    <w:uiPriority w:val="0"/>
    <w:rPr>
      <w:i/>
    </w:rPr>
  </w:style>
  <w:style w:type="character" w:styleId="50">
    <w:name w:val="HTML Definition"/>
    <w:basedOn w:val="45"/>
    <w:unhideWhenUsed/>
    <w:qFormat/>
    <w:uiPriority w:val="99"/>
    <w:rPr>
      <w:i/>
      <w:iCs/>
      <w:sz w:val="16"/>
      <w:szCs w:val="16"/>
    </w:rPr>
  </w:style>
  <w:style w:type="character" w:styleId="51">
    <w:name w:val="Hyperlink"/>
    <w:basedOn w:val="45"/>
    <w:qFormat/>
    <w:uiPriority w:val="99"/>
    <w:rPr>
      <w:color w:val="3177FD"/>
      <w:u w:val="none"/>
    </w:rPr>
  </w:style>
  <w:style w:type="character" w:styleId="52">
    <w:name w:val="HTML Code"/>
    <w:basedOn w:val="45"/>
    <w:unhideWhenUsed/>
    <w:qFormat/>
    <w:uiPriority w:val="99"/>
    <w:rPr>
      <w:rFonts w:hint="default" w:ascii="Consolas" w:hAnsi="Consolas" w:eastAsia="Consolas" w:cs="Consolas"/>
      <w:sz w:val="21"/>
      <w:szCs w:val="21"/>
    </w:rPr>
  </w:style>
  <w:style w:type="character" w:styleId="53">
    <w:name w:val="annotation reference"/>
    <w:basedOn w:val="45"/>
    <w:qFormat/>
    <w:uiPriority w:val="0"/>
    <w:rPr>
      <w:sz w:val="21"/>
    </w:rPr>
  </w:style>
  <w:style w:type="character" w:styleId="54">
    <w:name w:val="HTML Keyboard"/>
    <w:basedOn w:val="45"/>
    <w:unhideWhenUsed/>
    <w:qFormat/>
    <w:uiPriority w:val="99"/>
    <w:rPr>
      <w:rFonts w:ascii="Consolas" w:hAnsi="Consolas" w:eastAsia="Consolas" w:cs="Consolas"/>
      <w:sz w:val="21"/>
      <w:szCs w:val="21"/>
    </w:rPr>
  </w:style>
  <w:style w:type="character" w:styleId="55">
    <w:name w:val="HTML Sample"/>
    <w:basedOn w:val="45"/>
    <w:unhideWhenUsed/>
    <w:qFormat/>
    <w:uiPriority w:val="99"/>
    <w:rPr>
      <w:rFonts w:hint="default" w:ascii="Consolas" w:hAnsi="Consolas" w:eastAsia="Consolas" w:cs="Consolas"/>
      <w:sz w:val="21"/>
      <w:szCs w:val="21"/>
    </w:rPr>
  </w:style>
  <w:style w:type="character" w:customStyle="1" w:styleId="56">
    <w:name w:val="标题 1 Char"/>
    <w:basedOn w:val="45"/>
    <w:link w:val="3"/>
    <w:qFormat/>
    <w:uiPriority w:val="0"/>
    <w:rPr>
      <w:rFonts w:ascii="宋体" w:hAnsi="宋体" w:eastAsia="宋体" w:cs="Times New Roman"/>
      <w:b/>
      <w:bCs/>
      <w:kern w:val="44"/>
      <w:sz w:val="30"/>
      <w:szCs w:val="32"/>
    </w:rPr>
  </w:style>
  <w:style w:type="character" w:customStyle="1" w:styleId="57">
    <w:name w:val="标题 2 Char"/>
    <w:basedOn w:val="45"/>
    <w:link w:val="4"/>
    <w:qFormat/>
    <w:uiPriority w:val="0"/>
    <w:rPr>
      <w:rFonts w:ascii="宋体" w:hAnsi="宋体" w:eastAsia="宋体" w:cs="Times New Roman"/>
      <w:b/>
      <w:bCs/>
      <w:iCs/>
      <w:kern w:val="0"/>
      <w:sz w:val="28"/>
      <w:szCs w:val="28"/>
    </w:rPr>
  </w:style>
  <w:style w:type="character" w:customStyle="1" w:styleId="58">
    <w:name w:val="标题 3 Char"/>
    <w:basedOn w:val="45"/>
    <w:link w:val="5"/>
    <w:qFormat/>
    <w:uiPriority w:val="0"/>
    <w:rPr>
      <w:rFonts w:ascii="宋体" w:hAnsi="宋体" w:eastAsia="宋体" w:cs="Times New Roman"/>
      <w:b/>
      <w:bCs/>
      <w:color w:val="000000"/>
      <w:sz w:val="24"/>
      <w:szCs w:val="28"/>
    </w:rPr>
  </w:style>
  <w:style w:type="character" w:customStyle="1" w:styleId="59">
    <w:name w:val="标题 4 Char"/>
    <w:basedOn w:val="45"/>
    <w:link w:val="6"/>
    <w:qFormat/>
    <w:uiPriority w:val="0"/>
    <w:rPr>
      <w:rFonts w:ascii="宋体" w:hAnsi="宋体" w:eastAsia="宋体" w:cs="Times New Roman"/>
      <w:b/>
      <w:bCs/>
      <w:kern w:val="0"/>
      <w:sz w:val="24"/>
      <w:szCs w:val="28"/>
    </w:rPr>
  </w:style>
  <w:style w:type="character" w:customStyle="1" w:styleId="60">
    <w:name w:val="标题 5 Char"/>
    <w:basedOn w:val="45"/>
    <w:link w:val="7"/>
    <w:qFormat/>
    <w:uiPriority w:val="0"/>
    <w:rPr>
      <w:rFonts w:ascii="Times New Roman" w:hAnsi="Times New Roman" w:eastAsia="宋体" w:cs="Times New Roman"/>
      <w:b/>
      <w:bCs/>
      <w:kern w:val="0"/>
      <w:sz w:val="28"/>
      <w:szCs w:val="28"/>
    </w:rPr>
  </w:style>
  <w:style w:type="character" w:customStyle="1" w:styleId="61">
    <w:name w:val="标题 6 Char"/>
    <w:basedOn w:val="45"/>
    <w:link w:val="8"/>
    <w:qFormat/>
    <w:uiPriority w:val="0"/>
    <w:rPr>
      <w:rFonts w:ascii="Arial" w:hAnsi="Arial" w:eastAsia="黑体" w:cs="Times New Roman"/>
      <w:b/>
      <w:bCs/>
      <w:sz w:val="24"/>
      <w:szCs w:val="24"/>
    </w:rPr>
  </w:style>
  <w:style w:type="character" w:customStyle="1" w:styleId="62">
    <w:name w:val="标题 7 Char"/>
    <w:basedOn w:val="45"/>
    <w:link w:val="9"/>
    <w:qFormat/>
    <w:uiPriority w:val="0"/>
    <w:rPr>
      <w:rFonts w:ascii="Arial Narrow" w:hAnsi="Arial Narrow" w:eastAsia="宋体" w:cs="Times New Roman"/>
      <w:b/>
      <w:kern w:val="0"/>
      <w:sz w:val="20"/>
      <w:szCs w:val="20"/>
      <w:lang w:eastAsia="en-US"/>
    </w:rPr>
  </w:style>
  <w:style w:type="character" w:customStyle="1" w:styleId="63">
    <w:name w:val="标题 8 Char"/>
    <w:basedOn w:val="45"/>
    <w:link w:val="10"/>
    <w:qFormat/>
    <w:uiPriority w:val="0"/>
    <w:rPr>
      <w:rFonts w:ascii="Arial" w:hAnsi="Arial" w:eastAsia="黑体" w:cs="Times New Roman"/>
      <w:sz w:val="24"/>
      <w:szCs w:val="20"/>
    </w:rPr>
  </w:style>
  <w:style w:type="character" w:customStyle="1" w:styleId="64">
    <w:name w:val="标题 9 Char"/>
    <w:basedOn w:val="45"/>
    <w:link w:val="11"/>
    <w:qFormat/>
    <w:uiPriority w:val="0"/>
    <w:rPr>
      <w:rFonts w:ascii="Arial" w:hAnsi="Arial" w:eastAsia="黑体" w:cs="Times New Roman"/>
      <w:szCs w:val="20"/>
    </w:rPr>
  </w:style>
  <w:style w:type="character" w:customStyle="1" w:styleId="65">
    <w:name w:val="正文文本 Char"/>
    <w:basedOn w:val="45"/>
    <w:link w:val="2"/>
    <w:qFormat/>
    <w:uiPriority w:val="0"/>
    <w:rPr>
      <w:rFonts w:ascii="Times New Roman" w:hAnsi="Times New Roman" w:eastAsia="宋体" w:cs="Times New Roman"/>
      <w:kern w:val="0"/>
      <w:sz w:val="24"/>
      <w:szCs w:val="24"/>
    </w:rPr>
  </w:style>
  <w:style w:type="character" w:customStyle="1" w:styleId="66">
    <w:name w:val="正文缩进 Char"/>
    <w:link w:val="13"/>
    <w:qFormat/>
    <w:uiPriority w:val="0"/>
    <w:rPr>
      <w:rFonts w:ascii="Times New Roman" w:hAnsi="Times New Roman" w:eastAsia="宋体" w:cs="Times New Roman"/>
      <w:szCs w:val="24"/>
    </w:rPr>
  </w:style>
  <w:style w:type="character" w:customStyle="1" w:styleId="67">
    <w:name w:val="文档结构图 Char"/>
    <w:basedOn w:val="45"/>
    <w:link w:val="16"/>
    <w:qFormat/>
    <w:uiPriority w:val="99"/>
    <w:rPr>
      <w:rFonts w:ascii="宋体" w:hAnsi="Times New Roman" w:eastAsia="宋体" w:cs="Times New Roman"/>
      <w:kern w:val="0"/>
      <w:sz w:val="18"/>
      <w:szCs w:val="18"/>
    </w:rPr>
  </w:style>
  <w:style w:type="character" w:customStyle="1" w:styleId="68">
    <w:name w:val="批注文字 Char"/>
    <w:basedOn w:val="45"/>
    <w:link w:val="17"/>
    <w:qFormat/>
    <w:uiPriority w:val="0"/>
    <w:rPr>
      <w:rFonts w:ascii="Times New Roman" w:hAnsi="Times New Roman" w:eastAsia="宋体" w:cs="Times New Roman"/>
      <w:sz w:val="18"/>
      <w:szCs w:val="20"/>
    </w:rPr>
  </w:style>
  <w:style w:type="character" w:customStyle="1" w:styleId="69">
    <w:name w:val="称呼 Char"/>
    <w:basedOn w:val="45"/>
    <w:link w:val="18"/>
    <w:qFormat/>
    <w:uiPriority w:val="0"/>
    <w:rPr>
      <w:rFonts w:ascii="Times New Roman" w:hAnsi="Times New Roman" w:eastAsia="黑体" w:cs="Times New Roman"/>
      <w:sz w:val="24"/>
      <w:szCs w:val="20"/>
    </w:rPr>
  </w:style>
  <w:style w:type="character" w:customStyle="1" w:styleId="70">
    <w:name w:val="正文文本 3 Char"/>
    <w:basedOn w:val="45"/>
    <w:link w:val="19"/>
    <w:qFormat/>
    <w:uiPriority w:val="0"/>
    <w:rPr>
      <w:rFonts w:ascii="Times New Roman" w:hAnsi="Times New Roman" w:eastAsia="宋体" w:cs="Times New Roman"/>
      <w:kern w:val="0"/>
      <w:sz w:val="16"/>
      <w:szCs w:val="16"/>
    </w:rPr>
  </w:style>
  <w:style w:type="character" w:customStyle="1" w:styleId="71">
    <w:name w:val="正文文本缩进 Char"/>
    <w:basedOn w:val="45"/>
    <w:link w:val="20"/>
    <w:qFormat/>
    <w:uiPriority w:val="0"/>
    <w:rPr>
      <w:rFonts w:ascii="宋体" w:hAnsi="Times New Roman" w:eastAsia="宋体" w:cs="Times New Roman"/>
      <w:kern w:val="0"/>
      <w:sz w:val="30"/>
      <w:szCs w:val="24"/>
    </w:rPr>
  </w:style>
  <w:style w:type="character" w:customStyle="1" w:styleId="72">
    <w:name w:val="纯文本 Char"/>
    <w:basedOn w:val="45"/>
    <w:link w:val="24"/>
    <w:qFormat/>
    <w:uiPriority w:val="0"/>
    <w:rPr>
      <w:rFonts w:ascii="宋体" w:hAnsi="Tms Rmn" w:eastAsia="宋体" w:cs="Times New Roman"/>
      <w:kern w:val="0"/>
      <w:szCs w:val="21"/>
    </w:rPr>
  </w:style>
  <w:style w:type="character" w:customStyle="1" w:styleId="73">
    <w:name w:val="日期 Char"/>
    <w:basedOn w:val="45"/>
    <w:link w:val="26"/>
    <w:qFormat/>
    <w:uiPriority w:val="0"/>
    <w:rPr>
      <w:rFonts w:ascii="Times New Roman" w:hAnsi="Times New Roman" w:eastAsia="宋体" w:cs="Times New Roman"/>
      <w:kern w:val="0"/>
      <w:sz w:val="24"/>
      <w:szCs w:val="24"/>
    </w:rPr>
  </w:style>
  <w:style w:type="character" w:customStyle="1" w:styleId="74">
    <w:name w:val="正文文本缩进 2 Char"/>
    <w:basedOn w:val="45"/>
    <w:link w:val="27"/>
    <w:qFormat/>
    <w:uiPriority w:val="0"/>
    <w:rPr>
      <w:rFonts w:ascii="Times New Roman" w:hAnsi="Times New Roman" w:eastAsia="宋体" w:cs="Times New Roman"/>
      <w:szCs w:val="24"/>
    </w:rPr>
  </w:style>
  <w:style w:type="character" w:customStyle="1" w:styleId="75">
    <w:name w:val="批注框文本 Char"/>
    <w:basedOn w:val="45"/>
    <w:link w:val="28"/>
    <w:qFormat/>
    <w:uiPriority w:val="0"/>
    <w:rPr>
      <w:rFonts w:ascii="Times New Roman" w:hAnsi="Times New Roman" w:eastAsia="宋体" w:cs="Times New Roman"/>
      <w:kern w:val="0"/>
      <w:sz w:val="18"/>
      <w:szCs w:val="18"/>
    </w:rPr>
  </w:style>
  <w:style w:type="character" w:customStyle="1" w:styleId="76">
    <w:name w:val="页脚 Char"/>
    <w:basedOn w:val="45"/>
    <w:link w:val="29"/>
    <w:qFormat/>
    <w:uiPriority w:val="99"/>
    <w:rPr>
      <w:rFonts w:ascii="Times New Roman" w:hAnsi="Times New Roman" w:eastAsia="宋体" w:cs="Times New Roman"/>
      <w:kern w:val="0"/>
      <w:sz w:val="18"/>
      <w:szCs w:val="18"/>
    </w:rPr>
  </w:style>
  <w:style w:type="character" w:customStyle="1" w:styleId="77">
    <w:name w:val="页眉 Char"/>
    <w:basedOn w:val="45"/>
    <w:link w:val="30"/>
    <w:qFormat/>
    <w:uiPriority w:val="0"/>
    <w:rPr>
      <w:rFonts w:ascii="Times New Roman" w:hAnsi="Times New Roman" w:eastAsia="宋体" w:cs="Times New Roman"/>
      <w:kern w:val="0"/>
      <w:sz w:val="18"/>
      <w:szCs w:val="18"/>
    </w:rPr>
  </w:style>
  <w:style w:type="character" w:customStyle="1" w:styleId="78">
    <w:name w:val="正文文本缩进 3 Char"/>
    <w:basedOn w:val="45"/>
    <w:link w:val="34"/>
    <w:qFormat/>
    <w:uiPriority w:val="0"/>
    <w:rPr>
      <w:rFonts w:ascii="Times New Roman" w:hAnsi="Times New Roman" w:eastAsia="宋体" w:cs="Times New Roman"/>
      <w:sz w:val="16"/>
      <w:szCs w:val="16"/>
    </w:rPr>
  </w:style>
  <w:style w:type="character" w:customStyle="1" w:styleId="79">
    <w:name w:val="正文文本 2 Char"/>
    <w:basedOn w:val="45"/>
    <w:link w:val="37"/>
    <w:qFormat/>
    <w:uiPriority w:val="0"/>
    <w:rPr>
      <w:rFonts w:ascii="Times New Roman" w:hAnsi="Times New Roman" w:eastAsia="宋体" w:cs="Times New Roman"/>
      <w:kern w:val="0"/>
      <w:szCs w:val="21"/>
    </w:rPr>
  </w:style>
  <w:style w:type="character" w:customStyle="1" w:styleId="80">
    <w:name w:val="标题 Char"/>
    <w:basedOn w:val="45"/>
    <w:link w:val="39"/>
    <w:qFormat/>
    <w:uiPriority w:val="0"/>
    <w:rPr>
      <w:rFonts w:ascii="宋体" w:hAnsi="Cambria" w:eastAsia="宋体" w:cs="Times New Roman"/>
      <w:b/>
      <w:bCs/>
      <w:sz w:val="24"/>
      <w:szCs w:val="32"/>
    </w:rPr>
  </w:style>
  <w:style w:type="character" w:customStyle="1" w:styleId="81">
    <w:name w:val="批注主题 Char"/>
    <w:basedOn w:val="68"/>
    <w:link w:val="40"/>
    <w:qFormat/>
    <w:uiPriority w:val="0"/>
    <w:rPr>
      <w:b/>
    </w:rPr>
  </w:style>
  <w:style w:type="character" w:customStyle="1" w:styleId="82">
    <w:name w:val="正文首行缩进 Char"/>
    <w:basedOn w:val="65"/>
    <w:link w:val="41"/>
    <w:qFormat/>
    <w:uiPriority w:val="0"/>
    <w:rPr>
      <w:rFonts w:ascii="宋体" w:hAnsi="宋体"/>
    </w:rPr>
  </w:style>
  <w:style w:type="character" w:customStyle="1" w:styleId="83">
    <w:name w:val="Char Char40"/>
    <w:qFormat/>
    <w:uiPriority w:val="0"/>
    <w:rPr>
      <w:kern w:val="2"/>
      <w:sz w:val="24"/>
      <w:szCs w:val="24"/>
    </w:rPr>
  </w:style>
  <w:style w:type="character" w:customStyle="1" w:styleId="84">
    <w:name w:val="标书（正文） Char_2"/>
    <w:link w:val="85"/>
    <w:qFormat/>
    <w:uiPriority w:val="0"/>
    <w:rPr>
      <w:rFonts w:ascii="宋体" w:hAnsi="宋体"/>
      <w:kern w:val="10"/>
      <w:sz w:val="24"/>
    </w:rPr>
  </w:style>
  <w:style w:type="paragraph" w:customStyle="1" w:styleId="85">
    <w:name w:val="标书（正文）_3"/>
    <w:basedOn w:val="86"/>
    <w:link w:val="84"/>
    <w:qFormat/>
    <w:uiPriority w:val="0"/>
    <w:pPr>
      <w:spacing w:line="360" w:lineRule="auto"/>
      <w:ind w:firstLine="560" w:firstLineChars="200"/>
    </w:pPr>
    <w:rPr>
      <w:rFonts w:ascii="宋体" w:hAnsi="宋体" w:eastAsiaTheme="minorEastAsia" w:cstheme="minorBidi"/>
      <w:kern w:val="10"/>
      <w:sz w:val="24"/>
    </w:rPr>
  </w:style>
  <w:style w:type="paragraph" w:customStyle="1" w:styleId="86">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textnormchn1"/>
    <w:basedOn w:val="45"/>
    <w:qFormat/>
    <w:uiPriority w:val="0"/>
  </w:style>
  <w:style w:type="character" w:customStyle="1" w:styleId="88">
    <w:name w:val="标书（正文） Char_1"/>
    <w:link w:val="89"/>
    <w:qFormat/>
    <w:uiPriority w:val="0"/>
    <w:rPr>
      <w:rFonts w:ascii="宋体" w:hAnsi="宋体"/>
      <w:kern w:val="10"/>
      <w:sz w:val="24"/>
    </w:rPr>
  </w:style>
  <w:style w:type="paragraph" w:customStyle="1" w:styleId="89">
    <w:name w:val="标书（正文）_2"/>
    <w:basedOn w:val="90"/>
    <w:link w:val="88"/>
    <w:qFormat/>
    <w:uiPriority w:val="0"/>
    <w:pPr>
      <w:spacing w:line="360" w:lineRule="auto"/>
      <w:ind w:firstLine="560" w:firstLineChars="200"/>
    </w:pPr>
    <w:rPr>
      <w:rFonts w:ascii="宋体" w:hAnsi="宋体" w:eastAsiaTheme="minorEastAsia" w:cstheme="minorBidi"/>
      <w:kern w:val="10"/>
      <w:sz w:val="24"/>
    </w:rPr>
  </w:style>
  <w:style w:type="paragraph" w:customStyle="1" w:styleId="9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正文文本 Char_4"/>
    <w:link w:val="92"/>
    <w:qFormat/>
    <w:uiPriority w:val="1"/>
  </w:style>
  <w:style w:type="paragraph" w:customStyle="1" w:styleId="92">
    <w:name w:val="正文文本_4"/>
    <w:basedOn w:val="93"/>
    <w:link w:val="91"/>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93">
    <w:name w:val="正文_13"/>
    <w:next w:val="9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small"/>
    <w:basedOn w:val="45"/>
    <w:qFormat/>
    <w:uiPriority w:val="0"/>
  </w:style>
  <w:style w:type="character" w:customStyle="1" w:styleId="95">
    <w:name w:val="标书（正文） Char_4"/>
    <w:link w:val="96"/>
    <w:qFormat/>
    <w:uiPriority w:val="0"/>
    <w:rPr>
      <w:rFonts w:ascii="宋体" w:hAnsi="宋体"/>
      <w:kern w:val="10"/>
      <w:sz w:val="24"/>
    </w:rPr>
  </w:style>
  <w:style w:type="paragraph" w:customStyle="1" w:styleId="96">
    <w:name w:val="标书（正文）_5"/>
    <w:basedOn w:val="97"/>
    <w:link w:val="95"/>
    <w:qFormat/>
    <w:uiPriority w:val="0"/>
    <w:pPr>
      <w:spacing w:line="360" w:lineRule="auto"/>
      <w:ind w:firstLine="560" w:firstLineChars="200"/>
    </w:pPr>
    <w:rPr>
      <w:rFonts w:ascii="宋体" w:hAnsi="宋体" w:eastAsiaTheme="minorEastAsia" w:cstheme="minorBidi"/>
      <w:kern w:val="10"/>
      <w:sz w:val="24"/>
    </w:rPr>
  </w:style>
  <w:style w:type="paragraph" w:customStyle="1" w:styleId="97">
    <w:name w:val="正文_6"/>
    <w:next w:val="9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_0_0"/>
    <w:basedOn w:val="97"/>
    <w:link w:val="99"/>
    <w:qFormat/>
    <w:uiPriority w:val="1"/>
    <w:pPr>
      <w:adjustRightInd w:val="0"/>
      <w:spacing w:after="60" w:line="360" w:lineRule="atLeast"/>
      <w:ind w:left="72" w:leftChars="30" w:right="30" w:rightChars="30"/>
      <w:jc w:val="center"/>
      <w:textAlignment w:val="baseline"/>
    </w:pPr>
  </w:style>
  <w:style w:type="character" w:customStyle="1" w:styleId="99">
    <w:name w:val="正文文本 Char_0_0"/>
    <w:link w:val="98"/>
    <w:qFormat/>
    <w:uiPriority w:val="1"/>
    <w:rPr>
      <w:rFonts w:ascii="Times New Roman" w:hAnsi="Times New Roman" w:eastAsia="宋体" w:cs="Times New Roman"/>
    </w:rPr>
  </w:style>
  <w:style w:type="character" w:customStyle="1" w:styleId="100">
    <w:name w:val="标书（正文） Char_7"/>
    <w:link w:val="101"/>
    <w:qFormat/>
    <w:uiPriority w:val="0"/>
    <w:rPr>
      <w:rFonts w:ascii="宋体" w:hAnsi="宋体"/>
      <w:kern w:val="10"/>
      <w:sz w:val="24"/>
    </w:rPr>
  </w:style>
  <w:style w:type="paragraph" w:customStyle="1" w:styleId="101">
    <w:name w:val="标书（正文）_9"/>
    <w:basedOn w:val="102"/>
    <w:link w:val="100"/>
    <w:qFormat/>
    <w:uiPriority w:val="0"/>
    <w:pPr>
      <w:spacing w:line="360" w:lineRule="auto"/>
      <w:ind w:firstLine="560" w:firstLineChars="200"/>
    </w:pPr>
    <w:rPr>
      <w:rFonts w:ascii="宋体" w:hAnsi="宋体" w:eastAsiaTheme="minorEastAsia" w:cstheme="minorBidi"/>
      <w:kern w:val="10"/>
      <w:sz w:val="24"/>
    </w:rPr>
  </w:style>
  <w:style w:type="paragraph" w:customStyle="1" w:styleId="10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CD正文 Char_0"/>
    <w:link w:val="104"/>
    <w:qFormat/>
    <w:uiPriority w:val="0"/>
    <w:rPr>
      <w:sz w:val="30"/>
      <w:szCs w:val="28"/>
    </w:rPr>
  </w:style>
  <w:style w:type="paragraph" w:customStyle="1" w:styleId="104">
    <w:name w:val="CD正文_0"/>
    <w:basedOn w:val="105"/>
    <w:link w:val="103"/>
    <w:qFormat/>
    <w:uiPriority w:val="0"/>
    <w:pPr>
      <w:spacing w:line="360" w:lineRule="auto"/>
      <w:ind w:firstLine="493"/>
    </w:pPr>
    <w:rPr>
      <w:rFonts w:asciiTheme="minorHAnsi" w:hAnsiTheme="minorHAnsi" w:eastAsiaTheme="minorEastAsia" w:cstheme="minorBidi"/>
      <w:sz w:val="30"/>
      <w:szCs w:val="28"/>
    </w:rPr>
  </w:style>
  <w:style w:type="paragraph" w:customStyle="1" w:styleId="105">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6">
    <w:name w:val="正文文本 Char_0"/>
    <w:link w:val="107"/>
    <w:qFormat/>
    <w:uiPriority w:val="1"/>
  </w:style>
  <w:style w:type="paragraph" w:customStyle="1" w:styleId="107">
    <w:name w:val="正文文本_0"/>
    <w:basedOn w:val="108"/>
    <w:link w:val="106"/>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08">
    <w:name w:val="正文_2"/>
    <w:next w:val="10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正文文本 Char_1"/>
    <w:link w:val="110"/>
    <w:qFormat/>
    <w:uiPriority w:val="99"/>
    <w:rPr>
      <w:rFonts w:ascii="Calibri" w:hAnsi="Calibri" w:eastAsia="宋体" w:cs="Times New Roman"/>
      <w:szCs w:val="24"/>
    </w:rPr>
  </w:style>
  <w:style w:type="paragraph" w:customStyle="1" w:styleId="110">
    <w:name w:val="正文文本_1"/>
    <w:basedOn w:val="111"/>
    <w:link w:val="109"/>
    <w:unhideWhenUsed/>
    <w:qFormat/>
    <w:uiPriority w:val="99"/>
    <w:pPr>
      <w:spacing w:after="120"/>
    </w:pPr>
    <w:rPr>
      <w:rFonts w:ascii="Calibri" w:hAnsi="Calibri"/>
    </w:rPr>
  </w:style>
  <w:style w:type="paragraph" w:customStyle="1" w:styleId="111">
    <w:name w:val="正文_7"/>
    <w:next w:val="1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标书（正文） Char"/>
    <w:link w:val="113"/>
    <w:qFormat/>
    <w:uiPriority w:val="0"/>
    <w:rPr>
      <w:rFonts w:ascii="宋体" w:hAnsi="宋体"/>
      <w:kern w:val="10"/>
      <w:sz w:val="24"/>
    </w:rPr>
  </w:style>
  <w:style w:type="paragraph" w:customStyle="1" w:styleId="113">
    <w:name w:val="标书（正文）"/>
    <w:basedOn w:val="1"/>
    <w:link w:val="112"/>
    <w:qFormat/>
    <w:uiPriority w:val="0"/>
    <w:pPr>
      <w:spacing w:line="360" w:lineRule="auto"/>
      <w:ind w:firstLine="560" w:firstLineChars="200"/>
    </w:pPr>
    <w:rPr>
      <w:rFonts w:eastAsiaTheme="minorEastAsia" w:cstheme="minorBidi"/>
      <w:kern w:val="10"/>
      <w:sz w:val="24"/>
    </w:rPr>
  </w:style>
  <w:style w:type="character" w:customStyle="1" w:styleId="114">
    <w:name w:val="彩色列表 - 强调文字颜色 1 Char"/>
    <w:link w:val="115"/>
    <w:qFormat/>
    <w:uiPriority w:val="0"/>
    <w:rPr>
      <w:rFonts w:ascii="Calibri" w:hAnsi="Calibri"/>
    </w:rPr>
  </w:style>
  <w:style w:type="paragraph" w:customStyle="1" w:styleId="115">
    <w:name w:val="彩色列表 - 强调文字颜色"/>
    <w:basedOn w:val="1"/>
    <w:link w:val="114"/>
    <w:qFormat/>
    <w:uiPriority w:val="0"/>
    <w:pPr>
      <w:ind w:firstLine="420" w:firstLineChars="200"/>
    </w:pPr>
    <w:rPr>
      <w:rFonts w:ascii="Calibri" w:hAnsi="Calibri" w:eastAsiaTheme="minorEastAsia" w:cstheme="minorBidi"/>
    </w:rPr>
  </w:style>
  <w:style w:type="character" w:customStyle="1" w:styleId="116">
    <w:name w:val="标书（正文） Char_3"/>
    <w:link w:val="117"/>
    <w:qFormat/>
    <w:uiPriority w:val="0"/>
    <w:rPr>
      <w:rFonts w:ascii="宋体" w:hAnsi="宋体"/>
      <w:kern w:val="10"/>
      <w:sz w:val="24"/>
    </w:rPr>
  </w:style>
  <w:style w:type="paragraph" w:customStyle="1" w:styleId="117">
    <w:name w:val="标书（正文）_4"/>
    <w:basedOn w:val="118"/>
    <w:link w:val="116"/>
    <w:qFormat/>
    <w:uiPriority w:val="0"/>
    <w:pPr>
      <w:spacing w:line="360" w:lineRule="auto"/>
      <w:ind w:firstLine="560" w:firstLineChars="200"/>
    </w:pPr>
    <w:rPr>
      <w:rFonts w:ascii="宋体" w:hAnsi="宋体" w:eastAsiaTheme="minorEastAsia" w:cstheme="minorBidi"/>
      <w:kern w:val="10"/>
      <w:sz w:val="24"/>
    </w:rPr>
  </w:style>
  <w:style w:type="paragraph" w:customStyle="1" w:styleId="118">
    <w:name w:val="正文_5"/>
    <w:next w:val="1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Char Char4"/>
    <w:qFormat/>
    <w:uiPriority w:val="0"/>
    <w:rPr>
      <w:rFonts w:ascii="宋体" w:hAnsi="Courier New" w:eastAsia="宋体"/>
      <w:kern w:val="2"/>
      <w:sz w:val="21"/>
      <w:lang w:val="en-US" w:eastAsia="zh-CN"/>
    </w:rPr>
  </w:style>
  <w:style w:type="character" w:customStyle="1" w:styleId="120">
    <w:name w:val="正文文本 Char_2"/>
    <w:link w:val="121"/>
    <w:qFormat/>
    <w:uiPriority w:val="1"/>
  </w:style>
  <w:style w:type="paragraph" w:customStyle="1" w:styleId="121">
    <w:name w:val="正文文本_2"/>
    <w:basedOn w:val="122"/>
    <w:link w:val="120"/>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22">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CD正文 Char"/>
    <w:link w:val="124"/>
    <w:qFormat/>
    <w:uiPriority w:val="0"/>
    <w:rPr>
      <w:sz w:val="30"/>
      <w:szCs w:val="28"/>
    </w:rPr>
  </w:style>
  <w:style w:type="paragraph" w:customStyle="1" w:styleId="124">
    <w:name w:val="CD正文"/>
    <w:basedOn w:val="125"/>
    <w:link w:val="123"/>
    <w:qFormat/>
    <w:uiPriority w:val="0"/>
    <w:pPr>
      <w:ind w:firstLine="493"/>
    </w:pPr>
    <w:rPr>
      <w:rFonts w:asciiTheme="minorHAnsi" w:hAnsiTheme="minorHAnsi" w:eastAsiaTheme="minorEastAsia" w:cstheme="minorBidi"/>
      <w:sz w:val="30"/>
      <w:szCs w:val="28"/>
    </w:rPr>
  </w:style>
  <w:style w:type="paragraph" w:customStyle="1" w:styleId="125">
    <w:name w:val="文章正文"/>
    <w:basedOn w:val="1"/>
    <w:link w:val="126"/>
    <w:qFormat/>
    <w:uiPriority w:val="0"/>
    <w:pPr>
      <w:spacing w:line="360" w:lineRule="auto"/>
      <w:ind w:firstLine="420"/>
    </w:pPr>
    <w:rPr>
      <w:rFonts w:ascii="Times New Roman" w:hAnsi="Times New Roman" w:cs="Times New Roman"/>
      <w:sz w:val="24"/>
      <w:szCs w:val="24"/>
    </w:rPr>
  </w:style>
  <w:style w:type="character" w:customStyle="1" w:styleId="126">
    <w:name w:val="文章正文 Char"/>
    <w:link w:val="125"/>
    <w:qFormat/>
    <w:uiPriority w:val="0"/>
    <w:rPr>
      <w:rFonts w:ascii="Times New Roman" w:hAnsi="Times New Roman" w:eastAsia="宋体" w:cs="Times New Roman"/>
      <w:sz w:val="24"/>
      <w:szCs w:val="24"/>
    </w:rPr>
  </w:style>
  <w:style w:type="character" w:customStyle="1" w:styleId="127">
    <w:name w:val="纯文本 Char1"/>
    <w:unhideWhenUsed/>
    <w:qFormat/>
    <w:uiPriority w:val="99"/>
    <w:rPr>
      <w:rFonts w:hint="eastAsia" w:ascii="宋体" w:hAnsi="Tms Rmn" w:eastAsia="宋体"/>
      <w:sz w:val="21"/>
      <w:lang w:val="en-US" w:eastAsia="zh-CN"/>
    </w:rPr>
  </w:style>
  <w:style w:type="character" w:customStyle="1" w:styleId="128">
    <w:name w:val="标书（正文） Char_0_0"/>
    <w:link w:val="129"/>
    <w:qFormat/>
    <w:uiPriority w:val="0"/>
    <w:rPr>
      <w:rFonts w:ascii="宋体" w:hAnsi="宋体"/>
      <w:kern w:val="10"/>
      <w:sz w:val="24"/>
    </w:rPr>
  </w:style>
  <w:style w:type="paragraph" w:customStyle="1" w:styleId="129">
    <w:name w:val="标书（正文）_0_0"/>
    <w:basedOn w:val="130"/>
    <w:link w:val="128"/>
    <w:qFormat/>
    <w:uiPriority w:val="0"/>
    <w:pPr>
      <w:spacing w:line="360" w:lineRule="auto"/>
      <w:ind w:firstLine="560" w:firstLineChars="200"/>
    </w:pPr>
    <w:rPr>
      <w:rFonts w:ascii="宋体" w:hAnsi="宋体" w:eastAsiaTheme="minorEastAsia" w:cstheme="minorBidi"/>
      <w:kern w:val="10"/>
      <w:sz w:val="24"/>
    </w:rPr>
  </w:style>
  <w:style w:type="paragraph" w:customStyle="1" w:styleId="13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2">
    <w:name w:val="正文首行缩进两字符 Char Char"/>
    <w:link w:val="133"/>
    <w:qFormat/>
    <w:uiPriority w:val="0"/>
  </w:style>
  <w:style w:type="paragraph" w:customStyle="1" w:styleId="133">
    <w:name w:val="正文首行缩进两字符"/>
    <w:basedOn w:val="1"/>
    <w:link w:val="132"/>
    <w:qFormat/>
    <w:uiPriority w:val="0"/>
    <w:pPr>
      <w:spacing w:line="360" w:lineRule="auto"/>
      <w:ind w:firstLine="200" w:firstLineChars="200"/>
    </w:pPr>
    <w:rPr>
      <w:rFonts w:asciiTheme="minorHAnsi" w:hAnsiTheme="minorHAnsi" w:eastAsiaTheme="minorEastAsia" w:cstheme="minorBidi"/>
    </w:rPr>
  </w:style>
  <w:style w:type="character" w:customStyle="1" w:styleId="134">
    <w:name w:val="10"/>
    <w:basedOn w:val="45"/>
    <w:qFormat/>
    <w:uiPriority w:val="0"/>
  </w:style>
  <w:style w:type="character" w:customStyle="1" w:styleId="135">
    <w:name w:val="WW8Num9z0"/>
    <w:qFormat/>
    <w:uiPriority w:val="0"/>
    <w:rPr>
      <w:rFonts w:ascii="Wingdings" w:hAnsi="Wingdings"/>
    </w:rPr>
  </w:style>
  <w:style w:type="character" w:customStyle="1" w:styleId="136">
    <w:name w:val="keyword"/>
    <w:basedOn w:val="45"/>
    <w:qFormat/>
    <w:uiPriority w:val="0"/>
  </w:style>
  <w:style w:type="character" w:customStyle="1" w:styleId="137">
    <w:name w:val="正文缩进 Char1"/>
    <w:qFormat/>
    <w:uiPriority w:val="0"/>
    <w:rPr>
      <w:kern w:val="2"/>
      <w:sz w:val="21"/>
      <w:szCs w:val="24"/>
    </w:rPr>
  </w:style>
  <w:style w:type="character" w:customStyle="1" w:styleId="138">
    <w:name w:val="fontblank12"/>
    <w:basedOn w:val="45"/>
    <w:qFormat/>
    <w:uiPriority w:val="0"/>
  </w:style>
  <w:style w:type="character" w:customStyle="1" w:styleId="139">
    <w:name w:val="（符号）三标题1.1 Char Char"/>
    <w:link w:val="140"/>
    <w:qFormat/>
    <w:uiPriority w:val="0"/>
    <w:rPr>
      <w:rFonts w:ascii="宋体" w:hAnsi="宋体"/>
      <w:sz w:val="24"/>
      <w:szCs w:val="24"/>
    </w:rPr>
  </w:style>
  <w:style w:type="paragraph" w:customStyle="1" w:styleId="140">
    <w:name w:val="（符号）三标题1.1"/>
    <w:basedOn w:val="1"/>
    <w:link w:val="139"/>
    <w:qFormat/>
    <w:uiPriority w:val="0"/>
    <w:pPr>
      <w:tabs>
        <w:tab w:val="left" w:pos="700"/>
        <w:tab w:val="left" w:pos="840"/>
      </w:tabs>
      <w:spacing w:line="500" w:lineRule="exact"/>
      <w:ind w:left="431" w:hanging="431"/>
    </w:pPr>
    <w:rPr>
      <w:rFonts w:eastAsiaTheme="minorEastAsia" w:cstheme="minorBidi"/>
      <w:sz w:val="24"/>
      <w:szCs w:val="24"/>
    </w:rPr>
  </w:style>
  <w:style w:type="character" w:customStyle="1" w:styleId="141">
    <w:name w:val="grame"/>
    <w:basedOn w:val="45"/>
    <w:qFormat/>
    <w:uiPriority w:val="0"/>
  </w:style>
  <w:style w:type="character" w:customStyle="1" w:styleId="142">
    <w:name w:val="正文文本 Char_3"/>
    <w:link w:val="143"/>
    <w:qFormat/>
    <w:uiPriority w:val="1"/>
  </w:style>
  <w:style w:type="paragraph" w:customStyle="1" w:styleId="143">
    <w:name w:val="正文文本_3"/>
    <w:basedOn w:val="144"/>
    <w:link w:val="142"/>
    <w:qFormat/>
    <w:uiPriority w:val="1"/>
    <w:pPr>
      <w:adjustRightInd w:val="0"/>
      <w:spacing w:after="60" w:line="360" w:lineRule="atLeast"/>
      <w:ind w:left="72" w:leftChars="30" w:right="30" w:rightChars="30"/>
      <w:jc w:val="center"/>
      <w:textAlignment w:val="baseline"/>
    </w:pPr>
    <w:rPr>
      <w:rFonts w:asciiTheme="minorHAnsi" w:hAnsiTheme="minorHAnsi" w:eastAsiaTheme="minorEastAsia" w:cstheme="minorBidi"/>
    </w:rPr>
  </w:style>
  <w:style w:type="paragraph" w:customStyle="1" w:styleId="14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正文缩进 Char_0"/>
    <w:link w:val="146"/>
    <w:qFormat/>
    <w:uiPriority w:val="0"/>
    <w:rPr>
      <w:rFonts w:ascii="Times New Roman" w:hAnsi="Times New Roman"/>
      <w:szCs w:val="24"/>
    </w:rPr>
  </w:style>
  <w:style w:type="paragraph" w:customStyle="1" w:styleId="146">
    <w:name w:val="正文缩进_0"/>
    <w:basedOn w:val="90"/>
    <w:link w:val="145"/>
    <w:qFormat/>
    <w:uiPriority w:val="0"/>
    <w:pPr>
      <w:widowControl/>
      <w:ind w:firstLine="420"/>
      <w:jc w:val="left"/>
    </w:pPr>
    <w:rPr>
      <w:rFonts w:ascii="Times New Roman" w:hAnsi="Times New Roman" w:eastAsiaTheme="minorEastAsia" w:cstheme="minorBidi"/>
      <w:szCs w:val="24"/>
    </w:rPr>
  </w:style>
  <w:style w:type="character" w:customStyle="1" w:styleId="147">
    <w:name w:val="标书（正文） Char_0"/>
    <w:link w:val="148"/>
    <w:qFormat/>
    <w:uiPriority w:val="0"/>
    <w:rPr>
      <w:rFonts w:ascii="宋体" w:hAnsi="宋体"/>
      <w:kern w:val="10"/>
      <w:sz w:val="24"/>
    </w:rPr>
  </w:style>
  <w:style w:type="paragraph" w:customStyle="1" w:styleId="148">
    <w:name w:val="标书（正文）_0"/>
    <w:basedOn w:val="149"/>
    <w:link w:val="147"/>
    <w:qFormat/>
    <w:uiPriority w:val="0"/>
    <w:pPr>
      <w:spacing w:line="360" w:lineRule="auto"/>
      <w:ind w:firstLine="560" w:firstLineChars="200"/>
    </w:pPr>
    <w:rPr>
      <w:rFonts w:ascii="宋体" w:hAnsi="宋体" w:eastAsiaTheme="minorEastAsia" w:cstheme="minorBidi"/>
      <w:kern w:val="10"/>
      <w:sz w:val="24"/>
    </w:rPr>
  </w:style>
  <w:style w:type="paragraph" w:customStyle="1" w:styleId="14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0">
    <w:name w:val="H4 Char"/>
    <w:qFormat/>
    <w:uiPriority w:val="0"/>
    <w:rPr>
      <w:rFonts w:ascii="Arial" w:hAnsi="Arial" w:eastAsia="宋体"/>
      <w:b/>
      <w:kern w:val="2"/>
      <w:sz w:val="28"/>
      <w:lang w:val="en-US" w:eastAsia="zh-CN"/>
    </w:rPr>
  </w:style>
  <w:style w:type="character" w:customStyle="1" w:styleId="151">
    <w:name w:val="访问过的超链接1"/>
    <w:qFormat/>
    <w:uiPriority w:val="0"/>
    <w:rPr>
      <w:color w:val="800080"/>
      <w:u w:val="single"/>
    </w:rPr>
  </w:style>
  <w:style w:type="character" w:customStyle="1" w:styleId="152">
    <w:name w:val="标书（正文） Char_8"/>
    <w:link w:val="153"/>
    <w:qFormat/>
    <w:uiPriority w:val="0"/>
    <w:rPr>
      <w:rFonts w:ascii="宋体" w:hAnsi="宋体"/>
      <w:kern w:val="10"/>
      <w:sz w:val="24"/>
    </w:rPr>
  </w:style>
  <w:style w:type="paragraph" w:customStyle="1" w:styleId="153">
    <w:name w:val="标书（正文）_11"/>
    <w:basedOn w:val="144"/>
    <w:link w:val="152"/>
    <w:qFormat/>
    <w:uiPriority w:val="0"/>
    <w:pPr>
      <w:spacing w:line="360" w:lineRule="auto"/>
      <w:ind w:firstLine="560" w:firstLineChars="200"/>
    </w:pPr>
    <w:rPr>
      <w:rFonts w:ascii="宋体" w:hAnsi="宋体" w:eastAsiaTheme="minorEastAsia" w:cstheme="minorBidi"/>
      <w:kern w:val="10"/>
      <w:sz w:val="24"/>
    </w:rPr>
  </w:style>
  <w:style w:type="character" w:customStyle="1" w:styleId="154">
    <w:name w:val="CD正文 Char_0_0"/>
    <w:link w:val="155"/>
    <w:qFormat/>
    <w:uiPriority w:val="0"/>
    <w:rPr>
      <w:sz w:val="30"/>
      <w:szCs w:val="28"/>
    </w:rPr>
  </w:style>
  <w:style w:type="paragraph" w:customStyle="1" w:styleId="155">
    <w:name w:val="CD正文_0_0"/>
    <w:basedOn w:val="156"/>
    <w:link w:val="154"/>
    <w:qFormat/>
    <w:uiPriority w:val="0"/>
    <w:pPr>
      <w:spacing w:line="360" w:lineRule="auto"/>
      <w:ind w:firstLine="493"/>
    </w:pPr>
    <w:rPr>
      <w:rFonts w:asciiTheme="minorHAnsi" w:hAnsiTheme="minorHAnsi" w:eastAsiaTheme="minorEastAsia" w:cstheme="minorBidi"/>
      <w:sz w:val="30"/>
      <w:szCs w:val="28"/>
    </w:rPr>
  </w:style>
  <w:style w:type="paragraph" w:customStyle="1" w:styleId="156">
    <w:name w:val="文章正文_0"/>
    <w:basedOn w:val="157"/>
    <w:qFormat/>
    <w:uiPriority w:val="0"/>
    <w:pPr>
      <w:spacing w:line="360" w:lineRule="auto"/>
      <w:ind w:firstLine="420"/>
    </w:pPr>
    <w:rPr>
      <w:rFonts w:ascii="Times New Roman" w:hAnsi="Times New Roman"/>
      <w:sz w:val="24"/>
      <w:szCs w:val="24"/>
    </w:rPr>
  </w:style>
  <w:style w:type="paragraph" w:customStyle="1" w:styleId="157">
    <w:name w:val="Normal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8">
    <w:name w:val="标书（正文） Char_9"/>
    <w:link w:val="159"/>
    <w:qFormat/>
    <w:uiPriority w:val="0"/>
    <w:rPr>
      <w:rFonts w:ascii="宋体" w:hAnsi="宋体"/>
      <w:kern w:val="10"/>
      <w:sz w:val="24"/>
    </w:rPr>
  </w:style>
  <w:style w:type="paragraph" w:customStyle="1" w:styleId="159">
    <w:name w:val="标书（正文）_12"/>
    <w:basedOn w:val="93"/>
    <w:link w:val="158"/>
    <w:qFormat/>
    <w:uiPriority w:val="0"/>
    <w:pPr>
      <w:spacing w:line="360" w:lineRule="auto"/>
      <w:ind w:firstLine="560" w:firstLineChars="200"/>
    </w:pPr>
    <w:rPr>
      <w:rFonts w:ascii="宋体" w:hAnsi="宋体" w:eastAsiaTheme="minorEastAsia" w:cstheme="minorBidi"/>
      <w:kern w:val="10"/>
      <w:sz w:val="24"/>
    </w:rPr>
  </w:style>
  <w:style w:type="character" w:customStyle="1" w:styleId="160">
    <w:name w:val="列出段落 Char"/>
    <w:link w:val="161"/>
    <w:qFormat/>
    <w:uiPriority w:val="0"/>
    <w:rPr>
      <w:sz w:val="24"/>
      <w:szCs w:val="24"/>
    </w:rPr>
  </w:style>
  <w:style w:type="paragraph" w:styleId="161">
    <w:name w:val="List Paragraph"/>
    <w:basedOn w:val="1"/>
    <w:link w:val="160"/>
    <w:qFormat/>
    <w:uiPriority w:val="0"/>
    <w:pPr>
      <w:ind w:firstLine="420" w:firstLineChars="200"/>
    </w:pPr>
    <w:rPr>
      <w:rFonts w:asciiTheme="minorHAnsi" w:hAnsiTheme="minorHAnsi" w:eastAsiaTheme="minorEastAsia" w:cstheme="minorBidi"/>
      <w:sz w:val="24"/>
      <w:szCs w:val="24"/>
    </w:rPr>
  </w:style>
  <w:style w:type="character" w:customStyle="1" w:styleId="162">
    <w:name w:val="标书（正文） Char_5"/>
    <w:link w:val="163"/>
    <w:qFormat/>
    <w:uiPriority w:val="0"/>
    <w:rPr>
      <w:rFonts w:ascii="宋体" w:hAnsi="宋体"/>
      <w:kern w:val="10"/>
      <w:sz w:val="24"/>
    </w:rPr>
  </w:style>
  <w:style w:type="paragraph" w:customStyle="1" w:styleId="163">
    <w:name w:val="标书（正文）_7"/>
    <w:basedOn w:val="105"/>
    <w:link w:val="162"/>
    <w:qFormat/>
    <w:uiPriority w:val="0"/>
    <w:pPr>
      <w:spacing w:line="360" w:lineRule="auto"/>
      <w:ind w:firstLine="560" w:firstLineChars="200"/>
    </w:pPr>
    <w:rPr>
      <w:rFonts w:ascii="宋体" w:hAnsi="宋体" w:eastAsiaTheme="minorEastAsia" w:cstheme="minorBidi"/>
      <w:kern w:val="10"/>
      <w:sz w:val="24"/>
    </w:rPr>
  </w:style>
  <w:style w:type="character" w:customStyle="1" w:styleId="164">
    <w:name w:val="magic-list1"/>
    <w:qFormat/>
    <w:uiPriority w:val="0"/>
    <w:rPr>
      <w:rFonts w:hint="default" w:ascii="ˎ̥" w:hAnsi="ˎ̥"/>
      <w:color w:val="000000"/>
      <w:sz w:val="20"/>
      <w:u w:val="none"/>
    </w:rPr>
  </w:style>
  <w:style w:type="character" w:customStyle="1" w:styleId="165">
    <w:name w:val="标书（正文） Char_6"/>
    <w:link w:val="166"/>
    <w:qFormat/>
    <w:uiPriority w:val="0"/>
    <w:rPr>
      <w:rFonts w:ascii="宋体" w:hAnsi="宋体"/>
      <w:kern w:val="10"/>
      <w:sz w:val="24"/>
    </w:rPr>
  </w:style>
  <w:style w:type="paragraph" w:customStyle="1" w:styleId="166">
    <w:name w:val="标书（正文）_8"/>
    <w:basedOn w:val="122"/>
    <w:link w:val="165"/>
    <w:qFormat/>
    <w:uiPriority w:val="0"/>
    <w:pPr>
      <w:spacing w:line="360" w:lineRule="auto"/>
      <w:ind w:firstLine="560" w:firstLineChars="200"/>
    </w:pPr>
    <w:rPr>
      <w:rFonts w:ascii="宋体" w:hAnsi="宋体" w:eastAsiaTheme="minorEastAsia" w:cstheme="minorBidi"/>
      <w:kern w:val="10"/>
      <w:sz w:val="24"/>
    </w:rPr>
  </w:style>
  <w:style w:type="paragraph" w:customStyle="1" w:styleId="167">
    <w:name w:val="默认段落字体 Para Char Char Char Char Char Char Char"/>
    <w:basedOn w:val="1"/>
    <w:qFormat/>
    <w:uiPriority w:val="0"/>
    <w:rPr>
      <w:rFonts w:ascii="Tahoma" w:hAnsi="Tahoma"/>
      <w:szCs w:val="20"/>
    </w:rPr>
  </w:style>
  <w:style w:type="paragraph" w:customStyle="1" w:styleId="168">
    <w:name w:val="标书（正文）_10_0"/>
    <w:basedOn w:val="169"/>
    <w:qFormat/>
    <w:uiPriority w:val="0"/>
    <w:pPr>
      <w:spacing w:line="360" w:lineRule="auto"/>
      <w:ind w:firstLine="560" w:firstLineChars="200"/>
    </w:pPr>
    <w:rPr>
      <w:rFonts w:ascii="宋体" w:hAnsi="宋体"/>
      <w:kern w:val="10"/>
      <w:sz w:val="24"/>
      <w:szCs w:val="20"/>
      <w:lang w:val="en-US" w:eastAsia="zh-CN"/>
    </w:rPr>
  </w:style>
  <w:style w:type="paragraph" w:customStyle="1" w:styleId="169">
    <w:name w:val="正文_1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MM Topic 7"/>
    <w:basedOn w:val="9"/>
    <w:qFormat/>
    <w:uiPriority w:val="0"/>
    <w:pPr>
      <w:keepLines/>
      <w:tabs>
        <w:tab w:val="left" w:pos="3827"/>
        <w:tab w:val="clear" w:pos="3600"/>
      </w:tabs>
      <w:spacing w:before="240" w:after="64" w:line="317" w:lineRule="auto"/>
    </w:pPr>
    <w:rPr>
      <w:rFonts w:ascii="Times New Roman" w:hAnsi="Times New Roman"/>
      <w:kern w:val="2"/>
      <w:sz w:val="24"/>
      <w:lang w:eastAsia="zh-CN"/>
    </w:rPr>
  </w:style>
  <w:style w:type="paragraph" w:customStyle="1" w:styleId="171">
    <w:name w:val="标书（正文）_5_0"/>
    <w:basedOn w:val="172"/>
    <w:qFormat/>
    <w:uiPriority w:val="0"/>
    <w:pPr>
      <w:spacing w:line="360" w:lineRule="auto"/>
      <w:ind w:firstLine="560" w:firstLineChars="200"/>
    </w:pPr>
    <w:rPr>
      <w:rFonts w:ascii="宋体" w:hAnsi="宋体"/>
      <w:kern w:val="10"/>
      <w:sz w:val="24"/>
      <w:szCs w:val="20"/>
      <w:lang w:val="en-US" w:eastAsia="zh-CN"/>
    </w:rPr>
  </w:style>
  <w:style w:type="paragraph" w:customStyle="1" w:styleId="172">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3">
    <w:name w:val="样式 正文缩进 + (中文) 仿宋_GB2312 小四 Char"/>
    <w:basedOn w:val="13"/>
    <w:qFormat/>
    <w:uiPriority w:val="0"/>
    <w:pPr>
      <w:ind w:firstLine="480"/>
    </w:pPr>
    <w:rPr>
      <w:rFonts w:ascii="宋体" w:hAnsi="宋体"/>
      <w:sz w:val="24"/>
      <w:szCs w:val="20"/>
    </w:rPr>
  </w:style>
  <w:style w:type="paragraph" w:customStyle="1" w:styleId="174">
    <w:name w:val="Normal_6"/>
    <w:qFormat/>
    <w:uiPriority w:val="0"/>
    <w:rPr>
      <w:rFonts w:ascii="黑体" w:hAnsi="黑体" w:eastAsia="黑体" w:cs="Times New Roman"/>
      <w:b/>
      <w:kern w:val="0"/>
      <w:sz w:val="32"/>
      <w:szCs w:val="24"/>
      <w:lang w:val="en-US" w:eastAsia="zh-CN" w:bidi="ar-SA"/>
    </w:rPr>
  </w:style>
  <w:style w:type="paragraph" w:customStyle="1" w:styleId="175">
    <w:name w:val="MM Topic 3"/>
    <w:basedOn w:val="5"/>
    <w:qFormat/>
    <w:uiPriority w:val="0"/>
    <w:pPr>
      <w:tabs>
        <w:tab w:val="left" w:pos="1418"/>
      </w:tabs>
      <w:ind w:left="0" w:firstLine="0"/>
    </w:pPr>
    <w:rPr>
      <w:rFonts w:ascii="Times New Roman" w:hAnsi="Times New Roman"/>
      <w:bCs w:val="0"/>
      <w:szCs w:val="20"/>
    </w:rPr>
  </w:style>
  <w:style w:type="paragraph" w:customStyle="1" w:styleId="176">
    <w:name w:val="样式2"/>
    <w:basedOn w:val="1"/>
    <w:qFormat/>
    <w:uiPriority w:val="0"/>
    <w:pPr>
      <w:adjustRightInd w:val="0"/>
      <w:spacing w:line="410" w:lineRule="atLeast"/>
      <w:textAlignment w:val="baseline"/>
    </w:pPr>
    <w:rPr>
      <w:szCs w:val="20"/>
    </w:rPr>
  </w:style>
  <w:style w:type="paragraph" w:customStyle="1" w:styleId="177">
    <w:name w:val="默认段落字体 Para Char Char Char Char Char Char Char Char Char Char Char Char Char Char Char Char"/>
    <w:basedOn w:val="16"/>
    <w:qFormat/>
    <w:uiPriority w:val="0"/>
    <w:pPr>
      <w:shd w:val="clear" w:color="auto" w:fill="000080"/>
      <w:adjustRightInd w:val="0"/>
      <w:spacing w:line="436" w:lineRule="exact"/>
      <w:ind w:left="357"/>
      <w:outlineLvl w:val="3"/>
    </w:pPr>
    <w:rPr>
      <w:rFonts w:ascii="Tahoma" w:hAnsi="Tahoma"/>
      <w:b/>
      <w:kern w:val="2"/>
      <w:sz w:val="24"/>
      <w:szCs w:val="24"/>
    </w:rPr>
  </w:style>
  <w:style w:type="paragraph" w:customStyle="1" w:styleId="178">
    <w:name w:val="样式 首行缩进:  2 字符"/>
    <w:basedOn w:val="1"/>
    <w:qFormat/>
    <w:uiPriority w:val="0"/>
    <w:pPr>
      <w:spacing w:line="400" w:lineRule="exact"/>
      <w:ind w:firstLine="200" w:firstLineChars="200"/>
    </w:pPr>
    <w:rPr>
      <w:rFonts w:ascii="Times New Roman" w:hAnsi="Times New Roman"/>
      <w:sz w:val="24"/>
      <w:szCs w:val="24"/>
    </w:rPr>
  </w:style>
  <w:style w:type="paragraph" w:customStyle="1" w:styleId="179">
    <w:name w:val="Char1 Char Char Char"/>
    <w:basedOn w:val="1"/>
    <w:next w:val="1"/>
    <w:qFormat/>
    <w:uiPriority w:val="0"/>
    <w:pPr>
      <w:spacing w:line="240" w:lineRule="atLeast"/>
      <w:ind w:left="420" w:firstLine="420"/>
    </w:pPr>
    <w:rPr>
      <w:szCs w:val="20"/>
    </w:rPr>
  </w:style>
  <w:style w:type="paragraph" w:customStyle="1" w:styleId="180">
    <w:name w:val="默认段落字体 Para Char Char Char1 Char"/>
    <w:basedOn w:val="1"/>
    <w:next w:val="1"/>
    <w:qFormat/>
    <w:uiPriority w:val="0"/>
    <w:pPr>
      <w:spacing w:line="240" w:lineRule="atLeast"/>
      <w:ind w:left="420" w:firstLine="420"/>
    </w:pPr>
    <w:rPr>
      <w:szCs w:val="21"/>
    </w:rPr>
  </w:style>
  <w:style w:type="paragraph" w:customStyle="1" w:styleId="181">
    <w:name w:val="*正文_5"/>
    <w:basedOn w:val="111"/>
    <w:qFormat/>
    <w:uiPriority w:val="0"/>
    <w:pPr>
      <w:widowControl/>
      <w:spacing w:line="360" w:lineRule="auto"/>
      <w:ind w:firstLine="200" w:firstLineChars="200"/>
      <w:jc w:val="left"/>
    </w:pPr>
    <w:rPr>
      <w:rFonts w:ascii="宋体"/>
      <w:sz w:val="24"/>
      <w:szCs w:val="28"/>
      <w:lang w:val="en-US" w:eastAsia="zh-CN"/>
    </w:rPr>
  </w:style>
  <w:style w:type="paragraph" w:customStyle="1" w:styleId="18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83">
    <w:name w:val="Char1"/>
    <w:basedOn w:val="1"/>
    <w:next w:val="1"/>
    <w:qFormat/>
    <w:uiPriority w:val="0"/>
    <w:pPr>
      <w:spacing w:line="240" w:lineRule="atLeast"/>
      <w:ind w:left="420" w:firstLine="420"/>
    </w:pPr>
    <w:rPr>
      <w:szCs w:val="21"/>
    </w:rPr>
  </w:style>
  <w:style w:type="paragraph" w:customStyle="1" w:styleId="184">
    <w:name w:val="Normal_8"/>
    <w:qFormat/>
    <w:uiPriority w:val="0"/>
    <w:rPr>
      <w:rFonts w:ascii="黑体" w:hAnsi="黑体" w:eastAsia="黑体" w:cs="Times New Roman"/>
      <w:b/>
      <w:kern w:val="0"/>
      <w:sz w:val="32"/>
      <w:szCs w:val="24"/>
      <w:lang w:val="en-US" w:eastAsia="zh-CN" w:bidi="ar-SA"/>
    </w:rPr>
  </w:style>
  <w:style w:type="paragraph" w:customStyle="1" w:styleId="185">
    <w:name w:val="*正文_7"/>
    <w:basedOn w:val="102"/>
    <w:qFormat/>
    <w:uiPriority w:val="0"/>
    <w:pPr>
      <w:widowControl/>
      <w:spacing w:line="360" w:lineRule="auto"/>
      <w:ind w:firstLine="200" w:firstLineChars="200"/>
      <w:jc w:val="left"/>
    </w:pPr>
    <w:rPr>
      <w:rFonts w:ascii="宋体"/>
      <w:sz w:val="24"/>
      <w:szCs w:val="28"/>
      <w:lang w:val="en-US" w:eastAsia="zh-CN"/>
    </w:rPr>
  </w:style>
  <w:style w:type="paragraph" w:customStyle="1" w:styleId="186">
    <w:name w:val="_Style 23"/>
    <w:basedOn w:val="1"/>
    <w:qFormat/>
    <w:uiPriority w:val="0"/>
    <w:pPr>
      <w:ind w:firstLine="420" w:firstLineChars="200"/>
    </w:pPr>
  </w:style>
  <w:style w:type="paragraph" w:customStyle="1" w:styleId="187">
    <w:name w:val="*正文_9"/>
    <w:basedOn w:val="93"/>
    <w:qFormat/>
    <w:uiPriority w:val="0"/>
    <w:pPr>
      <w:widowControl/>
      <w:spacing w:line="360" w:lineRule="auto"/>
      <w:ind w:firstLine="200" w:firstLineChars="200"/>
      <w:jc w:val="left"/>
    </w:pPr>
    <w:rPr>
      <w:rFonts w:ascii="宋体"/>
      <w:sz w:val="24"/>
      <w:szCs w:val="28"/>
      <w:lang w:val="en-US" w:eastAsia="zh-CN"/>
    </w:rPr>
  </w:style>
  <w:style w:type="paragraph" w:customStyle="1" w:styleId="188">
    <w:name w:val="TOC Heading"/>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189">
    <w:name w:val="正文序号 2"/>
    <w:basedOn w:val="1"/>
    <w:qFormat/>
    <w:uiPriority w:val="0"/>
    <w:pPr>
      <w:tabs>
        <w:tab w:val="left" w:pos="1049"/>
      </w:tabs>
      <w:spacing w:before="60"/>
      <w:ind w:left="431" w:hanging="431"/>
    </w:pPr>
    <w:rPr>
      <w:szCs w:val="20"/>
    </w:rPr>
  </w:style>
  <w:style w:type="paragraph" w:customStyle="1" w:styleId="190">
    <w:name w:val="p4"/>
    <w:basedOn w:val="1"/>
    <w:qFormat/>
    <w:uiPriority w:val="0"/>
    <w:pPr>
      <w:spacing w:before="100" w:beforeAutospacing="1" w:after="100" w:afterAutospacing="1" w:line="360" w:lineRule="auto"/>
      <w:ind w:firstLine="360"/>
    </w:pPr>
  </w:style>
  <w:style w:type="paragraph" w:customStyle="1" w:styleId="191">
    <w:name w:val="Char2 Char Char Char Char Char Char"/>
    <w:basedOn w:val="1"/>
    <w:qFormat/>
    <w:uiPriority w:val="0"/>
    <w:rPr>
      <w:rFonts w:ascii="仿宋_GB2312"/>
      <w:b/>
      <w:sz w:val="30"/>
      <w:szCs w:val="20"/>
    </w:rPr>
  </w:style>
  <w:style w:type="paragraph" w:customStyle="1" w:styleId="192">
    <w:name w:val="默认段落字体 Para Char Char"/>
    <w:basedOn w:val="1"/>
    <w:qFormat/>
    <w:uiPriority w:val="0"/>
    <w:rPr>
      <w:szCs w:val="20"/>
    </w:rPr>
  </w:style>
  <w:style w:type="paragraph" w:customStyle="1" w:styleId="193">
    <w:name w:val="文章正文 Char Char1 Char"/>
    <w:basedOn w:val="1"/>
    <w:qFormat/>
    <w:uiPriority w:val="0"/>
    <w:pPr>
      <w:spacing w:line="360" w:lineRule="auto"/>
      <w:ind w:firstLine="420"/>
    </w:pPr>
  </w:style>
  <w:style w:type="paragraph" w:customStyle="1" w:styleId="194">
    <w:name w:val="默认段落字体 Para Char Char Char Char"/>
    <w:basedOn w:val="1"/>
    <w:qFormat/>
    <w:uiPriority w:val="0"/>
  </w:style>
  <w:style w:type="paragraph" w:customStyle="1" w:styleId="195">
    <w:name w:val="Normal_3"/>
    <w:qFormat/>
    <w:uiPriority w:val="0"/>
    <w:rPr>
      <w:rFonts w:ascii="黑体" w:hAnsi="黑体" w:eastAsia="黑体" w:cs="Times New Roman"/>
      <w:b/>
      <w:kern w:val="0"/>
      <w:sz w:val="32"/>
      <w:szCs w:val="24"/>
      <w:lang w:val="en-US" w:eastAsia="zh-CN" w:bidi="ar-SA"/>
    </w:rPr>
  </w:style>
  <w:style w:type="paragraph" w:customStyle="1" w:styleId="196">
    <w:name w:val="MM Topic 8"/>
    <w:basedOn w:val="10"/>
    <w:qFormat/>
    <w:uiPriority w:val="0"/>
    <w:pPr>
      <w:tabs>
        <w:tab w:val="left" w:pos="4394"/>
      </w:tabs>
    </w:pPr>
  </w:style>
  <w:style w:type="paragraph" w:customStyle="1" w:styleId="197">
    <w:name w:val="*正文_8"/>
    <w:basedOn w:val="144"/>
    <w:qFormat/>
    <w:uiPriority w:val="0"/>
    <w:pPr>
      <w:widowControl/>
      <w:spacing w:line="360" w:lineRule="auto"/>
      <w:ind w:firstLine="200" w:firstLineChars="200"/>
      <w:jc w:val="left"/>
    </w:pPr>
    <w:rPr>
      <w:rFonts w:ascii="宋体"/>
      <w:sz w:val="24"/>
      <w:szCs w:val="28"/>
      <w:lang w:val="en-US" w:eastAsia="zh-CN"/>
    </w:rPr>
  </w:style>
  <w:style w:type="paragraph" w:customStyle="1" w:styleId="198">
    <w:name w:val="*正文_4"/>
    <w:basedOn w:val="111"/>
    <w:qFormat/>
    <w:uiPriority w:val="0"/>
    <w:pPr>
      <w:widowControl/>
      <w:spacing w:line="360" w:lineRule="auto"/>
      <w:ind w:firstLine="200" w:firstLineChars="200"/>
      <w:jc w:val="left"/>
    </w:pPr>
    <w:rPr>
      <w:rFonts w:ascii="宋体"/>
      <w:sz w:val="24"/>
      <w:szCs w:val="28"/>
      <w:lang w:val="en-US" w:eastAsia="zh-CN"/>
    </w:rPr>
  </w:style>
  <w:style w:type="paragraph" w:customStyle="1" w:styleId="199">
    <w:name w:val="Char12"/>
    <w:basedOn w:val="1"/>
    <w:qFormat/>
    <w:uiPriority w:val="0"/>
    <w:pPr>
      <w:spacing w:after="160" w:line="240" w:lineRule="exact"/>
    </w:pPr>
    <w:rPr>
      <w:rFonts w:ascii="Tahoma" w:hAnsi="Tahoma"/>
      <w:lang w:eastAsia="en-US"/>
    </w:rPr>
  </w:style>
  <w:style w:type="paragraph" w:customStyle="1" w:styleId="200">
    <w:name w:val="xl26"/>
    <w:basedOn w:val="1"/>
    <w:qFormat/>
    <w:uiPriority w:val="0"/>
    <w:pPr>
      <w:pBdr>
        <w:top w:val="single" w:color="auto" w:sz="4" w:space="0"/>
        <w:left w:val="single" w:color="auto" w:sz="4" w:space="0"/>
        <w:right w:val="single" w:color="auto" w:sz="4" w:space="0"/>
      </w:pBdr>
      <w:spacing w:before="100" w:beforeAutospacing="1" w:after="100" w:afterAutospacing="1"/>
    </w:pPr>
    <w:rPr>
      <w:sz w:val="22"/>
    </w:rPr>
  </w:style>
  <w:style w:type="paragraph" w:customStyle="1" w:styleId="201">
    <w:name w:val="*正文_0"/>
    <w:basedOn w:val="149"/>
    <w:qFormat/>
    <w:uiPriority w:val="0"/>
    <w:pPr>
      <w:widowControl/>
      <w:spacing w:line="360" w:lineRule="auto"/>
      <w:ind w:firstLine="200" w:firstLineChars="200"/>
      <w:jc w:val="left"/>
    </w:pPr>
    <w:rPr>
      <w:rFonts w:ascii="宋体"/>
      <w:sz w:val="24"/>
      <w:szCs w:val="28"/>
      <w:lang w:val="en-US" w:eastAsia="zh-CN"/>
    </w:rPr>
  </w:style>
  <w:style w:type="paragraph" w:customStyle="1" w:styleId="202">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正文_2_0"/>
    <w:next w:val="1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Normal_7"/>
    <w:qFormat/>
    <w:uiPriority w:val="0"/>
    <w:rPr>
      <w:rFonts w:ascii="黑体" w:hAnsi="黑体" w:eastAsia="黑体" w:cs="Times New Roman"/>
      <w:b/>
      <w:kern w:val="0"/>
      <w:sz w:val="32"/>
      <w:szCs w:val="24"/>
      <w:lang w:val="en-US" w:eastAsia="zh-CN" w:bidi="ar-SA"/>
    </w:rPr>
  </w:style>
  <w:style w:type="paragraph" w:customStyle="1" w:styleId="205">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206">
    <w:name w:val="标准正文"/>
    <w:basedOn w:val="1"/>
    <w:qFormat/>
    <w:uiPriority w:val="0"/>
    <w:pPr>
      <w:adjustRightInd w:val="0"/>
      <w:spacing w:before="120" w:line="400" w:lineRule="atLeast"/>
      <w:ind w:firstLine="576"/>
      <w:textAlignment w:val="baseline"/>
    </w:pPr>
    <w:rPr>
      <w:rFonts w:eastAsia="楷体_GB2312"/>
      <w:sz w:val="28"/>
      <w:szCs w:val="20"/>
    </w:rPr>
  </w:style>
  <w:style w:type="paragraph" w:customStyle="1" w:styleId="2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Normal_11"/>
    <w:qFormat/>
    <w:uiPriority w:val="0"/>
    <w:rPr>
      <w:rFonts w:ascii="黑体" w:hAnsi="黑体" w:eastAsia="黑体" w:cs="Times New Roman"/>
      <w:b/>
      <w:kern w:val="0"/>
      <w:sz w:val="32"/>
      <w:szCs w:val="24"/>
      <w:lang w:val="en-US" w:eastAsia="zh-CN" w:bidi="ar-SA"/>
    </w:rPr>
  </w:style>
  <w:style w:type="paragraph" w:customStyle="1" w:styleId="209">
    <w:name w:val="列出段落2"/>
    <w:basedOn w:val="1"/>
    <w:qFormat/>
    <w:uiPriority w:val="34"/>
    <w:pPr>
      <w:ind w:firstLine="420" w:firstLineChars="200"/>
    </w:pPr>
    <w:rPr>
      <w:rFonts w:eastAsia="方正仿宋"/>
      <w:sz w:val="32"/>
    </w:rPr>
  </w:style>
  <w:style w:type="paragraph" w:customStyle="1" w:styleId="210">
    <w:name w:val="Char1 Char Char Char Char Char Char"/>
    <w:basedOn w:val="1"/>
    <w:qFormat/>
    <w:uiPriority w:val="0"/>
    <w:rPr>
      <w:rFonts w:ascii="Tahoma" w:hAnsi="Tahoma"/>
      <w:szCs w:val="20"/>
    </w:rPr>
  </w:style>
  <w:style w:type="paragraph" w:customStyle="1" w:styleId="211">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Cs w:val="20"/>
    </w:rPr>
  </w:style>
  <w:style w:type="paragraph" w:customStyle="1" w:styleId="212">
    <w:name w:val="gb_master正文"/>
    <w:basedOn w:val="1"/>
    <w:qFormat/>
    <w:uiPriority w:val="0"/>
    <w:pPr>
      <w:ind w:firstLine="200" w:firstLineChars="200"/>
    </w:pPr>
  </w:style>
  <w:style w:type="paragraph" w:customStyle="1" w:styleId="213">
    <w:name w:val="*正文_6"/>
    <w:basedOn w:val="122"/>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14">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215">
    <w:name w:val="Char11"/>
    <w:basedOn w:val="1"/>
    <w:next w:val="1"/>
    <w:qFormat/>
    <w:uiPriority w:val="0"/>
    <w:pPr>
      <w:spacing w:line="240" w:lineRule="atLeast"/>
      <w:ind w:left="420" w:firstLine="420"/>
    </w:pPr>
    <w:rPr>
      <w:szCs w:val="21"/>
    </w:rPr>
  </w:style>
  <w:style w:type="paragraph" w:customStyle="1" w:styleId="216">
    <w:name w:val="彩色列表 - 强调文字颜色1"/>
    <w:basedOn w:val="1"/>
    <w:qFormat/>
    <w:uiPriority w:val="0"/>
    <w:pPr>
      <w:ind w:firstLine="420" w:firstLineChars="200"/>
    </w:pPr>
    <w:rPr>
      <w:rFonts w:ascii="Calibri" w:hAnsi="Calibri"/>
    </w:rPr>
  </w:style>
  <w:style w:type="paragraph" w:customStyle="1" w:styleId="217">
    <w:name w:val="表格文字"/>
    <w:basedOn w:val="1"/>
    <w:qFormat/>
    <w:uiPriority w:val="0"/>
    <w:pPr>
      <w:spacing w:beforeLines="25" w:afterLines="25"/>
    </w:pPr>
    <w:rPr>
      <w:rFonts w:ascii="Times New (W1)" w:hAnsi="Times New (W1)"/>
      <w:spacing w:val="10"/>
      <w:szCs w:val="20"/>
    </w:rPr>
  </w:style>
  <w:style w:type="paragraph" w:customStyle="1" w:styleId="218">
    <w:name w:val="Char Char Char Char Char Char Char Char Char Char Char Char Char"/>
    <w:basedOn w:val="16"/>
    <w:qFormat/>
    <w:uiPriority w:val="0"/>
    <w:pPr>
      <w:shd w:val="clear" w:color="auto" w:fill="000080"/>
    </w:pPr>
    <w:rPr>
      <w:rFonts w:ascii="Tahoma" w:hAnsi="Tahoma"/>
      <w:kern w:val="2"/>
      <w:sz w:val="24"/>
      <w:szCs w:val="20"/>
    </w:rPr>
  </w:style>
  <w:style w:type="paragraph" w:customStyle="1" w:styleId="21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20">
    <w:name w:val="MM Topic 6"/>
    <w:basedOn w:val="8"/>
    <w:qFormat/>
    <w:uiPriority w:val="0"/>
    <w:pPr>
      <w:tabs>
        <w:tab w:val="left" w:pos="3260"/>
      </w:tabs>
      <w:spacing w:line="317" w:lineRule="auto"/>
      <w:ind w:left="0" w:firstLine="0"/>
    </w:pPr>
    <w:rPr>
      <w:bCs w:val="0"/>
      <w:sz w:val="28"/>
      <w:szCs w:val="20"/>
    </w:rPr>
  </w:style>
  <w:style w:type="paragraph" w:customStyle="1" w:styleId="221">
    <w:name w:val="正文序号 1"/>
    <w:basedOn w:val="1"/>
    <w:qFormat/>
    <w:uiPriority w:val="0"/>
    <w:pPr>
      <w:tabs>
        <w:tab w:val="left" w:pos="839"/>
      </w:tabs>
      <w:spacing w:before="60"/>
      <w:ind w:left="431" w:hanging="431"/>
    </w:pPr>
    <w:rPr>
      <w:szCs w:val="20"/>
    </w:rPr>
  </w:style>
  <w:style w:type="paragraph" w:customStyle="1" w:styleId="222">
    <w:name w:val="标题 5 + 首行缩进:"/>
    <w:basedOn w:val="7"/>
    <w:next w:val="20"/>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223">
    <w:name w:val="Normal_14"/>
    <w:qFormat/>
    <w:uiPriority w:val="0"/>
    <w:rPr>
      <w:rFonts w:ascii="黑体" w:hAnsi="黑体" w:eastAsia="黑体" w:cs="Times New Roman"/>
      <w:b/>
      <w:kern w:val="0"/>
      <w:sz w:val="32"/>
      <w:szCs w:val="24"/>
      <w:lang w:val="en-US" w:eastAsia="zh-CN" w:bidi="ar-SA"/>
    </w:rPr>
  </w:style>
  <w:style w:type="paragraph" w:customStyle="1" w:styleId="224">
    <w:name w:val="WW-正文（首行缩进两字）"/>
    <w:basedOn w:val="1"/>
    <w:qFormat/>
    <w:uiPriority w:val="0"/>
    <w:pPr>
      <w:autoSpaceDE w:val="0"/>
      <w:autoSpaceDN w:val="0"/>
      <w:adjustRightInd w:val="0"/>
      <w:ind w:firstLine="420"/>
    </w:pPr>
    <w:rPr>
      <w:szCs w:val="21"/>
    </w:rPr>
  </w:style>
  <w:style w:type="paragraph" w:customStyle="1" w:styleId="225">
    <w:name w:val="Normal_5"/>
    <w:next w:val="226"/>
    <w:qFormat/>
    <w:uiPriority w:val="0"/>
    <w:rPr>
      <w:rFonts w:ascii="黑体" w:hAnsi="黑体" w:eastAsia="黑体" w:cs="Times New Roman"/>
      <w:b/>
      <w:kern w:val="0"/>
      <w:sz w:val="32"/>
      <w:szCs w:val="24"/>
      <w:lang w:val="en-US" w:eastAsia="zh-CN" w:bidi="ar-SA"/>
    </w:rPr>
  </w:style>
  <w:style w:type="paragraph" w:customStyle="1" w:styleId="226">
    <w:name w:val="Body Text"/>
    <w:basedOn w:val="225"/>
    <w:next w:val="225"/>
    <w:qFormat/>
    <w:uiPriority w:val="0"/>
    <w:pPr>
      <w:spacing w:after="120"/>
    </w:pPr>
  </w:style>
  <w:style w:type="paragraph" w:customStyle="1" w:styleId="227">
    <w:name w:val="*正文_1"/>
    <w:basedOn w:val="108"/>
    <w:qFormat/>
    <w:uiPriority w:val="0"/>
    <w:pPr>
      <w:widowControl/>
      <w:spacing w:line="360" w:lineRule="auto"/>
      <w:ind w:firstLine="200" w:firstLineChars="200"/>
      <w:jc w:val="left"/>
    </w:pPr>
    <w:rPr>
      <w:rFonts w:ascii="宋体"/>
      <w:sz w:val="24"/>
      <w:szCs w:val="28"/>
      <w:lang w:val="en-US" w:eastAsia="zh-CN"/>
    </w:rPr>
  </w:style>
  <w:style w:type="paragraph" w:customStyle="1" w:styleId="228">
    <w:name w:val="修订1"/>
    <w:unhideWhenUsed/>
    <w:qFormat/>
    <w:uiPriority w:val="99"/>
    <w:rPr>
      <w:rFonts w:ascii="Times New Roman" w:hAnsi="Times New Roman" w:eastAsia="宋体" w:cs="Times New Roman"/>
      <w:kern w:val="0"/>
      <w:sz w:val="24"/>
      <w:szCs w:val="24"/>
      <w:lang w:val="en-US" w:eastAsia="zh-CN" w:bidi="ar-SA"/>
    </w:rPr>
  </w:style>
  <w:style w:type="paragraph" w:customStyle="1" w:styleId="229">
    <w:name w:val="1 Char"/>
    <w:basedOn w:val="1"/>
    <w:qFormat/>
    <w:uiPriority w:val="0"/>
    <w:pPr>
      <w:spacing w:after="160" w:line="240" w:lineRule="exact"/>
    </w:pPr>
    <w:rPr>
      <w:rFonts w:ascii="Tahoma" w:hAnsi="Tahoma" w:eastAsia="Times New Roman"/>
      <w:lang w:eastAsia="en-US"/>
    </w:rPr>
  </w:style>
  <w:style w:type="paragraph" w:customStyle="1" w:styleId="230">
    <w:name w:val="标书（正文）_10"/>
    <w:basedOn w:val="144"/>
    <w:qFormat/>
    <w:uiPriority w:val="0"/>
    <w:pPr>
      <w:spacing w:line="360" w:lineRule="auto"/>
      <w:ind w:firstLine="560" w:firstLineChars="200"/>
    </w:pPr>
    <w:rPr>
      <w:rFonts w:ascii="宋体" w:hAnsi="宋体"/>
      <w:kern w:val="10"/>
      <w:sz w:val="24"/>
      <w:szCs w:val="20"/>
      <w:lang w:val="en-US" w:eastAsia="zh-CN"/>
    </w:rPr>
  </w:style>
  <w:style w:type="paragraph" w:customStyle="1" w:styleId="231">
    <w:name w:val="Normal_12"/>
    <w:qFormat/>
    <w:uiPriority w:val="0"/>
    <w:rPr>
      <w:rFonts w:ascii="黑体" w:hAnsi="黑体" w:eastAsia="黑体" w:cs="Times New Roman"/>
      <w:b/>
      <w:kern w:val="0"/>
      <w:sz w:val="32"/>
      <w:szCs w:val="24"/>
      <w:lang w:val="en-US" w:eastAsia="zh-CN" w:bidi="ar-SA"/>
    </w:rPr>
  </w:style>
  <w:style w:type="paragraph" w:customStyle="1" w:styleId="232">
    <w:name w:val="Char2 Char Char Char"/>
    <w:basedOn w:val="1"/>
    <w:qFormat/>
    <w:uiPriority w:val="0"/>
    <w:rPr>
      <w:rFonts w:ascii="仿宋_GB2312"/>
      <w:b/>
      <w:sz w:val="30"/>
      <w:szCs w:val="20"/>
    </w:rPr>
  </w:style>
  <w:style w:type="paragraph" w:customStyle="1" w:styleId="23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234">
    <w:name w:val="MM Title"/>
    <w:basedOn w:val="1"/>
    <w:qFormat/>
    <w:uiPriority w:val="0"/>
    <w:pPr>
      <w:spacing w:before="240" w:after="60"/>
      <w:jc w:val="center"/>
      <w:outlineLvl w:val="0"/>
    </w:pPr>
    <w:rPr>
      <w:rFonts w:ascii="Arial" w:hAnsi="Arial"/>
      <w:b/>
      <w:sz w:val="32"/>
      <w:szCs w:val="20"/>
    </w:rPr>
  </w:style>
  <w:style w:type="paragraph" w:customStyle="1" w:styleId="235">
    <w:name w:val="样式 标题 2proj2proj21proj22proj23proj24proj25proj26proj27p...1"/>
    <w:basedOn w:val="4"/>
    <w:qFormat/>
    <w:uiPriority w:val="0"/>
    <w:pPr>
      <w:keepNext w:val="0"/>
      <w:keepLines w:val="0"/>
      <w:adjustRightInd w:val="0"/>
      <w:spacing w:line="360" w:lineRule="exact"/>
      <w:ind w:left="0" w:firstLine="0"/>
      <w:jc w:val="center"/>
      <w:textAlignment w:val="baseline"/>
      <w:outlineLvl w:val="9"/>
    </w:pPr>
    <w:rPr>
      <w:rFonts w:ascii="Times New Roman" w:hAnsi="Times New Roman"/>
      <w:b w:val="0"/>
      <w:bCs w:val="0"/>
      <w:iCs w:val="0"/>
      <w:kern w:val="2"/>
      <w:sz w:val="24"/>
      <w:szCs w:val="20"/>
    </w:rPr>
  </w:style>
  <w:style w:type="paragraph" w:customStyle="1" w:styleId="236">
    <w:name w:val="*正文"/>
    <w:basedOn w:val="1"/>
    <w:qFormat/>
    <w:uiPriority w:val="0"/>
    <w:pPr>
      <w:widowControl/>
      <w:spacing w:line="360" w:lineRule="auto"/>
      <w:ind w:firstLine="200" w:firstLineChars="200"/>
      <w:jc w:val="left"/>
    </w:pPr>
    <w:rPr>
      <w:sz w:val="24"/>
      <w:szCs w:val="28"/>
    </w:rPr>
  </w:style>
  <w:style w:type="paragraph" w:customStyle="1" w:styleId="237">
    <w:name w:val="列出段落1"/>
    <w:basedOn w:val="1"/>
    <w:qFormat/>
    <w:uiPriority w:val="0"/>
    <w:pPr>
      <w:ind w:firstLine="420" w:firstLineChars="200"/>
    </w:pPr>
    <w:rPr>
      <w:lang w:val="zh-CN"/>
    </w:rPr>
  </w:style>
  <w:style w:type="paragraph" w:customStyle="1" w:styleId="238">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239">
    <w:name w:val="正文 首行缩进:  2 字符 Char Char"/>
    <w:basedOn w:val="1"/>
    <w:qFormat/>
    <w:uiPriority w:val="0"/>
    <w:pPr>
      <w:spacing w:line="360" w:lineRule="auto"/>
      <w:ind w:firstLine="480"/>
    </w:pPr>
    <w:rPr>
      <w:szCs w:val="20"/>
    </w:rPr>
  </w:style>
  <w:style w:type="paragraph" w:customStyle="1" w:styleId="240">
    <w:name w:val="Normal_4"/>
    <w:qFormat/>
    <w:uiPriority w:val="0"/>
    <w:rPr>
      <w:rFonts w:ascii="黑体" w:hAnsi="黑体" w:eastAsia="黑体" w:cs="Times New Roman"/>
      <w:b/>
      <w:kern w:val="0"/>
      <w:sz w:val="32"/>
      <w:szCs w:val="24"/>
      <w:lang w:val="en-US" w:eastAsia="zh-CN" w:bidi="ar-SA"/>
    </w:rPr>
  </w:style>
  <w:style w:type="paragraph" w:customStyle="1" w:styleId="241">
    <w:name w:val="Normal_10"/>
    <w:qFormat/>
    <w:uiPriority w:val="0"/>
    <w:rPr>
      <w:rFonts w:ascii="黑体" w:hAnsi="黑体" w:eastAsia="黑体" w:cs="Times New Roman"/>
      <w:b/>
      <w:kern w:val="0"/>
      <w:sz w:val="32"/>
      <w:szCs w:val="24"/>
      <w:lang w:val="en-US" w:eastAsia="zh-CN" w:bidi="ar-SA"/>
    </w:rPr>
  </w:style>
  <w:style w:type="paragraph" w:customStyle="1" w:styleId="242">
    <w:name w:val="Normal_9"/>
    <w:qFormat/>
    <w:uiPriority w:val="0"/>
    <w:rPr>
      <w:rFonts w:ascii="黑体" w:hAnsi="黑体" w:eastAsia="黑体" w:cs="Times New Roman"/>
      <w:b/>
      <w:kern w:val="0"/>
      <w:sz w:val="32"/>
      <w:szCs w:val="24"/>
      <w:lang w:val="en-US" w:eastAsia="zh-CN" w:bidi="ar-SA"/>
    </w:rPr>
  </w:style>
  <w:style w:type="paragraph" w:customStyle="1" w:styleId="243">
    <w:name w:val="条目正文"/>
    <w:basedOn w:val="1"/>
    <w:qFormat/>
    <w:uiPriority w:val="0"/>
    <w:pPr>
      <w:tabs>
        <w:tab w:val="left" w:pos="425"/>
        <w:tab w:val="left" w:pos="1050"/>
      </w:tabs>
      <w:spacing w:after="120" w:line="360" w:lineRule="auto"/>
      <w:ind w:left="1050" w:hanging="450"/>
    </w:pPr>
    <w:rPr>
      <w:rFonts w:hAnsi="Arial" w:cs="Arial"/>
      <w:szCs w:val="20"/>
    </w:rPr>
  </w:style>
  <w:style w:type="paragraph" w:customStyle="1" w:styleId="244">
    <w:name w:val="标书（正文）_6"/>
    <w:basedOn w:val="111"/>
    <w:qFormat/>
    <w:uiPriority w:val="0"/>
    <w:pPr>
      <w:spacing w:line="360" w:lineRule="auto"/>
      <w:ind w:firstLine="560" w:firstLineChars="200"/>
    </w:pPr>
    <w:rPr>
      <w:rFonts w:ascii="宋体" w:hAnsi="宋体"/>
      <w:kern w:val="10"/>
      <w:szCs w:val="20"/>
      <w:lang w:val="en-US" w:eastAsia="zh-CN"/>
    </w:rPr>
  </w:style>
  <w:style w:type="paragraph" w:customStyle="1" w:styleId="245">
    <w:name w:val="Normal_2"/>
    <w:qFormat/>
    <w:uiPriority w:val="0"/>
    <w:rPr>
      <w:rFonts w:ascii="黑体" w:hAnsi="黑体" w:eastAsia="黑体" w:cs="Times New Roman"/>
      <w:b/>
      <w:kern w:val="0"/>
      <w:sz w:val="32"/>
      <w:szCs w:val="24"/>
      <w:lang w:val="en-US" w:eastAsia="zh-CN" w:bidi="ar-SA"/>
    </w:rPr>
  </w:style>
  <w:style w:type="paragraph" w:customStyle="1" w:styleId="246">
    <w:name w:val="Style8"/>
    <w:basedOn w:val="1"/>
    <w:qFormat/>
    <w:uiPriority w:val="0"/>
    <w:pPr>
      <w:tabs>
        <w:tab w:val="left" w:pos="1304"/>
      </w:tabs>
      <w:spacing w:beforeLines="50" w:afterLines="50" w:line="276" w:lineRule="auto"/>
      <w:ind w:left="1304" w:hanging="397"/>
    </w:pPr>
    <w:rPr>
      <w:rFonts w:ascii="Arial" w:hAnsi="Arial"/>
      <w:szCs w:val="20"/>
    </w:rPr>
  </w:style>
  <w:style w:type="paragraph" w:customStyle="1" w:styleId="247">
    <w:name w:val="标书（正文）_1"/>
    <w:basedOn w:val="108"/>
    <w:qFormat/>
    <w:uiPriority w:val="0"/>
    <w:pPr>
      <w:spacing w:line="360" w:lineRule="auto"/>
      <w:ind w:firstLine="560" w:firstLineChars="200"/>
    </w:pPr>
    <w:rPr>
      <w:rFonts w:ascii="宋体" w:hAnsi="宋体"/>
      <w:kern w:val="10"/>
      <w:sz w:val="24"/>
      <w:szCs w:val="20"/>
      <w:lang w:val="en-US" w:eastAsia="zh-CN"/>
    </w:rPr>
  </w:style>
  <w:style w:type="paragraph" w:styleId="248">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249">
    <w:name w:val="Char Char Char Char"/>
    <w:basedOn w:val="1"/>
    <w:next w:val="1"/>
    <w:qFormat/>
    <w:uiPriority w:val="0"/>
    <w:pPr>
      <w:spacing w:line="240" w:lineRule="atLeast"/>
      <w:ind w:left="420" w:firstLine="420"/>
    </w:pPr>
    <w:rPr>
      <w:szCs w:val="21"/>
    </w:rPr>
  </w:style>
  <w:style w:type="paragraph" w:customStyle="1" w:styleId="250">
    <w:name w:val="正文文本缩进 2_0"/>
    <w:basedOn w:val="86"/>
    <w:qFormat/>
    <w:uiPriority w:val="0"/>
    <w:pPr>
      <w:spacing w:after="120" w:line="480" w:lineRule="auto"/>
      <w:ind w:left="420" w:leftChars="200"/>
    </w:pPr>
  </w:style>
  <w:style w:type="paragraph" w:customStyle="1" w:styleId="251">
    <w:name w:val="样式 首行缩进:"/>
    <w:basedOn w:val="1"/>
    <w:qFormat/>
    <w:uiPriority w:val="0"/>
    <w:pPr>
      <w:ind w:firstLine="420" w:firstLineChars="200"/>
    </w:pPr>
    <w:rPr>
      <w:szCs w:val="20"/>
    </w:rPr>
  </w:style>
  <w:style w:type="paragraph" w:customStyle="1" w:styleId="252">
    <w:name w:val="Normal_1"/>
    <w:qFormat/>
    <w:uiPriority w:val="0"/>
    <w:rPr>
      <w:rFonts w:ascii="黑体" w:hAnsi="黑体" w:eastAsia="黑体" w:cs="Times New Roman"/>
      <w:b/>
      <w:kern w:val="0"/>
      <w:sz w:val="32"/>
      <w:szCs w:val="24"/>
      <w:lang w:val="en-US" w:eastAsia="zh-CN" w:bidi="ar-SA"/>
    </w:rPr>
  </w:style>
  <w:style w:type="paragraph" w:customStyle="1" w:styleId="253">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254">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55">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7">
    <w:name w:val="MM Topic 2"/>
    <w:basedOn w:val="4"/>
    <w:qFormat/>
    <w:uiPriority w:val="0"/>
    <w:pPr>
      <w:tabs>
        <w:tab w:val="left" w:pos="992"/>
      </w:tabs>
      <w:ind w:left="0" w:firstLine="0"/>
    </w:pPr>
    <w:rPr>
      <w:rFonts w:ascii="Arial"/>
      <w:bCs w:val="0"/>
      <w:iCs w:val="0"/>
      <w:color w:val="000000"/>
      <w:kern w:val="2"/>
      <w:szCs w:val="20"/>
    </w:rPr>
  </w:style>
  <w:style w:type="paragraph" w:customStyle="1" w:styleId="258">
    <w:name w:val="MM Topic 1"/>
    <w:basedOn w:val="3"/>
    <w:qFormat/>
    <w:uiPriority w:val="0"/>
    <w:pPr>
      <w:tabs>
        <w:tab w:val="left" w:pos="425"/>
      </w:tabs>
      <w:spacing w:line="576" w:lineRule="auto"/>
    </w:pPr>
    <w:rPr>
      <w:rFonts w:ascii="Times New Roman" w:hAnsi="Times New Roman"/>
      <w:bCs w:val="0"/>
      <w:sz w:val="44"/>
      <w:szCs w:val="20"/>
    </w:rPr>
  </w:style>
  <w:style w:type="paragraph" w:customStyle="1" w:styleId="259">
    <w:name w:val="正文序号 3"/>
    <w:basedOn w:val="1"/>
    <w:qFormat/>
    <w:uiPriority w:val="0"/>
    <w:pPr>
      <w:tabs>
        <w:tab w:val="left" w:pos="1259"/>
      </w:tabs>
      <w:spacing w:before="60"/>
      <w:ind w:left="431" w:hanging="431"/>
    </w:pPr>
    <w:rPr>
      <w:szCs w:val="20"/>
    </w:rPr>
  </w:style>
  <w:style w:type="paragraph" w:customStyle="1" w:styleId="260">
    <w:name w:val="标题样式"/>
    <w:basedOn w:val="1"/>
    <w:qFormat/>
    <w:uiPriority w:val="0"/>
    <w:pPr>
      <w:tabs>
        <w:tab w:val="left" w:pos="420"/>
      </w:tabs>
      <w:spacing w:line="360" w:lineRule="auto"/>
    </w:pPr>
    <w:rPr>
      <w:szCs w:val="20"/>
    </w:rPr>
  </w:style>
  <w:style w:type="paragraph" w:customStyle="1" w:styleId="26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62">
    <w:name w:val="正文段落"/>
    <w:basedOn w:val="1"/>
    <w:qFormat/>
    <w:uiPriority w:val="0"/>
    <w:pPr>
      <w:spacing w:line="300" w:lineRule="auto"/>
      <w:ind w:firstLine="510"/>
    </w:pPr>
    <w:rPr>
      <w:szCs w:val="20"/>
    </w:rPr>
  </w:style>
  <w:style w:type="paragraph" w:customStyle="1" w:styleId="263">
    <w:name w:val="Normal"/>
    <w:qFormat/>
    <w:uiPriority w:val="0"/>
    <w:rPr>
      <w:rFonts w:ascii="Times New Roman" w:hAnsi="Times New Roman" w:eastAsia="Times New Roman" w:cs="Times New Roman"/>
      <w:kern w:val="0"/>
      <w:sz w:val="24"/>
      <w:szCs w:val="24"/>
      <w:lang w:val="en-US" w:eastAsia="zh-CN" w:bidi="ar-SA"/>
    </w:rPr>
  </w:style>
  <w:style w:type="paragraph" w:customStyle="1" w:styleId="264">
    <w:name w:val="正文序号 4"/>
    <w:basedOn w:val="1"/>
    <w:qFormat/>
    <w:uiPriority w:val="0"/>
    <w:pPr>
      <w:tabs>
        <w:tab w:val="left" w:pos="1469"/>
      </w:tabs>
      <w:spacing w:before="60"/>
      <w:ind w:left="431" w:hanging="431"/>
    </w:pPr>
    <w:rPr>
      <w:szCs w:val="20"/>
    </w:rPr>
  </w:style>
  <w:style w:type="paragraph" w:customStyle="1" w:styleId="265">
    <w:name w:val="Style Style4 + First line:  2 ch Before:  0.5 line After:  0.5 li..."/>
    <w:basedOn w:val="1"/>
    <w:qFormat/>
    <w:uiPriority w:val="0"/>
    <w:pPr>
      <w:spacing w:beforeLines="50" w:afterLines="50" w:line="276" w:lineRule="auto"/>
      <w:ind w:firstLine="480" w:firstLineChars="200"/>
    </w:pPr>
    <w:rPr>
      <w:rFonts w:ascii="Arial" w:hAnsi="Arial"/>
      <w:szCs w:val="20"/>
    </w:rPr>
  </w:style>
  <w:style w:type="paragraph" w:customStyle="1" w:styleId="266">
    <w:name w:val="p0"/>
    <w:basedOn w:val="1"/>
    <w:qFormat/>
    <w:uiPriority w:val="0"/>
    <w:rPr>
      <w:szCs w:val="20"/>
    </w:rPr>
  </w:style>
  <w:style w:type="paragraph" w:customStyle="1" w:styleId="26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8">
    <w:name w:val="大纲正文"/>
    <w:basedOn w:val="1"/>
    <w:qFormat/>
    <w:uiPriority w:val="0"/>
    <w:pPr>
      <w:spacing w:line="360" w:lineRule="auto"/>
      <w:ind w:firstLine="480" w:firstLineChars="200"/>
    </w:pPr>
    <w:rPr>
      <w:szCs w:val="20"/>
    </w:rPr>
  </w:style>
  <w:style w:type="paragraph" w:customStyle="1" w:styleId="269">
    <w:name w:val="*正文_2"/>
    <w:basedOn w:val="86"/>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70">
    <w:name w:val="正文格式"/>
    <w:basedOn w:val="1"/>
    <w:qFormat/>
    <w:uiPriority w:val="0"/>
    <w:pPr>
      <w:adjustRightInd w:val="0"/>
      <w:snapToGrid w:val="0"/>
      <w:spacing w:beforeLines="25" w:line="360" w:lineRule="auto"/>
      <w:ind w:firstLine="480" w:firstLineChars="200"/>
      <w:textAlignment w:val="baseline"/>
    </w:pPr>
    <w:rPr>
      <w:color w:val="000000"/>
      <w:szCs w:val="20"/>
    </w:rPr>
  </w:style>
  <w:style w:type="paragraph" w:customStyle="1" w:styleId="271">
    <w:name w:val="我的正文"/>
    <w:basedOn w:val="1"/>
    <w:qFormat/>
    <w:uiPriority w:val="0"/>
    <w:pPr>
      <w:spacing w:line="360" w:lineRule="auto"/>
      <w:ind w:firstLine="420" w:firstLineChars="200"/>
    </w:pPr>
    <w:rPr>
      <w:szCs w:val="20"/>
    </w:rPr>
  </w:style>
  <w:style w:type="paragraph" w:customStyle="1" w:styleId="272">
    <w:name w:val="论文正文"/>
    <w:basedOn w:val="1"/>
    <w:qFormat/>
    <w:uiPriority w:val="0"/>
    <w:pPr>
      <w:spacing w:line="300" w:lineRule="auto"/>
      <w:ind w:firstLine="200" w:firstLineChars="200"/>
    </w:pPr>
  </w:style>
  <w:style w:type="paragraph" w:customStyle="1" w:styleId="273">
    <w:name w:val="Char"/>
    <w:basedOn w:val="1"/>
    <w:next w:val="1"/>
    <w:qFormat/>
    <w:uiPriority w:val="0"/>
    <w:pPr>
      <w:spacing w:line="240" w:lineRule="atLeast"/>
      <w:ind w:left="420" w:firstLine="420"/>
    </w:pPr>
    <w:rPr>
      <w:szCs w:val="21"/>
    </w:rPr>
  </w:style>
  <w:style w:type="paragraph" w:customStyle="1" w:styleId="274">
    <w:name w:val="*正文_3"/>
    <w:basedOn w:val="86"/>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75">
    <w:name w:val="项目符号：一级"/>
    <w:basedOn w:val="270"/>
    <w:next w:val="270"/>
    <w:qFormat/>
    <w:uiPriority w:val="0"/>
    <w:pPr>
      <w:tabs>
        <w:tab w:val="left" w:pos="700"/>
      </w:tabs>
      <w:spacing w:beforeLines="0"/>
      <w:ind w:left="630" w:hanging="290" w:firstLineChars="0"/>
    </w:pPr>
  </w:style>
  <w:style w:type="paragraph" w:customStyle="1" w:styleId="276">
    <w:name w:val="强调2"/>
    <w:basedOn w:val="277"/>
    <w:qFormat/>
    <w:uiPriority w:val="0"/>
    <w:pPr>
      <w:tabs>
        <w:tab w:val="left" w:pos="360"/>
        <w:tab w:val="left" w:pos="1918"/>
      </w:tabs>
      <w:ind w:left="1918" w:hanging="420"/>
    </w:pPr>
  </w:style>
  <w:style w:type="paragraph" w:customStyle="1" w:styleId="277">
    <w:name w:val="强调1"/>
    <w:basedOn w:val="1"/>
    <w:qFormat/>
    <w:uiPriority w:val="0"/>
    <w:pPr>
      <w:spacing w:line="360" w:lineRule="auto"/>
      <w:ind w:left="900"/>
    </w:pPr>
    <w:rPr>
      <w:rFonts w:ascii="楷体_GB2312" w:hAnsi="仿宋" w:eastAsia="楷体_GB2312"/>
      <w:sz w:val="28"/>
      <w:szCs w:val="28"/>
    </w:rPr>
  </w:style>
  <w:style w:type="paragraph" w:customStyle="1" w:styleId="278">
    <w:name w:val="Normal_13"/>
    <w:qFormat/>
    <w:uiPriority w:val="0"/>
    <w:rPr>
      <w:rFonts w:ascii="黑体" w:hAnsi="黑体" w:eastAsia="黑体" w:cs="Times New Roman"/>
      <w:b/>
      <w:kern w:val="0"/>
      <w:sz w:val="32"/>
      <w:szCs w:val="24"/>
      <w:lang w:val="en-US" w:eastAsia="zh-CN" w:bidi="ar-SA"/>
    </w:rPr>
  </w:style>
  <w:style w:type="paragraph" w:customStyle="1" w:styleId="279">
    <w:name w:val="ZW Char"/>
    <w:basedOn w:val="207"/>
    <w:qFormat/>
    <w:uiPriority w:val="0"/>
    <w:pPr>
      <w:spacing w:line="360" w:lineRule="auto"/>
      <w:ind w:firstLine="200" w:firstLineChars="200"/>
    </w:pPr>
    <w:rPr>
      <w:rFonts w:ascii="宋体" w:hAnsi="宋体"/>
      <w:sz w:val="24"/>
      <w:szCs w:val="24"/>
    </w:rPr>
  </w:style>
  <w:style w:type="paragraph" w:customStyle="1" w:styleId="280">
    <w:name w:val="Normal_0"/>
    <w:qFormat/>
    <w:uiPriority w:val="0"/>
    <w:rPr>
      <w:rFonts w:ascii="黑体" w:hAnsi="黑体" w:eastAsia="黑体" w:cs="Times New Roman"/>
      <w:b/>
      <w:kern w:val="0"/>
      <w:sz w:val="32"/>
      <w:szCs w:val="24"/>
      <w:lang w:val="en-US" w:eastAsia="zh-CN" w:bidi="ar-SA"/>
    </w:rPr>
  </w:style>
  <w:style w:type="paragraph" w:customStyle="1" w:styleId="281">
    <w:name w:val="*正文_0_0"/>
    <w:basedOn w:val="130"/>
    <w:qFormat/>
    <w:uiPriority w:val="0"/>
    <w:pPr>
      <w:widowControl/>
      <w:spacing w:line="360" w:lineRule="auto"/>
      <w:ind w:firstLine="200" w:firstLineChars="200"/>
      <w:jc w:val="left"/>
    </w:pPr>
    <w:rPr>
      <w:rFonts w:ascii="宋体" w:hAnsi="Times New Roman"/>
      <w:sz w:val="24"/>
      <w:szCs w:val="28"/>
      <w:lang w:val="en-US" w:eastAsia="zh-CN"/>
    </w:rPr>
  </w:style>
  <w:style w:type="paragraph" w:customStyle="1" w:styleId="282">
    <w:name w:val="MM Topic 4"/>
    <w:basedOn w:val="6"/>
    <w:qFormat/>
    <w:uiPriority w:val="0"/>
    <w:pPr>
      <w:tabs>
        <w:tab w:val="left" w:pos="1984"/>
      </w:tabs>
      <w:spacing w:before="280" w:after="290" w:line="372" w:lineRule="auto"/>
      <w:ind w:firstLine="0"/>
    </w:pPr>
    <w:rPr>
      <w:bCs w:val="0"/>
      <w:kern w:val="2"/>
      <w:szCs w:val="20"/>
    </w:rPr>
  </w:style>
  <w:style w:type="paragraph" w:customStyle="1" w:styleId="28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84">
    <w:name w:val="样式 右侧:  1 字符1"/>
    <w:basedOn w:val="1"/>
    <w:qFormat/>
    <w:uiPriority w:val="0"/>
    <w:pPr>
      <w:ind w:left="240" w:leftChars="100" w:right="100" w:rightChars="100"/>
    </w:pPr>
    <w:rPr>
      <w:rFonts w:eastAsia="仿宋_GB2312"/>
      <w:sz w:val="28"/>
      <w:szCs w:val="20"/>
    </w:rPr>
  </w:style>
  <w:style w:type="paragraph" w:customStyle="1" w:styleId="285">
    <w:name w:val="Char2"/>
    <w:basedOn w:val="1"/>
    <w:next w:val="1"/>
    <w:qFormat/>
    <w:uiPriority w:val="0"/>
    <w:pPr>
      <w:spacing w:line="240" w:lineRule="atLeast"/>
      <w:ind w:left="420" w:firstLine="420"/>
    </w:pPr>
    <w:rPr>
      <w:szCs w:val="20"/>
    </w:rPr>
  </w:style>
  <w:style w:type="paragraph" w:customStyle="1" w:styleId="286">
    <w:name w:val="MM Topic 9"/>
    <w:basedOn w:val="11"/>
    <w:qFormat/>
    <w:uiPriority w:val="0"/>
    <w:pPr>
      <w:tabs>
        <w:tab w:val="left" w:pos="5102"/>
      </w:tabs>
    </w:pPr>
  </w:style>
  <w:style w:type="paragraph" w:customStyle="1" w:styleId="287">
    <w:name w:val="文章正文 Char Char1"/>
    <w:basedOn w:val="1"/>
    <w:qFormat/>
    <w:uiPriority w:val="0"/>
    <w:pPr>
      <w:spacing w:line="360" w:lineRule="auto"/>
      <w:ind w:firstLine="420"/>
    </w:pPr>
    <w:rPr>
      <w:szCs w:val="20"/>
    </w:rPr>
  </w:style>
  <w:style w:type="paragraph" w:customStyle="1" w:styleId="288">
    <w:name w:val="GTA正文-2"/>
    <w:basedOn w:val="1"/>
    <w:qFormat/>
    <w:uiPriority w:val="0"/>
    <w:pPr>
      <w:snapToGrid w:val="0"/>
      <w:spacing w:beforeLines="50" w:after="156" w:line="480" w:lineRule="atLeast"/>
      <w:ind w:firstLine="480" w:firstLineChars="200"/>
    </w:pPr>
    <w:rPr>
      <w:rFonts w:ascii="微软雅黑" w:hAnsi="微软雅黑" w:eastAsia="微软雅黑" w:cs="Arial"/>
      <w:sz w:val="24"/>
      <w:szCs w:val="24"/>
    </w:rPr>
  </w:style>
  <w:style w:type="paragraph" w:customStyle="1" w:styleId="289">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290">
    <w:name w:val="A正文加粗小四_0_0"/>
    <w:basedOn w:val="203"/>
    <w:qFormat/>
    <w:uiPriority w:val="0"/>
    <w:pPr>
      <w:spacing w:line="360" w:lineRule="auto"/>
      <w:ind w:firstLine="200" w:firstLineChars="200"/>
    </w:pPr>
    <w:rPr>
      <w:rFonts w:ascii="宋体" w:hAnsi="Calibri"/>
      <w:b/>
      <w:sz w:val="24"/>
      <w:szCs w:val="24"/>
    </w:rPr>
  </w:style>
  <w:style w:type="paragraph" w:customStyle="1" w:styleId="291">
    <w:name w:val="Char Char1"/>
    <w:basedOn w:val="1"/>
    <w:next w:val="1"/>
    <w:qFormat/>
    <w:uiPriority w:val="0"/>
    <w:pPr>
      <w:spacing w:line="240" w:lineRule="atLeast"/>
      <w:ind w:left="420" w:firstLine="420"/>
    </w:pPr>
    <w:rPr>
      <w:rFonts w:ascii="楷体_GB2312" w:eastAsia="楷体_GB2312"/>
      <w:color w:val="000000"/>
      <w:sz w:val="28"/>
      <w:szCs w:val="20"/>
    </w:rPr>
  </w:style>
  <w:style w:type="paragraph" w:customStyle="1" w:styleId="292">
    <w:name w:val="A正文加粗小四_1"/>
    <w:basedOn w:val="118"/>
    <w:qFormat/>
    <w:uiPriority w:val="0"/>
    <w:pPr>
      <w:spacing w:line="360" w:lineRule="auto"/>
      <w:ind w:firstLine="200" w:firstLineChars="200"/>
    </w:pPr>
    <w:rPr>
      <w:rFonts w:ascii="宋体" w:hAnsi="Times New Roman"/>
      <w:b/>
      <w:sz w:val="24"/>
      <w:szCs w:val="24"/>
    </w:rPr>
  </w:style>
  <w:style w:type="paragraph" w:customStyle="1" w:styleId="293">
    <w:name w:val="Table Paragraph"/>
    <w:basedOn w:val="1"/>
    <w:qFormat/>
    <w:uiPriority w:val="1"/>
    <w:rPr>
      <w:lang w:val="zh-CN" w:bidi="zh-CN"/>
    </w:rPr>
  </w:style>
  <w:style w:type="character" w:customStyle="1" w:styleId="294">
    <w:name w:val="font11"/>
    <w:qFormat/>
    <w:uiPriority w:val="0"/>
    <w:rPr>
      <w:rFonts w:hint="eastAsia" w:ascii="宋体" w:hAnsi="宋体" w:eastAsia="宋体" w:cs="宋体"/>
      <w:color w:val="000000"/>
      <w:sz w:val="22"/>
      <w:szCs w:val="22"/>
      <w:u w:val="none"/>
    </w:rPr>
  </w:style>
  <w:style w:type="character" w:customStyle="1" w:styleId="295">
    <w:name w:val="font41"/>
    <w:qFormat/>
    <w:uiPriority w:val="0"/>
    <w:rPr>
      <w:rFonts w:hint="eastAsia" w:ascii="宋体" w:hAnsi="宋体" w:eastAsia="宋体" w:cs="宋体"/>
      <w:color w:val="000000"/>
      <w:sz w:val="20"/>
      <w:szCs w:val="20"/>
      <w:u w:val="none"/>
    </w:rPr>
  </w:style>
  <w:style w:type="character" w:customStyle="1" w:styleId="296">
    <w:name w:val="font21"/>
    <w:qFormat/>
    <w:uiPriority w:val="0"/>
    <w:rPr>
      <w:rFonts w:ascii="Calibri" w:hAnsi="Calibri" w:cs="Calibri"/>
      <w:color w:val="000000"/>
      <w:sz w:val="21"/>
      <w:szCs w:val="21"/>
      <w:u w:val="none"/>
    </w:rPr>
  </w:style>
  <w:style w:type="character" w:customStyle="1" w:styleId="297">
    <w:name w:val="font01"/>
    <w:qFormat/>
    <w:uiPriority w:val="0"/>
    <w:rPr>
      <w:rFonts w:hint="eastAsia" w:ascii="宋体" w:hAnsi="宋体" w:eastAsia="宋体" w:cs="宋体"/>
      <w:color w:val="000000"/>
      <w:sz w:val="21"/>
      <w:szCs w:val="21"/>
      <w:u w:val="none"/>
    </w:rPr>
  </w:style>
  <w:style w:type="character" w:customStyle="1" w:styleId="298">
    <w:name w:val="font31"/>
    <w:qFormat/>
    <w:uiPriority w:val="0"/>
    <w:rPr>
      <w:rFonts w:hint="default" w:ascii="Calibri" w:hAnsi="Calibri" w:cs="Calibri"/>
      <w:color w:val="000000"/>
      <w:sz w:val="22"/>
      <w:szCs w:val="22"/>
      <w:u w:val="none"/>
    </w:rPr>
  </w:style>
  <w:style w:type="paragraph" w:customStyle="1" w:styleId="299">
    <w:name w:val="样式 首行缩进:  2 字符_0"/>
    <w:basedOn w:val="131"/>
    <w:qFormat/>
    <w:uiPriority w:val="0"/>
    <w:pPr>
      <w:spacing w:line="400" w:lineRule="exact"/>
      <w:ind w:firstLine="200" w:firstLineChars="200"/>
    </w:pPr>
    <w:rPr>
      <w:rFonts w:ascii="宋体" w:hAnsi="Times New Roman" w:cs="宋体"/>
      <w:kern w:val="0"/>
      <w:sz w:val="24"/>
      <w:szCs w:val="20"/>
    </w:rPr>
  </w:style>
  <w:style w:type="paragraph" w:customStyle="1" w:styleId="300">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301">
    <w:name w:val="图表题"/>
    <w:basedOn w:val="302"/>
    <w:qFormat/>
    <w:uiPriority w:val="0"/>
    <w:pPr>
      <w:ind w:firstLine="0" w:firstLineChars="0"/>
      <w:jc w:val="center"/>
    </w:pPr>
    <w:rPr>
      <w:rFonts w:eastAsia="黑体"/>
    </w:rPr>
  </w:style>
  <w:style w:type="paragraph" w:customStyle="1" w:styleId="302">
    <w:name w:val="规范正文"/>
    <w:basedOn w:val="1"/>
    <w:qFormat/>
    <w:uiPriority w:val="0"/>
    <w:pPr>
      <w:spacing w:line="400" w:lineRule="exact"/>
      <w:ind w:firstLine="880" w:firstLineChars="200"/>
    </w:pPr>
    <w:rPr>
      <w:rFonts w:ascii="Times New Roman" w:hAnsi="Times New Roman" w:cs="Times New Roman"/>
      <w:kern w:val="0"/>
      <w:sz w:val="24"/>
      <w:szCs w:val="24"/>
    </w:rPr>
  </w:style>
  <w:style w:type="paragraph" w:customStyle="1" w:styleId="303">
    <w:name w:val="图题标题"/>
    <w:basedOn w:val="1"/>
    <w:qFormat/>
    <w:uiPriority w:val="0"/>
    <w:pPr>
      <w:spacing w:before="120" w:after="120" w:line="400" w:lineRule="exact"/>
      <w:jc w:val="center"/>
    </w:pPr>
    <w:rPr>
      <w:rFonts w:ascii="Calibri" w:hAnsi="Calibri" w:cs="Times New Roman"/>
      <w:szCs w:val="24"/>
    </w:rPr>
  </w:style>
  <w:style w:type="paragraph" w:customStyle="1" w:styleId="304">
    <w:name w:val="1级标题"/>
    <w:basedOn w:val="3"/>
    <w:next w:val="1"/>
    <w:qFormat/>
    <w:uiPriority w:val="0"/>
    <w:pPr>
      <w:spacing w:before="600" w:after="600" w:line="480" w:lineRule="exact"/>
    </w:pPr>
    <w:rPr>
      <w:rFonts w:ascii="Times New Roman" w:hAnsi="Times New Roman" w:eastAsia="黑体"/>
      <w:b w:val="0"/>
      <w:bCs w:val="0"/>
      <w:kern w:val="0"/>
      <w:sz w:val="20"/>
      <w:szCs w:val="20"/>
    </w:rPr>
  </w:style>
  <w:style w:type="paragraph" w:customStyle="1" w:styleId="305">
    <w:name w:val="WPSOffice手动目录 3"/>
    <w:qFormat/>
    <w:uiPriority w:val="0"/>
    <w:pPr>
      <w:ind w:left="400" w:leftChars="400"/>
    </w:pPr>
    <w:rPr>
      <w:rFonts w:ascii="Calibri" w:hAnsi="Calibri" w:eastAsia="宋体" w:cs="Times New Roman"/>
      <w:kern w:val="0"/>
      <w:sz w:val="20"/>
      <w:szCs w:val="20"/>
      <w:lang w:val="en-US" w:eastAsia="zh-CN" w:bidi="ar-SA"/>
    </w:rPr>
  </w:style>
  <w:style w:type="paragraph" w:customStyle="1" w:styleId="306">
    <w:name w:val="3级标题"/>
    <w:basedOn w:val="307"/>
    <w:qFormat/>
    <w:uiPriority w:val="0"/>
    <w:pPr>
      <w:spacing w:before="240"/>
      <w:outlineLvl w:val="2"/>
    </w:pPr>
    <w:rPr>
      <w:sz w:val="28"/>
      <w:szCs w:val="28"/>
    </w:rPr>
  </w:style>
  <w:style w:type="paragraph" w:customStyle="1" w:styleId="307">
    <w:name w:val="2级标题"/>
    <w:basedOn w:val="304"/>
    <w:qFormat/>
    <w:uiPriority w:val="0"/>
    <w:pPr>
      <w:spacing w:before="360" w:after="120"/>
      <w:jc w:val="both"/>
      <w:outlineLvl w:val="1"/>
    </w:pPr>
    <w:rPr>
      <w:rFonts w:hAnsi="Calibri"/>
      <w:sz w:val="32"/>
      <w:szCs w:val="32"/>
    </w:rPr>
  </w:style>
  <w:style w:type="paragraph" w:customStyle="1" w:styleId="308">
    <w:name w:val="三级标题"/>
    <w:basedOn w:val="5"/>
    <w:qFormat/>
    <w:uiPriority w:val="0"/>
    <w:pPr>
      <w:tabs>
        <w:tab w:val="left" w:pos="3828"/>
      </w:tabs>
      <w:spacing w:before="240" w:after="120" w:line="400" w:lineRule="exact"/>
      <w:jc w:val="left"/>
    </w:pPr>
    <w:rPr>
      <w:rFonts w:ascii="黑体" w:hAnsi="黑体" w:eastAsia="黑体"/>
      <w:b w:val="0"/>
      <w:bCs w:val="0"/>
      <w:color w:val="auto"/>
      <w:sz w:val="28"/>
    </w:rPr>
  </w:style>
  <w:style w:type="paragraph" w:customStyle="1" w:styleId="309">
    <w:name w:val="要求正文"/>
    <w:basedOn w:val="1"/>
    <w:qFormat/>
    <w:uiPriority w:val="0"/>
    <w:pPr>
      <w:spacing w:line="400" w:lineRule="exact"/>
      <w:ind w:firstLine="420" w:firstLineChars="200"/>
    </w:pPr>
    <w:rPr>
      <w:rFonts w:ascii="Calibri" w:hAnsi="Calibri" w:cs="Times New Roman"/>
      <w:sz w:val="24"/>
      <w:szCs w:val="24"/>
    </w:rPr>
  </w:style>
  <w:style w:type="paragraph" w:customStyle="1" w:styleId="310">
    <w:name w:val="WPSOffice手动目录 1"/>
    <w:qFormat/>
    <w:uiPriority w:val="0"/>
    <w:rPr>
      <w:rFonts w:ascii="Calibri" w:hAnsi="Calibri" w:eastAsia="宋体" w:cs="Times New Roman"/>
      <w:kern w:val="0"/>
      <w:sz w:val="20"/>
      <w:szCs w:val="20"/>
      <w:lang w:val="en-US" w:eastAsia="zh-CN" w:bidi="ar-SA"/>
    </w:rPr>
  </w:style>
  <w:style w:type="character" w:customStyle="1" w:styleId="311">
    <w:name w:val="qowt-font2"/>
    <w:basedOn w:val="45"/>
    <w:qFormat/>
    <w:uiPriority w:val="0"/>
  </w:style>
  <w:style w:type="paragraph" w:customStyle="1" w:styleId="312">
    <w:name w:val="Normal_16"/>
    <w:qFormat/>
    <w:uiPriority w:val="0"/>
    <w:rPr>
      <w:rFonts w:ascii="黑体" w:hAnsi="黑体" w:eastAsia="黑体" w:cs="Times New Roman"/>
      <w:b/>
      <w:kern w:val="0"/>
      <w:sz w:val="32"/>
      <w:szCs w:val="24"/>
      <w:lang w:val="en-US" w:eastAsia="zh-CN" w:bidi="ar-SA"/>
    </w:rPr>
  </w:style>
  <w:style w:type="paragraph" w:customStyle="1" w:styleId="313">
    <w:name w:val="标书（正文）_6_0"/>
    <w:basedOn w:val="314"/>
    <w:qFormat/>
    <w:uiPriority w:val="0"/>
    <w:pPr>
      <w:spacing w:line="360" w:lineRule="auto"/>
      <w:ind w:firstLine="560" w:firstLineChars="200"/>
    </w:pPr>
    <w:rPr>
      <w:rFonts w:ascii="宋体" w:hAnsi="宋体"/>
      <w:kern w:val="10"/>
      <w:szCs w:val="20"/>
    </w:rPr>
  </w:style>
  <w:style w:type="paragraph" w:customStyle="1" w:styleId="314">
    <w:name w:val="正文_7_0"/>
    <w:next w:val="315"/>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15">
    <w:name w:val="正文文本_1_0_0"/>
    <w:basedOn w:val="314"/>
    <w:unhideWhenUsed/>
    <w:qFormat/>
    <w:uiPriority w:val="99"/>
    <w:pPr>
      <w:spacing w:after="120"/>
    </w:pPr>
  </w:style>
  <w:style w:type="paragraph" w:customStyle="1" w:styleId="316">
    <w:name w:val="Normal_18"/>
    <w:qFormat/>
    <w:uiPriority w:val="0"/>
    <w:rPr>
      <w:rFonts w:ascii="黑体" w:hAnsi="黑体" w:eastAsia="黑体" w:cs="Times New Roman"/>
      <w:b/>
      <w:kern w:val="0"/>
      <w:sz w:val="32"/>
      <w:szCs w:val="24"/>
      <w:lang w:val="en-US" w:eastAsia="zh-CN" w:bidi="ar-SA"/>
    </w:rPr>
  </w:style>
  <w:style w:type="paragraph" w:customStyle="1" w:styleId="317">
    <w:name w:val="Normal_22"/>
    <w:qFormat/>
    <w:uiPriority w:val="0"/>
    <w:rPr>
      <w:rFonts w:ascii="黑体" w:hAnsi="黑体" w:eastAsia="黑体" w:cs="Times New Roman"/>
      <w:b/>
      <w:kern w:val="0"/>
      <w:sz w:val="32"/>
      <w:szCs w:val="24"/>
      <w:lang w:val="en-US" w:eastAsia="zh-CN" w:bidi="ar-SA"/>
    </w:rPr>
  </w:style>
  <w:style w:type="paragraph" w:customStyle="1" w:styleId="318">
    <w:name w:val="quote-socials-v1-text"/>
    <w:basedOn w:val="1"/>
    <w:qFormat/>
    <w:uiPriority w:val="0"/>
    <w:pPr>
      <w:spacing w:before="100" w:beforeAutospacing="1" w:after="100" w:afterAutospacing="1"/>
    </w:pPr>
    <w:rPr>
      <w:szCs w:val="24"/>
    </w:rPr>
  </w:style>
  <w:style w:type="paragraph" w:customStyle="1" w:styleId="319">
    <w:name w:val="彩色列表 - 强调文字颜色 11"/>
    <w:basedOn w:val="1"/>
    <w:qFormat/>
    <w:uiPriority w:val="0"/>
    <w:pPr>
      <w:ind w:firstLine="420" w:firstLineChars="200"/>
    </w:pPr>
    <w:rPr>
      <w:rFonts w:cs="Times New Roman"/>
    </w:rPr>
  </w:style>
  <w:style w:type="character" w:customStyle="1" w:styleId="320">
    <w:name w:val="hover10"/>
    <w:basedOn w:val="45"/>
    <w:qFormat/>
    <w:uiPriority w:val="0"/>
    <w:rPr>
      <w:color w:val="3177FD"/>
    </w:rPr>
  </w:style>
  <w:style w:type="character" w:customStyle="1" w:styleId="321">
    <w:name w:val="ant-tree-switcher"/>
    <w:basedOn w:val="45"/>
    <w:qFormat/>
    <w:uiPriority w:val="0"/>
  </w:style>
  <w:style w:type="character" w:customStyle="1" w:styleId="322">
    <w:name w:val="ant-tree-checkbox"/>
    <w:basedOn w:val="45"/>
    <w:qFormat/>
    <w:uiPriority w:val="0"/>
  </w:style>
  <w:style w:type="character" w:customStyle="1" w:styleId="323">
    <w:name w:val="ant-tree-icon_loading"/>
    <w:basedOn w:val="45"/>
    <w:qFormat/>
    <w:uiPriority w:val="0"/>
    <w:rPr>
      <w:shd w:val="clear" w:color="auto" w:fill="FFFFFF"/>
    </w:rPr>
  </w:style>
  <w:style w:type="character" w:customStyle="1" w:styleId="324">
    <w:name w:val="info-content"/>
    <w:basedOn w:val="45"/>
    <w:qFormat/>
    <w:uiPriority w:val="0"/>
    <w:rPr>
      <w:color w:val="808080"/>
    </w:rPr>
  </w:style>
  <w:style w:type="character" w:customStyle="1" w:styleId="325">
    <w:name w:val="ant-tree-iconele"/>
    <w:basedOn w:val="45"/>
    <w:qFormat/>
    <w:uiPriority w:val="0"/>
  </w:style>
  <w:style w:type="character" w:customStyle="1" w:styleId="326">
    <w:name w:val="current"/>
    <w:basedOn w:val="45"/>
    <w:qFormat/>
    <w:uiPriority w:val="0"/>
    <w:rPr>
      <w:color w:val="00C1DE"/>
    </w:rPr>
  </w:style>
  <w:style w:type="character" w:customStyle="1" w:styleId="327">
    <w:name w:val="current1"/>
    <w:basedOn w:val="45"/>
    <w:qFormat/>
    <w:uiPriority w:val="0"/>
    <w:rPr>
      <w:color w:val="00C1DE"/>
    </w:rPr>
  </w:style>
  <w:style w:type="character" w:customStyle="1" w:styleId="328">
    <w:name w:val="info-label"/>
    <w:basedOn w:val="45"/>
    <w:qFormat/>
    <w:uiPriority w:val="0"/>
    <w:rPr>
      <w:b/>
      <w:bCs/>
    </w:rPr>
  </w:style>
  <w:style w:type="character" w:customStyle="1" w:styleId="329">
    <w:name w:val="ant-badge-status-dot"/>
    <w:basedOn w:val="45"/>
    <w:qFormat/>
    <w:uiPriority w:val="0"/>
    <w:rPr>
      <w:shd w:val="clear" w:color="auto" w:fill="FFFFFF"/>
    </w:rPr>
  </w:style>
  <w:style w:type="character" w:customStyle="1" w:styleId="330">
    <w:name w:val="ant-select-tree-iconele"/>
    <w:basedOn w:val="45"/>
    <w:qFormat/>
    <w:uiPriority w:val="0"/>
  </w:style>
  <w:style w:type="character" w:customStyle="1" w:styleId="331">
    <w:name w:val="ant-input55"/>
    <w:basedOn w:val="45"/>
    <w:qFormat/>
    <w:uiPriority w:val="0"/>
  </w:style>
  <w:style w:type="character" w:customStyle="1" w:styleId="332">
    <w:name w:val="ant-radio+*"/>
    <w:basedOn w:val="45"/>
    <w:qFormat/>
    <w:uiPriority w:val="0"/>
  </w:style>
  <w:style w:type="character" w:customStyle="1" w:styleId="333">
    <w:name w:val="ant-radio+*1"/>
    <w:basedOn w:val="45"/>
    <w:qFormat/>
    <w:uiPriority w:val="0"/>
  </w:style>
  <w:style w:type="character" w:customStyle="1" w:styleId="334">
    <w:name w:val="last-child"/>
    <w:basedOn w:val="45"/>
    <w:qFormat/>
    <w:uiPriority w:val="0"/>
  </w:style>
  <w:style w:type="character" w:customStyle="1" w:styleId="335">
    <w:name w:val="last-child1"/>
    <w:basedOn w:val="45"/>
    <w:qFormat/>
    <w:uiPriority w:val="0"/>
  </w:style>
  <w:style w:type="character" w:customStyle="1" w:styleId="336">
    <w:name w:val="last-child2"/>
    <w:basedOn w:val="45"/>
    <w:qFormat/>
    <w:uiPriority w:val="0"/>
  </w:style>
  <w:style w:type="character" w:customStyle="1" w:styleId="337">
    <w:name w:val="last-child3"/>
    <w:basedOn w:val="45"/>
    <w:qFormat/>
    <w:uiPriority w:val="0"/>
  </w:style>
  <w:style w:type="character" w:customStyle="1" w:styleId="338">
    <w:name w:val="last-of-type"/>
    <w:basedOn w:val="45"/>
    <w:qFormat/>
    <w:uiPriority w:val="0"/>
    <w:rPr>
      <w:color w:val="FF4A44"/>
      <w:sz w:val="18"/>
      <w:szCs w:val="18"/>
    </w:rPr>
  </w:style>
  <w:style w:type="character" w:customStyle="1" w:styleId="339">
    <w:name w:val="ant-select-tree-switcher"/>
    <w:basedOn w:val="45"/>
    <w:qFormat/>
    <w:uiPriority w:val="0"/>
  </w:style>
  <w:style w:type="character" w:customStyle="1" w:styleId="340">
    <w:name w:val="label2"/>
    <w:basedOn w:val="45"/>
    <w:qFormat/>
    <w:uiPriority w:val="0"/>
  </w:style>
  <w:style w:type="character" w:customStyle="1" w:styleId="341">
    <w:name w:val="content12"/>
    <w:basedOn w:val="45"/>
    <w:qFormat/>
    <w:uiPriority w:val="0"/>
  </w:style>
  <w:style w:type="character" w:customStyle="1" w:styleId="342">
    <w:name w:val="tag-type"/>
    <w:basedOn w:val="45"/>
    <w:qFormat/>
    <w:uiPriority w:val="0"/>
    <w:rPr>
      <w:color w:val="FFFFFF"/>
      <w:sz w:val="12"/>
      <w:szCs w:val="12"/>
      <w:shd w:val="clear" w:color="auto" w:fill="317FFD"/>
    </w:rPr>
  </w:style>
  <w:style w:type="character" w:customStyle="1" w:styleId="343">
    <w:name w:val="tag-type1"/>
    <w:basedOn w:val="45"/>
    <w:qFormat/>
    <w:uiPriority w:val="0"/>
    <w:rPr>
      <w:color w:val="FFFFFF"/>
      <w:sz w:val="12"/>
      <w:szCs w:val="12"/>
      <w:shd w:val="clear" w:color="auto" w:fill="317FFD"/>
    </w:rPr>
  </w:style>
  <w:style w:type="character" w:customStyle="1" w:styleId="344">
    <w:name w:val="ant-select-tree-checkbox2"/>
    <w:basedOn w:val="45"/>
    <w:qFormat/>
    <w:uiPriority w:val="0"/>
  </w:style>
  <w:style w:type="character" w:customStyle="1" w:styleId="345">
    <w:name w:val="first-child3"/>
    <w:basedOn w:val="45"/>
    <w:qFormat/>
    <w:uiPriority w:val="0"/>
  </w:style>
  <w:style w:type="character" w:customStyle="1" w:styleId="346">
    <w:name w:val="change-camera-place"/>
    <w:basedOn w:val="45"/>
    <w:qFormat/>
    <w:uiPriority w:val="0"/>
    <w:rPr>
      <w:color w:val="3177FD"/>
    </w:rPr>
  </w:style>
  <w:style w:type="character" w:customStyle="1" w:styleId="347">
    <w:name w:val="ant-select-tree-checkbox"/>
    <w:basedOn w:val="45"/>
    <w:qFormat/>
    <w:uiPriority w:val="0"/>
  </w:style>
  <w:style w:type="character" w:customStyle="1" w:styleId="348">
    <w:name w:val="ant-input54"/>
    <w:basedOn w:val="45"/>
    <w:qFormat/>
    <w:uiPriority w:val="0"/>
  </w:style>
  <w:style w:type="character" w:customStyle="1" w:styleId="349">
    <w:name w:val="content"/>
    <w:basedOn w:val="45"/>
    <w:qFormat/>
    <w:uiPriority w:val="0"/>
  </w:style>
  <w:style w:type="character" w:customStyle="1" w:styleId="350">
    <w:name w:val="first-child"/>
    <w:basedOn w:val="45"/>
    <w:qFormat/>
    <w:uiPriority w:val="0"/>
  </w:style>
  <w:style w:type="character" w:customStyle="1" w:styleId="351">
    <w:name w:val="label"/>
    <w:basedOn w:val="45"/>
    <w:qFormat/>
    <w:uiPriority w:val="0"/>
  </w:style>
  <w:style w:type="character" w:customStyle="1" w:styleId="352">
    <w:name w:val="ant-badge-status-dot2"/>
    <w:basedOn w:val="45"/>
    <w:qFormat/>
    <w:uiPriority w:val="0"/>
    <w:rPr>
      <w:color w:val="FFFFFF"/>
      <w:shd w:val="clear" w:color="auto" w:fill="FFFFFF"/>
    </w:rPr>
  </w:style>
  <w:style w:type="character" w:customStyle="1" w:styleId="353">
    <w:name w:val="ant-tree-checkbox2"/>
    <w:basedOn w:val="45"/>
    <w:qFormat/>
    <w:uiPriority w:val="0"/>
  </w:style>
  <w:style w:type="character" w:customStyle="1" w:styleId="354">
    <w:name w:val="first-child2"/>
    <w:basedOn w:val="45"/>
    <w:qFormat/>
    <w:uiPriority w:val="0"/>
  </w:style>
  <w:style w:type="character" w:customStyle="1" w:styleId="355">
    <w:name w:val="hover"/>
    <w:basedOn w:val="45"/>
    <w:qFormat/>
    <w:uiPriority w:val="0"/>
    <w:rPr>
      <w:color w:val="3177FD"/>
    </w:rPr>
  </w:style>
  <w:style w:type="character" w:customStyle="1" w:styleId="356">
    <w:name w:val="last-child4"/>
    <w:basedOn w:val="45"/>
    <w:qFormat/>
    <w:uiPriority w:val="0"/>
  </w:style>
  <w:style w:type="character" w:customStyle="1" w:styleId="357">
    <w:name w:val="last-child5"/>
    <w:basedOn w:val="45"/>
    <w:qFormat/>
    <w:uiPriority w:val="0"/>
  </w:style>
  <w:style w:type="character" w:customStyle="1" w:styleId="358">
    <w:name w:val="last-child6"/>
    <w:basedOn w:val="45"/>
    <w:qFormat/>
    <w:uiPriority w:val="0"/>
  </w:style>
  <w:style w:type="character" w:customStyle="1" w:styleId="359">
    <w:name w:val="last-child7"/>
    <w:basedOn w:val="45"/>
    <w:qFormat/>
    <w:uiPriority w:val="0"/>
  </w:style>
  <w:style w:type="character" w:customStyle="1" w:styleId="360">
    <w:name w:val="ant-input48"/>
    <w:basedOn w:val="45"/>
    <w:qFormat/>
    <w:uiPriority w:val="0"/>
  </w:style>
  <w:style w:type="paragraph" w:customStyle="1" w:styleId="361">
    <w:name w:val="HTML Top of Form"/>
    <w:basedOn w:val="1"/>
    <w:next w:val="1"/>
    <w:link w:val="362"/>
    <w:qFormat/>
    <w:uiPriority w:val="0"/>
    <w:pPr>
      <w:pBdr>
        <w:bottom w:val="single" w:color="auto" w:sz="6" w:space="1"/>
      </w:pBdr>
      <w:jc w:val="center"/>
    </w:pPr>
    <w:rPr>
      <w:rFonts w:ascii="Arial"/>
      <w:vanish/>
      <w:sz w:val="16"/>
    </w:rPr>
  </w:style>
  <w:style w:type="character" w:customStyle="1" w:styleId="362">
    <w:name w:val="z-窗体顶端 Char"/>
    <w:basedOn w:val="45"/>
    <w:link w:val="361"/>
    <w:qFormat/>
    <w:uiPriority w:val="0"/>
    <w:rPr>
      <w:rFonts w:ascii="Arial" w:hAnsi="宋体" w:eastAsia="宋体" w:cs="宋体"/>
      <w:vanish/>
      <w:sz w:val="16"/>
    </w:rPr>
  </w:style>
  <w:style w:type="paragraph" w:customStyle="1" w:styleId="363">
    <w:name w:val="HTML Bottom of Form"/>
    <w:basedOn w:val="1"/>
    <w:next w:val="1"/>
    <w:link w:val="364"/>
    <w:qFormat/>
    <w:uiPriority w:val="0"/>
    <w:pPr>
      <w:pBdr>
        <w:top w:val="single" w:color="auto" w:sz="6" w:space="1"/>
      </w:pBdr>
      <w:jc w:val="center"/>
    </w:pPr>
    <w:rPr>
      <w:rFonts w:ascii="Arial"/>
      <w:vanish/>
      <w:sz w:val="16"/>
    </w:rPr>
  </w:style>
  <w:style w:type="character" w:customStyle="1" w:styleId="364">
    <w:name w:val="z-窗体底端 Char"/>
    <w:basedOn w:val="45"/>
    <w:link w:val="363"/>
    <w:qFormat/>
    <w:uiPriority w:val="0"/>
    <w:rPr>
      <w:rFonts w:ascii="Arial" w:hAnsi="宋体" w:eastAsia="宋体" w:cs="宋体"/>
      <w:vanish/>
      <w:sz w:val="16"/>
    </w:rPr>
  </w:style>
  <w:style w:type="character" w:customStyle="1" w:styleId="365">
    <w:name w:val="ant-input56"/>
    <w:basedOn w:val="45"/>
    <w:qFormat/>
    <w:uiPriority w:val="0"/>
  </w:style>
  <w:style w:type="character" w:customStyle="1" w:styleId="366">
    <w:name w:val="hover11"/>
    <w:basedOn w:val="45"/>
    <w:qFormat/>
    <w:uiPriority w:val="0"/>
    <w:rPr>
      <w:color w:val="3177FD"/>
    </w:rPr>
  </w:style>
  <w:style w:type="character" w:customStyle="1" w:styleId="367">
    <w:name w:val="first-child5"/>
    <w:basedOn w:val="45"/>
    <w:qFormat/>
    <w:uiPriority w:val="0"/>
  </w:style>
  <w:style w:type="character" w:customStyle="1" w:styleId="368">
    <w:name w:val="ant-form-item-children1"/>
    <w:basedOn w:val="45"/>
    <w:qFormat/>
    <w:uiPriority w:val="0"/>
  </w:style>
  <w:style w:type="character" w:customStyle="1" w:styleId="369">
    <w:name w:val="ant-input26"/>
    <w:basedOn w:val="45"/>
    <w:qFormat/>
    <w:uiPriority w:val="0"/>
  </w:style>
  <w:style w:type="character" w:customStyle="1" w:styleId="370">
    <w:name w:val="ant-table-tbody1"/>
    <w:basedOn w:val="45"/>
    <w:qFormat/>
    <w:uiPriority w:val="0"/>
  </w:style>
  <w:style w:type="paragraph" w:customStyle="1" w:styleId="371">
    <w:name w:val="Normal_19"/>
    <w:next w:val="372"/>
    <w:qFormat/>
    <w:uiPriority w:val="0"/>
    <w:rPr>
      <w:rFonts w:ascii="Times New Roman" w:hAnsi="Times New Roman" w:eastAsia="宋体" w:cs="Times New Roman"/>
      <w:sz w:val="24"/>
      <w:szCs w:val="24"/>
      <w:lang w:val="en-US" w:eastAsia="zh-CN" w:bidi="ar-SA"/>
    </w:rPr>
  </w:style>
  <w:style w:type="paragraph" w:customStyle="1" w:styleId="372">
    <w:name w:val="Body Text_1"/>
    <w:basedOn w:val="371"/>
    <w:next w:val="371"/>
    <w:qFormat/>
    <w:uiPriority w:val="0"/>
    <w:pPr>
      <w:spacing w:after="120"/>
    </w:pPr>
  </w:style>
  <w:style w:type="paragraph" w:customStyle="1" w:styleId="373">
    <w:name w:val="正文文本_1_1"/>
    <w:basedOn w:val="374"/>
    <w:qFormat/>
    <w:uiPriority w:val="1"/>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374">
    <w:name w:val="正文_7_1"/>
    <w:next w:val="373"/>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table" w:customStyle="1" w:styleId="375">
    <w:name w:val="Table Normal"/>
    <w:semiHidden/>
    <w:unhideWhenUsed/>
    <w:qFormat/>
    <w:uiPriority w:val="0"/>
    <w:tblPr>
      <w:tblCellMar>
        <w:top w:w="0" w:type="dxa"/>
        <w:left w:w="0" w:type="dxa"/>
        <w:bottom w:w="0" w:type="dxa"/>
        <w:right w:w="0" w:type="dxa"/>
      </w:tblCellMar>
    </w:tblPr>
  </w:style>
  <w:style w:type="paragraph" w:customStyle="1" w:styleId="376">
    <w:name w:val="_Style 10"/>
    <w:basedOn w:val="3"/>
    <w:next w:val="1"/>
    <w:qFormat/>
    <w:uiPriority w:val="39"/>
    <w:pPr>
      <w:pageBreakBefore/>
      <w:widowControl/>
      <w:spacing w:before="480" w:after="0" w:line="276" w:lineRule="auto"/>
      <w:ind w:left="0" w:firstLine="0"/>
      <w:jc w:val="left"/>
      <w:outlineLvl w:val="9"/>
    </w:pPr>
    <w:rPr>
      <w:rFonts w:ascii="Cambria" w:hAnsi="Cambria"/>
      <w:color w:val="365F91"/>
      <w:spacing w:val="0"/>
      <w:kern w:val="0"/>
      <w:sz w:val="28"/>
      <w:szCs w:val="28"/>
    </w:rPr>
  </w:style>
  <w:style w:type="character" w:customStyle="1" w:styleId="377">
    <w:name w:val="15"/>
    <w:qFormat/>
    <w:uiPriority w:val="0"/>
    <w:rPr>
      <w:rFonts w:hint="default" w:ascii="Times New Roman" w:hAnsi="Times New Roman" w:cs="Times New Roman"/>
      <w:color w:val="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file:///C:\Users\hp\AppData\Local\Temp\ksohtml12248\wps4.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41059</Words>
  <Characters>44417</Characters>
  <Lines>424</Lines>
  <Paragraphs>119</Paragraphs>
  <TotalTime>10</TotalTime>
  <ScaleCrop>false</ScaleCrop>
  <LinksUpToDate>false</LinksUpToDate>
  <CharactersWithSpaces>55413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2021-08-27T08:59:00Z</dcterms:created>
  <dc:creator>001</dc:creator>
  <cp:lastModifiedBy>达令希</cp:lastModifiedBy>
  <cp:lastPrinted>2021-11-04T02:30:05Z</cp:lastPrinted>
  <dcterms:modified xsi:type="dcterms:W3CDTF">2021-11-04T08:27:53Z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C7E6F23BDC4045D0B5C3D180E39CCB22</vt:lpwstr>
  </property>
</Properties>
</file>