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olor w:val="000000"/>
          <w:spacing w:val="-20"/>
          <w:sz w:val="96"/>
          <w:szCs w:val="96"/>
        </w:rPr>
      </w:pPr>
      <w:r>
        <w:rPr>
          <w:rFonts w:hint="eastAsia" w:ascii="华文中宋" w:hAnsi="华文中宋" w:eastAsia="华文中宋"/>
          <w:color w:val="000000"/>
          <w:spacing w:val="-20"/>
          <w:sz w:val="96"/>
          <w:szCs w:val="96"/>
        </w:rPr>
        <w:t>竞争性磋商文件</w:t>
      </w:r>
    </w:p>
    <w:p>
      <w:pPr>
        <w:pStyle w:val="2"/>
        <w:rPr>
          <w:rFonts w:hint="eastAsia" w:ascii="方正小标宋简体" w:hAnsi="方正小标宋简体" w:eastAsia="方正小标宋简体" w:cs="方正小标宋简体"/>
          <w:color w:val="000000"/>
          <w:spacing w:val="20"/>
          <w:sz w:val="44"/>
          <w:szCs w:val="44"/>
          <w:shd w:val="clear" w:color="auto" w:fill="FFFFFF"/>
        </w:rPr>
      </w:pPr>
    </w:p>
    <w:p>
      <w:pPr>
        <w:spacing w:line="360" w:lineRule="auto"/>
        <w:ind w:firstLine="640" w:firstLineChars="200"/>
        <w:rPr>
          <w:rFonts w:hint="eastAsia" w:ascii="华文中宋" w:hAnsi="华文中宋" w:eastAsia="华文中宋"/>
          <w:color w:val="000000"/>
          <w:spacing w:val="20"/>
          <w:sz w:val="28"/>
          <w:szCs w:val="28"/>
          <w:shd w:val="clear" w:color="auto" w:fill="FFFFFF"/>
          <w:lang w:eastAsia="zh-CN"/>
        </w:rPr>
      </w:pPr>
      <w:r>
        <w:rPr>
          <w:rFonts w:hint="eastAsia" w:ascii="华文中宋" w:hAnsi="华文中宋" w:eastAsia="华文中宋"/>
          <w:color w:val="000000"/>
          <w:spacing w:val="20"/>
          <w:sz w:val="28"/>
          <w:szCs w:val="28"/>
          <w:shd w:val="clear" w:color="auto" w:fill="FFFFFF"/>
        </w:rPr>
        <w:t>项目名称：</w:t>
      </w:r>
      <w:r>
        <w:rPr>
          <w:rFonts w:hint="eastAsia" w:ascii="华文中宋" w:hAnsi="华文中宋" w:eastAsia="华文中宋"/>
          <w:color w:val="000000"/>
          <w:spacing w:val="20"/>
          <w:sz w:val="28"/>
          <w:szCs w:val="28"/>
          <w:shd w:val="clear" w:color="auto" w:fill="FFFFFF"/>
          <w:lang w:eastAsia="zh-CN"/>
        </w:rPr>
        <w:t>温江中学实验学校数字校园设备采购项目</w:t>
      </w:r>
    </w:p>
    <w:p>
      <w:pPr>
        <w:spacing w:line="360" w:lineRule="auto"/>
        <w:ind w:firstLine="640" w:firstLineChars="200"/>
        <w:rPr>
          <w:rFonts w:hint="eastAsia" w:ascii="华文中宋" w:hAnsi="华文中宋" w:eastAsia="华文中宋"/>
          <w:color w:val="000000"/>
          <w:spacing w:val="20"/>
          <w:sz w:val="28"/>
          <w:szCs w:val="28"/>
          <w:highlight w:val="none"/>
          <w:shd w:val="clear" w:color="auto" w:fill="FFFFFF"/>
          <w:lang w:eastAsia="zh-CN"/>
        </w:rPr>
      </w:pPr>
      <w:r>
        <w:rPr>
          <w:rFonts w:hint="eastAsia" w:ascii="华文中宋" w:hAnsi="华文中宋" w:eastAsia="华文中宋"/>
          <w:color w:val="000000"/>
          <w:spacing w:val="20"/>
          <w:sz w:val="28"/>
          <w:szCs w:val="28"/>
          <w:highlight w:val="none"/>
          <w:shd w:val="clear" w:color="auto" w:fill="FFFFFF"/>
        </w:rPr>
        <w:t>项目编号：</w:t>
      </w:r>
      <w:r>
        <w:rPr>
          <w:rFonts w:hint="eastAsia" w:ascii="华文中宋" w:hAnsi="华文中宋" w:eastAsia="华文中宋"/>
          <w:color w:val="000000"/>
          <w:spacing w:val="20"/>
          <w:sz w:val="28"/>
          <w:szCs w:val="28"/>
          <w:highlight w:val="none"/>
          <w:shd w:val="clear" w:color="auto" w:fill="FFFFFF"/>
          <w:lang w:eastAsia="zh-CN"/>
        </w:rPr>
        <w:t>温江政采（2021）A0055号</w:t>
      </w:r>
    </w:p>
    <w:p>
      <w:pPr>
        <w:spacing w:line="360" w:lineRule="auto"/>
        <w:ind w:left="2322" w:leftChars="798" w:hanging="646" w:hangingChars="231"/>
        <w:rPr>
          <w:rFonts w:hint="eastAsia" w:ascii="华文中宋" w:hAnsi="华文中宋" w:eastAsia="华文中宋"/>
          <w:color w:val="000000"/>
          <w:sz w:val="28"/>
          <w:szCs w:val="28"/>
          <w:highlight w:val="yellow"/>
          <w:shd w:val="clear" w:color="auto" w:fill="FFFFFF"/>
        </w:rPr>
      </w:pPr>
    </w:p>
    <w:p>
      <w:pPr>
        <w:spacing w:line="360" w:lineRule="auto"/>
        <w:ind w:firstLine="3220" w:firstLineChars="1150"/>
        <w:rPr>
          <w:rFonts w:hint="eastAsia" w:ascii="华文中宋" w:hAnsi="华文中宋" w:eastAsia="华文中宋"/>
          <w:color w:val="000000"/>
          <w:sz w:val="28"/>
          <w:szCs w:val="28"/>
          <w:shd w:val="clear" w:color="auto" w:fill="FFFFFF"/>
        </w:rPr>
      </w:pPr>
    </w:p>
    <w:p>
      <w:pPr>
        <w:spacing w:line="360" w:lineRule="auto"/>
        <w:ind w:firstLine="3220" w:firstLineChars="1150"/>
        <w:rPr>
          <w:rFonts w:hint="eastAsia" w:ascii="华文中宋" w:hAnsi="华文中宋" w:eastAsia="华文中宋"/>
          <w:color w:val="000000"/>
          <w:sz w:val="28"/>
          <w:szCs w:val="28"/>
          <w:shd w:val="clear" w:color="auto" w:fill="FFFFFF"/>
        </w:rPr>
      </w:pPr>
    </w:p>
    <w:p>
      <w:pPr>
        <w:spacing w:line="360" w:lineRule="auto"/>
        <w:ind w:firstLine="3220" w:firstLineChars="1150"/>
        <w:rPr>
          <w:rFonts w:hint="eastAsia" w:ascii="华文中宋" w:hAnsi="华文中宋" w:eastAsia="华文中宋"/>
          <w:color w:val="000000"/>
          <w:sz w:val="28"/>
          <w:szCs w:val="28"/>
          <w:shd w:val="clear" w:color="auto" w:fill="FFFFFF"/>
        </w:rPr>
      </w:pPr>
    </w:p>
    <w:p>
      <w:pPr>
        <w:pStyle w:val="2"/>
        <w:rPr>
          <w:rFonts w:hint="eastAsia" w:ascii="华文中宋" w:hAnsi="华文中宋" w:eastAsia="华文中宋"/>
          <w:color w:val="000000"/>
          <w:sz w:val="28"/>
          <w:szCs w:val="28"/>
          <w:shd w:val="clear" w:color="auto" w:fill="FFFFFF"/>
        </w:rPr>
      </w:pPr>
    </w:p>
    <w:p>
      <w:pPr>
        <w:rPr>
          <w:rFonts w:hint="eastAsia" w:ascii="华文中宋" w:hAnsi="华文中宋" w:eastAsia="华文中宋"/>
          <w:color w:val="000000"/>
          <w:sz w:val="28"/>
          <w:szCs w:val="28"/>
          <w:shd w:val="clear" w:color="auto" w:fill="FFFFFF"/>
        </w:rPr>
      </w:pPr>
    </w:p>
    <w:p>
      <w:pPr>
        <w:pStyle w:val="2"/>
        <w:rPr>
          <w:rFonts w:hint="eastAsia"/>
          <w:color w:val="000000"/>
        </w:rPr>
      </w:pPr>
    </w:p>
    <w:p>
      <w:pPr>
        <w:pStyle w:val="2"/>
        <w:rPr>
          <w:rFonts w:hint="eastAsia"/>
          <w:color w:val="000000"/>
        </w:rPr>
      </w:pPr>
    </w:p>
    <w:p>
      <w:pPr>
        <w:spacing w:line="360" w:lineRule="auto"/>
        <w:jc w:val="center"/>
        <w:rPr>
          <w:rFonts w:hint="eastAsia" w:ascii="华文中宋" w:hAnsi="华文中宋" w:eastAsia="华文中宋"/>
          <w:color w:val="000000"/>
          <w:sz w:val="28"/>
          <w:szCs w:val="28"/>
          <w:shd w:val="clear" w:color="auto" w:fill="FFFFFF"/>
        </w:rPr>
      </w:pPr>
      <w:r>
        <w:rPr>
          <w:rFonts w:hint="eastAsia" w:ascii="华文中宋" w:hAnsi="华文中宋" w:eastAsia="华文中宋"/>
          <w:color w:val="000000"/>
          <w:sz w:val="28"/>
          <w:szCs w:val="28"/>
          <w:shd w:val="clear" w:color="auto" w:fill="FFFFFF"/>
          <w:lang w:eastAsia="zh-CN"/>
        </w:rPr>
        <w:t>温江中学实验学校</w:t>
      </w:r>
      <w:r>
        <w:rPr>
          <w:rFonts w:hint="eastAsia" w:ascii="华文中宋" w:hAnsi="华文中宋" w:eastAsia="华文中宋"/>
          <w:color w:val="000000"/>
          <w:sz w:val="28"/>
          <w:szCs w:val="28"/>
          <w:shd w:val="clear" w:color="auto" w:fill="FFFFFF"/>
        </w:rPr>
        <w:t>、</w:t>
      </w:r>
    </w:p>
    <w:p>
      <w:pPr>
        <w:spacing w:line="360" w:lineRule="auto"/>
        <w:jc w:val="center"/>
        <w:rPr>
          <w:rFonts w:hint="eastAsia" w:ascii="华文中宋" w:hAnsi="华文中宋" w:eastAsia="华文中宋"/>
          <w:color w:val="000000"/>
          <w:sz w:val="28"/>
          <w:szCs w:val="28"/>
          <w:shd w:val="clear" w:color="auto" w:fill="FFFFFF"/>
        </w:rPr>
      </w:pPr>
      <w:r>
        <w:rPr>
          <w:rFonts w:hint="eastAsia" w:ascii="华文中宋" w:hAnsi="华文中宋" w:eastAsia="华文中宋"/>
          <w:color w:val="000000"/>
          <w:sz w:val="28"/>
          <w:szCs w:val="28"/>
          <w:shd w:val="clear" w:color="auto" w:fill="FFFFFF"/>
        </w:rPr>
        <w:t>成都市温江区公共资源交易服务中心</w:t>
      </w:r>
    </w:p>
    <w:p>
      <w:pPr>
        <w:spacing w:line="360" w:lineRule="auto"/>
        <w:jc w:val="center"/>
        <w:rPr>
          <w:rFonts w:hint="eastAsia" w:ascii="华文中宋" w:hAnsi="华文中宋" w:eastAsia="华文中宋"/>
          <w:color w:val="000000"/>
          <w:sz w:val="28"/>
          <w:szCs w:val="28"/>
          <w:shd w:val="clear" w:color="auto" w:fill="FFFFFF"/>
        </w:rPr>
      </w:pPr>
      <w:r>
        <w:rPr>
          <w:rFonts w:hint="eastAsia" w:ascii="华文中宋" w:hAnsi="华文中宋" w:eastAsia="华文中宋"/>
          <w:color w:val="000000"/>
          <w:sz w:val="28"/>
          <w:szCs w:val="28"/>
          <w:shd w:val="clear" w:color="auto" w:fill="FFFFFF"/>
        </w:rPr>
        <w:t>共同编制</w:t>
      </w:r>
    </w:p>
    <w:p>
      <w:pPr>
        <w:spacing w:line="360" w:lineRule="auto"/>
        <w:jc w:val="center"/>
        <w:rPr>
          <w:rFonts w:hint="eastAsia" w:ascii="华文中宋" w:hAnsi="华文中宋" w:eastAsia="华文中宋"/>
          <w:color w:val="000000"/>
          <w:sz w:val="28"/>
          <w:szCs w:val="28"/>
          <w:shd w:val="clear" w:color="auto" w:fill="FFFFFF"/>
        </w:rPr>
      </w:pPr>
    </w:p>
    <w:p>
      <w:pPr>
        <w:spacing w:line="360" w:lineRule="auto"/>
        <w:jc w:val="center"/>
        <w:rPr>
          <w:rFonts w:ascii="华文中宋" w:hAnsi="华文中宋" w:eastAsia="华文中宋"/>
          <w:bCs/>
          <w:color w:val="000000"/>
          <w:sz w:val="28"/>
          <w:szCs w:val="28"/>
          <w:shd w:val="clear" w:color="auto" w:fill="FFFFFF"/>
        </w:rPr>
      </w:pPr>
      <w:r>
        <w:rPr>
          <w:rFonts w:hint="eastAsia" w:ascii="华文中宋" w:hAnsi="华文中宋" w:eastAsia="华文中宋"/>
          <w:color w:val="000000"/>
          <w:sz w:val="28"/>
          <w:szCs w:val="28"/>
          <w:shd w:val="clear" w:color="auto" w:fill="FFFFFF"/>
        </w:rPr>
        <w:t>二○</w:t>
      </w:r>
      <w:bookmarkStart w:id="0" w:name="EB4af8945a302644a599c05e972d8ab25c"/>
      <w:r>
        <w:rPr>
          <w:rFonts w:hint="eastAsia" w:ascii="华文中宋" w:hAnsi="华文中宋" w:eastAsia="华文中宋"/>
          <w:bCs/>
          <w:color w:val="000000"/>
          <w:sz w:val="28"/>
          <w:szCs w:val="28"/>
          <w:shd w:val="clear" w:color="auto" w:fill="FFFFFF"/>
        </w:rPr>
        <w:t>二</w:t>
      </w:r>
      <w:bookmarkEnd w:id="0"/>
      <w:r>
        <w:rPr>
          <w:rFonts w:hint="eastAsia" w:ascii="华文中宋" w:hAnsi="华文中宋" w:eastAsia="华文中宋"/>
          <w:bCs/>
          <w:color w:val="000000"/>
          <w:sz w:val="28"/>
          <w:szCs w:val="28"/>
          <w:shd w:val="clear" w:color="auto" w:fill="FFFFFF"/>
        </w:rPr>
        <w:t>一年</w:t>
      </w:r>
      <w:r>
        <w:rPr>
          <w:rFonts w:hint="eastAsia" w:ascii="华文中宋" w:hAnsi="华文中宋" w:eastAsia="华文中宋"/>
          <w:bCs/>
          <w:color w:val="000000"/>
          <w:sz w:val="28"/>
          <w:szCs w:val="28"/>
          <w:shd w:val="clear" w:color="auto" w:fill="FFFFFF"/>
          <w:lang w:val="en-US" w:eastAsia="zh-CN"/>
        </w:rPr>
        <w:t>十</w:t>
      </w:r>
      <w:r>
        <w:rPr>
          <w:rFonts w:hint="eastAsia" w:ascii="华文中宋" w:hAnsi="华文中宋" w:eastAsia="华文中宋"/>
          <w:bCs/>
          <w:color w:val="000000"/>
          <w:sz w:val="28"/>
          <w:szCs w:val="28"/>
          <w:shd w:val="clear" w:color="auto" w:fill="FFFFFF"/>
        </w:rPr>
        <w:t>月</w:t>
      </w:r>
    </w:p>
    <w:p>
      <w:pPr>
        <w:tabs>
          <w:tab w:val="center" w:pos="4153"/>
          <w:tab w:val="right" w:pos="8306"/>
        </w:tabs>
        <w:spacing w:line="360" w:lineRule="auto"/>
        <w:jc w:val="center"/>
        <w:rPr>
          <w:rFonts w:hint="eastAsia" w:ascii="华文中宋" w:hAnsi="华文中宋" w:eastAsia="华文中宋"/>
          <w:bCs/>
          <w:color w:val="000000"/>
          <w:sz w:val="36"/>
          <w:szCs w:val="36"/>
          <w:shd w:val="clear" w:color="auto" w:fill="FFFFFF"/>
        </w:rPr>
      </w:pPr>
    </w:p>
    <w:p>
      <w:pPr>
        <w:rPr>
          <w:rFonts w:hint="eastAsia"/>
          <w:color w:val="000000"/>
          <w:shd w:val="clear" w:color="auto" w:fill="FFFFFF"/>
        </w:rPr>
      </w:pPr>
      <w:bookmarkStart w:id="1" w:name="EB42ecda7c642d461580a55114619b063b"/>
      <w:r>
        <w:rPr>
          <w:color w:val="000000"/>
          <w:shd w:val="clear" w:color="auto" w:fill="FFFFFF"/>
        </w:rPr>
        <w:t xml:space="preserve"> </w:t>
      </w:r>
      <w:bookmarkEnd w:id="1"/>
    </w:p>
    <w:p>
      <w:pPr>
        <w:jc w:val="center"/>
        <w:rPr>
          <w:rFonts w:hint="eastAsia"/>
          <w:color w:val="000000"/>
          <w:shd w:val="clear" w:color="auto" w:fill="FFFFFF"/>
        </w:rPr>
      </w:pPr>
      <w:r>
        <w:rPr>
          <w:color w:val="000000"/>
          <w:shd w:val="clear" w:color="auto" w:fill="FFFFFF"/>
        </w:rPr>
        <w:br w:type="page"/>
      </w:r>
    </w:p>
    <w:p>
      <w:pPr>
        <w:jc w:val="center"/>
        <w:rPr>
          <w:color w:val="000000"/>
          <w:shd w:val="clear" w:color="auto" w:fill="FFFFFF"/>
          <w:lang w:val="zh-CN"/>
        </w:rPr>
      </w:pPr>
      <w:r>
        <w:rPr>
          <w:color w:val="000000"/>
          <w:shd w:val="clear" w:color="auto" w:fill="FFFFFF"/>
          <w:lang w:val="zh-CN"/>
        </w:rPr>
        <w:t>目</w:t>
      </w:r>
      <w:r>
        <w:rPr>
          <w:rFonts w:hint="eastAsia"/>
          <w:color w:val="000000"/>
          <w:shd w:val="clear" w:color="auto" w:fill="FFFFFF"/>
          <w:lang w:val="zh-CN"/>
        </w:rPr>
        <w:t xml:space="preserve">  </w:t>
      </w:r>
      <w:r>
        <w:rPr>
          <w:color w:val="000000"/>
          <w:shd w:val="clear" w:color="auto" w:fill="FFFFFF"/>
          <w:lang w:val="zh-CN"/>
        </w:rPr>
        <w:t>录</w:t>
      </w:r>
    </w:p>
    <w:p>
      <w:pPr>
        <w:pStyle w:val="31"/>
        <w:tabs>
          <w:tab w:val="right" w:leader="dot" w:pos="9214"/>
          <w:tab w:val="clear" w:pos="840"/>
          <w:tab w:val="clear" w:pos="9204"/>
        </w:tabs>
      </w:pPr>
      <w:r>
        <w:rPr>
          <w:color w:val="000000"/>
          <w:shd w:val="clear" w:color="auto" w:fill="FFFFFF"/>
        </w:rPr>
        <w:fldChar w:fldCharType="begin"/>
      </w:r>
      <w:r>
        <w:rPr>
          <w:color w:val="000000"/>
          <w:shd w:val="clear" w:color="auto" w:fill="FFFFFF"/>
        </w:rPr>
        <w:instrText xml:space="preserve"> TOC \o "1-3" \h \z \u </w:instrText>
      </w:r>
      <w:r>
        <w:rPr>
          <w:color w:val="000000"/>
          <w:shd w:val="clear" w:color="auto" w:fill="FFFFFF"/>
        </w:rPr>
        <w:fldChar w:fldCharType="separate"/>
      </w:r>
      <w:r>
        <w:rPr>
          <w:color w:val="000000"/>
          <w:shd w:val="clear" w:color="auto" w:fill="FFFFFF"/>
        </w:rPr>
        <w:fldChar w:fldCharType="begin"/>
      </w:r>
      <w:r>
        <w:rPr>
          <w:shd w:val="clear" w:color="auto" w:fill="FFFFFF"/>
        </w:rPr>
        <w:instrText xml:space="preserve"> HYPERLINK \l _Toc22566 </w:instrText>
      </w:r>
      <w:r>
        <w:rPr>
          <w:shd w:val="clear" w:color="auto" w:fill="FFFFFF"/>
        </w:rPr>
        <w:fldChar w:fldCharType="separate"/>
      </w:r>
      <w:r>
        <w:rPr>
          <w:rFonts w:hint="eastAsia"/>
          <w:shd w:val="clear" w:color="auto" w:fill="FFFFFF"/>
        </w:rPr>
        <w:t>第1章 竞争性磋商邀请</w:t>
      </w:r>
      <w:r>
        <w:tab/>
      </w:r>
      <w:r>
        <w:fldChar w:fldCharType="begin"/>
      </w:r>
      <w:r>
        <w:instrText xml:space="preserve"> PAGEREF _Toc22566 \h </w:instrText>
      </w:r>
      <w:r>
        <w:fldChar w:fldCharType="separate"/>
      </w:r>
      <w:r>
        <w:t>4</w:t>
      </w:r>
      <w:r>
        <w:fldChar w:fldCharType="end"/>
      </w:r>
      <w:r>
        <w:rPr>
          <w:color w:val="000000"/>
          <w:shd w:val="clear" w:color="auto" w:fill="FFFFFF"/>
        </w:rPr>
        <w:fldChar w:fldCharType="end"/>
      </w:r>
    </w:p>
    <w:p>
      <w:pPr>
        <w:pStyle w:val="31"/>
        <w:tabs>
          <w:tab w:val="right" w:leader="dot" w:pos="9214"/>
          <w:tab w:val="clear" w:pos="840"/>
          <w:tab w:val="clear" w:pos="9204"/>
        </w:tabs>
      </w:pPr>
      <w:r>
        <w:rPr>
          <w:color w:val="000000"/>
          <w:szCs w:val="20"/>
          <w:shd w:val="clear" w:color="auto" w:fill="FFFFFF"/>
        </w:rPr>
        <w:fldChar w:fldCharType="begin"/>
      </w:r>
      <w:r>
        <w:rPr>
          <w:szCs w:val="20"/>
          <w:shd w:val="clear" w:color="auto" w:fill="FFFFFF"/>
        </w:rPr>
        <w:instrText xml:space="preserve"> HYPERLINK \l _Toc10724 </w:instrText>
      </w:r>
      <w:r>
        <w:rPr>
          <w:szCs w:val="20"/>
          <w:shd w:val="clear" w:color="auto" w:fill="FFFFFF"/>
        </w:rPr>
        <w:fldChar w:fldCharType="separate"/>
      </w:r>
      <w:r>
        <w:rPr>
          <w:rFonts w:hint="eastAsia"/>
          <w:shd w:val="clear" w:color="auto" w:fill="FFFFFF"/>
        </w:rPr>
        <w:t>第2章 供应商须知</w:t>
      </w:r>
      <w:r>
        <w:tab/>
      </w:r>
      <w:r>
        <w:fldChar w:fldCharType="begin"/>
      </w:r>
      <w:r>
        <w:instrText xml:space="preserve"> PAGEREF _Toc10724 \h </w:instrText>
      </w:r>
      <w:r>
        <w:fldChar w:fldCharType="separate"/>
      </w:r>
      <w:r>
        <w:t>9</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_Toc27137 </w:instrText>
      </w:r>
      <w:r>
        <w:rPr>
          <w:szCs w:val="20"/>
          <w:shd w:val="clear" w:color="auto" w:fill="FFFFFF"/>
        </w:rPr>
        <w:fldChar w:fldCharType="separate"/>
      </w:r>
      <w:r>
        <w:rPr>
          <w:rFonts w:hint="eastAsia"/>
          <w:shd w:val="clear" w:color="auto" w:fill="FFFFFF"/>
        </w:rPr>
        <w:t>2.1供应商须知前附表</w:t>
      </w:r>
      <w:r>
        <w:tab/>
      </w:r>
      <w:r>
        <w:fldChar w:fldCharType="begin"/>
      </w:r>
      <w:r>
        <w:instrText xml:space="preserve"> PAGEREF _Toc27137 \h </w:instrText>
      </w:r>
      <w:r>
        <w:fldChar w:fldCharType="separate"/>
      </w:r>
      <w:r>
        <w:t>9</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_Toc18941 </w:instrText>
      </w:r>
      <w:r>
        <w:rPr>
          <w:szCs w:val="20"/>
          <w:shd w:val="clear" w:color="auto" w:fill="FFFFFF"/>
        </w:rPr>
        <w:fldChar w:fldCharType="separate"/>
      </w:r>
      <w:r>
        <w:rPr>
          <w:rFonts w:hint="eastAsia"/>
          <w:shd w:val="clear" w:color="auto" w:fill="FFFFFF"/>
        </w:rPr>
        <w:t>2.2总则</w:t>
      </w:r>
      <w:r>
        <w:tab/>
      </w:r>
      <w:r>
        <w:fldChar w:fldCharType="begin"/>
      </w:r>
      <w:r>
        <w:instrText xml:space="preserve"> PAGEREF _Toc18941 \h </w:instrText>
      </w:r>
      <w:r>
        <w:fldChar w:fldCharType="separate"/>
      </w:r>
      <w:r>
        <w:t>12</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_Toc13115 </w:instrText>
      </w:r>
      <w:r>
        <w:rPr>
          <w:szCs w:val="20"/>
          <w:shd w:val="clear" w:color="auto" w:fill="FFFFFF"/>
        </w:rPr>
        <w:fldChar w:fldCharType="separate"/>
      </w:r>
      <w:r>
        <w:rPr>
          <w:rFonts w:hint="eastAsia"/>
          <w:shd w:val="clear" w:color="auto" w:fill="FFFFFF"/>
        </w:rPr>
        <w:t>2.2.1适用范围</w:t>
      </w:r>
      <w:r>
        <w:tab/>
      </w:r>
      <w:r>
        <w:fldChar w:fldCharType="begin"/>
      </w:r>
      <w:r>
        <w:instrText xml:space="preserve"> PAGEREF _Toc13115 \h </w:instrText>
      </w:r>
      <w:r>
        <w:fldChar w:fldCharType="separate"/>
      </w:r>
      <w:r>
        <w:t>12</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_Toc13445 </w:instrText>
      </w:r>
      <w:r>
        <w:rPr>
          <w:szCs w:val="20"/>
          <w:shd w:val="clear" w:color="auto" w:fill="FFFFFF"/>
        </w:rPr>
        <w:fldChar w:fldCharType="separate"/>
      </w:r>
      <w:r>
        <w:rPr>
          <w:rFonts w:hint="eastAsia"/>
          <w:shd w:val="clear" w:color="auto" w:fill="FFFFFF"/>
        </w:rPr>
        <w:t>2.2.2有关定义</w:t>
      </w:r>
      <w:r>
        <w:tab/>
      </w:r>
      <w:r>
        <w:fldChar w:fldCharType="begin"/>
      </w:r>
      <w:r>
        <w:instrText xml:space="preserve"> PAGEREF _Toc13445 \h </w:instrText>
      </w:r>
      <w:r>
        <w:fldChar w:fldCharType="separate"/>
      </w:r>
      <w:r>
        <w:t>12</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_Toc8101 </w:instrText>
      </w:r>
      <w:r>
        <w:rPr>
          <w:szCs w:val="20"/>
          <w:shd w:val="clear" w:color="auto" w:fill="FFFFFF"/>
        </w:rPr>
        <w:fldChar w:fldCharType="separate"/>
      </w:r>
      <w:r>
        <w:rPr>
          <w:rFonts w:hint="eastAsia"/>
          <w:shd w:val="clear" w:color="auto" w:fill="FFFFFF"/>
        </w:rPr>
        <w:t>2.2.3合格的供应商</w:t>
      </w:r>
      <w:r>
        <w:tab/>
      </w:r>
      <w:r>
        <w:fldChar w:fldCharType="begin"/>
      </w:r>
      <w:r>
        <w:instrText xml:space="preserve"> PAGEREF _Toc8101 \h </w:instrText>
      </w:r>
      <w:r>
        <w:fldChar w:fldCharType="separate"/>
      </w:r>
      <w:r>
        <w:t>13</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_Toc27229 </w:instrText>
      </w:r>
      <w:r>
        <w:rPr>
          <w:szCs w:val="20"/>
          <w:shd w:val="clear" w:color="auto" w:fill="FFFFFF"/>
        </w:rPr>
        <w:fldChar w:fldCharType="separate"/>
      </w:r>
      <w:r>
        <w:rPr>
          <w:rFonts w:hint="eastAsia"/>
          <w:shd w:val="clear" w:color="auto" w:fill="FFFFFF"/>
        </w:rPr>
        <w:t>2.2.4参加竞争性磋商的费用</w:t>
      </w:r>
      <w:r>
        <w:tab/>
      </w:r>
      <w:r>
        <w:fldChar w:fldCharType="begin"/>
      </w:r>
      <w:r>
        <w:instrText xml:space="preserve"> PAGEREF _Toc27229 \h </w:instrText>
      </w:r>
      <w:r>
        <w:fldChar w:fldCharType="separate"/>
      </w:r>
      <w:r>
        <w:t>13</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_Toc2720 </w:instrText>
      </w:r>
      <w:r>
        <w:rPr>
          <w:szCs w:val="20"/>
          <w:shd w:val="clear" w:color="auto" w:fill="FFFFFF"/>
        </w:rPr>
        <w:fldChar w:fldCharType="separate"/>
      </w:r>
      <w:r>
        <w:rPr>
          <w:rFonts w:hint="eastAsia"/>
          <w:shd w:val="clear" w:color="auto" w:fill="FFFFFF"/>
        </w:rPr>
        <w:t>2.2.5充分、公平竞争保障措施</w:t>
      </w:r>
      <w:r>
        <w:tab/>
      </w:r>
      <w:r>
        <w:fldChar w:fldCharType="begin"/>
      </w:r>
      <w:r>
        <w:instrText xml:space="preserve"> PAGEREF _Toc2720 \h </w:instrText>
      </w:r>
      <w:r>
        <w:fldChar w:fldCharType="separate"/>
      </w:r>
      <w:r>
        <w:t>13</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_Toc9858 </w:instrText>
      </w:r>
      <w:r>
        <w:rPr>
          <w:szCs w:val="20"/>
          <w:shd w:val="clear" w:color="auto" w:fill="FFFFFF"/>
        </w:rPr>
        <w:fldChar w:fldCharType="separate"/>
      </w:r>
      <w:r>
        <w:rPr>
          <w:rFonts w:hint="eastAsia"/>
          <w:shd w:val="clear" w:color="auto" w:fill="FFFFFF"/>
        </w:rPr>
        <w:t>2.3磋商文件</w:t>
      </w:r>
      <w:r>
        <w:tab/>
      </w:r>
      <w:r>
        <w:fldChar w:fldCharType="begin"/>
      </w:r>
      <w:r>
        <w:instrText xml:space="preserve"> PAGEREF _Toc9858 \h </w:instrText>
      </w:r>
      <w:r>
        <w:fldChar w:fldCharType="separate"/>
      </w:r>
      <w:r>
        <w:t>14</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_Toc1149 </w:instrText>
      </w:r>
      <w:r>
        <w:rPr>
          <w:szCs w:val="20"/>
          <w:shd w:val="clear" w:color="auto" w:fill="FFFFFF"/>
        </w:rPr>
        <w:fldChar w:fldCharType="separate"/>
      </w:r>
      <w:r>
        <w:rPr>
          <w:rFonts w:hint="eastAsia"/>
          <w:shd w:val="clear" w:color="auto" w:fill="FFFFFF"/>
        </w:rPr>
        <w:t>2.3.1磋商文件的构成</w:t>
      </w:r>
      <w:r>
        <w:tab/>
      </w:r>
      <w:r>
        <w:fldChar w:fldCharType="begin"/>
      </w:r>
      <w:r>
        <w:instrText xml:space="preserve"> PAGEREF _Toc1149 \h </w:instrText>
      </w:r>
      <w:r>
        <w:fldChar w:fldCharType="separate"/>
      </w:r>
      <w:r>
        <w:t>14</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_Toc3926 </w:instrText>
      </w:r>
      <w:r>
        <w:rPr>
          <w:szCs w:val="20"/>
          <w:shd w:val="clear" w:color="auto" w:fill="FFFFFF"/>
        </w:rPr>
        <w:fldChar w:fldCharType="separate"/>
      </w:r>
      <w:r>
        <w:rPr>
          <w:rFonts w:hint="eastAsia"/>
          <w:shd w:val="clear" w:color="auto" w:fill="FFFFFF"/>
        </w:rPr>
        <w:t>2.3.2磋商文件的澄清和修改</w:t>
      </w:r>
      <w:r>
        <w:tab/>
      </w:r>
      <w:r>
        <w:fldChar w:fldCharType="begin"/>
      </w:r>
      <w:r>
        <w:instrText xml:space="preserve"> PAGEREF _Toc3926 \h </w:instrText>
      </w:r>
      <w:r>
        <w:fldChar w:fldCharType="separate"/>
      </w:r>
      <w:r>
        <w:t>15</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_Toc4962 </w:instrText>
      </w:r>
      <w:r>
        <w:rPr>
          <w:szCs w:val="20"/>
          <w:shd w:val="clear" w:color="auto" w:fill="FFFFFF"/>
        </w:rPr>
        <w:fldChar w:fldCharType="separate"/>
      </w:r>
      <w:r>
        <w:rPr>
          <w:rFonts w:hint="eastAsia"/>
          <w:shd w:val="clear" w:color="auto" w:fill="FFFFFF"/>
        </w:rPr>
        <w:t>2.4.1响应文件的语言</w:t>
      </w:r>
      <w:r>
        <w:tab/>
      </w:r>
      <w:r>
        <w:fldChar w:fldCharType="begin"/>
      </w:r>
      <w:r>
        <w:instrText xml:space="preserve"> PAGEREF _Toc4962 \h </w:instrText>
      </w:r>
      <w:r>
        <w:fldChar w:fldCharType="separate"/>
      </w:r>
      <w:r>
        <w:t>15</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_Toc23926 </w:instrText>
      </w:r>
      <w:r>
        <w:rPr>
          <w:szCs w:val="20"/>
          <w:shd w:val="clear" w:color="auto" w:fill="FFFFFF"/>
        </w:rPr>
        <w:fldChar w:fldCharType="separate"/>
      </w:r>
      <w:r>
        <w:rPr>
          <w:rFonts w:hint="eastAsia"/>
          <w:bCs/>
          <w:shd w:val="clear" w:color="auto" w:fill="FFFFFF"/>
        </w:rPr>
        <w:t>2.4.2计量单位</w:t>
      </w:r>
      <w:r>
        <w:tab/>
      </w:r>
      <w:r>
        <w:fldChar w:fldCharType="begin"/>
      </w:r>
      <w:r>
        <w:instrText xml:space="preserve"> PAGEREF _Toc23926 \h </w:instrText>
      </w:r>
      <w:r>
        <w:fldChar w:fldCharType="separate"/>
      </w:r>
      <w:r>
        <w:t>16</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_Toc29986 </w:instrText>
      </w:r>
      <w:r>
        <w:rPr>
          <w:szCs w:val="20"/>
          <w:shd w:val="clear" w:color="auto" w:fill="FFFFFF"/>
        </w:rPr>
        <w:fldChar w:fldCharType="separate"/>
      </w:r>
      <w:r>
        <w:rPr>
          <w:rFonts w:hint="eastAsia" w:ascii="宋体" w:hAnsi="宋体" w:eastAsia="宋体" w:cs="Times New Roman"/>
          <w:bCs/>
          <w:shd w:val="clear" w:color="auto" w:fill="FFFFFF"/>
        </w:rPr>
        <w:t>2.4.</w:t>
      </w:r>
      <w:r>
        <w:rPr>
          <w:rFonts w:hint="eastAsia" w:ascii="宋体" w:hAnsi="宋体" w:eastAsia="宋体" w:cs="Times New Roman"/>
          <w:bCs/>
          <w:shd w:val="clear" w:color="auto" w:fill="FFFFFF"/>
          <w:lang w:val="en-US" w:eastAsia="zh-CN"/>
        </w:rPr>
        <w:t>3</w:t>
      </w:r>
      <w:r>
        <w:rPr>
          <w:rFonts w:hint="eastAsia" w:ascii="宋体" w:hAnsi="宋体" w:eastAsia="宋体" w:cs="Times New Roman"/>
          <w:bCs/>
          <w:shd w:val="clear" w:color="auto" w:fill="FFFFFF"/>
        </w:rPr>
        <w:t>联合体</w:t>
      </w:r>
      <w:r>
        <w:tab/>
      </w:r>
      <w:r>
        <w:fldChar w:fldCharType="begin"/>
      </w:r>
      <w:r>
        <w:instrText xml:space="preserve"> PAGEREF _Toc29986 \h </w:instrText>
      </w:r>
      <w:r>
        <w:fldChar w:fldCharType="separate"/>
      </w:r>
      <w:r>
        <w:t>16</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_Toc13239 </w:instrText>
      </w:r>
      <w:r>
        <w:rPr>
          <w:szCs w:val="20"/>
          <w:shd w:val="clear" w:color="auto" w:fill="FFFFFF"/>
        </w:rPr>
        <w:fldChar w:fldCharType="separate"/>
      </w:r>
      <w:r>
        <w:rPr>
          <w:rFonts w:hint="eastAsia" w:ascii="宋体" w:hAnsi="宋体" w:eastAsia="宋体" w:cs="Times New Roman"/>
          <w:bCs/>
          <w:shd w:val="clear" w:color="auto" w:fill="FFFFFF"/>
        </w:rPr>
        <w:t>2.4.</w:t>
      </w:r>
      <w:r>
        <w:rPr>
          <w:rFonts w:hint="eastAsia" w:ascii="宋体" w:hAnsi="宋体" w:eastAsia="宋体" w:cs="Times New Roman"/>
          <w:bCs/>
          <w:shd w:val="clear" w:color="auto" w:fill="FFFFFF"/>
          <w:lang w:val="en-US" w:eastAsia="zh-CN"/>
        </w:rPr>
        <w:t>4</w:t>
      </w:r>
      <w:r>
        <w:rPr>
          <w:rFonts w:hint="eastAsia" w:ascii="宋体" w:hAnsi="宋体" w:eastAsia="宋体" w:cs="Times New Roman"/>
          <w:bCs/>
          <w:shd w:val="clear" w:color="auto" w:fill="FFFFFF"/>
        </w:rPr>
        <w:t>知识产权</w:t>
      </w:r>
      <w:r>
        <w:tab/>
      </w:r>
      <w:r>
        <w:fldChar w:fldCharType="begin"/>
      </w:r>
      <w:r>
        <w:instrText xml:space="preserve"> PAGEREF _Toc13239 \h </w:instrText>
      </w:r>
      <w:r>
        <w:fldChar w:fldCharType="separate"/>
      </w:r>
      <w:r>
        <w:t>16</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_Toc24282 </w:instrText>
      </w:r>
      <w:r>
        <w:rPr>
          <w:szCs w:val="20"/>
          <w:shd w:val="clear" w:color="auto" w:fill="FFFFFF"/>
        </w:rPr>
        <w:fldChar w:fldCharType="separate"/>
      </w:r>
      <w:r>
        <w:rPr>
          <w:rFonts w:hint="eastAsia" w:ascii="宋体" w:hAnsi="宋体" w:eastAsia="宋体" w:cs="Times New Roman"/>
          <w:bCs/>
          <w:shd w:val="clear" w:color="auto" w:fill="FFFFFF"/>
        </w:rPr>
        <w:t>2.4.</w:t>
      </w:r>
      <w:r>
        <w:rPr>
          <w:rFonts w:hint="eastAsia" w:ascii="宋体" w:hAnsi="宋体" w:eastAsia="宋体" w:cs="Times New Roman"/>
          <w:bCs/>
          <w:shd w:val="clear" w:color="auto" w:fill="FFFFFF"/>
          <w:lang w:val="en-US" w:eastAsia="zh-CN"/>
        </w:rPr>
        <w:t>5</w:t>
      </w:r>
      <w:r>
        <w:rPr>
          <w:rFonts w:hint="eastAsia" w:ascii="宋体" w:hAnsi="宋体" w:eastAsia="宋体" w:cs="Times New Roman"/>
          <w:bCs/>
          <w:shd w:val="clear" w:color="auto" w:fill="FFFFFF"/>
        </w:rPr>
        <w:t>响应文件的组成</w:t>
      </w:r>
      <w:r>
        <w:tab/>
      </w:r>
      <w:r>
        <w:fldChar w:fldCharType="begin"/>
      </w:r>
      <w:r>
        <w:instrText xml:space="preserve"> PAGEREF _Toc24282 \h </w:instrText>
      </w:r>
      <w:r>
        <w:fldChar w:fldCharType="separate"/>
      </w:r>
      <w:r>
        <w:t>16</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_Toc445 </w:instrText>
      </w:r>
      <w:r>
        <w:rPr>
          <w:szCs w:val="20"/>
          <w:shd w:val="clear" w:color="auto" w:fill="FFFFFF"/>
        </w:rPr>
        <w:fldChar w:fldCharType="separate"/>
      </w:r>
      <w:r>
        <w:rPr>
          <w:rFonts w:hint="eastAsia"/>
          <w:szCs w:val="32"/>
          <w:highlight w:val="none"/>
        </w:rPr>
        <w:t>2.4.</w:t>
      </w:r>
      <w:r>
        <w:rPr>
          <w:rFonts w:hint="eastAsia"/>
          <w:szCs w:val="32"/>
          <w:highlight w:val="none"/>
          <w:lang w:val="en-US" w:eastAsia="zh-CN"/>
        </w:rPr>
        <w:t>6</w:t>
      </w:r>
      <w:r>
        <w:rPr>
          <w:rFonts w:hint="eastAsia"/>
          <w:szCs w:val="32"/>
          <w:highlight w:val="none"/>
        </w:rPr>
        <w:t>响应文件格式</w:t>
      </w:r>
      <w:r>
        <w:tab/>
      </w:r>
      <w:r>
        <w:fldChar w:fldCharType="begin"/>
      </w:r>
      <w:r>
        <w:instrText xml:space="preserve"> PAGEREF _Toc445 \h </w:instrText>
      </w:r>
      <w:r>
        <w:fldChar w:fldCharType="separate"/>
      </w:r>
      <w:r>
        <w:t>18</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_Toc24928 </w:instrText>
      </w:r>
      <w:r>
        <w:rPr>
          <w:szCs w:val="20"/>
          <w:shd w:val="clear" w:color="auto" w:fill="FFFFFF"/>
        </w:rPr>
        <w:fldChar w:fldCharType="separate"/>
      </w:r>
      <w:r>
        <w:rPr>
          <w:rFonts w:hint="eastAsia"/>
          <w:szCs w:val="32"/>
          <w:highlight w:val="none"/>
        </w:rPr>
        <w:t>2.4.</w:t>
      </w:r>
      <w:r>
        <w:rPr>
          <w:rFonts w:hint="eastAsia"/>
          <w:szCs w:val="32"/>
          <w:highlight w:val="none"/>
          <w:lang w:val="en-US" w:eastAsia="zh-CN"/>
        </w:rPr>
        <w:t>7</w:t>
      </w:r>
      <w:r>
        <w:rPr>
          <w:rFonts w:hint="eastAsia"/>
          <w:szCs w:val="32"/>
          <w:highlight w:val="none"/>
        </w:rPr>
        <w:t>报价</w:t>
      </w:r>
      <w:r>
        <w:tab/>
      </w:r>
      <w:r>
        <w:fldChar w:fldCharType="begin"/>
      </w:r>
      <w:r>
        <w:instrText xml:space="preserve"> PAGEREF _Toc24928 \h </w:instrText>
      </w:r>
      <w:r>
        <w:fldChar w:fldCharType="separate"/>
      </w:r>
      <w:r>
        <w:t>18</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_Toc2560 </w:instrText>
      </w:r>
      <w:r>
        <w:rPr>
          <w:szCs w:val="20"/>
          <w:shd w:val="clear" w:color="auto" w:fill="FFFFFF"/>
        </w:rPr>
        <w:fldChar w:fldCharType="separate"/>
      </w:r>
      <w:r>
        <w:rPr>
          <w:rFonts w:hint="eastAsia"/>
          <w:szCs w:val="32"/>
          <w:highlight w:val="none"/>
        </w:rPr>
        <w:t>2.4.</w:t>
      </w:r>
      <w:r>
        <w:rPr>
          <w:rFonts w:hint="eastAsia"/>
          <w:szCs w:val="32"/>
          <w:highlight w:val="none"/>
          <w:lang w:val="en-US" w:eastAsia="zh-CN"/>
        </w:rPr>
        <w:t>8</w:t>
      </w:r>
      <w:r>
        <w:rPr>
          <w:rFonts w:hint="eastAsia"/>
          <w:szCs w:val="32"/>
          <w:highlight w:val="none"/>
        </w:rPr>
        <w:t>磋商保证金</w:t>
      </w:r>
      <w:r>
        <w:tab/>
      </w:r>
      <w:r>
        <w:fldChar w:fldCharType="begin"/>
      </w:r>
      <w:r>
        <w:instrText xml:space="preserve"> PAGEREF _Toc2560 \h </w:instrText>
      </w:r>
      <w:r>
        <w:fldChar w:fldCharType="separate"/>
      </w:r>
      <w:r>
        <w:t>19</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_Toc6199 </w:instrText>
      </w:r>
      <w:r>
        <w:rPr>
          <w:szCs w:val="20"/>
          <w:shd w:val="clear" w:color="auto" w:fill="FFFFFF"/>
        </w:rPr>
        <w:fldChar w:fldCharType="separate"/>
      </w:r>
      <w:r>
        <w:rPr>
          <w:rFonts w:hint="eastAsia"/>
          <w:szCs w:val="32"/>
          <w:highlight w:val="none"/>
        </w:rPr>
        <w:t>2.4.</w:t>
      </w:r>
      <w:r>
        <w:rPr>
          <w:rFonts w:hint="eastAsia"/>
          <w:szCs w:val="32"/>
          <w:highlight w:val="none"/>
          <w:lang w:val="en-US" w:eastAsia="zh-CN"/>
        </w:rPr>
        <w:t>9</w:t>
      </w:r>
      <w:r>
        <w:rPr>
          <w:rFonts w:hint="eastAsia"/>
          <w:szCs w:val="32"/>
          <w:highlight w:val="none"/>
        </w:rPr>
        <w:t>响应文件有效期</w:t>
      </w:r>
      <w:r>
        <w:tab/>
      </w:r>
      <w:r>
        <w:fldChar w:fldCharType="begin"/>
      </w:r>
      <w:r>
        <w:instrText xml:space="preserve"> PAGEREF _Toc6199 \h </w:instrText>
      </w:r>
      <w:r>
        <w:fldChar w:fldCharType="separate"/>
      </w:r>
      <w:r>
        <w:t>19</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_Toc31033 </w:instrText>
      </w:r>
      <w:r>
        <w:rPr>
          <w:szCs w:val="20"/>
          <w:shd w:val="clear" w:color="auto" w:fill="FFFFFF"/>
        </w:rPr>
        <w:fldChar w:fldCharType="separate"/>
      </w:r>
      <w:r>
        <w:rPr>
          <w:rFonts w:hint="eastAsia"/>
          <w:szCs w:val="32"/>
          <w:highlight w:val="none"/>
        </w:rPr>
        <w:t>2.4.</w:t>
      </w:r>
      <w:r>
        <w:rPr>
          <w:rFonts w:hint="eastAsia"/>
          <w:szCs w:val="32"/>
          <w:highlight w:val="none"/>
          <w:lang w:val="en-US" w:eastAsia="zh-CN"/>
        </w:rPr>
        <w:t>10</w:t>
      </w:r>
      <w:r>
        <w:rPr>
          <w:rFonts w:hint="eastAsia"/>
          <w:szCs w:val="32"/>
          <w:highlight w:val="none"/>
        </w:rPr>
        <w:t>响应文件的</w:t>
      </w:r>
      <w:r>
        <w:rPr>
          <w:rFonts w:hint="eastAsia"/>
          <w:szCs w:val="32"/>
          <w:highlight w:val="none"/>
          <w:lang w:eastAsia="zh-CN"/>
        </w:rPr>
        <w:t>制作、签章和加密</w:t>
      </w:r>
      <w:r>
        <w:tab/>
      </w:r>
      <w:r>
        <w:fldChar w:fldCharType="begin"/>
      </w:r>
      <w:r>
        <w:instrText xml:space="preserve"> PAGEREF _Toc31033 \h </w:instrText>
      </w:r>
      <w:r>
        <w:fldChar w:fldCharType="separate"/>
      </w:r>
      <w:r>
        <w:t>19</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_Toc1903 </w:instrText>
      </w:r>
      <w:r>
        <w:rPr>
          <w:szCs w:val="20"/>
          <w:shd w:val="clear" w:color="auto" w:fill="FFFFFF"/>
        </w:rPr>
        <w:fldChar w:fldCharType="separate"/>
      </w:r>
      <w:r>
        <w:rPr>
          <w:rFonts w:hint="eastAsia"/>
          <w:szCs w:val="32"/>
          <w:highlight w:val="none"/>
        </w:rPr>
        <w:t>2.4.</w:t>
      </w:r>
      <w:r>
        <w:rPr>
          <w:rFonts w:hint="eastAsia"/>
          <w:szCs w:val="32"/>
          <w:highlight w:val="none"/>
          <w:lang w:val="en-US" w:eastAsia="zh-CN"/>
        </w:rPr>
        <w:t>11</w:t>
      </w:r>
      <w:r>
        <w:rPr>
          <w:rFonts w:hint="eastAsia"/>
          <w:szCs w:val="32"/>
          <w:highlight w:val="none"/>
        </w:rPr>
        <w:t>响应文件的</w:t>
      </w:r>
      <w:r>
        <w:rPr>
          <w:rFonts w:hint="eastAsia"/>
          <w:szCs w:val="28"/>
          <w:highlight w:val="none"/>
          <w:lang w:eastAsia="zh-CN"/>
        </w:rPr>
        <w:t>递交</w:t>
      </w:r>
      <w:r>
        <w:tab/>
      </w:r>
      <w:r>
        <w:fldChar w:fldCharType="begin"/>
      </w:r>
      <w:r>
        <w:instrText xml:space="preserve"> PAGEREF _Toc1903 \h </w:instrText>
      </w:r>
      <w:r>
        <w:fldChar w:fldCharType="separate"/>
      </w:r>
      <w:r>
        <w:t>20</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_Toc3215 </w:instrText>
      </w:r>
      <w:r>
        <w:rPr>
          <w:szCs w:val="20"/>
          <w:shd w:val="clear" w:color="auto" w:fill="FFFFFF"/>
        </w:rPr>
        <w:fldChar w:fldCharType="separate"/>
      </w:r>
      <w:r>
        <w:rPr>
          <w:rFonts w:hint="eastAsia"/>
          <w:szCs w:val="32"/>
          <w:highlight w:val="none"/>
        </w:rPr>
        <w:t>2.4.1</w:t>
      </w:r>
      <w:r>
        <w:rPr>
          <w:rFonts w:hint="eastAsia"/>
          <w:szCs w:val="32"/>
          <w:highlight w:val="none"/>
          <w:lang w:val="en-US" w:eastAsia="zh-CN"/>
        </w:rPr>
        <w:t>2</w:t>
      </w:r>
      <w:r>
        <w:rPr>
          <w:rFonts w:hint="eastAsia"/>
          <w:szCs w:val="32"/>
          <w:highlight w:val="none"/>
        </w:rPr>
        <w:t>响应文件的补充、修改和撤回</w:t>
      </w:r>
      <w:r>
        <w:tab/>
      </w:r>
      <w:r>
        <w:fldChar w:fldCharType="begin"/>
      </w:r>
      <w:r>
        <w:instrText xml:space="preserve"> PAGEREF _Toc3215 \h </w:instrText>
      </w:r>
      <w:r>
        <w:fldChar w:fldCharType="separate"/>
      </w:r>
      <w:r>
        <w:t>20</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_Toc25497 </w:instrText>
      </w:r>
      <w:r>
        <w:rPr>
          <w:szCs w:val="20"/>
          <w:shd w:val="clear" w:color="auto" w:fill="FFFFFF"/>
        </w:rPr>
        <w:fldChar w:fldCharType="separate"/>
      </w:r>
      <w:r>
        <w:rPr>
          <w:rFonts w:hint="eastAsia"/>
          <w:iCs w:val="0"/>
          <w:kern w:val="2"/>
          <w:szCs w:val="32"/>
          <w:highlight w:val="none"/>
          <w:lang w:val="en-US" w:eastAsia="zh-CN"/>
        </w:rPr>
        <w:t>2.4.13响应文件的解密</w:t>
      </w:r>
      <w:r>
        <w:tab/>
      </w:r>
      <w:r>
        <w:fldChar w:fldCharType="begin"/>
      </w:r>
      <w:r>
        <w:instrText xml:space="preserve"> PAGEREF _Toc25497 \h </w:instrText>
      </w:r>
      <w:r>
        <w:fldChar w:fldCharType="separate"/>
      </w:r>
      <w:r>
        <w:t>21</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_Toc2602 </w:instrText>
      </w:r>
      <w:r>
        <w:rPr>
          <w:szCs w:val="20"/>
          <w:shd w:val="clear" w:color="auto" w:fill="FFFFFF"/>
        </w:rPr>
        <w:fldChar w:fldCharType="separate"/>
      </w:r>
      <w:r>
        <w:rPr>
          <w:rFonts w:hint="eastAsia"/>
          <w:szCs w:val="28"/>
          <w:highlight w:val="none"/>
        </w:rPr>
        <w:t>2.5磋商</w:t>
      </w:r>
      <w:r>
        <w:rPr>
          <w:szCs w:val="28"/>
          <w:highlight w:val="none"/>
        </w:rPr>
        <w:t>开启活动</w:t>
      </w:r>
      <w:r>
        <w:rPr>
          <w:rFonts w:hint="eastAsia"/>
          <w:szCs w:val="28"/>
          <w:highlight w:val="none"/>
        </w:rPr>
        <w:t>程序</w:t>
      </w:r>
      <w:r>
        <w:tab/>
      </w:r>
      <w:r>
        <w:fldChar w:fldCharType="begin"/>
      </w:r>
      <w:r>
        <w:instrText xml:space="preserve"> PAGEREF _Toc2602 \h </w:instrText>
      </w:r>
      <w:r>
        <w:fldChar w:fldCharType="separate"/>
      </w:r>
      <w:r>
        <w:t>21</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_Toc13979 </w:instrText>
      </w:r>
      <w:r>
        <w:rPr>
          <w:szCs w:val="20"/>
          <w:shd w:val="clear" w:color="auto" w:fill="FFFFFF"/>
        </w:rPr>
        <w:fldChar w:fldCharType="separate"/>
      </w:r>
      <w:r>
        <w:rPr>
          <w:rFonts w:hint="eastAsia"/>
          <w:bCs/>
          <w:szCs w:val="28"/>
          <w:highlight w:val="none"/>
          <w:lang w:val="en-US" w:eastAsia="zh-CN"/>
        </w:rPr>
        <w:t>2.6</w:t>
      </w:r>
      <w:r>
        <w:rPr>
          <w:rFonts w:hint="eastAsia"/>
          <w:bCs/>
          <w:szCs w:val="28"/>
          <w:highlight w:val="none"/>
        </w:rPr>
        <w:t>资格审查</w:t>
      </w:r>
      <w:r>
        <w:rPr>
          <w:rFonts w:hint="eastAsia"/>
          <w:bCs/>
          <w:szCs w:val="28"/>
          <w:highlight w:val="none"/>
          <w:lang w:eastAsia="zh-CN"/>
        </w:rPr>
        <w:t>和评审</w:t>
      </w:r>
      <w:r>
        <w:tab/>
      </w:r>
      <w:r>
        <w:fldChar w:fldCharType="begin"/>
      </w:r>
      <w:r>
        <w:instrText xml:space="preserve"> PAGEREF _Toc13979 \h </w:instrText>
      </w:r>
      <w:r>
        <w:fldChar w:fldCharType="separate"/>
      </w:r>
      <w:r>
        <w:t>22</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_Toc10063 </w:instrText>
      </w:r>
      <w:r>
        <w:rPr>
          <w:szCs w:val="20"/>
          <w:shd w:val="clear" w:color="auto" w:fill="FFFFFF"/>
        </w:rPr>
        <w:fldChar w:fldCharType="separate"/>
      </w:r>
      <w:r>
        <w:rPr>
          <w:rFonts w:hint="eastAsia"/>
          <w:szCs w:val="28"/>
          <w:highlight w:val="none"/>
          <w:lang w:val="en-US" w:eastAsia="zh-CN"/>
        </w:rPr>
        <w:t>2.7</w:t>
      </w:r>
      <w:r>
        <w:rPr>
          <w:szCs w:val="28"/>
          <w:highlight w:val="none"/>
        </w:rPr>
        <w:t>成交通知书</w:t>
      </w:r>
      <w:r>
        <w:tab/>
      </w:r>
      <w:r>
        <w:fldChar w:fldCharType="begin"/>
      </w:r>
      <w:r>
        <w:instrText xml:space="preserve"> PAGEREF _Toc10063 \h </w:instrText>
      </w:r>
      <w:r>
        <w:fldChar w:fldCharType="separate"/>
      </w:r>
      <w:r>
        <w:t>23</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_Toc12237 </w:instrText>
      </w:r>
      <w:r>
        <w:rPr>
          <w:szCs w:val="20"/>
          <w:shd w:val="clear" w:color="auto" w:fill="FFFFFF"/>
        </w:rPr>
        <w:fldChar w:fldCharType="separate"/>
      </w:r>
      <w:r>
        <w:rPr>
          <w:rFonts w:hint="eastAsia"/>
          <w:szCs w:val="28"/>
          <w:highlight w:val="none"/>
          <w:lang w:val="en-US" w:eastAsia="zh-CN"/>
        </w:rPr>
        <w:t>2.8</w:t>
      </w:r>
      <w:r>
        <w:rPr>
          <w:rFonts w:hint="eastAsia"/>
          <w:szCs w:val="28"/>
          <w:highlight w:val="none"/>
        </w:rPr>
        <w:t>签订及履行合同和验收</w:t>
      </w:r>
      <w:r>
        <w:tab/>
      </w:r>
      <w:r>
        <w:fldChar w:fldCharType="begin"/>
      </w:r>
      <w:r>
        <w:instrText xml:space="preserve"> PAGEREF _Toc12237 \h </w:instrText>
      </w:r>
      <w:r>
        <w:fldChar w:fldCharType="separate"/>
      </w:r>
      <w:r>
        <w:t>23</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_Toc4214 </w:instrText>
      </w:r>
      <w:r>
        <w:rPr>
          <w:szCs w:val="20"/>
          <w:shd w:val="clear" w:color="auto" w:fill="FFFFFF"/>
        </w:rPr>
        <w:fldChar w:fldCharType="separate"/>
      </w:r>
      <w:r>
        <w:rPr>
          <w:rFonts w:hint="eastAsia"/>
          <w:szCs w:val="32"/>
          <w:highlight w:val="none"/>
        </w:rPr>
        <w:t>2.</w:t>
      </w:r>
      <w:r>
        <w:rPr>
          <w:rFonts w:hint="eastAsia"/>
          <w:szCs w:val="32"/>
          <w:highlight w:val="none"/>
          <w:lang w:val="en-US" w:eastAsia="zh-CN"/>
        </w:rPr>
        <w:t>8</w:t>
      </w:r>
      <w:r>
        <w:rPr>
          <w:rFonts w:hint="eastAsia"/>
          <w:szCs w:val="32"/>
          <w:highlight w:val="none"/>
        </w:rPr>
        <w:t>.1签订合同</w:t>
      </w:r>
      <w:r>
        <w:tab/>
      </w:r>
      <w:r>
        <w:fldChar w:fldCharType="begin"/>
      </w:r>
      <w:r>
        <w:instrText xml:space="preserve"> PAGEREF _Toc4214 \h </w:instrText>
      </w:r>
      <w:r>
        <w:fldChar w:fldCharType="separate"/>
      </w:r>
      <w:r>
        <w:t>23</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_Toc8769 </w:instrText>
      </w:r>
      <w:r>
        <w:rPr>
          <w:szCs w:val="20"/>
          <w:shd w:val="clear" w:color="auto" w:fill="FFFFFF"/>
        </w:rPr>
        <w:fldChar w:fldCharType="separate"/>
      </w:r>
      <w:r>
        <w:rPr>
          <w:rFonts w:hint="eastAsia"/>
          <w:szCs w:val="32"/>
          <w:highlight w:val="none"/>
        </w:rPr>
        <w:t>2.</w:t>
      </w:r>
      <w:r>
        <w:rPr>
          <w:rFonts w:hint="eastAsia"/>
          <w:szCs w:val="32"/>
          <w:highlight w:val="none"/>
          <w:lang w:val="en-US" w:eastAsia="zh-CN"/>
        </w:rPr>
        <w:t>8</w:t>
      </w:r>
      <w:r>
        <w:rPr>
          <w:rFonts w:hint="eastAsia"/>
          <w:szCs w:val="32"/>
          <w:highlight w:val="none"/>
        </w:rPr>
        <w:t>.2合同分包和转包</w:t>
      </w:r>
      <w:r>
        <w:tab/>
      </w:r>
      <w:r>
        <w:fldChar w:fldCharType="begin"/>
      </w:r>
      <w:r>
        <w:instrText xml:space="preserve"> PAGEREF _Toc8769 \h </w:instrText>
      </w:r>
      <w:r>
        <w:fldChar w:fldCharType="separate"/>
      </w:r>
      <w:r>
        <w:t>24</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_Toc11002 </w:instrText>
      </w:r>
      <w:r>
        <w:rPr>
          <w:szCs w:val="20"/>
          <w:shd w:val="clear" w:color="auto" w:fill="FFFFFF"/>
        </w:rPr>
        <w:fldChar w:fldCharType="separate"/>
      </w:r>
      <w:r>
        <w:rPr>
          <w:rFonts w:hint="eastAsia" w:ascii="宋体" w:hAnsi="宋体"/>
          <w:bCs/>
          <w:szCs w:val="28"/>
          <w:highlight w:val="none"/>
          <w:lang w:val="en-US" w:eastAsia="zh-CN"/>
        </w:rPr>
        <w:t>2.</w:t>
      </w:r>
      <w:r>
        <w:rPr>
          <w:rFonts w:hint="eastAsia"/>
          <w:bCs/>
          <w:szCs w:val="28"/>
          <w:highlight w:val="none"/>
          <w:lang w:val="en-US" w:eastAsia="zh-CN"/>
        </w:rPr>
        <w:t>8</w:t>
      </w:r>
      <w:r>
        <w:rPr>
          <w:rFonts w:hint="eastAsia" w:ascii="宋体" w:hAnsi="宋体"/>
          <w:bCs/>
          <w:szCs w:val="28"/>
          <w:highlight w:val="none"/>
          <w:lang w:val="en-US" w:eastAsia="zh-CN"/>
        </w:rPr>
        <w:t>.2.1</w:t>
      </w:r>
      <w:r>
        <w:rPr>
          <w:rFonts w:hint="eastAsia" w:ascii="宋体" w:hAnsi="宋体"/>
          <w:bCs/>
          <w:szCs w:val="28"/>
          <w:highlight w:val="none"/>
        </w:rPr>
        <w:t>合同分包</w:t>
      </w:r>
      <w:r>
        <w:tab/>
      </w:r>
      <w:r>
        <w:fldChar w:fldCharType="begin"/>
      </w:r>
      <w:r>
        <w:instrText xml:space="preserve"> PAGEREF _Toc11002 \h </w:instrText>
      </w:r>
      <w:r>
        <w:fldChar w:fldCharType="separate"/>
      </w:r>
      <w:r>
        <w:t>24</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_Toc2610 </w:instrText>
      </w:r>
      <w:r>
        <w:rPr>
          <w:szCs w:val="20"/>
          <w:shd w:val="clear" w:color="auto" w:fill="FFFFFF"/>
        </w:rPr>
        <w:fldChar w:fldCharType="separate"/>
      </w:r>
      <w:r>
        <w:rPr>
          <w:rFonts w:hint="eastAsia"/>
          <w:szCs w:val="32"/>
          <w:highlight w:val="none"/>
        </w:rPr>
        <w:t>2.</w:t>
      </w:r>
      <w:r>
        <w:rPr>
          <w:rFonts w:hint="eastAsia"/>
          <w:szCs w:val="32"/>
          <w:highlight w:val="none"/>
          <w:lang w:val="en-US" w:eastAsia="zh-CN"/>
        </w:rPr>
        <w:t>8</w:t>
      </w:r>
      <w:r>
        <w:rPr>
          <w:rFonts w:hint="eastAsia"/>
          <w:szCs w:val="32"/>
          <w:highlight w:val="none"/>
        </w:rPr>
        <w:t>.3采购人增加合同标的的权利</w:t>
      </w:r>
      <w:r>
        <w:tab/>
      </w:r>
      <w:r>
        <w:fldChar w:fldCharType="begin"/>
      </w:r>
      <w:r>
        <w:instrText xml:space="preserve"> PAGEREF _Toc2610 \h </w:instrText>
      </w:r>
      <w:r>
        <w:fldChar w:fldCharType="separate"/>
      </w:r>
      <w:r>
        <w:t>24</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_Toc9550 </w:instrText>
      </w:r>
      <w:r>
        <w:rPr>
          <w:szCs w:val="20"/>
          <w:shd w:val="clear" w:color="auto" w:fill="FFFFFF"/>
        </w:rPr>
        <w:fldChar w:fldCharType="separate"/>
      </w:r>
      <w:r>
        <w:rPr>
          <w:rFonts w:hint="eastAsia"/>
          <w:szCs w:val="32"/>
          <w:highlight w:val="none"/>
        </w:rPr>
        <w:t>2.</w:t>
      </w:r>
      <w:r>
        <w:rPr>
          <w:rFonts w:hint="eastAsia"/>
          <w:szCs w:val="32"/>
          <w:highlight w:val="none"/>
          <w:lang w:val="en-US" w:eastAsia="zh-CN"/>
        </w:rPr>
        <w:t>8</w:t>
      </w:r>
      <w:r>
        <w:rPr>
          <w:rFonts w:hint="eastAsia"/>
          <w:szCs w:val="32"/>
          <w:highlight w:val="none"/>
        </w:rPr>
        <w:t>.4履约保证金</w:t>
      </w:r>
      <w:r>
        <w:tab/>
      </w:r>
      <w:r>
        <w:fldChar w:fldCharType="begin"/>
      </w:r>
      <w:r>
        <w:instrText xml:space="preserve"> PAGEREF _Toc9550 \h </w:instrText>
      </w:r>
      <w:r>
        <w:fldChar w:fldCharType="separate"/>
      </w:r>
      <w:r>
        <w:t>24</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_Toc20960 </w:instrText>
      </w:r>
      <w:r>
        <w:rPr>
          <w:szCs w:val="20"/>
          <w:shd w:val="clear" w:color="auto" w:fill="FFFFFF"/>
        </w:rPr>
        <w:fldChar w:fldCharType="separate"/>
      </w:r>
      <w:r>
        <w:rPr>
          <w:rFonts w:hint="eastAsia"/>
          <w:szCs w:val="32"/>
          <w:highlight w:val="none"/>
        </w:rPr>
        <w:t>2.</w:t>
      </w:r>
      <w:r>
        <w:rPr>
          <w:rFonts w:hint="eastAsia"/>
          <w:szCs w:val="32"/>
          <w:highlight w:val="none"/>
          <w:lang w:val="en-US" w:eastAsia="zh-CN"/>
        </w:rPr>
        <w:t>8</w:t>
      </w:r>
      <w:r>
        <w:rPr>
          <w:rFonts w:hint="eastAsia"/>
          <w:szCs w:val="32"/>
          <w:highlight w:val="none"/>
        </w:rPr>
        <w:t>.5</w:t>
      </w:r>
      <w:r>
        <w:rPr>
          <w:szCs w:val="32"/>
          <w:highlight w:val="none"/>
        </w:rPr>
        <w:t>合同公告</w:t>
      </w:r>
      <w:r>
        <w:tab/>
      </w:r>
      <w:r>
        <w:fldChar w:fldCharType="begin"/>
      </w:r>
      <w:r>
        <w:instrText xml:space="preserve"> PAGEREF _Toc20960 \h </w:instrText>
      </w:r>
      <w:r>
        <w:fldChar w:fldCharType="separate"/>
      </w:r>
      <w:r>
        <w:t>24</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_Toc8303 </w:instrText>
      </w:r>
      <w:r>
        <w:rPr>
          <w:szCs w:val="20"/>
          <w:shd w:val="clear" w:color="auto" w:fill="FFFFFF"/>
        </w:rPr>
        <w:fldChar w:fldCharType="separate"/>
      </w:r>
      <w:r>
        <w:rPr>
          <w:rFonts w:hint="eastAsia"/>
          <w:szCs w:val="32"/>
          <w:highlight w:val="none"/>
        </w:rPr>
        <w:t>2.</w:t>
      </w:r>
      <w:r>
        <w:rPr>
          <w:rFonts w:hint="eastAsia"/>
          <w:szCs w:val="32"/>
          <w:highlight w:val="none"/>
          <w:lang w:val="en-US" w:eastAsia="zh-CN"/>
        </w:rPr>
        <w:t>8</w:t>
      </w:r>
      <w:r>
        <w:rPr>
          <w:rFonts w:hint="eastAsia"/>
          <w:szCs w:val="32"/>
          <w:highlight w:val="none"/>
        </w:rPr>
        <w:t>.6</w:t>
      </w:r>
      <w:r>
        <w:rPr>
          <w:szCs w:val="32"/>
          <w:highlight w:val="none"/>
        </w:rPr>
        <w:t>合同备案</w:t>
      </w:r>
      <w:r>
        <w:tab/>
      </w:r>
      <w:r>
        <w:fldChar w:fldCharType="begin"/>
      </w:r>
      <w:r>
        <w:instrText xml:space="preserve"> PAGEREF _Toc8303 \h </w:instrText>
      </w:r>
      <w:r>
        <w:fldChar w:fldCharType="separate"/>
      </w:r>
      <w:r>
        <w:t>24</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_Toc27151 </w:instrText>
      </w:r>
      <w:r>
        <w:rPr>
          <w:szCs w:val="20"/>
          <w:shd w:val="clear" w:color="auto" w:fill="FFFFFF"/>
        </w:rPr>
        <w:fldChar w:fldCharType="separate"/>
      </w:r>
      <w:r>
        <w:rPr>
          <w:rFonts w:hint="eastAsia" w:cs="宋体"/>
          <w:szCs w:val="32"/>
          <w:highlight w:val="none"/>
        </w:rPr>
        <w:t>2.</w:t>
      </w:r>
      <w:r>
        <w:rPr>
          <w:rFonts w:hint="eastAsia" w:cs="宋体"/>
          <w:szCs w:val="32"/>
          <w:highlight w:val="none"/>
          <w:lang w:val="en-US" w:eastAsia="zh-CN"/>
        </w:rPr>
        <w:t>8</w:t>
      </w:r>
      <w:r>
        <w:rPr>
          <w:rFonts w:hint="eastAsia" w:cs="宋体"/>
          <w:szCs w:val="32"/>
          <w:highlight w:val="none"/>
        </w:rPr>
        <w:t>.7履行</w:t>
      </w:r>
      <w:r>
        <w:rPr>
          <w:rFonts w:hint="eastAsia"/>
          <w:szCs w:val="32"/>
          <w:highlight w:val="none"/>
        </w:rPr>
        <w:t>合同</w:t>
      </w:r>
      <w:r>
        <w:tab/>
      </w:r>
      <w:r>
        <w:fldChar w:fldCharType="begin"/>
      </w:r>
      <w:r>
        <w:instrText xml:space="preserve"> PAGEREF _Toc27151 \h </w:instrText>
      </w:r>
      <w:r>
        <w:fldChar w:fldCharType="separate"/>
      </w:r>
      <w:r>
        <w:t>24</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_Toc7541 </w:instrText>
      </w:r>
      <w:r>
        <w:rPr>
          <w:szCs w:val="20"/>
          <w:shd w:val="clear" w:color="auto" w:fill="FFFFFF"/>
        </w:rPr>
        <w:fldChar w:fldCharType="separate"/>
      </w:r>
      <w:r>
        <w:rPr>
          <w:rFonts w:hint="eastAsia"/>
          <w:szCs w:val="32"/>
          <w:highlight w:val="none"/>
        </w:rPr>
        <w:t>2.</w:t>
      </w:r>
      <w:r>
        <w:rPr>
          <w:rFonts w:hint="eastAsia"/>
          <w:szCs w:val="32"/>
          <w:highlight w:val="none"/>
          <w:lang w:val="en-US" w:eastAsia="zh-CN"/>
        </w:rPr>
        <w:t>8</w:t>
      </w:r>
      <w:r>
        <w:rPr>
          <w:rFonts w:hint="eastAsia"/>
          <w:szCs w:val="32"/>
          <w:highlight w:val="none"/>
        </w:rPr>
        <w:t>.8验收</w:t>
      </w:r>
      <w:r>
        <w:tab/>
      </w:r>
      <w:r>
        <w:fldChar w:fldCharType="begin"/>
      </w:r>
      <w:r>
        <w:instrText xml:space="preserve"> PAGEREF _Toc7541 \h </w:instrText>
      </w:r>
      <w:r>
        <w:fldChar w:fldCharType="separate"/>
      </w:r>
      <w:r>
        <w:t>25</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_Toc484 </w:instrText>
      </w:r>
      <w:r>
        <w:rPr>
          <w:szCs w:val="20"/>
          <w:shd w:val="clear" w:color="auto" w:fill="FFFFFF"/>
        </w:rPr>
        <w:fldChar w:fldCharType="separate"/>
      </w:r>
      <w:r>
        <w:rPr>
          <w:rFonts w:hint="eastAsia"/>
          <w:szCs w:val="32"/>
          <w:highlight w:val="none"/>
        </w:rPr>
        <w:t>2.</w:t>
      </w:r>
      <w:r>
        <w:rPr>
          <w:rFonts w:hint="eastAsia"/>
          <w:szCs w:val="32"/>
          <w:highlight w:val="none"/>
          <w:lang w:val="en-US" w:eastAsia="zh-CN"/>
        </w:rPr>
        <w:t>8</w:t>
      </w:r>
      <w:r>
        <w:rPr>
          <w:rFonts w:hint="eastAsia"/>
          <w:szCs w:val="32"/>
          <w:highlight w:val="none"/>
        </w:rPr>
        <w:t>.9资金支付</w:t>
      </w:r>
      <w:r>
        <w:tab/>
      </w:r>
      <w:r>
        <w:fldChar w:fldCharType="begin"/>
      </w:r>
      <w:r>
        <w:instrText xml:space="preserve"> PAGEREF _Toc484 \h </w:instrText>
      </w:r>
      <w:r>
        <w:fldChar w:fldCharType="separate"/>
      </w:r>
      <w:r>
        <w:t>25</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_Toc2661 </w:instrText>
      </w:r>
      <w:r>
        <w:rPr>
          <w:szCs w:val="20"/>
          <w:shd w:val="clear" w:color="auto" w:fill="FFFFFF"/>
        </w:rPr>
        <w:fldChar w:fldCharType="separate"/>
      </w:r>
      <w:r>
        <w:rPr>
          <w:rFonts w:hint="eastAsia"/>
          <w:szCs w:val="28"/>
          <w:highlight w:val="none"/>
        </w:rPr>
        <w:t>2.</w:t>
      </w:r>
      <w:r>
        <w:rPr>
          <w:rFonts w:hint="eastAsia"/>
          <w:szCs w:val="28"/>
          <w:highlight w:val="none"/>
          <w:lang w:val="en-US" w:eastAsia="zh-CN"/>
        </w:rPr>
        <w:t>9</w:t>
      </w:r>
      <w:r>
        <w:rPr>
          <w:rFonts w:hint="eastAsia"/>
          <w:szCs w:val="28"/>
          <w:highlight w:val="none"/>
        </w:rPr>
        <w:t>竞争性磋商工作纪律及要求</w:t>
      </w:r>
      <w:r>
        <w:tab/>
      </w:r>
      <w:r>
        <w:fldChar w:fldCharType="begin"/>
      </w:r>
      <w:r>
        <w:instrText xml:space="preserve"> PAGEREF _Toc2661 \h </w:instrText>
      </w:r>
      <w:r>
        <w:fldChar w:fldCharType="separate"/>
      </w:r>
      <w:r>
        <w:t>25</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_Toc31334 </w:instrText>
      </w:r>
      <w:r>
        <w:rPr>
          <w:szCs w:val="20"/>
          <w:shd w:val="clear" w:color="auto" w:fill="FFFFFF"/>
        </w:rPr>
        <w:fldChar w:fldCharType="separate"/>
      </w:r>
      <w:r>
        <w:rPr>
          <w:rFonts w:hint="eastAsia"/>
          <w:szCs w:val="32"/>
          <w:highlight w:val="none"/>
        </w:rPr>
        <w:t>2.</w:t>
      </w:r>
      <w:r>
        <w:rPr>
          <w:rFonts w:hint="eastAsia"/>
          <w:szCs w:val="32"/>
          <w:highlight w:val="none"/>
          <w:lang w:val="en-US" w:eastAsia="zh-CN"/>
        </w:rPr>
        <w:t>9</w:t>
      </w:r>
      <w:r>
        <w:rPr>
          <w:rFonts w:hint="eastAsia"/>
          <w:szCs w:val="32"/>
          <w:highlight w:val="none"/>
        </w:rPr>
        <w:t>.1供应商不得具有的情形</w:t>
      </w:r>
      <w:r>
        <w:tab/>
      </w:r>
      <w:r>
        <w:fldChar w:fldCharType="begin"/>
      </w:r>
      <w:r>
        <w:instrText xml:space="preserve"> PAGEREF _Toc31334 \h </w:instrText>
      </w:r>
      <w:r>
        <w:fldChar w:fldCharType="separate"/>
      </w:r>
      <w:r>
        <w:t>25</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_Toc19713 </w:instrText>
      </w:r>
      <w:r>
        <w:rPr>
          <w:szCs w:val="20"/>
          <w:shd w:val="clear" w:color="auto" w:fill="FFFFFF"/>
        </w:rPr>
        <w:fldChar w:fldCharType="separate"/>
      </w:r>
      <w:r>
        <w:rPr>
          <w:rFonts w:hint="eastAsia"/>
          <w:szCs w:val="32"/>
          <w:highlight w:val="none"/>
        </w:rPr>
        <w:t>2.</w:t>
      </w:r>
      <w:r>
        <w:rPr>
          <w:rFonts w:hint="eastAsia"/>
          <w:szCs w:val="32"/>
          <w:highlight w:val="none"/>
          <w:lang w:val="en-US" w:eastAsia="zh-CN"/>
        </w:rPr>
        <w:t>9</w:t>
      </w:r>
      <w:r>
        <w:rPr>
          <w:rFonts w:hint="eastAsia"/>
          <w:szCs w:val="32"/>
          <w:highlight w:val="none"/>
        </w:rPr>
        <w:t>.</w:t>
      </w:r>
      <w:r>
        <w:rPr>
          <w:rFonts w:hint="eastAsia"/>
          <w:szCs w:val="32"/>
          <w:highlight w:val="none"/>
          <w:lang w:val="en-US" w:eastAsia="zh-CN"/>
        </w:rPr>
        <w:t>2</w:t>
      </w:r>
      <w:r>
        <w:rPr>
          <w:rFonts w:hint="eastAsia"/>
          <w:szCs w:val="32"/>
          <w:highlight w:val="none"/>
        </w:rPr>
        <w:t>回避</w:t>
      </w:r>
      <w:r>
        <w:tab/>
      </w:r>
      <w:r>
        <w:fldChar w:fldCharType="begin"/>
      </w:r>
      <w:r>
        <w:instrText xml:space="preserve"> PAGEREF _Toc19713 \h </w:instrText>
      </w:r>
      <w:r>
        <w:fldChar w:fldCharType="separate"/>
      </w:r>
      <w:r>
        <w:t>26</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_Toc28615 </w:instrText>
      </w:r>
      <w:r>
        <w:rPr>
          <w:szCs w:val="20"/>
          <w:shd w:val="clear" w:color="auto" w:fill="FFFFFF"/>
        </w:rPr>
        <w:fldChar w:fldCharType="separate"/>
      </w:r>
      <w:r>
        <w:rPr>
          <w:rFonts w:hint="eastAsia"/>
          <w:szCs w:val="32"/>
          <w:highlight w:val="none"/>
        </w:rPr>
        <w:t>2.</w:t>
      </w:r>
      <w:r>
        <w:rPr>
          <w:rFonts w:hint="eastAsia"/>
          <w:szCs w:val="32"/>
          <w:highlight w:val="none"/>
          <w:lang w:val="en-US" w:eastAsia="zh-CN"/>
        </w:rPr>
        <w:t>10</w:t>
      </w:r>
      <w:r>
        <w:rPr>
          <w:rFonts w:hint="eastAsia"/>
          <w:szCs w:val="32"/>
          <w:highlight w:val="none"/>
        </w:rPr>
        <w:t>询问、质疑和投诉</w:t>
      </w:r>
      <w:r>
        <w:tab/>
      </w:r>
      <w:r>
        <w:fldChar w:fldCharType="begin"/>
      </w:r>
      <w:r>
        <w:instrText xml:space="preserve"> PAGEREF _Toc28615 \h </w:instrText>
      </w:r>
      <w:r>
        <w:fldChar w:fldCharType="separate"/>
      </w:r>
      <w:r>
        <w:t>27</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_Toc28771 </w:instrText>
      </w:r>
      <w:r>
        <w:rPr>
          <w:szCs w:val="20"/>
          <w:shd w:val="clear" w:color="auto" w:fill="FFFFFF"/>
        </w:rPr>
        <w:fldChar w:fldCharType="separate"/>
      </w:r>
      <w:r>
        <w:rPr>
          <w:rFonts w:hint="eastAsia"/>
          <w:szCs w:val="32"/>
          <w:highlight w:val="none"/>
        </w:rPr>
        <w:t>2.</w:t>
      </w:r>
      <w:r>
        <w:rPr>
          <w:rFonts w:hint="eastAsia"/>
          <w:szCs w:val="32"/>
          <w:highlight w:val="none"/>
          <w:lang w:val="en-US" w:eastAsia="zh-CN"/>
        </w:rPr>
        <w:t>11</w:t>
      </w:r>
      <w:r>
        <w:rPr>
          <w:rFonts w:hint="eastAsia" w:ascii="宋体" w:hAnsi="宋体"/>
          <w:bCs/>
          <w:szCs w:val="32"/>
          <w:highlight w:val="none"/>
        </w:rPr>
        <w:t>中小企业政府采购信用融资</w:t>
      </w:r>
      <w:r>
        <w:tab/>
      </w:r>
      <w:r>
        <w:fldChar w:fldCharType="begin"/>
      </w:r>
      <w:r>
        <w:instrText xml:space="preserve"> PAGEREF _Toc28771 \h </w:instrText>
      </w:r>
      <w:r>
        <w:fldChar w:fldCharType="separate"/>
      </w:r>
      <w:r>
        <w:t>28</w:t>
      </w:r>
      <w:r>
        <w:fldChar w:fldCharType="end"/>
      </w:r>
      <w:r>
        <w:rPr>
          <w:color w:val="000000"/>
          <w:szCs w:val="20"/>
          <w:shd w:val="clear" w:color="auto" w:fill="FFFFFF"/>
        </w:rPr>
        <w:fldChar w:fldCharType="end"/>
      </w:r>
    </w:p>
    <w:p>
      <w:pPr>
        <w:pStyle w:val="31"/>
        <w:tabs>
          <w:tab w:val="right" w:leader="dot" w:pos="9214"/>
          <w:tab w:val="clear" w:pos="840"/>
          <w:tab w:val="clear" w:pos="9204"/>
        </w:tabs>
      </w:pPr>
      <w:r>
        <w:rPr>
          <w:color w:val="000000"/>
          <w:szCs w:val="20"/>
          <w:shd w:val="clear" w:color="auto" w:fill="FFFFFF"/>
        </w:rPr>
        <w:fldChar w:fldCharType="begin"/>
      </w:r>
      <w:r>
        <w:rPr>
          <w:szCs w:val="20"/>
          <w:shd w:val="clear" w:color="auto" w:fill="FFFFFF"/>
        </w:rPr>
        <w:instrText xml:space="preserve"> HYPERLINK \l _Toc18872 </w:instrText>
      </w:r>
      <w:r>
        <w:rPr>
          <w:szCs w:val="20"/>
          <w:shd w:val="clear" w:color="auto" w:fill="FFFFFF"/>
        </w:rPr>
        <w:fldChar w:fldCharType="separate"/>
      </w:r>
      <w:r>
        <w:rPr>
          <w:rFonts w:hint="eastAsia"/>
        </w:rPr>
        <w:t>第3章 响应文件格式</w:t>
      </w:r>
      <w:r>
        <w:tab/>
      </w:r>
      <w:r>
        <w:fldChar w:fldCharType="begin"/>
      </w:r>
      <w:r>
        <w:instrText xml:space="preserve"> PAGEREF _Toc18872 \h </w:instrText>
      </w:r>
      <w:r>
        <w:fldChar w:fldCharType="separate"/>
      </w:r>
      <w:r>
        <w:t>30</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_Toc10860 </w:instrText>
      </w:r>
      <w:r>
        <w:rPr>
          <w:szCs w:val="20"/>
          <w:shd w:val="clear" w:color="auto" w:fill="FFFFFF"/>
        </w:rPr>
        <w:fldChar w:fldCharType="separate"/>
      </w:r>
      <w:r>
        <w:rPr>
          <w:rFonts w:hint="eastAsia"/>
          <w:highlight w:val="none"/>
          <w:lang w:val="en-US" w:eastAsia="zh-CN"/>
        </w:rPr>
        <w:t>3.1</w:t>
      </w:r>
      <w:r>
        <w:rPr>
          <w:rFonts w:hint="eastAsia"/>
          <w:highlight w:val="none"/>
        </w:rPr>
        <w:t>资格性响应文件格式</w:t>
      </w:r>
      <w:r>
        <w:tab/>
      </w:r>
      <w:r>
        <w:fldChar w:fldCharType="begin"/>
      </w:r>
      <w:r>
        <w:instrText xml:space="preserve"> PAGEREF _Toc10860 \h </w:instrText>
      </w:r>
      <w:r>
        <w:fldChar w:fldCharType="separate"/>
      </w:r>
      <w:r>
        <w:t>30</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_Toc1961 </w:instrText>
      </w:r>
      <w:r>
        <w:rPr>
          <w:szCs w:val="20"/>
          <w:shd w:val="clear" w:color="auto" w:fill="FFFFFF"/>
        </w:rPr>
        <w:fldChar w:fldCharType="separate"/>
      </w:r>
      <w:r>
        <w:rPr>
          <w:rFonts w:hint="eastAsia"/>
          <w:highlight w:val="none"/>
          <w:lang w:val="en-US" w:eastAsia="zh-CN"/>
        </w:rPr>
        <w:t>3.1.1.</w:t>
      </w:r>
      <w:r>
        <w:rPr>
          <w:rFonts w:hint="eastAsia"/>
          <w:highlight w:val="none"/>
        </w:rPr>
        <w:t>资格性响应文件封面格式</w:t>
      </w:r>
      <w:r>
        <w:tab/>
      </w:r>
      <w:r>
        <w:fldChar w:fldCharType="begin"/>
      </w:r>
      <w:r>
        <w:instrText xml:space="preserve"> PAGEREF _Toc1961 \h </w:instrText>
      </w:r>
      <w:r>
        <w:fldChar w:fldCharType="separate"/>
      </w:r>
      <w:r>
        <w:t>30</w:t>
      </w:r>
      <w:r>
        <w:fldChar w:fldCharType="end"/>
      </w:r>
      <w:r>
        <w:rPr>
          <w:color w:val="000000"/>
          <w:szCs w:val="20"/>
          <w:shd w:val="clear" w:color="auto" w:fill="FFFFFF"/>
        </w:rPr>
        <w:fldChar w:fldCharType="end"/>
      </w:r>
    </w:p>
    <w:p>
      <w:pPr>
        <w:pStyle w:val="35"/>
        <w:tabs>
          <w:tab w:val="right" w:leader="dot" w:pos="9214"/>
        </w:tabs>
        <w:ind w:firstLine="200" w:firstLineChars="100"/>
      </w:pPr>
      <w:r>
        <w:rPr>
          <w:color w:val="000000"/>
          <w:szCs w:val="20"/>
          <w:shd w:val="clear" w:color="auto" w:fill="FFFFFF"/>
        </w:rPr>
        <w:fldChar w:fldCharType="begin"/>
      </w:r>
      <w:r>
        <w:rPr>
          <w:szCs w:val="20"/>
          <w:shd w:val="clear" w:color="auto" w:fill="FFFFFF"/>
        </w:rPr>
        <w:instrText xml:space="preserve"> HYPERLINK \l _Toc24985 </w:instrText>
      </w:r>
      <w:r>
        <w:rPr>
          <w:szCs w:val="20"/>
          <w:shd w:val="clear" w:color="auto" w:fill="FFFFFF"/>
        </w:rPr>
        <w:fldChar w:fldCharType="separate"/>
      </w:r>
      <w:r>
        <w:rPr>
          <w:rFonts w:hint="eastAsia" w:ascii="宋体" w:hAnsi="宋体" w:eastAsia="宋体" w:cs="宋体"/>
          <w:lang w:val="en-US" w:eastAsia="zh-CN"/>
        </w:rPr>
        <w:t>3.1.2供应商资格申明的函</w:t>
      </w:r>
      <w:r>
        <w:tab/>
      </w:r>
      <w:r>
        <w:fldChar w:fldCharType="begin"/>
      </w:r>
      <w:r>
        <w:instrText xml:space="preserve"> PAGEREF _Toc24985 \h </w:instrText>
      </w:r>
      <w:r>
        <w:fldChar w:fldCharType="separate"/>
      </w:r>
      <w:r>
        <w:t>31</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_Toc28609 </w:instrText>
      </w:r>
      <w:r>
        <w:rPr>
          <w:szCs w:val="20"/>
          <w:shd w:val="clear" w:color="auto" w:fill="FFFFFF"/>
        </w:rPr>
        <w:fldChar w:fldCharType="separate"/>
      </w:r>
      <w:r>
        <w:rPr>
          <w:rFonts w:hint="eastAsia" w:ascii="宋体" w:hAnsi="宋体" w:eastAsia="宋体"/>
          <w:szCs w:val="32"/>
          <w:highlight w:val="none"/>
          <w:lang w:val="en-US" w:eastAsia="zh-CN"/>
        </w:rPr>
        <w:t>3.1.3声明</w:t>
      </w:r>
      <w:r>
        <w:tab/>
      </w:r>
      <w:r>
        <w:fldChar w:fldCharType="begin"/>
      </w:r>
      <w:r>
        <w:instrText xml:space="preserve"> PAGEREF _Toc28609 \h </w:instrText>
      </w:r>
      <w:r>
        <w:fldChar w:fldCharType="separate"/>
      </w:r>
      <w:r>
        <w:t>32</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_Toc24206 </w:instrText>
      </w:r>
      <w:r>
        <w:rPr>
          <w:szCs w:val="20"/>
          <w:shd w:val="clear" w:color="auto" w:fill="FFFFFF"/>
        </w:rPr>
        <w:fldChar w:fldCharType="separate"/>
      </w:r>
      <w:r>
        <w:rPr>
          <w:rFonts w:hint="eastAsia" w:ascii="宋体" w:hAnsi="宋体" w:eastAsia="宋体" w:cs="Times New Roman"/>
          <w:bCs/>
          <w:kern w:val="2"/>
          <w:szCs w:val="36"/>
          <w:highlight w:val="none"/>
          <w:lang w:val="en-US" w:eastAsia="zh-CN" w:bidi="ar-SA"/>
        </w:rPr>
        <w:t>3.1.</w:t>
      </w:r>
      <w:r>
        <w:rPr>
          <w:rFonts w:hint="eastAsia" w:cs="Times New Roman"/>
          <w:bCs/>
          <w:kern w:val="2"/>
          <w:szCs w:val="36"/>
          <w:highlight w:val="none"/>
          <w:lang w:val="en-US" w:eastAsia="zh-CN" w:bidi="ar-SA"/>
        </w:rPr>
        <w:t>4</w:t>
      </w:r>
      <w:r>
        <w:rPr>
          <w:rFonts w:hint="eastAsia" w:ascii="宋体" w:hAnsi="宋体" w:eastAsia="宋体" w:cs="Times New Roman"/>
          <w:bCs/>
          <w:kern w:val="2"/>
          <w:szCs w:val="36"/>
          <w:highlight w:val="none"/>
          <w:lang w:val="en-US" w:eastAsia="zh-CN" w:bidi="ar-SA"/>
        </w:rPr>
        <w:t>法定代表人身份证明书</w:t>
      </w:r>
      <w:r>
        <w:tab/>
      </w:r>
      <w:r>
        <w:fldChar w:fldCharType="begin"/>
      </w:r>
      <w:r>
        <w:instrText xml:space="preserve"> PAGEREF _Toc24206 \h </w:instrText>
      </w:r>
      <w:r>
        <w:fldChar w:fldCharType="separate"/>
      </w:r>
      <w:r>
        <w:t>34</w:t>
      </w:r>
      <w:r>
        <w:fldChar w:fldCharType="end"/>
      </w:r>
      <w:r>
        <w:rPr>
          <w:color w:val="000000"/>
          <w:szCs w:val="20"/>
          <w:shd w:val="clear" w:color="auto" w:fill="FFFFFF"/>
        </w:rPr>
        <w:fldChar w:fldCharType="end"/>
      </w:r>
    </w:p>
    <w:p>
      <w:pPr>
        <w:pStyle w:val="35"/>
        <w:tabs>
          <w:tab w:val="right" w:leader="dot" w:pos="9214"/>
        </w:tabs>
        <w:ind w:firstLine="200" w:firstLineChars="100"/>
      </w:pPr>
      <w:r>
        <w:rPr>
          <w:color w:val="000000"/>
          <w:szCs w:val="20"/>
          <w:shd w:val="clear" w:color="auto" w:fill="FFFFFF"/>
        </w:rPr>
        <w:fldChar w:fldCharType="begin"/>
      </w:r>
      <w:r>
        <w:rPr>
          <w:szCs w:val="20"/>
          <w:shd w:val="clear" w:color="auto" w:fill="FFFFFF"/>
        </w:rPr>
        <w:instrText xml:space="preserve"> HYPERLINK \l _Toc16076 </w:instrText>
      </w:r>
      <w:r>
        <w:rPr>
          <w:szCs w:val="20"/>
          <w:shd w:val="clear" w:color="auto" w:fill="FFFFFF"/>
        </w:rPr>
        <w:fldChar w:fldCharType="separate"/>
      </w:r>
      <w:r>
        <w:rPr>
          <w:rFonts w:hint="eastAsia"/>
          <w:kern w:val="0"/>
          <w:szCs w:val="24"/>
        </w:rPr>
        <w:t>3.</w:t>
      </w:r>
      <w:r>
        <w:rPr>
          <w:rFonts w:hint="eastAsia"/>
          <w:kern w:val="0"/>
          <w:szCs w:val="24"/>
          <w:lang w:val="en-US" w:eastAsia="zh-CN"/>
        </w:rPr>
        <w:t>1.5</w:t>
      </w:r>
      <w:r>
        <w:rPr>
          <w:rFonts w:hint="eastAsia"/>
          <w:kern w:val="0"/>
          <w:szCs w:val="24"/>
        </w:rPr>
        <w:t>供应商基本情况表</w:t>
      </w:r>
      <w:r>
        <w:tab/>
      </w:r>
      <w:r>
        <w:fldChar w:fldCharType="begin"/>
      </w:r>
      <w:r>
        <w:instrText xml:space="preserve"> PAGEREF _Toc16076 \h </w:instrText>
      </w:r>
      <w:r>
        <w:fldChar w:fldCharType="separate"/>
      </w:r>
      <w:r>
        <w:t>35</w:t>
      </w:r>
      <w:r>
        <w:fldChar w:fldCharType="end"/>
      </w:r>
      <w:r>
        <w:rPr>
          <w:color w:val="000000"/>
          <w:szCs w:val="20"/>
          <w:shd w:val="clear" w:color="auto" w:fill="FFFFFF"/>
        </w:rPr>
        <w:fldChar w:fldCharType="end"/>
      </w:r>
    </w:p>
    <w:p>
      <w:pPr>
        <w:pStyle w:val="35"/>
        <w:tabs>
          <w:tab w:val="right" w:leader="dot" w:pos="9214"/>
        </w:tabs>
        <w:ind w:firstLine="200" w:firstLineChars="100"/>
      </w:pPr>
      <w:r>
        <w:rPr>
          <w:color w:val="000000"/>
          <w:szCs w:val="20"/>
          <w:shd w:val="clear" w:color="auto" w:fill="FFFFFF"/>
        </w:rPr>
        <w:fldChar w:fldCharType="begin"/>
      </w:r>
      <w:r>
        <w:rPr>
          <w:szCs w:val="20"/>
          <w:shd w:val="clear" w:color="auto" w:fill="FFFFFF"/>
        </w:rPr>
        <w:instrText xml:space="preserve"> HYPERLINK \l _Toc10363 </w:instrText>
      </w:r>
      <w:r>
        <w:rPr>
          <w:szCs w:val="20"/>
          <w:shd w:val="clear" w:color="auto" w:fill="FFFFFF"/>
        </w:rPr>
        <w:fldChar w:fldCharType="separate"/>
      </w:r>
      <w:r>
        <w:rPr>
          <w:rFonts w:hint="eastAsia" w:ascii="宋体" w:hAnsi="宋体" w:eastAsia="宋体" w:cs="宋体"/>
        </w:rPr>
        <w:t>3.</w:t>
      </w:r>
      <w:r>
        <w:rPr>
          <w:rFonts w:hint="eastAsia" w:ascii="宋体" w:hAnsi="宋体" w:eastAsia="宋体" w:cs="宋体"/>
          <w:lang w:val="en-US" w:eastAsia="zh-CN"/>
        </w:rPr>
        <w:t>1.6</w:t>
      </w:r>
      <w:r>
        <w:rPr>
          <w:rFonts w:hint="eastAsia" w:ascii="宋体" w:hAnsi="宋体" w:eastAsia="宋体" w:cs="宋体"/>
        </w:rPr>
        <w:t>供应商应提交的相关资格证明材料</w:t>
      </w:r>
      <w:r>
        <w:tab/>
      </w:r>
      <w:r>
        <w:fldChar w:fldCharType="begin"/>
      </w:r>
      <w:r>
        <w:instrText xml:space="preserve"> PAGEREF _Toc10363 \h </w:instrText>
      </w:r>
      <w:r>
        <w:fldChar w:fldCharType="separate"/>
      </w:r>
      <w:r>
        <w:t>36</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_Toc10890 </w:instrText>
      </w:r>
      <w:r>
        <w:rPr>
          <w:szCs w:val="20"/>
          <w:shd w:val="clear" w:color="auto" w:fill="FFFFFF"/>
        </w:rPr>
        <w:fldChar w:fldCharType="separate"/>
      </w:r>
      <w:r>
        <w:rPr>
          <w:rFonts w:hint="eastAsia"/>
          <w:highlight w:val="none"/>
          <w:lang w:val="en-US" w:eastAsia="zh-CN"/>
        </w:rPr>
        <w:t>3.2.1</w:t>
      </w:r>
      <w:r>
        <w:rPr>
          <w:rFonts w:hint="eastAsia"/>
          <w:highlight w:val="none"/>
        </w:rPr>
        <w:t>技术、服务性响应文件封面格式</w:t>
      </w:r>
      <w:r>
        <w:tab/>
      </w:r>
      <w:r>
        <w:fldChar w:fldCharType="begin"/>
      </w:r>
      <w:r>
        <w:instrText xml:space="preserve"> PAGEREF _Toc10890 \h </w:instrText>
      </w:r>
      <w:r>
        <w:fldChar w:fldCharType="separate"/>
      </w:r>
      <w:r>
        <w:t>37</w:t>
      </w:r>
      <w:r>
        <w:fldChar w:fldCharType="end"/>
      </w:r>
      <w:r>
        <w:rPr>
          <w:color w:val="000000"/>
          <w:szCs w:val="20"/>
          <w:shd w:val="clear" w:color="auto" w:fill="FFFFFF"/>
        </w:rPr>
        <w:fldChar w:fldCharType="end"/>
      </w:r>
    </w:p>
    <w:p>
      <w:pPr>
        <w:pStyle w:val="35"/>
        <w:tabs>
          <w:tab w:val="right" w:leader="dot" w:pos="9214"/>
        </w:tabs>
        <w:ind w:firstLine="200" w:firstLineChars="100"/>
      </w:pPr>
      <w:r>
        <w:rPr>
          <w:color w:val="000000"/>
          <w:szCs w:val="20"/>
          <w:shd w:val="clear" w:color="auto" w:fill="FFFFFF"/>
        </w:rPr>
        <w:fldChar w:fldCharType="begin"/>
      </w:r>
      <w:r>
        <w:rPr>
          <w:szCs w:val="20"/>
          <w:shd w:val="clear" w:color="auto" w:fill="FFFFFF"/>
        </w:rPr>
        <w:instrText xml:space="preserve"> HYPERLINK \l _Toc12956 </w:instrText>
      </w:r>
      <w:r>
        <w:rPr>
          <w:szCs w:val="20"/>
          <w:shd w:val="clear" w:color="auto" w:fill="FFFFFF"/>
        </w:rPr>
        <w:fldChar w:fldCharType="separate"/>
      </w:r>
      <w:r>
        <w:rPr>
          <w:rFonts w:hint="eastAsia" w:ascii="宋体" w:hAnsi="宋体" w:eastAsia="宋体" w:cs="宋体"/>
          <w:lang w:val="en-US" w:eastAsia="zh-CN"/>
        </w:rPr>
        <w:t>3.2.2</w:t>
      </w:r>
      <w:r>
        <w:rPr>
          <w:rFonts w:hint="eastAsia" w:ascii="宋体" w:hAnsi="宋体" w:eastAsia="宋体"/>
          <w:kern w:val="10"/>
          <w:szCs w:val="21"/>
          <w:shd w:val="clear" w:color="auto" w:fill="FFFFFF"/>
          <w:lang w:val="en-US" w:eastAsia="zh-CN"/>
        </w:rPr>
        <w:t>报价表</w:t>
      </w:r>
      <w:r>
        <w:tab/>
      </w:r>
      <w:r>
        <w:fldChar w:fldCharType="begin"/>
      </w:r>
      <w:r>
        <w:instrText xml:space="preserve"> PAGEREF _Toc12956 \h </w:instrText>
      </w:r>
      <w:r>
        <w:fldChar w:fldCharType="separate"/>
      </w:r>
      <w:r>
        <w:t>38</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_Toc23896 </w:instrText>
      </w:r>
      <w:r>
        <w:rPr>
          <w:szCs w:val="20"/>
          <w:shd w:val="clear" w:color="auto" w:fill="FFFFFF"/>
        </w:rPr>
        <w:fldChar w:fldCharType="separate"/>
      </w:r>
      <w:r>
        <w:rPr>
          <w:rFonts w:hint="eastAsia"/>
          <w:bCs/>
          <w:szCs w:val="32"/>
        </w:rPr>
        <w:t>3.3.2</w:t>
      </w:r>
      <w:r>
        <w:rPr>
          <w:rFonts w:hint="eastAsia"/>
          <w:bCs/>
          <w:szCs w:val="32"/>
          <w:lang w:val="en-US" w:eastAsia="zh-CN"/>
        </w:rPr>
        <w:t>分项</w:t>
      </w:r>
      <w:r>
        <w:rPr>
          <w:rFonts w:hint="eastAsia"/>
          <w:bCs/>
          <w:szCs w:val="28"/>
        </w:rPr>
        <w:t>报价</w:t>
      </w:r>
      <w:r>
        <w:rPr>
          <w:rFonts w:hint="eastAsia"/>
          <w:bCs/>
          <w:szCs w:val="28"/>
          <w:lang w:val="en-US" w:eastAsia="zh-CN"/>
        </w:rPr>
        <w:t>表</w:t>
      </w:r>
      <w:r>
        <w:tab/>
      </w:r>
      <w:r>
        <w:fldChar w:fldCharType="begin"/>
      </w:r>
      <w:r>
        <w:instrText xml:space="preserve"> PAGEREF _Toc23896 \h </w:instrText>
      </w:r>
      <w:r>
        <w:fldChar w:fldCharType="separate"/>
      </w:r>
      <w:r>
        <w:t>39</w:t>
      </w:r>
      <w:r>
        <w:fldChar w:fldCharType="end"/>
      </w:r>
      <w:r>
        <w:rPr>
          <w:color w:val="000000"/>
          <w:szCs w:val="20"/>
          <w:shd w:val="clear" w:color="auto" w:fill="FFFFFF"/>
        </w:rPr>
        <w:fldChar w:fldCharType="end"/>
      </w:r>
    </w:p>
    <w:p>
      <w:pPr>
        <w:pStyle w:val="35"/>
        <w:tabs>
          <w:tab w:val="right" w:leader="dot" w:pos="9214"/>
        </w:tabs>
        <w:ind w:firstLine="200" w:firstLineChars="100"/>
      </w:pPr>
      <w:r>
        <w:rPr>
          <w:color w:val="000000"/>
          <w:szCs w:val="20"/>
          <w:shd w:val="clear" w:color="auto" w:fill="FFFFFF"/>
        </w:rPr>
        <w:fldChar w:fldCharType="begin"/>
      </w:r>
      <w:r>
        <w:rPr>
          <w:szCs w:val="20"/>
          <w:shd w:val="clear" w:color="auto" w:fill="FFFFFF"/>
        </w:rPr>
        <w:instrText xml:space="preserve"> HYPERLINK \l _Toc2881 </w:instrText>
      </w:r>
      <w:r>
        <w:rPr>
          <w:szCs w:val="20"/>
          <w:shd w:val="clear" w:color="auto" w:fill="FFFFFF"/>
        </w:rPr>
        <w:fldChar w:fldCharType="separate"/>
      </w:r>
      <w:r>
        <w:rPr>
          <w:rFonts w:hint="eastAsia" w:ascii="宋体" w:hAnsi="宋体" w:eastAsia="宋体" w:cs="宋体"/>
        </w:rPr>
        <w:t>3.</w:t>
      </w:r>
      <w:r>
        <w:rPr>
          <w:rFonts w:hint="eastAsia" w:ascii="宋体" w:hAnsi="宋体" w:eastAsia="宋体" w:cs="宋体"/>
          <w:lang w:val="en-US" w:eastAsia="zh-CN"/>
        </w:rPr>
        <w:t>2.4</w:t>
      </w:r>
      <w:r>
        <w:rPr>
          <w:rFonts w:hint="eastAsia" w:ascii="宋体" w:hAnsi="宋体" w:eastAsia="宋体" w:cs="宋体"/>
        </w:rPr>
        <w:t>中小企业声明函</w:t>
      </w:r>
      <w:r>
        <w:tab/>
      </w:r>
      <w:r>
        <w:fldChar w:fldCharType="begin"/>
      </w:r>
      <w:r>
        <w:instrText xml:space="preserve"> PAGEREF _Toc2881 \h </w:instrText>
      </w:r>
      <w:r>
        <w:fldChar w:fldCharType="separate"/>
      </w:r>
      <w:r>
        <w:t>41</w:t>
      </w:r>
      <w:r>
        <w:fldChar w:fldCharType="end"/>
      </w:r>
      <w:r>
        <w:rPr>
          <w:color w:val="000000"/>
          <w:szCs w:val="20"/>
          <w:shd w:val="clear" w:color="auto" w:fill="FFFFFF"/>
        </w:rPr>
        <w:fldChar w:fldCharType="end"/>
      </w:r>
    </w:p>
    <w:p>
      <w:pPr>
        <w:pStyle w:val="35"/>
        <w:tabs>
          <w:tab w:val="right" w:leader="dot" w:pos="9214"/>
        </w:tabs>
        <w:ind w:firstLine="200" w:firstLineChars="100"/>
      </w:pPr>
      <w:r>
        <w:rPr>
          <w:color w:val="000000"/>
          <w:szCs w:val="20"/>
          <w:shd w:val="clear" w:color="auto" w:fill="FFFFFF"/>
        </w:rPr>
        <w:fldChar w:fldCharType="begin"/>
      </w:r>
      <w:r>
        <w:rPr>
          <w:szCs w:val="20"/>
          <w:shd w:val="clear" w:color="auto" w:fill="FFFFFF"/>
        </w:rPr>
        <w:instrText xml:space="preserve"> HYPERLINK \l _Toc21086 </w:instrText>
      </w:r>
      <w:r>
        <w:rPr>
          <w:szCs w:val="20"/>
          <w:shd w:val="clear" w:color="auto" w:fill="FFFFFF"/>
        </w:rPr>
        <w:fldChar w:fldCharType="separate"/>
      </w:r>
      <w:r>
        <w:rPr>
          <w:rFonts w:hint="eastAsia" w:ascii="宋体" w:hAnsi="宋体" w:eastAsia="宋体" w:cs="宋体"/>
        </w:rPr>
        <w:t>3.</w:t>
      </w:r>
      <w:r>
        <w:rPr>
          <w:rFonts w:hint="eastAsia" w:ascii="宋体" w:hAnsi="宋体" w:eastAsia="宋体" w:cs="宋体"/>
          <w:lang w:val="en-US" w:eastAsia="zh-CN"/>
        </w:rPr>
        <w:t>2.5</w:t>
      </w:r>
      <w:r>
        <w:rPr>
          <w:rFonts w:hint="eastAsia" w:ascii="宋体" w:hAnsi="宋体" w:eastAsia="宋体" w:cs="宋体"/>
        </w:rPr>
        <w:t>残疾人福利性单位声明函</w:t>
      </w:r>
      <w:r>
        <w:tab/>
      </w:r>
      <w:r>
        <w:fldChar w:fldCharType="begin"/>
      </w:r>
      <w:r>
        <w:instrText xml:space="preserve"> PAGEREF _Toc21086 \h </w:instrText>
      </w:r>
      <w:r>
        <w:fldChar w:fldCharType="separate"/>
      </w:r>
      <w:r>
        <w:t>42</w:t>
      </w:r>
      <w:r>
        <w:fldChar w:fldCharType="end"/>
      </w:r>
      <w:r>
        <w:rPr>
          <w:color w:val="000000"/>
          <w:szCs w:val="20"/>
          <w:shd w:val="clear" w:color="auto" w:fill="FFFFFF"/>
        </w:rPr>
        <w:fldChar w:fldCharType="end"/>
      </w:r>
    </w:p>
    <w:p>
      <w:pPr>
        <w:pStyle w:val="35"/>
        <w:tabs>
          <w:tab w:val="right" w:leader="dot" w:pos="9214"/>
        </w:tabs>
        <w:ind w:firstLine="200" w:firstLineChars="100"/>
      </w:pPr>
      <w:r>
        <w:rPr>
          <w:color w:val="000000"/>
          <w:szCs w:val="20"/>
          <w:shd w:val="clear" w:color="auto" w:fill="FFFFFF"/>
        </w:rPr>
        <w:fldChar w:fldCharType="begin"/>
      </w:r>
      <w:r>
        <w:rPr>
          <w:szCs w:val="20"/>
          <w:shd w:val="clear" w:color="auto" w:fill="FFFFFF"/>
        </w:rPr>
        <w:instrText xml:space="preserve"> HYPERLINK \l _Toc14572 </w:instrText>
      </w:r>
      <w:r>
        <w:rPr>
          <w:szCs w:val="20"/>
          <w:shd w:val="clear" w:color="auto" w:fill="FFFFFF"/>
        </w:rPr>
        <w:fldChar w:fldCharType="separate"/>
      </w:r>
      <w:r>
        <w:rPr>
          <w:rFonts w:hint="eastAsia" w:ascii="宋体" w:hAnsi="宋体" w:eastAsia="宋体" w:cs="宋体"/>
          <w:kern w:val="0"/>
          <w:szCs w:val="24"/>
          <w:lang w:val="en-US" w:eastAsia="zh-CN" w:bidi="ar-SA"/>
        </w:rPr>
        <w:t>3.2.7实施方案</w:t>
      </w:r>
      <w:r>
        <w:tab/>
      </w:r>
      <w:r>
        <w:fldChar w:fldCharType="begin"/>
      </w:r>
      <w:r>
        <w:instrText xml:space="preserve"> PAGEREF _Toc14572 \h </w:instrText>
      </w:r>
      <w:r>
        <w:fldChar w:fldCharType="separate"/>
      </w:r>
      <w:r>
        <w:t>44</w:t>
      </w:r>
      <w:r>
        <w:fldChar w:fldCharType="end"/>
      </w:r>
      <w:r>
        <w:rPr>
          <w:color w:val="000000"/>
          <w:szCs w:val="20"/>
          <w:shd w:val="clear" w:color="auto" w:fill="FFFFFF"/>
        </w:rPr>
        <w:fldChar w:fldCharType="end"/>
      </w:r>
    </w:p>
    <w:p>
      <w:pPr>
        <w:pStyle w:val="35"/>
        <w:tabs>
          <w:tab w:val="right" w:leader="dot" w:pos="9214"/>
        </w:tabs>
        <w:ind w:firstLine="200" w:firstLineChars="100"/>
      </w:pPr>
      <w:r>
        <w:rPr>
          <w:color w:val="000000"/>
          <w:szCs w:val="20"/>
          <w:shd w:val="clear" w:color="auto" w:fill="FFFFFF"/>
        </w:rPr>
        <w:fldChar w:fldCharType="begin"/>
      </w:r>
      <w:r>
        <w:rPr>
          <w:szCs w:val="20"/>
          <w:shd w:val="clear" w:color="auto" w:fill="FFFFFF"/>
        </w:rPr>
        <w:instrText xml:space="preserve"> HYPERLINK \l _Toc1601 </w:instrText>
      </w:r>
      <w:r>
        <w:rPr>
          <w:szCs w:val="20"/>
          <w:shd w:val="clear" w:color="auto" w:fill="FFFFFF"/>
        </w:rPr>
        <w:fldChar w:fldCharType="separate"/>
      </w:r>
      <w:r>
        <w:rPr>
          <w:rFonts w:hint="eastAsia" w:ascii="宋体" w:hAnsi="宋体" w:eastAsia="宋体" w:cs="宋体"/>
          <w:lang w:val="en-US" w:eastAsia="zh-CN"/>
        </w:rPr>
        <w:t>3.2.8培训方案</w:t>
      </w:r>
      <w:r>
        <w:tab/>
      </w:r>
      <w:r>
        <w:fldChar w:fldCharType="begin"/>
      </w:r>
      <w:r>
        <w:instrText xml:space="preserve"> PAGEREF _Toc1601 \h </w:instrText>
      </w:r>
      <w:r>
        <w:fldChar w:fldCharType="separate"/>
      </w:r>
      <w:r>
        <w:t>45</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_Toc15668 </w:instrText>
      </w:r>
      <w:r>
        <w:rPr>
          <w:szCs w:val="20"/>
          <w:shd w:val="clear" w:color="auto" w:fill="FFFFFF"/>
        </w:rPr>
        <w:fldChar w:fldCharType="separate"/>
      </w:r>
      <w:r>
        <w:rPr>
          <w:rFonts w:hint="eastAsia" w:ascii="宋体" w:hAnsi="宋体" w:cs="宋体"/>
          <w:bCs/>
          <w:kern w:val="2"/>
          <w:szCs w:val="28"/>
          <w:shd w:val="clear" w:color="auto" w:fill="FFFFFF"/>
        </w:rPr>
        <w:t>4.1.2技术参数及要求</w:t>
      </w:r>
      <w:r>
        <w:tab/>
      </w:r>
      <w:r>
        <w:fldChar w:fldCharType="begin"/>
      </w:r>
      <w:r>
        <w:instrText xml:space="preserve"> PAGEREF _Toc15668 \h </w:instrText>
      </w:r>
      <w:r>
        <w:fldChar w:fldCharType="separate"/>
      </w:r>
      <w:r>
        <w:t>47</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_Toc5560 </w:instrText>
      </w:r>
      <w:r>
        <w:rPr>
          <w:szCs w:val="20"/>
          <w:shd w:val="clear" w:color="auto" w:fill="FFFFFF"/>
        </w:rPr>
        <w:fldChar w:fldCharType="separate"/>
      </w:r>
      <w:r>
        <w:rPr>
          <w:rFonts w:hint="eastAsia" w:cs="宋体"/>
          <w:bCs/>
          <w:kern w:val="2"/>
          <w:szCs w:val="28"/>
          <w:shd w:val="clear" w:color="auto" w:fill="FFFFFF"/>
          <w:lang w:val="en-US" w:eastAsia="zh-CN"/>
        </w:rPr>
        <w:t>详见附件《温江中学实验学校数字校园设备采购项目技术方案》</w:t>
      </w:r>
      <w:r>
        <w:tab/>
      </w:r>
      <w:r>
        <w:fldChar w:fldCharType="begin"/>
      </w:r>
      <w:r>
        <w:instrText xml:space="preserve"> PAGEREF _Toc5560 \h </w:instrText>
      </w:r>
      <w:r>
        <w:fldChar w:fldCharType="separate"/>
      </w:r>
      <w:r>
        <w:t>47</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_Toc17795 </w:instrText>
      </w:r>
      <w:r>
        <w:rPr>
          <w:szCs w:val="20"/>
          <w:shd w:val="clear" w:color="auto" w:fill="FFFFFF"/>
        </w:rPr>
        <w:fldChar w:fldCharType="separate"/>
      </w:r>
      <w:r>
        <w:rPr>
          <w:rFonts w:hint="eastAsia"/>
          <w:bCs/>
          <w:szCs w:val="28"/>
          <w:shd w:val="clear" w:color="auto" w:fill="FFFFFF"/>
        </w:rPr>
        <w:t>4.2商务要求</w:t>
      </w:r>
      <w:r>
        <w:tab/>
      </w:r>
      <w:r>
        <w:fldChar w:fldCharType="begin"/>
      </w:r>
      <w:r>
        <w:instrText xml:space="preserve"> PAGEREF _Toc17795 \h </w:instrText>
      </w:r>
      <w:r>
        <w:fldChar w:fldCharType="separate"/>
      </w:r>
      <w:r>
        <w:t>47</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_Toc13774 </w:instrText>
      </w:r>
      <w:r>
        <w:rPr>
          <w:szCs w:val="20"/>
          <w:shd w:val="clear" w:color="auto" w:fill="FFFFFF"/>
        </w:rPr>
        <w:fldChar w:fldCharType="separate"/>
      </w:r>
      <w:r>
        <w:rPr>
          <w:rFonts w:hint="eastAsia"/>
          <w:bCs/>
          <w:szCs w:val="28"/>
          <w:shd w:val="clear" w:color="auto" w:fill="FFFFFF"/>
        </w:rPr>
        <w:t>4.3最高限价</w:t>
      </w:r>
      <w:r>
        <w:tab/>
      </w:r>
      <w:r>
        <w:fldChar w:fldCharType="begin"/>
      </w:r>
      <w:r>
        <w:instrText xml:space="preserve"> PAGEREF _Toc13774 \h </w:instrText>
      </w:r>
      <w:r>
        <w:fldChar w:fldCharType="separate"/>
      </w:r>
      <w:r>
        <w:t>48</w:t>
      </w:r>
      <w:r>
        <w:fldChar w:fldCharType="end"/>
      </w:r>
      <w:r>
        <w:rPr>
          <w:color w:val="000000"/>
          <w:szCs w:val="20"/>
          <w:shd w:val="clear" w:color="auto" w:fill="FFFFFF"/>
        </w:rPr>
        <w:fldChar w:fldCharType="end"/>
      </w:r>
    </w:p>
    <w:p>
      <w:pPr>
        <w:pStyle w:val="35"/>
        <w:tabs>
          <w:tab w:val="right" w:leader="dot" w:pos="9214"/>
        </w:tabs>
        <w:ind w:firstLine="200" w:firstLineChars="100"/>
      </w:pPr>
      <w:r>
        <w:rPr>
          <w:color w:val="000000"/>
          <w:szCs w:val="20"/>
          <w:shd w:val="clear" w:color="auto" w:fill="FFFFFF"/>
        </w:rPr>
        <w:fldChar w:fldCharType="begin"/>
      </w:r>
      <w:r>
        <w:rPr>
          <w:szCs w:val="20"/>
          <w:shd w:val="clear" w:color="auto" w:fill="FFFFFF"/>
        </w:rPr>
        <w:instrText xml:space="preserve"> HYPERLINK \l _Toc8926 </w:instrText>
      </w:r>
      <w:r>
        <w:rPr>
          <w:szCs w:val="20"/>
          <w:shd w:val="clear" w:color="auto" w:fill="FFFFFF"/>
        </w:rPr>
        <w:fldChar w:fldCharType="separate"/>
      </w:r>
      <w:r>
        <w:rPr>
          <w:rFonts w:hint="eastAsia"/>
          <w:bCs/>
          <w:iCs/>
          <w:kern w:val="0"/>
          <w:szCs w:val="28"/>
          <w:shd w:val="clear" w:color="auto" w:fill="FFFFFF"/>
        </w:rPr>
        <w:t>4.4其他要求</w:t>
      </w:r>
      <w:r>
        <w:tab/>
      </w:r>
      <w:r>
        <w:fldChar w:fldCharType="begin"/>
      </w:r>
      <w:r>
        <w:instrText xml:space="preserve"> PAGEREF _Toc8926 \h </w:instrText>
      </w:r>
      <w:r>
        <w:fldChar w:fldCharType="separate"/>
      </w:r>
      <w:r>
        <w:t>48</w:t>
      </w:r>
      <w:r>
        <w:fldChar w:fldCharType="end"/>
      </w:r>
      <w:r>
        <w:rPr>
          <w:color w:val="000000"/>
          <w:szCs w:val="20"/>
          <w:shd w:val="clear" w:color="auto" w:fill="FFFFFF"/>
        </w:rPr>
        <w:fldChar w:fldCharType="end"/>
      </w:r>
    </w:p>
    <w:p>
      <w:pPr>
        <w:pStyle w:val="31"/>
        <w:tabs>
          <w:tab w:val="right" w:leader="dot" w:pos="9214"/>
          <w:tab w:val="clear" w:pos="840"/>
          <w:tab w:val="clear" w:pos="9204"/>
        </w:tabs>
      </w:pPr>
      <w:r>
        <w:rPr>
          <w:color w:val="000000"/>
          <w:szCs w:val="20"/>
          <w:shd w:val="clear" w:color="auto" w:fill="FFFFFF"/>
        </w:rPr>
        <w:fldChar w:fldCharType="begin"/>
      </w:r>
      <w:r>
        <w:rPr>
          <w:szCs w:val="20"/>
          <w:shd w:val="clear" w:color="auto" w:fill="FFFFFF"/>
        </w:rPr>
        <w:instrText xml:space="preserve"> HYPERLINK \l _Toc23754 </w:instrText>
      </w:r>
      <w:r>
        <w:rPr>
          <w:szCs w:val="20"/>
          <w:shd w:val="clear" w:color="auto" w:fill="FFFFFF"/>
        </w:rPr>
        <w:fldChar w:fldCharType="separate"/>
      </w:r>
      <w:r>
        <w:rPr>
          <w:rFonts w:hint="eastAsia"/>
          <w:shd w:val="clear" w:color="auto" w:fill="FFFFFF"/>
        </w:rPr>
        <w:t>第5章 磋商办法</w:t>
      </w:r>
      <w:r>
        <w:tab/>
      </w:r>
      <w:r>
        <w:fldChar w:fldCharType="begin"/>
      </w:r>
      <w:r>
        <w:instrText xml:space="preserve"> PAGEREF _Toc23754 \h </w:instrText>
      </w:r>
      <w:r>
        <w:fldChar w:fldCharType="separate"/>
      </w:r>
      <w:r>
        <w:t>78</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_Toc15400 </w:instrText>
      </w:r>
      <w:r>
        <w:rPr>
          <w:szCs w:val="20"/>
          <w:shd w:val="clear" w:color="auto" w:fill="FFFFFF"/>
        </w:rPr>
        <w:fldChar w:fldCharType="separate"/>
      </w:r>
      <w:r>
        <w:rPr>
          <w:rFonts w:hint="eastAsia"/>
          <w:shd w:val="clear" w:color="auto" w:fill="FFFFFF"/>
        </w:rPr>
        <w:t>5.1总则</w:t>
      </w:r>
      <w:r>
        <w:tab/>
      </w:r>
      <w:r>
        <w:fldChar w:fldCharType="begin"/>
      </w:r>
      <w:r>
        <w:instrText xml:space="preserve"> PAGEREF _Toc15400 \h </w:instrText>
      </w:r>
      <w:r>
        <w:fldChar w:fldCharType="separate"/>
      </w:r>
      <w:r>
        <w:t>78</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_Toc1402 </w:instrText>
      </w:r>
      <w:r>
        <w:rPr>
          <w:szCs w:val="20"/>
          <w:shd w:val="clear" w:color="auto" w:fill="FFFFFF"/>
        </w:rPr>
        <w:fldChar w:fldCharType="separate"/>
      </w:r>
      <w:r>
        <w:rPr>
          <w:rFonts w:hint="eastAsia"/>
          <w:shd w:val="clear" w:color="auto" w:fill="FFFFFF"/>
        </w:rPr>
        <w:t>5.2磋商程序</w:t>
      </w:r>
      <w:r>
        <w:tab/>
      </w:r>
      <w:r>
        <w:fldChar w:fldCharType="begin"/>
      </w:r>
      <w:r>
        <w:instrText xml:space="preserve"> PAGEREF _Toc1402 \h </w:instrText>
      </w:r>
      <w:r>
        <w:fldChar w:fldCharType="separate"/>
      </w:r>
      <w:r>
        <w:t>79</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_Toc4981 </w:instrText>
      </w:r>
      <w:r>
        <w:rPr>
          <w:szCs w:val="20"/>
          <w:shd w:val="clear" w:color="auto" w:fill="FFFFFF"/>
        </w:rPr>
        <w:fldChar w:fldCharType="separate"/>
      </w:r>
      <w:r>
        <w:rPr>
          <w:rFonts w:hint="eastAsia"/>
          <w:highlight w:val="none"/>
        </w:rPr>
        <w:t>5.2.</w:t>
      </w:r>
      <w:r>
        <w:rPr>
          <w:rFonts w:hint="eastAsia"/>
          <w:highlight w:val="none"/>
          <w:lang w:val="en-US" w:eastAsia="zh-CN"/>
        </w:rPr>
        <w:t>2</w:t>
      </w:r>
      <w:r>
        <w:rPr>
          <w:rFonts w:hint="eastAsia"/>
          <w:highlight w:val="none"/>
        </w:rPr>
        <w:t>资格性审查</w:t>
      </w:r>
      <w:r>
        <w:tab/>
      </w:r>
      <w:r>
        <w:fldChar w:fldCharType="begin"/>
      </w:r>
      <w:r>
        <w:instrText xml:space="preserve"> PAGEREF _Toc4981 \h </w:instrText>
      </w:r>
      <w:r>
        <w:fldChar w:fldCharType="separate"/>
      </w:r>
      <w:r>
        <w:t>79</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_Toc24820 </w:instrText>
      </w:r>
      <w:r>
        <w:rPr>
          <w:szCs w:val="20"/>
          <w:shd w:val="clear" w:color="auto" w:fill="FFFFFF"/>
        </w:rPr>
        <w:fldChar w:fldCharType="separate"/>
      </w:r>
      <w:r>
        <w:rPr>
          <w:rFonts w:hint="eastAsia"/>
          <w:highlight w:val="none"/>
          <w:lang w:val="en-US" w:eastAsia="zh-CN"/>
        </w:rPr>
        <w:t>5.2.3符合性审查</w:t>
      </w:r>
      <w:r>
        <w:tab/>
      </w:r>
      <w:r>
        <w:fldChar w:fldCharType="begin"/>
      </w:r>
      <w:r>
        <w:instrText xml:space="preserve"> PAGEREF _Toc24820 \h </w:instrText>
      </w:r>
      <w:r>
        <w:fldChar w:fldCharType="separate"/>
      </w:r>
      <w:r>
        <w:t>82</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_Toc990 </w:instrText>
      </w:r>
      <w:r>
        <w:rPr>
          <w:szCs w:val="20"/>
          <w:shd w:val="clear" w:color="auto" w:fill="FFFFFF"/>
        </w:rPr>
        <w:fldChar w:fldCharType="separate"/>
      </w:r>
      <w:r>
        <w:rPr>
          <w:rFonts w:hint="eastAsia"/>
          <w:highlight w:val="none"/>
        </w:rPr>
        <w:t>5.2.</w:t>
      </w:r>
      <w:r>
        <w:rPr>
          <w:rFonts w:hint="eastAsia"/>
          <w:highlight w:val="none"/>
          <w:lang w:val="en-US" w:eastAsia="zh-CN"/>
        </w:rPr>
        <w:t>4</w:t>
      </w:r>
      <w:r>
        <w:rPr>
          <w:rFonts w:hint="eastAsia"/>
          <w:highlight w:val="none"/>
        </w:rPr>
        <w:t>磋商</w:t>
      </w:r>
      <w:r>
        <w:tab/>
      </w:r>
      <w:r>
        <w:fldChar w:fldCharType="begin"/>
      </w:r>
      <w:r>
        <w:instrText xml:space="preserve"> PAGEREF _Toc990 \h </w:instrText>
      </w:r>
      <w:r>
        <w:fldChar w:fldCharType="separate"/>
      </w:r>
      <w:r>
        <w:t>84</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_Toc23850 </w:instrText>
      </w:r>
      <w:r>
        <w:rPr>
          <w:szCs w:val="20"/>
          <w:shd w:val="clear" w:color="auto" w:fill="FFFFFF"/>
        </w:rPr>
        <w:fldChar w:fldCharType="separate"/>
      </w:r>
      <w:r>
        <w:rPr>
          <w:rFonts w:hint="eastAsia"/>
          <w:highlight w:val="none"/>
        </w:rPr>
        <w:t>5.2.</w:t>
      </w:r>
      <w:r>
        <w:rPr>
          <w:rFonts w:hint="eastAsia"/>
          <w:highlight w:val="none"/>
          <w:lang w:val="en-US" w:eastAsia="zh-CN"/>
        </w:rPr>
        <w:t>5</w:t>
      </w:r>
      <w:r>
        <w:rPr>
          <w:rFonts w:hint="eastAsia"/>
          <w:highlight w:val="none"/>
        </w:rPr>
        <w:t>最后报价审查</w:t>
      </w:r>
      <w:r>
        <w:tab/>
      </w:r>
      <w:r>
        <w:fldChar w:fldCharType="begin"/>
      </w:r>
      <w:r>
        <w:instrText xml:space="preserve"> PAGEREF _Toc23850 \h </w:instrText>
      </w:r>
      <w:r>
        <w:fldChar w:fldCharType="separate"/>
      </w:r>
      <w:r>
        <w:t>85</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_Toc15768 </w:instrText>
      </w:r>
      <w:r>
        <w:rPr>
          <w:szCs w:val="20"/>
          <w:shd w:val="clear" w:color="auto" w:fill="FFFFFF"/>
        </w:rPr>
        <w:fldChar w:fldCharType="separate"/>
      </w:r>
      <w:r>
        <w:rPr>
          <w:rFonts w:hint="eastAsia"/>
          <w:highlight w:val="none"/>
        </w:rPr>
        <w:t>5.2.</w:t>
      </w:r>
      <w:r>
        <w:rPr>
          <w:rFonts w:hint="eastAsia"/>
          <w:highlight w:val="none"/>
          <w:lang w:val="en-US" w:eastAsia="zh-CN"/>
        </w:rPr>
        <w:t>6</w:t>
      </w:r>
      <w:r>
        <w:rPr>
          <w:rFonts w:hint="eastAsia"/>
          <w:highlight w:val="none"/>
        </w:rPr>
        <w:t>解释、澄清、说明的有关问题</w:t>
      </w:r>
      <w:r>
        <w:tab/>
      </w:r>
      <w:r>
        <w:fldChar w:fldCharType="begin"/>
      </w:r>
      <w:r>
        <w:instrText xml:space="preserve"> PAGEREF _Toc15768 \h </w:instrText>
      </w:r>
      <w:r>
        <w:fldChar w:fldCharType="separate"/>
      </w:r>
      <w:r>
        <w:t>86</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_Toc8 </w:instrText>
      </w:r>
      <w:r>
        <w:rPr>
          <w:szCs w:val="20"/>
          <w:shd w:val="clear" w:color="auto" w:fill="FFFFFF"/>
        </w:rPr>
        <w:fldChar w:fldCharType="separate"/>
      </w:r>
      <w:r>
        <w:rPr>
          <w:rFonts w:hint="eastAsia"/>
          <w:highlight w:val="none"/>
        </w:rPr>
        <w:t>5.2.</w:t>
      </w:r>
      <w:r>
        <w:rPr>
          <w:rFonts w:hint="eastAsia"/>
          <w:highlight w:val="none"/>
          <w:lang w:val="en-US" w:eastAsia="zh-CN"/>
        </w:rPr>
        <w:t>7</w:t>
      </w:r>
      <w:r>
        <w:rPr>
          <w:highlight w:val="none"/>
        </w:rPr>
        <w:t>复核</w:t>
      </w:r>
      <w:r>
        <w:tab/>
      </w:r>
      <w:r>
        <w:fldChar w:fldCharType="begin"/>
      </w:r>
      <w:r>
        <w:instrText xml:space="preserve"> PAGEREF _Toc8 \h </w:instrText>
      </w:r>
      <w:r>
        <w:fldChar w:fldCharType="separate"/>
      </w:r>
      <w:r>
        <w:t>87</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_Toc21375 </w:instrText>
      </w:r>
      <w:r>
        <w:rPr>
          <w:szCs w:val="20"/>
          <w:shd w:val="clear" w:color="auto" w:fill="FFFFFF"/>
        </w:rPr>
        <w:fldChar w:fldCharType="separate"/>
      </w:r>
      <w:r>
        <w:rPr>
          <w:rFonts w:hint="eastAsia"/>
          <w:highlight w:val="none"/>
        </w:rPr>
        <w:t>5.2.</w:t>
      </w:r>
      <w:r>
        <w:rPr>
          <w:rFonts w:hint="eastAsia"/>
          <w:highlight w:val="none"/>
          <w:lang w:val="en-US" w:eastAsia="zh-CN"/>
        </w:rPr>
        <w:t>8</w:t>
      </w:r>
      <w:r>
        <w:rPr>
          <w:rFonts w:hint="eastAsia"/>
          <w:highlight w:val="none"/>
        </w:rPr>
        <w:t>推荐成交候选供应商</w:t>
      </w:r>
      <w:r>
        <w:tab/>
      </w:r>
      <w:r>
        <w:fldChar w:fldCharType="begin"/>
      </w:r>
      <w:r>
        <w:instrText xml:space="preserve"> PAGEREF _Toc21375 \h </w:instrText>
      </w:r>
      <w:r>
        <w:fldChar w:fldCharType="separate"/>
      </w:r>
      <w:r>
        <w:t>87</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_Toc10338 </w:instrText>
      </w:r>
      <w:r>
        <w:rPr>
          <w:szCs w:val="20"/>
          <w:shd w:val="clear" w:color="auto" w:fill="FFFFFF"/>
        </w:rPr>
        <w:fldChar w:fldCharType="separate"/>
      </w:r>
      <w:r>
        <w:rPr>
          <w:rFonts w:hint="eastAsia"/>
          <w:highlight w:val="none"/>
          <w:lang w:val="en-US" w:eastAsia="zh-CN"/>
        </w:rPr>
        <w:t>5.2.9编写评审报告</w:t>
      </w:r>
      <w:r>
        <w:tab/>
      </w:r>
      <w:r>
        <w:fldChar w:fldCharType="begin"/>
      </w:r>
      <w:r>
        <w:instrText xml:space="preserve"> PAGEREF _Toc10338 \h </w:instrText>
      </w:r>
      <w:r>
        <w:fldChar w:fldCharType="separate"/>
      </w:r>
      <w:r>
        <w:t>88</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_Toc8279 </w:instrText>
      </w:r>
      <w:r>
        <w:rPr>
          <w:szCs w:val="20"/>
          <w:shd w:val="clear" w:color="auto" w:fill="FFFFFF"/>
        </w:rPr>
        <w:fldChar w:fldCharType="separate"/>
      </w:r>
      <w:r>
        <w:rPr>
          <w:rFonts w:hint="eastAsia"/>
          <w:highlight w:val="none"/>
        </w:rPr>
        <w:t>5.3磋商</w:t>
      </w:r>
      <w:r>
        <w:rPr>
          <w:highlight w:val="none"/>
        </w:rPr>
        <w:t>异议</w:t>
      </w:r>
      <w:r>
        <w:rPr>
          <w:rFonts w:hint="eastAsia"/>
          <w:highlight w:val="none"/>
        </w:rPr>
        <w:t>处理</w:t>
      </w:r>
      <w:r>
        <w:tab/>
      </w:r>
      <w:r>
        <w:fldChar w:fldCharType="begin"/>
      </w:r>
      <w:r>
        <w:instrText xml:space="preserve"> PAGEREF _Toc8279 \h </w:instrText>
      </w:r>
      <w:r>
        <w:fldChar w:fldCharType="separate"/>
      </w:r>
      <w:r>
        <w:t>88</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_Toc13517 </w:instrText>
      </w:r>
      <w:r>
        <w:rPr>
          <w:szCs w:val="20"/>
          <w:shd w:val="clear" w:color="auto" w:fill="FFFFFF"/>
        </w:rPr>
        <w:fldChar w:fldCharType="separate"/>
      </w:r>
      <w:r>
        <w:rPr>
          <w:rFonts w:hint="eastAsia" w:ascii="宋体" w:hAnsi="宋体" w:cs="Times New Roman"/>
          <w:bCs/>
          <w:highlight w:val="none"/>
          <w:lang w:val="en-US" w:eastAsia="zh-CN"/>
        </w:rPr>
        <w:t>5.</w:t>
      </w:r>
      <w:r>
        <w:rPr>
          <w:rFonts w:hint="eastAsia" w:cs="Times New Roman"/>
          <w:bCs/>
          <w:highlight w:val="none"/>
          <w:lang w:val="en-US" w:eastAsia="zh-CN"/>
        </w:rPr>
        <w:t>4</w:t>
      </w:r>
      <w:r>
        <w:rPr>
          <w:rFonts w:hint="eastAsia" w:ascii="宋体" w:hAnsi="宋体" w:cs="Times New Roman"/>
          <w:bCs/>
          <w:highlight w:val="none"/>
        </w:rPr>
        <w:t>评审办法和标准</w:t>
      </w:r>
      <w:r>
        <w:tab/>
      </w:r>
      <w:r>
        <w:fldChar w:fldCharType="begin"/>
      </w:r>
      <w:r>
        <w:instrText xml:space="preserve"> PAGEREF _Toc13517 \h </w:instrText>
      </w:r>
      <w:r>
        <w:fldChar w:fldCharType="separate"/>
      </w:r>
      <w:r>
        <w:t>89</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_Toc24474 </w:instrText>
      </w:r>
      <w:r>
        <w:rPr>
          <w:szCs w:val="20"/>
          <w:shd w:val="clear" w:color="auto" w:fill="FFFFFF"/>
        </w:rPr>
        <w:fldChar w:fldCharType="separate"/>
      </w:r>
      <w:r>
        <w:rPr>
          <w:rFonts w:hint="eastAsia" w:ascii="宋体" w:hAnsi="宋体" w:cs="Times New Roman"/>
          <w:bCs/>
          <w:highlight w:val="none"/>
          <w:lang w:val="en-US" w:eastAsia="zh-CN"/>
        </w:rPr>
        <w:t>5.</w:t>
      </w:r>
      <w:r>
        <w:rPr>
          <w:rFonts w:hint="eastAsia" w:cs="Times New Roman"/>
          <w:bCs/>
          <w:highlight w:val="none"/>
          <w:lang w:val="en-US" w:eastAsia="zh-CN"/>
        </w:rPr>
        <w:t>4.1</w:t>
      </w:r>
      <w:r>
        <w:rPr>
          <w:rFonts w:hint="eastAsia" w:ascii="宋体" w:hAnsi="宋体" w:cs="Times New Roman"/>
          <w:bCs/>
          <w:highlight w:val="none"/>
          <w:lang w:val="en-US" w:eastAsia="zh-CN"/>
        </w:rPr>
        <w:t>评分办法</w:t>
      </w:r>
      <w:r>
        <w:tab/>
      </w:r>
      <w:r>
        <w:fldChar w:fldCharType="begin"/>
      </w:r>
      <w:r>
        <w:instrText xml:space="preserve"> PAGEREF _Toc24474 \h </w:instrText>
      </w:r>
      <w:r>
        <w:fldChar w:fldCharType="separate"/>
      </w:r>
      <w:r>
        <w:t>89</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_Toc20245 </w:instrText>
      </w:r>
      <w:r>
        <w:rPr>
          <w:szCs w:val="20"/>
          <w:shd w:val="clear" w:color="auto" w:fill="FFFFFF"/>
        </w:rPr>
        <w:fldChar w:fldCharType="separate"/>
      </w:r>
      <w:r>
        <w:rPr>
          <w:rFonts w:hint="eastAsia"/>
          <w:shd w:val="clear" w:color="auto" w:fill="FFFFFF"/>
        </w:rPr>
        <w:t>5.</w:t>
      </w:r>
      <w:r>
        <w:rPr>
          <w:rFonts w:hint="eastAsia"/>
          <w:shd w:val="clear" w:color="auto" w:fill="FFFFFF"/>
          <w:lang w:val="en-US" w:eastAsia="zh-CN"/>
        </w:rPr>
        <w:t>4</w:t>
      </w:r>
      <w:r>
        <w:rPr>
          <w:rFonts w:hint="eastAsia"/>
          <w:shd w:val="clear" w:color="auto" w:fill="FFFFFF"/>
        </w:rPr>
        <w:t>.2评分标准</w:t>
      </w:r>
      <w:r>
        <w:tab/>
      </w:r>
      <w:r>
        <w:fldChar w:fldCharType="begin"/>
      </w:r>
      <w:r>
        <w:instrText xml:space="preserve"> PAGEREF _Toc20245 \h </w:instrText>
      </w:r>
      <w:r>
        <w:fldChar w:fldCharType="separate"/>
      </w:r>
      <w:r>
        <w:t>89</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_Toc1207 </w:instrText>
      </w:r>
      <w:r>
        <w:rPr>
          <w:szCs w:val="20"/>
          <w:shd w:val="clear" w:color="auto" w:fill="FFFFFF"/>
        </w:rPr>
        <w:fldChar w:fldCharType="separate"/>
      </w:r>
      <w:r>
        <w:rPr>
          <w:rFonts w:hint="eastAsia" w:ascii="宋体" w:hAnsi="宋体" w:eastAsia="宋体" w:cs="Times New Roman"/>
          <w:highlight w:val="none"/>
          <w:lang w:val="en-US" w:eastAsia="zh-CN"/>
        </w:rPr>
        <w:t>5.5采购失败情形</w:t>
      </w:r>
      <w:r>
        <w:tab/>
      </w:r>
      <w:r>
        <w:fldChar w:fldCharType="begin"/>
      </w:r>
      <w:r>
        <w:instrText xml:space="preserve"> PAGEREF _Toc1207 \h </w:instrText>
      </w:r>
      <w:r>
        <w:fldChar w:fldCharType="separate"/>
      </w:r>
      <w:r>
        <w:t>92</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_Toc17751 </w:instrText>
      </w:r>
      <w:r>
        <w:rPr>
          <w:szCs w:val="20"/>
          <w:shd w:val="clear" w:color="auto" w:fill="FFFFFF"/>
        </w:rPr>
        <w:fldChar w:fldCharType="separate"/>
      </w:r>
      <w:r>
        <w:rPr>
          <w:rFonts w:hint="eastAsia"/>
          <w:shd w:val="clear" w:color="auto" w:fill="FFFFFF"/>
        </w:rPr>
        <w:t>5.</w:t>
      </w:r>
      <w:r>
        <w:rPr>
          <w:rFonts w:hint="eastAsia"/>
          <w:shd w:val="clear" w:color="auto" w:fill="FFFFFF"/>
          <w:lang w:val="en-US" w:eastAsia="zh-CN"/>
        </w:rPr>
        <w:t>6</w:t>
      </w:r>
      <w:r>
        <w:rPr>
          <w:rFonts w:hint="eastAsia"/>
          <w:shd w:val="clear" w:color="auto" w:fill="FFFFFF"/>
        </w:rPr>
        <w:t>确定成交供应商</w:t>
      </w:r>
      <w:r>
        <w:tab/>
      </w:r>
      <w:r>
        <w:fldChar w:fldCharType="begin"/>
      </w:r>
      <w:r>
        <w:instrText xml:space="preserve"> PAGEREF _Toc17751 \h </w:instrText>
      </w:r>
      <w:r>
        <w:fldChar w:fldCharType="separate"/>
      </w:r>
      <w:r>
        <w:t>92</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_Toc6065 </w:instrText>
      </w:r>
      <w:r>
        <w:rPr>
          <w:szCs w:val="20"/>
          <w:shd w:val="clear" w:color="auto" w:fill="FFFFFF"/>
        </w:rPr>
        <w:fldChar w:fldCharType="separate"/>
      </w:r>
      <w:r>
        <w:rPr>
          <w:rFonts w:hint="eastAsia"/>
          <w:shd w:val="clear" w:color="auto" w:fill="FFFFFF"/>
        </w:rPr>
        <w:t>5.</w:t>
      </w:r>
      <w:r>
        <w:rPr>
          <w:rFonts w:hint="eastAsia"/>
          <w:shd w:val="clear" w:color="auto" w:fill="FFFFFF"/>
          <w:lang w:val="en-US" w:eastAsia="zh-CN"/>
        </w:rPr>
        <w:t>7</w:t>
      </w:r>
      <w:r>
        <w:rPr>
          <w:rFonts w:hint="eastAsia"/>
          <w:shd w:val="clear" w:color="auto" w:fill="FFFFFF"/>
        </w:rPr>
        <w:t>磋商小组成员义务</w:t>
      </w:r>
      <w:r>
        <w:tab/>
      </w:r>
      <w:r>
        <w:fldChar w:fldCharType="begin"/>
      </w:r>
      <w:r>
        <w:instrText xml:space="preserve"> PAGEREF _Toc6065 \h </w:instrText>
      </w:r>
      <w:r>
        <w:fldChar w:fldCharType="separate"/>
      </w:r>
      <w:r>
        <w:t>92</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_Toc16801 </w:instrText>
      </w:r>
      <w:r>
        <w:rPr>
          <w:szCs w:val="20"/>
          <w:shd w:val="clear" w:color="auto" w:fill="FFFFFF"/>
        </w:rPr>
        <w:fldChar w:fldCharType="separate"/>
      </w:r>
      <w:r>
        <w:rPr>
          <w:rFonts w:hint="eastAsia"/>
          <w:highlight w:val="none"/>
          <w:lang w:val="en-US" w:eastAsia="zh-CN"/>
        </w:rPr>
        <w:t>5.8</w:t>
      </w:r>
      <w:r>
        <w:rPr>
          <w:rFonts w:hint="eastAsia"/>
          <w:highlight w:val="none"/>
        </w:rPr>
        <w:t>磋商纪律</w:t>
      </w:r>
      <w:r>
        <w:tab/>
      </w:r>
      <w:r>
        <w:fldChar w:fldCharType="begin"/>
      </w:r>
      <w:r>
        <w:instrText xml:space="preserve"> PAGEREF _Toc16801 \h </w:instrText>
      </w:r>
      <w:r>
        <w:fldChar w:fldCharType="separate"/>
      </w:r>
      <w:r>
        <w:t>93</w:t>
      </w:r>
      <w:r>
        <w:fldChar w:fldCharType="end"/>
      </w:r>
      <w:r>
        <w:rPr>
          <w:color w:val="000000"/>
          <w:szCs w:val="20"/>
          <w:shd w:val="clear" w:color="auto" w:fill="FFFFFF"/>
        </w:rPr>
        <w:fldChar w:fldCharType="end"/>
      </w:r>
    </w:p>
    <w:p>
      <w:pPr>
        <w:pStyle w:val="31"/>
        <w:tabs>
          <w:tab w:val="right" w:leader="dot" w:pos="9214"/>
          <w:tab w:val="clear" w:pos="840"/>
          <w:tab w:val="clear" w:pos="9204"/>
        </w:tabs>
      </w:pPr>
      <w:r>
        <w:rPr>
          <w:color w:val="000000"/>
          <w:szCs w:val="20"/>
          <w:shd w:val="clear" w:color="auto" w:fill="FFFFFF"/>
        </w:rPr>
        <w:fldChar w:fldCharType="begin"/>
      </w:r>
      <w:r>
        <w:rPr>
          <w:szCs w:val="20"/>
          <w:shd w:val="clear" w:color="auto" w:fill="FFFFFF"/>
        </w:rPr>
        <w:instrText xml:space="preserve"> HYPERLINK \l _Toc1995 </w:instrText>
      </w:r>
      <w:r>
        <w:rPr>
          <w:szCs w:val="20"/>
          <w:shd w:val="clear" w:color="auto" w:fill="FFFFFF"/>
        </w:rPr>
        <w:fldChar w:fldCharType="separate"/>
      </w:r>
      <w:r>
        <w:rPr>
          <w:rFonts w:hint="eastAsia"/>
          <w:shd w:val="clear" w:color="auto" w:fill="FFFFFF"/>
        </w:rPr>
        <w:t>第6章 合同主要条款</w:t>
      </w:r>
      <w:r>
        <w:tab/>
      </w:r>
      <w:r>
        <w:fldChar w:fldCharType="begin"/>
      </w:r>
      <w:r>
        <w:instrText xml:space="preserve"> PAGEREF _Toc1995 \h </w:instrText>
      </w:r>
      <w:r>
        <w:fldChar w:fldCharType="separate"/>
      </w:r>
      <w:r>
        <w:t>94</w:t>
      </w:r>
      <w:r>
        <w:fldChar w:fldCharType="end"/>
      </w:r>
      <w:r>
        <w:rPr>
          <w:color w:val="000000"/>
          <w:szCs w:val="20"/>
          <w:shd w:val="clear" w:color="auto" w:fill="FFFFFF"/>
        </w:rPr>
        <w:fldChar w:fldCharType="end"/>
      </w:r>
    </w:p>
    <w:p>
      <w:pPr>
        <w:pStyle w:val="236"/>
        <w:ind w:firstLine="480"/>
        <w:rPr>
          <w:color w:val="000000"/>
          <w:shd w:val="clear" w:color="auto" w:fill="FFFFFF"/>
        </w:rPr>
      </w:pPr>
      <w:r>
        <w:rPr>
          <w:color w:val="000000"/>
          <w:szCs w:val="20"/>
          <w:shd w:val="clear" w:color="auto" w:fill="FFFFFF"/>
        </w:rPr>
        <w:fldChar w:fldCharType="end"/>
      </w:r>
    </w:p>
    <w:p>
      <w:pPr>
        <w:pStyle w:val="3"/>
        <w:rPr>
          <w:color w:val="000000"/>
          <w:shd w:val="clear" w:color="auto" w:fill="FFFFFF"/>
        </w:rPr>
      </w:pPr>
      <w:bookmarkStart w:id="2" w:name="_Toc22566"/>
      <w:r>
        <w:rPr>
          <w:rFonts w:hint="eastAsia"/>
          <w:color w:val="000000"/>
          <w:shd w:val="clear" w:color="auto" w:fill="FFFFFF"/>
        </w:rPr>
        <w:t>第1章 竞争性磋商邀请</w:t>
      </w:r>
      <w:bookmarkEnd w:id="2"/>
    </w:p>
    <w:p>
      <w:pPr>
        <w:pStyle w:val="113"/>
        <w:ind w:firstLine="562"/>
        <w:rPr>
          <w:color w:val="000000"/>
          <w:sz w:val="28"/>
          <w:szCs w:val="28"/>
          <w:u w:val="single"/>
          <w:shd w:val="clear" w:color="auto" w:fill="FFFFFF"/>
        </w:rPr>
      </w:pPr>
      <w:r>
        <w:rPr>
          <w:rStyle w:val="59"/>
          <w:rFonts w:hint="eastAsia"/>
          <w:color w:val="000000"/>
          <w:sz w:val="28"/>
          <w:shd w:val="clear" w:color="auto" w:fill="FFFFFF"/>
        </w:rPr>
        <w:t>成都市温江区</w:t>
      </w:r>
      <w:r>
        <w:rPr>
          <w:rFonts w:hint="eastAsia"/>
          <w:b/>
          <w:color w:val="000000"/>
          <w:sz w:val="28"/>
          <w:szCs w:val="28"/>
          <w:shd w:val="clear" w:color="auto" w:fill="FFFFFF"/>
        </w:rPr>
        <w:t>公共资源交易服务中心</w:t>
      </w:r>
      <w:r>
        <w:rPr>
          <w:rFonts w:hint="eastAsia"/>
          <w:color w:val="000000"/>
          <w:sz w:val="28"/>
          <w:szCs w:val="28"/>
          <w:shd w:val="clear" w:color="auto" w:fill="FFFFFF"/>
        </w:rPr>
        <w:t>(以下简称“区公资交易中心”)</w:t>
      </w:r>
      <w:r>
        <w:rPr>
          <w:rFonts w:hint="eastAsia"/>
          <w:color w:val="000000"/>
          <w:sz w:val="28"/>
          <w:szCs w:val="28"/>
        </w:rPr>
        <w:t>受</w:t>
      </w:r>
      <w:r>
        <w:rPr>
          <w:rStyle w:val="59"/>
          <w:rFonts w:hint="eastAsia"/>
          <w:color w:val="000000"/>
          <w:sz w:val="28"/>
          <w:shd w:val="clear" w:color="auto" w:fill="FFFFFF"/>
          <w:lang w:eastAsia="zh-CN"/>
        </w:rPr>
        <w:t>温江中学实验学校</w:t>
      </w:r>
      <w:r>
        <w:rPr>
          <w:rFonts w:hint="eastAsia"/>
          <w:color w:val="000000"/>
          <w:sz w:val="28"/>
          <w:szCs w:val="28"/>
        </w:rPr>
        <w:t>委托</w:t>
      </w:r>
      <w:r>
        <w:rPr>
          <w:rFonts w:hint="eastAsia"/>
          <w:color w:val="000000"/>
          <w:sz w:val="28"/>
          <w:szCs w:val="28"/>
          <w:shd w:val="clear" w:color="auto" w:fill="FFFFFF"/>
        </w:rPr>
        <w:t>，拟对</w:t>
      </w:r>
      <w:r>
        <w:rPr>
          <w:rFonts w:hint="eastAsia"/>
          <w:b/>
          <w:bCs/>
          <w:color w:val="000000"/>
          <w:sz w:val="28"/>
          <w:szCs w:val="28"/>
          <w:shd w:val="clear" w:color="auto" w:fill="FFFFFF"/>
          <w:lang w:eastAsia="zh-CN"/>
        </w:rPr>
        <w:t>数字校园设备采购项目</w:t>
      </w:r>
      <w:r>
        <w:rPr>
          <w:rFonts w:hint="eastAsia"/>
          <w:color w:val="000000"/>
          <w:sz w:val="28"/>
          <w:szCs w:val="28"/>
          <w:shd w:val="clear" w:color="auto" w:fill="FFFFFF"/>
        </w:rPr>
        <w:t>采用竞争性磋商采购方式进行采购，欢迎供应商参加该项目的竞争性磋商。</w:t>
      </w:r>
    </w:p>
    <w:p>
      <w:pPr>
        <w:pStyle w:val="113"/>
        <w:ind w:firstLine="562"/>
        <w:rPr>
          <w:rFonts w:hint="eastAsia" w:eastAsiaTheme="minorEastAsia"/>
          <w:b/>
          <w:color w:val="000000"/>
          <w:sz w:val="28"/>
          <w:szCs w:val="28"/>
          <w:highlight w:val="none"/>
          <w:shd w:val="clear" w:color="auto" w:fill="FFFFFF"/>
          <w:lang w:eastAsia="zh-CN"/>
        </w:rPr>
      </w:pPr>
      <w:r>
        <w:rPr>
          <w:rFonts w:hint="eastAsia"/>
          <w:b/>
          <w:color w:val="000000"/>
          <w:sz w:val="28"/>
          <w:szCs w:val="28"/>
          <w:shd w:val="clear" w:color="auto" w:fill="FFFFFF"/>
        </w:rPr>
        <w:t>一</w:t>
      </w:r>
      <w:r>
        <w:rPr>
          <w:rFonts w:hint="eastAsia"/>
          <w:b/>
          <w:color w:val="000000"/>
          <w:sz w:val="28"/>
          <w:szCs w:val="28"/>
          <w:highlight w:val="none"/>
          <w:shd w:val="clear" w:color="auto" w:fill="FFFFFF"/>
        </w:rPr>
        <w:t>、项目编号：</w:t>
      </w:r>
      <w:r>
        <w:rPr>
          <w:rFonts w:hint="eastAsia"/>
          <w:b/>
          <w:color w:val="000000"/>
          <w:sz w:val="28"/>
          <w:szCs w:val="28"/>
          <w:highlight w:val="none"/>
          <w:shd w:val="clear" w:color="auto" w:fill="FFFFFF"/>
          <w:lang w:eastAsia="zh-CN"/>
        </w:rPr>
        <w:t>温江政采（2021）A0055号</w:t>
      </w:r>
    </w:p>
    <w:p>
      <w:pPr>
        <w:pStyle w:val="361"/>
        <w:rPr>
          <w:sz w:val="28"/>
          <w:szCs w:val="28"/>
          <w:highlight w:val="none"/>
        </w:rPr>
      </w:pPr>
      <w:r>
        <w:rPr>
          <w:rFonts w:hint="eastAsia"/>
          <w:b/>
          <w:color w:val="000000"/>
          <w:sz w:val="28"/>
          <w:szCs w:val="28"/>
          <w:highlight w:val="none"/>
          <w:shd w:val="clear" w:color="auto" w:fill="FFFFFF"/>
        </w:rPr>
        <w:t>（采购项目编号：</w:t>
      </w:r>
      <w:r>
        <w:rPr>
          <w:sz w:val="28"/>
          <w:szCs w:val="28"/>
          <w:highlight w:val="none"/>
        </w:rPr>
        <w:t>窗体顶端</w:t>
      </w:r>
    </w:p>
    <w:p>
      <w:pPr>
        <w:pStyle w:val="113"/>
        <w:ind w:firstLine="975" w:firstLineChars="347"/>
        <w:rPr>
          <w:rFonts w:eastAsia="宋体" w:cs="Times New Roman"/>
          <w:color w:val="000000"/>
          <w:sz w:val="28"/>
          <w:szCs w:val="28"/>
          <w:highlight w:val="none"/>
          <w:shd w:val="clear" w:color="auto" w:fill="FFFFFF"/>
        </w:rPr>
      </w:pPr>
      <w:r>
        <w:rPr>
          <w:rFonts w:hint="eastAsia"/>
          <w:b/>
          <w:sz w:val="28"/>
          <w:szCs w:val="28"/>
          <w:highlight w:val="none"/>
        </w:rPr>
        <w:t>（采购项</w:t>
      </w:r>
      <w:r>
        <w:rPr>
          <w:rFonts w:hint="eastAsia" w:eastAsia="宋体" w:cs="Times New Roman"/>
          <w:b/>
          <w:sz w:val="28"/>
          <w:szCs w:val="28"/>
          <w:highlight w:val="none"/>
        </w:rPr>
        <w:t>目编号：510115202100194）</w:t>
      </w:r>
    </w:p>
    <w:p>
      <w:pPr>
        <w:pStyle w:val="363"/>
        <w:rPr>
          <w:sz w:val="28"/>
          <w:szCs w:val="28"/>
          <w:highlight w:val="none"/>
        </w:rPr>
      </w:pPr>
      <w:r>
        <w:rPr>
          <w:sz w:val="28"/>
          <w:szCs w:val="28"/>
          <w:highlight w:val="none"/>
        </w:rPr>
        <w:t>窗体底端</w:t>
      </w:r>
    </w:p>
    <w:p>
      <w:pPr>
        <w:pStyle w:val="113"/>
        <w:numPr>
          <w:ilvl w:val="0"/>
          <w:numId w:val="1"/>
        </w:numPr>
        <w:ind w:firstLine="562"/>
        <w:rPr>
          <w:rFonts w:hint="eastAsia"/>
          <w:b/>
          <w:bCs/>
          <w:color w:val="000000"/>
          <w:sz w:val="28"/>
          <w:szCs w:val="28"/>
          <w:highlight w:val="none"/>
          <w:shd w:val="clear" w:color="auto" w:fill="FFFFFF"/>
          <w:lang w:eastAsia="zh-CN"/>
        </w:rPr>
      </w:pPr>
      <w:r>
        <w:rPr>
          <w:rFonts w:hint="eastAsia"/>
          <w:b/>
          <w:color w:val="000000"/>
          <w:sz w:val="28"/>
          <w:szCs w:val="28"/>
          <w:highlight w:val="none"/>
          <w:shd w:val="clear" w:color="auto" w:fill="FFFFFF"/>
        </w:rPr>
        <w:t>项目名称：</w:t>
      </w:r>
      <w:r>
        <w:rPr>
          <w:rFonts w:hint="eastAsia"/>
          <w:b/>
          <w:bCs/>
          <w:color w:val="000000"/>
          <w:sz w:val="28"/>
          <w:szCs w:val="28"/>
          <w:highlight w:val="none"/>
          <w:shd w:val="clear" w:color="auto" w:fill="FFFFFF"/>
          <w:lang w:eastAsia="zh-CN"/>
        </w:rPr>
        <w:t>温江中学实验学校数字校园设备采购项目</w:t>
      </w:r>
    </w:p>
    <w:p>
      <w:pPr>
        <w:pStyle w:val="113"/>
        <w:numPr>
          <w:ilvl w:val="0"/>
          <w:numId w:val="1"/>
        </w:numPr>
        <w:ind w:firstLine="562"/>
        <w:rPr>
          <w:color w:val="000000"/>
          <w:kern w:val="0"/>
          <w:sz w:val="28"/>
          <w:szCs w:val="28"/>
        </w:rPr>
      </w:pPr>
      <w:r>
        <w:rPr>
          <w:rFonts w:hint="eastAsia" w:eastAsia="宋体" w:cs="Times New Roman"/>
          <w:b/>
          <w:color w:val="000000"/>
          <w:sz w:val="28"/>
          <w:szCs w:val="28"/>
          <w:highlight w:val="none"/>
          <w:shd w:val="clear" w:color="auto" w:fill="FFFFFF"/>
        </w:rPr>
        <w:t>资金来源、预算金额：</w:t>
      </w:r>
      <w:r>
        <w:rPr>
          <w:rFonts w:hint="eastAsia" w:eastAsia="宋体" w:cs="Times New Roman"/>
          <w:color w:val="000000"/>
          <w:sz w:val="28"/>
          <w:szCs w:val="28"/>
          <w:highlight w:val="none"/>
          <w:shd w:val="clear" w:color="auto" w:fill="FFFFFF"/>
        </w:rPr>
        <w:t>财政性资金</w:t>
      </w:r>
      <w:r>
        <w:rPr>
          <w:rFonts w:hint="eastAsia" w:eastAsia="宋体" w:cs="Times New Roman"/>
          <w:color w:val="000000"/>
          <w:sz w:val="28"/>
          <w:szCs w:val="28"/>
          <w:shd w:val="clear" w:color="auto" w:fill="FFFFFF"/>
        </w:rPr>
        <w:t>，政府采购计划号：SCZC510115605636_20210001</w:t>
      </w:r>
      <w:r>
        <w:rPr>
          <w:rFonts w:hint="eastAsia" w:eastAsia="宋体" w:cs="Times New Roman"/>
          <w:sz w:val="28"/>
          <w:szCs w:val="28"/>
        </w:rPr>
        <w:t>；</w:t>
      </w:r>
      <w:r>
        <w:rPr>
          <w:rFonts w:hint="eastAsia" w:eastAsia="宋体" w:cs="Times New Roman"/>
          <w:color w:val="000000"/>
          <w:sz w:val="28"/>
          <w:szCs w:val="28"/>
          <w:shd w:val="clear" w:color="auto" w:fill="FFFFFF"/>
        </w:rPr>
        <w:t>预算品目：A033412教学专用仪器；预算金额：</w:t>
      </w:r>
      <w:r>
        <w:rPr>
          <w:rFonts w:hint="eastAsia" w:eastAsia="宋体" w:cs="Times New Roman"/>
          <w:color w:val="000000"/>
          <w:sz w:val="28"/>
          <w:szCs w:val="28"/>
          <w:shd w:val="clear" w:color="auto" w:fill="FFFFFF"/>
          <w:lang w:eastAsia="zh-CN"/>
        </w:rPr>
        <w:t>999300元</w:t>
      </w:r>
      <w:r>
        <w:rPr>
          <w:rFonts w:hint="eastAsia" w:eastAsia="宋体" w:cs="Times New Roman"/>
          <w:color w:val="000000"/>
          <w:sz w:val="28"/>
          <w:szCs w:val="28"/>
          <w:shd w:val="clear" w:color="auto" w:fill="FFFFFF"/>
        </w:rPr>
        <w:t>；最高限价：</w:t>
      </w:r>
      <w:r>
        <w:rPr>
          <w:rFonts w:hint="eastAsia" w:eastAsia="宋体" w:cs="Times New Roman"/>
          <w:color w:val="000000"/>
          <w:sz w:val="28"/>
          <w:szCs w:val="28"/>
          <w:shd w:val="clear" w:color="auto" w:fill="FFFFFF"/>
          <w:lang w:eastAsia="zh-CN"/>
        </w:rPr>
        <w:t>999300元</w:t>
      </w:r>
      <w:r>
        <w:rPr>
          <w:rFonts w:hint="eastAsia" w:eastAsia="宋体" w:cs="Times New Roman"/>
          <w:color w:val="000000"/>
          <w:sz w:val="28"/>
          <w:szCs w:val="28"/>
          <w:shd w:val="clear" w:color="auto" w:fill="FFFFFF"/>
        </w:rPr>
        <w:t>。</w:t>
      </w:r>
    </w:p>
    <w:p>
      <w:pPr>
        <w:pStyle w:val="113"/>
        <w:ind w:firstLine="562"/>
        <w:rPr>
          <w:b/>
          <w:color w:val="000000"/>
          <w:sz w:val="28"/>
          <w:szCs w:val="28"/>
          <w:shd w:val="clear" w:color="auto" w:fill="FFFFFF"/>
        </w:rPr>
      </w:pPr>
      <w:r>
        <w:rPr>
          <w:rFonts w:hint="eastAsia"/>
          <w:b/>
          <w:color w:val="000000"/>
          <w:sz w:val="28"/>
          <w:szCs w:val="28"/>
          <w:shd w:val="clear" w:color="auto" w:fill="FFFFFF"/>
        </w:rPr>
        <w:t>四、供应商参加本次政府采购活动应具备的条件</w:t>
      </w:r>
    </w:p>
    <w:p>
      <w:pPr>
        <w:pStyle w:val="113"/>
        <w:ind w:left="0" w:leftChars="0" w:firstLine="560" w:firstLineChars="200"/>
        <w:rPr>
          <w:rFonts w:hint="eastAsia"/>
          <w:b w:val="0"/>
          <w:bCs/>
          <w:sz w:val="28"/>
          <w:szCs w:val="28"/>
        </w:rPr>
      </w:pPr>
      <w:r>
        <w:rPr>
          <w:rFonts w:hint="eastAsia"/>
          <w:b w:val="0"/>
          <w:bCs/>
          <w:sz w:val="28"/>
          <w:szCs w:val="28"/>
        </w:rPr>
        <w:t>（一）符合《中华人民共和国政府采购法》第二十二条第一款的相关规定；</w:t>
      </w:r>
    </w:p>
    <w:p>
      <w:pPr>
        <w:pStyle w:val="113"/>
        <w:ind w:left="0" w:leftChars="0" w:firstLine="560" w:firstLineChars="200"/>
        <w:rPr>
          <w:rFonts w:hint="eastAsia"/>
          <w:b w:val="0"/>
          <w:bCs/>
          <w:sz w:val="28"/>
          <w:szCs w:val="28"/>
        </w:rPr>
      </w:pPr>
      <w:r>
        <w:rPr>
          <w:rFonts w:hint="eastAsia"/>
          <w:b w:val="0"/>
          <w:bCs/>
          <w:sz w:val="28"/>
          <w:szCs w:val="28"/>
        </w:rPr>
        <w:t>(二）未被列入失信被执行人、重大税收违法案件当事人名单、政府采购严重违法失信行为记录名单；</w:t>
      </w:r>
    </w:p>
    <w:p>
      <w:pPr>
        <w:pStyle w:val="113"/>
        <w:ind w:left="0" w:leftChars="0" w:firstLine="560" w:firstLineChars="200"/>
        <w:rPr>
          <w:rFonts w:hint="eastAsia"/>
          <w:b w:val="0"/>
          <w:bCs/>
          <w:sz w:val="28"/>
          <w:szCs w:val="28"/>
        </w:rPr>
      </w:pPr>
      <w:r>
        <w:rPr>
          <w:rFonts w:hint="eastAsia"/>
          <w:b w:val="0"/>
          <w:bCs/>
          <w:sz w:val="28"/>
          <w:szCs w:val="28"/>
        </w:rPr>
        <w:t>（三）在行贿犯罪信息查询期限内，供应商及其现任法定代表人、主要负责人没有行贿犯罪记录；</w:t>
      </w:r>
    </w:p>
    <w:p>
      <w:pPr>
        <w:pStyle w:val="113"/>
        <w:ind w:firstLine="562"/>
        <w:rPr>
          <w:rFonts w:hint="eastAsia"/>
          <w:b w:val="0"/>
          <w:bCs/>
          <w:sz w:val="28"/>
          <w:szCs w:val="28"/>
        </w:rPr>
      </w:pPr>
      <w:r>
        <w:rPr>
          <w:rFonts w:hint="eastAsia"/>
          <w:b w:val="0"/>
          <w:bCs/>
          <w:sz w:val="28"/>
          <w:szCs w:val="28"/>
        </w:rPr>
        <w:t>（四）未处于被行政部门禁止参与政府采购活动的期限内；</w:t>
      </w:r>
    </w:p>
    <w:p>
      <w:pPr>
        <w:pStyle w:val="113"/>
        <w:ind w:firstLine="562"/>
        <w:rPr>
          <w:rFonts w:hint="eastAsia"/>
          <w:b w:val="0"/>
          <w:bCs/>
          <w:sz w:val="28"/>
          <w:szCs w:val="28"/>
        </w:rPr>
      </w:pPr>
      <w:r>
        <w:rPr>
          <w:rFonts w:hint="eastAsia"/>
          <w:b w:val="0"/>
          <w:bCs/>
          <w:sz w:val="28"/>
          <w:szCs w:val="28"/>
        </w:rPr>
        <w:t>（五）不属于其他国家相关法律法规规定的禁止参加磋商的供应商；</w:t>
      </w:r>
    </w:p>
    <w:p>
      <w:pPr>
        <w:pStyle w:val="113"/>
        <w:ind w:firstLine="562"/>
        <w:rPr>
          <w:rFonts w:hint="eastAsia"/>
          <w:b w:val="0"/>
          <w:bCs/>
          <w:sz w:val="28"/>
          <w:szCs w:val="28"/>
        </w:rPr>
      </w:pPr>
      <w:r>
        <w:rPr>
          <w:rFonts w:hint="eastAsia"/>
          <w:b w:val="0"/>
          <w:bCs/>
          <w:sz w:val="28"/>
          <w:szCs w:val="28"/>
        </w:rPr>
        <w:t>（六）在中华人民共和国境内依法登记注册，并有效存续具有独立法人资格的供应商；</w:t>
      </w:r>
    </w:p>
    <w:p>
      <w:pPr>
        <w:pStyle w:val="113"/>
        <w:ind w:firstLine="562"/>
        <w:rPr>
          <w:rFonts w:hint="eastAsia"/>
          <w:b w:val="0"/>
          <w:bCs/>
          <w:sz w:val="28"/>
          <w:szCs w:val="28"/>
        </w:rPr>
      </w:pPr>
      <w:r>
        <w:rPr>
          <w:rFonts w:hint="eastAsia"/>
          <w:b w:val="0"/>
          <w:bCs/>
          <w:sz w:val="28"/>
          <w:szCs w:val="28"/>
        </w:rPr>
        <w:t>（七）本次政府采购活动</w:t>
      </w:r>
      <w:r>
        <w:rPr>
          <w:rFonts w:hint="eastAsia"/>
          <w:b/>
          <w:bCs w:val="0"/>
          <w:sz w:val="28"/>
          <w:szCs w:val="28"/>
        </w:rPr>
        <w:t>不接受</w:t>
      </w:r>
      <w:r>
        <w:rPr>
          <w:rFonts w:hint="eastAsia"/>
          <w:b w:val="0"/>
          <w:bCs/>
          <w:sz w:val="28"/>
          <w:szCs w:val="28"/>
        </w:rPr>
        <w:t>供应商以联合体的形式参加磋商。</w:t>
      </w:r>
    </w:p>
    <w:p>
      <w:pPr>
        <w:pStyle w:val="113"/>
        <w:ind w:firstLine="562"/>
        <w:rPr>
          <w:rFonts w:hint="eastAsia"/>
          <w:b/>
          <w:sz w:val="28"/>
          <w:szCs w:val="28"/>
        </w:rPr>
      </w:pPr>
      <w:r>
        <w:rPr>
          <w:rFonts w:hint="eastAsia"/>
          <w:b/>
          <w:sz w:val="28"/>
          <w:szCs w:val="28"/>
        </w:rPr>
        <w:t>五、采购项目简介</w:t>
      </w:r>
    </w:p>
    <w:p>
      <w:pPr>
        <w:pStyle w:val="113"/>
        <w:rPr>
          <w:rFonts w:hint="eastAsia" w:ascii="仿宋_GB2312" w:eastAsia="仿宋_GB2312"/>
          <w:sz w:val="32"/>
          <w:szCs w:val="32"/>
          <w:lang w:eastAsia="zh-CN"/>
        </w:rPr>
      </w:pPr>
      <w:bookmarkStart w:id="3" w:name="EBe3cdd957efc141f1a5d4e2528e4e9363"/>
      <w:r>
        <w:rPr>
          <w:rFonts w:hint="eastAsia"/>
          <w:sz w:val="28"/>
          <w:szCs w:val="28"/>
          <w:highlight w:val="none"/>
          <w:shd w:val="clear" w:color="auto" w:fill="FFFFFF"/>
        </w:rPr>
        <w:t>（一）采购内容：</w:t>
      </w:r>
      <w:bookmarkEnd w:id="3"/>
    </w:p>
    <w:tbl>
      <w:tblPr>
        <w:tblStyle w:val="42"/>
        <w:tblW w:w="9172" w:type="dxa"/>
        <w:tblInd w:w="98" w:type="dxa"/>
        <w:shd w:val="clear" w:color="auto" w:fill="auto"/>
        <w:tblLayout w:type="fixed"/>
        <w:tblCellMar>
          <w:top w:w="0" w:type="dxa"/>
          <w:left w:w="108" w:type="dxa"/>
          <w:bottom w:w="0" w:type="dxa"/>
          <w:right w:w="108" w:type="dxa"/>
        </w:tblCellMar>
      </w:tblPr>
      <w:tblGrid>
        <w:gridCol w:w="1554"/>
        <w:gridCol w:w="2573"/>
        <w:gridCol w:w="909"/>
        <w:gridCol w:w="1242"/>
        <w:gridCol w:w="2894"/>
      </w:tblGrid>
      <w:tr>
        <w:tblPrEx>
          <w:shd w:val="clear" w:color="auto" w:fill="auto"/>
          <w:tblCellMar>
            <w:top w:w="0" w:type="dxa"/>
            <w:left w:w="108" w:type="dxa"/>
            <w:bottom w:w="0" w:type="dxa"/>
            <w:right w:w="108" w:type="dxa"/>
          </w:tblCellMar>
        </w:tblPrEx>
        <w:trPr>
          <w:trHeight w:val="325"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标的</w:t>
            </w:r>
            <w:r>
              <w:rPr>
                <w:rFonts w:hint="eastAsia" w:cs="宋体"/>
                <w:b/>
                <w:bCs/>
                <w:i w:val="0"/>
                <w:iCs w:val="0"/>
                <w:color w:val="000000"/>
                <w:kern w:val="0"/>
                <w:sz w:val="20"/>
                <w:szCs w:val="20"/>
                <w:u w:val="none"/>
                <w:lang w:val="en-US" w:eastAsia="zh-CN" w:bidi="ar"/>
              </w:rPr>
              <w:t>名称</w:t>
            </w:r>
            <w:bookmarkStart w:id="277" w:name="_GoBack"/>
            <w:bookmarkEnd w:id="277"/>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所属行业</w:t>
            </w:r>
          </w:p>
        </w:tc>
      </w:tr>
      <w:tr>
        <w:tblPrEx>
          <w:shd w:val="clear" w:color="auto" w:fill="auto"/>
          <w:tblCellMar>
            <w:top w:w="0" w:type="dxa"/>
            <w:left w:w="108" w:type="dxa"/>
            <w:bottom w:w="0" w:type="dxa"/>
            <w:right w:w="108" w:type="dxa"/>
          </w:tblCellMar>
        </w:tblPrEx>
        <w:trPr>
          <w:trHeight w:val="280" w:hRule="atLeast"/>
        </w:trPr>
        <w:tc>
          <w:tcPr>
            <w:tcW w:w="917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数字书法设备清单</w:t>
            </w:r>
          </w:p>
        </w:tc>
      </w:tr>
      <w:tr>
        <w:tblPrEx>
          <w:shd w:val="clear" w:color="auto" w:fill="auto"/>
          <w:tblCellMar>
            <w:top w:w="0" w:type="dxa"/>
            <w:left w:w="108" w:type="dxa"/>
            <w:bottom w:w="0" w:type="dxa"/>
            <w:right w:w="108" w:type="dxa"/>
          </w:tblCellMar>
        </w:tblPrEx>
        <w:trPr>
          <w:trHeight w:val="393"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教师中控条案</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r>
      <w:tr>
        <w:tblPrEx>
          <w:shd w:val="clear" w:color="auto" w:fill="auto"/>
          <w:tblCellMar>
            <w:top w:w="0" w:type="dxa"/>
            <w:left w:w="108" w:type="dxa"/>
            <w:bottom w:w="0" w:type="dxa"/>
            <w:right w:w="108" w:type="dxa"/>
          </w:tblCellMar>
        </w:tblPrEx>
        <w:trPr>
          <w:trHeight w:val="383"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书法临摹桌</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r>
      <w:tr>
        <w:tblPrEx>
          <w:shd w:val="clear" w:color="auto" w:fill="auto"/>
          <w:tblCellMar>
            <w:top w:w="0" w:type="dxa"/>
            <w:left w:w="108" w:type="dxa"/>
            <w:bottom w:w="0" w:type="dxa"/>
            <w:right w:w="108" w:type="dxa"/>
          </w:tblCellMar>
        </w:tblPrEx>
        <w:trPr>
          <w:trHeight w:val="455"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书画教学展示台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r>
      <w:tr>
        <w:tblPrEx>
          <w:shd w:val="clear" w:color="auto" w:fill="auto"/>
          <w:tblCellMar>
            <w:top w:w="0" w:type="dxa"/>
            <w:left w:w="108" w:type="dxa"/>
            <w:bottom w:w="0" w:type="dxa"/>
            <w:right w:w="108" w:type="dxa"/>
          </w:tblCellMar>
        </w:tblPrEx>
        <w:trPr>
          <w:trHeight w:val="51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书法教学直播系统</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软件和信息技术服务业</w:t>
            </w:r>
          </w:p>
        </w:tc>
      </w:tr>
      <w:tr>
        <w:tblPrEx>
          <w:shd w:val="clear" w:color="auto" w:fill="auto"/>
          <w:tblCellMar>
            <w:top w:w="0" w:type="dxa"/>
            <w:left w:w="108" w:type="dxa"/>
            <w:bottom w:w="0" w:type="dxa"/>
            <w:right w:w="108" w:type="dxa"/>
          </w:tblCellMar>
        </w:tblPrEx>
        <w:trPr>
          <w:trHeight w:val="52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书法教学查询系统</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软件和信息技术服务业</w:t>
            </w:r>
          </w:p>
        </w:tc>
      </w:tr>
      <w:tr>
        <w:tblPrEx>
          <w:shd w:val="clear" w:color="auto" w:fill="auto"/>
          <w:tblCellMar>
            <w:top w:w="0" w:type="dxa"/>
            <w:left w:w="108" w:type="dxa"/>
            <w:bottom w:w="0" w:type="dxa"/>
            <w:right w:w="108" w:type="dxa"/>
          </w:tblCellMar>
        </w:tblPrEx>
        <w:trPr>
          <w:trHeight w:val="52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书法教学视频资源平台</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软件和信息技术服务业</w:t>
            </w:r>
          </w:p>
        </w:tc>
      </w:tr>
      <w:tr>
        <w:tblPrEx>
          <w:shd w:val="clear" w:color="auto" w:fill="auto"/>
          <w:tblCellMar>
            <w:top w:w="0" w:type="dxa"/>
            <w:left w:w="108" w:type="dxa"/>
            <w:bottom w:w="0" w:type="dxa"/>
            <w:right w:w="108" w:type="dxa"/>
          </w:tblCellMar>
        </w:tblPrEx>
        <w:trPr>
          <w:trHeight w:val="52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书法字帖排版系统</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软件和信息技术服务业</w:t>
            </w:r>
          </w:p>
        </w:tc>
      </w:tr>
      <w:tr>
        <w:tblPrEx>
          <w:shd w:val="clear" w:color="auto" w:fill="auto"/>
          <w:tblCellMar>
            <w:top w:w="0" w:type="dxa"/>
            <w:left w:w="108" w:type="dxa"/>
            <w:bottom w:w="0" w:type="dxa"/>
            <w:right w:w="108" w:type="dxa"/>
          </w:tblCellMar>
        </w:tblPrEx>
        <w:trPr>
          <w:trHeight w:val="52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书法课程讲义系统</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软件和信息技术服务业</w:t>
            </w:r>
          </w:p>
        </w:tc>
      </w:tr>
      <w:tr>
        <w:tblPrEx>
          <w:shd w:val="clear" w:color="auto" w:fill="auto"/>
          <w:tblCellMar>
            <w:top w:w="0" w:type="dxa"/>
            <w:left w:w="108" w:type="dxa"/>
            <w:bottom w:w="0" w:type="dxa"/>
            <w:right w:w="108" w:type="dxa"/>
          </w:tblCellMar>
        </w:tblPrEx>
        <w:trPr>
          <w:trHeight w:val="52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三笔字板书示范书写软件</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软件和信息技术服务业</w:t>
            </w:r>
          </w:p>
        </w:tc>
      </w:tr>
      <w:tr>
        <w:tblPrEx>
          <w:shd w:val="clear" w:color="auto" w:fill="auto"/>
          <w:tblCellMar>
            <w:top w:w="0" w:type="dxa"/>
            <w:left w:w="108" w:type="dxa"/>
            <w:bottom w:w="0" w:type="dxa"/>
            <w:right w:w="108" w:type="dxa"/>
          </w:tblCellMar>
        </w:tblPrEx>
        <w:trPr>
          <w:trHeight w:val="28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中控系统</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软件和信息技术服务业</w:t>
            </w:r>
          </w:p>
        </w:tc>
      </w:tr>
      <w:tr>
        <w:tblPrEx>
          <w:shd w:val="clear" w:color="auto" w:fill="auto"/>
          <w:tblCellMar>
            <w:top w:w="0" w:type="dxa"/>
            <w:left w:w="108" w:type="dxa"/>
            <w:bottom w:w="0" w:type="dxa"/>
            <w:right w:w="108" w:type="dxa"/>
          </w:tblCellMar>
        </w:tblPrEx>
        <w:trPr>
          <w:trHeight w:val="28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3P空调</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r>
      <w:tr>
        <w:tblPrEx>
          <w:shd w:val="clear" w:color="auto" w:fill="auto"/>
          <w:tblCellMar>
            <w:top w:w="0" w:type="dxa"/>
            <w:left w:w="108" w:type="dxa"/>
            <w:bottom w:w="0" w:type="dxa"/>
            <w:right w:w="108" w:type="dxa"/>
          </w:tblCellMar>
        </w:tblPrEx>
        <w:trPr>
          <w:trHeight w:val="28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中式吊灯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r>
      <w:tr>
        <w:tblPrEx>
          <w:shd w:val="clear" w:color="auto" w:fill="auto"/>
          <w:tblCellMar>
            <w:top w:w="0" w:type="dxa"/>
            <w:left w:w="108" w:type="dxa"/>
            <w:bottom w:w="0" w:type="dxa"/>
            <w:right w:w="108" w:type="dxa"/>
          </w:tblCellMar>
        </w:tblPrEx>
        <w:trPr>
          <w:trHeight w:val="52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地面实木贴脚线</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r>
      <w:tr>
        <w:tblPrEx>
          <w:shd w:val="clear" w:color="auto" w:fill="auto"/>
          <w:tblCellMar>
            <w:top w:w="0" w:type="dxa"/>
            <w:left w:w="108" w:type="dxa"/>
            <w:bottom w:w="0" w:type="dxa"/>
            <w:right w:w="108" w:type="dxa"/>
          </w:tblCellMar>
        </w:tblPrEx>
        <w:trPr>
          <w:trHeight w:val="28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墙面基层处理</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平米</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cs="宋体"/>
                <w:i w:val="0"/>
                <w:iCs w:val="0"/>
                <w:color w:val="000000"/>
                <w:sz w:val="20"/>
                <w:szCs w:val="20"/>
                <w:highlight w:val="none"/>
                <w:u w:val="none"/>
                <w:lang w:val="en-US" w:eastAsia="zh-CN"/>
              </w:rPr>
              <w:t>/</w:t>
            </w:r>
          </w:p>
        </w:tc>
      </w:tr>
      <w:tr>
        <w:tblPrEx>
          <w:shd w:val="clear" w:color="auto" w:fill="auto"/>
          <w:tblCellMar>
            <w:top w:w="0" w:type="dxa"/>
            <w:left w:w="108" w:type="dxa"/>
            <w:bottom w:w="0" w:type="dxa"/>
            <w:right w:w="108" w:type="dxa"/>
          </w:tblCellMar>
        </w:tblPrEx>
        <w:trPr>
          <w:trHeight w:val="28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石膏板造型</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r>
      <w:tr>
        <w:tblPrEx>
          <w:tblCellMar>
            <w:top w:w="0" w:type="dxa"/>
            <w:left w:w="108" w:type="dxa"/>
            <w:bottom w:w="0" w:type="dxa"/>
            <w:right w:w="108" w:type="dxa"/>
          </w:tblCellMar>
        </w:tblPrEx>
        <w:trPr>
          <w:trHeight w:val="52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墙面乳胶漆粉刷</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r>
      <w:tr>
        <w:tblPrEx>
          <w:shd w:val="clear" w:color="auto" w:fill="auto"/>
          <w:tblCellMar>
            <w:top w:w="0" w:type="dxa"/>
            <w:left w:w="108" w:type="dxa"/>
            <w:bottom w:w="0" w:type="dxa"/>
            <w:right w:w="108" w:type="dxa"/>
          </w:tblCellMar>
        </w:tblPrEx>
        <w:trPr>
          <w:trHeight w:val="28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强化地板</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工业</w:t>
            </w:r>
          </w:p>
        </w:tc>
      </w:tr>
      <w:tr>
        <w:tblPrEx>
          <w:shd w:val="clear" w:color="auto" w:fill="auto"/>
          <w:tblCellMar>
            <w:top w:w="0" w:type="dxa"/>
            <w:left w:w="108" w:type="dxa"/>
            <w:bottom w:w="0" w:type="dxa"/>
            <w:right w:w="108" w:type="dxa"/>
          </w:tblCellMar>
        </w:tblPrEx>
        <w:trPr>
          <w:trHeight w:val="28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系统安装调试</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cs="宋体"/>
                <w:i w:val="0"/>
                <w:iCs w:val="0"/>
                <w:color w:val="000000"/>
                <w:sz w:val="20"/>
                <w:szCs w:val="20"/>
                <w:highlight w:val="none"/>
                <w:u w:val="none"/>
                <w:lang w:val="en-US" w:eastAsia="zh-CN"/>
              </w:rPr>
              <w:t>/</w:t>
            </w:r>
          </w:p>
        </w:tc>
      </w:tr>
      <w:tr>
        <w:tblPrEx>
          <w:shd w:val="clear" w:color="auto" w:fill="auto"/>
          <w:tblCellMar>
            <w:top w:w="0" w:type="dxa"/>
            <w:left w:w="108" w:type="dxa"/>
            <w:bottom w:w="0" w:type="dxa"/>
            <w:right w:w="108" w:type="dxa"/>
          </w:tblCellMar>
        </w:tblPrEx>
        <w:trPr>
          <w:trHeight w:val="280" w:hRule="atLeast"/>
        </w:trPr>
        <w:tc>
          <w:tcPr>
            <w:tcW w:w="917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智慧教学设备清单</w:t>
            </w:r>
          </w:p>
        </w:tc>
      </w:tr>
      <w:tr>
        <w:tblPrEx>
          <w:shd w:val="clear" w:color="auto" w:fill="auto"/>
          <w:tblCellMar>
            <w:top w:w="0" w:type="dxa"/>
            <w:left w:w="108" w:type="dxa"/>
            <w:bottom w:w="0" w:type="dxa"/>
            <w:right w:w="108" w:type="dxa"/>
          </w:tblCellMar>
        </w:tblPrEx>
        <w:trPr>
          <w:trHeight w:val="28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智慧黑板</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r>
      <w:tr>
        <w:tblPrEx>
          <w:shd w:val="clear" w:color="auto" w:fill="auto"/>
          <w:tblCellMar>
            <w:top w:w="0" w:type="dxa"/>
            <w:left w:w="108" w:type="dxa"/>
            <w:bottom w:w="0" w:type="dxa"/>
            <w:right w:w="108" w:type="dxa"/>
          </w:tblCellMar>
        </w:tblPrEx>
        <w:trPr>
          <w:trHeight w:val="28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实物展台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r>
      <w:tr>
        <w:tblPrEx>
          <w:shd w:val="clear" w:color="auto" w:fill="auto"/>
          <w:tblCellMar>
            <w:top w:w="0" w:type="dxa"/>
            <w:left w:w="108" w:type="dxa"/>
            <w:bottom w:w="0" w:type="dxa"/>
            <w:right w:w="108" w:type="dxa"/>
          </w:tblCellMar>
        </w:tblPrEx>
        <w:trPr>
          <w:trHeight w:val="28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智慧备课软件</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软件和信息技术服务业</w:t>
            </w:r>
          </w:p>
        </w:tc>
      </w:tr>
      <w:tr>
        <w:tblPrEx>
          <w:shd w:val="clear" w:color="auto" w:fill="auto"/>
          <w:tblCellMar>
            <w:top w:w="0" w:type="dxa"/>
            <w:left w:w="108" w:type="dxa"/>
            <w:bottom w:w="0" w:type="dxa"/>
            <w:right w:w="108" w:type="dxa"/>
          </w:tblCellMar>
        </w:tblPrEx>
        <w:trPr>
          <w:trHeight w:val="28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智慧教室系统</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软件和信息技术服务业</w:t>
            </w:r>
          </w:p>
        </w:tc>
      </w:tr>
      <w:tr>
        <w:tblPrEx>
          <w:shd w:val="clear" w:color="auto" w:fill="auto"/>
          <w:tblCellMar>
            <w:top w:w="0" w:type="dxa"/>
            <w:left w:w="108" w:type="dxa"/>
            <w:bottom w:w="0" w:type="dxa"/>
            <w:right w:w="108" w:type="dxa"/>
          </w:tblCellMar>
        </w:tblPrEx>
        <w:trPr>
          <w:trHeight w:val="28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安装集成</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cs="宋体"/>
                <w:i w:val="0"/>
                <w:iCs w:val="0"/>
                <w:color w:val="000000"/>
                <w:sz w:val="20"/>
                <w:szCs w:val="20"/>
                <w:highlight w:val="none"/>
                <w:u w:val="none"/>
                <w:lang w:val="en-US" w:eastAsia="zh-CN"/>
              </w:rPr>
              <w:t>/</w:t>
            </w:r>
          </w:p>
        </w:tc>
      </w:tr>
    </w:tbl>
    <w:p>
      <w:pPr>
        <w:pStyle w:val="113"/>
        <w:ind w:left="0" w:leftChars="0" w:firstLine="560" w:firstLineChars="200"/>
        <w:rPr>
          <w:sz w:val="28"/>
          <w:szCs w:val="28"/>
          <w:shd w:val="clear" w:color="auto" w:fill="FFFFFF"/>
        </w:rPr>
      </w:pPr>
      <w:r>
        <w:rPr>
          <w:rFonts w:hint="eastAsia"/>
          <w:sz w:val="28"/>
          <w:szCs w:val="28"/>
          <w:shd w:val="clear" w:color="auto" w:fill="FFFFFF"/>
        </w:rPr>
        <w:t>具体采购内容见磋商文件“第4章项目技术、服务要求及其他要求”。</w:t>
      </w:r>
    </w:p>
    <w:p>
      <w:pPr>
        <w:pStyle w:val="113"/>
        <w:rPr>
          <w:rFonts w:hint="eastAsia"/>
          <w:sz w:val="28"/>
          <w:szCs w:val="28"/>
          <w:shd w:val="clear" w:color="auto" w:fill="FFFFFF"/>
        </w:rPr>
      </w:pPr>
      <w:r>
        <w:rPr>
          <w:rFonts w:hint="eastAsia"/>
          <w:sz w:val="28"/>
          <w:szCs w:val="28"/>
          <w:shd w:val="clear" w:color="auto" w:fill="FFFFFF"/>
        </w:rPr>
        <w:t>（二）技术、服务要求</w:t>
      </w:r>
    </w:p>
    <w:p>
      <w:pPr>
        <w:pStyle w:val="113"/>
        <w:rPr>
          <w:rFonts w:hint="eastAsia"/>
          <w:sz w:val="28"/>
          <w:szCs w:val="28"/>
          <w:shd w:val="clear" w:color="auto" w:fill="FFFFFF"/>
        </w:rPr>
      </w:pPr>
      <w:r>
        <w:rPr>
          <w:rFonts w:hint="eastAsia"/>
          <w:sz w:val="28"/>
          <w:szCs w:val="28"/>
          <w:shd w:val="clear" w:color="auto" w:fill="FFFFFF"/>
        </w:rPr>
        <w:t>见磋商文件 “第4章项目技术、服务、商务及其他要求”。</w:t>
      </w:r>
    </w:p>
    <w:p>
      <w:pPr>
        <w:pStyle w:val="113"/>
        <w:rPr>
          <w:rFonts w:hint="eastAsia" w:eastAsia="宋体" w:cs="Times New Roman"/>
          <w:sz w:val="28"/>
          <w:szCs w:val="28"/>
        </w:rPr>
      </w:pPr>
      <w:r>
        <w:rPr>
          <w:rFonts w:hint="eastAsia"/>
          <w:sz w:val="28"/>
          <w:szCs w:val="28"/>
          <w:shd w:val="clear" w:color="auto" w:fill="FFFFFF"/>
        </w:rPr>
        <w:t>（</w:t>
      </w:r>
      <w:r>
        <w:rPr>
          <w:rFonts w:hint="eastAsia"/>
          <w:sz w:val="28"/>
          <w:szCs w:val="28"/>
          <w:shd w:val="clear" w:color="auto" w:fill="FFFFFF"/>
          <w:lang w:val="en-US" w:eastAsia="zh-CN"/>
        </w:rPr>
        <w:t>三</w:t>
      </w:r>
      <w:r>
        <w:rPr>
          <w:rFonts w:hint="eastAsia"/>
          <w:sz w:val="28"/>
          <w:szCs w:val="28"/>
          <w:shd w:val="clear" w:color="auto" w:fill="FFFFFF"/>
        </w:rPr>
        <w:t>）报价要求</w:t>
      </w:r>
    </w:p>
    <w:p>
      <w:pPr>
        <w:pStyle w:val="113"/>
        <w:rPr>
          <w:rFonts w:hint="eastAsia" w:eastAsia="宋体" w:cs="Times New Roman"/>
          <w:color w:val="000000"/>
          <w:sz w:val="28"/>
          <w:szCs w:val="28"/>
          <w:shd w:val="clear" w:color="auto" w:fill="FFFFFF"/>
        </w:rPr>
      </w:pPr>
      <w:r>
        <w:rPr>
          <w:rFonts w:hint="eastAsia"/>
          <w:bCs/>
          <w:color w:val="000000"/>
          <w:sz w:val="28"/>
          <w:szCs w:val="28"/>
          <w:shd w:val="clear" w:color="auto" w:fill="FFFFFF"/>
        </w:rPr>
        <w:t>供应商按磋商文件要求进行报价。</w:t>
      </w:r>
    </w:p>
    <w:p>
      <w:pPr>
        <w:pStyle w:val="113"/>
        <w:ind w:firstLine="562"/>
        <w:rPr>
          <w:b/>
          <w:color w:val="000000"/>
          <w:sz w:val="28"/>
          <w:szCs w:val="28"/>
          <w:shd w:val="clear" w:color="auto" w:fill="FFFFFF"/>
        </w:rPr>
      </w:pPr>
      <w:r>
        <w:rPr>
          <w:rFonts w:hint="eastAsia"/>
          <w:b/>
          <w:color w:val="000000"/>
          <w:sz w:val="28"/>
          <w:szCs w:val="28"/>
          <w:shd w:val="clear" w:color="auto" w:fill="FFFFFF"/>
        </w:rPr>
        <w:t>六、磋商文件获取时间</w:t>
      </w:r>
    </w:p>
    <w:p>
      <w:pPr>
        <w:pStyle w:val="113"/>
        <w:rPr>
          <w:rFonts w:hint="eastAsia" w:eastAsia="宋体" w:cs="Times New Roman"/>
          <w:b/>
          <w:bCs/>
          <w:color w:val="000000"/>
          <w:sz w:val="28"/>
          <w:szCs w:val="28"/>
          <w:highlight w:val="none"/>
          <w:shd w:val="clear" w:color="auto" w:fill="FFFFFF"/>
        </w:rPr>
      </w:pPr>
      <w:r>
        <w:rPr>
          <w:rFonts w:hint="eastAsia"/>
          <w:b/>
          <w:bCs/>
          <w:color w:val="000000"/>
          <w:sz w:val="28"/>
          <w:szCs w:val="28"/>
          <w:highlight w:val="none"/>
          <w:shd w:val="clear" w:color="auto" w:fill="FFFFFF"/>
        </w:rPr>
        <w:t>（一）磋商文件获取时间：</w:t>
      </w:r>
      <w:bookmarkStart w:id="4" w:name="EBe7a81893488a48a0a3a07b78aa096f64"/>
      <w:r>
        <w:rPr>
          <w:rFonts w:hint="eastAsia" w:eastAsia="宋体" w:cs="Times New Roman"/>
          <w:b/>
          <w:bCs/>
          <w:color w:val="000000"/>
          <w:sz w:val="28"/>
          <w:szCs w:val="28"/>
          <w:highlight w:val="none"/>
          <w:shd w:val="clear" w:color="auto" w:fill="FFFFFF"/>
        </w:rPr>
        <w:t>2021年</w:t>
      </w:r>
      <w:r>
        <w:rPr>
          <w:rFonts w:hint="eastAsia" w:eastAsia="宋体" w:cs="Times New Roman"/>
          <w:b/>
          <w:bCs/>
          <w:color w:val="000000"/>
          <w:sz w:val="28"/>
          <w:szCs w:val="28"/>
          <w:highlight w:val="none"/>
          <w:shd w:val="clear" w:color="auto" w:fill="FFFFFF"/>
          <w:lang w:val="en-US" w:eastAsia="zh-CN"/>
        </w:rPr>
        <w:t>10</w:t>
      </w:r>
      <w:r>
        <w:rPr>
          <w:rFonts w:hint="eastAsia" w:eastAsia="宋体" w:cs="Times New Roman"/>
          <w:b/>
          <w:bCs/>
          <w:color w:val="000000"/>
          <w:sz w:val="28"/>
          <w:szCs w:val="28"/>
          <w:highlight w:val="none"/>
          <w:shd w:val="clear" w:color="auto" w:fill="FFFFFF"/>
        </w:rPr>
        <w:t>月</w:t>
      </w:r>
      <w:r>
        <w:rPr>
          <w:rFonts w:hint="eastAsia" w:eastAsia="宋体" w:cs="Times New Roman"/>
          <w:b/>
          <w:bCs/>
          <w:color w:val="000000"/>
          <w:sz w:val="28"/>
          <w:szCs w:val="28"/>
          <w:highlight w:val="none"/>
          <w:shd w:val="clear" w:color="auto" w:fill="FFFFFF"/>
          <w:lang w:val="en-US" w:eastAsia="zh-CN"/>
        </w:rPr>
        <w:t>16</w:t>
      </w:r>
      <w:r>
        <w:rPr>
          <w:rFonts w:hint="eastAsia" w:eastAsia="宋体" w:cs="Times New Roman"/>
          <w:b/>
          <w:bCs/>
          <w:color w:val="000000"/>
          <w:sz w:val="28"/>
          <w:szCs w:val="28"/>
          <w:highlight w:val="none"/>
          <w:shd w:val="clear" w:color="auto" w:fill="FFFFFF"/>
        </w:rPr>
        <w:t>日</w:t>
      </w:r>
      <w:bookmarkEnd w:id="4"/>
      <w:r>
        <w:rPr>
          <w:rFonts w:hint="eastAsia" w:eastAsia="宋体" w:cs="Times New Roman"/>
          <w:b/>
          <w:bCs/>
          <w:color w:val="000000"/>
          <w:sz w:val="28"/>
          <w:szCs w:val="28"/>
          <w:highlight w:val="none"/>
          <w:shd w:val="clear" w:color="auto" w:fill="FFFFFF"/>
        </w:rPr>
        <w:t>至</w:t>
      </w:r>
      <w:bookmarkStart w:id="5" w:name="EB766c25f67bed4e4582f58334a1ed0246"/>
      <w:r>
        <w:rPr>
          <w:rFonts w:hint="eastAsia" w:eastAsia="宋体" w:cs="Times New Roman"/>
          <w:b/>
          <w:bCs/>
          <w:color w:val="000000"/>
          <w:sz w:val="28"/>
          <w:szCs w:val="28"/>
          <w:highlight w:val="none"/>
          <w:shd w:val="clear" w:color="auto" w:fill="FFFFFF"/>
        </w:rPr>
        <w:t>2021年</w:t>
      </w:r>
      <w:r>
        <w:rPr>
          <w:rFonts w:hint="eastAsia" w:eastAsia="宋体" w:cs="Times New Roman"/>
          <w:b/>
          <w:bCs/>
          <w:color w:val="000000"/>
          <w:sz w:val="28"/>
          <w:szCs w:val="28"/>
          <w:highlight w:val="none"/>
          <w:shd w:val="clear" w:color="auto" w:fill="FFFFFF"/>
          <w:lang w:val="en-US" w:eastAsia="zh-CN"/>
        </w:rPr>
        <w:t>10</w:t>
      </w:r>
      <w:r>
        <w:rPr>
          <w:rFonts w:hint="eastAsia" w:eastAsia="宋体" w:cs="Times New Roman"/>
          <w:b/>
          <w:bCs/>
          <w:color w:val="000000"/>
          <w:sz w:val="28"/>
          <w:szCs w:val="28"/>
          <w:highlight w:val="none"/>
          <w:shd w:val="clear" w:color="auto" w:fill="FFFFFF"/>
        </w:rPr>
        <w:t>月</w:t>
      </w:r>
      <w:r>
        <w:rPr>
          <w:rFonts w:hint="eastAsia" w:eastAsia="宋体" w:cs="Times New Roman"/>
          <w:b/>
          <w:bCs/>
          <w:color w:val="000000"/>
          <w:sz w:val="28"/>
          <w:szCs w:val="28"/>
          <w:highlight w:val="none"/>
          <w:shd w:val="clear" w:color="auto" w:fill="FFFFFF"/>
          <w:lang w:val="en-US" w:eastAsia="zh-CN"/>
        </w:rPr>
        <w:t>27</w:t>
      </w:r>
      <w:r>
        <w:rPr>
          <w:rFonts w:hint="eastAsia" w:eastAsia="宋体" w:cs="Times New Roman"/>
          <w:b/>
          <w:bCs/>
          <w:color w:val="000000"/>
          <w:sz w:val="28"/>
          <w:szCs w:val="28"/>
          <w:highlight w:val="none"/>
          <w:shd w:val="clear" w:color="auto" w:fill="FFFFFF"/>
        </w:rPr>
        <w:t>日</w:t>
      </w:r>
      <w:bookmarkEnd w:id="5"/>
      <w:r>
        <w:rPr>
          <w:rFonts w:hint="eastAsia" w:eastAsia="宋体" w:cs="Times New Roman"/>
          <w:b/>
          <w:bCs/>
          <w:color w:val="000000"/>
          <w:sz w:val="28"/>
          <w:szCs w:val="28"/>
          <w:highlight w:val="none"/>
          <w:shd w:val="clear" w:color="auto" w:fill="FFFFFF"/>
        </w:rPr>
        <w:t>。</w:t>
      </w:r>
    </w:p>
    <w:p>
      <w:pPr>
        <w:pStyle w:val="113"/>
        <w:rPr>
          <w:rFonts w:hint="eastAsia"/>
          <w:b/>
          <w:bCs/>
          <w:color w:val="000000"/>
          <w:sz w:val="28"/>
          <w:szCs w:val="28"/>
          <w:highlight w:val="none"/>
          <w:shd w:val="clear" w:color="auto" w:fill="FFFFFF"/>
        </w:rPr>
      </w:pPr>
      <w:r>
        <w:rPr>
          <w:rFonts w:hint="eastAsia"/>
          <w:b/>
          <w:bCs/>
          <w:color w:val="000000"/>
          <w:sz w:val="28"/>
          <w:szCs w:val="28"/>
          <w:highlight w:val="none"/>
          <w:shd w:val="clear" w:color="auto" w:fill="FFFFFF"/>
        </w:rPr>
        <w:t>（二）公告期限：2021年</w:t>
      </w:r>
      <w:r>
        <w:rPr>
          <w:rFonts w:hint="eastAsia"/>
          <w:b/>
          <w:bCs/>
          <w:color w:val="000000"/>
          <w:sz w:val="28"/>
          <w:szCs w:val="28"/>
          <w:highlight w:val="none"/>
          <w:shd w:val="clear" w:color="auto" w:fill="FFFFFF"/>
          <w:lang w:val="en-US" w:eastAsia="zh-CN"/>
        </w:rPr>
        <w:t>10</w:t>
      </w:r>
      <w:r>
        <w:rPr>
          <w:rFonts w:hint="eastAsia"/>
          <w:b/>
          <w:bCs/>
          <w:color w:val="000000"/>
          <w:sz w:val="28"/>
          <w:szCs w:val="28"/>
          <w:highlight w:val="none"/>
          <w:shd w:val="clear" w:color="auto" w:fill="FFFFFF"/>
        </w:rPr>
        <w:t>月</w:t>
      </w:r>
      <w:r>
        <w:rPr>
          <w:rFonts w:hint="eastAsia"/>
          <w:b/>
          <w:bCs/>
          <w:color w:val="000000"/>
          <w:sz w:val="28"/>
          <w:szCs w:val="28"/>
          <w:highlight w:val="none"/>
          <w:shd w:val="clear" w:color="auto" w:fill="FFFFFF"/>
          <w:lang w:val="en-US" w:eastAsia="zh-CN"/>
        </w:rPr>
        <w:t>16</w:t>
      </w:r>
      <w:r>
        <w:rPr>
          <w:rFonts w:hint="eastAsia"/>
          <w:b/>
          <w:bCs/>
          <w:color w:val="000000"/>
          <w:sz w:val="28"/>
          <w:szCs w:val="28"/>
          <w:highlight w:val="none"/>
          <w:shd w:val="clear" w:color="auto" w:fill="FFFFFF"/>
        </w:rPr>
        <w:t>日至</w:t>
      </w:r>
      <w:r>
        <w:rPr>
          <w:rFonts w:hint="eastAsia"/>
          <w:b/>
          <w:bCs/>
          <w:color w:val="000000"/>
          <w:sz w:val="28"/>
          <w:szCs w:val="28"/>
          <w:highlight w:val="none"/>
          <w:shd w:val="clear" w:color="auto" w:fill="FFFFFF"/>
          <w:lang w:val="en-US" w:eastAsia="zh-CN"/>
        </w:rPr>
        <w:t>10</w:t>
      </w:r>
      <w:r>
        <w:rPr>
          <w:rFonts w:hint="eastAsia"/>
          <w:b/>
          <w:bCs/>
          <w:color w:val="000000"/>
          <w:sz w:val="28"/>
          <w:szCs w:val="28"/>
          <w:highlight w:val="none"/>
          <w:shd w:val="clear" w:color="auto" w:fill="FFFFFF"/>
        </w:rPr>
        <w:t>月</w:t>
      </w:r>
      <w:r>
        <w:rPr>
          <w:rFonts w:hint="eastAsia"/>
          <w:b/>
          <w:bCs/>
          <w:color w:val="000000"/>
          <w:sz w:val="28"/>
          <w:szCs w:val="28"/>
          <w:highlight w:val="none"/>
          <w:shd w:val="clear" w:color="auto" w:fill="FFFFFF"/>
          <w:lang w:val="en-US" w:eastAsia="zh-CN"/>
        </w:rPr>
        <w:t>22</w:t>
      </w:r>
      <w:r>
        <w:rPr>
          <w:rFonts w:hint="eastAsia"/>
          <w:b/>
          <w:bCs/>
          <w:color w:val="000000"/>
          <w:sz w:val="28"/>
          <w:szCs w:val="28"/>
          <w:highlight w:val="none"/>
          <w:shd w:val="clear" w:color="auto" w:fill="FFFFFF"/>
        </w:rPr>
        <w:t>日。</w:t>
      </w:r>
    </w:p>
    <w:p>
      <w:pPr>
        <w:pStyle w:val="113"/>
        <w:ind w:firstLine="482"/>
        <w:rPr>
          <w:b/>
          <w:color w:val="000000"/>
          <w:highlight w:val="none"/>
          <w:shd w:val="clear" w:color="auto" w:fill="FFFFFF"/>
        </w:rPr>
      </w:pPr>
      <w:r>
        <w:rPr>
          <w:rFonts w:hint="eastAsia"/>
          <w:b/>
          <w:color w:val="000000"/>
          <w:highlight w:val="none"/>
          <w:shd w:val="clear" w:color="auto" w:fill="FFFFFF"/>
        </w:rPr>
        <w:t>七、磋商文件获取方式</w:t>
      </w:r>
    </w:p>
    <w:p>
      <w:pPr>
        <w:spacing w:line="360" w:lineRule="auto"/>
        <w:ind w:firstLine="560" w:firstLineChars="200"/>
        <w:rPr>
          <w:color w:val="000000"/>
          <w:sz w:val="28"/>
          <w:szCs w:val="28"/>
        </w:rPr>
      </w:pPr>
      <w:r>
        <w:rPr>
          <w:rFonts w:hint="eastAsia"/>
          <w:color w:val="000000"/>
          <w:sz w:val="28"/>
          <w:szCs w:val="28"/>
        </w:rPr>
        <w:t>供应商要参加磋商，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5" w:firstLineChars="202"/>
        <w:rPr>
          <w:color w:val="000000"/>
          <w:sz w:val="28"/>
          <w:szCs w:val="28"/>
        </w:rPr>
      </w:pPr>
      <w:r>
        <w:rPr>
          <w:rFonts w:hint="eastAsia"/>
          <w:color w:val="000000"/>
          <w:sz w:val="28"/>
          <w:szCs w:val="28"/>
        </w:rPr>
        <w:t>提示：</w:t>
      </w:r>
    </w:p>
    <w:p>
      <w:pPr>
        <w:pStyle w:val="113"/>
        <w:rPr>
          <w:rFonts w:hint="eastAsia" w:eastAsia="宋体" w:cs="宋体"/>
          <w:color w:val="000000"/>
          <w:kern w:val="2"/>
          <w:sz w:val="28"/>
          <w:szCs w:val="28"/>
        </w:rPr>
      </w:pPr>
      <w:r>
        <w:rPr>
          <w:rFonts w:hint="eastAsia" w:eastAsia="宋体" w:cs="宋体"/>
          <w:color w:val="000000"/>
          <w:kern w:val="2"/>
          <w:sz w:val="28"/>
          <w:szCs w:val="28"/>
        </w:rPr>
        <w:t>（1）本项目采购文件免费获取。</w:t>
      </w:r>
    </w:p>
    <w:p>
      <w:pPr>
        <w:pStyle w:val="113"/>
        <w:rPr>
          <w:rFonts w:hint="eastAsia" w:eastAsia="宋体" w:cs="宋体"/>
          <w:color w:val="000000"/>
          <w:kern w:val="2"/>
          <w:sz w:val="28"/>
          <w:szCs w:val="28"/>
        </w:rPr>
      </w:pPr>
      <w:r>
        <w:rPr>
          <w:rFonts w:hint="eastAsia" w:eastAsia="宋体" w:cs="宋体"/>
          <w:color w:val="000000"/>
          <w:kern w:val="2"/>
          <w:sz w:val="28"/>
          <w:szCs w:val="28"/>
        </w:rPr>
        <w:t>（2）成都市公共资源交易服务中心门户网站上采购公告附件内的采购文件仅供下载阅览使用，供应商只有在“政府采购云平台”完成获取采购文件申请并下载采购文件后才视作依法参与本项目。如未在“政府采购云平台”内完成相关流程，引起的投标无效责任自负。</w:t>
      </w:r>
    </w:p>
    <w:p>
      <w:pPr>
        <w:pStyle w:val="113"/>
        <w:rPr>
          <w:rFonts w:hint="eastAsia" w:eastAsia="宋体" w:cs="宋体"/>
          <w:color w:val="000000"/>
          <w:kern w:val="2"/>
          <w:sz w:val="28"/>
          <w:szCs w:val="28"/>
        </w:rPr>
      </w:pPr>
      <w:r>
        <w:rPr>
          <w:rFonts w:hint="eastAsia" w:eastAsia="宋体" w:cs="宋体"/>
          <w:color w:val="000000"/>
          <w:kern w:val="2"/>
          <w:sz w:val="28"/>
          <w:szCs w:val="28"/>
        </w:rPr>
        <w:t>（3）首次登录成都市公共资源交易服务中心门户网站的新用户应先点击“注册新用户”，注册成功后再登录。</w:t>
      </w:r>
    </w:p>
    <w:p>
      <w:pPr>
        <w:pStyle w:val="113"/>
        <w:rPr>
          <w:rFonts w:hint="eastAsia" w:eastAsia="宋体" w:cs="宋体"/>
          <w:color w:val="000000"/>
          <w:kern w:val="2"/>
          <w:sz w:val="28"/>
          <w:szCs w:val="28"/>
        </w:rPr>
      </w:pPr>
      <w:r>
        <w:rPr>
          <w:rFonts w:hint="eastAsia" w:eastAsia="宋体" w:cs="宋体"/>
          <w:color w:val="000000"/>
          <w:kern w:val="2"/>
          <w:sz w:val="28"/>
          <w:szCs w:val="28"/>
        </w:rPr>
        <w:t>（4）本项目为电子招标投标项目，供应商参与本项目全过程中凡涉及系统操作请详见《成都市全流程电子化采购系统操作指南——供应商版》（操作指南请登录政府采购云平台后，点击“前台大厅—操作指南—供应商”处下载查看）。</w:t>
      </w:r>
    </w:p>
    <w:p>
      <w:pPr>
        <w:pStyle w:val="113"/>
        <w:ind w:firstLine="562"/>
        <w:rPr>
          <w:rFonts w:hint="eastAsia"/>
          <w:color w:val="000000"/>
          <w:sz w:val="28"/>
          <w:szCs w:val="28"/>
          <w:shd w:val="clear" w:color="auto" w:fill="FFFFFF"/>
        </w:rPr>
      </w:pPr>
      <w:r>
        <w:rPr>
          <w:rFonts w:hint="eastAsia"/>
          <w:b/>
          <w:color w:val="000000"/>
          <w:sz w:val="28"/>
          <w:szCs w:val="28"/>
          <w:shd w:val="clear" w:color="auto" w:fill="FFFFFF"/>
        </w:rPr>
        <w:t>八、磋商文件获取地点</w:t>
      </w:r>
      <w:r>
        <w:rPr>
          <w:rFonts w:hint="eastAsia"/>
          <w:color w:val="000000"/>
          <w:sz w:val="28"/>
          <w:szCs w:val="28"/>
          <w:shd w:val="clear" w:color="auto" w:fill="FFFFFF"/>
        </w:rPr>
        <w:t>：</w:t>
      </w:r>
    </w:p>
    <w:p>
      <w:pPr>
        <w:pStyle w:val="113"/>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登录成都市公共资源交易服务中心门户网站（https://www.cdggzy.com/）—用户中心—政府采购云平台获取。</w:t>
      </w:r>
    </w:p>
    <w:p>
      <w:pPr>
        <w:pStyle w:val="113"/>
        <w:spacing w:line="500" w:lineRule="exact"/>
        <w:ind w:firstLine="562"/>
        <w:rPr>
          <w:rFonts w:hint="eastAsia"/>
          <w:b/>
          <w:color w:val="000000"/>
          <w:sz w:val="28"/>
          <w:szCs w:val="28"/>
          <w:shd w:val="clear" w:color="auto" w:fill="FFFFFF"/>
        </w:rPr>
      </w:pPr>
      <w:r>
        <w:rPr>
          <w:rFonts w:hint="eastAsia"/>
          <w:b/>
          <w:color w:val="000000"/>
          <w:sz w:val="28"/>
          <w:szCs w:val="28"/>
          <w:shd w:val="clear" w:color="auto" w:fill="FFFFFF"/>
        </w:rPr>
        <w:t>九、响应文件递交时间、截止时间及开启时间（北京时间）、地点、方式</w:t>
      </w:r>
    </w:p>
    <w:p>
      <w:pPr>
        <w:pStyle w:val="113"/>
        <w:spacing w:line="500" w:lineRule="exact"/>
        <w:rPr>
          <w:b w:val="0"/>
          <w:bCs w:val="0"/>
          <w:color w:val="000000"/>
          <w:sz w:val="28"/>
          <w:szCs w:val="28"/>
          <w:shd w:val="clear" w:color="auto" w:fill="FFFFFF"/>
        </w:rPr>
      </w:pPr>
      <w:r>
        <w:rPr>
          <w:rFonts w:hint="eastAsia"/>
          <w:b w:val="0"/>
          <w:bCs w:val="0"/>
          <w:color w:val="000000"/>
          <w:sz w:val="28"/>
          <w:szCs w:val="28"/>
          <w:shd w:val="clear" w:color="auto" w:fill="FFFFFF"/>
        </w:rPr>
        <w:t>（一）首次提交响应文件截止时间及开启时间</w:t>
      </w:r>
      <w:r>
        <w:rPr>
          <w:rFonts w:hint="eastAsia"/>
          <w:b w:val="0"/>
          <w:bCs w:val="0"/>
          <w:color w:val="000000"/>
          <w:sz w:val="28"/>
          <w:szCs w:val="28"/>
          <w:highlight w:val="none"/>
          <w:shd w:val="clear" w:color="auto" w:fill="FFFFFF"/>
        </w:rPr>
        <w:t>：</w:t>
      </w:r>
      <w:bookmarkStart w:id="6" w:name="EB7d98f683ca474c9da61f90cc9d7a1c9c"/>
      <w:r>
        <w:rPr>
          <w:rFonts w:hint="eastAsia" w:cs="宋体"/>
          <w:b/>
          <w:bCs/>
          <w:color w:val="000000"/>
          <w:kern w:val="2"/>
          <w:sz w:val="28"/>
          <w:szCs w:val="28"/>
          <w:highlight w:val="none"/>
          <w:u w:val="none"/>
        </w:rPr>
        <w:t>2021年</w:t>
      </w:r>
      <w:r>
        <w:rPr>
          <w:rFonts w:hint="eastAsia" w:cs="宋体"/>
          <w:b/>
          <w:bCs/>
          <w:color w:val="000000"/>
          <w:kern w:val="2"/>
          <w:sz w:val="28"/>
          <w:szCs w:val="28"/>
          <w:highlight w:val="none"/>
          <w:u w:val="none"/>
          <w:lang w:val="en-US" w:eastAsia="zh-CN"/>
        </w:rPr>
        <w:t>10</w:t>
      </w:r>
      <w:r>
        <w:rPr>
          <w:rFonts w:hint="eastAsia" w:cs="宋体"/>
          <w:b/>
          <w:bCs/>
          <w:color w:val="000000"/>
          <w:kern w:val="2"/>
          <w:sz w:val="28"/>
          <w:szCs w:val="28"/>
          <w:highlight w:val="none"/>
          <w:u w:val="none"/>
        </w:rPr>
        <w:t>月</w:t>
      </w:r>
      <w:r>
        <w:rPr>
          <w:rFonts w:hint="eastAsia" w:cs="宋体"/>
          <w:b/>
          <w:bCs/>
          <w:color w:val="000000"/>
          <w:kern w:val="2"/>
          <w:sz w:val="28"/>
          <w:szCs w:val="28"/>
          <w:highlight w:val="none"/>
          <w:u w:val="none"/>
          <w:lang w:val="en-US" w:eastAsia="zh-CN"/>
        </w:rPr>
        <w:t>28</w:t>
      </w:r>
      <w:r>
        <w:rPr>
          <w:rFonts w:hint="eastAsia" w:cs="宋体"/>
          <w:b/>
          <w:bCs/>
          <w:color w:val="000000"/>
          <w:kern w:val="2"/>
          <w:sz w:val="28"/>
          <w:szCs w:val="28"/>
          <w:highlight w:val="none"/>
          <w:u w:val="none"/>
        </w:rPr>
        <w:t>日</w:t>
      </w:r>
      <w:r>
        <w:rPr>
          <w:rFonts w:hint="eastAsia" w:cs="宋体"/>
          <w:b/>
          <w:bCs/>
          <w:color w:val="000000"/>
          <w:kern w:val="2"/>
          <w:sz w:val="28"/>
          <w:szCs w:val="28"/>
          <w:highlight w:val="none"/>
          <w:u w:val="none"/>
          <w:lang w:val="en-US" w:eastAsia="zh-CN"/>
        </w:rPr>
        <w:t>上午</w:t>
      </w:r>
      <w:r>
        <w:rPr>
          <w:rFonts w:hint="eastAsia" w:cs="宋体"/>
          <w:b/>
          <w:bCs/>
          <w:color w:val="000000"/>
          <w:kern w:val="2"/>
          <w:sz w:val="28"/>
          <w:szCs w:val="28"/>
          <w:highlight w:val="none"/>
          <w:u w:val="none"/>
        </w:rPr>
        <w:t>9:30</w:t>
      </w:r>
      <w:bookmarkEnd w:id="6"/>
      <w:r>
        <w:rPr>
          <w:rFonts w:hint="eastAsia" w:cs="宋体"/>
          <w:b w:val="0"/>
          <w:bCs w:val="0"/>
          <w:color w:val="000000"/>
          <w:kern w:val="2"/>
          <w:sz w:val="28"/>
          <w:szCs w:val="28"/>
          <w:highlight w:val="none"/>
        </w:rPr>
        <w:t>。</w:t>
      </w:r>
    </w:p>
    <w:p>
      <w:pPr>
        <w:pStyle w:val="161"/>
        <w:tabs>
          <w:tab w:val="left" w:pos="1418"/>
        </w:tabs>
        <w:spacing w:line="500" w:lineRule="exact"/>
        <w:ind w:firstLine="560"/>
        <w:rPr>
          <w:rFonts w:ascii="宋体" w:hAnsi="宋体" w:eastAsia="宋体"/>
          <w:b w:val="0"/>
          <w:bCs w:val="0"/>
          <w:color w:val="000000"/>
          <w:sz w:val="28"/>
          <w:szCs w:val="28"/>
        </w:rPr>
      </w:pPr>
      <w:r>
        <w:rPr>
          <w:rFonts w:hint="eastAsia"/>
          <w:b w:val="0"/>
          <w:bCs w:val="0"/>
          <w:color w:val="000000"/>
          <w:sz w:val="28"/>
          <w:szCs w:val="28"/>
          <w:shd w:val="clear" w:color="auto" w:fill="FFFFFF"/>
        </w:rPr>
        <w:t>（二）</w:t>
      </w:r>
      <w:r>
        <w:rPr>
          <w:rFonts w:hint="eastAsia" w:ascii="宋体" w:hAnsi="宋体" w:eastAsia="宋体"/>
          <w:b w:val="0"/>
          <w:bCs w:val="0"/>
          <w:color w:val="000000"/>
          <w:sz w:val="28"/>
          <w:szCs w:val="28"/>
        </w:rPr>
        <w:t>响应文件递交方式、地点：响应文件递交截止时间前，供应商应将加密的响应文件递交至“政府采购云平台”对应项目（包件）。</w:t>
      </w:r>
    </w:p>
    <w:p>
      <w:pPr>
        <w:pStyle w:val="161"/>
        <w:tabs>
          <w:tab w:val="left" w:pos="1418"/>
        </w:tabs>
        <w:spacing w:line="600" w:lineRule="exact"/>
        <w:ind w:left="567" w:firstLine="0" w:firstLineChars="0"/>
        <w:rPr>
          <w:rFonts w:ascii="宋体" w:hAnsi="宋体" w:eastAsia="宋体"/>
          <w:b/>
          <w:color w:val="000000"/>
          <w:sz w:val="28"/>
          <w:szCs w:val="28"/>
        </w:rPr>
      </w:pPr>
      <w:r>
        <w:rPr>
          <w:rFonts w:hint="eastAsia" w:ascii="宋体" w:hAnsi="宋体"/>
          <w:color w:val="000000"/>
          <w:sz w:val="28"/>
          <w:szCs w:val="28"/>
        </w:rPr>
        <w:t>本项目只接受供应商加密并递交至“政府采购云平台”的响应文件。</w:t>
      </w:r>
    </w:p>
    <w:p>
      <w:pPr>
        <w:pStyle w:val="113"/>
        <w:ind w:firstLine="562"/>
        <w:rPr>
          <w:b/>
          <w:color w:val="000000"/>
          <w:sz w:val="28"/>
          <w:szCs w:val="28"/>
          <w:shd w:val="clear" w:color="auto" w:fill="FFFFFF"/>
        </w:rPr>
      </w:pPr>
      <w:r>
        <w:rPr>
          <w:rFonts w:hint="eastAsia"/>
          <w:b/>
          <w:color w:val="000000"/>
          <w:sz w:val="28"/>
          <w:szCs w:val="28"/>
          <w:shd w:val="clear" w:color="auto" w:fill="FFFFFF"/>
        </w:rPr>
        <w:t>十、递交响应文件地点及磋商地点</w:t>
      </w:r>
    </w:p>
    <w:p>
      <w:pPr>
        <w:widowControl/>
        <w:spacing w:line="360" w:lineRule="auto"/>
        <w:ind w:left="567"/>
        <w:rPr>
          <w:rFonts w:hint="eastAsia"/>
          <w:sz w:val="28"/>
          <w:szCs w:val="28"/>
        </w:rPr>
      </w:pPr>
      <w:r>
        <w:rPr>
          <w:rFonts w:hint="eastAsia"/>
          <w:sz w:val="28"/>
          <w:szCs w:val="28"/>
        </w:rPr>
        <w:t>本项目为不见面磋商。</w:t>
      </w:r>
    </w:p>
    <w:p>
      <w:pPr>
        <w:widowControl/>
        <w:spacing w:line="360" w:lineRule="auto"/>
        <w:ind w:left="567"/>
        <w:rPr>
          <w:sz w:val="28"/>
          <w:szCs w:val="28"/>
        </w:rPr>
      </w:pPr>
      <w:r>
        <w:rPr>
          <w:rFonts w:hint="eastAsia"/>
          <w:sz w:val="28"/>
          <w:szCs w:val="28"/>
        </w:rPr>
        <w:t>磋商地点：政府采购云平台开标大厅。</w:t>
      </w:r>
    </w:p>
    <w:p>
      <w:pPr>
        <w:numPr>
          <w:ilvl w:val="0"/>
          <w:numId w:val="2"/>
        </w:numPr>
        <w:spacing w:line="360" w:lineRule="auto"/>
        <w:ind w:left="630"/>
        <w:rPr>
          <w:rFonts w:hint="eastAsia"/>
          <w:b/>
          <w:color w:val="000000"/>
          <w:sz w:val="28"/>
          <w:szCs w:val="28"/>
        </w:rPr>
      </w:pPr>
      <w:r>
        <w:rPr>
          <w:rFonts w:hint="eastAsia"/>
          <w:b/>
          <w:color w:val="000000"/>
          <w:sz w:val="28"/>
          <w:szCs w:val="28"/>
        </w:rPr>
        <w:t>中小企业政府采购信用担保融资</w:t>
      </w:r>
    </w:p>
    <w:p>
      <w:pPr>
        <w:pStyle w:val="4"/>
        <w:spacing w:before="156" w:after="156"/>
        <w:ind w:left="0" w:firstLine="0"/>
        <w:rPr>
          <w:color w:val="000000"/>
        </w:rPr>
      </w:pPr>
      <w:r>
        <w:rPr>
          <w:rFonts w:hint="eastAsia"/>
          <w:color w:val="000000"/>
        </w:rPr>
        <w:t xml:space="preserve">   </w:t>
      </w:r>
      <w:bookmarkStart w:id="7" w:name="_Toc20399"/>
      <w:r>
        <w:rPr>
          <w:rFonts w:hint="eastAsia"/>
          <w:color w:val="000000"/>
        </w:rPr>
        <w:t xml:space="preserve"> </w:t>
      </w:r>
      <w:bookmarkStart w:id="8" w:name="_Toc24796"/>
      <w:r>
        <w:rPr>
          <w:rFonts w:hint="eastAsia" w:cs="宋体"/>
          <w:b w:val="0"/>
          <w:bCs w:val="0"/>
          <w:iCs w:val="0"/>
          <w:color w:val="000000"/>
          <w:kern w:val="2"/>
        </w:rPr>
        <w:t>参加本次招标活动的中小企业</w:t>
      </w:r>
      <w:r>
        <w:rPr>
          <w:rFonts w:hint="eastAsia" w:cs="宋体"/>
          <w:b w:val="0"/>
          <w:bCs w:val="0"/>
          <w:iCs w:val="0"/>
          <w:color w:val="000000"/>
          <w:kern w:val="2"/>
          <w:lang w:eastAsia="zh-CN"/>
        </w:rPr>
        <w:t>供应商</w:t>
      </w:r>
      <w:r>
        <w:rPr>
          <w:rFonts w:hint="eastAsia" w:cs="宋体"/>
          <w:b w:val="0"/>
          <w:bCs w:val="0"/>
          <w:iCs w:val="0"/>
          <w:color w:val="000000"/>
          <w:kern w:val="2"/>
        </w:rPr>
        <w:t>无需提供财产抵押或第三方担保，凭借政府采购合同可向融资机构申请融资。具体内容详见招标文件附件中《成都市温江区财政局关于公布温江区首批支持中小企业政府采购信用融资银行名单的公告》和《成都市财政局关于公布成都市首批在线开展政府采购信用融资业务银行名单的通知》（成财采[2019]49号）</w:t>
      </w:r>
      <w:bookmarkEnd w:id="7"/>
      <w:bookmarkEnd w:id="8"/>
    </w:p>
    <w:p>
      <w:pPr>
        <w:pStyle w:val="113"/>
        <w:ind w:firstLine="582"/>
        <w:rPr>
          <w:b/>
          <w:color w:val="000000"/>
          <w:shd w:val="clear" w:color="auto" w:fill="FFFFFF"/>
        </w:rPr>
      </w:pPr>
      <w:r>
        <w:rPr>
          <w:rFonts w:hint="eastAsia"/>
          <w:b/>
          <w:color w:val="000000"/>
          <w:sz w:val="29"/>
          <w:szCs w:val="29"/>
        </w:rPr>
        <w:t>十二</w:t>
      </w:r>
      <w:r>
        <w:rPr>
          <w:rFonts w:hint="eastAsia"/>
          <w:b/>
          <w:color w:val="000000"/>
          <w:shd w:val="clear" w:color="auto" w:fill="FFFFFF"/>
        </w:rPr>
        <w:t>、联系人及联系电话</w:t>
      </w:r>
    </w:p>
    <w:p>
      <w:pPr>
        <w:pStyle w:val="113"/>
        <w:keepNext w:val="0"/>
        <w:keepLines w:val="0"/>
        <w:pageBreakBefore w:val="0"/>
        <w:kinsoku/>
        <w:wordWrap/>
        <w:overflowPunct/>
        <w:topLinePunct w:val="0"/>
        <w:autoSpaceDE/>
        <w:autoSpaceDN/>
        <w:bidi w:val="0"/>
        <w:adjustRightInd/>
        <w:snapToGrid/>
        <w:spacing w:line="500" w:lineRule="exact"/>
        <w:ind w:firstLine="482"/>
        <w:textAlignment w:val="auto"/>
        <w:rPr>
          <w:rFonts w:hint="eastAsia" w:eastAsiaTheme="minorEastAsia"/>
          <w:color w:val="000000"/>
          <w:highlight w:val="none"/>
          <w:shd w:val="clear" w:color="auto" w:fill="FFFFFF"/>
          <w:lang w:eastAsia="zh-CN"/>
        </w:rPr>
      </w:pPr>
      <w:r>
        <w:rPr>
          <w:rFonts w:hint="eastAsia"/>
          <w:b/>
          <w:color w:val="000000"/>
          <w:highlight w:val="none"/>
          <w:shd w:val="clear" w:color="auto" w:fill="FFFFFF"/>
        </w:rPr>
        <w:t>（一）采购人</w:t>
      </w:r>
      <w:r>
        <w:rPr>
          <w:rFonts w:hint="eastAsia"/>
          <w:color w:val="000000"/>
          <w:highlight w:val="none"/>
          <w:shd w:val="clear" w:color="auto" w:fill="FFFFFF"/>
        </w:rPr>
        <w:t>：</w:t>
      </w:r>
      <w:r>
        <w:rPr>
          <w:rFonts w:hint="eastAsia"/>
          <w:b/>
          <w:bCs/>
          <w:color w:val="000000"/>
          <w:highlight w:val="none"/>
          <w:shd w:val="clear" w:color="auto" w:fill="FFFFFF"/>
          <w:lang w:val="en-US" w:eastAsia="zh-CN"/>
        </w:rPr>
        <w:t>成都市</w:t>
      </w:r>
      <w:r>
        <w:rPr>
          <w:rFonts w:hint="eastAsia"/>
          <w:b/>
          <w:bCs/>
          <w:color w:val="000000"/>
          <w:highlight w:val="none"/>
          <w:shd w:val="clear" w:color="auto" w:fill="FFFFFF"/>
          <w:lang w:eastAsia="zh-CN"/>
        </w:rPr>
        <w:t>温江中学实验学校</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Theme="minorEastAsia" w:cstheme="minorBidi"/>
          <w:color w:val="000000"/>
          <w:kern w:val="10"/>
          <w:sz w:val="24"/>
          <w:szCs w:val="22"/>
          <w:highlight w:val="none"/>
          <w:shd w:val="clear" w:color="auto" w:fill="FFFFFF"/>
          <w:lang w:val="en-US" w:eastAsia="zh-CN" w:bidi="ar-SA"/>
        </w:rPr>
      </w:pPr>
      <w:r>
        <w:rPr>
          <w:rFonts w:hint="eastAsia" w:ascii="宋体" w:hAnsi="宋体" w:eastAsiaTheme="minorEastAsia" w:cstheme="minorBidi"/>
          <w:color w:val="000000"/>
          <w:kern w:val="10"/>
          <w:sz w:val="24"/>
          <w:szCs w:val="22"/>
          <w:highlight w:val="none"/>
          <w:shd w:val="clear" w:color="auto" w:fill="FFFFFF"/>
          <w:lang w:val="en-US" w:eastAsia="zh-CN" w:bidi="ar-SA"/>
        </w:rPr>
        <w:t xml:space="preserve">地    址：成都市温江区文武路201号 </w:t>
      </w:r>
    </w:p>
    <w:p>
      <w:pPr>
        <w:pStyle w:val="113"/>
        <w:keepNext w:val="0"/>
        <w:keepLines w:val="0"/>
        <w:pageBreakBefore w:val="0"/>
        <w:kinsoku/>
        <w:wordWrap/>
        <w:overflowPunct/>
        <w:topLinePunct w:val="0"/>
        <w:autoSpaceDE/>
        <w:autoSpaceDN/>
        <w:bidi w:val="0"/>
        <w:adjustRightInd/>
        <w:snapToGrid/>
        <w:spacing w:line="500" w:lineRule="exact"/>
        <w:ind w:firstLine="480"/>
        <w:textAlignment w:val="auto"/>
        <w:rPr>
          <w:rFonts w:hint="default" w:ascii="宋体" w:hAnsi="宋体" w:eastAsiaTheme="minorEastAsia" w:cstheme="minorBidi"/>
          <w:color w:val="000000"/>
          <w:kern w:val="10"/>
          <w:sz w:val="24"/>
          <w:szCs w:val="22"/>
          <w:highlight w:val="none"/>
          <w:shd w:val="clear" w:color="auto" w:fill="FFFFFF"/>
          <w:lang w:val="en-US" w:eastAsia="zh-CN" w:bidi="ar-SA"/>
        </w:rPr>
      </w:pPr>
      <w:r>
        <w:rPr>
          <w:rFonts w:hint="eastAsia" w:ascii="宋体" w:hAnsi="宋体" w:eastAsiaTheme="minorEastAsia" w:cstheme="minorBidi"/>
          <w:color w:val="000000"/>
          <w:kern w:val="10"/>
          <w:sz w:val="24"/>
          <w:szCs w:val="22"/>
          <w:highlight w:val="none"/>
          <w:shd w:val="clear" w:color="auto" w:fill="FFFFFF"/>
          <w:lang w:val="en-US" w:eastAsia="zh-CN" w:bidi="ar-SA"/>
        </w:rPr>
        <w:t>邮    编：611130</w:t>
      </w:r>
    </w:p>
    <w:p>
      <w:pPr>
        <w:pStyle w:val="113"/>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宋体" w:hAnsi="宋体" w:eastAsiaTheme="minorEastAsia" w:cstheme="minorBidi"/>
          <w:color w:val="000000"/>
          <w:kern w:val="10"/>
          <w:sz w:val="24"/>
          <w:szCs w:val="22"/>
          <w:highlight w:val="none"/>
          <w:shd w:val="clear" w:color="auto" w:fill="FFFFFF"/>
          <w:lang w:val="en-US" w:eastAsia="zh-CN" w:bidi="ar-SA"/>
        </w:rPr>
      </w:pPr>
      <w:r>
        <w:rPr>
          <w:rFonts w:hint="eastAsia" w:ascii="宋体" w:hAnsi="宋体" w:eastAsiaTheme="minorEastAsia" w:cstheme="minorBidi"/>
          <w:color w:val="000000"/>
          <w:kern w:val="10"/>
          <w:sz w:val="24"/>
          <w:szCs w:val="22"/>
          <w:highlight w:val="none"/>
          <w:shd w:val="clear" w:color="auto" w:fill="FFFFFF"/>
          <w:lang w:val="en-US" w:eastAsia="zh-CN" w:bidi="ar-SA"/>
        </w:rPr>
        <w:t>联 系 人：王东</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Theme="minorEastAsia" w:cstheme="minorBidi"/>
          <w:color w:val="000000"/>
          <w:kern w:val="10"/>
          <w:sz w:val="24"/>
          <w:szCs w:val="22"/>
          <w:highlight w:val="none"/>
          <w:shd w:val="clear" w:color="auto" w:fill="FFFFFF"/>
          <w:lang w:val="en-US" w:eastAsia="zh-CN" w:bidi="ar-SA"/>
        </w:rPr>
      </w:pPr>
      <w:r>
        <w:rPr>
          <w:rFonts w:hint="eastAsia" w:ascii="宋体" w:hAnsi="宋体" w:eastAsiaTheme="minorEastAsia" w:cstheme="minorBidi"/>
          <w:color w:val="000000"/>
          <w:kern w:val="10"/>
          <w:sz w:val="24"/>
          <w:szCs w:val="22"/>
          <w:highlight w:val="none"/>
          <w:shd w:val="clear" w:color="auto" w:fill="FFFFFF"/>
          <w:lang w:val="en-US" w:eastAsia="zh-CN" w:bidi="ar-SA"/>
        </w:rPr>
        <w:t xml:space="preserve">联系电话：028-82722797 </w:t>
      </w:r>
    </w:p>
    <w:p>
      <w:pPr>
        <w:pStyle w:val="113"/>
        <w:ind w:firstLine="482"/>
        <w:rPr>
          <w:b/>
          <w:color w:val="auto"/>
          <w:highlight w:val="none"/>
        </w:rPr>
      </w:pPr>
      <w:bookmarkStart w:id="9" w:name="EBa7e00a33df2247fb87c775e3eeb6f68e"/>
      <w:r>
        <w:rPr>
          <w:rFonts w:hint="eastAsia"/>
          <w:b/>
          <w:color w:val="auto"/>
          <w:highlight w:val="none"/>
        </w:rPr>
        <w:t>（二）集中采购机构：成都市温江</w:t>
      </w:r>
      <w:r>
        <w:rPr>
          <w:rFonts w:hint="eastAsia"/>
          <w:b/>
          <w:color w:val="auto"/>
          <w:highlight w:val="none"/>
          <w:lang w:eastAsia="zh-CN"/>
        </w:rPr>
        <w:t>区</w:t>
      </w:r>
      <w:r>
        <w:rPr>
          <w:rFonts w:hint="eastAsia"/>
          <w:b/>
          <w:color w:val="auto"/>
          <w:highlight w:val="none"/>
        </w:rPr>
        <w:t>公共资源交易服务中心</w:t>
      </w:r>
    </w:p>
    <w:p>
      <w:pPr>
        <w:pStyle w:val="113"/>
        <w:ind w:firstLine="480"/>
        <w:rPr>
          <w:color w:val="auto"/>
          <w:highlight w:val="none"/>
        </w:rPr>
      </w:pPr>
      <w:r>
        <w:rPr>
          <w:rFonts w:hint="eastAsia"/>
          <w:color w:val="auto"/>
          <w:highlight w:val="none"/>
        </w:rPr>
        <w:t>地    址：成都市温江区锦绣大道南段43号天府智谷C栋3楼</w:t>
      </w:r>
    </w:p>
    <w:p>
      <w:pPr>
        <w:pStyle w:val="113"/>
        <w:ind w:firstLine="480"/>
        <w:rPr>
          <w:color w:val="auto"/>
          <w:highlight w:val="none"/>
        </w:rPr>
      </w:pPr>
      <w:r>
        <w:rPr>
          <w:rFonts w:hint="eastAsia"/>
          <w:color w:val="auto"/>
          <w:highlight w:val="none"/>
        </w:rPr>
        <w:t>邮    编：611130</w:t>
      </w:r>
    </w:p>
    <w:p>
      <w:pPr>
        <w:pStyle w:val="113"/>
        <w:ind w:firstLine="480"/>
        <w:rPr>
          <w:rFonts w:hint="eastAsia"/>
          <w:color w:val="auto"/>
          <w:highlight w:val="none"/>
          <w:lang w:eastAsia="zh-CN"/>
        </w:rPr>
      </w:pPr>
      <w:r>
        <w:rPr>
          <w:rFonts w:hint="eastAsia"/>
          <w:color w:val="auto"/>
          <w:highlight w:val="none"/>
        </w:rPr>
        <w:t>联 系 人</w:t>
      </w:r>
      <w:r>
        <w:rPr>
          <w:rFonts w:hint="eastAsia"/>
          <w:color w:val="auto"/>
          <w:highlight w:val="none"/>
          <w:lang w:eastAsia="zh-CN"/>
        </w:rPr>
        <w:t>：</w:t>
      </w:r>
      <w:r>
        <w:rPr>
          <w:rFonts w:hint="eastAsia"/>
          <w:color w:val="auto"/>
          <w:highlight w:val="none"/>
          <w:lang w:val="en-US" w:eastAsia="zh-CN"/>
        </w:rPr>
        <w:t>胥怡希</w:t>
      </w:r>
    </w:p>
    <w:p>
      <w:pPr>
        <w:pStyle w:val="113"/>
        <w:ind w:firstLine="480"/>
        <w:rPr>
          <w:rFonts w:hint="default" w:eastAsia="宋体"/>
          <w:color w:val="auto"/>
          <w:highlight w:val="none"/>
          <w:lang w:val="en-US" w:eastAsia="zh-CN"/>
        </w:rPr>
      </w:pPr>
      <w:r>
        <w:rPr>
          <w:rFonts w:hint="eastAsia"/>
          <w:color w:val="auto"/>
          <w:highlight w:val="none"/>
        </w:rPr>
        <w:t>联系电话：</w:t>
      </w:r>
      <w:bookmarkStart w:id="10" w:name="EBeb8d297ecfe64323924dbe33cc2e5752"/>
      <w:r>
        <w:rPr>
          <w:rFonts w:hint="eastAsia"/>
          <w:color w:val="auto"/>
          <w:highlight w:val="none"/>
        </w:rPr>
        <w:t>028-</w:t>
      </w:r>
      <w:bookmarkEnd w:id="10"/>
      <w:r>
        <w:rPr>
          <w:rFonts w:hint="eastAsia"/>
          <w:color w:val="auto"/>
          <w:highlight w:val="none"/>
          <w:lang w:val="en-US" w:eastAsia="zh-CN"/>
        </w:rPr>
        <w:t>82746656</w:t>
      </w:r>
    </w:p>
    <w:p>
      <w:pPr>
        <w:spacing w:line="360" w:lineRule="auto"/>
        <w:ind w:firstLine="562" w:firstLineChars="200"/>
        <w:rPr>
          <w:rFonts w:ascii="宋体" w:hAnsi="宋体"/>
          <w:color w:val="auto"/>
          <w:kern w:val="0"/>
          <w:sz w:val="28"/>
          <w:highlight w:val="none"/>
        </w:rPr>
      </w:pPr>
      <w:r>
        <w:rPr>
          <w:rFonts w:hint="eastAsia" w:ascii="宋体" w:hAnsi="宋体"/>
          <w:b/>
          <w:color w:val="auto"/>
          <w:sz w:val="28"/>
          <w:szCs w:val="28"/>
          <w:highlight w:val="none"/>
        </w:rPr>
        <w:t>技术支持电话：</w:t>
      </w:r>
      <w:r>
        <w:rPr>
          <w:rFonts w:hint="eastAsia" w:ascii="宋体" w:hAnsi="宋体"/>
          <w:color w:val="auto"/>
          <w:sz w:val="28"/>
          <w:szCs w:val="28"/>
          <w:highlight w:val="none"/>
        </w:rPr>
        <w:t>400-881-7190</w:t>
      </w:r>
    </w:p>
    <w:p>
      <w:pPr>
        <w:pStyle w:val="113"/>
        <w:ind w:firstLine="482" w:firstLineChars="200"/>
        <w:rPr>
          <w:b/>
          <w:color w:val="auto"/>
          <w:highlight w:val="none"/>
        </w:rPr>
      </w:pPr>
      <w:r>
        <w:rPr>
          <w:rFonts w:hint="eastAsia"/>
          <w:b/>
          <w:color w:val="auto"/>
          <w:highlight w:val="none"/>
        </w:rPr>
        <w:t>（三）政府采购监督管理部门：成都市温江区财政局</w:t>
      </w:r>
    </w:p>
    <w:p>
      <w:pPr>
        <w:pStyle w:val="113"/>
        <w:ind w:firstLine="600" w:firstLineChars="250"/>
        <w:rPr>
          <w:color w:val="auto"/>
          <w:highlight w:val="none"/>
        </w:rPr>
      </w:pPr>
      <w:r>
        <w:rPr>
          <w:rFonts w:hint="eastAsia"/>
          <w:color w:val="auto"/>
          <w:highlight w:val="none"/>
        </w:rPr>
        <w:t>地    址：成都市温江区海科大厦</w:t>
      </w:r>
    </w:p>
    <w:p>
      <w:pPr>
        <w:pStyle w:val="113"/>
        <w:ind w:firstLine="600" w:firstLineChars="250"/>
        <w:rPr>
          <w:rFonts w:hint="eastAsia"/>
          <w:color w:val="auto"/>
          <w:highlight w:val="none"/>
          <w:lang w:eastAsia="zh-CN"/>
        </w:rPr>
      </w:pPr>
      <w:r>
        <w:rPr>
          <w:rFonts w:hint="eastAsia"/>
          <w:color w:val="auto"/>
          <w:highlight w:val="none"/>
        </w:rPr>
        <w:t>联系电话：028-82727142</w:t>
      </w:r>
    </w:p>
    <w:p>
      <w:pPr>
        <w:rPr>
          <w:rFonts w:hint="eastAsia"/>
          <w:color w:val="000000"/>
          <w:sz w:val="20"/>
          <w:shd w:val="clear" w:color="auto" w:fill="FFFFFF"/>
        </w:rPr>
      </w:pPr>
      <w:r>
        <w:rPr>
          <w:rFonts w:hint="eastAsia"/>
          <w:color w:val="000000"/>
          <w:sz w:val="20"/>
          <w:shd w:val="clear" w:color="auto" w:fill="FFFFFF"/>
        </w:rPr>
        <w:t xml:space="preserve"> </w:t>
      </w:r>
      <w:bookmarkEnd w:id="9"/>
    </w:p>
    <w:p>
      <w:pPr>
        <w:pStyle w:val="3"/>
        <w:rPr>
          <w:rFonts w:hint="eastAsia"/>
          <w:color w:val="000000"/>
          <w:shd w:val="clear" w:color="auto" w:fill="FFFFFF"/>
        </w:rPr>
      </w:pPr>
      <w:r>
        <w:rPr>
          <w:color w:val="000000"/>
          <w:shd w:val="clear" w:color="auto" w:fill="FFFFFF"/>
        </w:rPr>
        <w:br w:type="page"/>
      </w:r>
      <w:bookmarkStart w:id="11" w:name="_Toc10724"/>
      <w:r>
        <w:rPr>
          <w:rFonts w:hint="eastAsia"/>
          <w:color w:val="000000"/>
          <w:shd w:val="clear" w:color="auto" w:fill="FFFFFF"/>
        </w:rPr>
        <w:t>第2章 供应商须知</w:t>
      </w:r>
      <w:bookmarkEnd w:id="11"/>
    </w:p>
    <w:p>
      <w:pPr>
        <w:rPr>
          <w:color w:val="000000"/>
          <w:shd w:val="clear" w:color="auto" w:fill="FFFFFF"/>
        </w:rPr>
      </w:pPr>
      <w:bookmarkStart w:id="12" w:name="EB266cf7ac68504172812b037736c5797c"/>
      <w:r>
        <w:rPr>
          <w:rFonts w:hint="eastAsia"/>
          <w:color w:val="000000"/>
          <w:sz w:val="20"/>
          <w:shd w:val="clear" w:color="auto" w:fill="FFFFFF"/>
        </w:rPr>
        <w:t xml:space="preserve"> </w:t>
      </w:r>
      <w:bookmarkEnd w:id="12"/>
      <w:bookmarkStart w:id="13" w:name="EB35c251e035b54fa6ae1adfd5df76bd79"/>
      <w:r>
        <w:rPr>
          <w:rFonts w:hint="eastAsia"/>
          <w:color w:val="000000"/>
          <w:sz w:val="20"/>
          <w:shd w:val="clear" w:color="auto" w:fill="FFFFFF"/>
        </w:rPr>
        <w:t xml:space="preserve"> </w:t>
      </w:r>
      <w:bookmarkEnd w:id="13"/>
    </w:p>
    <w:p>
      <w:pPr>
        <w:pStyle w:val="4"/>
        <w:spacing w:before="156" w:after="156"/>
        <w:ind w:left="0" w:firstLine="0"/>
        <w:rPr>
          <w:color w:val="000000"/>
          <w:shd w:val="clear" w:color="auto" w:fill="FFFFFF"/>
        </w:rPr>
      </w:pPr>
      <w:bookmarkStart w:id="14" w:name="_Toc27137"/>
      <w:r>
        <w:rPr>
          <w:rFonts w:hint="eastAsia"/>
          <w:color w:val="000000"/>
          <w:shd w:val="clear" w:color="auto" w:fill="FFFFFF"/>
        </w:rPr>
        <w:t>2.1供应商须知前附表</w:t>
      </w:r>
      <w:bookmarkEnd w:id="14"/>
    </w:p>
    <w:tbl>
      <w:tblPr>
        <w:tblStyle w:val="42"/>
        <w:tblW w:w="926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61"/>
        <w:gridCol w:w="1815"/>
        <w:gridCol w:w="76"/>
        <w:gridCol w:w="650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861" w:type="dxa"/>
            <w:vAlign w:val="center"/>
          </w:tcPr>
          <w:p>
            <w:pPr>
              <w:pStyle w:val="113"/>
              <w:ind w:firstLine="103" w:firstLineChars="49"/>
              <w:rPr>
                <w:rFonts w:cs="宋体"/>
                <w:b/>
                <w:color w:val="000000"/>
                <w:sz w:val="21"/>
                <w:shd w:val="clear" w:color="auto" w:fill="FFFFFF"/>
              </w:rPr>
            </w:pPr>
            <w:r>
              <w:rPr>
                <w:rFonts w:hint="eastAsia" w:cs="宋体"/>
                <w:b/>
                <w:color w:val="000000"/>
                <w:sz w:val="21"/>
                <w:shd w:val="clear" w:color="auto" w:fill="FFFFFF"/>
                <w:lang w:val="zh-CN"/>
              </w:rPr>
              <w:t>序号</w:t>
            </w:r>
          </w:p>
        </w:tc>
        <w:tc>
          <w:tcPr>
            <w:tcW w:w="1891" w:type="dxa"/>
            <w:gridSpan w:val="2"/>
            <w:vAlign w:val="center"/>
          </w:tcPr>
          <w:p>
            <w:pPr>
              <w:pStyle w:val="113"/>
              <w:ind w:firstLine="422"/>
              <w:rPr>
                <w:rFonts w:cs="宋体"/>
                <w:b/>
                <w:color w:val="000000"/>
                <w:sz w:val="21"/>
                <w:shd w:val="clear" w:color="auto" w:fill="FFFFFF"/>
                <w:lang w:val="zh-CN"/>
              </w:rPr>
            </w:pPr>
            <w:r>
              <w:rPr>
                <w:rFonts w:hint="eastAsia" w:cs="宋体"/>
                <w:b/>
                <w:color w:val="000000"/>
                <w:sz w:val="21"/>
                <w:shd w:val="clear" w:color="auto" w:fill="FFFFFF"/>
                <w:lang w:val="zh-CN"/>
              </w:rPr>
              <w:t>应知事项</w:t>
            </w:r>
          </w:p>
        </w:tc>
        <w:tc>
          <w:tcPr>
            <w:tcW w:w="6508" w:type="dxa"/>
            <w:vAlign w:val="center"/>
          </w:tcPr>
          <w:p>
            <w:pPr>
              <w:pStyle w:val="113"/>
              <w:ind w:firstLine="422"/>
              <w:rPr>
                <w:rFonts w:cs="宋体"/>
                <w:b/>
                <w:color w:val="000000"/>
                <w:sz w:val="21"/>
                <w:shd w:val="clear" w:color="auto" w:fill="FFFFFF"/>
                <w:lang w:val="zh-CN"/>
              </w:rPr>
            </w:pPr>
            <w:r>
              <w:rPr>
                <w:rFonts w:hint="eastAsia" w:cs="宋体"/>
                <w:b/>
                <w:color w:val="000000"/>
                <w:sz w:val="21"/>
                <w:shd w:val="clear" w:color="auto" w:fill="FFFFFF"/>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61" w:type="dxa"/>
            <w:vAlign w:val="center"/>
          </w:tcPr>
          <w:p>
            <w:pPr>
              <w:snapToGrid w:val="0"/>
              <w:spacing w:line="360" w:lineRule="auto"/>
              <w:ind w:left="420"/>
              <w:rPr>
                <w:color w:val="000000"/>
                <w:shd w:val="clear" w:color="auto" w:fill="FFFFFF"/>
              </w:rPr>
            </w:pPr>
            <w:r>
              <w:rPr>
                <w:rFonts w:hint="eastAsia"/>
                <w:color w:val="000000"/>
                <w:shd w:val="clear" w:color="auto" w:fill="FFFFFF"/>
              </w:rPr>
              <w:t>1</w:t>
            </w:r>
          </w:p>
        </w:tc>
        <w:tc>
          <w:tcPr>
            <w:tcW w:w="1891" w:type="dxa"/>
            <w:gridSpan w:val="2"/>
            <w:vAlign w:val="center"/>
          </w:tcPr>
          <w:p>
            <w:pPr>
              <w:spacing w:before="152" w:after="160" w:line="360" w:lineRule="auto"/>
              <w:ind w:right="210" w:rightChars="100"/>
              <w:rPr>
                <w:rFonts w:hint="eastAsia"/>
                <w:color w:val="000000"/>
                <w:shd w:val="clear" w:color="auto" w:fill="FFFFFF"/>
                <w:lang w:val="zh-CN"/>
              </w:rPr>
            </w:pPr>
            <w:r>
              <w:rPr>
                <w:rFonts w:hint="eastAsia"/>
                <w:color w:val="000000"/>
                <w:shd w:val="clear" w:color="auto" w:fill="FFFFFF"/>
                <w:lang w:val="zh-CN"/>
              </w:rPr>
              <w:t>采购预算</w:t>
            </w:r>
          </w:p>
        </w:tc>
        <w:tc>
          <w:tcPr>
            <w:tcW w:w="6508" w:type="dxa"/>
            <w:vAlign w:val="center"/>
          </w:tcPr>
          <w:p>
            <w:pPr>
              <w:spacing w:before="152" w:after="160" w:line="360" w:lineRule="auto"/>
              <w:ind w:right="210"/>
              <w:rPr>
                <w:rFonts w:hint="eastAsia"/>
                <w:b/>
                <w:color w:val="000000"/>
                <w:kern w:val="0"/>
                <w:sz w:val="24"/>
                <w:szCs w:val="24"/>
                <w:shd w:val="clear" w:color="auto" w:fill="FFFFFF"/>
                <w:lang w:val="zh-CN"/>
              </w:rPr>
            </w:pPr>
            <w:bookmarkStart w:id="15" w:name="EB98e56ed8678a453280c3e0778f77c07e"/>
            <w:r>
              <w:rPr>
                <w:rFonts w:hint="eastAsia"/>
                <w:b/>
                <w:color w:val="000000"/>
                <w:kern w:val="0"/>
                <w:sz w:val="24"/>
                <w:szCs w:val="24"/>
                <w:shd w:val="clear" w:color="auto" w:fill="FFFFFF"/>
                <w:lang w:val="zh-CN"/>
              </w:rPr>
              <w:t>人民币999300元。</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61" w:type="dxa"/>
            <w:vAlign w:val="center"/>
          </w:tcPr>
          <w:p>
            <w:pPr>
              <w:snapToGrid w:val="0"/>
              <w:spacing w:line="360" w:lineRule="auto"/>
              <w:ind w:left="420"/>
              <w:rPr>
                <w:color w:val="000000"/>
                <w:shd w:val="clear" w:color="auto" w:fill="FFFFFF"/>
              </w:rPr>
            </w:pPr>
            <w:r>
              <w:rPr>
                <w:rFonts w:hint="eastAsia"/>
                <w:color w:val="000000"/>
                <w:shd w:val="clear" w:color="auto" w:fill="FFFFFF"/>
              </w:rPr>
              <w:t>2</w:t>
            </w:r>
          </w:p>
        </w:tc>
        <w:tc>
          <w:tcPr>
            <w:tcW w:w="1891" w:type="dxa"/>
            <w:gridSpan w:val="2"/>
            <w:vAlign w:val="center"/>
          </w:tcPr>
          <w:p>
            <w:pPr>
              <w:pStyle w:val="261"/>
              <w:spacing w:before="152" w:after="160" w:line="360" w:lineRule="auto"/>
              <w:ind w:right="210" w:rightChars="100"/>
              <w:jc w:val="both"/>
              <w:rPr>
                <w:rFonts w:hint="eastAsia"/>
                <w:color w:val="000000"/>
                <w:kern w:val="2"/>
                <w:sz w:val="21"/>
                <w:szCs w:val="22"/>
                <w:shd w:val="clear" w:color="auto" w:fill="FFFFFF"/>
                <w:lang w:val="zh-CN"/>
              </w:rPr>
            </w:pPr>
            <w:r>
              <w:rPr>
                <w:rFonts w:hint="eastAsia"/>
                <w:color w:val="000000"/>
                <w:kern w:val="2"/>
                <w:sz w:val="21"/>
                <w:szCs w:val="22"/>
                <w:shd w:val="clear" w:color="auto" w:fill="FFFFFF"/>
                <w:lang w:val="zh-CN"/>
              </w:rPr>
              <w:t>最高限价</w:t>
            </w:r>
          </w:p>
        </w:tc>
        <w:tc>
          <w:tcPr>
            <w:tcW w:w="6508" w:type="dxa"/>
            <w:vAlign w:val="center"/>
          </w:tcPr>
          <w:p>
            <w:pPr>
              <w:pStyle w:val="261"/>
              <w:spacing w:line="360" w:lineRule="auto"/>
              <w:ind w:right="210" w:rightChars="100"/>
              <w:jc w:val="both"/>
              <w:rPr>
                <w:rFonts w:hint="eastAsia"/>
                <w:b/>
                <w:color w:val="000000"/>
                <w:shd w:val="clear" w:color="auto" w:fill="FFFFFF"/>
                <w:lang w:val="zh-CN"/>
              </w:rPr>
            </w:pPr>
            <w:bookmarkStart w:id="16" w:name="EB879779937c0e454ab1a7ad20b4da040b"/>
            <w:r>
              <w:rPr>
                <w:rFonts w:hint="eastAsia"/>
                <w:b/>
                <w:color w:val="000000"/>
                <w:shd w:val="clear" w:color="auto" w:fill="FFFFFF"/>
                <w:lang w:val="zh-CN"/>
              </w:rPr>
              <w:t>本项目最高限价为人民币999300元，</w:t>
            </w:r>
            <w:bookmarkEnd w:id="16"/>
            <w:r>
              <w:rPr>
                <w:rFonts w:hint="eastAsia"/>
                <w:b/>
                <w:color w:val="000000"/>
                <w:shd w:val="clear" w:color="auto" w:fill="FFFFFF"/>
                <w:lang w:val="zh-CN"/>
              </w:rPr>
              <w:t>供应商最后报价高于最高限价的则其响应文件将按无效响应文件处理。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861" w:type="dxa"/>
            <w:vAlign w:val="center"/>
          </w:tcPr>
          <w:p>
            <w:pPr>
              <w:snapToGrid w:val="0"/>
              <w:spacing w:line="360" w:lineRule="auto"/>
              <w:ind w:left="420"/>
              <w:rPr>
                <w:color w:val="000000"/>
                <w:shd w:val="clear" w:color="auto" w:fill="FFFFFF"/>
              </w:rPr>
            </w:pPr>
            <w:r>
              <w:rPr>
                <w:rFonts w:hint="eastAsia"/>
                <w:color w:val="000000"/>
                <w:shd w:val="clear" w:color="auto" w:fill="FFFFFF"/>
              </w:rPr>
              <w:t>3</w:t>
            </w:r>
          </w:p>
        </w:tc>
        <w:tc>
          <w:tcPr>
            <w:tcW w:w="1891" w:type="dxa"/>
            <w:gridSpan w:val="2"/>
            <w:vAlign w:val="center"/>
          </w:tcPr>
          <w:p>
            <w:pPr>
              <w:pStyle w:val="261"/>
              <w:spacing w:before="152" w:after="160" w:line="360" w:lineRule="auto"/>
              <w:ind w:right="210" w:rightChars="100"/>
              <w:jc w:val="both"/>
              <w:rPr>
                <w:rFonts w:hint="eastAsia"/>
                <w:color w:val="000000"/>
                <w:kern w:val="2"/>
                <w:sz w:val="21"/>
                <w:szCs w:val="22"/>
                <w:shd w:val="clear" w:color="auto" w:fill="FFFFFF"/>
                <w:lang w:val="zh-CN"/>
              </w:rPr>
            </w:pPr>
            <w:r>
              <w:rPr>
                <w:rFonts w:hint="eastAsia"/>
                <w:color w:val="000000"/>
                <w:kern w:val="2"/>
                <w:sz w:val="21"/>
                <w:szCs w:val="22"/>
                <w:shd w:val="clear" w:color="auto" w:fill="FFFFFF"/>
                <w:lang w:val="zh-CN"/>
              </w:rPr>
              <w:t>采购方式</w:t>
            </w:r>
          </w:p>
        </w:tc>
        <w:tc>
          <w:tcPr>
            <w:tcW w:w="6508" w:type="dxa"/>
            <w:vAlign w:val="center"/>
          </w:tcPr>
          <w:p>
            <w:pPr>
              <w:pStyle w:val="261"/>
              <w:spacing w:before="152" w:after="160" w:line="360" w:lineRule="auto"/>
              <w:jc w:val="both"/>
              <w:rPr>
                <w:rFonts w:hint="eastAsia" w:eastAsia="宋体"/>
                <w:color w:val="000000"/>
                <w:shd w:val="clear" w:color="auto" w:fill="FFFFFF"/>
                <w:lang w:val="en-US" w:eastAsia="zh-CN"/>
              </w:rPr>
            </w:pPr>
            <w:r>
              <w:rPr>
                <w:rFonts w:hint="eastAsia"/>
                <w:color w:val="000000"/>
                <w:shd w:val="clear" w:color="auto" w:fill="FFFFFF"/>
                <w:lang w:val="zh-CN"/>
              </w:rPr>
              <w:t>竞争性磋</w:t>
            </w:r>
            <w:r>
              <w:rPr>
                <w:rFonts w:hint="eastAsia"/>
                <w:color w:val="000000"/>
                <w:shd w:val="clear" w:color="auto" w:fill="FFFFFF"/>
                <w:lang w:val="en-US" w:eastAsia="zh-CN"/>
              </w:rPr>
              <w:t>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61" w:type="dxa"/>
            <w:vAlign w:val="center"/>
          </w:tcPr>
          <w:p>
            <w:pPr>
              <w:snapToGrid w:val="0"/>
              <w:spacing w:line="360" w:lineRule="auto"/>
              <w:ind w:left="420"/>
              <w:rPr>
                <w:color w:val="000000"/>
                <w:shd w:val="clear" w:color="auto" w:fill="FFFFFF"/>
              </w:rPr>
            </w:pPr>
            <w:r>
              <w:rPr>
                <w:rFonts w:hint="eastAsia"/>
                <w:color w:val="000000"/>
                <w:shd w:val="clear" w:color="auto" w:fill="FFFFFF"/>
              </w:rPr>
              <w:t>4</w:t>
            </w:r>
          </w:p>
        </w:tc>
        <w:tc>
          <w:tcPr>
            <w:tcW w:w="1891" w:type="dxa"/>
            <w:gridSpan w:val="2"/>
            <w:vAlign w:val="center"/>
          </w:tcPr>
          <w:p>
            <w:pPr>
              <w:pStyle w:val="261"/>
              <w:spacing w:before="152" w:after="160" w:line="360" w:lineRule="auto"/>
              <w:ind w:right="210" w:rightChars="100"/>
              <w:jc w:val="both"/>
              <w:rPr>
                <w:rFonts w:hint="eastAsia"/>
                <w:color w:val="000000"/>
                <w:kern w:val="2"/>
                <w:sz w:val="21"/>
                <w:szCs w:val="22"/>
                <w:shd w:val="clear" w:color="auto" w:fill="FFFFFF"/>
                <w:lang w:val="zh-CN"/>
              </w:rPr>
            </w:pPr>
            <w:r>
              <w:rPr>
                <w:rFonts w:hint="eastAsia"/>
                <w:color w:val="000000"/>
                <w:kern w:val="2"/>
                <w:sz w:val="21"/>
                <w:szCs w:val="22"/>
                <w:shd w:val="clear" w:color="auto" w:fill="FFFFFF"/>
                <w:lang w:val="zh-CN"/>
              </w:rPr>
              <w:t>评审方法</w:t>
            </w:r>
          </w:p>
        </w:tc>
        <w:tc>
          <w:tcPr>
            <w:tcW w:w="6508" w:type="dxa"/>
            <w:vAlign w:val="center"/>
          </w:tcPr>
          <w:p>
            <w:pPr>
              <w:pStyle w:val="261"/>
              <w:spacing w:before="152" w:after="160" w:line="360" w:lineRule="auto"/>
              <w:jc w:val="both"/>
              <w:rPr>
                <w:color w:val="000000"/>
                <w:shd w:val="clear" w:color="auto" w:fill="FFFFFF"/>
                <w:lang w:val="zh-CN"/>
              </w:rPr>
            </w:pPr>
            <w:r>
              <w:rPr>
                <w:rFonts w:hint="eastAsia"/>
                <w:color w:val="000000"/>
                <w:shd w:val="clear" w:color="auto" w:fill="FFFFFF"/>
                <w:lang w:val="zh-CN"/>
              </w:rPr>
              <w:t>综合评分法</w:t>
            </w:r>
            <w:r>
              <w:rPr>
                <w:color w:val="000000"/>
                <w:shd w:val="clear" w:color="auto" w:fill="FFFFFF"/>
                <w:lang w:val="zh-CN"/>
              </w:rPr>
              <w:t>(详见第5章)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61" w:type="dxa"/>
            <w:vAlign w:val="center"/>
          </w:tcPr>
          <w:p>
            <w:pPr>
              <w:snapToGrid w:val="0"/>
              <w:spacing w:line="360" w:lineRule="auto"/>
              <w:ind w:left="420"/>
              <w:rPr>
                <w:rFonts w:hint="eastAsia"/>
                <w:color w:val="000000"/>
                <w:shd w:val="clear" w:color="auto" w:fill="FFFFFF"/>
                <w:lang w:val="zh-CN"/>
              </w:rPr>
            </w:pPr>
            <w:r>
              <w:rPr>
                <w:rFonts w:hint="eastAsia"/>
                <w:color w:val="000000"/>
                <w:shd w:val="clear" w:color="auto" w:fill="FFFFFF"/>
              </w:rPr>
              <w:t>5</w:t>
            </w:r>
          </w:p>
        </w:tc>
        <w:tc>
          <w:tcPr>
            <w:tcW w:w="1891" w:type="dxa"/>
            <w:gridSpan w:val="2"/>
            <w:vAlign w:val="center"/>
          </w:tcPr>
          <w:p>
            <w:pPr>
              <w:pStyle w:val="261"/>
              <w:spacing w:before="152" w:after="160" w:line="360" w:lineRule="auto"/>
              <w:ind w:right="210" w:rightChars="100"/>
              <w:jc w:val="both"/>
              <w:rPr>
                <w:rFonts w:hint="eastAsia"/>
                <w:color w:val="000000"/>
                <w:kern w:val="2"/>
                <w:sz w:val="21"/>
                <w:szCs w:val="22"/>
                <w:shd w:val="clear" w:color="auto" w:fill="FFFFFF"/>
                <w:lang w:val="zh-CN"/>
              </w:rPr>
            </w:pPr>
            <w:r>
              <w:rPr>
                <w:rFonts w:hint="eastAsia"/>
                <w:color w:val="000000"/>
                <w:kern w:val="2"/>
                <w:sz w:val="21"/>
                <w:szCs w:val="22"/>
                <w:shd w:val="clear" w:color="auto" w:fill="FFFFFF"/>
                <w:lang w:val="zh-CN"/>
              </w:rPr>
              <w:t>低于成本价不正当竞争预防措施</w:t>
            </w:r>
          </w:p>
        </w:tc>
        <w:tc>
          <w:tcPr>
            <w:tcW w:w="6508" w:type="dxa"/>
            <w:vAlign w:val="center"/>
          </w:tcPr>
          <w:p>
            <w:pPr>
              <w:pStyle w:val="261"/>
              <w:spacing w:before="152" w:after="160" w:line="360" w:lineRule="auto"/>
              <w:ind w:firstLine="480" w:firstLineChars="200"/>
              <w:jc w:val="both"/>
              <w:rPr>
                <w:rFonts w:hint="eastAsia"/>
                <w:color w:val="000000"/>
                <w:shd w:val="clear" w:color="auto" w:fill="FFFFFF"/>
                <w:lang w:val="zh-CN"/>
              </w:rPr>
            </w:pPr>
            <w:r>
              <w:rPr>
                <w:rFonts w:hint="eastAsia"/>
                <w:szCs w:val="21"/>
                <w:lang w:val="zh-CN"/>
              </w:rPr>
              <w:t>在评审过程中，磋商小组认为供应商最后报价明显低于其他通过符合性审查供应商的最后报价，有可能影响服务质量或者不能诚信履约的，磋商小组应当要求其在合理的时间内提供书面说明，必要时提交相关证明材料。供应商提交的书面说明、相关证明材料（如涉及），应当加盖供应商（法定名称）电子签章，在磋商小组要求的时间内通过政府采购云平台进行递交，否则无效。如因断电、断网、系统故障或其他不可抗力等因素，导致系统无法使用的，由供应商按磋商小组的要求进行澄清或者说明。供应商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rFonts w:hint="eastAsia"/>
                <w:color w:val="000000"/>
                <w:shd w:val="clear" w:color="auto" w:fill="FFFFFF"/>
              </w:rPr>
            </w:pPr>
            <w:r>
              <w:rPr>
                <w:rFonts w:hint="eastAsia"/>
                <w:color w:val="000000"/>
                <w:shd w:val="clear" w:color="auto" w:fill="FFFFFF"/>
              </w:rPr>
              <w:t>6</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pStyle w:val="261"/>
              <w:spacing w:before="152" w:after="160" w:line="360" w:lineRule="auto"/>
              <w:jc w:val="both"/>
              <w:rPr>
                <w:color w:val="000000"/>
                <w:shd w:val="clear" w:color="auto" w:fill="FFFFFF"/>
                <w:lang w:val="zh-CN"/>
              </w:rPr>
            </w:pPr>
            <w:r>
              <w:rPr>
                <w:rFonts w:hint="eastAsia"/>
                <w:color w:val="000000"/>
                <w:shd w:val="clear" w:color="auto" w:fill="FFFFFF"/>
                <w:lang w:val="zh-CN"/>
              </w:rPr>
              <w:t>磋商保证金</w:t>
            </w:r>
          </w:p>
        </w:tc>
        <w:tc>
          <w:tcPr>
            <w:tcW w:w="6508" w:type="dxa"/>
            <w:tcBorders>
              <w:top w:val="single" w:color="auto" w:sz="8" w:space="0"/>
              <w:left w:val="single" w:color="auto" w:sz="8" w:space="0"/>
              <w:bottom w:val="single" w:color="auto" w:sz="8" w:space="0"/>
              <w:right w:val="single" w:color="auto" w:sz="18" w:space="0"/>
            </w:tcBorders>
            <w:vAlign w:val="center"/>
          </w:tcPr>
          <w:p>
            <w:pPr>
              <w:spacing w:line="400" w:lineRule="exact"/>
              <w:rPr>
                <w:color w:val="000000"/>
                <w:u w:val="single"/>
                <w:shd w:val="clear" w:color="auto" w:fill="FFFFFF"/>
                <w:lang w:val="zh-CN"/>
              </w:rPr>
            </w:pPr>
            <w:bookmarkStart w:id="17" w:name="EB4f8c085a19294a48ac612af789d09175"/>
            <w:r>
              <w:rPr>
                <w:rFonts w:hint="eastAsia"/>
                <w:color w:val="000000"/>
                <w:shd w:val="clear" w:color="auto" w:fill="FFFFFF"/>
                <w:lang w:val="zh-CN"/>
              </w:rPr>
              <w:t>本项目不收取磋商保证金。</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rFonts w:hint="eastAsia"/>
                <w:color w:val="000000"/>
                <w:shd w:val="clear" w:color="auto" w:fill="FFFFFF"/>
              </w:rPr>
            </w:pPr>
            <w:r>
              <w:rPr>
                <w:rFonts w:hint="eastAsia"/>
                <w:color w:val="000000"/>
                <w:shd w:val="clear" w:color="auto" w:fill="FFFFFF"/>
              </w:rPr>
              <w:t>7</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spacing w:before="152" w:after="160" w:line="360" w:lineRule="auto"/>
              <w:rPr>
                <w:color w:val="000000"/>
                <w:shd w:val="clear" w:color="auto" w:fill="FFFFFF"/>
                <w:lang w:val="zh-CN"/>
              </w:rPr>
            </w:pPr>
            <w:r>
              <w:rPr>
                <w:rFonts w:hint="eastAsia"/>
                <w:color w:val="000000"/>
                <w:shd w:val="clear" w:color="auto" w:fill="FFFFFF"/>
                <w:lang w:val="zh-CN"/>
              </w:rPr>
              <w:t>履约保证金</w:t>
            </w:r>
          </w:p>
        </w:tc>
        <w:tc>
          <w:tcPr>
            <w:tcW w:w="6508" w:type="dxa"/>
            <w:tcBorders>
              <w:top w:val="single" w:color="auto" w:sz="8" w:space="0"/>
              <w:left w:val="single" w:color="auto" w:sz="8" w:space="0"/>
              <w:bottom w:val="single" w:color="auto" w:sz="8" w:space="0"/>
              <w:right w:val="single" w:color="auto" w:sz="18" w:space="0"/>
            </w:tcBorders>
            <w:vAlign w:val="center"/>
          </w:tcPr>
          <w:p>
            <w:pPr>
              <w:spacing w:line="360" w:lineRule="auto"/>
              <w:rPr>
                <w:color w:val="000000"/>
                <w:shd w:val="clear" w:color="auto" w:fill="FFFFFF"/>
              </w:rPr>
            </w:pPr>
            <w:r>
              <w:rPr>
                <w:rFonts w:hint="eastAsia"/>
                <w:color w:val="auto"/>
                <w:highlight w:val="none"/>
                <w:lang w:val="zh-CN"/>
              </w:rPr>
              <w:t>详见供应商须知</w:t>
            </w:r>
            <w:r>
              <w:rPr>
                <w:rFonts w:hint="eastAsia"/>
                <w:color w:val="auto"/>
                <w:highlight w:val="none"/>
                <w:lang w:val="en-US" w:eastAsia="zh-CN"/>
              </w:rPr>
              <w:t>2.8.4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color w:val="000000"/>
                <w:shd w:val="clear" w:color="auto" w:fill="FFFFFF"/>
              </w:rPr>
            </w:pPr>
            <w:r>
              <w:rPr>
                <w:rFonts w:hint="eastAsia"/>
                <w:color w:val="000000"/>
                <w:shd w:val="clear" w:color="auto" w:fill="FFFFFF"/>
              </w:rPr>
              <w:t>8</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spacing w:before="152" w:after="160" w:line="360" w:lineRule="auto"/>
              <w:rPr>
                <w:rFonts w:hint="eastAsia"/>
                <w:color w:val="000000"/>
                <w:shd w:val="clear" w:color="auto" w:fill="FFFFFF"/>
                <w:lang w:val="zh-CN"/>
              </w:rPr>
            </w:pPr>
            <w:r>
              <w:rPr>
                <w:rFonts w:hint="eastAsia"/>
                <w:color w:val="000000"/>
              </w:rPr>
              <w:t>响应应文件的制作和签章、加密</w:t>
            </w:r>
          </w:p>
        </w:tc>
        <w:tc>
          <w:tcPr>
            <w:tcW w:w="6508" w:type="dxa"/>
            <w:tcBorders>
              <w:top w:val="single" w:color="auto" w:sz="8" w:space="0"/>
              <w:left w:val="single" w:color="auto" w:sz="8" w:space="0"/>
              <w:bottom w:val="single" w:color="auto" w:sz="8" w:space="0"/>
              <w:right w:val="single" w:color="auto" w:sz="18" w:space="0"/>
            </w:tcBorders>
            <w:vAlign w:val="center"/>
          </w:tcPr>
          <w:p>
            <w:pPr>
              <w:spacing w:line="360" w:lineRule="auto"/>
              <w:rPr>
                <w:rFonts w:hint="eastAsia" w:eastAsia="宋体"/>
                <w:color w:val="000000"/>
                <w:shd w:val="clear" w:color="auto" w:fill="FFFFFF"/>
                <w:lang w:val="zh-CN" w:eastAsia="zh-CN"/>
              </w:rPr>
            </w:pPr>
            <w:r>
              <w:rPr>
                <w:rFonts w:hint="eastAsia"/>
                <w:color w:val="000000"/>
              </w:rPr>
              <w:t>详见供应商须知2.4.1</w:t>
            </w:r>
            <w:r>
              <w:rPr>
                <w:rFonts w:hint="eastAsia"/>
                <w:color w:val="000000"/>
                <w:lang w:val="en-US" w:eastAsia="zh-CN"/>
              </w:rPr>
              <w:t>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color w:val="000000"/>
                <w:shd w:val="clear" w:color="auto" w:fill="FFFFFF"/>
              </w:rPr>
            </w:pPr>
            <w:r>
              <w:rPr>
                <w:rFonts w:hint="eastAsia"/>
                <w:color w:val="000000"/>
                <w:shd w:val="clear" w:color="auto" w:fill="FFFFFF"/>
              </w:rPr>
              <w:t>9</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spacing w:before="152" w:after="160" w:line="360" w:lineRule="auto"/>
              <w:rPr>
                <w:rFonts w:hint="eastAsia"/>
                <w:color w:val="000000"/>
              </w:rPr>
            </w:pPr>
            <w:r>
              <w:rPr>
                <w:rFonts w:hint="eastAsia"/>
                <w:color w:val="000000"/>
              </w:rPr>
              <w:t>响应应文件的递交</w:t>
            </w:r>
          </w:p>
        </w:tc>
        <w:tc>
          <w:tcPr>
            <w:tcW w:w="6508"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hint="eastAsia" w:ascii="宋体" w:hAnsi="宋体" w:eastAsia="宋体"/>
                <w:color w:val="auto"/>
                <w:highlight w:val="none"/>
                <w:lang w:eastAsia="zh-CN"/>
              </w:rPr>
            </w:pPr>
            <w:r>
              <w:rPr>
                <w:rFonts w:hint="eastAsia" w:ascii="宋体" w:hAnsi="宋体"/>
                <w:color w:val="auto"/>
                <w:highlight w:val="none"/>
              </w:rPr>
              <w:t>详见</w:t>
            </w:r>
            <w:r>
              <w:rPr>
                <w:rFonts w:hint="eastAsia"/>
                <w:color w:val="auto"/>
                <w:highlight w:val="none"/>
                <w:lang w:eastAsia="zh-CN"/>
              </w:rPr>
              <w:t>供应商</w:t>
            </w:r>
            <w:r>
              <w:rPr>
                <w:rFonts w:hint="eastAsia" w:ascii="宋体" w:hAnsi="宋体"/>
                <w:color w:val="auto"/>
                <w:highlight w:val="none"/>
              </w:rPr>
              <w:t>须知2.4.1</w:t>
            </w:r>
            <w:r>
              <w:rPr>
                <w:rFonts w:hint="eastAsia"/>
                <w:color w:val="auto"/>
                <w:highlight w:val="none"/>
                <w:lang w:val="en-US" w:eastAsia="zh-CN"/>
              </w:rPr>
              <w:t>1</w:t>
            </w:r>
          </w:p>
          <w:p>
            <w:pPr>
              <w:spacing w:line="360" w:lineRule="auto"/>
              <w:rPr>
                <w:rFonts w:hint="eastAsia"/>
                <w:color w:val="000000"/>
              </w:rPr>
            </w:pPr>
            <w:r>
              <w:rPr>
                <w:rFonts w:hint="eastAsia" w:ascii="宋体" w:hAnsi="宋体"/>
                <w:b/>
                <w:bCs/>
                <w:color w:val="auto"/>
                <w:highlight w:val="none"/>
              </w:rPr>
              <w:t>注：</w:t>
            </w:r>
            <w:r>
              <w:rPr>
                <w:rFonts w:ascii="宋体" w:hAnsi="宋体"/>
                <w:b/>
                <w:bCs/>
                <w:color w:val="auto"/>
                <w:szCs w:val="21"/>
                <w:highlight w:val="none"/>
              </w:rPr>
              <w:t>在</w:t>
            </w:r>
            <w:r>
              <w:rPr>
                <w:rFonts w:hint="eastAsia" w:ascii="宋体" w:hAnsi="宋体"/>
                <w:b/>
                <w:bCs/>
                <w:color w:val="auto"/>
                <w:szCs w:val="21"/>
                <w:highlight w:val="none"/>
              </w:rPr>
              <w:t>递交</w:t>
            </w:r>
            <w:r>
              <w:rPr>
                <w:rFonts w:ascii="宋体" w:hAnsi="宋体"/>
                <w:b/>
                <w:bCs/>
                <w:color w:val="auto"/>
                <w:szCs w:val="21"/>
                <w:highlight w:val="none"/>
              </w:rPr>
              <w:t>响应文件</w:t>
            </w:r>
            <w:r>
              <w:rPr>
                <w:rFonts w:hint="eastAsia" w:ascii="宋体" w:hAnsi="宋体"/>
                <w:b/>
                <w:bCs/>
                <w:color w:val="auto"/>
                <w:szCs w:val="21"/>
                <w:highlight w:val="none"/>
              </w:rPr>
              <w:t>截止时间前，供应商使用</w:t>
            </w:r>
            <w:r>
              <w:rPr>
                <w:rFonts w:ascii="宋体" w:hAnsi="宋体"/>
                <w:b/>
                <w:bCs/>
                <w:color w:val="auto"/>
                <w:szCs w:val="21"/>
                <w:highlight w:val="none"/>
              </w:rPr>
              <w:t>CA证书</w:t>
            </w:r>
            <w:r>
              <w:rPr>
                <w:rFonts w:hint="eastAsia" w:ascii="宋体" w:hAnsi="宋体"/>
                <w:b/>
                <w:bCs/>
                <w:color w:val="auto"/>
                <w:szCs w:val="21"/>
                <w:highlight w:val="none"/>
              </w:rPr>
              <w:t>将响应文件上传至政府</w:t>
            </w:r>
            <w:r>
              <w:rPr>
                <w:rFonts w:ascii="宋体" w:hAnsi="宋体"/>
                <w:b/>
                <w:bCs/>
                <w:color w:val="auto"/>
                <w:szCs w:val="21"/>
                <w:highlight w:val="none"/>
              </w:rPr>
              <w:t>采购</w:t>
            </w:r>
            <w:r>
              <w:rPr>
                <w:rFonts w:hint="eastAsia" w:ascii="宋体" w:hAnsi="宋体"/>
                <w:b/>
                <w:bCs/>
                <w:color w:val="auto"/>
                <w:szCs w:val="21"/>
                <w:highlight w:val="none"/>
              </w:rPr>
              <w:t>云平台，上传前须对响应文件是否有电子签章等进行核对</w:t>
            </w:r>
            <w:r>
              <w:rPr>
                <w:rFonts w:hint="eastAsia" w:ascii="宋体" w:hAnsi="宋体"/>
                <w:b/>
                <w:bCs/>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color w:val="000000"/>
                <w:shd w:val="clear" w:color="auto" w:fill="FFFFFF"/>
              </w:rPr>
            </w:pPr>
            <w:r>
              <w:rPr>
                <w:rFonts w:hint="eastAsia"/>
                <w:color w:val="000000"/>
                <w:shd w:val="clear" w:color="auto" w:fill="FFFFFF"/>
              </w:rPr>
              <w:t>10</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spacing w:before="152" w:after="160" w:line="360" w:lineRule="auto"/>
              <w:rPr>
                <w:rFonts w:hint="eastAsia"/>
                <w:color w:val="000000"/>
                <w:highlight w:val="none"/>
              </w:rPr>
            </w:pPr>
            <w:r>
              <w:rPr>
                <w:rFonts w:hint="eastAsia"/>
                <w:color w:val="000000"/>
                <w:highlight w:val="none"/>
              </w:rPr>
              <w:t>响应文件的补充、修改和撤回</w:t>
            </w:r>
          </w:p>
        </w:tc>
        <w:tc>
          <w:tcPr>
            <w:tcW w:w="6508" w:type="dxa"/>
            <w:tcBorders>
              <w:top w:val="single" w:color="auto" w:sz="8" w:space="0"/>
              <w:left w:val="single" w:color="auto" w:sz="8" w:space="0"/>
              <w:bottom w:val="single" w:color="auto" w:sz="8" w:space="0"/>
              <w:right w:val="single" w:color="auto" w:sz="18" w:space="0"/>
            </w:tcBorders>
            <w:vAlign w:val="center"/>
          </w:tcPr>
          <w:p>
            <w:pPr>
              <w:spacing w:line="360" w:lineRule="auto"/>
              <w:rPr>
                <w:rFonts w:hint="eastAsia" w:eastAsia="宋体"/>
                <w:color w:val="000000"/>
                <w:highlight w:val="none"/>
                <w:lang w:eastAsia="zh-CN"/>
              </w:rPr>
            </w:pPr>
            <w:r>
              <w:rPr>
                <w:rFonts w:hint="eastAsia"/>
                <w:color w:val="000000"/>
                <w:highlight w:val="none"/>
              </w:rPr>
              <w:t>详见供应商须知2.4.1</w:t>
            </w:r>
            <w:r>
              <w:rPr>
                <w:rFonts w:hint="eastAsia"/>
                <w:color w:val="000000"/>
                <w:highlight w:val="none"/>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color w:val="000000"/>
                <w:shd w:val="clear" w:color="auto" w:fill="FFFFFF"/>
              </w:rPr>
            </w:pPr>
            <w:r>
              <w:rPr>
                <w:rFonts w:hint="eastAsia"/>
                <w:color w:val="000000"/>
                <w:shd w:val="clear" w:color="auto" w:fill="FFFFFF"/>
              </w:rPr>
              <w:t>11</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spacing w:before="152" w:after="160" w:line="360" w:lineRule="auto"/>
              <w:rPr>
                <w:rFonts w:hint="eastAsia"/>
                <w:color w:val="000000"/>
              </w:rPr>
            </w:pPr>
            <w:r>
              <w:rPr>
                <w:rFonts w:hint="eastAsia"/>
                <w:color w:val="auto"/>
                <w:szCs w:val="21"/>
                <w:highlight w:val="none"/>
              </w:rPr>
              <w:t>磋商</w:t>
            </w:r>
            <w:r>
              <w:rPr>
                <w:color w:val="auto"/>
                <w:szCs w:val="21"/>
                <w:highlight w:val="none"/>
              </w:rPr>
              <w:t>活动</w:t>
            </w:r>
            <w:r>
              <w:rPr>
                <w:rFonts w:hint="eastAsia"/>
                <w:color w:val="auto"/>
                <w:szCs w:val="21"/>
                <w:highlight w:val="none"/>
              </w:rPr>
              <w:t>开启程序</w:t>
            </w:r>
          </w:p>
        </w:tc>
        <w:tc>
          <w:tcPr>
            <w:tcW w:w="6508"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color w:val="auto"/>
                <w:highlight w:val="none"/>
              </w:rPr>
            </w:pPr>
            <w:r>
              <w:rPr>
                <w:rFonts w:hint="eastAsia" w:ascii="宋体" w:hAnsi="宋体"/>
                <w:b/>
                <w:color w:val="auto"/>
                <w:highlight w:val="none"/>
              </w:rPr>
              <w:t>详见供应商须知2.</w:t>
            </w:r>
            <w:r>
              <w:rPr>
                <w:rFonts w:hint="eastAsia"/>
                <w:b/>
                <w:color w:val="auto"/>
                <w:highlight w:val="none"/>
                <w:lang w:val="en-US" w:eastAsia="zh-CN"/>
              </w:rPr>
              <w:t>5</w:t>
            </w:r>
            <w:r>
              <w:rPr>
                <w:rFonts w:hint="eastAsia" w:ascii="宋体" w:hAnsi="宋体"/>
                <w:b/>
                <w:color w:val="auto"/>
                <w:highlight w:val="none"/>
              </w:rPr>
              <w:t>。</w:t>
            </w:r>
          </w:p>
          <w:p>
            <w:pPr>
              <w:snapToGrid w:val="0"/>
              <w:spacing w:line="360" w:lineRule="auto"/>
              <w:rPr>
                <w:rFonts w:ascii="宋体" w:hAnsi="宋体"/>
                <w:b/>
                <w:color w:val="auto"/>
                <w:szCs w:val="21"/>
                <w:highlight w:val="none"/>
              </w:rPr>
            </w:pPr>
            <w:r>
              <w:rPr>
                <w:rFonts w:hint="eastAsia" w:ascii="宋体" w:hAnsi="宋体"/>
                <w:b/>
                <w:color w:val="auto"/>
                <w:szCs w:val="21"/>
                <w:highlight w:val="none"/>
              </w:rPr>
              <w:t>响应文件解密：开启解密后，供应商应在系统提示的解密开始时间后</w:t>
            </w:r>
            <w:r>
              <w:rPr>
                <w:rFonts w:ascii="宋体" w:hAnsi="宋体"/>
                <w:b/>
                <w:color w:val="auto"/>
                <w:szCs w:val="21"/>
                <w:highlight w:val="none"/>
              </w:rPr>
              <w:t>60</w:t>
            </w:r>
            <w:r>
              <w:rPr>
                <w:rFonts w:hint="eastAsia" w:ascii="宋体" w:hAnsi="宋体"/>
                <w:b/>
                <w:color w:val="auto"/>
                <w:szCs w:val="21"/>
                <w:highlight w:val="none"/>
              </w:rPr>
              <w:t>分钟内，使用对响应文件进行加密的CA证书在线完成对供应商递交至政府采购云平台的响应文件的解密。</w:t>
            </w:r>
          </w:p>
          <w:p>
            <w:pPr>
              <w:snapToGrid w:val="0"/>
              <w:spacing w:line="360" w:lineRule="auto"/>
              <w:rPr>
                <w:rFonts w:ascii="宋体" w:hAnsi="宋体"/>
                <w:b/>
                <w:color w:val="auto"/>
                <w:szCs w:val="21"/>
                <w:highlight w:val="none"/>
              </w:rPr>
            </w:pPr>
            <w:r>
              <w:rPr>
                <w:rFonts w:hint="eastAsia" w:ascii="宋体" w:hAnsi="宋体"/>
                <w:b/>
                <w:color w:val="auto"/>
                <w:szCs w:val="21"/>
                <w:highlight w:val="none"/>
              </w:rPr>
              <w:t>供应商电脑终端等硬件设备和软件系统配置：供应商电脑终端等硬件设备和软件系统配置应符合开标大厅供应商电脑终端配置要求并运行正常，供应商承担因未尽职责产生的不利后果。</w:t>
            </w:r>
          </w:p>
          <w:p>
            <w:pPr>
              <w:spacing w:line="360" w:lineRule="auto"/>
              <w:rPr>
                <w:rFonts w:hint="eastAsia"/>
                <w:color w:val="000000"/>
              </w:rPr>
            </w:pPr>
            <w:r>
              <w:rPr>
                <w:rFonts w:hint="eastAsia" w:ascii="宋体" w:hAnsi="宋体"/>
                <w:b/>
                <w:color w:val="auto"/>
                <w:szCs w:val="21"/>
                <w:highlight w:val="none"/>
              </w:rPr>
              <w:t>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rFonts w:hint="eastAsia"/>
                <w:color w:val="000000"/>
                <w:shd w:val="clear" w:color="auto" w:fill="FFFFFF"/>
              </w:rPr>
            </w:pPr>
            <w:r>
              <w:rPr>
                <w:rFonts w:hint="eastAsia"/>
                <w:color w:val="000000"/>
                <w:shd w:val="clear" w:color="auto" w:fill="FFFFFF"/>
              </w:rPr>
              <w:t>12</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snapToGrid w:val="0"/>
              <w:spacing w:line="360" w:lineRule="auto"/>
              <w:rPr>
                <w:color w:val="000000"/>
                <w:highlight w:val="none"/>
                <w:shd w:val="clear" w:color="auto" w:fill="FFFFFF"/>
              </w:rPr>
            </w:pPr>
            <w:r>
              <w:rPr>
                <w:rFonts w:hint="eastAsia"/>
                <w:color w:val="000000"/>
                <w:highlight w:val="none"/>
                <w:shd w:val="clear" w:color="auto" w:fill="FFFFFF"/>
              </w:rPr>
              <w:t>对磋商文件中供应商参加本次政府采购活动应当具备的条件、技术、服务及其他要求以及评审办法和标准的询问、质疑</w:t>
            </w:r>
          </w:p>
        </w:tc>
        <w:tc>
          <w:tcPr>
            <w:tcW w:w="6508"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eastAsia="仿宋_GB2312"/>
                <w:color w:val="000000"/>
                <w:highlight w:val="none"/>
                <w:shd w:val="clear" w:color="auto" w:fill="FFFFFF"/>
              </w:rPr>
            </w:pPr>
            <w:r>
              <w:rPr>
                <w:rFonts w:hint="eastAsia"/>
                <w:color w:val="auto"/>
                <w:highlight w:val="none"/>
              </w:rPr>
              <w:t>向采购人提出，并由采购人按相关规定作出答复（详见供应商须知</w:t>
            </w:r>
            <w:r>
              <w:rPr>
                <w:color w:val="auto"/>
                <w:highlight w:val="none"/>
              </w:rPr>
              <w:t>2.</w:t>
            </w:r>
            <w:r>
              <w:rPr>
                <w:rFonts w:hint="eastAsia"/>
                <w:color w:val="auto"/>
                <w:highlight w:val="none"/>
                <w:lang w:val="en-US" w:eastAsia="zh-CN"/>
              </w:rPr>
              <w:t>10</w:t>
            </w:r>
            <w:r>
              <w:rPr>
                <w:rFonts w:hint="eastAsia"/>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color w:val="000000"/>
                <w:shd w:val="clear" w:color="auto" w:fill="FFFFFF"/>
              </w:rPr>
            </w:pPr>
            <w:r>
              <w:rPr>
                <w:rFonts w:hint="eastAsia"/>
                <w:color w:val="000000"/>
                <w:shd w:val="clear" w:color="auto" w:fill="FFFFFF"/>
              </w:rPr>
              <w:t>13</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snapToGrid w:val="0"/>
              <w:spacing w:line="360" w:lineRule="auto"/>
              <w:rPr>
                <w:color w:val="000000"/>
                <w:highlight w:val="none"/>
                <w:shd w:val="clear" w:color="auto" w:fill="FFFFFF"/>
              </w:rPr>
            </w:pPr>
            <w:r>
              <w:rPr>
                <w:rFonts w:hint="eastAsia"/>
                <w:color w:val="000000"/>
                <w:highlight w:val="none"/>
                <w:shd w:val="clear" w:color="auto" w:fill="FFFFFF"/>
              </w:rPr>
              <w:t>对磋商文件中的其他内容、采购过程及成交结果的询问、质疑</w:t>
            </w:r>
          </w:p>
        </w:tc>
        <w:tc>
          <w:tcPr>
            <w:tcW w:w="6508" w:type="dxa"/>
            <w:tcBorders>
              <w:top w:val="single" w:color="auto" w:sz="8" w:space="0"/>
              <w:left w:val="single" w:color="auto" w:sz="8" w:space="0"/>
              <w:bottom w:val="single" w:color="auto" w:sz="8" w:space="0"/>
              <w:right w:val="single" w:color="auto" w:sz="18" w:space="0"/>
            </w:tcBorders>
            <w:vAlign w:val="center"/>
          </w:tcPr>
          <w:p>
            <w:pPr>
              <w:pStyle w:val="113"/>
              <w:ind w:firstLine="0" w:firstLineChars="0"/>
              <w:rPr>
                <w:rFonts w:eastAsia="仿宋_GB2312" w:cs="宋体"/>
                <w:color w:val="000000"/>
                <w:sz w:val="21"/>
                <w:highlight w:val="none"/>
                <w:shd w:val="clear" w:color="auto" w:fill="FFFFFF"/>
              </w:rPr>
            </w:pPr>
            <w:r>
              <w:rPr>
                <w:rFonts w:hint="eastAsia" w:cs="宋体"/>
                <w:color w:val="auto"/>
                <w:sz w:val="21"/>
                <w:highlight w:val="none"/>
                <w:lang w:val="en-US" w:eastAsia="zh-CN"/>
              </w:rPr>
              <w:t>向区公资交易中心提出，并由区公资交易中心按相关规定作出答复（详见供应商须知</w:t>
            </w:r>
            <w:r>
              <w:rPr>
                <w:rFonts w:cs="宋体"/>
                <w:color w:val="auto"/>
                <w:sz w:val="21"/>
                <w:highlight w:val="none"/>
                <w:lang w:val="en-US" w:eastAsia="zh-CN"/>
              </w:rPr>
              <w:t>2.</w:t>
            </w:r>
            <w:r>
              <w:rPr>
                <w:rFonts w:hint="eastAsia" w:cs="宋体"/>
                <w:color w:val="auto"/>
                <w:sz w:val="21"/>
                <w:highlight w:val="none"/>
                <w:lang w:val="en-US" w:eastAsia="zh-CN"/>
              </w:rPr>
              <w:t>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rFonts w:hint="eastAsia"/>
                <w:color w:val="000000"/>
                <w:shd w:val="clear" w:color="auto" w:fill="FFFFFF"/>
              </w:rPr>
            </w:pPr>
            <w:r>
              <w:rPr>
                <w:rFonts w:hint="eastAsia"/>
                <w:color w:val="000000"/>
                <w:shd w:val="clear" w:color="auto" w:fill="FFFFFF"/>
              </w:rPr>
              <w:t>14</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color w:val="000000"/>
                <w:shd w:val="clear" w:color="auto" w:fill="FFFFFF"/>
              </w:rPr>
            </w:pPr>
            <w:r>
              <w:rPr>
                <w:rFonts w:hint="eastAsia"/>
                <w:color w:val="000000"/>
                <w:shd w:val="clear" w:color="auto" w:fill="FFFFFF"/>
              </w:rPr>
              <w:t>供应商投诉</w:t>
            </w:r>
          </w:p>
        </w:tc>
        <w:tc>
          <w:tcPr>
            <w:tcW w:w="6508" w:type="dxa"/>
            <w:tcBorders>
              <w:top w:val="single" w:color="auto" w:sz="8" w:space="0"/>
              <w:left w:val="single" w:color="auto" w:sz="8" w:space="0"/>
              <w:bottom w:val="single" w:color="auto" w:sz="8" w:space="0"/>
              <w:right w:val="single" w:color="auto" w:sz="18" w:space="0"/>
            </w:tcBorders>
            <w:vAlign w:val="center"/>
          </w:tcPr>
          <w:p>
            <w:pPr>
              <w:pStyle w:val="113"/>
              <w:ind w:firstLine="0" w:firstLineChars="0"/>
              <w:rPr>
                <w:rFonts w:eastAsia="仿宋_GB2312" w:cs="宋体"/>
                <w:color w:val="000000"/>
                <w:sz w:val="21"/>
                <w:shd w:val="clear" w:color="auto" w:fill="FFFFFF"/>
              </w:rPr>
            </w:pPr>
            <w:r>
              <w:rPr>
                <w:rFonts w:hint="eastAsia" w:cs="宋体"/>
                <w:color w:val="000000"/>
                <w:sz w:val="21"/>
                <w:shd w:val="clear" w:color="auto" w:fill="FFFFFF"/>
              </w:rPr>
              <w:t>投诉受理单位：本项目同级财政部门，即</w:t>
            </w:r>
            <w:r>
              <w:rPr>
                <w:rFonts w:hint="eastAsia" w:cs="宋体"/>
                <w:color w:val="000000"/>
                <w:kern w:val="2"/>
                <w:sz w:val="21"/>
                <w:shd w:val="clear" w:color="auto" w:fill="FFFFFF"/>
                <w:lang w:val="zh-CN"/>
              </w:rPr>
              <w:t>成都市温江区财政局</w:t>
            </w:r>
            <w:r>
              <w:rPr>
                <w:rFonts w:hint="eastAsia" w:cs="宋体"/>
                <w:color w:val="000000"/>
                <w:sz w:val="21"/>
                <w:shd w:val="clear" w:color="auto" w:fill="FFFFFF"/>
              </w:rPr>
              <w:t>。</w:t>
            </w:r>
          </w:p>
          <w:p>
            <w:pPr>
              <w:pStyle w:val="113"/>
              <w:ind w:firstLine="0" w:firstLineChars="0"/>
              <w:rPr>
                <w:rFonts w:cs="宋体"/>
                <w:color w:val="000000"/>
                <w:sz w:val="21"/>
                <w:shd w:val="clear" w:color="auto" w:fill="FFFFFF"/>
              </w:rPr>
            </w:pPr>
            <w:r>
              <w:rPr>
                <w:rFonts w:hint="eastAsia" w:cs="宋体"/>
                <w:color w:val="000000"/>
                <w:sz w:val="21"/>
                <w:shd w:val="clear" w:color="auto" w:fill="FFFFFF"/>
              </w:rPr>
              <w:t>联系电话：</w:t>
            </w:r>
            <w:bookmarkStart w:id="18" w:name="EB91905635386e42c09a9f7b66230bc0eb"/>
            <w:r>
              <w:rPr>
                <w:rFonts w:hint="eastAsia" w:cs="宋体"/>
                <w:color w:val="000000"/>
                <w:sz w:val="21"/>
                <w:shd w:val="clear" w:color="auto" w:fill="FFFFFF"/>
              </w:rPr>
              <w:t>028-82727142</w:t>
            </w:r>
            <w:bookmarkEnd w:id="18"/>
            <w:r>
              <w:rPr>
                <w:rFonts w:hint="eastAsia" w:cs="宋体"/>
                <w:color w:val="000000"/>
                <w:sz w:val="21"/>
                <w:shd w:val="clear" w:color="auto" w:fill="FFFFFF"/>
              </w:rPr>
              <w:t>。</w:t>
            </w:r>
          </w:p>
          <w:p>
            <w:pPr>
              <w:pStyle w:val="113"/>
              <w:ind w:firstLine="0" w:firstLineChars="0"/>
              <w:rPr>
                <w:rFonts w:cs="宋体"/>
                <w:color w:val="000000"/>
                <w:sz w:val="21"/>
                <w:shd w:val="clear" w:color="auto" w:fill="FFFFFF"/>
              </w:rPr>
            </w:pPr>
            <w:r>
              <w:rPr>
                <w:rFonts w:hint="eastAsia" w:cs="宋体"/>
                <w:color w:val="000000"/>
                <w:sz w:val="21"/>
                <w:shd w:val="clear" w:color="auto" w:fill="FFFFFF"/>
              </w:rPr>
              <w:t>地址：</w:t>
            </w:r>
            <w:r>
              <w:rPr>
                <w:rFonts w:hint="eastAsia" w:cs="宋体"/>
                <w:color w:val="000000"/>
                <w:kern w:val="2"/>
                <w:sz w:val="21"/>
                <w:shd w:val="clear" w:color="auto" w:fill="FFFFFF"/>
                <w:lang w:val="zh-CN"/>
              </w:rPr>
              <w:t>温江区海科大厦</w:t>
            </w:r>
            <w:r>
              <w:rPr>
                <w:rFonts w:cs="宋体"/>
                <w:color w:val="000000"/>
                <w:sz w:val="21"/>
                <w:shd w:val="clear" w:color="auto" w:fill="FFFFFF"/>
              </w:rPr>
              <w:t>。</w:t>
            </w:r>
          </w:p>
          <w:p>
            <w:pPr>
              <w:pStyle w:val="113"/>
              <w:ind w:firstLine="0" w:firstLineChars="0"/>
              <w:rPr>
                <w:rFonts w:cs="宋体"/>
                <w:color w:val="000000"/>
                <w:sz w:val="21"/>
                <w:shd w:val="clear" w:color="auto" w:fill="FFFFFF"/>
              </w:rPr>
            </w:pPr>
            <w:r>
              <w:rPr>
                <w:rFonts w:hint="eastAsia" w:cs="宋体"/>
                <w:color w:val="000000"/>
                <w:sz w:val="21"/>
                <w:shd w:val="clear" w:color="auto" w:fill="FFFFFF"/>
              </w:rPr>
              <w:t>邮编：611130</w:t>
            </w:r>
            <w:r>
              <w:rPr>
                <w:rFonts w:cs="宋体"/>
                <w:color w:val="000000"/>
                <w:sz w:val="21"/>
                <w:shd w:val="clear" w:color="auto" w:fill="FFFFFF"/>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rFonts w:hint="eastAsia"/>
                <w:color w:val="000000"/>
                <w:shd w:val="clear" w:color="auto" w:fill="FFFFFF"/>
              </w:rPr>
            </w:pPr>
            <w:r>
              <w:rPr>
                <w:rFonts w:hint="eastAsia"/>
                <w:color w:val="000000"/>
                <w:shd w:val="clear" w:color="auto" w:fill="FFFFFF"/>
              </w:rPr>
              <w:t>15</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color w:val="000000"/>
                <w:shd w:val="clear" w:color="auto" w:fill="FFFFFF"/>
              </w:rPr>
            </w:pPr>
            <w:r>
              <w:rPr>
                <w:rFonts w:hint="eastAsia"/>
                <w:color w:val="000000"/>
                <w:lang w:val="zh-CN"/>
              </w:rPr>
              <w:t>小微企业价格扣除</w:t>
            </w:r>
          </w:p>
        </w:tc>
        <w:tc>
          <w:tcPr>
            <w:tcW w:w="6508" w:type="dxa"/>
            <w:tcBorders>
              <w:top w:val="single" w:color="auto" w:sz="8" w:space="0"/>
              <w:left w:val="single" w:color="auto" w:sz="8" w:space="0"/>
              <w:bottom w:val="single" w:color="auto" w:sz="8" w:space="0"/>
              <w:right w:val="single" w:color="auto" w:sz="18" w:space="0"/>
            </w:tcBorders>
            <w:vAlign w:val="center"/>
          </w:tcPr>
          <w:p>
            <w:pPr>
              <w:spacing w:line="360" w:lineRule="auto"/>
              <w:ind w:right="94" w:rightChars="45"/>
              <w:rPr>
                <w:rFonts w:hint="eastAsia"/>
                <w:color w:val="auto"/>
                <w:highlight w:val="none"/>
                <w:lang w:val="zh-CN"/>
              </w:rPr>
            </w:pPr>
            <w:r>
              <w:rPr>
                <w:rFonts w:hint="eastAsia"/>
                <w:color w:val="auto"/>
                <w:highlight w:val="none"/>
                <w:lang w:val="zh-CN"/>
              </w:rPr>
              <w:t>1.根据《政府采购促进中小企业发展管理办法》（财库〔2020〕46号）的规定，对小型和微型企业制造的货物的价格给予10%的价格扣除，用扣除后的价格参与评审。供应商提供的货物既有中小企业制造货物，也有大型企业制造货物的，不享受该办法规定的中小企业扶持政策。</w:t>
            </w:r>
          </w:p>
          <w:p>
            <w:pPr>
              <w:autoSpaceDE w:val="0"/>
              <w:autoSpaceDN w:val="0"/>
              <w:adjustRightInd w:val="0"/>
              <w:spacing w:line="360" w:lineRule="auto"/>
              <w:ind w:right="210" w:rightChars="100"/>
              <w:rPr>
                <w:rFonts w:hint="eastAsia"/>
                <w:color w:val="000000"/>
                <w:shd w:val="clear" w:color="auto" w:fill="FFFFFF"/>
                <w:lang w:val="zh-CN"/>
              </w:rPr>
            </w:pPr>
            <w:r>
              <w:rPr>
                <w:rFonts w:hint="eastAsia"/>
                <w:color w:val="auto"/>
                <w:highlight w:val="none"/>
                <w:lang w:val="zh-CN"/>
              </w:rPr>
              <w:t>2.供应商应提供《中小企业声明函》。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rFonts w:hint="eastAsia"/>
                <w:color w:val="000000"/>
                <w:shd w:val="clear" w:color="auto" w:fill="FFFFFF"/>
              </w:rPr>
            </w:pPr>
            <w:r>
              <w:rPr>
                <w:rFonts w:hint="eastAsia"/>
                <w:color w:val="000000"/>
                <w:shd w:val="clear" w:color="auto" w:fill="FFFFFF"/>
              </w:rPr>
              <w:t>16</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color w:val="000000"/>
                <w:shd w:val="clear" w:color="auto" w:fill="FFFFFF"/>
              </w:rPr>
            </w:pPr>
            <w:r>
              <w:rPr>
                <w:rFonts w:hint="eastAsia"/>
                <w:color w:val="000000"/>
                <w:lang w:val="zh-CN"/>
              </w:rPr>
              <w:t>监狱企业价格扣除</w:t>
            </w:r>
          </w:p>
        </w:tc>
        <w:tc>
          <w:tcPr>
            <w:tcW w:w="6508"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hint="eastAsia"/>
                <w:color w:val="000000"/>
                <w:shd w:val="clear" w:color="auto" w:fill="FFFFFF"/>
                <w:lang w:val="zh-CN"/>
              </w:rPr>
            </w:pPr>
            <w:r>
              <w:rPr>
                <w:rFonts w:hint="eastAsia"/>
                <w:color w:val="000000"/>
                <w:shd w:val="clear" w:color="auto" w:fill="FFFFFF"/>
                <w:lang w:val="zh-CN"/>
              </w:rPr>
              <w:t>１.根据《关于政府采购支持监狱企业发展有关问题的通知》（财库〔2014〕68号）的规定，监狱企业视同小型、微型企业，对监狱企业制造的货物的价格给予10%的价格扣除，用扣除后的价格参与评审。</w:t>
            </w:r>
          </w:p>
          <w:p>
            <w:pPr>
              <w:autoSpaceDE w:val="0"/>
              <w:autoSpaceDN w:val="0"/>
              <w:adjustRightInd w:val="0"/>
              <w:spacing w:line="360" w:lineRule="auto"/>
              <w:ind w:right="210" w:rightChars="100"/>
              <w:rPr>
                <w:rFonts w:hint="eastAsia"/>
                <w:color w:val="000000"/>
                <w:shd w:val="clear" w:color="auto" w:fill="FFFFFF"/>
                <w:lang w:val="zh-CN"/>
              </w:rPr>
            </w:pPr>
            <w:r>
              <w:rPr>
                <w:rFonts w:hint="eastAsia"/>
                <w:color w:val="000000"/>
                <w:shd w:val="clear" w:color="auto" w:fill="FFFFFF"/>
                <w:lang w:val="zh-CN"/>
              </w:rPr>
              <w:t>2.报价产品中为监狱企业制造的货物应提供由省级以上监狱管理局、戒毒管理局（含新疆生产建设兵团）出具的制造商属于监狱企业的证明文件复印件。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color w:val="000000"/>
                <w:shd w:val="clear" w:color="auto" w:fill="FFFFFF"/>
              </w:rPr>
            </w:pPr>
            <w:r>
              <w:rPr>
                <w:rFonts w:hint="eastAsia"/>
                <w:color w:val="000000"/>
                <w:shd w:val="clear" w:color="auto" w:fill="FFFFFF"/>
              </w:rPr>
              <w:t>17</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color w:val="000000"/>
                <w:shd w:val="clear" w:color="auto" w:fill="FFFFFF"/>
              </w:rPr>
            </w:pPr>
            <w:r>
              <w:rPr>
                <w:rFonts w:hint="eastAsia"/>
                <w:color w:val="000000"/>
                <w:lang w:val="zh-CN"/>
              </w:rPr>
              <w:t>残疾人福利性单位价格扣除</w:t>
            </w:r>
          </w:p>
        </w:tc>
        <w:tc>
          <w:tcPr>
            <w:tcW w:w="6508" w:type="dxa"/>
            <w:tcBorders>
              <w:top w:val="single" w:color="auto" w:sz="8" w:space="0"/>
              <w:left w:val="single" w:color="auto" w:sz="8" w:space="0"/>
              <w:bottom w:val="single" w:color="auto" w:sz="8" w:space="0"/>
              <w:right w:val="single" w:color="auto" w:sz="18" w:space="0"/>
            </w:tcBorders>
            <w:vAlign w:val="center"/>
          </w:tcPr>
          <w:p>
            <w:pPr>
              <w:widowControl/>
              <w:spacing w:line="360" w:lineRule="auto"/>
              <w:jc w:val="left"/>
              <w:rPr>
                <w:rFonts w:hint="eastAsia"/>
                <w:color w:val="auto"/>
                <w:highlight w:val="none"/>
                <w:lang w:val="zh-CN"/>
              </w:rPr>
            </w:pPr>
            <w:r>
              <w:rPr>
                <w:rFonts w:hint="eastAsia"/>
                <w:color w:val="auto"/>
                <w:highlight w:val="none"/>
                <w:lang w:val="zh-CN"/>
              </w:rPr>
              <w:t>1.根据《三部门联合发布关于促进残疾人就业政府采购政策的通知》（财库[2017]141号）的规定，残疾人福利性单位视同小型、微型企业，对残疾人福利性单位制造的货物的价格给予10%的价格扣除，用扣除后的价格参与评审。</w:t>
            </w:r>
          </w:p>
          <w:p>
            <w:pPr>
              <w:autoSpaceDE w:val="0"/>
              <w:autoSpaceDN w:val="0"/>
              <w:adjustRightInd w:val="0"/>
              <w:spacing w:line="360" w:lineRule="auto"/>
              <w:ind w:right="210" w:rightChars="100"/>
              <w:rPr>
                <w:rFonts w:hint="eastAsia"/>
                <w:lang w:val="zh-CN"/>
              </w:rPr>
            </w:pPr>
            <w:r>
              <w:rPr>
                <w:rFonts w:hint="eastAsia"/>
                <w:color w:val="auto"/>
                <w:highlight w:val="none"/>
                <w:lang w:val="zh-CN"/>
              </w:rPr>
              <w:t>2.供应商应提供《残疾人福利性单位声明函》。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rFonts w:hint="eastAsia"/>
                <w:color w:val="000000"/>
                <w:shd w:val="clear" w:color="auto" w:fill="FFFFFF"/>
              </w:rPr>
            </w:pPr>
            <w:r>
              <w:rPr>
                <w:rFonts w:hint="eastAsia"/>
                <w:color w:val="000000"/>
                <w:shd w:val="clear" w:color="auto" w:fill="FFFFFF"/>
              </w:rPr>
              <w:t>18</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rPr>
                <w:color w:val="000000"/>
                <w:shd w:val="clear" w:color="auto" w:fill="FFFFFF"/>
              </w:rPr>
            </w:pPr>
            <w:r>
              <w:rPr>
                <w:rFonts w:hint="eastAsia"/>
                <w:color w:val="000000"/>
                <w:shd w:val="clear" w:color="auto" w:fill="FFFFFF"/>
              </w:rPr>
              <w:t>响应文件有效期</w:t>
            </w:r>
          </w:p>
        </w:tc>
        <w:tc>
          <w:tcPr>
            <w:tcW w:w="6508"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before="152" w:after="160" w:line="360" w:lineRule="auto"/>
              <w:rPr>
                <w:color w:val="000000"/>
                <w:shd w:val="clear" w:color="auto" w:fill="FFFFFF"/>
              </w:rPr>
            </w:pPr>
            <w:r>
              <w:rPr>
                <w:rFonts w:hint="eastAsia" w:ascii="Helvetica" w:hAnsi="Helvetica" w:cs="Helvetica"/>
                <w:color w:val="000000"/>
                <w:shd w:val="clear" w:color="auto" w:fill="FFFFFF"/>
              </w:rPr>
              <w:t>递交响应文件的截止之日起</w:t>
            </w:r>
            <w:bookmarkStart w:id="19" w:name="EBf16d049a02124d7596404742fa9e79d9"/>
            <w:r>
              <w:rPr>
                <w:rFonts w:hint="eastAsia" w:ascii="Helvetica" w:hAnsi="Helvetica" w:cs="Helvetica"/>
                <w:color w:val="000000"/>
                <w:shd w:val="clear" w:color="auto" w:fill="FFFFFF"/>
              </w:rPr>
              <w:t>120</w:t>
            </w:r>
            <w:bookmarkEnd w:id="19"/>
            <w:r>
              <w:rPr>
                <w:rFonts w:hint="eastAsia"/>
                <w:color w:val="000000"/>
                <w:shd w:val="clear" w:color="auto" w:fill="FFFFFF"/>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61" w:type="dxa"/>
            <w:tcBorders>
              <w:top w:val="single" w:color="auto" w:sz="8" w:space="0"/>
              <w:left w:val="single" w:color="auto" w:sz="18" w:space="0"/>
              <w:bottom w:val="single" w:color="auto" w:sz="4" w:space="0"/>
              <w:right w:val="single" w:color="auto" w:sz="8" w:space="0"/>
            </w:tcBorders>
            <w:vAlign w:val="center"/>
          </w:tcPr>
          <w:p>
            <w:pPr>
              <w:snapToGrid w:val="0"/>
              <w:spacing w:line="360" w:lineRule="auto"/>
              <w:ind w:left="420"/>
              <w:rPr>
                <w:color w:val="000000"/>
                <w:shd w:val="clear" w:color="auto" w:fill="FFFFFF"/>
              </w:rPr>
            </w:pPr>
            <w:r>
              <w:rPr>
                <w:rFonts w:hint="eastAsia"/>
                <w:color w:val="000000"/>
                <w:shd w:val="clear" w:color="auto" w:fill="FFFFFF"/>
              </w:rPr>
              <w:t>19</w:t>
            </w:r>
          </w:p>
        </w:tc>
        <w:tc>
          <w:tcPr>
            <w:tcW w:w="1891" w:type="dxa"/>
            <w:gridSpan w:val="2"/>
            <w:tcBorders>
              <w:top w:val="single" w:color="auto" w:sz="8" w:space="0"/>
              <w:left w:val="single" w:color="auto" w:sz="8" w:space="0"/>
              <w:bottom w:val="single" w:color="auto" w:sz="4" w:space="0"/>
              <w:right w:val="single" w:color="auto" w:sz="8" w:space="0"/>
            </w:tcBorders>
            <w:vAlign w:val="center"/>
          </w:tcPr>
          <w:p>
            <w:pPr>
              <w:snapToGrid w:val="0"/>
              <w:spacing w:before="152" w:after="160" w:line="360" w:lineRule="auto"/>
              <w:rPr>
                <w:color w:val="000000"/>
                <w:shd w:val="clear" w:color="auto" w:fill="FFFFFF"/>
                <w:lang w:val="zh-CN"/>
              </w:rPr>
            </w:pPr>
            <w:r>
              <w:rPr>
                <w:rFonts w:hint="eastAsia"/>
                <w:color w:val="000000"/>
                <w:shd w:val="clear" w:color="auto" w:fill="FFFFFF"/>
                <w:lang w:val="zh-CN"/>
              </w:rPr>
              <w:t>评审情况公告</w:t>
            </w:r>
          </w:p>
        </w:tc>
        <w:tc>
          <w:tcPr>
            <w:tcW w:w="6508"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color w:val="000000"/>
                <w:shd w:val="clear" w:color="auto" w:fill="FFFFFF"/>
                <w:lang w:val="zh-CN"/>
              </w:rPr>
            </w:pPr>
            <w:r>
              <w:rPr>
                <w:rFonts w:hint="eastAsia"/>
                <w:szCs w:val="21"/>
                <w:lang w:val="zh-CN"/>
              </w:rPr>
              <w:t>所有</w:t>
            </w:r>
            <w:r>
              <w:rPr>
                <w:rFonts w:hint="eastAsia"/>
                <w:szCs w:val="21"/>
              </w:rPr>
              <w:t>供应商</w:t>
            </w:r>
            <w:r>
              <w:rPr>
                <w:rFonts w:hint="eastAsia"/>
                <w:szCs w:val="21"/>
                <w:lang w:val="zh-CN"/>
              </w:rPr>
              <w:t>资格性审查情况、响应文件符合性审查情况、采用综合评分法时的得分情况、评审结果等将在“成都市公共资源交易服务中心网”、“四川政府采购网”采购结果公告栏中予以公告。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61" w:type="dxa"/>
            <w:tcBorders>
              <w:top w:val="single" w:color="auto" w:sz="8" w:space="0"/>
              <w:left w:val="single" w:color="auto" w:sz="18" w:space="0"/>
              <w:bottom w:val="single" w:color="auto" w:sz="4" w:space="0"/>
              <w:right w:val="single" w:color="auto" w:sz="8" w:space="0"/>
            </w:tcBorders>
            <w:vAlign w:val="center"/>
          </w:tcPr>
          <w:p>
            <w:pPr>
              <w:snapToGrid w:val="0"/>
              <w:spacing w:line="360" w:lineRule="auto"/>
              <w:ind w:left="420"/>
              <w:rPr>
                <w:color w:val="000000"/>
                <w:shd w:val="clear" w:color="auto" w:fill="FFFFFF"/>
              </w:rPr>
            </w:pPr>
            <w:r>
              <w:rPr>
                <w:rFonts w:hint="eastAsia"/>
                <w:color w:val="000000"/>
                <w:shd w:val="clear" w:color="auto" w:fill="FFFFFF"/>
              </w:rPr>
              <w:t>20</w:t>
            </w:r>
          </w:p>
        </w:tc>
        <w:tc>
          <w:tcPr>
            <w:tcW w:w="1891" w:type="dxa"/>
            <w:gridSpan w:val="2"/>
            <w:tcBorders>
              <w:top w:val="single" w:color="auto" w:sz="8" w:space="0"/>
              <w:left w:val="single" w:color="auto" w:sz="8" w:space="0"/>
              <w:bottom w:val="single" w:color="auto" w:sz="4" w:space="0"/>
              <w:right w:val="single" w:color="auto" w:sz="8" w:space="0"/>
            </w:tcBorders>
            <w:vAlign w:val="center"/>
          </w:tcPr>
          <w:p>
            <w:pPr>
              <w:snapToGrid w:val="0"/>
              <w:spacing w:line="360" w:lineRule="auto"/>
              <w:rPr>
                <w:color w:val="000000"/>
                <w:shd w:val="clear" w:color="auto" w:fill="FFFFFF"/>
              </w:rPr>
            </w:pPr>
            <w:r>
              <w:rPr>
                <w:rFonts w:hint="eastAsia"/>
                <w:color w:val="000000"/>
                <w:shd w:val="clear" w:color="auto" w:fill="FFFFFF"/>
                <w:lang w:val="zh-CN"/>
              </w:rPr>
              <w:t>成交通知书领取</w:t>
            </w:r>
          </w:p>
        </w:tc>
        <w:tc>
          <w:tcPr>
            <w:tcW w:w="6508" w:type="dxa"/>
            <w:tcBorders>
              <w:top w:val="single" w:color="auto" w:sz="8" w:space="0"/>
              <w:left w:val="single" w:color="auto" w:sz="8" w:space="0"/>
              <w:bottom w:val="single" w:color="auto" w:sz="4" w:space="0"/>
              <w:right w:val="single" w:color="auto" w:sz="18" w:space="0"/>
            </w:tcBorders>
            <w:vAlign w:val="center"/>
          </w:tcPr>
          <w:p>
            <w:pPr>
              <w:tabs>
                <w:tab w:val="left" w:pos="7665"/>
              </w:tabs>
              <w:spacing w:before="152" w:after="160" w:line="360" w:lineRule="auto"/>
              <w:rPr>
                <w:color w:val="000000"/>
                <w:shd w:val="clear" w:color="auto" w:fill="FFFFFF"/>
                <w:lang w:val="zh-CN"/>
              </w:rPr>
            </w:pPr>
            <w:r>
              <w:rPr>
                <w:rFonts w:hint="eastAsia"/>
                <w:color w:val="000000"/>
                <w:lang w:val="zh-CN"/>
              </w:rPr>
              <w:t>成交公告在四川政府采购网上公告后，成交供应商自行登录政府采购云平台下载成交通知书。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9" w:hRule="atLeast"/>
          <w:jc w:val="center"/>
        </w:trPr>
        <w:tc>
          <w:tcPr>
            <w:tcW w:w="861" w:type="dxa"/>
            <w:tcBorders>
              <w:top w:val="single" w:color="auto" w:sz="8" w:space="0"/>
              <w:left w:val="single" w:color="auto" w:sz="18" w:space="0"/>
              <w:bottom w:val="single" w:color="auto" w:sz="4" w:space="0"/>
              <w:right w:val="single" w:color="auto" w:sz="8" w:space="0"/>
            </w:tcBorders>
            <w:vAlign w:val="center"/>
          </w:tcPr>
          <w:p>
            <w:pPr>
              <w:snapToGrid w:val="0"/>
              <w:spacing w:line="360" w:lineRule="auto"/>
              <w:ind w:left="420"/>
              <w:rPr>
                <w:color w:val="000000"/>
                <w:shd w:val="clear" w:color="auto" w:fill="FFFFFF"/>
              </w:rPr>
            </w:pPr>
            <w:r>
              <w:rPr>
                <w:rFonts w:hint="eastAsia"/>
                <w:color w:val="000000"/>
                <w:shd w:val="clear" w:color="auto" w:fill="FFFFFF"/>
              </w:rPr>
              <w:t>21</w:t>
            </w:r>
          </w:p>
        </w:tc>
        <w:tc>
          <w:tcPr>
            <w:tcW w:w="1891" w:type="dxa"/>
            <w:gridSpan w:val="2"/>
            <w:tcBorders>
              <w:top w:val="single" w:color="auto" w:sz="8" w:space="0"/>
              <w:left w:val="single" w:color="auto" w:sz="8" w:space="0"/>
              <w:bottom w:val="single" w:color="auto" w:sz="4" w:space="0"/>
              <w:right w:val="single" w:color="auto" w:sz="8" w:space="0"/>
            </w:tcBorders>
            <w:vAlign w:val="center"/>
          </w:tcPr>
          <w:p>
            <w:pPr>
              <w:snapToGrid w:val="0"/>
              <w:spacing w:before="152" w:after="160" w:line="360" w:lineRule="auto"/>
              <w:rPr>
                <w:color w:val="000000"/>
                <w:shd w:val="clear" w:color="auto" w:fill="FFFFFF"/>
              </w:rPr>
            </w:pPr>
            <w:r>
              <w:rPr>
                <w:rFonts w:hint="eastAsia"/>
                <w:color w:val="000000"/>
                <w:shd w:val="clear" w:color="auto" w:fill="FFFFFF"/>
              </w:rPr>
              <w:t>合同签订地点</w:t>
            </w:r>
          </w:p>
        </w:tc>
        <w:tc>
          <w:tcPr>
            <w:tcW w:w="6508"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before="152" w:after="160" w:line="360" w:lineRule="auto"/>
              <w:rPr>
                <w:color w:val="000000"/>
                <w:shd w:val="clear" w:color="auto" w:fill="FFFFFF"/>
              </w:rPr>
            </w:pPr>
            <w:r>
              <w:rPr>
                <w:rFonts w:hint="eastAsia"/>
                <w:color w:val="000000"/>
                <w:shd w:val="clear" w:color="auto" w:fill="FFFFFF"/>
              </w:rPr>
              <w:t>四川省成都市温江区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65" w:hRule="atLeast"/>
          <w:jc w:val="center"/>
        </w:trPr>
        <w:tc>
          <w:tcPr>
            <w:tcW w:w="861" w:type="dxa"/>
            <w:tcBorders>
              <w:top w:val="single" w:color="auto" w:sz="4" w:space="0"/>
              <w:left w:val="single" w:color="auto" w:sz="18" w:space="0"/>
              <w:bottom w:val="single" w:color="auto" w:sz="4" w:space="0"/>
              <w:right w:val="single" w:color="auto" w:sz="8" w:space="0"/>
            </w:tcBorders>
            <w:vAlign w:val="center"/>
          </w:tcPr>
          <w:p>
            <w:pPr>
              <w:snapToGrid w:val="0"/>
              <w:spacing w:line="360" w:lineRule="auto"/>
              <w:ind w:left="420"/>
              <w:rPr>
                <w:color w:val="000000"/>
                <w:shd w:val="clear" w:color="auto" w:fill="FFFFFF"/>
              </w:rPr>
            </w:pPr>
            <w:r>
              <w:rPr>
                <w:rFonts w:hint="eastAsia"/>
                <w:color w:val="000000"/>
                <w:shd w:val="clear" w:color="auto" w:fill="FFFFFF"/>
              </w:rPr>
              <w:t>22</w:t>
            </w:r>
          </w:p>
        </w:tc>
        <w:tc>
          <w:tcPr>
            <w:tcW w:w="1891" w:type="dxa"/>
            <w:gridSpan w:val="2"/>
            <w:tcBorders>
              <w:top w:val="single" w:color="auto" w:sz="4" w:space="0"/>
              <w:left w:val="single" w:color="auto" w:sz="8" w:space="0"/>
              <w:bottom w:val="single" w:color="auto" w:sz="4" w:space="0"/>
              <w:right w:val="single" w:color="auto" w:sz="8" w:space="0"/>
            </w:tcBorders>
            <w:vAlign w:val="center"/>
          </w:tcPr>
          <w:p>
            <w:pPr>
              <w:snapToGrid w:val="0"/>
              <w:spacing w:before="152" w:after="160" w:line="360" w:lineRule="auto"/>
              <w:ind w:right="210" w:rightChars="100"/>
              <w:rPr>
                <w:color w:val="000000"/>
                <w:shd w:val="clear" w:color="auto" w:fill="FFFFFF"/>
              </w:rPr>
            </w:pPr>
            <w:r>
              <w:rPr>
                <w:rFonts w:hint="eastAsia"/>
                <w:color w:val="000000"/>
                <w:shd w:val="clear" w:color="auto" w:fill="FFFFFF"/>
              </w:rPr>
              <w:t>政府采购合同公告、备案</w:t>
            </w:r>
          </w:p>
        </w:tc>
        <w:tc>
          <w:tcPr>
            <w:tcW w:w="6508"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color w:val="000000"/>
                <w:shd w:val="clear" w:color="auto" w:fill="FFFFFF"/>
              </w:rPr>
            </w:pPr>
            <w:r>
              <w:rPr>
                <w:rFonts w:hint="eastAsia" w:ascii="宋体"/>
                <w:color w:val="auto"/>
                <w:highlight w:val="none"/>
              </w:rPr>
              <w:t>政府采购合同签订之日起2个工作日内，采购人将在四川政府采购网公告政府采购合同；疫情防控期间，采购人原则上在5个工作日内与供应商签订政府采购合同及向本采购项目同级财政部门，即成都市</w:t>
            </w:r>
            <w:r>
              <w:rPr>
                <w:rFonts w:hint="eastAsia"/>
                <w:color w:val="auto"/>
                <w:highlight w:val="none"/>
                <w:lang w:val="en-US" w:eastAsia="zh-CN"/>
              </w:rPr>
              <w:t>温江区</w:t>
            </w:r>
            <w:r>
              <w:rPr>
                <w:rFonts w:hint="eastAsia" w:ascii="宋体"/>
                <w:color w:val="auto"/>
                <w:highlight w:val="none"/>
              </w:rPr>
              <w:t>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861" w:type="dxa"/>
            <w:tcBorders>
              <w:top w:val="single" w:color="auto" w:sz="4" w:space="0"/>
              <w:left w:val="single" w:color="auto" w:sz="18" w:space="0"/>
              <w:bottom w:val="single" w:color="auto" w:sz="4" w:space="0"/>
              <w:right w:val="single" w:color="auto" w:sz="8" w:space="0"/>
            </w:tcBorders>
            <w:vAlign w:val="center"/>
          </w:tcPr>
          <w:p>
            <w:pPr>
              <w:snapToGrid w:val="0"/>
              <w:spacing w:line="360" w:lineRule="auto"/>
              <w:ind w:left="420"/>
              <w:rPr>
                <w:color w:val="000000"/>
                <w:shd w:val="clear" w:color="auto" w:fill="FFFFFF"/>
              </w:rPr>
            </w:pPr>
            <w:r>
              <w:rPr>
                <w:rFonts w:hint="eastAsia"/>
                <w:color w:val="000000"/>
                <w:shd w:val="clear" w:color="auto" w:fill="FFFFFF"/>
              </w:rPr>
              <w:t>23</w:t>
            </w:r>
          </w:p>
        </w:tc>
        <w:tc>
          <w:tcPr>
            <w:tcW w:w="1891" w:type="dxa"/>
            <w:gridSpan w:val="2"/>
            <w:tcBorders>
              <w:top w:val="single" w:color="auto" w:sz="4" w:space="0"/>
              <w:left w:val="single" w:color="auto" w:sz="8" w:space="0"/>
              <w:bottom w:val="single" w:color="auto" w:sz="4" w:space="0"/>
              <w:right w:val="single" w:color="auto" w:sz="8" w:space="0"/>
            </w:tcBorders>
            <w:vAlign w:val="center"/>
          </w:tcPr>
          <w:p>
            <w:pPr>
              <w:snapToGrid w:val="0"/>
              <w:spacing w:before="152" w:after="160" w:line="360" w:lineRule="auto"/>
              <w:rPr>
                <w:color w:val="000000"/>
                <w:shd w:val="clear" w:color="auto" w:fill="FFFFFF"/>
              </w:rPr>
            </w:pPr>
            <w:r>
              <w:rPr>
                <w:rFonts w:hint="eastAsia"/>
                <w:color w:val="000000"/>
                <w:shd w:val="clear" w:color="auto" w:fill="FFFFFF"/>
              </w:rPr>
              <w:t>进口产品</w:t>
            </w:r>
          </w:p>
        </w:tc>
        <w:tc>
          <w:tcPr>
            <w:tcW w:w="6508"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color w:val="000000"/>
                <w:shd w:val="clear" w:color="auto" w:fill="FFFFFF"/>
              </w:rPr>
            </w:pPr>
            <w:r>
              <w:rPr>
                <w:rFonts w:hint="eastAsia"/>
                <w:color w:val="000000"/>
                <w:shd w:val="clear" w:color="auto" w:fill="FFFFFF"/>
              </w:rPr>
              <w:t>磋商文件中未载明“允许采购进口产品”的产品，拒绝进口产品的报价。磋商文件中载明“允许采购进口产品”的产品，允许国产产品参与竞争。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7" w:hRule="atLeast"/>
          <w:jc w:val="center"/>
        </w:trPr>
        <w:tc>
          <w:tcPr>
            <w:tcW w:w="861" w:type="dxa"/>
            <w:tcBorders>
              <w:top w:val="single" w:color="auto" w:sz="4" w:space="0"/>
              <w:left w:val="single" w:color="auto" w:sz="18" w:space="0"/>
              <w:bottom w:val="single" w:color="auto" w:sz="4" w:space="0"/>
              <w:right w:val="single" w:color="auto" w:sz="8" w:space="0"/>
            </w:tcBorders>
            <w:vAlign w:val="center"/>
          </w:tcPr>
          <w:p>
            <w:pPr>
              <w:snapToGrid w:val="0"/>
              <w:spacing w:line="360" w:lineRule="auto"/>
              <w:ind w:left="420"/>
              <w:rPr>
                <w:rFonts w:hint="eastAsia" w:eastAsia="宋体"/>
                <w:color w:val="000000"/>
                <w:shd w:val="clear" w:color="auto" w:fill="FFFFFF"/>
                <w:lang w:eastAsia="zh-CN"/>
              </w:rPr>
            </w:pPr>
            <w:r>
              <w:rPr>
                <w:rFonts w:hint="eastAsia"/>
                <w:color w:val="000000"/>
                <w:shd w:val="clear" w:color="auto" w:fill="FFFFFF"/>
              </w:rPr>
              <w:t>2</w:t>
            </w:r>
            <w:r>
              <w:rPr>
                <w:rFonts w:hint="eastAsia"/>
                <w:color w:val="000000"/>
                <w:shd w:val="clear" w:color="auto" w:fill="FFFFFF"/>
                <w:lang w:val="en-US" w:eastAsia="zh-CN"/>
              </w:rPr>
              <w:t>4</w:t>
            </w:r>
          </w:p>
        </w:tc>
        <w:tc>
          <w:tcPr>
            <w:tcW w:w="1815" w:type="dxa"/>
            <w:tcBorders>
              <w:top w:val="single" w:color="auto" w:sz="4" w:space="0"/>
              <w:left w:val="single" w:color="auto" w:sz="8" w:space="0"/>
              <w:bottom w:val="single" w:color="auto" w:sz="4" w:space="0"/>
              <w:right w:val="single" w:color="auto" w:sz="4" w:space="0"/>
            </w:tcBorders>
            <w:vAlign w:val="center"/>
          </w:tcPr>
          <w:p>
            <w:pPr>
              <w:snapToGrid w:val="0"/>
              <w:spacing w:line="360" w:lineRule="auto"/>
              <w:rPr>
                <w:rFonts w:hint="eastAsia" w:ascii="宋体" w:hAnsi="宋体" w:eastAsia="宋体" w:cs="宋体"/>
                <w:b/>
                <w:color w:val="auto"/>
                <w:kern w:val="2"/>
                <w:sz w:val="21"/>
                <w:szCs w:val="22"/>
                <w:highlight w:val="none"/>
                <w:lang w:val="en-US" w:eastAsia="zh-CN" w:bidi="ar-SA"/>
              </w:rPr>
            </w:pPr>
            <w:r>
              <w:rPr>
                <w:rFonts w:hint="eastAsia" w:ascii="宋体" w:hAnsi="宋体"/>
                <w:color w:val="auto"/>
                <w:highlight w:val="none"/>
              </w:rPr>
              <w:t>中小企业政府采购信用融资</w:t>
            </w:r>
          </w:p>
        </w:tc>
        <w:tc>
          <w:tcPr>
            <w:tcW w:w="6584" w:type="dxa"/>
            <w:gridSpan w:val="2"/>
            <w:tcBorders>
              <w:top w:val="single" w:color="auto" w:sz="4" w:space="0"/>
              <w:left w:val="single" w:color="auto" w:sz="4" w:space="0"/>
              <w:bottom w:val="single" w:color="auto" w:sz="4" w:space="0"/>
              <w:right w:val="single" w:color="auto" w:sz="18" w:space="0"/>
            </w:tcBorders>
            <w:vAlign w:val="center"/>
          </w:tcPr>
          <w:p>
            <w:pPr>
              <w:tabs>
                <w:tab w:val="left" w:pos="7665"/>
              </w:tabs>
              <w:snapToGrid w:val="0"/>
              <w:spacing w:line="360" w:lineRule="auto"/>
              <w:rPr>
                <w:rFonts w:hint="eastAsia" w:ascii="宋体" w:hAnsi="宋体" w:eastAsia="宋体" w:cs="宋体"/>
                <w:color w:val="auto"/>
                <w:kern w:val="2"/>
                <w:sz w:val="21"/>
                <w:szCs w:val="22"/>
                <w:highlight w:val="none"/>
                <w:lang w:val="en-US" w:eastAsia="zh-CN" w:bidi="ar-SA"/>
              </w:rPr>
            </w:pPr>
            <w:r>
              <w:rPr>
                <w:rFonts w:hint="eastAsia" w:ascii="宋体" w:hAnsi="宋体"/>
                <w:color w:val="auto"/>
                <w:highlight w:val="none"/>
              </w:rPr>
              <w:t>参加本次采购活动成交的中小企业无需提供财产抵押或第三方担保，凭借政府采购合同可向融资机构申请融资。具体内容详见附件《成都市温江区财政局关于公布温江区首批支持中小企业政府采购信用融资银行名单的公告》和《成都市财政局关于公布成都市首批在线开展政府采购信用融资业务银行名单的通知》（成财采〔2019〕49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7" w:hRule="atLeast"/>
          <w:jc w:val="center"/>
        </w:trPr>
        <w:tc>
          <w:tcPr>
            <w:tcW w:w="861" w:type="dxa"/>
            <w:tcBorders>
              <w:top w:val="single" w:color="auto" w:sz="4" w:space="0"/>
              <w:left w:val="single" w:color="auto" w:sz="18" w:space="0"/>
              <w:bottom w:val="single" w:color="auto" w:sz="4" w:space="0"/>
              <w:right w:val="single" w:color="auto" w:sz="8" w:space="0"/>
            </w:tcBorders>
            <w:vAlign w:val="center"/>
          </w:tcPr>
          <w:p>
            <w:pPr>
              <w:snapToGrid w:val="0"/>
              <w:spacing w:line="360" w:lineRule="auto"/>
              <w:ind w:left="420"/>
              <w:rPr>
                <w:rFonts w:hint="default" w:eastAsia="宋体"/>
                <w:color w:val="000000"/>
                <w:shd w:val="clear" w:color="auto" w:fill="FFFFFF"/>
                <w:lang w:val="en-US" w:eastAsia="zh-CN"/>
              </w:rPr>
            </w:pPr>
            <w:bookmarkStart w:id="20" w:name="EBf488fe2aca9f4b22bcf9ca77b55f433c"/>
            <w:r>
              <w:rPr>
                <w:rFonts w:hint="eastAsia"/>
                <w:color w:val="000000"/>
                <w:shd w:val="clear" w:color="auto" w:fill="FFFFFF"/>
                <w:lang w:val="en-US" w:eastAsia="zh-CN"/>
              </w:rPr>
              <w:t>25</w:t>
            </w:r>
          </w:p>
        </w:tc>
        <w:tc>
          <w:tcPr>
            <w:tcW w:w="8399" w:type="dxa"/>
            <w:gridSpan w:val="3"/>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hint="eastAsia"/>
                <w:color w:val="000000"/>
                <w:shd w:val="clear" w:color="auto" w:fill="FFFFFF"/>
              </w:rPr>
            </w:pPr>
            <w:r>
              <w:rPr>
                <w:rFonts w:hint="eastAsia"/>
                <w:color w:val="000000"/>
                <w:shd w:val="clear" w:color="auto" w:fill="FFFFFF"/>
              </w:rPr>
              <w:t>采购人可以要求参加政府采购的供应商提供有关资质证明文件和业绩情况，并根据《中华人民共和国政府采购法》规定的供应商条件和采购项目对供应商的特定要求，对供应商的资格进行审查。</w:t>
            </w:r>
          </w:p>
        </w:tc>
      </w:tr>
    </w:tbl>
    <w:p>
      <w:pPr>
        <w:rPr>
          <w:rFonts w:hint="eastAsia"/>
          <w:color w:val="000000"/>
          <w:shd w:val="clear" w:color="auto" w:fill="FFFFFF"/>
        </w:rPr>
      </w:pPr>
      <w:r>
        <w:rPr>
          <w:rFonts w:hint="eastAsia"/>
          <w:color w:val="000000"/>
          <w:sz w:val="20"/>
          <w:shd w:val="clear" w:color="auto" w:fill="FFFFFF"/>
        </w:rPr>
        <w:t xml:space="preserve"> </w:t>
      </w:r>
      <w:bookmarkEnd w:id="20"/>
      <w:bookmarkStart w:id="21" w:name="EBbf1257c4c3c543a9a10fee0b0399f11a"/>
      <w:r>
        <w:rPr>
          <w:rFonts w:hint="eastAsia"/>
          <w:color w:val="000000"/>
          <w:sz w:val="20"/>
          <w:shd w:val="clear" w:color="auto" w:fill="FFFFFF"/>
        </w:rPr>
        <w:t xml:space="preserve"> </w:t>
      </w:r>
      <w:bookmarkEnd w:id="21"/>
      <w:bookmarkStart w:id="22" w:name="EB76383d92be7144a0ae27ee6bbc7ff87f"/>
      <w:r>
        <w:rPr>
          <w:rFonts w:hint="eastAsia"/>
          <w:color w:val="000000"/>
          <w:sz w:val="20"/>
          <w:shd w:val="clear" w:color="auto" w:fill="FFFFFF"/>
        </w:rPr>
        <w:t xml:space="preserve"> </w:t>
      </w:r>
      <w:bookmarkEnd w:id="22"/>
    </w:p>
    <w:p>
      <w:pPr>
        <w:pStyle w:val="4"/>
        <w:spacing w:beforeLines="0" w:afterLines="0" w:line="500" w:lineRule="exact"/>
        <w:ind w:left="0" w:firstLine="0"/>
        <w:rPr>
          <w:color w:val="000000"/>
          <w:shd w:val="clear" w:color="auto" w:fill="FFFFFF"/>
        </w:rPr>
      </w:pPr>
      <w:bookmarkStart w:id="23" w:name="_Toc18941"/>
      <w:r>
        <w:rPr>
          <w:rFonts w:hint="eastAsia"/>
          <w:color w:val="000000"/>
          <w:shd w:val="clear" w:color="auto" w:fill="FFFFFF"/>
        </w:rPr>
        <w:t>2.2总则</w:t>
      </w:r>
      <w:bookmarkEnd w:id="23"/>
    </w:p>
    <w:p>
      <w:pPr>
        <w:pStyle w:val="5"/>
        <w:spacing w:line="500" w:lineRule="exact"/>
        <w:ind w:left="0" w:firstLine="0"/>
        <w:rPr>
          <w:sz w:val="28"/>
          <w:shd w:val="clear" w:color="auto" w:fill="FFFFFF"/>
        </w:rPr>
      </w:pPr>
      <w:bookmarkStart w:id="24" w:name="_Toc13115"/>
      <w:r>
        <w:rPr>
          <w:rFonts w:hint="eastAsia"/>
          <w:sz w:val="28"/>
          <w:shd w:val="clear" w:color="auto" w:fill="FFFFFF"/>
        </w:rPr>
        <w:t>2.2.1适用范围</w:t>
      </w:r>
      <w:bookmarkEnd w:id="24"/>
    </w:p>
    <w:p>
      <w:pPr>
        <w:pStyle w:val="5"/>
        <w:ind w:left="0" w:firstLine="560" w:firstLineChars="200"/>
        <w:rPr>
          <w:rFonts w:hint="eastAsia"/>
          <w:b w:val="0"/>
          <w:bCs w:val="0"/>
          <w:sz w:val="28"/>
          <w:shd w:val="clear" w:color="auto" w:fill="FFFFFF"/>
        </w:rPr>
      </w:pPr>
      <w:bookmarkStart w:id="25" w:name="_Toc23902"/>
      <w:r>
        <w:rPr>
          <w:rFonts w:hint="eastAsia"/>
          <w:b w:val="0"/>
          <w:bCs w:val="0"/>
          <w:sz w:val="28"/>
          <w:shd w:val="clear" w:color="auto" w:fill="FFFFFF"/>
        </w:rPr>
        <w:t>一、本磋商文件仅适用于本竞争性磋商邀请中所叙述项目的采购。</w:t>
      </w:r>
      <w:bookmarkEnd w:id="25"/>
    </w:p>
    <w:p>
      <w:pPr>
        <w:pStyle w:val="5"/>
        <w:ind w:left="0" w:firstLine="560" w:firstLineChars="200"/>
        <w:rPr>
          <w:rFonts w:hint="eastAsia"/>
          <w:b w:val="0"/>
          <w:bCs w:val="0"/>
          <w:sz w:val="28"/>
          <w:shd w:val="clear" w:color="auto" w:fill="FFFFFF"/>
        </w:rPr>
      </w:pPr>
      <w:bookmarkStart w:id="26" w:name="_Toc26900"/>
      <w:r>
        <w:rPr>
          <w:rFonts w:hint="eastAsia"/>
          <w:b w:val="0"/>
          <w:bCs w:val="0"/>
          <w:sz w:val="28"/>
          <w:shd w:val="clear" w:color="auto" w:fill="FFFFFF"/>
        </w:rPr>
        <w:t>二、本磋商文件的最终解释权由采购人或区公资交易中心享有。磋商文件中供应商参加本次政府采购活动应当具备的条件，项目技术、服务、商务及其他要求，评标细则及标准由采购人负责解释。除上述磋商文件内容，其他内容由区公资交易中心负责解释。</w:t>
      </w:r>
      <w:bookmarkEnd w:id="26"/>
    </w:p>
    <w:p>
      <w:pPr>
        <w:pStyle w:val="5"/>
        <w:ind w:left="0" w:firstLine="0"/>
        <w:rPr>
          <w:sz w:val="28"/>
          <w:shd w:val="clear" w:color="auto" w:fill="FFFFFF"/>
        </w:rPr>
      </w:pPr>
      <w:bookmarkStart w:id="27" w:name="_Toc13445"/>
      <w:r>
        <w:rPr>
          <w:rFonts w:hint="eastAsia"/>
          <w:sz w:val="28"/>
          <w:shd w:val="clear" w:color="auto" w:fill="FFFFFF"/>
        </w:rPr>
        <w:t>2.2.2有关定义</w:t>
      </w:r>
      <w:bookmarkEnd w:id="27"/>
    </w:p>
    <w:p>
      <w:pPr>
        <w:pStyle w:val="113"/>
        <w:rPr>
          <w:rFonts w:hint="eastAsia"/>
          <w:b/>
          <w:bCs/>
          <w:color w:val="000000"/>
          <w:sz w:val="28"/>
          <w:szCs w:val="28"/>
          <w:u w:val="none"/>
          <w:shd w:val="clear" w:color="auto" w:fill="FFFFFF"/>
        </w:rPr>
      </w:pPr>
      <w:r>
        <w:rPr>
          <w:rFonts w:hint="eastAsia"/>
          <w:color w:val="000000"/>
          <w:sz w:val="28"/>
          <w:szCs w:val="28"/>
          <w:shd w:val="clear" w:color="auto" w:fill="FFFFFF"/>
        </w:rPr>
        <w:t>一、“采购人”、“甲方”系指依法进行政府采购的</w:t>
      </w:r>
      <w:r>
        <w:rPr>
          <w:rFonts w:hint="eastAsia"/>
          <w:sz w:val="28"/>
          <w:szCs w:val="28"/>
        </w:rPr>
        <w:t>成都市温江区</w:t>
      </w:r>
      <w:r>
        <w:rPr>
          <w:rFonts w:hint="eastAsia"/>
          <w:color w:val="000000"/>
          <w:sz w:val="28"/>
          <w:szCs w:val="28"/>
          <w:shd w:val="clear" w:color="auto" w:fill="FFFFFF"/>
        </w:rPr>
        <w:t>级机关、事业单位、团体组织。本次竞争性磋商项目的采购人是（甲方）</w:t>
      </w:r>
      <w:r>
        <w:rPr>
          <w:rFonts w:hint="eastAsia"/>
          <w:b/>
          <w:bCs/>
          <w:color w:val="000000"/>
          <w:sz w:val="28"/>
          <w:szCs w:val="28"/>
          <w:u w:val="none"/>
          <w:shd w:val="clear" w:color="auto" w:fill="FFFFFF"/>
          <w:lang w:eastAsia="zh-CN"/>
        </w:rPr>
        <w:t>温江中学实验学校</w:t>
      </w:r>
      <w:r>
        <w:rPr>
          <w:rFonts w:hint="eastAsia"/>
          <w:b/>
          <w:bCs/>
          <w:color w:val="000000"/>
          <w:sz w:val="28"/>
          <w:szCs w:val="28"/>
          <w:u w:val="none"/>
          <w:shd w:val="clear" w:color="auto" w:fill="FFFFFF"/>
        </w:rPr>
        <w:t>。</w:t>
      </w:r>
    </w:p>
    <w:p>
      <w:pPr>
        <w:pStyle w:val="113"/>
        <w:rPr>
          <w:rFonts w:hint="eastAsia"/>
          <w:color w:val="000000"/>
          <w:sz w:val="28"/>
          <w:szCs w:val="28"/>
          <w:shd w:val="clear" w:color="auto" w:fill="FFFFFF"/>
        </w:rPr>
      </w:pPr>
      <w:r>
        <w:rPr>
          <w:rFonts w:hint="eastAsia"/>
          <w:color w:val="000000"/>
          <w:sz w:val="28"/>
          <w:szCs w:val="28"/>
          <w:shd w:val="clear" w:color="auto" w:fill="FFFFFF"/>
        </w:rPr>
        <w:t>二、“供应商”系指按照竞争性磋商文件“竞争性磋商邀请”中第六、七、八条规定获取了采购文件拟参加竞争性磋商和向采购人提供货物或服务的供应商。“乙方”系指本项目的成交供应商。</w:t>
      </w:r>
    </w:p>
    <w:p>
      <w:pPr>
        <w:pStyle w:val="113"/>
        <w:rPr>
          <w:rFonts w:hint="eastAsia"/>
          <w:color w:val="000000"/>
          <w:sz w:val="28"/>
          <w:szCs w:val="28"/>
          <w:shd w:val="clear" w:color="auto" w:fill="FFFFFF"/>
        </w:rPr>
      </w:pPr>
      <w:r>
        <w:rPr>
          <w:rFonts w:hint="eastAsia"/>
          <w:color w:val="000000"/>
          <w:sz w:val="28"/>
          <w:szCs w:val="28"/>
          <w:shd w:val="clear" w:color="auto" w:fill="FFFFFF"/>
        </w:rPr>
        <w:t>三、本磋商文件各部分规定的期间以时、日、月、年计算。期间开始的时和日，不计算在期间内，从次日开始计算。期间届满的最后一天是法定节假日的，以法定节假日后的第一日为期间届满的日期。</w:t>
      </w:r>
    </w:p>
    <w:p>
      <w:pPr>
        <w:pStyle w:val="113"/>
        <w:rPr>
          <w:rFonts w:hint="eastAsia"/>
          <w:color w:val="000000"/>
          <w:sz w:val="28"/>
          <w:szCs w:val="28"/>
          <w:shd w:val="clear" w:color="auto" w:fill="FFFFFF"/>
        </w:rPr>
      </w:pPr>
      <w:r>
        <w:rPr>
          <w:rFonts w:hint="eastAsia"/>
          <w:color w:val="000000"/>
          <w:sz w:val="28"/>
          <w:szCs w:val="28"/>
          <w:shd w:val="clear" w:color="auto" w:fill="FFFFFF"/>
        </w:rPr>
        <w:t>四、磋商文件中所称的“以上”、“以下”、“内”、“以内”，包括本数；所称的“不足”，不包括本数。</w:t>
      </w:r>
    </w:p>
    <w:p>
      <w:pPr>
        <w:pStyle w:val="113"/>
        <w:rPr>
          <w:rFonts w:hint="eastAsia"/>
          <w:color w:val="000000"/>
          <w:sz w:val="28"/>
          <w:szCs w:val="28"/>
          <w:shd w:val="clear" w:color="auto" w:fill="FFFFFF"/>
        </w:rPr>
      </w:pPr>
      <w:r>
        <w:rPr>
          <w:rFonts w:hint="eastAsia"/>
          <w:color w:val="000000"/>
          <w:sz w:val="28"/>
          <w:szCs w:val="28"/>
          <w:shd w:val="clear" w:color="auto" w:fill="FFFFFF"/>
        </w:rPr>
        <w:t>五、重大违法记录是指供应商因违法经营受到刑事处罚或者责令停产停业、吊销许可证或者执照、较大数额罚款等行政处罚。</w:t>
      </w:r>
    </w:p>
    <w:p>
      <w:pPr>
        <w:pStyle w:val="113"/>
        <w:rPr>
          <w:rFonts w:hint="eastAsia"/>
          <w:color w:val="000000"/>
          <w:sz w:val="28"/>
          <w:szCs w:val="28"/>
          <w:shd w:val="clear" w:color="auto" w:fill="FFFFFF"/>
        </w:rPr>
      </w:pPr>
      <w:r>
        <w:rPr>
          <w:rFonts w:hint="eastAsia"/>
          <w:color w:val="000000"/>
          <w:sz w:val="28"/>
          <w:szCs w:val="28"/>
          <w:shd w:val="clear" w:color="auto" w:fill="FFFFFF"/>
        </w:rPr>
        <w:t>六、本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pStyle w:val="113"/>
        <w:rPr>
          <w:rFonts w:hint="eastAsia"/>
          <w:color w:val="000000"/>
          <w:sz w:val="28"/>
          <w:szCs w:val="28"/>
          <w:shd w:val="clear" w:color="auto" w:fill="FFFFFF"/>
        </w:rPr>
      </w:pPr>
      <w:r>
        <w:rPr>
          <w:rFonts w:hint="eastAsia"/>
          <w:color w:val="000000"/>
          <w:sz w:val="28"/>
          <w:szCs w:val="28"/>
          <w:shd w:val="clear" w:color="auto" w:fill="FFFFFF"/>
        </w:rPr>
        <w:t>七、不见面磋商是指区公资交易中心依托政府采购云平台组织磋商活动，供应商在线参与磋商的一种组织形式。</w:t>
      </w:r>
    </w:p>
    <w:p>
      <w:pPr>
        <w:pStyle w:val="5"/>
        <w:ind w:left="0" w:firstLine="0"/>
        <w:rPr>
          <w:sz w:val="28"/>
          <w:shd w:val="clear" w:color="auto" w:fill="FFFFFF"/>
        </w:rPr>
      </w:pPr>
      <w:bookmarkStart w:id="28" w:name="_Toc8101"/>
      <w:r>
        <w:rPr>
          <w:rFonts w:hint="eastAsia"/>
          <w:sz w:val="28"/>
          <w:shd w:val="clear" w:color="auto" w:fill="FFFFFF"/>
        </w:rPr>
        <w:t>2.2.3合格的供应商</w:t>
      </w:r>
      <w:bookmarkEnd w:id="28"/>
    </w:p>
    <w:p>
      <w:pPr>
        <w:pStyle w:val="113"/>
        <w:rPr>
          <w:color w:val="000000"/>
          <w:sz w:val="28"/>
          <w:szCs w:val="28"/>
          <w:shd w:val="clear" w:color="auto" w:fill="FFFFFF"/>
        </w:rPr>
      </w:pPr>
      <w:r>
        <w:rPr>
          <w:rFonts w:hint="eastAsia"/>
          <w:color w:val="000000"/>
          <w:sz w:val="28"/>
          <w:szCs w:val="28"/>
          <w:shd w:val="clear" w:color="auto" w:fill="FFFFFF"/>
        </w:rPr>
        <w:t>合格的供应商应具备以下条件：</w:t>
      </w:r>
    </w:p>
    <w:p>
      <w:pPr>
        <w:pStyle w:val="113"/>
        <w:rPr>
          <w:color w:val="000000"/>
          <w:spacing w:val="-4"/>
          <w:sz w:val="28"/>
          <w:szCs w:val="28"/>
          <w:shd w:val="clear" w:color="auto" w:fill="FFFFFF"/>
        </w:rPr>
      </w:pPr>
      <w:r>
        <w:rPr>
          <w:rFonts w:hint="eastAsia"/>
          <w:color w:val="000000"/>
          <w:sz w:val="28"/>
          <w:szCs w:val="28"/>
          <w:shd w:val="clear" w:color="auto" w:fill="FFFFFF"/>
        </w:rPr>
        <w:t>一、符合竞争性磋商邀请</w:t>
      </w:r>
      <w:r>
        <w:rPr>
          <w:rFonts w:hint="eastAsia" w:eastAsia="宋体"/>
          <w:color w:val="000000"/>
          <w:sz w:val="28"/>
          <w:szCs w:val="28"/>
          <w:shd w:val="clear" w:color="auto" w:fill="FFFFFF"/>
        </w:rPr>
        <w:t>第四条规定的条件；</w:t>
      </w:r>
    </w:p>
    <w:p>
      <w:pPr>
        <w:pStyle w:val="113"/>
        <w:rPr>
          <w:color w:val="000000"/>
          <w:sz w:val="28"/>
          <w:szCs w:val="28"/>
          <w:shd w:val="clear" w:color="auto" w:fill="FFFFFF"/>
        </w:rPr>
      </w:pPr>
      <w:r>
        <w:rPr>
          <w:rFonts w:hint="eastAsia"/>
          <w:color w:val="000000"/>
          <w:sz w:val="28"/>
          <w:szCs w:val="28"/>
          <w:shd w:val="clear" w:color="auto" w:fill="FFFFFF"/>
        </w:rPr>
        <w:t>二、按照竞争性磋商文件“竞争性磋商邀请”中第六、七、八条规定获取了磋商文件。</w:t>
      </w:r>
    </w:p>
    <w:p>
      <w:pPr>
        <w:pStyle w:val="5"/>
        <w:ind w:left="0" w:firstLine="0"/>
        <w:rPr>
          <w:sz w:val="28"/>
          <w:shd w:val="clear" w:color="auto" w:fill="FFFFFF"/>
        </w:rPr>
      </w:pPr>
      <w:bookmarkStart w:id="29" w:name="_Toc27229"/>
      <w:r>
        <w:rPr>
          <w:rFonts w:hint="eastAsia"/>
          <w:sz w:val="28"/>
          <w:shd w:val="clear" w:color="auto" w:fill="FFFFFF"/>
        </w:rPr>
        <w:t>2.2.4参加竞争性磋商的费用</w:t>
      </w:r>
      <w:bookmarkEnd w:id="29"/>
    </w:p>
    <w:p>
      <w:pPr>
        <w:pStyle w:val="5"/>
        <w:ind w:left="0" w:firstLine="480" w:firstLineChars="200"/>
        <w:rPr>
          <w:rFonts w:hint="eastAsia"/>
          <w:b w:val="0"/>
          <w:bCs w:val="0"/>
          <w:shd w:val="clear" w:color="auto" w:fill="FFFFFF"/>
        </w:rPr>
      </w:pPr>
      <w:bookmarkStart w:id="30" w:name="_Toc18587"/>
      <w:r>
        <w:rPr>
          <w:rFonts w:hint="eastAsia"/>
          <w:b w:val="0"/>
          <w:bCs w:val="0"/>
          <w:shd w:val="clear" w:color="auto" w:fill="FFFFFF"/>
        </w:rPr>
        <w:t>供应商应自行承担参加竞争性磋商采购活动的全部费用。</w:t>
      </w:r>
      <w:bookmarkEnd w:id="30"/>
    </w:p>
    <w:p>
      <w:pPr>
        <w:pStyle w:val="5"/>
        <w:ind w:left="0" w:firstLine="0"/>
        <w:rPr>
          <w:shd w:val="clear" w:color="auto" w:fill="FFFFFF"/>
        </w:rPr>
      </w:pPr>
      <w:bookmarkStart w:id="31" w:name="_Toc2720"/>
      <w:r>
        <w:rPr>
          <w:rFonts w:hint="eastAsia"/>
          <w:shd w:val="clear" w:color="auto" w:fill="FFFFFF"/>
        </w:rPr>
        <w:t>2.2.5充分、公平竞争保障措施</w:t>
      </w:r>
      <w:bookmarkEnd w:id="31"/>
    </w:p>
    <w:p>
      <w:pPr>
        <w:tabs>
          <w:tab w:val="left" w:pos="1134"/>
        </w:tabs>
        <w:adjustRightInd w:val="0"/>
        <w:spacing w:line="360" w:lineRule="auto"/>
        <w:ind w:firstLine="560" w:firstLineChars="200"/>
        <w:rPr>
          <w:rFonts w:hint="eastAsia"/>
          <w:color w:val="000000"/>
          <w:sz w:val="28"/>
          <w:szCs w:val="28"/>
        </w:rPr>
      </w:pPr>
      <w:bookmarkStart w:id="32" w:name="EB4e3f69fa82924150aa55f8891a394478"/>
      <w:r>
        <w:rPr>
          <w:rFonts w:hint="eastAsia"/>
          <w:color w:val="000000"/>
          <w:sz w:val="28"/>
          <w:szCs w:val="28"/>
        </w:rPr>
        <w:t>一、单位负责人为同一人或者存在直接控股、管理关系的不同供应商，不得参加同一项目的磋商。</w:t>
      </w:r>
    </w:p>
    <w:p>
      <w:pPr>
        <w:numPr>
          <w:ilvl w:val="0"/>
          <w:numId w:val="3"/>
        </w:numPr>
        <w:tabs>
          <w:tab w:val="left" w:pos="1134"/>
        </w:tabs>
        <w:adjustRightInd w:val="0"/>
        <w:spacing w:line="560" w:lineRule="exact"/>
        <w:ind w:left="0" w:firstLine="567"/>
        <w:rPr>
          <w:rFonts w:hint="eastAsia" w:ascii="宋体" w:hAnsi="宋体" w:eastAsia="宋体" w:cs="Times New Roman"/>
          <w:color w:val="auto"/>
          <w:kern w:val="10"/>
          <w:sz w:val="24"/>
          <w:szCs w:val="20"/>
          <w:highlight w:val="none"/>
          <w:lang w:val="en-US" w:eastAsia="zh-CN" w:bidi="ar-SA"/>
        </w:rPr>
      </w:pPr>
      <w:r>
        <w:rPr>
          <w:rFonts w:hint="eastAsia"/>
          <w:color w:val="000000"/>
          <w:sz w:val="28"/>
          <w:szCs w:val="28"/>
        </w:rPr>
        <w:t>二、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bookmarkEnd w:id="32"/>
      <w:r>
        <w:rPr>
          <w:rFonts w:hint="eastAsia" w:ascii="宋体" w:hAnsi="宋体" w:eastAsia="宋体" w:cs="Times New Roman"/>
          <w:b/>
          <w:bCs/>
          <w:color w:val="auto"/>
          <w:kern w:val="10"/>
          <w:sz w:val="28"/>
          <w:szCs w:val="21"/>
          <w:highlight w:val="none"/>
          <w:lang w:val="en-US" w:eastAsia="zh-CN" w:bidi="ar-SA"/>
        </w:rPr>
        <w:t>（说明：无供应商为本项目提供整体设计、规范编制或者项目管理、监理、检测等服务。）</w:t>
      </w:r>
    </w:p>
    <w:p>
      <w:pPr>
        <w:tabs>
          <w:tab w:val="left" w:pos="1134"/>
        </w:tabs>
        <w:adjustRightInd w:val="0"/>
        <w:spacing w:line="360" w:lineRule="auto"/>
        <w:ind w:firstLine="560" w:firstLineChars="200"/>
        <w:rPr>
          <w:b/>
          <w:color w:val="000000"/>
          <w:sz w:val="28"/>
          <w:szCs w:val="28"/>
          <w:highlight w:val="none"/>
        </w:rPr>
      </w:pPr>
      <w:r>
        <w:rPr>
          <w:rFonts w:hint="eastAsia"/>
          <w:color w:val="000000"/>
          <w:sz w:val="28"/>
          <w:szCs w:val="28"/>
          <w:highlight w:val="none"/>
        </w:rPr>
        <w:t>五、本项</w:t>
      </w:r>
      <w:r>
        <w:rPr>
          <w:rFonts w:hint="eastAsia"/>
          <w:color w:val="000000"/>
          <w:sz w:val="28"/>
          <w:szCs w:val="28"/>
          <w:highlight w:val="none"/>
          <w:lang w:val="zh-CN"/>
        </w:rPr>
        <w:t>目</w:t>
      </w:r>
      <w:r>
        <w:rPr>
          <w:rFonts w:hint="eastAsia"/>
          <w:b/>
          <w:color w:val="000000"/>
          <w:sz w:val="28"/>
          <w:szCs w:val="28"/>
          <w:highlight w:val="none"/>
        </w:rPr>
        <w:t>核心产品为“智慧黑板”</w:t>
      </w:r>
      <w:r>
        <w:rPr>
          <w:rFonts w:hint="eastAsia"/>
          <w:color w:val="000000"/>
          <w:sz w:val="28"/>
          <w:szCs w:val="28"/>
          <w:highlight w:val="none"/>
          <w:lang w:val="zh-CN"/>
        </w:rPr>
        <w:t>。</w:t>
      </w:r>
      <w:r>
        <w:rPr>
          <w:rFonts w:hint="eastAsia"/>
          <w:color w:val="000000"/>
          <w:sz w:val="28"/>
          <w:szCs w:val="28"/>
          <w:highlight w:val="none"/>
        </w:rPr>
        <w:t>提供核心产品品牌相</w:t>
      </w:r>
      <w:r>
        <w:rPr>
          <w:rFonts w:hint="eastAsia"/>
          <w:color w:val="000000"/>
          <w:sz w:val="28"/>
          <w:szCs w:val="28"/>
          <w:highlight w:val="none"/>
          <w:lang w:val="zh-CN"/>
        </w:rPr>
        <w:t>同且通过资格检查和符合性检查的不同</w:t>
      </w:r>
      <w:r>
        <w:rPr>
          <w:rFonts w:hint="eastAsia"/>
          <w:color w:val="000000"/>
          <w:sz w:val="28"/>
          <w:szCs w:val="28"/>
          <w:highlight w:val="none"/>
        </w:rPr>
        <w:t>供应商</w:t>
      </w:r>
      <w:r>
        <w:rPr>
          <w:rFonts w:hint="eastAsia"/>
          <w:color w:val="000000"/>
          <w:sz w:val="28"/>
          <w:szCs w:val="28"/>
          <w:highlight w:val="none"/>
          <w:lang w:val="zh-CN"/>
        </w:rPr>
        <w:t>参加同一项目投标的，按一家</w:t>
      </w:r>
      <w:r>
        <w:rPr>
          <w:rFonts w:hint="eastAsia"/>
          <w:color w:val="000000"/>
          <w:sz w:val="28"/>
          <w:szCs w:val="28"/>
          <w:highlight w:val="none"/>
        </w:rPr>
        <w:t>供应商</w:t>
      </w:r>
      <w:r>
        <w:rPr>
          <w:rFonts w:hint="eastAsia"/>
          <w:color w:val="000000"/>
          <w:sz w:val="28"/>
          <w:szCs w:val="28"/>
          <w:highlight w:val="none"/>
          <w:lang w:val="zh-CN"/>
        </w:rPr>
        <w:t>计算，评审后得分最高的</w:t>
      </w:r>
      <w:r>
        <w:rPr>
          <w:rFonts w:hint="eastAsia"/>
          <w:color w:val="000000"/>
          <w:sz w:val="28"/>
          <w:szCs w:val="28"/>
          <w:highlight w:val="none"/>
        </w:rPr>
        <w:t>供应商</w:t>
      </w:r>
      <w:r>
        <w:rPr>
          <w:rFonts w:hint="eastAsia"/>
          <w:color w:val="000000"/>
          <w:sz w:val="28"/>
          <w:szCs w:val="28"/>
          <w:highlight w:val="none"/>
          <w:lang w:val="zh-CN"/>
        </w:rPr>
        <w:t>获得中标候选人推荐资格；评审得分相同的，报价最低的</w:t>
      </w:r>
      <w:r>
        <w:rPr>
          <w:rFonts w:hint="eastAsia"/>
          <w:color w:val="000000"/>
          <w:sz w:val="28"/>
          <w:szCs w:val="28"/>
          <w:highlight w:val="none"/>
        </w:rPr>
        <w:t>供应商</w:t>
      </w:r>
      <w:r>
        <w:rPr>
          <w:rFonts w:hint="eastAsia"/>
          <w:color w:val="000000"/>
          <w:sz w:val="28"/>
          <w:szCs w:val="28"/>
          <w:highlight w:val="none"/>
          <w:lang w:val="zh-CN"/>
        </w:rPr>
        <w:t>获得中标候选人推荐资格；评审得分相同且报价相同的，由</w:t>
      </w:r>
      <w:r>
        <w:rPr>
          <w:rFonts w:hint="eastAsia"/>
          <w:color w:val="000000"/>
          <w:sz w:val="28"/>
          <w:szCs w:val="28"/>
          <w:highlight w:val="none"/>
        </w:rPr>
        <w:t>磋商小组</w:t>
      </w:r>
      <w:r>
        <w:rPr>
          <w:rFonts w:hint="eastAsia"/>
          <w:color w:val="000000"/>
          <w:sz w:val="28"/>
          <w:szCs w:val="28"/>
          <w:highlight w:val="none"/>
          <w:lang w:val="zh-CN"/>
        </w:rPr>
        <w:t>采取随机抽取的方式确定一个</w:t>
      </w:r>
      <w:r>
        <w:rPr>
          <w:rFonts w:hint="eastAsia"/>
          <w:color w:val="000000"/>
          <w:sz w:val="28"/>
          <w:szCs w:val="28"/>
          <w:highlight w:val="none"/>
        </w:rPr>
        <w:t>供应商</w:t>
      </w:r>
      <w:r>
        <w:rPr>
          <w:rFonts w:hint="eastAsia"/>
          <w:color w:val="000000"/>
          <w:sz w:val="28"/>
          <w:szCs w:val="28"/>
          <w:highlight w:val="none"/>
          <w:lang w:val="zh-CN"/>
        </w:rPr>
        <w:t>获得中标候选人推荐资格。</w:t>
      </w:r>
    </w:p>
    <w:p>
      <w:pPr>
        <w:pStyle w:val="4"/>
        <w:spacing w:before="156" w:after="156"/>
        <w:ind w:left="0" w:firstLine="0"/>
        <w:rPr>
          <w:color w:val="000000"/>
          <w:shd w:val="clear" w:color="auto" w:fill="FFFFFF"/>
        </w:rPr>
      </w:pPr>
      <w:bookmarkStart w:id="33" w:name="_Toc9858"/>
      <w:r>
        <w:rPr>
          <w:rFonts w:hint="eastAsia"/>
          <w:color w:val="000000"/>
          <w:shd w:val="clear" w:color="auto" w:fill="FFFFFF"/>
        </w:rPr>
        <w:t>2.3磋商文件</w:t>
      </w:r>
      <w:bookmarkEnd w:id="33"/>
    </w:p>
    <w:p>
      <w:pPr>
        <w:pStyle w:val="5"/>
        <w:ind w:left="0" w:firstLine="0"/>
        <w:rPr>
          <w:sz w:val="28"/>
          <w:shd w:val="clear" w:color="auto" w:fill="FFFFFF"/>
        </w:rPr>
      </w:pPr>
      <w:bookmarkStart w:id="34" w:name="_Toc1149"/>
      <w:r>
        <w:rPr>
          <w:rFonts w:hint="eastAsia"/>
          <w:sz w:val="28"/>
          <w:shd w:val="clear" w:color="auto" w:fill="FFFFFF"/>
        </w:rPr>
        <w:t>2.3.1磋商文件的构成</w:t>
      </w:r>
      <w:bookmarkEnd w:id="34"/>
    </w:p>
    <w:p>
      <w:pPr>
        <w:pStyle w:val="113"/>
        <w:rPr>
          <w:color w:val="000000"/>
          <w:sz w:val="28"/>
          <w:szCs w:val="28"/>
          <w:shd w:val="clear" w:color="auto" w:fill="FFFFFF"/>
        </w:rPr>
      </w:pPr>
      <w:r>
        <w:rPr>
          <w:rFonts w:hint="eastAsia"/>
          <w:color w:val="000000"/>
          <w:sz w:val="28"/>
          <w:szCs w:val="28"/>
          <w:shd w:val="clear" w:color="auto" w:fill="FFFFFF"/>
        </w:rPr>
        <w:t>一、竞争性磋商文件是供应商准备响应文件和参加磋商的依据，同时也是评审的重要依据。竞争性磋商文件用以阐明采购项目所需的资质、技术、服务及报价等要求、磋商程序、有关规定和注意事项以及合同草案条款等。本磋商文件包括以下内容：</w:t>
      </w:r>
    </w:p>
    <w:p>
      <w:pPr>
        <w:pStyle w:val="113"/>
        <w:rPr>
          <w:color w:val="000000"/>
          <w:sz w:val="28"/>
          <w:szCs w:val="28"/>
          <w:shd w:val="clear" w:color="auto" w:fill="FFFFFF"/>
        </w:rPr>
      </w:pPr>
      <w:r>
        <w:rPr>
          <w:rFonts w:hint="eastAsia"/>
          <w:color w:val="000000"/>
          <w:sz w:val="28"/>
          <w:szCs w:val="28"/>
          <w:shd w:val="clear" w:color="auto" w:fill="FFFFFF"/>
        </w:rPr>
        <w:t>（一）竞争性磋商邀请；</w:t>
      </w:r>
    </w:p>
    <w:p>
      <w:pPr>
        <w:pStyle w:val="113"/>
        <w:rPr>
          <w:color w:val="000000"/>
          <w:sz w:val="28"/>
          <w:szCs w:val="28"/>
          <w:shd w:val="clear" w:color="auto" w:fill="FFFFFF"/>
        </w:rPr>
      </w:pPr>
      <w:r>
        <w:rPr>
          <w:rFonts w:hint="eastAsia"/>
          <w:color w:val="000000"/>
          <w:sz w:val="28"/>
          <w:szCs w:val="28"/>
          <w:shd w:val="clear" w:color="auto" w:fill="FFFFFF"/>
        </w:rPr>
        <w:t>（二）供应商须知；</w:t>
      </w:r>
    </w:p>
    <w:p>
      <w:pPr>
        <w:pStyle w:val="113"/>
        <w:rPr>
          <w:color w:val="000000"/>
          <w:sz w:val="28"/>
          <w:szCs w:val="28"/>
          <w:shd w:val="clear" w:color="auto" w:fill="FFFFFF"/>
        </w:rPr>
      </w:pPr>
      <w:r>
        <w:rPr>
          <w:rFonts w:hint="eastAsia"/>
          <w:color w:val="000000"/>
          <w:sz w:val="28"/>
          <w:szCs w:val="28"/>
          <w:shd w:val="clear" w:color="auto" w:fill="FFFFFF"/>
        </w:rPr>
        <w:t>（三）响应文件格式；</w:t>
      </w:r>
    </w:p>
    <w:p>
      <w:pPr>
        <w:pStyle w:val="113"/>
        <w:rPr>
          <w:color w:val="000000"/>
          <w:sz w:val="28"/>
          <w:szCs w:val="28"/>
          <w:shd w:val="clear" w:color="auto" w:fill="FFFFFF"/>
        </w:rPr>
      </w:pPr>
      <w:r>
        <w:rPr>
          <w:rFonts w:hint="eastAsia"/>
          <w:color w:val="000000"/>
          <w:sz w:val="28"/>
          <w:szCs w:val="28"/>
          <w:shd w:val="clear" w:color="auto" w:fill="FFFFFF"/>
        </w:rPr>
        <w:t>（四）技术、服务要求及其他要求；</w:t>
      </w:r>
    </w:p>
    <w:p>
      <w:pPr>
        <w:pStyle w:val="113"/>
        <w:rPr>
          <w:color w:val="000000"/>
          <w:sz w:val="28"/>
          <w:szCs w:val="28"/>
          <w:shd w:val="clear" w:color="auto" w:fill="FFFFFF"/>
        </w:rPr>
      </w:pPr>
      <w:r>
        <w:rPr>
          <w:rFonts w:hint="eastAsia"/>
          <w:color w:val="000000"/>
          <w:sz w:val="28"/>
          <w:szCs w:val="28"/>
          <w:shd w:val="clear" w:color="auto" w:fill="FFFFFF"/>
        </w:rPr>
        <w:t>（五）磋商办法；</w:t>
      </w:r>
    </w:p>
    <w:p>
      <w:pPr>
        <w:pStyle w:val="113"/>
        <w:rPr>
          <w:color w:val="000000"/>
          <w:sz w:val="28"/>
          <w:szCs w:val="28"/>
          <w:shd w:val="clear" w:color="auto" w:fill="FFFFFF"/>
        </w:rPr>
      </w:pPr>
      <w:r>
        <w:rPr>
          <w:rFonts w:hint="eastAsia"/>
          <w:color w:val="000000"/>
          <w:sz w:val="28"/>
          <w:szCs w:val="28"/>
          <w:shd w:val="clear" w:color="auto" w:fill="FFFFFF"/>
        </w:rPr>
        <w:t>（六）拟签订的合同文本。</w:t>
      </w:r>
    </w:p>
    <w:p>
      <w:pPr>
        <w:pStyle w:val="113"/>
        <w:rPr>
          <w:color w:val="000000"/>
          <w:sz w:val="28"/>
          <w:szCs w:val="28"/>
          <w:shd w:val="clear" w:color="auto" w:fill="FFFFFF"/>
        </w:rPr>
      </w:pPr>
      <w:r>
        <w:rPr>
          <w:rFonts w:hint="eastAsia"/>
          <w:color w:val="000000"/>
          <w:sz w:val="28"/>
          <w:szCs w:val="28"/>
          <w:shd w:val="clear" w:color="auto" w:fill="FFFFFF"/>
        </w:rPr>
        <w:t>二、供应商应认真阅读和充分理解竞争性磋商文件中所有的事项、格式条款和规范要求。按照磋商文件的要求提供响应文件，并保证所提供的全部资料的合法性、真实性和有效性，一经发现有虚假行为的，将取消其参加磋商或成交资格，并承担相应的法律责任。供应商没有对竞争性磋商文件全面做出实质性响应所产生的风险由供应商承担。</w:t>
      </w:r>
    </w:p>
    <w:p>
      <w:pPr>
        <w:pStyle w:val="5"/>
        <w:ind w:left="0" w:firstLine="0"/>
        <w:rPr>
          <w:sz w:val="28"/>
          <w:shd w:val="clear" w:color="auto" w:fill="FFFFFF"/>
        </w:rPr>
      </w:pPr>
      <w:bookmarkStart w:id="35" w:name="_Toc3926"/>
      <w:r>
        <w:rPr>
          <w:rFonts w:hint="eastAsia"/>
          <w:sz w:val="28"/>
          <w:shd w:val="clear" w:color="auto" w:fill="FFFFFF"/>
        </w:rPr>
        <w:t>2.3.2磋商文件的澄清和修改</w:t>
      </w:r>
      <w:bookmarkEnd w:id="35"/>
    </w:p>
    <w:p>
      <w:pPr>
        <w:ind w:firstLine="560" w:firstLineChars="200"/>
        <w:rPr>
          <w:rFonts w:hint="eastAsia" w:cs="Times New Roman"/>
          <w:b w:val="0"/>
          <w:bCs w:val="0"/>
          <w:iCs/>
          <w:color w:val="000000"/>
          <w:kern w:val="0"/>
          <w:sz w:val="28"/>
          <w:szCs w:val="28"/>
          <w:shd w:val="clear" w:color="auto" w:fill="FFFFFF"/>
        </w:rPr>
      </w:pPr>
      <w:r>
        <w:rPr>
          <w:rFonts w:hint="eastAsia" w:cs="Times New Roman"/>
          <w:b w:val="0"/>
          <w:bCs w:val="0"/>
          <w:iCs/>
          <w:color w:val="000000"/>
          <w:kern w:val="0"/>
          <w:sz w:val="28"/>
          <w:szCs w:val="28"/>
          <w:shd w:val="clear" w:color="auto" w:fill="FFFFFF"/>
        </w:rPr>
        <w:t>一、在递交响应文件截止时间前，采购人或者区公资交易中心可以对已发出的磋商文件进行必要的澄清或者修改。</w:t>
      </w:r>
    </w:p>
    <w:p>
      <w:pPr>
        <w:ind w:firstLine="560" w:firstLineChars="200"/>
        <w:rPr>
          <w:rFonts w:hint="eastAsia" w:cs="Times New Roman"/>
          <w:b w:val="0"/>
          <w:bCs w:val="0"/>
          <w:iCs/>
          <w:color w:val="000000"/>
          <w:kern w:val="0"/>
          <w:sz w:val="28"/>
          <w:szCs w:val="28"/>
          <w:shd w:val="clear" w:color="auto" w:fill="FFFFFF"/>
        </w:rPr>
      </w:pPr>
      <w:r>
        <w:rPr>
          <w:rFonts w:hint="eastAsia" w:cs="Times New Roman"/>
          <w:b w:val="0"/>
          <w:bCs w:val="0"/>
          <w:iCs/>
          <w:color w:val="000000"/>
          <w:kern w:val="0"/>
          <w:sz w:val="28"/>
          <w:szCs w:val="28"/>
          <w:shd w:val="clear" w:color="auto" w:fill="FFFFFF"/>
        </w:rPr>
        <w:t>二、澄清或者修改的内容，区公资交易中心将在“四川政府采购网”和“成都市公共资源交易服务中心”网站上发布澄清公告，同时通过政府采购云平台将澄清或者修改的内容告知所有已获取采购文件的潜在供应商（供应商通过账号或CA证书登录云平台查看），该澄清或者修改的内容为磋商文件的组成部分。</w:t>
      </w:r>
    </w:p>
    <w:p>
      <w:pPr>
        <w:ind w:firstLine="560" w:firstLineChars="200"/>
        <w:rPr>
          <w:rFonts w:hint="eastAsia" w:cs="Times New Roman"/>
          <w:b w:val="0"/>
          <w:bCs w:val="0"/>
          <w:iCs/>
          <w:color w:val="000000"/>
          <w:kern w:val="0"/>
          <w:sz w:val="28"/>
          <w:szCs w:val="28"/>
          <w:shd w:val="clear" w:color="auto" w:fill="FFFFFF"/>
        </w:rPr>
      </w:pPr>
      <w:r>
        <w:rPr>
          <w:rFonts w:hint="eastAsia" w:cs="Times New Roman"/>
          <w:b w:val="0"/>
          <w:bCs w:val="0"/>
          <w:iCs/>
          <w:color w:val="000000"/>
          <w:kern w:val="0"/>
          <w:sz w:val="28"/>
          <w:szCs w:val="28"/>
          <w:shd w:val="clear" w:color="auto" w:fill="FFFFFF"/>
        </w:rPr>
        <w:t>三、澄清或者修改的内容可能影响响应文件编制的，区公资交易中心应当在提交首次响应文件截止时间至少5日前，通过政府采购云平台通知所有已获取采购文件的潜在供应商；不足5日的，采购人或区公资交易中心应当顺延提交首次响应文件截止时间。</w:t>
      </w:r>
    </w:p>
    <w:p>
      <w:pPr>
        <w:rPr>
          <w:rFonts w:hint="eastAsia" w:cs="Times New Roman"/>
          <w:b/>
          <w:bCs/>
          <w:iCs/>
          <w:color w:val="000000"/>
          <w:kern w:val="0"/>
          <w:sz w:val="28"/>
          <w:szCs w:val="28"/>
          <w:shd w:val="clear" w:color="auto" w:fill="FFFFFF"/>
        </w:rPr>
      </w:pPr>
      <w:r>
        <w:rPr>
          <w:rFonts w:hint="eastAsia" w:cs="Times New Roman"/>
          <w:b/>
          <w:bCs/>
          <w:iCs/>
          <w:color w:val="000000"/>
          <w:kern w:val="0"/>
          <w:sz w:val="28"/>
          <w:szCs w:val="28"/>
          <w:shd w:val="clear" w:color="auto" w:fill="FFFFFF"/>
        </w:rPr>
        <w:t>2.4响应文件</w:t>
      </w:r>
      <w:bookmarkStart w:id="36" w:name="_Toc4962"/>
    </w:p>
    <w:p>
      <w:pPr>
        <w:rPr>
          <w:rFonts w:hint="eastAsia"/>
          <w:sz w:val="28"/>
          <w:shd w:val="clear" w:color="auto" w:fill="FFFFFF"/>
        </w:rPr>
      </w:pPr>
      <w:r>
        <w:rPr>
          <w:rFonts w:hint="eastAsia"/>
          <w:sz w:val="28"/>
          <w:shd w:val="clear" w:color="auto" w:fill="FFFFFF"/>
        </w:rPr>
        <w:t>2.4.1响应文件的语言</w:t>
      </w:r>
      <w:bookmarkEnd w:id="36"/>
      <w:bookmarkStart w:id="37" w:name="_Toc8358"/>
    </w:p>
    <w:p>
      <w:pPr>
        <w:numPr>
          <w:ilvl w:val="0"/>
          <w:numId w:val="0"/>
        </w:numPr>
        <w:ind w:firstLine="560" w:firstLineChars="200"/>
        <w:rPr>
          <w:rFonts w:hint="eastAsia"/>
          <w:b w:val="0"/>
          <w:bCs w:val="0"/>
          <w:sz w:val="28"/>
          <w:shd w:val="clear" w:color="auto" w:fill="FFFFFF"/>
        </w:rPr>
      </w:pPr>
      <w:r>
        <w:rPr>
          <w:rFonts w:hint="eastAsia"/>
          <w:b w:val="0"/>
          <w:bCs w:val="0"/>
          <w:sz w:val="28"/>
          <w:shd w:val="clear" w:color="auto" w:fill="FFFFFF"/>
          <w:lang w:val="en-US" w:eastAsia="zh-CN"/>
        </w:rPr>
        <w:t>一、</w:t>
      </w:r>
      <w:r>
        <w:rPr>
          <w:rFonts w:hint="eastAsia"/>
          <w:b w:val="0"/>
          <w:bCs w:val="0"/>
          <w:sz w:val="28"/>
          <w:shd w:val="clear" w:color="auto" w:fill="FFFFFF"/>
        </w:rPr>
        <w:t>供应商提交的响应文件以及供应商与磋商小组在评审过程中的所有来往书面文件均须使用中文。响应文件中如附有外文资料，主要部分要对应翻译成中文并附在相关外文资料后面。</w:t>
      </w:r>
      <w:bookmarkEnd w:id="37"/>
      <w:bookmarkStart w:id="38" w:name="_Toc22292"/>
    </w:p>
    <w:p>
      <w:pPr>
        <w:numPr>
          <w:ilvl w:val="0"/>
          <w:numId w:val="0"/>
        </w:numPr>
        <w:ind w:firstLine="560" w:firstLineChars="200"/>
        <w:rPr>
          <w:rFonts w:hint="eastAsia"/>
          <w:b w:val="0"/>
          <w:bCs w:val="0"/>
          <w:sz w:val="28"/>
          <w:shd w:val="clear" w:color="auto" w:fill="FFFFFF"/>
        </w:rPr>
      </w:pPr>
      <w:r>
        <w:rPr>
          <w:rFonts w:hint="eastAsia"/>
          <w:b w:val="0"/>
          <w:bCs w:val="0"/>
          <w:sz w:val="28"/>
          <w:shd w:val="clear" w:color="auto" w:fill="FFFFFF"/>
        </w:rPr>
        <w:t>二、翻译的中文资料与外文资料如果出现差异和矛盾时，以中文为准。涉嫌提供虚假材料的按照相关法律法规处理。</w:t>
      </w:r>
      <w:bookmarkEnd w:id="38"/>
    </w:p>
    <w:p>
      <w:pPr>
        <w:pStyle w:val="5"/>
        <w:ind w:left="612" w:leftChars="198" w:hanging="196" w:hangingChars="70"/>
        <w:rPr>
          <w:rFonts w:hint="eastAsia"/>
          <w:b w:val="0"/>
          <w:bCs w:val="0"/>
          <w:sz w:val="28"/>
          <w:shd w:val="clear" w:color="auto" w:fill="FFFFFF"/>
        </w:rPr>
      </w:pPr>
      <w:bookmarkStart w:id="39" w:name="_Toc22992"/>
      <w:r>
        <w:rPr>
          <w:rFonts w:hint="eastAsia"/>
          <w:b w:val="0"/>
          <w:bCs w:val="0"/>
          <w:sz w:val="28"/>
          <w:shd w:val="clear" w:color="auto" w:fill="FFFFFF"/>
        </w:rPr>
        <w:t>三、如因未翻译而造成对供应商的不利后果，由供应商承担。</w:t>
      </w:r>
      <w:bookmarkEnd w:id="39"/>
    </w:p>
    <w:p>
      <w:pPr>
        <w:pStyle w:val="5"/>
        <w:rPr>
          <w:b/>
          <w:bCs/>
          <w:sz w:val="28"/>
          <w:shd w:val="clear" w:color="auto" w:fill="FFFFFF"/>
        </w:rPr>
      </w:pPr>
      <w:bookmarkStart w:id="40" w:name="_Toc23926"/>
      <w:r>
        <w:rPr>
          <w:rFonts w:hint="eastAsia"/>
          <w:b/>
          <w:bCs/>
          <w:sz w:val="28"/>
          <w:shd w:val="clear" w:color="auto" w:fill="FFFFFF"/>
        </w:rPr>
        <w:t>2.4.2计量单位</w:t>
      </w:r>
      <w:bookmarkEnd w:id="40"/>
    </w:p>
    <w:p>
      <w:pPr>
        <w:pStyle w:val="113"/>
        <w:rPr>
          <w:color w:val="000000"/>
          <w:sz w:val="28"/>
          <w:szCs w:val="28"/>
          <w:shd w:val="clear" w:color="auto" w:fill="FFFFFF"/>
        </w:rPr>
      </w:pPr>
      <w:r>
        <w:rPr>
          <w:rFonts w:hint="eastAsia"/>
          <w:color w:val="000000"/>
          <w:sz w:val="28"/>
          <w:szCs w:val="28"/>
          <w:shd w:val="clear" w:color="auto" w:fill="FFFFFF"/>
        </w:rPr>
        <w:t>除磋商文件中另有规定外，本次采购项目所有合同项下的响应均采用国家法定的计量单位。</w:t>
      </w:r>
    </w:p>
    <w:p>
      <w:pPr>
        <w:pStyle w:val="5"/>
        <w:rPr>
          <w:rFonts w:hint="eastAsia" w:ascii="宋体" w:hAnsi="宋体" w:eastAsia="宋体" w:cs="Times New Roman"/>
          <w:b/>
          <w:bCs/>
          <w:sz w:val="28"/>
          <w:shd w:val="clear" w:color="auto" w:fill="FFFFFF"/>
        </w:rPr>
      </w:pPr>
      <w:bookmarkStart w:id="41" w:name="_Toc29986"/>
      <w:bookmarkStart w:id="42" w:name="_Toc5140"/>
      <w:bookmarkStart w:id="43" w:name="_Toc17271"/>
      <w:bookmarkStart w:id="44" w:name="_Toc28510"/>
      <w:r>
        <w:rPr>
          <w:rFonts w:hint="eastAsia" w:ascii="宋体" w:hAnsi="宋体" w:eastAsia="宋体" w:cs="Times New Roman"/>
          <w:b/>
          <w:bCs/>
          <w:sz w:val="28"/>
          <w:shd w:val="clear" w:color="auto" w:fill="FFFFFF"/>
        </w:rPr>
        <w:t>2.4.</w:t>
      </w:r>
      <w:r>
        <w:rPr>
          <w:rFonts w:hint="eastAsia" w:ascii="宋体" w:hAnsi="宋体" w:eastAsia="宋体" w:cs="Times New Roman"/>
          <w:b/>
          <w:bCs/>
          <w:sz w:val="28"/>
          <w:shd w:val="clear" w:color="auto" w:fill="FFFFFF"/>
          <w:lang w:val="en-US" w:eastAsia="zh-CN"/>
        </w:rPr>
        <w:t>3</w:t>
      </w:r>
      <w:r>
        <w:rPr>
          <w:rFonts w:hint="eastAsia" w:ascii="宋体" w:hAnsi="宋体" w:eastAsia="宋体" w:cs="Times New Roman"/>
          <w:b/>
          <w:bCs/>
          <w:sz w:val="28"/>
          <w:shd w:val="clear" w:color="auto" w:fill="FFFFFF"/>
        </w:rPr>
        <w:t>联合体</w:t>
      </w:r>
      <w:bookmarkEnd w:id="41"/>
      <w:bookmarkEnd w:id="42"/>
    </w:p>
    <w:p>
      <w:pPr>
        <w:pStyle w:val="113"/>
        <w:ind w:firstLine="480"/>
        <w:rPr>
          <w:rFonts w:hint="eastAsia" w:ascii="宋体" w:hAnsi="宋体" w:eastAsia="宋体" w:cs="Times New Roman"/>
          <w:b w:val="0"/>
          <w:bCs w:val="0"/>
          <w:iCs/>
          <w:color w:val="000000"/>
          <w:kern w:val="0"/>
          <w:sz w:val="28"/>
          <w:szCs w:val="28"/>
          <w:shd w:val="clear" w:color="auto" w:fill="FFFFFF"/>
          <w:lang w:val="en-US" w:eastAsia="zh-CN" w:bidi="ar-SA"/>
        </w:rPr>
      </w:pPr>
      <w:r>
        <w:rPr>
          <w:rFonts w:hint="eastAsia" w:ascii="宋体" w:hAnsi="宋体" w:eastAsia="宋体" w:cs="Times New Roman"/>
          <w:b w:val="0"/>
          <w:bCs w:val="0"/>
          <w:iCs/>
          <w:color w:val="000000"/>
          <w:kern w:val="0"/>
          <w:sz w:val="28"/>
          <w:szCs w:val="28"/>
          <w:shd w:val="clear" w:color="auto" w:fill="FFFFFF"/>
          <w:lang w:val="en-US" w:eastAsia="zh-CN" w:bidi="ar-SA"/>
        </w:rPr>
        <w:t>本次政府采购活动</w:t>
      </w:r>
      <w:bookmarkStart w:id="45" w:name="EBb214d4eddaa9434392123a2accee8c35"/>
      <w:r>
        <w:rPr>
          <w:rFonts w:hint="eastAsia" w:ascii="宋体" w:hAnsi="宋体" w:eastAsia="宋体" w:cs="Times New Roman"/>
          <w:b/>
          <w:bCs/>
          <w:iCs/>
          <w:color w:val="000000"/>
          <w:kern w:val="0"/>
          <w:sz w:val="28"/>
          <w:szCs w:val="28"/>
          <w:shd w:val="clear" w:color="auto" w:fill="FFFFFF"/>
          <w:lang w:val="en-US" w:eastAsia="zh-CN" w:bidi="ar-SA"/>
        </w:rPr>
        <w:t>不接受</w:t>
      </w:r>
      <w:bookmarkEnd w:id="45"/>
      <w:r>
        <w:rPr>
          <w:rFonts w:hint="eastAsia" w:ascii="宋体" w:hAnsi="宋体" w:eastAsia="宋体" w:cs="Times New Roman"/>
          <w:b w:val="0"/>
          <w:bCs w:val="0"/>
          <w:iCs/>
          <w:color w:val="000000"/>
          <w:kern w:val="0"/>
          <w:sz w:val="28"/>
          <w:szCs w:val="28"/>
          <w:shd w:val="clear" w:color="auto" w:fill="FFFFFF"/>
          <w:lang w:val="en-US" w:eastAsia="zh-CN" w:bidi="ar-SA"/>
        </w:rPr>
        <w:t>供应商以联合体的形式参加磋商。</w:t>
      </w:r>
    </w:p>
    <w:p>
      <w:pPr>
        <w:pStyle w:val="5"/>
        <w:rPr>
          <w:rFonts w:hint="eastAsia" w:ascii="宋体" w:hAnsi="宋体" w:eastAsia="宋体" w:cs="Times New Roman"/>
          <w:b/>
          <w:bCs/>
          <w:sz w:val="28"/>
          <w:shd w:val="clear" w:color="auto" w:fill="FFFFFF"/>
        </w:rPr>
      </w:pPr>
      <w:bookmarkStart w:id="46" w:name="_Toc13239"/>
      <w:bookmarkStart w:id="47" w:name="_Toc31405"/>
      <w:r>
        <w:rPr>
          <w:rFonts w:hint="eastAsia" w:ascii="宋体" w:hAnsi="宋体" w:eastAsia="宋体" w:cs="Times New Roman"/>
          <w:b/>
          <w:bCs/>
          <w:sz w:val="28"/>
          <w:shd w:val="clear" w:color="auto" w:fill="FFFFFF"/>
        </w:rPr>
        <w:t>2.4.</w:t>
      </w:r>
      <w:r>
        <w:rPr>
          <w:rFonts w:hint="eastAsia" w:ascii="宋体" w:hAnsi="宋体" w:eastAsia="宋体" w:cs="Times New Roman"/>
          <w:b/>
          <w:bCs/>
          <w:sz w:val="28"/>
          <w:shd w:val="clear" w:color="auto" w:fill="FFFFFF"/>
          <w:lang w:val="en-US" w:eastAsia="zh-CN"/>
        </w:rPr>
        <w:t>4</w:t>
      </w:r>
      <w:r>
        <w:rPr>
          <w:rFonts w:hint="eastAsia" w:ascii="宋体" w:hAnsi="宋体" w:eastAsia="宋体" w:cs="Times New Roman"/>
          <w:b/>
          <w:bCs/>
          <w:sz w:val="28"/>
          <w:shd w:val="clear" w:color="auto" w:fill="FFFFFF"/>
        </w:rPr>
        <w:t>知识产权</w:t>
      </w:r>
      <w:bookmarkEnd w:id="46"/>
      <w:bookmarkEnd w:id="47"/>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一、供应商应保证在本项目中使用的任何技术、产品和服务（含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tabs>
          <w:tab w:val="left" w:pos="1134"/>
        </w:tabs>
        <w:spacing w:after="200" w:line="360" w:lineRule="auto"/>
        <w:ind w:firstLine="560" w:firstLineChars="200"/>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三、如采用供应商所不拥有的知识产权，则在报价中必须包括合法获取使用该知识产权的相关费用。</w:t>
      </w:r>
    </w:p>
    <w:p>
      <w:pPr>
        <w:pStyle w:val="5"/>
        <w:rPr>
          <w:rFonts w:hint="eastAsia" w:ascii="宋体" w:hAnsi="宋体" w:eastAsia="宋体" w:cs="Times New Roman"/>
          <w:b/>
          <w:bCs/>
          <w:sz w:val="28"/>
          <w:shd w:val="clear" w:color="auto" w:fill="FFFFFF"/>
        </w:rPr>
      </w:pPr>
      <w:bookmarkStart w:id="48" w:name="_Toc24282"/>
      <w:bookmarkStart w:id="49" w:name="_Toc20786"/>
      <w:r>
        <w:rPr>
          <w:rFonts w:hint="eastAsia" w:ascii="宋体" w:hAnsi="宋体" w:eastAsia="宋体" w:cs="Times New Roman"/>
          <w:b/>
          <w:bCs/>
          <w:sz w:val="28"/>
          <w:shd w:val="clear" w:color="auto" w:fill="FFFFFF"/>
        </w:rPr>
        <w:t>2.4.</w:t>
      </w:r>
      <w:r>
        <w:rPr>
          <w:rFonts w:hint="eastAsia" w:ascii="宋体" w:hAnsi="宋体" w:eastAsia="宋体" w:cs="Times New Roman"/>
          <w:b/>
          <w:bCs/>
          <w:sz w:val="28"/>
          <w:shd w:val="clear" w:color="auto" w:fill="FFFFFF"/>
          <w:lang w:val="en-US" w:eastAsia="zh-CN"/>
        </w:rPr>
        <w:t>5</w:t>
      </w:r>
      <w:r>
        <w:rPr>
          <w:rFonts w:hint="eastAsia" w:ascii="宋体" w:hAnsi="宋体" w:eastAsia="宋体" w:cs="Times New Roman"/>
          <w:b/>
          <w:bCs/>
          <w:sz w:val="28"/>
          <w:shd w:val="clear" w:color="auto" w:fill="FFFFFF"/>
        </w:rPr>
        <w:t>响应文件的组成</w:t>
      </w:r>
      <w:bookmarkEnd w:id="48"/>
      <w:bookmarkEnd w:id="49"/>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供应商应按照磋商文件的规定和要求编制响应文件。供应商编写的响应文件应包括下列部分：</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一、资格性响应文件：用于磋商小组资格性审查；</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二、技术、服务性响应文件：用于供应商与磋商小组磋商；</w:t>
      </w:r>
    </w:p>
    <w:p>
      <w:pPr>
        <w:pStyle w:val="261"/>
        <w:spacing w:line="360" w:lineRule="auto"/>
        <w:ind w:firstLine="560" w:firstLineChars="200"/>
        <w:jc w:val="both"/>
        <w:rPr>
          <w:color w:val="auto"/>
          <w:highlight w:val="none"/>
        </w:rPr>
      </w:pPr>
      <w:r>
        <w:rPr>
          <w:rFonts w:hint="eastAsia" w:ascii="宋体" w:hAnsi="宋体" w:eastAsiaTheme="minorEastAsia" w:cstheme="minorBidi"/>
          <w:color w:val="000000"/>
          <w:kern w:val="10"/>
          <w:sz w:val="28"/>
          <w:szCs w:val="28"/>
          <w:shd w:val="clear" w:color="auto" w:fill="FFFFFF"/>
          <w:lang w:val="en-US" w:eastAsia="zh-CN" w:bidi="ar-SA"/>
        </w:rPr>
        <w:t>三、最后报价文件（按磋商小组的要求提供最后报价）。</w:t>
      </w:r>
    </w:p>
    <w:p>
      <w:pPr>
        <w:pStyle w:val="113"/>
        <w:ind w:firstLine="482"/>
        <w:rPr>
          <w:rFonts w:hint="eastAsia"/>
          <w:b/>
          <w:color w:val="auto"/>
          <w:sz w:val="28"/>
          <w:szCs w:val="24"/>
          <w:highlight w:val="none"/>
        </w:rPr>
      </w:pPr>
      <w:r>
        <w:rPr>
          <w:rFonts w:hint="eastAsia"/>
          <w:b/>
          <w:color w:val="auto"/>
          <w:sz w:val="28"/>
          <w:szCs w:val="24"/>
          <w:highlight w:val="none"/>
        </w:rPr>
        <w:t>2.4.</w:t>
      </w:r>
      <w:r>
        <w:rPr>
          <w:rFonts w:hint="eastAsia"/>
          <w:b/>
          <w:color w:val="auto"/>
          <w:sz w:val="28"/>
          <w:szCs w:val="24"/>
          <w:highlight w:val="none"/>
          <w:lang w:val="en-US" w:eastAsia="zh-CN"/>
        </w:rPr>
        <w:t>5</w:t>
      </w:r>
      <w:r>
        <w:rPr>
          <w:rFonts w:hint="eastAsia"/>
          <w:b/>
          <w:color w:val="auto"/>
          <w:sz w:val="28"/>
          <w:szCs w:val="24"/>
          <w:highlight w:val="none"/>
        </w:rPr>
        <w:t>.1资格性响应文件</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资格性响应文件由以下部分组成：</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一、供应商资格申明的函；</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二、声明；</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三、法定代表人身份证明书以及法定代表人身份证复印件（身份证两面均应复印）或护照复印件（说明：供应商的法定代表人为外籍人士的，则提供护照复印件）；</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四、供应商基本情况表；</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五、供应商应提交的相关资格证明材料：</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（一）营业执照复印件（正本或副本）或法人证书复印件（正本或副本）；</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（二）2019或2020会计年度资产负债表复印件（说明：供应商成立时间至递交响应文件截止时间止不足一年的，提供成立后任意时段的资产负债表复印件）；</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（三）供应商缴纳2020或2021年任意时段的税收的银行电子回单或者行政部门出具的纳税证明或完税证明复印件；</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（四）采购人对供应商履行合同所必须的设备和专业技术能力无其他特殊要求，供应商具有有效的营业执照或法人证书即可，可不提供其他证明材料；</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（五）供应商缴纳2020或2021年任意时段的社保的银行电子回单或行政部门出具的社保缴纳证明材料复印件；</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（六）采购人对法律、行政法规规定的其他条件无其他特殊要求，供应商具有有效的营业执照或法人证书即可，可不提供其他证明材料；</w:t>
      </w:r>
    </w:p>
    <w:p>
      <w:pPr>
        <w:pStyle w:val="113"/>
        <w:ind w:firstLine="480"/>
        <w:rPr>
          <w:rFonts w:hint="eastAsia"/>
          <w:b/>
          <w:color w:val="auto"/>
          <w:sz w:val="28"/>
          <w:szCs w:val="24"/>
          <w:highlight w:val="none"/>
          <w:lang w:eastAsia="zh-CN"/>
        </w:rPr>
      </w:pPr>
      <w:r>
        <w:rPr>
          <w:rFonts w:hint="eastAsia" w:ascii="宋体" w:hAnsi="宋体" w:eastAsia="宋体" w:cs="Times New Roman"/>
          <w:b/>
          <w:bCs w:val="0"/>
          <w:color w:val="auto"/>
          <w:kern w:val="10"/>
          <w:sz w:val="28"/>
          <w:szCs w:val="21"/>
          <w:highlight w:val="none"/>
          <w:lang w:val="en-US" w:eastAsia="zh-CN" w:bidi="ar-SA"/>
        </w:rPr>
        <w:t>2.4.</w:t>
      </w:r>
      <w:r>
        <w:rPr>
          <w:rFonts w:hint="eastAsia" w:cs="Times New Roman"/>
          <w:b/>
          <w:bCs w:val="0"/>
          <w:color w:val="auto"/>
          <w:kern w:val="10"/>
          <w:sz w:val="28"/>
          <w:szCs w:val="21"/>
          <w:highlight w:val="none"/>
          <w:lang w:val="en-US" w:eastAsia="zh-CN" w:bidi="ar-SA"/>
        </w:rPr>
        <w:t>5</w:t>
      </w:r>
      <w:r>
        <w:rPr>
          <w:rFonts w:hint="eastAsia" w:ascii="宋体" w:hAnsi="宋体" w:eastAsia="宋体" w:cs="Times New Roman"/>
          <w:b/>
          <w:bCs w:val="0"/>
          <w:color w:val="auto"/>
          <w:kern w:val="10"/>
          <w:sz w:val="28"/>
          <w:szCs w:val="21"/>
          <w:highlight w:val="none"/>
          <w:lang w:val="en-US" w:eastAsia="zh-CN" w:bidi="ar-SA"/>
        </w:rPr>
        <w:t>.2</w:t>
      </w:r>
      <w:bookmarkStart w:id="50" w:name="_Toc320698726"/>
      <w:r>
        <w:rPr>
          <w:rFonts w:hint="eastAsia" w:ascii="宋体" w:hAnsi="宋体" w:eastAsia="宋体" w:cs="Times New Roman"/>
          <w:b/>
          <w:bCs w:val="0"/>
          <w:color w:val="auto"/>
          <w:kern w:val="10"/>
          <w:sz w:val="28"/>
          <w:szCs w:val="21"/>
          <w:highlight w:val="none"/>
          <w:lang w:val="en-US" w:eastAsia="zh-CN" w:bidi="ar-SA"/>
        </w:rPr>
        <w:t>技术、服务性响应文件</w:t>
      </w:r>
      <w:bookmarkEnd w:id="50"/>
    </w:p>
    <w:p>
      <w:pPr>
        <w:pStyle w:val="113"/>
        <w:numPr>
          <w:ilvl w:val="0"/>
          <w:numId w:val="4"/>
        </w:numPr>
        <w:ind w:left="0" w:leftChars="0" w:firstLine="560" w:firstLineChars="200"/>
        <w:rPr>
          <w:rFonts w:hint="eastAsia"/>
          <w:color w:val="auto"/>
          <w:sz w:val="28"/>
          <w:szCs w:val="24"/>
          <w:highlight w:val="none"/>
          <w:lang w:eastAsia="zh-CN"/>
        </w:rPr>
      </w:pPr>
      <w:r>
        <w:rPr>
          <w:rFonts w:hint="eastAsia"/>
          <w:color w:val="auto"/>
          <w:sz w:val="28"/>
          <w:szCs w:val="24"/>
          <w:highlight w:val="none"/>
          <w:lang w:eastAsia="zh-CN"/>
        </w:rPr>
        <w:t>报价表；</w:t>
      </w:r>
    </w:p>
    <w:p>
      <w:pPr>
        <w:pStyle w:val="113"/>
        <w:numPr>
          <w:ilvl w:val="0"/>
          <w:numId w:val="4"/>
        </w:numPr>
        <w:ind w:left="0" w:leftChars="0" w:firstLine="560" w:firstLineChars="200"/>
        <w:rPr>
          <w:rFonts w:hint="eastAsia"/>
          <w:color w:val="auto"/>
          <w:sz w:val="28"/>
          <w:szCs w:val="24"/>
          <w:highlight w:val="none"/>
          <w:lang w:eastAsia="zh-CN"/>
        </w:rPr>
      </w:pPr>
      <w:r>
        <w:rPr>
          <w:rFonts w:hint="eastAsia"/>
          <w:color w:val="auto"/>
          <w:sz w:val="28"/>
          <w:szCs w:val="24"/>
          <w:highlight w:val="none"/>
          <w:lang w:eastAsia="zh-CN"/>
        </w:rPr>
        <w:t>分项报价表；</w:t>
      </w:r>
    </w:p>
    <w:p>
      <w:pPr>
        <w:pStyle w:val="113"/>
        <w:numPr>
          <w:ilvl w:val="0"/>
          <w:numId w:val="4"/>
        </w:numPr>
        <w:ind w:left="0" w:leftChars="0" w:firstLine="560" w:firstLineChars="200"/>
        <w:rPr>
          <w:rFonts w:hint="eastAsia"/>
          <w:color w:val="auto"/>
          <w:sz w:val="28"/>
          <w:szCs w:val="24"/>
          <w:highlight w:val="none"/>
          <w:lang w:eastAsia="zh-CN"/>
        </w:rPr>
      </w:pPr>
      <w:r>
        <w:rPr>
          <w:rFonts w:hint="eastAsia"/>
          <w:color w:val="auto"/>
          <w:sz w:val="28"/>
          <w:szCs w:val="24"/>
          <w:highlight w:val="none"/>
          <w:lang w:eastAsia="zh-CN"/>
        </w:rPr>
        <w:t>中小企业声明函（如未提供中小企业声明函，则不享受磋商文件规定的价格扣除，但不影响供应商响应文件的有效性）；</w:t>
      </w:r>
    </w:p>
    <w:p>
      <w:pPr>
        <w:pStyle w:val="113"/>
        <w:numPr>
          <w:ilvl w:val="0"/>
          <w:numId w:val="4"/>
        </w:numPr>
        <w:ind w:left="0" w:leftChars="0" w:firstLine="560" w:firstLineChars="200"/>
        <w:rPr>
          <w:rFonts w:hint="eastAsia"/>
          <w:color w:val="auto"/>
          <w:sz w:val="28"/>
          <w:szCs w:val="24"/>
          <w:highlight w:val="none"/>
          <w:lang w:eastAsia="zh-CN"/>
        </w:rPr>
      </w:pPr>
      <w:r>
        <w:rPr>
          <w:rFonts w:hint="eastAsia"/>
          <w:color w:val="auto"/>
          <w:sz w:val="28"/>
          <w:szCs w:val="24"/>
          <w:highlight w:val="none"/>
          <w:lang w:eastAsia="zh-CN"/>
        </w:rPr>
        <w:t>残疾人福利性单位声明函（如未提供残疾人福利性单位声明函，则不享受磋商文件规定的价格扣除，但不影响供应商响应文件的有效性）；</w:t>
      </w:r>
    </w:p>
    <w:p>
      <w:pPr>
        <w:pStyle w:val="113"/>
        <w:numPr>
          <w:ilvl w:val="0"/>
          <w:numId w:val="4"/>
        </w:numPr>
        <w:ind w:left="0" w:leftChars="0" w:firstLine="560" w:firstLineChars="200"/>
        <w:rPr>
          <w:rFonts w:hint="eastAsia"/>
          <w:color w:val="auto"/>
          <w:sz w:val="28"/>
          <w:szCs w:val="24"/>
          <w:highlight w:val="none"/>
          <w:lang w:eastAsia="zh-CN"/>
        </w:rPr>
      </w:pPr>
      <w:r>
        <w:rPr>
          <w:rFonts w:hint="eastAsia"/>
          <w:color w:val="auto"/>
          <w:sz w:val="28"/>
          <w:szCs w:val="24"/>
          <w:highlight w:val="none"/>
          <w:lang w:eastAsia="zh-CN"/>
        </w:rPr>
        <w:t>所投产品技术性能、技术参数和配置的详细描述；</w:t>
      </w:r>
    </w:p>
    <w:p>
      <w:pPr>
        <w:pStyle w:val="113"/>
        <w:numPr>
          <w:ilvl w:val="0"/>
          <w:numId w:val="4"/>
        </w:numPr>
        <w:ind w:left="0" w:leftChars="0" w:firstLine="560" w:firstLineChars="200"/>
        <w:rPr>
          <w:rFonts w:hint="eastAsia"/>
          <w:color w:val="auto"/>
          <w:sz w:val="28"/>
          <w:szCs w:val="24"/>
          <w:highlight w:val="none"/>
          <w:lang w:eastAsia="zh-CN"/>
        </w:rPr>
      </w:pPr>
      <w:r>
        <w:rPr>
          <w:rFonts w:hint="eastAsia"/>
          <w:color w:val="auto"/>
          <w:sz w:val="28"/>
          <w:szCs w:val="24"/>
          <w:highlight w:val="none"/>
          <w:lang w:val="en-US" w:eastAsia="zh-CN"/>
        </w:rPr>
        <w:t>项目实施方案</w:t>
      </w:r>
    </w:p>
    <w:p>
      <w:pPr>
        <w:pStyle w:val="113"/>
        <w:numPr>
          <w:ilvl w:val="0"/>
          <w:numId w:val="4"/>
        </w:numPr>
        <w:ind w:left="0" w:leftChars="0" w:firstLine="560" w:firstLineChars="200"/>
        <w:rPr>
          <w:rFonts w:hint="eastAsia"/>
          <w:color w:val="auto"/>
          <w:sz w:val="28"/>
          <w:szCs w:val="24"/>
          <w:highlight w:val="none"/>
          <w:lang w:eastAsia="zh-CN"/>
        </w:rPr>
      </w:pPr>
      <w:r>
        <w:rPr>
          <w:rFonts w:hint="eastAsia"/>
          <w:color w:val="auto"/>
          <w:sz w:val="28"/>
          <w:szCs w:val="24"/>
          <w:highlight w:val="none"/>
          <w:lang w:val="en-US" w:eastAsia="zh-CN"/>
        </w:rPr>
        <w:t>售后服务方案</w:t>
      </w:r>
    </w:p>
    <w:p>
      <w:pPr>
        <w:pStyle w:val="113"/>
        <w:numPr>
          <w:ilvl w:val="0"/>
          <w:numId w:val="4"/>
        </w:numPr>
        <w:ind w:left="0" w:leftChars="0" w:firstLine="560" w:firstLineChars="200"/>
        <w:rPr>
          <w:rFonts w:hint="eastAsia"/>
          <w:color w:val="auto"/>
          <w:sz w:val="28"/>
          <w:szCs w:val="24"/>
          <w:highlight w:val="none"/>
          <w:lang w:eastAsia="zh-CN"/>
        </w:rPr>
      </w:pPr>
      <w:r>
        <w:rPr>
          <w:rFonts w:hint="eastAsia"/>
          <w:color w:val="auto"/>
          <w:sz w:val="28"/>
          <w:szCs w:val="24"/>
          <w:highlight w:val="none"/>
          <w:lang w:eastAsia="zh-CN"/>
        </w:rPr>
        <w:t>承诺函。</w:t>
      </w:r>
    </w:p>
    <w:p>
      <w:pPr>
        <w:pStyle w:val="113"/>
        <w:ind w:firstLine="482"/>
        <w:rPr>
          <w:rFonts w:hint="eastAsia"/>
          <w:b/>
          <w:color w:val="auto"/>
          <w:sz w:val="28"/>
          <w:szCs w:val="24"/>
          <w:highlight w:val="none"/>
          <w:lang w:eastAsia="zh-CN"/>
        </w:rPr>
      </w:pPr>
      <w:r>
        <w:rPr>
          <w:rFonts w:hint="eastAsia"/>
          <w:b/>
          <w:color w:val="auto"/>
          <w:sz w:val="28"/>
          <w:szCs w:val="24"/>
          <w:highlight w:val="none"/>
        </w:rPr>
        <w:t>2.4.</w:t>
      </w:r>
      <w:r>
        <w:rPr>
          <w:rFonts w:hint="eastAsia"/>
          <w:b/>
          <w:color w:val="auto"/>
          <w:sz w:val="28"/>
          <w:szCs w:val="24"/>
          <w:highlight w:val="none"/>
          <w:lang w:val="en-US" w:eastAsia="zh-CN"/>
        </w:rPr>
        <w:t>5</w:t>
      </w:r>
      <w:r>
        <w:rPr>
          <w:rFonts w:hint="eastAsia"/>
          <w:b/>
          <w:color w:val="auto"/>
          <w:sz w:val="28"/>
          <w:szCs w:val="24"/>
          <w:highlight w:val="none"/>
        </w:rPr>
        <w:t>.3</w:t>
      </w:r>
      <w:r>
        <w:rPr>
          <w:rFonts w:hint="eastAsia"/>
          <w:b/>
          <w:color w:val="auto"/>
          <w:sz w:val="28"/>
          <w:szCs w:val="24"/>
          <w:highlight w:val="none"/>
          <w:lang w:eastAsia="zh-CN"/>
        </w:rPr>
        <w:t>最后报价文件</w:t>
      </w:r>
    </w:p>
    <w:p>
      <w:pPr>
        <w:pStyle w:val="124"/>
        <w:ind w:firstLine="551"/>
        <w:rPr>
          <w:rFonts w:hint="eastAsia" w:ascii="宋体" w:hAnsi="宋体" w:eastAsia="宋体" w:cs="Times New Roman"/>
          <w:color w:val="auto"/>
          <w:kern w:val="10"/>
          <w:sz w:val="28"/>
          <w:szCs w:val="21"/>
          <w:highlight w:val="none"/>
          <w:lang w:val="en-US" w:eastAsia="zh-CN" w:bidi="ar-SA"/>
        </w:rPr>
      </w:pPr>
      <w:r>
        <w:rPr>
          <w:rFonts w:hint="eastAsia" w:ascii="宋体" w:hAnsi="宋体" w:eastAsia="宋体" w:cs="Times New Roman"/>
          <w:color w:val="auto"/>
          <w:kern w:val="10"/>
          <w:sz w:val="28"/>
          <w:szCs w:val="21"/>
          <w:highlight w:val="none"/>
          <w:lang w:val="en-US" w:eastAsia="zh-CN" w:bidi="ar-SA"/>
        </w:rPr>
        <w:t>参加最后报价的供应商按磋商小组的要求在政府采购云平台中提供最后报价，报价应是包括磋商文件规定的全部相应内容的报价。</w:t>
      </w:r>
    </w:p>
    <w:p>
      <w:pPr>
        <w:pStyle w:val="5"/>
        <w:numPr>
          <w:ilvl w:val="0"/>
          <w:numId w:val="0"/>
        </w:numPr>
        <w:rPr>
          <w:color w:val="auto"/>
          <w:sz w:val="28"/>
          <w:szCs w:val="32"/>
          <w:highlight w:val="none"/>
        </w:rPr>
      </w:pPr>
      <w:bookmarkStart w:id="51" w:name="_Toc445"/>
      <w:bookmarkStart w:id="52" w:name="_Toc15649"/>
      <w:r>
        <w:rPr>
          <w:rFonts w:hint="eastAsia"/>
          <w:color w:val="auto"/>
          <w:sz w:val="28"/>
          <w:szCs w:val="32"/>
          <w:highlight w:val="none"/>
        </w:rPr>
        <w:t>2.4.</w:t>
      </w:r>
      <w:r>
        <w:rPr>
          <w:rFonts w:hint="eastAsia"/>
          <w:color w:val="auto"/>
          <w:sz w:val="28"/>
          <w:szCs w:val="32"/>
          <w:highlight w:val="none"/>
          <w:lang w:val="en-US" w:eastAsia="zh-CN"/>
        </w:rPr>
        <w:t>6</w:t>
      </w:r>
      <w:r>
        <w:rPr>
          <w:rFonts w:hint="eastAsia"/>
          <w:color w:val="auto"/>
          <w:sz w:val="28"/>
          <w:szCs w:val="32"/>
          <w:highlight w:val="none"/>
        </w:rPr>
        <w:t>响应文件格式</w:t>
      </w:r>
      <w:bookmarkEnd w:id="51"/>
      <w:bookmarkEnd w:id="52"/>
    </w:p>
    <w:p>
      <w:pPr>
        <w:pStyle w:val="113"/>
        <w:ind w:firstLine="480"/>
        <w:rPr>
          <w:color w:val="auto"/>
          <w:sz w:val="28"/>
          <w:szCs w:val="24"/>
          <w:highlight w:val="none"/>
        </w:rPr>
      </w:pPr>
      <w:r>
        <w:rPr>
          <w:rFonts w:hint="eastAsia"/>
          <w:color w:val="auto"/>
          <w:sz w:val="28"/>
          <w:szCs w:val="24"/>
          <w:highlight w:val="none"/>
        </w:rPr>
        <w:t>一、供应商应按照竞争性磋商文件第3章中提供的“响应文件格式”填写相关内容。</w:t>
      </w:r>
    </w:p>
    <w:p>
      <w:pPr>
        <w:pStyle w:val="113"/>
        <w:ind w:firstLine="480"/>
        <w:rPr>
          <w:color w:val="auto"/>
          <w:sz w:val="28"/>
          <w:szCs w:val="24"/>
          <w:highlight w:val="none"/>
        </w:rPr>
      </w:pPr>
      <w:r>
        <w:rPr>
          <w:rFonts w:hint="eastAsia"/>
          <w:color w:val="auto"/>
          <w:sz w:val="28"/>
          <w:szCs w:val="24"/>
          <w:highlight w:val="none"/>
        </w:rPr>
        <w:t>二、对于没有格式要求的响应文件由供应商自行编写。</w:t>
      </w:r>
    </w:p>
    <w:p>
      <w:pPr>
        <w:pStyle w:val="5"/>
        <w:numPr>
          <w:ilvl w:val="0"/>
          <w:numId w:val="0"/>
        </w:numPr>
        <w:rPr>
          <w:color w:val="auto"/>
          <w:sz w:val="28"/>
          <w:szCs w:val="32"/>
          <w:highlight w:val="none"/>
        </w:rPr>
      </w:pPr>
      <w:bookmarkStart w:id="53" w:name="_Toc24928"/>
      <w:bookmarkStart w:id="54" w:name="_Toc16269"/>
      <w:r>
        <w:rPr>
          <w:rFonts w:hint="eastAsia"/>
          <w:color w:val="auto"/>
          <w:sz w:val="28"/>
          <w:szCs w:val="32"/>
          <w:highlight w:val="none"/>
        </w:rPr>
        <w:t>2.4.</w:t>
      </w:r>
      <w:r>
        <w:rPr>
          <w:rFonts w:hint="eastAsia"/>
          <w:color w:val="auto"/>
          <w:sz w:val="28"/>
          <w:szCs w:val="32"/>
          <w:highlight w:val="none"/>
          <w:lang w:val="en-US" w:eastAsia="zh-CN"/>
        </w:rPr>
        <w:t>7</w:t>
      </w:r>
      <w:r>
        <w:rPr>
          <w:rFonts w:hint="eastAsia"/>
          <w:color w:val="auto"/>
          <w:sz w:val="28"/>
          <w:szCs w:val="32"/>
          <w:highlight w:val="none"/>
        </w:rPr>
        <w:t>报价</w:t>
      </w:r>
      <w:bookmarkEnd w:id="53"/>
      <w:bookmarkEnd w:id="54"/>
    </w:p>
    <w:p>
      <w:pPr>
        <w:spacing w:line="360" w:lineRule="auto"/>
        <w:ind w:firstLine="560" w:firstLineChars="200"/>
        <w:rPr>
          <w:rFonts w:hint="eastAsia" w:ascii="宋体" w:hAnsi="宋体" w:eastAsia="宋体" w:cs="Times New Roman"/>
          <w:color w:val="auto"/>
          <w:kern w:val="10"/>
          <w:sz w:val="28"/>
          <w:szCs w:val="21"/>
          <w:highlight w:val="none"/>
          <w:lang w:val="en-US" w:eastAsia="zh-CN" w:bidi="ar-SA"/>
        </w:rPr>
      </w:pPr>
      <w:r>
        <w:rPr>
          <w:rFonts w:hint="eastAsia" w:ascii="宋体" w:hAnsi="宋体" w:eastAsia="宋体" w:cs="Times New Roman"/>
          <w:color w:val="auto"/>
          <w:kern w:val="10"/>
          <w:sz w:val="28"/>
          <w:szCs w:val="21"/>
          <w:highlight w:val="none"/>
          <w:lang w:val="en-US" w:eastAsia="zh-CN" w:bidi="ar-SA"/>
        </w:rPr>
        <w:t>一、供应商所有报价一律以人民币报价。</w:t>
      </w:r>
    </w:p>
    <w:p>
      <w:pPr>
        <w:tabs>
          <w:tab w:val="left" w:pos="1134"/>
        </w:tabs>
        <w:spacing w:after="200" w:line="360" w:lineRule="auto"/>
        <w:ind w:firstLine="560" w:firstLineChars="200"/>
        <w:rPr>
          <w:rFonts w:hint="eastAsia" w:ascii="宋体" w:hAnsi="宋体" w:eastAsia="宋体" w:cs="Times New Roman"/>
          <w:color w:val="auto"/>
          <w:kern w:val="10"/>
          <w:sz w:val="28"/>
          <w:szCs w:val="21"/>
          <w:highlight w:val="none"/>
          <w:lang w:val="en-US" w:eastAsia="zh-CN" w:bidi="ar-SA"/>
        </w:rPr>
      </w:pPr>
      <w:r>
        <w:rPr>
          <w:rFonts w:hint="eastAsia" w:ascii="宋体" w:hAnsi="宋体" w:eastAsia="宋体" w:cs="Times New Roman"/>
          <w:color w:val="auto"/>
          <w:kern w:val="10"/>
          <w:sz w:val="28"/>
          <w:szCs w:val="21"/>
          <w:highlight w:val="none"/>
          <w:lang w:val="en-US" w:eastAsia="zh-CN" w:bidi="ar-SA"/>
        </w:rPr>
        <w:t>二、供应商的报价是其响应本项目要求的全部工作内容的价格体现，包括供应商完成本项目所需的一切费用。</w:t>
      </w:r>
    </w:p>
    <w:p>
      <w:pPr>
        <w:pStyle w:val="5"/>
        <w:numPr>
          <w:ilvl w:val="0"/>
          <w:numId w:val="0"/>
        </w:numPr>
        <w:rPr>
          <w:color w:val="auto"/>
          <w:sz w:val="28"/>
          <w:szCs w:val="32"/>
          <w:highlight w:val="none"/>
        </w:rPr>
      </w:pPr>
      <w:bookmarkStart w:id="55" w:name="_Toc26512"/>
      <w:bookmarkStart w:id="56" w:name="_Toc2560"/>
      <w:r>
        <w:rPr>
          <w:rFonts w:hint="eastAsia"/>
          <w:color w:val="auto"/>
          <w:sz w:val="28"/>
          <w:szCs w:val="32"/>
          <w:highlight w:val="none"/>
        </w:rPr>
        <w:t>2.4.</w:t>
      </w:r>
      <w:r>
        <w:rPr>
          <w:rFonts w:hint="eastAsia"/>
          <w:color w:val="auto"/>
          <w:sz w:val="28"/>
          <w:szCs w:val="32"/>
          <w:highlight w:val="none"/>
          <w:lang w:val="en-US" w:eastAsia="zh-CN"/>
        </w:rPr>
        <w:t>8</w:t>
      </w:r>
      <w:r>
        <w:rPr>
          <w:rFonts w:hint="eastAsia"/>
          <w:color w:val="auto"/>
          <w:sz w:val="28"/>
          <w:szCs w:val="32"/>
          <w:highlight w:val="none"/>
        </w:rPr>
        <w:t>磋商保证金</w:t>
      </w:r>
      <w:bookmarkEnd w:id="55"/>
      <w:bookmarkEnd w:id="56"/>
    </w:p>
    <w:p>
      <w:pPr>
        <w:pStyle w:val="161"/>
        <w:spacing w:line="360" w:lineRule="auto"/>
        <w:ind w:left="567" w:firstLine="0" w:firstLineChars="0"/>
        <w:rPr>
          <w:rFonts w:ascii="宋体" w:hAnsi="宋体" w:cs="宋体"/>
          <w:color w:val="auto"/>
          <w:sz w:val="28"/>
          <w:szCs w:val="28"/>
          <w:highlight w:val="none"/>
        </w:rPr>
      </w:pPr>
      <w:bookmarkStart w:id="57" w:name="EBdd5395b44bb947409ec49cd6045fcce9"/>
      <w:r>
        <w:rPr>
          <w:rFonts w:hint="eastAsia"/>
          <w:color w:val="auto"/>
          <w:highlight w:val="none"/>
        </w:rPr>
        <w:t>本项目不收取磋商保证金</w:t>
      </w:r>
      <w:bookmarkEnd w:id="57"/>
      <w:r>
        <w:rPr>
          <w:rFonts w:hint="eastAsia" w:ascii="宋体" w:hAnsi="宋体" w:cs="宋体"/>
          <w:color w:val="auto"/>
          <w:sz w:val="28"/>
          <w:szCs w:val="28"/>
          <w:highlight w:val="none"/>
        </w:rPr>
        <w:t>。</w:t>
      </w:r>
    </w:p>
    <w:p>
      <w:pPr>
        <w:pStyle w:val="5"/>
        <w:numPr>
          <w:ilvl w:val="0"/>
          <w:numId w:val="0"/>
        </w:numPr>
        <w:rPr>
          <w:rFonts w:hint="eastAsia"/>
          <w:color w:val="auto"/>
          <w:sz w:val="28"/>
          <w:szCs w:val="32"/>
          <w:highlight w:val="none"/>
        </w:rPr>
      </w:pPr>
      <w:bookmarkStart w:id="58" w:name="_Toc6199"/>
      <w:bookmarkStart w:id="59" w:name="_Toc7134"/>
      <w:r>
        <w:rPr>
          <w:rFonts w:hint="eastAsia"/>
          <w:color w:val="auto"/>
          <w:sz w:val="28"/>
          <w:szCs w:val="32"/>
          <w:highlight w:val="none"/>
        </w:rPr>
        <w:t>2.4.</w:t>
      </w:r>
      <w:r>
        <w:rPr>
          <w:rFonts w:hint="eastAsia"/>
          <w:color w:val="auto"/>
          <w:sz w:val="28"/>
          <w:szCs w:val="32"/>
          <w:highlight w:val="none"/>
          <w:lang w:val="en-US" w:eastAsia="zh-CN"/>
        </w:rPr>
        <w:t>9</w:t>
      </w:r>
      <w:r>
        <w:rPr>
          <w:rFonts w:hint="eastAsia"/>
          <w:color w:val="auto"/>
          <w:sz w:val="28"/>
          <w:szCs w:val="32"/>
          <w:highlight w:val="none"/>
        </w:rPr>
        <w:t>响应文件有效期</w:t>
      </w:r>
      <w:bookmarkEnd w:id="58"/>
      <w:bookmarkEnd w:id="59"/>
    </w:p>
    <w:p>
      <w:pPr>
        <w:pStyle w:val="113"/>
        <w:ind w:firstLine="480"/>
        <w:rPr>
          <w:rFonts w:hint="eastAsia"/>
          <w:color w:val="auto"/>
          <w:sz w:val="28"/>
          <w:szCs w:val="24"/>
          <w:highlight w:val="none"/>
        </w:rPr>
      </w:pPr>
      <w:r>
        <w:rPr>
          <w:rFonts w:hint="eastAsia"/>
          <w:color w:val="auto"/>
          <w:sz w:val="28"/>
          <w:szCs w:val="24"/>
          <w:highlight w:val="none"/>
        </w:rPr>
        <w:t>一、响应文件有效期为递交响应文件截止之日起120天。响应文件有效期短于此规定期限或不作响应的，其响应文件将按无效响应文件处理。</w:t>
      </w:r>
    </w:p>
    <w:p>
      <w:pPr>
        <w:pStyle w:val="113"/>
        <w:ind w:firstLine="480"/>
        <w:rPr>
          <w:rFonts w:hint="eastAsia"/>
          <w:color w:val="auto"/>
          <w:sz w:val="28"/>
          <w:szCs w:val="24"/>
          <w:highlight w:val="none"/>
        </w:rPr>
      </w:pPr>
      <w:r>
        <w:rPr>
          <w:rFonts w:hint="eastAsia"/>
          <w:color w:val="auto"/>
          <w:sz w:val="28"/>
          <w:szCs w:val="24"/>
          <w:highlight w:val="none"/>
        </w:rPr>
        <w:t>二、特殊情况下，采购人可于响应文件有效期满之前要求供应商同意延长有效期，要求与答复均应为书面形式。供应商可以拒绝上述要求。供应商同意延长响应文件有效期的，不得修改其响应文件。</w:t>
      </w:r>
    </w:p>
    <w:p>
      <w:pPr>
        <w:pStyle w:val="5"/>
        <w:numPr>
          <w:ilvl w:val="0"/>
          <w:numId w:val="0"/>
        </w:numPr>
        <w:rPr>
          <w:rFonts w:hint="eastAsia" w:eastAsia="宋体"/>
          <w:color w:val="auto"/>
          <w:sz w:val="28"/>
          <w:szCs w:val="32"/>
          <w:highlight w:val="none"/>
          <w:lang w:eastAsia="zh-CN"/>
        </w:rPr>
      </w:pPr>
      <w:bookmarkStart w:id="60" w:name="_Toc31033"/>
      <w:bookmarkStart w:id="61" w:name="_Toc2915"/>
      <w:r>
        <w:rPr>
          <w:rFonts w:hint="eastAsia"/>
          <w:color w:val="auto"/>
          <w:sz w:val="28"/>
          <w:szCs w:val="32"/>
          <w:highlight w:val="none"/>
        </w:rPr>
        <w:t>2.4.</w:t>
      </w:r>
      <w:r>
        <w:rPr>
          <w:rFonts w:hint="eastAsia"/>
          <w:color w:val="auto"/>
          <w:sz w:val="28"/>
          <w:szCs w:val="32"/>
          <w:highlight w:val="none"/>
          <w:lang w:val="en-US" w:eastAsia="zh-CN"/>
        </w:rPr>
        <w:t>10</w:t>
      </w:r>
      <w:r>
        <w:rPr>
          <w:rFonts w:hint="eastAsia"/>
          <w:color w:val="auto"/>
          <w:sz w:val="28"/>
          <w:szCs w:val="32"/>
          <w:highlight w:val="none"/>
        </w:rPr>
        <w:t>响应文件的</w:t>
      </w:r>
      <w:r>
        <w:rPr>
          <w:rFonts w:hint="eastAsia"/>
          <w:color w:val="auto"/>
          <w:sz w:val="28"/>
          <w:szCs w:val="32"/>
          <w:highlight w:val="none"/>
          <w:lang w:eastAsia="zh-CN"/>
        </w:rPr>
        <w:t>制作、签章和加密</w:t>
      </w:r>
      <w:bookmarkEnd w:id="60"/>
      <w:bookmarkEnd w:id="61"/>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一、响应文件应根据磋商文件的要求进行制作。（说明：1、响应文件中要求提供复印件证明材料的，包含提供原件的影印件或复印件。2、要求提供复印件的证明材料须清晰可辨。）</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二、响应文件制作详情：</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本项目实行电子采购。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人应按响应文件要求，通过“政采云投标客户端”制作、加密并提交响应文件。</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w:t>
      </w:r>
      <w:r>
        <w:rPr>
          <w:rFonts w:hint="eastAsia" w:ascii="宋体" w:hAnsi="宋体"/>
          <w:b/>
          <w:color w:val="auto"/>
          <w:sz w:val="28"/>
          <w:szCs w:val="28"/>
          <w:highlight w:val="none"/>
        </w:rPr>
        <w:t>响应文件应加盖有供应商（法定名称）的电子签章，不得使用供应商专用章（如经济合同章、投标专用章等）或下属单位印章代替</w:t>
      </w:r>
      <w:r>
        <w:rPr>
          <w:rFonts w:hint="eastAsia" w:ascii="宋体" w:hAnsi="宋体"/>
          <w:color w:val="auto"/>
          <w:sz w:val="28"/>
          <w:szCs w:val="28"/>
          <w:highlight w:val="none"/>
        </w:rPr>
        <w:t>。</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3、磋商文件有修改的，供应商须重新下载修改后的磋商文件（修改后的磋商文件在更正公告中下载），并根据修改后的磋商文件制作、撤回修改，并递交响应文件。</w:t>
      </w:r>
    </w:p>
    <w:p>
      <w:pPr>
        <w:spacing w:line="360" w:lineRule="auto"/>
        <w:ind w:firstLine="560" w:firstLineChars="200"/>
        <w:rPr>
          <w:rFonts w:ascii="宋体" w:hAnsi="宋体"/>
          <w:color w:val="auto"/>
          <w:sz w:val="28"/>
          <w:szCs w:val="28"/>
          <w:highlight w:val="none"/>
        </w:rPr>
      </w:pPr>
      <w:r>
        <w:rPr>
          <w:rFonts w:ascii="宋体" w:hAnsi="宋体"/>
          <w:color w:val="auto"/>
          <w:sz w:val="28"/>
          <w:szCs w:val="28"/>
          <w:highlight w:val="none"/>
        </w:rPr>
        <w:t>4、使用“政府采购云平台”（含政采云电子交易客户端）需要提前申领CA数字证书及电子签章，请自行前往四川CA、CFCA、天威CA服务点办理</w:t>
      </w:r>
      <w:r>
        <w:rPr>
          <w:rFonts w:hint="eastAsia" w:ascii="宋体" w:hAnsi="宋体"/>
          <w:color w:val="auto"/>
          <w:sz w:val="28"/>
          <w:szCs w:val="28"/>
          <w:highlight w:val="none"/>
        </w:rPr>
        <w:t>，</w:t>
      </w:r>
      <w:r>
        <w:rPr>
          <w:rFonts w:ascii="宋体" w:hAnsi="宋体"/>
          <w:color w:val="auto"/>
          <w:sz w:val="28"/>
          <w:szCs w:val="28"/>
          <w:highlight w:val="none"/>
        </w:rPr>
        <w:t>以上CA数字证书均</w:t>
      </w:r>
      <w:r>
        <w:rPr>
          <w:rFonts w:hint="eastAsia" w:ascii="宋体" w:hAnsi="宋体"/>
          <w:color w:val="auto"/>
          <w:sz w:val="28"/>
          <w:szCs w:val="28"/>
          <w:highlight w:val="none"/>
        </w:rPr>
        <w:t>可</w:t>
      </w:r>
      <w:r>
        <w:rPr>
          <w:rFonts w:ascii="宋体" w:hAnsi="宋体"/>
          <w:color w:val="auto"/>
          <w:sz w:val="28"/>
          <w:szCs w:val="28"/>
          <w:highlight w:val="none"/>
        </w:rPr>
        <w:t>在成都市公共资源交易服务中心3楼窗口办理</w:t>
      </w:r>
      <w:r>
        <w:rPr>
          <w:rFonts w:hint="eastAsia" w:ascii="宋体" w:hAnsi="宋体"/>
          <w:color w:val="auto"/>
          <w:sz w:val="28"/>
          <w:szCs w:val="28"/>
          <w:highlight w:val="none"/>
        </w:rPr>
        <w:t>，</w:t>
      </w:r>
      <w:r>
        <w:rPr>
          <w:rFonts w:ascii="宋体" w:hAnsi="宋体"/>
          <w:color w:val="auto"/>
          <w:sz w:val="28"/>
          <w:szCs w:val="28"/>
          <w:highlight w:val="none"/>
        </w:rPr>
        <w:t>其他办理服务点</w:t>
      </w:r>
      <w:r>
        <w:rPr>
          <w:rFonts w:hint="eastAsia" w:ascii="宋体" w:hAnsi="宋体"/>
          <w:color w:val="auto"/>
          <w:sz w:val="28"/>
          <w:szCs w:val="28"/>
          <w:highlight w:val="none"/>
        </w:rPr>
        <w:t>及</w:t>
      </w:r>
      <w:r>
        <w:rPr>
          <w:rFonts w:ascii="宋体" w:hAnsi="宋体"/>
          <w:color w:val="auto"/>
          <w:sz w:val="28"/>
          <w:szCs w:val="28"/>
          <w:highlight w:val="none"/>
        </w:rPr>
        <w:t>办理方式可拨打官方</w:t>
      </w:r>
      <w:r>
        <w:rPr>
          <w:rFonts w:hint="eastAsia" w:ascii="宋体" w:hAnsi="宋体"/>
          <w:color w:val="auto"/>
          <w:sz w:val="28"/>
          <w:szCs w:val="28"/>
          <w:highlight w:val="none"/>
        </w:rPr>
        <w:t>服务</w:t>
      </w:r>
      <w:r>
        <w:rPr>
          <w:rFonts w:ascii="宋体" w:hAnsi="宋体"/>
          <w:color w:val="auto"/>
          <w:sz w:val="28"/>
          <w:szCs w:val="28"/>
          <w:highlight w:val="none"/>
        </w:rPr>
        <w:t>电话</w:t>
      </w:r>
      <w:r>
        <w:rPr>
          <w:rFonts w:hint="eastAsia" w:ascii="宋体" w:hAnsi="宋体"/>
          <w:color w:val="auto"/>
          <w:sz w:val="28"/>
          <w:szCs w:val="28"/>
          <w:highlight w:val="none"/>
        </w:rPr>
        <w:t>咨询</w:t>
      </w:r>
      <w:r>
        <w:rPr>
          <w:rFonts w:ascii="宋体" w:hAnsi="宋体"/>
          <w:color w:val="auto"/>
          <w:sz w:val="28"/>
          <w:szCs w:val="28"/>
          <w:highlight w:val="none"/>
        </w:rPr>
        <w:t>400-028-1130(四川CA)</w:t>
      </w:r>
      <w:r>
        <w:rPr>
          <w:rFonts w:hint="eastAsia" w:ascii="宋体" w:hAnsi="宋体"/>
          <w:color w:val="auto"/>
          <w:sz w:val="28"/>
          <w:szCs w:val="28"/>
          <w:highlight w:val="none"/>
        </w:rPr>
        <w:t>；</w:t>
      </w:r>
      <w:r>
        <w:rPr>
          <w:rFonts w:ascii="宋体" w:hAnsi="宋体"/>
          <w:color w:val="auto"/>
          <w:sz w:val="28"/>
          <w:szCs w:val="28"/>
          <w:highlight w:val="none"/>
        </w:rPr>
        <w:t>(028)6578532</w:t>
      </w:r>
      <w:r>
        <w:rPr>
          <w:rFonts w:hint="eastAsia" w:ascii="宋体" w:hAnsi="宋体"/>
          <w:color w:val="auto"/>
          <w:sz w:val="28"/>
          <w:szCs w:val="28"/>
          <w:highlight w:val="none"/>
        </w:rPr>
        <w:t>、</w:t>
      </w:r>
      <w:r>
        <w:rPr>
          <w:rFonts w:ascii="宋体" w:hAnsi="宋体"/>
          <w:color w:val="auto"/>
          <w:sz w:val="28"/>
          <w:szCs w:val="28"/>
          <w:highlight w:val="none"/>
        </w:rPr>
        <w:t>400-8809888(CFCA)；400-819-9995</w:t>
      </w:r>
      <w:r>
        <w:rPr>
          <w:rFonts w:hint="eastAsia" w:ascii="宋体" w:hAnsi="宋体"/>
          <w:color w:val="auto"/>
          <w:sz w:val="28"/>
          <w:szCs w:val="28"/>
          <w:highlight w:val="none"/>
        </w:rPr>
        <w:t>、</w:t>
      </w:r>
      <w:r>
        <w:rPr>
          <w:rFonts w:ascii="宋体" w:hAnsi="宋体"/>
          <w:color w:val="auto"/>
          <w:sz w:val="28"/>
          <w:szCs w:val="28"/>
          <w:highlight w:val="none"/>
        </w:rPr>
        <w:t>15928647082(天威CA)</w:t>
      </w:r>
      <w:r>
        <w:rPr>
          <w:rFonts w:hint="eastAsia" w:ascii="宋体" w:hAnsi="宋体"/>
          <w:color w:val="auto"/>
          <w:sz w:val="28"/>
          <w:szCs w:val="28"/>
          <w:highlight w:val="none"/>
        </w:rPr>
        <w:t>。供应商只需办理其中一家</w:t>
      </w:r>
      <w:r>
        <w:rPr>
          <w:rFonts w:ascii="宋体" w:hAnsi="宋体"/>
          <w:color w:val="auto"/>
          <w:sz w:val="28"/>
          <w:szCs w:val="28"/>
          <w:highlight w:val="none"/>
        </w:rPr>
        <w:t>CA数字证书及签章（提示：办理时请说明参与成都市政府采购项目）。供应商应及时完成在“政府采购云平台”的CA账号绑定，确保顺利参与电子采购。</w:t>
      </w:r>
    </w:p>
    <w:p>
      <w:pPr>
        <w:pStyle w:val="5"/>
        <w:numPr>
          <w:ilvl w:val="0"/>
          <w:numId w:val="0"/>
        </w:numPr>
        <w:rPr>
          <w:rFonts w:hint="eastAsia" w:eastAsia="宋体"/>
          <w:color w:val="auto"/>
          <w:sz w:val="28"/>
          <w:szCs w:val="32"/>
          <w:highlight w:val="none"/>
          <w:lang w:eastAsia="zh-CN"/>
        </w:rPr>
      </w:pPr>
      <w:bookmarkStart w:id="62" w:name="_Toc9015"/>
      <w:bookmarkStart w:id="63" w:name="_Toc1903"/>
      <w:r>
        <w:rPr>
          <w:rFonts w:hint="eastAsia"/>
          <w:color w:val="auto"/>
          <w:sz w:val="28"/>
          <w:szCs w:val="32"/>
          <w:highlight w:val="none"/>
        </w:rPr>
        <w:t>2.4.</w:t>
      </w:r>
      <w:r>
        <w:rPr>
          <w:rFonts w:hint="eastAsia"/>
          <w:color w:val="auto"/>
          <w:sz w:val="28"/>
          <w:szCs w:val="32"/>
          <w:highlight w:val="none"/>
          <w:lang w:val="en-US" w:eastAsia="zh-CN"/>
        </w:rPr>
        <w:t>11</w:t>
      </w:r>
      <w:r>
        <w:rPr>
          <w:rFonts w:hint="eastAsia"/>
          <w:color w:val="auto"/>
          <w:sz w:val="28"/>
          <w:szCs w:val="32"/>
          <w:highlight w:val="none"/>
        </w:rPr>
        <w:t>响应文件的</w:t>
      </w:r>
      <w:r>
        <w:rPr>
          <w:rFonts w:hint="eastAsia"/>
          <w:color w:val="auto"/>
          <w:sz w:val="28"/>
          <w:szCs w:val="28"/>
          <w:highlight w:val="none"/>
          <w:lang w:eastAsia="zh-CN"/>
        </w:rPr>
        <w:t>递交</w:t>
      </w:r>
      <w:bookmarkEnd w:id="62"/>
      <w:bookmarkEnd w:id="63"/>
    </w:p>
    <w:p>
      <w:pPr>
        <w:spacing w:line="360" w:lineRule="auto"/>
        <w:ind w:firstLine="560" w:firstLineChars="200"/>
        <w:rPr>
          <w:rFonts w:ascii="宋体" w:hAnsi="宋体"/>
          <w:color w:val="auto"/>
          <w:sz w:val="28"/>
          <w:szCs w:val="28"/>
          <w:highlight w:val="none"/>
        </w:rPr>
      </w:pPr>
      <w:r>
        <w:rPr>
          <w:rFonts w:hint="eastAsia"/>
          <w:color w:val="auto"/>
          <w:sz w:val="28"/>
          <w:szCs w:val="28"/>
          <w:highlight w:val="none"/>
          <w:lang w:eastAsia="zh-CN"/>
        </w:rPr>
        <w:t>一、</w:t>
      </w:r>
      <w:r>
        <w:rPr>
          <w:rFonts w:hint="eastAsia" w:ascii="宋体" w:hAnsi="宋体"/>
          <w:color w:val="auto"/>
          <w:sz w:val="28"/>
          <w:szCs w:val="28"/>
          <w:highlight w:val="none"/>
        </w:rPr>
        <w:t>供应商应当在响应文件递交截止时间前，将生成的已加密的响应文件成功递交至“政府采购云平台”。</w:t>
      </w:r>
    </w:p>
    <w:p>
      <w:pPr>
        <w:spacing w:line="360" w:lineRule="auto"/>
        <w:ind w:firstLine="560" w:firstLineChars="200"/>
        <w:rPr>
          <w:rFonts w:ascii="宋体" w:hAnsi="宋体"/>
          <w:color w:val="auto"/>
          <w:sz w:val="28"/>
          <w:szCs w:val="28"/>
          <w:highlight w:val="none"/>
        </w:rPr>
      </w:pPr>
      <w:r>
        <w:rPr>
          <w:rFonts w:hint="eastAsia"/>
          <w:color w:val="auto"/>
          <w:sz w:val="28"/>
          <w:szCs w:val="28"/>
          <w:highlight w:val="none"/>
          <w:lang w:eastAsia="zh-CN"/>
        </w:rPr>
        <w:t>二、</w:t>
      </w:r>
      <w:r>
        <w:rPr>
          <w:rFonts w:hint="eastAsia" w:ascii="宋体" w:hAnsi="宋体"/>
          <w:color w:val="auto"/>
          <w:sz w:val="28"/>
          <w:szCs w:val="28"/>
          <w:highlight w:val="none"/>
        </w:rPr>
        <w:t>因磋商文件的修改推迟响应文件递交截止时间的，供应商按</w:t>
      </w:r>
      <w:r>
        <w:rPr>
          <w:rFonts w:hint="eastAsia"/>
          <w:color w:val="auto"/>
          <w:sz w:val="28"/>
          <w:szCs w:val="28"/>
          <w:highlight w:val="none"/>
          <w:lang w:eastAsia="zh-CN"/>
        </w:rPr>
        <w:t>区</w:t>
      </w:r>
      <w:r>
        <w:rPr>
          <w:rFonts w:hint="eastAsia" w:ascii="宋体" w:hAnsi="宋体"/>
          <w:color w:val="auto"/>
          <w:sz w:val="28"/>
          <w:szCs w:val="28"/>
          <w:highlight w:val="none"/>
        </w:rPr>
        <w:t>公资交易中心在“四川政府采购网”和“成都市公共资源交易服务中心”网站上发布的澄清公告中修改的时间递交响应文件。</w:t>
      </w:r>
    </w:p>
    <w:p>
      <w:pPr>
        <w:spacing w:line="360" w:lineRule="auto"/>
        <w:ind w:firstLine="560" w:firstLineChars="200"/>
        <w:rPr>
          <w:rFonts w:ascii="宋体" w:hAnsi="宋体"/>
          <w:color w:val="auto"/>
          <w:sz w:val="28"/>
          <w:szCs w:val="28"/>
          <w:highlight w:val="none"/>
        </w:rPr>
      </w:pPr>
      <w:r>
        <w:rPr>
          <w:rFonts w:hint="eastAsia"/>
          <w:color w:val="auto"/>
          <w:sz w:val="28"/>
          <w:szCs w:val="28"/>
          <w:highlight w:val="none"/>
          <w:lang w:eastAsia="zh-CN"/>
        </w:rPr>
        <w:t>三、</w:t>
      </w:r>
      <w:r>
        <w:rPr>
          <w:rFonts w:hint="eastAsia" w:ascii="宋体" w:hAnsi="宋体"/>
          <w:color w:val="auto"/>
          <w:sz w:val="28"/>
          <w:szCs w:val="28"/>
          <w:highlight w:val="none"/>
        </w:rPr>
        <w:t>供应商应充分考虑递交响应文件的不可预见因素，未在递交</w:t>
      </w:r>
      <w:r>
        <w:rPr>
          <w:rFonts w:ascii="宋体" w:hAnsi="宋体"/>
          <w:color w:val="auto"/>
          <w:sz w:val="28"/>
          <w:szCs w:val="28"/>
          <w:highlight w:val="none"/>
        </w:rPr>
        <w:t>响应文件</w:t>
      </w:r>
      <w:r>
        <w:rPr>
          <w:rFonts w:hint="eastAsia" w:ascii="宋体" w:hAnsi="宋体"/>
          <w:color w:val="auto"/>
          <w:sz w:val="28"/>
          <w:szCs w:val="28"/>
          <w:highlight w:val="none"/>
        </w:rPr>
        <w:t>截止时间前完成递交的，在递交</w:t>
      </w:r>
      <w:r>
        <w:rPr>
          <w:rFonts w:ascii="宋体" w:hAnsi="宋体"/>
          <w:color w:val="auto"/>
          <w:sz w:val="28"/>
          <w:szCs w:val="28"/>
          <w:highlight w:val="none"/>
        </w:rPr>
        <w:t>响应文件</w:t>
      </w:r>
      <w:r>
        <w:rPr>
          <w:rFonts w:hint="eastAsia" w:ascii="宋体" w:hAnsi="宋体"/>
          <w:color w:val="auto"/>
          <w:sz w:val="28"/>
          <w:szCs w:val="28"/>
          <w:highlight w:val="none"/>
        </w:rPr>
        <w:t>截止时间后将无法递交。</w:t>
      </w:r>
    </w:p>
    <w:p>
      <w:pPr>
        <w:pStyle w:val="5"/>
        <w:numPr>
          <w:ilvl w:val="0"/>
          <w:numId w:val="0"/>
        </w:numPr>
        <w:rPr>
          <w:rFonts w:hint="eastAsia" w:eastAsia="宋体"/>
          <w:color w:val="auto"/>
          <w:sz w:val="28"/>
          <w:szCs w:val="32"/>
          <w:highlight w:val="none"/>
          <w:lang w:eastAsia="zh-CN"/>
        </w:rPr>
      </w:pPr>
      <w:bookmarkStart w:id="64" w:name="_Toc3215"/>
      <w:bookmarkStart w:id="65" w:name="_Toc17796"/>
      <w:r>
        <w:rPr>
          <w:rFonts w:hint="eastAsia"/>
          <w:color w:val="auto"/>
          <w:sz w:val="28"/>
          <w:szCs w:val="32"/>
          <w:highlight w:val="none"/>
        </w:rPr>
        <w:t>2.4.1</w:t>
      </w:r>
      <w:r>
        <w:rPr>
          <w:rFonts w:hint="eastAsia"/>
          <w:color w:val="auto"/>
          <w:sz w:val="28"/>
          <w:szCs w:val="32"/>
          <w:highlight w:val="none"/>
          <w:lang w:val="en-US" w:eastAsia="zh-CN"/>
        </w:rPr>
        <w:t>2</w:t>
      </w:r>
      <w:r>
        <w:rPr>
          <w:rFonts w:hint="eastAsia"/>
          <w:color w:val="auto"/>
          <w:sz w:val="28"/>
          <w:szCs w:val="32"/>
          <w:highlight w:val="none"/>
        </w:rPr>
        <w:t>响应文件的补充、修改和撤回</w:t>
      </w:r>
      <w:bookmarkEnd w:id="64"/>
      <w:bookmarkEnd w:id="65"/>
    </w:p>
    <w:p>
      <w:pPr>
        <w:numPr>
          <w:ilvl w:val="0"/>
          <w:numId w:val="5"/>
        </w:numPr>
        <w:tabs>
          <w:tab w:val="left" w:pos="1134"/>
        </w:tabs>
        <w:spacing w:line="360" w:lineRule="auto"/>
        <w:ind w:left="0" w:firstLine="567"/>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在递交</w:t>
      </w:r>
      <w:r>
        <w:rPr>
          <w:rFonts w:ascii="宋体" w:hAnsi="宋体" w:eastAsia="宋体" w:cs="Times New Roman"/>
          <w:color w:val="auto"/>
          <w:sz w:val="28"/>
          <w:szCs w:val="28"/>
          <w:highlight w:val="none"/>
        </w:rPr>
        <w:t>响应文件</w:t>
      </w:r>
      <w:r>
        <w:rPr>
          <w:rFonts w:hint="eastAsia" w:ascii="宋体" w:hAnsi="宋体" w:eastAsia="宋体" w:cs="Times New Roman"/>
          <w:color w:val="auto"/>
          <w:sz w:val="28"/>
          <w:szCs w:val="28"/>
          <w:highlight w:val="none"/>
        </w:rPr>
        <w:t>截止时间之前，供应商可对已递交的响应文件进行补充、修改。补充或者修改响应文件的，应当先撤回已递交的响应文件，在“政采云投标客户端”补充、修改响应文件并签章、加密后重新递交。撤回响应文件进行补充、修改，在递交响应文件截止时间前未重新递交的，视为撤回响应文件。</w:t>
      </w:r>
    </w:p>
    <w:p>
      <w:pPr>
        <w:numPr>
          <w:ilvl w:val="0"/>
          <w:numId w:val="5"/>
        </w:numPr>
        <w:tabs>
          <w:tab w:val="left" w:pos="1134"/>
        </w:tabs>
        <w:spacing w:line="360" w:lineRule="auto"/>
        <w:ind w:left="0" w:firstLine="567"/>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在递交响应文件截止时间之后，供应商不得对其递交的响应文件做任何补充、修改。</w:t>
      </w:r>
    </w:p>
    <w:p>
      <w:pPr>
        <w:numPr>
          <w:ilvl w:val="0"/>
          <w:numId w:val="5"/>
        </w:numPr>
        <w:tabs>
          <w:tab w:val="left" w:pos="1134"/>
        </w:tabs>
        <w:spacing w:line="360" w:lineRule="auto"/>
        <w:ind w:left="0" w:firstLine="567"/>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在递交响应文件截止时间之前，供应商可对已递交的响应文件进行撤回。在递交响应文件截止时间之后，供应商不得撤回响应文件。</w:t>
      </w:r>
    </w:p>
    <w:p>
      <w:pPr>
        <w:pStyle w:val="4"/>
        <w:numPr>
          <w:ilvl w:val="0"/>
          <w:numId w:val="0"/>
        </w:numPr>
        <w:ind w:left="0" w:firstLine="0"/>
        <w:rPr>
          <w:rFonts w:hint="eastAsia"/>
          <w:iCs w:val="0"/>
          <w:color w:val="auto"/>
          <w:kern w:val="2"/>
          <w:sz w:val="28"/>
          <w:szCs w:val="32"/>
          <w:highlight w:val="none"/>
          <w:lang w:val="en-US" w:eastAsia="zh-CN"/>
        </w:rPr>
      </w:pPr>
      <w:bookmarkStart w:id="66" w:name="_Toc25497"/>
      <w:bookmarkStart w:id="67" w:name="_Toc2675"/>
      <w:r>
        <w:rPr>
          <w:rFonts w:hint="eastAsia"/>
          <w:iCs w:val="0"/>
          <w:color w:val="auto"/>
          <w:kern w:val="2"/>
          <w:sz w:val="28"/>
          <w:szCs w:val="32"/>
          <w:highlight w:val="none"/>
          <w:lang w:val="en-US" w:eastAsia="zh-CN"/>
        </w:rPr>
        <w:t>2.4.13响应文件的解密</w:t>
      </w:r>
      <w:bookmarkEnd w:id="66"/>
      <w:bookmarkEnd w:id="67"/>
    </w:p>
    <w:p>
      <w:pPr>
        <w:tabs>
          <w:tab w:val="left" w:pos="1134"/>
        </w:tabs>
        <w:spacing w:before="120" w:line="360" w:lineRule="auto"/>
        <w:ind w:firstLine="565" w:firstLineChars="202"/>
        <w:rPr>
          <w:rFonts w:ascii="宋体" w:hAnsi="宋体"/>
          <w:bCs/>
          <w:color w:val="auto"/>
          <w:sz w:val="28"/>
          <w:szCs w:val="28"/>
          <w:highlight w:val="none"/>
        </w:rPr>
      </w:pPr>
      <w:r>
        <w:rPr>
          <w:rFonts w:hint="eastAsia" w:ascii="宋体" w:hAnsi="宋体"/>
          <w:bCs/>
          <w:color w:val="auto"/>
          <w:sz w:val="28"/>
          <w:szCs w:val="28"/>
          <w:highlight w:val="none"/>
        </w:rPr>
        <w:t>供应商</w:t>
      </w:r>
      <w:r>
        <w:rPr>
          <w:rFonts w:hint="eastAsia" w:ascii="宋体" w:hAnsi="宋体"/>
          <w:color w:val="auto"/>
          <w:sz w:val="28"/>
          <w:szCs w:val="28"/>
          <w:highlight w:val="none"/>
        </w:rPr>
        <w:t>登录政府采购云平台，点击“项目采购—开标评标”模块，找到对应项目，进入“开标大厅”，</w:t>
      </w:r>
      <w:r>
        <w:rPr>
          <w:rFonts w:hint="eastAsia" w:ascii="宋体" w:hAnsi="宋体"/>
          <w:color w:val="auto"/>
          <w:sz w:val="28"/>
          <w:szCs w:val="28"/>
          <w:highlight w:val="none"/>
          <w:lang w:eastAsia="zh-CN"/>
        </w:rPr>
        <w:t>区</w:t>
      </w:r>
      <w:r>
        <w:rPr>
          <w:rFonts w:hint="eastAsia" w:ascii="宋体" w:hAnsi="宋体"/>
          <w:color w:val="auto"/>
          <w:sz w:val="28"/>
          <w:szCs w:val="28"/>
          <w:highlight w:val="none"/>
        </w:rPr>
        <w:t>公资交易中心开启解密后，</w:t>
      </w:r>
      <w:r>
        <w:rPr>
          <w:rFonts w:hint="eastAsia" w:ascii="宋体" w:hAnsi="宋体" w:cs="宋体"/>
          <w:color w:val="auto"/>
          <w:sz w:val="28"/>
          <w:szCs w:val="28"/>
          <w:highlight w:val="none"/>
        </w:rPr>
        <w:t>供应商应在60分钟内，使用加密该响应文件的CA数字证书在线完成响应文件的解密。</w:t>
      </w:r>
      <w:r>
        <w:rPr>
          <w:rFonts w:hint="eastAsia" w:ascii="宋体" w:hAnsi="宋体"/>
          <w:bCs/>
          <w:color w:val="auto"/>
          <w:sz w:val="28"/>
          <w:szCs w:val="28"/>
          <w:highlight w:val="none"/>
        </w:rPr>
        <w:t>除因</w:t>
      </w:r>
      <w:r>
        <w:rPr>
          <w:rFonts w:hint="eastAsia" w:ascii="宋体" w:hAnsi="宋体"/>
          <w:color w:val="auto"/>
          <w:sz w:val="28"/>
          <w:szCs w:val="28"/>
          <w:highlight w:val="none"/>
          <w:lang w:eastAsia="zh-CN"/>
        </w:rPr>
        <w:t>区</w:t>
      </w:r>
      <w:r>
        <w:rPr>
          <w:rFonts w:hint="eastAsia" w:ascii="宋体" w:hAnsi="宋体"/>
          <w:color w:val="auto"/>
          <w:sz w:val="28"/>
          <w:szCs w:val="28"/>
          <w:highlight w:val="none"/>
        </w:rPr>
        <w:t>公资交易中心</w:t>
      </w:r>
      <w:r>
        <w:rPr>
          <w:rFonts w:hint="eastAsia" w:ascii="宋体" w:hAnsi="宋体"/>
          <w:bCs/>
          <w:color w:val="auto"/>
          <w:sz w:val="28"/>
          <w:szCs w:val="28"/>
          <w:highlight w:val="none"/>
        </w:rPr>
        <w:t>断电、断网、系统故障或其他不可抗力等因素，导致系统无法使用外，供应商在规定的解密时间内，未成功解密的响应文件将视为无效响应文件。</w:t>
      </w:r>
    </w:p>
    <w:p>
      <w:pPr>
        <w:pStyle w:val="4"/>
        <w:numPr>
          <w:ilvl w:val="0"/>
          <w:numId w:val="0"/>
        </w:numPr>
        <w:spacing w:before="156" w:after="156"/>
        <w:rPr>
          <w:rFonts w:hint="eastAsia"/>
          <w:color w:val="auto"/>
          <w:sz w:val="28"/>
          <w:szCs w:val="28"/>
          <w:highlight w:val="none"/>
        </w:rPr>
      </w:pPr>
      <w:bookmarkStart w:id="68" w:name="_Toc2602"/>
      <w:bookmarkStart w:id="69" w:name="_Toc15505"/>
      <w:r>
        <w:rPr>
          <w:rFonts w:hint="eastAsia"/>
          <w:color w:val="auto"/>
          <w:sz w:val="28"/>
          <w:szCs w:val="28"/>
          <w:highlight w:val="none"/>
        </w:rPr>
        <w:t>2.5</w:t>
      </w:r>
      <w:bookmarkStart w:id="70" w:name="_Toc183582232"/>
      <w:bookmarkStart w:id="71" w:name="_Toc73447467"/>
      <w:bookmarkStart w:id="72" w:name="_Toc77688475"/>
      <w:bookmarkStart w:id="73" w:name="_Toc217446057"/>
      <w:bookmarkStart w:id="74" w:name="_Toc183682369"/>
      <w:r>
        <w:rPr>
          <w:rFonts w:hint="eastAsia"/>
          <w:color w:val="auto"/>
          <w:sz w:val="28"/>
          <w:szCs w:val="28"/>
          <w:highlight w:val="none"/>
        </w:rPr>
        <w:t>磋商</w:t>
      </w:r>
      <w:r>
        <w:rPr>
          <w:color w:val="auto"/>
          <w:sz w:val="28"/>
          <w:szCs w:val="28"/>
          <w:highlight w:val="none"/>
        </w:rPr>
        <w:t>开启活动</w:t>
      </w:r>
      <w:r>
        <w:rPr>
          <w:rFonts w:hint="eastAsia"/>
          <w:color w:val="auto"/>
          <w:sz w:val="28"/>
          <w:szCs w:val="28"/>
          <w:highlight w:val="none"/>
        </w:rPr>
        <w:t>程序</w:t>
      </w:r>
      <w:bookmarkEnd w:id="68"/>
      <w:bookmarkEnd w:id="69"/>
      <w:bookmarkEnd w:id="70"/>
      <w:bookmarkEnd w:id="71"/>
      <w:bookmarkEnd w:id="72"/>
      <w:bookmarkEnd w:id="73"/>
      <w:bookmarkEnd w:id="74"/>
    </w:p>
    <w:p>
      <w:pPr>
        <w:pStyle w:val="237"/>
        <w:numPr>
          <w:ilvl w:val="0"/>
          <w:numId w:val="6"/>
        </w:numPr>
        <w:tabs>
          <w:tab w:val="left" w:pos="1134"/>
        </w:tabs>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递交响应文件的供应商不足三家的，不予继续开展磋商采购</w:t>
      </w:r>
      <w:r>
        <w:rPr>
          <w:rFonts w:ascii="宋体" w:hAnsi="宋体" w:eastAsia="宋体" w:cs="宋体"/>
          <w:b/>
          <w:color w:val="auto"/>
          <w:sz w:val="28"/>
          <w:szCs w:val="28"/>
          <w:highlight w:val="none"/>
        </w:rPr>
        <w:t>活动</w:t>
      </w:r>
      <w:r>
        <w:rPr>
          <w:rFonts w:hint="eastAsia" w:ascii="宋体" w:hAnsi="宋体" w:eastAsia="宋体" w:cs="宋体"/>
          <w:b/>
          <w:color w:val="auto"/>
          <w:sz w:val="28"/>
          <w:szCs w:val="28"/>
          <w:highlight w:val="none"/>
        </w:rPr>
        <w:t>。</w:t>
      </w:r>
    </w:p>
    <w:p>
      <w:pPr>
        <w:pStyle w:val="237"/>
        <w:numPr>
          <w:ilvl w:val="0"/>
          <w:numId w:val="6"/>
        </w:numPr>
        <w:tabs>
          <w:tab w:val="left" w:pos="1134"/>
        </w:tabs>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准备工作。供应商需在递交响应</w:t>
      </w:r>
      <w:r>
        <w:rPr>
          <w:rFonts w:ascii="宋体" w:hAnsi="宋体" w:eastAsia="宋体" w:cs="宋体"/>
          <w:b/>
          <w:color w:val="auto"/>
          <w:sz w:val="28"/>
          <w:szCs w:val="28"/>
          <w:highlight w:val="none"/>
        </w:rPr>
        <w:t>文件</w:t>
      </w:r>
      <w:r>
        <w:rPr>
          <w:rFonts w:hint="eastAsia" w:ascii="宋体" w:hAnsi="宋体" w:eastAsia="宋体" w:cs="宋体"/>
          <w:b/>
          <w:color w:val="auto"/>
          <w:sz w:val="28"/>
          <w:szCs w:val="28"/>
          <w:highlight w:val="none"/>
        </w:rPr>
        <w:t>截止时间前登录“政府采购云平台”，通过“开标大厅”参与。登录成都市公共资源交易服务中心门户网站（https://www.cdggzy.com/）—政府采购云平台—项目采购—开标评标—开标大厅（找到对应项目）。提示：供应商未按时登录不见面开标系统，错过解密时间的，由供应商自行承担不利后果。</w:t>
      </w:r>
    </w:p>
    <w:p>
      <w:pPr>
        <w:pStyle w:val="237"/>
        <w:numPr>
          <w:ilvl w:val="0"/>
          <w:numId w:val="6"/>
        </w:numPr>
        <w:tabs>
          <w:tab w:val="left" w:pos="1134"/>
        </w:tabs>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解密响应文件。待</w:t>
      </w:r>
      <w:r>
        <w:rPr>
          <w:rFonts w:hint="eastAsia" w:ascii="宋体" w:hAnsi="宋体" w:eastAsia="宋体" w:cs="宋体"/>
          <w:b/>
          <w:color w:val="auto"/>
          <w:sz w:val="28"/>
          <w:szCs w:val="28"/>
          <w:highlight w:val="none"/>
          <w:lang w:eastAsia="zh-CN"/>
        </w:rPr>
        <w:t>区</w:t>
      </w:r>
      <w:r>
        <w:rPr>
          <w:rFonts w:hint="eastAsia" w:ascii="宋体" w:hAnsi="宋体" w:eastAsia="宋体" w:cs="宋体"/>
          <w:b/>
          <w:color w:val="auto"/>
          <w:sz w:val="28"/>
          <w:szCs w:val="28"/>
          <w:highlight w:val="none"/>
        </w:rPr>
        <w:t>公资交易中心开启解密后，供应商进行线上解密。除因</w:t>
      </w:r>
      <w:r>
        <w:rPr>
          <w:rFonts w:hint="eastAsia" w:ascii="宋体" w:hAnsi="宋体" w:eastAsia="宋体" w:cs="宋体"/>
          <w:b/>
          <w:color w:val="auto"/>
          <w:sz w:val="28"/>
          <w:szCs w:val="28"/>
          <w:highlight w:val="none"/>
          <w:lang w:eastAsia="zh-CN"/>
        </w:rPr>
        <w:t>区</w:t>
      </w:r>
      <w:r>
        <w:rPr>
          <w:rFonts w:hint="eastAsia" w:ascii="宋体" w:hAnsi="宋体" w:eastAsia="宋体" w:cs="宋体"/>
          <w:b/>
          <w:color w:val="auto"/>
          <w:sz w:val="28"/>
          <w:szCs w:val="28"/>
          <w:highlight w:val="none"/>
        </w:rPr>
        <w:t>公资交易中心断电、断网、系统故障或其他不可抗力等因素，导致系统无法使用外，供应商在规定的解密时间内，未成功解密的响应文件将视为无效响应文件。</w:t>
      </w:r>
    </w:p>
    <w:p>
      <w:pPr>
        <w:pStyle w:val="237"/>
        <w:numPr>
          <w:ilvl w:val="0"/>
          <w:numId w:val="6"/>
        </w:numPr>
        <w:tabs>
          <w:tab w:val="left" w:pos="1134"/>
        </w:tabs>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确认。所有供应商</w:t>
      </w:r>
      <w:r>
        <w:rPr>
          <w:rFonts w:ascii="宋体" w:hAnsi="宋体" w:eastAsia="宋体" w:cs="宋体"/>
          <w:b/>
          <w:color w:val="auto"/>
          <w:sz w:val="28"/>
          <w:szCs w:val="28"/>
          <w:highlight w:val="none"/>
        </w:rPr>
        <w:t>响应文件</w:t>
      </w:r>
      <w:r>
        <w:rPr>
          <w:rFonts w:hint="eastAsia" w:ascii="宋体" w:hAnsi="宋体" w:eastAsia="宋体" w:cs="宋体"/>
          <w:b/>
          <w:color w:val="auto"/>
          <w:sz w:val="28"/>
          <w:szCs w:val="28"/>
          <w:highlight w:val="none"/>
        </w:rPr>
        <w:t>均完成解密或者解密时间截止（以发生在先的时间为准），由“政府采购云平台”系统展示供应商名称、响应文件解密情况等内容。</w:t>
      </w:r>
    </w:p>
    <w:p>
      <w:pPr>
        <w:pStyle w:val="237"/>
        <w:numPr>
          <w:ilvl w:val="0"/>
          <w:numId w:val="6"/>
        </w:numPr>
        <w:tabs>
          <w:tab w:val="left" w:pos="1134"/>
        </w:tabs>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供应商对过程和记录有异议，以及认为采购人、</w:t>
      </w:r>
      <w:r>
        <w:rPr>
          <w:rFonts w:hint="eastAsia" w:ascii="宋体" w:hAnsi="宋体" w:eastAsia="宋体" w:cs="宋体"/>
          <w:b/>
          <w:color w:val="auto"/>
          <w:sz w:val="28"/>
          <w:szCs w:val="28"/>
          <w:highlight w:val="none"/>
          <w:lang w:eastAsia="zh-CN"/>
        </w:rPr>
        <w:t>区</w:t>
      </w:r>
      <w:r>
        <w:rPr>
          <w:rFonts w:hint="eastAsia" w:ascii="宋体" w:hAnsi="宋体" w:eastAsia="宋体" w:cs="宋体"/>
          <w:b/>
          <w:color w:val="auto"/>
          <w:sz w:val="28"/>
          <w:szCs w:val="28"/>
          <w:highlight w:val="none"/>
        </w:rPr>
        <w:t>公资交易中心相关工作人员有需要回避的情形的，及时向工作人员提出询问或者回避申请。采购人、</w:t>
      </w:r>
      <w:r>
        <w:rPr>
          <w:rFonts w:hint="eastAsia" w:ascii="宋体" w:hAnsi="宋体" w:eastAsia="宋体" w:cs="宋体"/>
          <w:b/>
          <w:color w:val="auto"/>
          <w:sz w:val="28"/>
          <w:szCs w:val="28"/>
          <w:highlight w:val="none"/>
          <w:lang w:eastAsia="zh-CN"/>
        </w:rPr>
        <w:t>区</w:t>
      </w:r>
      <w:r>
        <w:rPr>
          <w:rFonts w:hint="eastAsia" w:ascii="宋体" w:hAnsi="宋体" w:eastAsia="宋体" w:cs="宋体"/>
          <w:b/>
          <w:color w:val="auto"/>
          <w:sz w:val="28"/>
          <w:szCs w:val="28"/>
          <w:highlight w:val="none"/>
        </w:rPr>
        <w:t>公资交易中心对供应商提出的询问或者回避申请应当及时处理。</w:t>
      </w:r>
    </w:p>
    <w:p>
      <w:pPr>
        <w:pStyle w:val="237"/>
        <w:numPr>
          <w:ilvl w:val="0"/>
          <w:numId w:val="6"/>
        </w:numPr>
        <w:tabs>
          <w:tab w:val="left" w:pos="1134"/>
        </w:tabs>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237"/>
        <w:numPr>
          <w:ilvl w:val="0"/>
          <w:numId w:val="6"/>
        </w:numPr>
        <w:tabs>
          <w:tab w:val="left" w:pos="1134"/>
        </w:tabs>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因</w:t>
      </w:r>
      <w:r>
        <w:rPr>
          <w:rFonts w:hint="eastAsia" w:ascii="宋体" w:hAnsi="宋体" w:eastAsia="宋体" w:cs="宋体"/>
          <w:b/>
          <w:color w:val="auto"/>
          <w:sz w:val="28"/>
          <w:szCs w:val="28"/>
          <w:highlight w:val="none"/>
          <w:lang w:eastAsia="zh-CN"/>
        </w:rPr>
        <w:t>区</w:t>
      </w:r>
      <w:r>
        <w:rPr>
          <w:rFonts w:hint="eastAsia" w:ascii="宋体" w:hAnsi="宋体" w:eastAsia="宋体" w:cs="宋体"/>
          <w:b/>
          <w:color w:val="auto"/>
          <w:sz w:val="28"/>
          <w:szCs w:val="28"/>
          <w:highlight w:val="none"/>
        </w:rPr>
        <w:t>公资交易中心断电、断网、系统故障或其他不可抗力等因素导致不见面开标系统无法正常运行的，磋商活动开启中止或延迟，待系统恢复正常后继续进行。</w:t>
      </w:r>
    </w:p>
    <w:p>
      <w:pPr>
        <w:widowControl w:val="0"/>
        <w:numPr>
          <w:ilvl w:val="0"/>
          <w:numId w:val="6"/>
        </w:numPr>
        <w:tabs>
          <w:tab w:val="left" w:pos="1134"/>
        </w:tabs>
        <w:spacing w:before="120" w:after="200" w:line="360" w:lineRule="auto"/>
        <w:ind w:left="0" w:right="210" w:firstLine="567" w:firstLineChars="0"/>
        <w:jc w:val="both"/>
        <w:rPr>
          <w:rFonts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磋商活动开启过程中，各方主体均应遵守互联网有关规定，不得发表与交易活动无关的言论。</w:t>
      </w:r>
    </w:p>
    <w:p>
      <w:pPr>
        <w:pStyle w:val="237"/>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20" w:after="200" w:line="360" w:lineRule="auto"/>
        <w:ind w:right="210" w:rightChars="0"/>
        <w:textAlignment w:val="auto"/>
        <w:outlineLvl w:val="1"/>
        <w:rPr>
          <w:rFonts w:hint="eastAsia"/>
          <w:b/>
          <w:bCs/>
          <w:color w:val="auto"/>
          <w:sz w:val="28"/>
          <w:szCs w:val="28"/>
          <w:highlight w:val="none"/>
          <w:lang w:eastAsia="zh-CN"/>
        </w:rPr>
      </w:pPr>
      <w:bookmarkStart w:id="75" w:name="_Toc22048"/>
      <w:bookmarkStart w:id="76" w:name="_Toc13979"/>
      <w:r>
        <w:rPr>
          <w:rFonts w:hint="eastAsia"/>
          <w:b/>
          <w:bCs/>
          <w:color w:val="auto"/>
          <w:sz w:val="28"/>
          <w:szCs w:val="28"/>
          <w:highlight w:val="none"/>
          <w:lang w:val="en-US" w:eastAsia="zh-CN"/>
        </w:rPr>
        <w:t>2.6</w:t>
      </w:r>
      <w:r>
        <w:rPr>
          <w:rFonts w:hint="eastAsia"/>
          <w:b/>
          <w:bCs/>
          <w:color w:val="auto"/>
          <w:sz w:val="28"/>
          <w:szCs w:val="28"/>
          <w:highlight w:val="none"/>
        </w:rPr>
        <w:t>资格审查</w:t>
      </w:r>
      <w:r>
        <w:rPr>
          <w:rFonts w:hint="eastAsia"/>
          <w:b/>
          <w:bCs/>
          <w:color w:val="auto"/>
          <w:sz w:val="28"/>
          <w:szCs w:val="28"/>
          <w:highlight w:val="none"/>
          <w:lang w:eastAsia="zh-CN"/>
        </w:rPr>
        <w:t>和评审</w:t>
      </w:r>
      <w:bookmarkEnd w:id="75"/>
      <w:bookmarkEnd w:id="76"/>
    </w:p>
    <w:p>
      <w:pPr>
        <w:numPr>
          <w:ilvl w:val="0"/>
          <w:numId w:val="7"/>
        </w:numPr>
        <w:tabs>
          <w:tab w:val="left" w:pos="1134"/>
        </w:tabs>
        <w:spacing w:line="600" w:lineRule="exact"/>
        <w:ind w:left="0" w:firstLine="540"/>
        <w:rPr>
          <w:rFonts w:ascii="宋体" w:hAnsi="宋体"/>
          <w:color w:val="auto"/>
          <w:sz w:val="28"/>
          <w:szCs w:val="28"/>
          <w:highlight w:val="none"/>
        </w:rPr>
      </w:pPr>
      <w:r>
        <w:rPr>
          <w:rFonts w:hint="eastAsia" w:ascii="宋体" w:hAnsi="宋体"/>
          <w:color w:val="auto"/>
          <w:sz w:val="28"/>
          <w:szCs w:val="28"/>
          <w:highlight w:val="none"/>
        </w:rPr>
        <w:t>资格审查详见采购文件第五章。</w:t>
      </w:r>
    </w:p>
    <w:p>
      <w:pPr>
        <w:numPr>
          <w:ilvl w:val="0"/>
          <w:numId w:val="7"/>
        </w:numPr>
        <w:tabs>
          <w:tab w:val="left" w:pos="1134"/>
        </w:tabs>
        <w:spacing w:line="600" w:lineRule="exact"/>
        <w:ind w:left="0" w:firstLine="567"/>
        <w:rPr>
          <w:rFonts w:hint="eastAsia"/>
          <w:b/>
          <w:bCs/>
          <w:color w:val="auto"/>
          <w:sz w:val="28"/>
          <w:szCs w:val="28"/>
          <w:highlight w:val="none"/>
          <w:lang w:eastAsia="zh-CN"/>
        </w:rPr>
      </w:pPr>
      <w:r>
        <w:rPr>
          <w:rFonts w:hint="eastAsia" w:ascii="宋体" w:hAnsi="宋体"/>
          <w:color w:val="auto"/>
          <w:sz w:val="28"/>
          <w:szCs w:val="28"/>
          <w:highlight w:val="none"/>
        </w:rPr>
        <w:t>磋商小组的组建及其评审工作按照有关法律制度和本文件第五章的规定进行。</w:t>
      </w:r>
    </w:p>
    <w:p>
      <w:pPr>
        <w:pStyle w:val="4"/>
        <w:numPr>
          <w:ilvl w:val="0"/>
          <w:numId w:val="0"/>
        </w:numPr>
        <w:spacing w:before="156" w:after="156"/>
        <w:rPr>
          <w:color w:val="auto"/>
          <w:sz w:val="28"/>
          <w:szCs w:val="28"/>
          <w:highlight w:val="none"/>
        </w:rPr>
      </w:pPr>
      <w:bookmarkStart w:id="77" w:name="_Toc8616"/>
      <w:bookmarkStart w:id="78" w:name="_Toc10063"/>
      <w:r>
        <w:rPr>
          <w:rFonts w:hint="eastAsia"/>
          <w:color w:val="auto"/>
          <w:sz w:val="28"/>
          <w:szCs w:val="28"/>
          <w:highlight w:val="none"/>
          <w:lang w:val="en-US" w:eastAsia="zh-CN"/>
        </w:rPr>
        <w:t>2.7</w:t>
      </w:r>
      <w:r>
        <w:rPr>
          <w:color w:val="auto"/>
          <w:sz w:val="28"/>
          <w:szCs w:val="28"/>
          <w:highlight w:val="none"/>
        </w:rPr>
        <w:t>成交通知书</w:t>
      </w:r>
      <w:bookmarkEnd w:id="77"/>
      <w:bookmarkEnd w:id="78"/>
    </w:p>
    <w:p>
      <w:pPr>
        <w:spacing w:line="360" w:lineRule="auto"/>
        <w:ind w:right="210" w:firstLine="560" w:firstLineChars="200"/>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一、成交通知书为采购人签订政府采购合同的依据，是合同的有效组成部分。若出现政府采购法律法规、规章制度规定的成交无效情形的，将以公告形式宣布发出的成交通知书无效，成交通知书将自动失效，并依法重新确定成交供应商或者重新开展采购活动。</w:t>
      </w:r>
    </w:p>
    <w:p>
      <w:pPr>
        <w:spacing w:line="360" w:lineRule="auto"/>
        <w:ind w:firstLine="560" w:firstLineChars="200"/>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二、成交通知书对采购人和成交供应商均具有法律效力。</w:t>
      </w:r>
    </w:p>
    <w:p>
      <w:pPr>
        <w:spacing w:line="360" w:lineRule="auto"/>
        <w:ind w:firstLine="560" w:firstLineChars="200"/>
        <w:rPr>
          <w:rFonts w:ascii="Calibri" w:hAnsi="Calibri" w:eastAsia="宋体" w:cs="Times New Roman"/>
          <w:color w:val="auto"/>
          <w:sz w:val="28"/>
          <w:szCs w:val="28"/>
          <w:highlight w:val="none"/>
        </w:rPr>
      </w:pPr>
      <w:r>
        <w:rPr>
          <w:rFonts w:hint="eastAsia" w:ascii="宋体" w:hAnsi="宋体" w:eastAsia="宋体" w:cs="Times New Roman"/>
          <w:color w:val="auto"/>
          <w:sz w:val="28"/>
          <w:szCs w:val="28"/>
          <w:highlight w:val="none"/>
          <w:lang w:val="zh-CN"/>
        </w:rPr>
        <w:t>三、</w:t>
      </w:r>
      <w:r>
        <w:rPr>
          <w:rFonts w:hint="eastAsia" w:ascii="宋体" w:hAnsi="宋体" w:eastAsia="宋体" w:cs="Times New Roman"/>
          <w:color w:val="auto"/>
          <w:sz w:val="28"/>
          <w:szCs w:val="28"/>
          <w:highlight w:val="none"/>
        </w:rPr>
        <w:t>成交公告在四川政府采购网上公告后，成交供应商自行登录政府采购云平台下载成交通知书。</w:t>
      </w:r>
    </w:p>
    <w:p>
      <w:pPr>
        <w:pStyle w:val="4"/>
        <w:numPr>
          <w:ilvl w:val="0"/>
          <w:numId w:val="0"/>
        </w:numPr>
        <w:spacing w:before="156" w:after="156"/>
        <w:rPr>
          <w:color w:val="auto"/>
          <w:sz w:val="28"/>
          <w:szCs w:val="28"/>
          <w:highlight w:val="none"/>
        </w:rPr>
      </w:pPr>
      <w:bookmarkStart w:id="79" w:name="_Toc16037"/>
      <w:bookmarkStart w:id="80" w:name="_Toc12237"/>
      <w:r>
        <w:rPr>
          <w:rFonts w:hint="eastAsia"/>
          <w:color w:val="auto"/>
          <w:sz w:val="28"/>
          <w:szCs w:val="28"/>
          <w:highlight w:val="none"/>
          <w:lang w:val="en-US" w:eastAsia="zh-CN"/>
        </w:rPr>
        <w:t>2.8</w:t>
      </w:r>
      <w:r>
        <w:rPr>
          <w:rFonts w:hint="eastAsia"/>
          <w:color w:val="auto"/>
          <w:sz w:val="28"/>
          <w:szCs w:val="28"/>
          <w:highlight w:val="none"/>
        </w:rPr>
        <w:t>签订及履行合同和验收</w:t>
      </w:r>
      <w:bookmarkEnd w:id="79"/>
      <w:bookmarkEnd w:id="80"/>
    </w:p>
    <w:p>
      <w:pPr>
        <w:pStyle w:val="5"/>
        <w:numPr>
          <w:ilvl w:val="0"/>
          <w:numId w:val="0"/>
        </w:numPr>
        <w:rPr>
          <w:color w:val="auto"/>
          <w:sz w:val="28"/>
          <w:szCs w:val="32"/>
          <w:highlight w:val="none"/>
        </w:rPr>
      </w:pPr>
      <w:bookmarkStart w:id="81" w:name="_Toc4214"/>
      <w:bookmarkStart w:id="82" w:name="_Toc20579"/>
      <w:r>
        <w:rPr>
          <w:rFonts w:hint="eastAsia"/>
          <w:color w:val="auto"/>
          <w:sz w:val="28"/>
          <w:szCs w:val="32"/>
          <w:highlight w:val="none"/>
        </w:rPr>
        <w:t>2.</w:t>
      </w:r>
      <w:r>
        <w:rPr>
          <w:rFonts w:hint="eastAsia"/>
          <w:color w:val="auto"/>
          <w:sz w:val="28"/>
          <w:szCs w:val="32"/>
          <w:highlight w:val="none"/>
          <w:lang w:val="en-US" w:eastAsia="zh-CN"/>
        </w:rPr>
        <w:t>8</w:t>
      </w:r>
      <w:r>
        <w:rPr>
          <w:rFonts w:hint="eastAsia"/>
          <w:color w:val="auto"/>
          <w:sz w:val="28"/>
          <w:szCs w:val="32"/>
          <w:highlight w:val="none"/>
        </w:rPr>
        <w:t>.1签订合同</w:t>
      </w:r>
      <w:bookmarkEnd w:id="81"/>
      <w:bookmarkEnd w:id="82"/>
    </w:p>
    <w:p>
      <w:pPr>
        <w:widowControl/>
        <w:numPr>
          <w:ilvl w:val="0"/>
          <w:numId w:val="8"/>
        </w:numPr>
        <w:tabs>
          <w:tab w:val="left" w:pos="1134"/>
        </w:tabs>
        <w:snapToGrid w:val="0"/>
        <w:spacing w:after="200" w:line="360" w:lineRule="auto"/>
        <w:ind w:left="0" w:firstLine="567"/>
        <w:jc w:val="left"/>
        <w:rPr>
          <w:rFonts w:ascii="宋体" w:hAnsi="宋体" w:cs="宋体"/>
          <w:color w:val="auto"/>
          <w:sz w:val="28"/>
          <w:szCs w:val="28"/>
          <w:highlight w:val="none"/>
        </w:rPr>
      </w:pPr>
      <w:r>
        <w:rPr>
          <w:rFonts w:hint="eastAsia" w:ascii="宋体" w:hAnsi="宋体" w:cs="宋体"/>
          <w:color w:val="auto"/>
          <w:sz w:val="28"/>
          <w:szCs w:val="28"/>
          <w:highlight w:val="none"/>
        </w:rPr>
        <w:t>疫情防控期间，采购人原则上应在成交通知书发出之日起5个工作日内与成交供应商签订采购合同。因成交供应商的原因在成交通知书发出之日起30日内逾期未与采购人签订采购合同或者成交供应商拒绝与采购人签订合同的，采购人可以按照评审报告推荐的成交候选供应商名单排序，确定下一候选供应商为成交供应商，也可以重新开展政府采购活动</w:t>
      </w:r>
      <w:r>
        <w:rPr>
          <w:rFonts w:hint="eastAsia" w:ascii="宋体" w:hAnsi="宋体"/>
          <w:color w:val="auto"/>
          <w:sz w:val="28"/>
          <w:szCs w:val="28"/>
          <w:highlight w:val="none"/>
        </w:rPr>
        <w:t>。</w:t>
      </w:r>
    </w:p>
    <w:p>
      <w:pPr>
        <w:widowControl/>
        <w:numPr>
          <w:ilvl w:val="0"/>
          <w:numId w:val="8"/>
        </w:numPr>
        <w:tabs>
          <w:tab w:val="left" w:pos="1134"/>
        </w:tabs>
        <w:snapToGrid w:val="0"/>
        <w:spacing w:after="200" w:line="360" w:lineRule="auto"/>
        <w:ind w:left="0" w:firstLine="567"/>
        <w:jc w:val="left"/>
        <w:rPr>
          <w:rFonts w:ascii="宋体" w:hAnsi="宋体" w:cs="宋体"/>
          <w:color w:val="auto"/>
          <w:sz w:val="28"/>
          <w:szCs w:val="28"/>
          <w:highlight w:val="none"/>
        </w:rPr>
      </w:pPr>
      <w:r>
        <w:rPr>
          <w:rFonts w:hint="eastAsia" w:ascii="宋体" w:hAnsi="宋体" w:cs="宋体"/>
          <w:color w:val="auto"/>
          <w:sz w:val="28"/>
          <w:szCs w:val="28"/>
          <w:highlight w:val="none"/>
        </w:rPr>
        <w:t>采购人不得向成交供应商提出任何不合理的要求作为签订合同的条件，不得与成交供应商私下订立背离合同实质性内容的任何协议，所签订的合同不得对磋商文件和成交供应商响应文件作实质性修改。</w:t>
      </w:r>
    </w:p>
    <w:p>
      <w:pPr>
        <w:widowControl/>
        <w:numPr>
          <w:ilvl w:val="0"/>
          <w:numId w:val="8"/>
        </w:numPr>
        <w:tabs>
          <w:tab w:val="left" w:pos="1134"/>
        </w:tabs>
        <w:snapToGrid w:val="0"/>
        <w:spacing w:after="200" w:line="360" w:lineRule="auto"/>
        <w:ind w:left="0" w:firstLine="567"/>
        <w:jc w:val="left"/>
        <w:rPr>
          <w:rFonts w:ascii="宋体" w:hAnsi="宋体" w:cs="宋体"/>
          <w:i/>
          <w:color w:val="auto"/>
          <w:sz w:val="28"/>
          <w:szCs w:val="28"/>
          <w:highlight w:val="none"/>
        </w:rPr>
      </w:pPr>
      <w:r>
        <w:rPr>
          <w:rFonts w:hint="eastAsia" w:ascii="宋体" w:hAnsi="宋体" w:cs="宋体"/>
          <w:color w:val="auto"/>
          <w:sz w:val="28"/>
          <w:szCs w:val="28"/>
          <w:highlight w:val="none"/>
        </w:rPr>
        <w:t>磋商文件、响应文件、成交通知书等均成为有法律约束力的合同组成内容。</w:t>
      </w:r>
    </w:p>
    <w:p>
      <w:pPr>
        <w:widowControl/>
        <w:numPr>
          <w:ilvl w:val="0"/>
          <w:numId w:val="8"/>
        </w:numPr>
        <w:tabs>
          <w:tab w:val="left" w:pos="1134"/>
        </w:tabs>
        <w:snapToGrid w:val="0"/>
        <w:spacing w:after="200" w:line="360" w:lineRule="auto"/>
        <w:ind w:left="0" w:firstLine="567"/>
        <w:jc w:val="left"/>
        <w:rPr>
          <w:rFonts w:ascii="宋体" w:hAnsi="宋体" w:cs="宋体"/>
          <w:color w:val="auto"/>
          <w:sz w:val="28"/>
          <w:szCs w:val="28"/>
          <w:highlight w:val="none"/>
        </w:rPr>
      </w:pPr>
      <w:r>
        <w:rPr>
          <w:rFonts w:hint="eastAsia" w:ascii="宋体" w:hAnsi="宋体"/>
          <w:color w:val="auto"/>
          <w:sz w:val="28"/>
          <w:szCs w:val="28"/>
          <w:highlight w:val="none"/>
        </w:rPr>
        <w:t>询问或者质疑事项可能影响成交结果的，采购人应当暂停签订合同，已经签订合同的，应当中止履行合同。</w:t>
      </w:r>
    </w:p>
    <w:p>
      <w:pPr>
        <w:pStyle w:val="5"/>
        <w:numPr>
          <w:ilvl w:val="0"/>
          <w:numId w:val="0"/>
        </w:numPr>
        <w:rPr>
          <w:color w:val="auto"/>
          <w:sz w:val="28"/>
          <w:szCs w:val="32"/>
          <w:highlight w:val="none"/>
        </w:rPr>
      </w:pPr>
      <w:bookmarkStart w:id="83" w:name="_Toc27317"/>
      <w:bookmarkStart w:id="84" w:name="_Toc8769"/>
      <w:r>
        <w:rPr>
          <w:rFonts w:hint="eastAsia"/>
          <w:color w:val="auto"/>
          <w:sz w:val="28"/>
          <w:szCs w:val="32"/>
          <w:highlight w:val="none"/>
        </w:rPr>
        <w:t>2.</w:t>
      </w:r>
      <w:r>
        <w:rPr>
          <w:rFonts w:hint="eastAsia"/>
          <w:color w:val="auto"/>
          <w:sz w:val="28"/>
          <w:szCs w:val="32"/>
          <w:highlight w:val="none"/>
          <w:lang w:val="en-US" w:eastAsia="zh-CN"/>
        </w:rPr>
        <w:t>8</w:t>
      </w:r>
      <w:r>
        <w:rPr>
          <w:rFonts w:hint="eastAsia"/>
          <w:color w:val="auto"/>
          <w:sz w:val="28"/>
          <w:szCs w:val="32"/>
          <w:highlight w:val="none"/>
        </w:rPr>
        <w:t>.2合同分包和转包</w:t>
      </w:r>
      <w:bookmarkEnd w:id="83"/>
      <w:bookmarkEnd w:id="84"/>
    </w:p>
    <w:p>
      <w:pPr>
        <w:keepNext/>
        <w:keepLines/>
        <w:numPr>
          <w:ilvl w:val="0"/>
          <w:numId w:val="0"/>
        </w:numPr>
        <w:spacing w:line="360" w:lineRule="auto"/>
        <w:ind w:left="0" w:firstLine="0"/>
        <w:outlineLvl w:val="2"/>
        <w:rPr>
          <w:rFonts w:ascii="宋体" w:hAnsi="宋体"/>
          <w:b/>
          <w:bCs/>
          <w:color w:val="auto"/>
          <w:sz w:val="28"/>
          <w:szCs w:val="28"/>
          <w:highlight w:val="none"/>
        </w:rPr>
      </w:pPr>
      <w:bookmarkStart w:id="85" w:name="_Toc20492"/>
      <w:bookmarkStart w:id="86" w:name="_Toc11002"/>
      <w:bookmarkStart w:id="87" w:name="_Toc14935"/>
      <w:r>
        <w:rPr>
          <w:rFonts w:hint="eastAsia" w:ascii="宋体" w:hAnsi="宋体"/>
          <w:b/>
          <w:bCs/>
          <w:color w:val="auto"/>
          <w:sz w:val="28"/>
          <w:szCs w:val="28"/>
          <w:highlight w:val="none"/>
          <w:lang w:val="en-US" w:eastAsia="zh-CN"/>
        </w:rPr>
        <w:t>2.</w:t>
      </w:r>
      <w:r>
        <w:rPr>
          <w:rFonts w:hint="eastAsia"/>
          <w:b/>
          <w:bCs/>
          <w:color w:val="auto"/>
          <w:sz w:val="28"/>
          <w:szCs w:val="28"/>
          <w:highlight w:val="none"/>
          <w:lang w:val="en-US" w:eastAsia="zh-CN"/>
        </w:rPr>
        <w:t>8</w:t>
      </w:r>
      <w:r>
        <w:rPr>
          <w:rFonts w:hint="eastAsia" w:ascii="宋体" w:hAnsi="宋体"/>
          <w:b/>
          <w:bCs/>
          <w:color w:val="auto"/>
          <w:sz w:val="28"/>
          <w:szCs w:val="28"/>
          <w:highlight w:val="none"/>
          <w:lang w:val="en-US" w:eastAsia="zh-CN"/>
        </w:rPr>
        <w:t>.2.1</w:t>
      </w:r>
      <w:r>
        <w:rPr>
          <w:rFonts w:hint="eastAsia" w:ascii="宋体" w:hAnsi="宋体"/>
          <w:b/>
          <w:bCs/>
          <w:color w:val="auto"/>
          <w:sz w:val="28"/>
          <w:szCs w:val="28"/>
          <w:highlight w:val="none"/>
        </w:rPr>
        <w:t>合同分包</w:t>
      </w:r>
      <w:bookmarkEnd w:id="85"/>
      <w:bookmarkEnd w:id="86"/>
      <w:bookmarkEnd w:id="87"/>
    </w:p>
    <w:p>
      <w:pPr>
        <w:pStyle w:val="261"/>
        <w:spacing w:line="360" w:lineRule="auto"/>
        <w:ind w:firstLine="560" w:firstLineChars="200"/>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kern w:val="2"/>
          <w:sz w:val="28"/>
          <w:szCs w:val="28"/>
          <w:highlight w:val="none"/>
          <w:lang w:val="zh-CN" w:eastAsia="zh-CN" w:bidi="ar-SA"/>
        </w:rPr>
        <w:t xml:space="preserve">本项目不允许分包 </w:t>
      </w:r>
    </w:p>
    <w:p>
      <w:pPr>
        <w:pStyle w:val="261"/>
        <w:ind w:firstLine="0" w:firstLineChars="0"/>
        <w:rPr>
          <w:rFonts w:ascii="宋体" w:hAnsi="宋体"/>
          <w:b/>
          <w:bCs/>
          <w:color w:val="auto"/>
          <w:sz w:val="28"/>
          <w:szCs w:val="28"/>
          <w:highlight w:val="none"/>
        </w:rPr>
      </w:pPr>
      <w:r>
        <w:rPr>
          <w:rFonts w:hint="eastAsia" w:cs="Times New Roman"/>
          <w:b/>
          <w:bCs/>
          <w:color w:val="auto"/>
          <w:sz w:val="28"/>
          <w:szCs w:val="28"/>
          <w:highlight w:val="none"/>
          <w:lang w:val="en-US" w:eastAsia="zh-CN"/>
        </w:rPr>
        <w:t>2.8.2.2</w:t>
      </w:r>
      <w:r>
        <w:rPr>
          <w:rFonts w:hint="eastAsia" w:ascii="宋体" w:hAnsi="宋体"/>
          <w:b/>
          <w:bCs/>
          <w:color w:val="auto"/>
          <w:sz w:val="28"/>
          <w:szCs w:val="28"/>
          <w:highlight w:val="none"/>
        </w:rPr>
        <w:t>合同转包</w:t>
      </w:r>
    </w:p>
    <w:p>
      <w:pPr>
        <w:spacing w:line="360" w:lineRule="auto"/>
        <w:ind w:firstLine="560" w:firstLineChars="200"/>
        <w:rPr>
          <w:rFonts w:ascii="宋体" w:hAnsi="宋体" w:cs="宋体"/>
          <w:color w:val="auto"/>
          <w:sz w:val="28"/>
          <w:szCs w:val="28"/>
          <w:highlight w:val="none"/>
        </w:rPr>
      </w:pPr>
      <w:r>
        <w:rPr>
          <w:rFonts w:hint="eastAsia" w:ascii="宋体" w:hAnsi="宋体"/>
          <w:color w:val="auto"/>
          <w:sz w:val="28"/>
          <w:szCs w:val="28"/>
          <w:highlight w:val="none"/>
        </w:rPr>
        <w:t>一、严禁成交供应商将本项目转包。本项目所称转包，是指</w:t>
      </w:r>
      <w:r>
        <w:rPr>
          <w:rFonts w:hint="eastAsia" w:ascii="宋体" w:hAnsi="宋体" w:cs="宋体"/>
          <w:color w:val="auto"/>
          <w:sz w:val="28"/>
          <w:szCs w:val="28"/>
          <w:highlight w:val="none"/>
        </w:rPr>
        <w:t>将本项目转给他人或者将本项目全部肢解以后以分包的名义分别转给他人的行为。</w:t>
      </w:r>
    </w:p>
    <w:p>
      <w:pPr>
        <w:spacing w:line="360" w:lineRule="auto"/>
        <w:ind w:firstLine="495"/>
        <w:rPr>
          <w:rFonts w:ascii="宋体" w:hAnsi="宋体"/>
          <w:color w:val="auto"/>
          <w:sz w:val="28"/>
          <w:szCs w:val="28"/>
          <w:highlight w:val="none"/>
        </w:rPr>
      </w:pPr>
      <w:r>
        <w:rPr>
          <w:rFonts w:hint="eastAsia" w:ascii="宋体" w:hAnsi="宋体"/>
          <w:color w:val="auto"/>
          <w:sz w:val="28"/>
          <w:szCs w:val="28"/>
          <w:highlight w:val="none"/>
        </w:rPr>
        <w:t>二、成交供应商转包的，视同拒绝履行政府采购合同，将依法追究法律责任。</w:t>
      </w:r>
    </w:p>
    <w:p>
      <w:pPr>
        <w:pStyle w:val="5"/>
        <w:numPr>
          <w:ilvl w:val="0"/>
          <w:numId w:val="0"/>
        </w:numPr>
        <w:rPr>
          <w:color w:val="auto"/>
          <w:sz w:val="28"/>
          <w:szCs w:val="32"/>
          <w:highlight w:val="none"/>
        </w:rPr>
      </w:pPr>
      <w:bookmarkStart w:id="88" w:name="_Toc2610"/>
      <w:bookmarkStart w:id="89" w:name="_Toc23123"/>
      <w:r>
        <w:rPr>
          <w:rFonts w:hint="eastAsia"/>
          <w:color w:val="auto"/>
          <w:sz w:val="28"/>
          <w:szCs w:val="32"/>
          <w:highlight w:val="none"/>
        </w:rPr>
        <w:t>2.</w:t>
      </w:r>
      <w:r>
        <w:rPr>
          <w:rFonts w:hint="eastAsia"/>
          <w:color w:val="auto"/>
          <w:sz w:val="28"/>
          <w:szCs w:val="32"/>
          <w:highlight w:val="none"/>
          <w:lang w:val="en-US" w:eastAsia="zh-CN"/>
        </w:rPr>
        <w:t>8</w:t>
      </w:r>
      <w:r>
        <w:rPr>
          <w:rFonts w:hint="eastAsia"/>
          <w:color w:val="auto"/>
          <w:sz w:val="28"/>
          <w:szCs w:val="32"/>
          <w:highlight w:val="none"/>
        </w:rPr>
        <w:t>.3采购人增加合同标的的权利</w:t>
      </w:r>
      <w:bookmarkEnd w:id="88"/>
      <w:bookmarkEnd w:id="89"/>
    </w:p>
    <w:p>
      <w:pPr>
        <w:pStyle w:val="113"/>
        <w:ind w:firstLine="480"/>
        <w:rPr>
          <w:color w:val="auto"/>
          <w:sz w:val="28"/>
          <w:szCs w:val="24"/>
          <w:highlight w:val="none"/>
        </w:rPr>
      </w:pPr>
      <w:r>
        <w:rPr>
          <w:rFonts w:hint="eastAsia"/>
          <w:color w:val="auto"/>
          <w:sz w:val="28"/>
          <w:szCs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pPr>
        <w:pStyle w:val="5"/>
        <w:numPr>
          <w:ilvl w:val="0"/>
          <w:numId w:val="0"/>
        </w:numPr>
        <w:rPr>
          <w:color w:val="auto"/>
          <w:sz w:val="28"/>
          <w:szCs w:val="32"/>
          <w:highlight w:val="none"/>
        </w:rPr>
      </w:pPr>
      <w:bookmarkStart w:id="90" w:name="_Toc9550"/>
      <w:bookmarkStart w:id="91" w:name="_Toc18187"/>
      <w:r>
        <w:rPr>
          <w:rFonts w:hint="eastAsia"/>
          <w:color w:val="auto"/>
          <w:sz w:val="28"/>
          <w:szCs w:val="32"/>
          <w:highlight w:val="none"/>
        </w:rPr>
        <w:t>2.</w:t>
      </w:r>
      <w:r>
        <w:rPr>
          <w:rFonts w:hint="eastAsia"/>
          <w:color w:val="auto"/>
          <w:sz w:val="28"/>
          <w:szCs w:val="32"/>
          <w:highlight w:val="none"/>
          <w:lang w:val="en-US" w:eastAsia="zh-CN"/>
        </w:rPr>
        <w:t>8</w:t>
      </w:r>
      <w:r>
        <w:rPr>
          <w:rFonts w:hint="eastAsia"/>
          <w:color w:val="auto"/>
          <w:sz w:val="28"/>
          <w:szCs w:val="32"/>
          <w:highlight w:val="none"/>
        </w:rPr>
        <w:t>.4履约保证金</w:t>
      </w:r>
      <w:bookmarkEnd w:id="90"/>
      <w:bookmarkEnd w:id="91"/>
    </w:p>
    <w:p>
      <w:pPr>
        <w:pStyle w:val="5"/>
        <w:numPr>
          <w:ilvl w:val="0"/>
          <w:numId w:val="0"/>
        </w:numPr>
        <w:ind w:firstLine="560" w:firstLineChars="200"/>
        <w:rPr>
          <w:rFonts w:hint="eastAsia" w:ascii="宋体" w:hAnsi="宋体" w:eastAsia="宋体" w:cs="宋体"/>
          <w:b w:val="0"/>
          <w:bCs w:val="0"/>
          <w:color w:val="auto"/>
          <w:kern w:val="2"/>
          <w:sz w:val="28"/>
          <w:szCs w:val="28"/>
          <w:highlight w:val="none"/>
          <w:lang w:val="en-US" w:eastAsia="zh-CN" w:bidi="ar-SA"/>
        </w:rPr>
      </w:pPr>
      <w:bookmarkStart w:id="92" w:name="_Toc31457"/>
      <w:bookmarkStart w:id="93" w:name="_Toc28397"/>
      <w:r>
        <w:rPr>
          <w:rFonts w:hint="eastAsia" w:ascii="宋体" w:hAnsi="宋体" w:eastAsia="宋体" w:cs="宋体"/>
          <w:b w:val="0"/>
          <w:bCs w:val="0"/>
          <w:color w:val="auto"/>
          <w:kern w:val="2"/>
          <w:sz w:val="28"/>
          <w:szCs w:val="28"/>
          <w:highlight w:val="none"/>
          <w:lang w:val="en-US" w:eastAsia="zh-CN" w:bidi="ar-SA"/>
        </w:rPr>
        <w:t>本项目不收取履约保证金。</w:t>
      </w:r>
      <w:bookmarkEnd w:id="92"/>
      <w:bookmarkEnd w:id="93"/>
    </w:p>
    <w:p>
      <w:pPr>
        <w:pStyle w:val="5"/>
        <w:numPr>
          <w:ilvl w:val="0"/>
          <w:numId w:val="0"/>
        </w:numPr>
        <w:rPr>
          <w:color w:val="auto"/>
          <w:sz w:val="28"/>
          <w:szCs w:val="32"/>
          <w:highlight w:val="none"/>
        </w:rPr>
      </w:pPr>
      <w:bookmarkStart w:id="94" w:name="_Toc20960"/>
      <w:bookmarkStart w:id="95" w:name="_Toc15126"/>
      <w:r>
        <w:rPr>
          <w:rFonts w:hint="eastAsia"/>
          <w:color w:val="auto"/>
          <w:sz w:val="28"/>
          <w:szCs w:val="32"/>
          <w:highlight w:val="none"/>
        </w:rPr>
        <w:t>2.</w:t>
      </w:r>
      <w:r>
        <w:rPr>
          <w:rFonts w:hint="eastAsia"/>
          <w:color w:val="auto"/>
          <w:sz w:val="28"/>
          <w:szCs w:val="32"/>
          <w:highlight w:val="none"/>
          <w:lang w:val="en-US" w:eastAsia="zh-CN"/>
        </w:rPr>
        <w:t>8</w:t>
      </w:r>
      <w:r>
        <w:rPr>
          <w:rFonts w:hint="eastAsia"/>
          <w:color w:val="auto"/>
          <w:sz w:val="28"/>
          <w:szCs w:val="32"/>
          <w:highlight w:val="none"/>
        </w:rPr>
        <w:t>.5</w:t>
      </w:r>
      <w:r>
        <w:rPr>
          <w:color w:val="auto"/>
          <w:sz w:val="28"/>
          <w:szCs w:val="32"/>
          <w:highlight w:val="none"/>
        </w:rPr>
        <w:t>合同公告</w:t>
      </w:r>
      <w:bookmarkEnd w:id="94"/>
      <w:bookmarkEnd w:id="95"/>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采购人应当自政府采购合同签订之日起2个工作日内，将政府采购合同在四川政府采购网公告，但政府采购合同中涉及国家秘密、商业秘密的内容除外。</w:t>
      </w:r>
    </w:p>
    <w:p>
      <w:pPr>
        <w:pStyle w:val="5"/>
        <w:numPr>
          <w:ilvl w:val="0"/>
          <w:numId w:val="0"/>
        </w:numPr>
        <w:rPr>
          <w:color w:val="auto"/>
          <w:sz w:val="28"/>
          <w:szCs w:val="32"/>
          <w:highlight w:val="none"/>
        </w:rPr>
      </w:pPr>
      <w:bookmarkStart w:id="96" w:name="_Toc8303"/>
      <w:bookmarkStart w:id="97" w:name="_Toc8539"/>
      <w:r>
        <w:rPr>
          <w:rFonts w:hint="eastAsia"/>
          <w:color w:val="auto"/>
          <w:sz w:val="28"/>
          <w:szCs w:val="32"/>
          <w:highlight w:val="none"/>
        </w:rPr>
        <w:t>2.</w:t>
      </w:r>
      <w:r>
        <w:rPr>
          <w:rFonts w:hint="eastAsia"/>
          <w:color w:val="auto"/>
          <w:sz w:val="28"/>
          <w:szCs w:val="32"/>
          <w:highlight w:val="none"/>
          <w:lang w:val="en-US" w:eastAsia="zh-CN"/>
        </w:rPr>
        <w:t>8</w:t>
      </w:r>
      <w:r>
        <w:rPr>
          <w:rFonts w:hint="eastAsia"/>
          <w:color w:val="auto"/>
          <w:sz w:val="28"/>
          <w:szCs w:val="32"/>
          <w:highlight w:val="none"/>
        </w:rPr>
        <w:t>.6</w:t>
      </w:r>
      <w:r>
        <w:rPr>
          <w:color w:val="auto"/>
          <w:sz w:val="28"/>
          <w:szCs w:val="32"/>
          <w:highlight w:val="none"/>
        </w:rPr>
        <w:t>合同备案</w:t>
      </w:r>
      <w:bookmarkEnd w:id="96"/>
      <w:bookmarkEnd w:id="97"/>
    </w:p>
    <w:p>
      <w:pPr>
        <w:spacing w:line="600" w:lineRule="exact"/>
        <w:ind w:firstLine="560" w:firstLineChars="200"/>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疫情防控期间，采购人原则上在5个工作日内与供应商签订政府采购合同及按成都市</w:t>
      </w:r>
      <w:r>
        <w:rPr>
          <w:rFonts w:hint="eastAsia" w:cs="Times New Roman"/>
          <w:color w:val="auto"/>
          <w:kern w:val="10"/>
          <w:sz w:val="28"/>
          <w:szCs w:val="21"/>
          <w:highlight w:val="none"/>
          <w:lang w:eastAsia="zh-CN"/>
        </w:rPr>
        <w:t>温江区</w:t>
      </w:r>
      <w:r>
        <w:rPr>
          <w:rFonts w:hint="eastAsia" w:ascii="宋体" w:hAnsi="宋体" w:cs="Times New Roman"/>
          <w:color w:val="auto"/>
          <w:kern w:val="10"/>
          <w:sz w:val="28"/>
          <w:szCs w:val="21"/>
          <w:highlight w:val="none"/>
        </w:rPr>
        <w:t>财政局的要求完成合同备案工作。</w:t>
      </w:r>
    </w:p>
    <w:p>
      <w:pPr>
        <w:pStyle w:val="5"/>
        <w:numPr>
          <w:ilvl w:val="0"/>
          <w:numId w:val="0"/>
        </w:numPr>
        <w:rPr>
          <w:color w:val="auto"/>
          <w:sz w:val="28"/>
          <w:szCs w:val="32"/>
          <w:highlight w:val="none"/>
        </w:rPr>
      </w:pPr>
      <w:bookmarkStart w:id="98" w:name="_Toc3002"/>
      <w:bookmarkStart w:id="99" w:name="_Toc27151"/>
      <w:r>
        <w:rPr>
          <w:rFonts w:hint="eastAsia" w:cs="宋体"/>
          <w:color w:val="auto"/>
          <w:sz w:val="28"/>
          <w:szCs w:val="32"/>
          <w:highlight w:val="none"/>
        </w:rPr>
        <w:t>2.</w:t>
      </w:r>
      <w:r>
        <w:rPr>
          <w:rFonts w:hint="eastAsia" w:cs="宋体"/>
          <w:color w:val="auto"/>
          <w:sz w:val="28"/>
          <w:szCs w:val="32"/>
          <w:highlight w:val="none"/>
          <w:lang w:val="en-US" w:eastAsia="zh-CN"/>
        </w:rPr>
        <w:t>8</w:t>
      </w:r>
      <w:r>
        <w:rPr>
          <w:rFonts w:hint="eastAsia" w:cs="宋体"/>
          <w:color w:val="auto"/>
          <w:sz w:val="28"/>
          <w:szCs w:val="32"/>
          <w:highlight w:val="none"/>
        </w:rPr>
        <w:t>.7履行</w:t>
      </w:r>
      <w:r>
        <w:rPr>
          <w:rFonts w:hint="eastAsia"/>
          <w:color w:val="auto"/>
          <w:sz w:val="28"/>
          <w:szCs w:val="32"/>
          <w:highlight w:val="none"/>
        </w:rPr>
        <w:t>合同</w:t>
      </w:r>
      <w:bookmarkEnd w:id="98"/>
      <w:bookmarkEnd w:id="99"/>
    </w:p>
    <w:p>
      <w:pPr>
        <w:pStyle w:val="113"/>
        <w:ind w:firstLine="480"/>
        <w:rPr>
          <w:color w:val="auto"/>
          <w:sz w:val="28"/>
          <w:szCs w:val="24"/>
          <w:highlight w:val="none"/>
        </w:rPr>
      </w:pPr>
      <w:r>
        <w:rPr>
          <w:rFonts w:hint="eastAsia"/>
          <w:color w:val="auto"/>
          <w:sz w:val="28"/>
          <w:szCs w:val="24"/>
          <w:highlight w:val="none"/>
        </w:rPr>
        <w:t>一、合同一经签订，双方应严格履行合同规定的义务。</w:t>
      </w:r>
    </w:p>
    <w:p>
      <w:pPr>
        <w:pStyle w:val="113"/>
        <w:ind w:firstLine="480"/>
        <w:rPr>
          <w:color w:val="auto"/>
          <w:sz w:val="28"/>
          <w:szCs w:val="24"/>
          <w:highlight w:val="none"/>
        </w:rPr>
      </w:pPr>
      <w:r>
        <w:rPr>
          <w:rFonts w:hint="eastAsia"/>
          <w:color w:val="auto"/>
          <w:sz w:val="28"/>
          <w:szCs w:val="24"/>
          <w:highlight w:val="none"/>
        </w:rPr>
        <w:t>二、在合同履行过程中，如发生合同纠纷，合同双方应按照《中华人民共和国民法典》及合同条款的有关规定进行处理。</w:t>
      </w:r>
    </w:p>
    <w:p>
      <w:pPr>
        <w:pStyle w:val="5"/>
        <w:numPr>
          <w:ilvl w:val="0"/>
          <w:numId w:val="0"/>
        </w:numPr>
        <w:rPr>
          <w:color w:val="auto"/>
          <w:sz w:val="28"/>
          <w:szCs w:val="32"/>
          <w:highlight w:val="none"/>
        </w:rPr>
      </w:pPr>
      <w:bookmarkStart w:id="100" w:name="_Toc7541"/>
      <w:bookmarkStart w:id="101" w:name="_Toc15556"/>
      <w:r>
        <w:rPr>
          <w:rFonts w:hint="eastAsia"/>
          <w:color w:val="auto"/>
          <w:sz w:val="28"/>
          <w:szCs w:val="32"/>
          <w:highlight w:val="none"/>
        </w:rPr>
        <w:t>2.</w:t>
      </w:r>
      <w:r>
        <w:rPr>
          <w:rFonts w:hint="eastAsia"/>
          <w:color w:val="auto"/>
          <w:sz w:val="28"/>
          <w:szCs w:val="32"/>
          <w:highlight w:val="none"/>
          <w:lang w:val="en-US" w:eastAsia="zh-CN"/>
        </w:rPr>
        <w:t>8</w:t>
      </w:r>
      <w:r>
        <w:rPr>
          <w:rFonts w:hint="eastAsia"/>
          <w:color w:val="auto"/>
          <w:sz w:val="28"/>
          <w:szCs w:val="32"/>
          <w:highlight w:val="none"/>
        </w:rPr>
        <w:t>.8验收</w:t>
      </w:r>
      <w:bookmarkEnd w:id="100"/>
      <w:bookmarkEnd w:id="101"/>
    </w:p>
    <w:p>
      <w:pPr>
        <w:pStyle w:val="113"/>
        <w:ind w:firstLine="480"/>
        <w:rPr>
          <w:rFonts w:hint="eastAsia"/>
          <w:color w:val="auto"/>
          <w:sz w:val="28"/>
          <w:szCs w:val="24"/>
          <w:highlight w:val="none"/>
        </w:rPr>
      </w:pPr>
      <w:r>
        <w:rPr>
          <w:rFonts w:hint="eastAsia"/>
          <w:color w:val="auto"/>
          <w:sz w:val="28"/>
          <w:szCs w:val="24"/>
          <w:highlight w:val="none"/>
        </w:rPr>
        <w:t>采购人严格按照国家相关法律法规的要求组织验收或考核。</w:t>
      </w:r>
    </w:p>
    <w:p>
      <w:pPr>
        <w:pStyle w:val="5"/>
        <w:numPr>
          <w:ilvl w:val="0"/>
          <w:numId w:val="0"/>
        </w:numPr>
        <w:rPr>
          <w:color w:val="auto"/>
          <w:sz w:val="28"/>
          <w:szCs w:val="32"/>
          <w:highlight w:val="none"/>
        </w:rPr>
      </w:pPr>
      <w:bookmarkStart w:id="102" w:name="_Toc484"/>
      <w:bookmarkStart w:id="103" w:name="_Toc16933"/>
      <w:r>
        <w:rPr>
          <w:rFonts w:hint="eastAsia"/>
          <w:color w:val="auto"/>
          <w:sz w:val="28"/>
          <w:szCs w:val="32"/>
          <w:highlight w:val="none"/>
        </w:rPr>
        <w:t>2.</w:t>
      </w:r>
      <w:r>
        <w:rPr>
          <w:rFonts w:hint="eastAsia"/>
          <w:color w:val="auto"/>
          <w:sz w:val="28"/>
          <w:szCs w:val="32"/>
          <w:highlight w:val="none"/>
          <w:lang w:val="en-US" w:eastAsia="zh-CN"/>
        </w:rPr>
        <w:t>8</w:t>
      </w:r>
      <w:r>
        <w:rPr>
          <w:rFonts w:hint="eastAsia"/>
          <w:color w:val="auto"/>
          <w:sz w:val="28"/>
          <w:szCs w:val="32"/>
          <w:highlight w:val="none"/>
        </w:rPr>
        <w:t>.9资金支付</w:t>
      </w:r>
      <w:bookmarkEnd w:id="102"/>
      <w:bookmarkEnd w:id="103"/>
    </w:p>
    <w:p>
      <w:pPr>
        <w:pStyle w:val="113"/>
        <w:ind w:firstLine="480"/>
        <w:rPr>
          <w:color w:val="auto"/>
          <w:sz w:val="28"/>
          <w:szCs w:val="24"/>
          <w:highlight w:val="none"/>
        </w:rPr>
      </w:pPr>
      <w:r>
        <w:rPr>
          <w:rFonts w:hint="eastAsia"/>
          <w:color w:val="auto"/>
          <w:sz w:val="28"/>
          <w:szCs w:val="24"/>
          <w:highlight w:val="none"/>
        </w:rPr>
        <w:t>采购人按财政部门</w:t>
      </w:r>
      <w:r>
        <w:rPr>
          <w:rFonts w:hint="eastAsia"/>
          <w:color w:val="auto"/>
          <w:sz w:val="28"/>
          <w:szCs w:val="24"/>
          <w:highlight w:val="none"/>
          <w:lang w:eastAsia="zh-CN"/>
        </w:rPr>
        <w:t>的</w:t>
      </w:r>
      <w:r>
        <w:rPr>
          <w:rFonts w:hint="eastAsia"/>
          <w:color w:val="auto"/>
          <w:sz w:val="28"/>
          <w:szCs w:val="24"/>
          <w:highlight w:val="none"/>
        </w:rPr>
        <w:t>有关规定及采购合同的约定进行支付。</w:t>
      </w:r>
    </w:p>
    <w:p>
      <w:pPr>
        <w:pStyle w:val="4"/>
        <w:numPr>
          <w:ilvl w:val="0"/>
          <w:numId w:val="0"/>
        </w:numPr>
        <w:spacing w:before="156" w:after="156"/>
        <w:rPr>
          <w:color w:val="auto"/>
          <w:sz w:val="28"/>
          <w:szCs w:val="28"/>
          <w:highlight w:val="none"/>
        </w:rPr>
      </w:pPr>
      <w:bookmarkStart w:id="104" w:name="_Toc2661"/>
      <w:bookmarkStart w:id="105" w:name="_Toc28083"/>
      <w:r>
        <w:rPr>
          <w:rFonts w:hint="eastAsia"/>
          <w:color w:val="auto"/>
          <w:sz w:val="28"/>
          <w:szCs w:val="28"/>
          <w:highlight w:val="none"/>
        </w:rPr>
        <w:t>2.</w:t>
      </w:r>
      <w:r>
        <w:rPr>
          <w:rFonts w:hint="eastAsia"/>
          <w:color w:val="auto"/>
          <w:sz w:val="28"/>
          <w:szCs w:val="28"/>
          <w:highlight w:val="none"/>
          <w:lang w:val="en-US" w:eastAsia="zh-CN"/>
        </w:rPr>
        <w:t>9</w:t>
      </w:r>
      <w:r>
        <w:rPr>
          <w:rFonts w:hint="eastAsia"/>
          <w:color w:val="auto"/>
          <w:sz w:val="28"/>
          <w:szCs w:val="28"/>
          <w:highlight w:val="none"/>
        </w:rPr>
        <w:t>竞争性磋商工作纪律及要求</w:t>
      </w:r>
      <w:bookmarkEnd w:id="104"/>
      <w:bookmarkEnd w:id="105"/>
    </w:p>
    <w:p>
      <w:pPr>
        <w:pStyle w:val="5"/>
        <w:numPr>
          <w:ilvl w:val="0"/>
          <w:numId w:val="0"/>
        </w:numPr>
        <w:rPr>
          <w:color w:val="auto"/>
          <w:sz w:val="28"/>
          <w:szCs w:val="32"/>
          <w:highlight w:val="none"/>
        </w:rPr>
      </w:pPr>
      <w:bookmarkStart w:id="106" w:name="_Toc31334"/>
      <w:bookmarkStart w:id="107" w:name="_Toc26725"/>
      <w:r>
        <w:rPr>
          <w:rFonts w:hint="eastAsia"/>
          <w:color w:val="auto"/>
          <w:sz w:val="28"/>
          <w:szCs w:val="32"/>
          <w:highlight w:val="none"/>
        </w:rPr>
        <w:t>2.</w:t>
      </w:r>
      <w:r>
        <w:rPr>
          <w:rFonts w:hint="eastAsia"/>
          <w:color w:val="auto"/>
          <w:sz w:val="28"/>
          <w:szCs w:val="32"/>
          <w:highlight w:val="none"/>
          <w:lang w:val="en-US" w:eastAsia="zh-CN"/>
        </w:rPr>
        <w:t>9</w:t>
      </w:r>
      <w:r>
        <w:rPr>
          <w:rFonts w:hint="eastAsia"/>
          <w:color w:val="auto"/>
          <w:sz w:val="28"/>
          <w:szCs w:val="32"/>
          <w:highlight w:val="none"/>
        </w:rPr>
        <w:t>.1供应商不得具有的情形</w:t>
      </w:r>
      <w:bookmarkEnd w:id="106"/>
      <w:bookmarkEnd w:id="107"/>
    </w:p>
    <w:p>
      <w:pPr>
        <w:pStyle w:val="113"/>
        <w:ind w:firstLine="480"/>
        <w:rPr>
          <w:color w:val="auto"/>
          <w:sz w:val="28"/>
          <w:szCs w:val="24"/>
          <w:highlight w:val="none"/>
        </w:rPr>
      </w:pPr>
      <w:r>
        <w:rPr>
          <w:rFonts w:hint="eastAsia"/>
          <w:color w:val="auto"/>
          <w:sz w:val="28"/>
          <w:szCs w:val="24"/>
          <w:highlight w:val="none"/>
        </w:rPr>
        <w:t>供应商参加磋商不得有下列情形：</w:t>
      </w:r>
    </w:p>
    <w:p>
      <w:pPr>
        <w:pStyle w:val="113"/>
        <w:ind w:firstLine="480"/>
        <w:rPr>
          <w:color w:val="auto"/>
          <w:sz w:val="28"/>
          <w:szCs w:val="24"/>
          <w:highlight w:val="none"/>
        </w:rPr>
      </w:pPr>
      <w:r>
        <w:rPr>
          <w:rFonts w:hint="eastAsia"/>
          <w:color w:val="auto"/>
          <w:sz w:val="28"/>
          <w:szCs w:val="24"/>
          <w:highlight w:val="none"/>
        </w:rPr>
        <w:t>一、有下列情形之一的，视为供应商串通参加本次竞争性磋商采购活动：</w:t>
      </w:r>
    </w:p>
    <w:p>
      <w:pPr>
        <w:pStyle w:val="113"/>
        <w:ind w:firstLine="480"/>
        <w:rPr>
          <w:color w:val="auto"/>
          <w:sz w:val="28"/>
          <w:szCs w:val="24"/>
          <w:highlight w:val="none"/>
        </w:rPr>
      </w:pPr>
      <w:r>
        <w:rPr>
          <w:rFonts w:hint="eastAsia"/>
          <w:color w:val="auto"/>
          <w:sz w:val="28"/>
          <w:szCs w:val="24"/>
          <w:highlight w:val="none"/>
        </w:rPr>
        <w:t>（一）不同供应商的响应文件由同一单位或者个人编制；</w:t>
      </w:r>
    </w:p>
    <w:p>
      <w:pPr>
        <w:pStyle w:val="113"/>
        <w:ind w:firstLine="480"/>
        <w:rPr>
          <w:color w:val="auto"/>
          <w:sz w:val="28"/>
          <w:szCs w:val="24"/>
          <w:highlight w:val="none"/>
        </w:rPr>
      </w:pPr>
      <w:r>
        <w:rPr>
          <w:rFonts w:hint="eastAsia"/>
          <w:color w:val="auto"/>
          <w:sz w:val="28"/>
          <w:szCs w:val="24"/>
          <w:highlight w:val="none"/>
        </w:rPr>
        <w:t>（二）不同供应商委托同一单位或者个人办理磋商事宜；</w:t>
      </w:r>
    </w:p>
    <w:p>
      <w:pPr>
        <w:pStyle w:val="113"/>
        <w:ind w:firstLine="480"/>
        <w:rPr>
          <w:color w:val="auto"/>
          <w:sz w:val="28"/>
          <w:szCs w:val="24"/>
          <w:highlight w:val="none"/>
        </w:rPr>
      </w:pPr>
      <w:r>
        <w:rPr>
          <w:rFonts w:hint="eastAsia"/>
          <w:color w:val="auto"/>
          <w:sz w:val="28"/>
          <w:szCs w:val="24"/>
          <w:highlight w:val="none"/>
        </w:rPr>
        <w:t>（三）不同供应商的响应文件载明的项目管理成员或者联系人员为同一人；</w:t>
      </w:r>
    </w:p>
    <w:p>
      <w:pPr>
        <w:pStyle w:val="113"/>
        <w:ind w:firstLine="480"/>
        <w:rPr>
          <w:color w:val="auto"/>
          <w:sz w:val="28"/>
          <w:szCs w:val="24"/>
          <w:highlight w:val="none"/>
        </w:rPr>
      </w:pPr>
      <w:r>
        <w:rPr>
          <w:rFonts w:hint="eastAsia"/>
          <w:color w:val="auto"/>
          <w:sz w:val="28"/>
          <w:szCs w:val="24"/>
          <w:highlight w:val="none"/>
        </w:rPr>
        <w:t>（四）不同供应商的响应文件异常一致或者最后报价呈规律性差异；</w:t>
      </w:r>
    </w:p>
    <w:p>
      <w:pPr>
        <w:pStyle w:val="113"/>
        <w:ind w:firstLine="480"/>
        <w:rPr>
          <w:color w:val="auto"/>
          <w:sz w:val="28"/>
          <w:szCs w:val="24"/>
          <w:highlight w:val="none"/>
        </w:rPr>
      </w:pPr>
      <w:r>
        <w:rPr>
          <w:rFonts w:hint="eastAsia"/>
          <w:color w:val="auto"/>
          <w:sz w:val="28"/>
          <w:szCs w:val="24"/>
          <w:highlight w:val="none"/>
        </w:rPr>
        <w:t>（五）不同供应商的响应文件相互混装；</w:t>
      </w:r>
    </w:p>
    <w:p>
      <w:pPr>
        <w:pStyle w:val="113"/>
        <w:ind w:firstLine="480"/>
        <w:rPr>
          <w:color w:val="auto"/>
          <w:sz w:val="28"/>
          <w:szCs w:val="24"/>
          <w:highlight w:val="none"/>
          <w:lang w:eastAsia="zh-CN"/>
        </w:rPr>
      </w:pPr>
      <w:r>
        <w:rPr>
          <w:rFonts w:hint="eastAsia"/>
          <w:color w:val="auto"/>
          <w:sz w:val="28"/>
          <w:szCs w:val="24"/>
          <w:highlight w:val="none"/>
        </w:rPr>
        <w:t>（六）不同供应商的磋商保证金从同一单位或者个人的账户转出；</w:t>
      </w:r>
    </w:p>
    <w:p>
      <w:pPr>
        <w:pStyle w:val="113"/>
        <w:ind w:firstLine="480"/>
        <w:rPr>
          <w:color w:val="auto"/>
          <w:sz w:val="28"/>
          <w:szCs w:val="24"/>
          <w:highlight w:val="none"/>
        </w:rPr>
      </w:pPr>
      <w:r>
        <w:rPr>
          <w:rFonts w:hint="eastAsia"/>
          <w:color w:val="auto"/>
          <w:sz w:val="28"/>
          <w:szCs w:val="24"/>
          <w:highlight w:val="none"/>
        </w:rPr>
        <w:t>二、提供虚假材料谋取成交；</w:t>
      </w:r>
    </w:p>
    <w:p>
      <w:pPr>
        <w:pStyle w:val="113"/>
        <w:ind w:firstLine="480"/>
        <w:rPr>
          <w:color w:val="auto"/>
          <w:sz w:val="28"/>
          <w:szCs w:val="24"/>
          <w:highlight w:val="none"/>
        </w:rPr>
      </w:pPr>
      <w:r>
        <w:rPr>
          <w:rFonts w:hint="eastAsia"/>
          <w:color w:val="auto"/>
          <w:sz w:val="28"/>
          <w:szCs w:val="24"/>
          <w:highlight w:val="none"/>
        </w:rPr>
        <w:t>三、采取不正当手段诋毁、排挤其他供应商；</w:t>
      </w:r>
    </w:p>
    <w:p>
      <w:pPr>
        <w:pStyle w:val="113"/>
        <w:ind w:firstLine="480"/>
        <w:rPr>
          <w:color w:val="auto"/>
          <w:sz w:val="28"/>
          <w:szCs w:val="24"/>
          <w:highlight w:val="none"/>
        </w:rPr>
      </w:pPr>
      <w:r>
        <w:rPr>
          <w:rFonts w:hint="eastAsia"/>
          <w:color w:val="auto"/>
          <w:sz w:val="28"/>
          <w:szCs w:val="24"/>
          <w:highlight w:val="none"/>
        </w:rPr>
        <w:t>四、与采购人或区公资交易中心、其他供应商恶意串通；</w:t>
      </w:r>
    </w:p>
    <w:p>
      <w:pPr>
        <w:pStyle w:val="113"/>
        <w:ind w:firstLine="480"/>
        <w:rPr>
          <w:color w:val="auto"/>
          <w:sz w:val="28"/>
          <w:szCs w:val="24"/>
          <w:highlight w:val="none"/>
        </w:rPr>
      </w:pPr>
      <w:r>
        <w:rPr>
          <w:rFonts w:hint="eastAsia"/>
          <w:color w:val="auto"/>
          <w:sz w:val="28"/>
          <w:szCs w:val="24"/>
          <w:highlight w:val="none"/>
        </w:rPr>
        <w:t>五、向采购人或区公资交易中心、磋商小组成员行贿或者提供其他不正当利益；</w:t>
      </w:r>
    </w:p>
    <w:p>
      <w:pPr>
        <w:numPr>
          <w:ilvl w:val="0"/>
          <w:numId w:val="0"/>
        </w:numPr>
        <w:tabs>
          <w:tab w:val="left" w:pos="1134"/>
        </w:tabs>
        <w:spacing w:line="360" w:lineRule="auto"/>
        <w:ind w:left="567" w:firstLine="0"/>
        <w:rPr>
          <w:rFonts w:hint="eastAsia" w:ascii="宋体" w:hAnsi="宋体" w:cs="Times New Roman"/>
          <w:color w:val="auto"/>
          <w:kern w:val="10"/>
          <w:sz w:val="28"/>
          <w:szCs w:val="21"/>
          <w:highlight w:val="none"/>
        </w:rPr>
      </w:pPr>
      <w:r>
        <w:rPr>
          <w:rFonts w:hint="eastAsia" w:cs="Times New Roman"/>
          <w:color w:val="auto"/>
          <w:kern w:val="10"/>
          <w:sz w:val="28"/>
          <w:szCs w:val="21"/>
          <w:highlight w:val="none"/>
          <w:lang w:eastAsia="zh-CN"/>
        </w:rPr>
        <w:t>六、</w:t>
      </w:r>
      <w:r>
        <w:rPr>
          <w:rFonts w:hint="eastAsia" w:ascii="宋体" w:hAnsi="宋体" w:cs="Times New Roman"/>
          <w:color w:val="auto"/>
          <w:kern w:val="10"/>
          <w:sz w:val="28"/>
          <w:szCs w:val="21"/>
          <w:highlight w:val="none"/>
        </w:rPr>
        <w:t>在</w:t>
      </w:r>
      <w:r>
        <w:rPr>
          <w:rFonts w:hint="eastAsia" w:cs="Times New Roman"/>
          <w:color w:val="auto"/>
          <w:kern w:val="10"/>
          <w:sz w:val="28"/>
          <w:szCs w:val="21"/>
          <w:highlight w:val="none"/>
          <w:lang w:eastAsia="zh-CN"/>
        </w:rPr>
        <w:t>磋商</w:t>
      </w:r>
      <w:r>
        <w:rPr>
          <w:rFonts w:hint="eastAsia" w:ascii="宋体" w:hAnsi="宋体" w:cs="Times New Roman"/>
          <w:color w:val="auto"/>
          <w:kern w:val="10"/>
          <w:sz w:val="28"/>
          <w:szCs w:val="21"/>
          <w:highlight w:val="none"/>
        </w:rPr>
        <w:t>过程中与采购人或</w:t>
      </w:r>
      <w:r>
        <w:rPr>
          <w:rFonts w:hint="eastAsia" w:cs="Times New Roman"/>
          <w:color w:val="auto"/>
          <w:kern w:val="10"/>
          <w:sz w:val="28"/>
          <w:szCs w:val="21"/>
          <w:highlight w:val="none"/>
          <w:lang w:eastAsia="zh-CN"/>
        </w:rPr>
        <w:t>区</w:t>
      </w:r>
      <w:r>
        <w:rPr>
          <w:rFonts w:hint="eastAsia" w:cs="Times New Roman"/>
          <w:color w:val="auto"/>
          <w:kern w:val="10"/>
          <w:sz w:val="28"/>
          <w:szCs w:val="21"/>
          <w:highlight w:val="none"/>
        </w:rPr>
        <w:t>公资交易中心</w:t>
      </w:r>
      <w:r>
        <w:rPr>
          <w:rFonts w:hint="eastAsia" w:ascii="宋体" w:hAnsi="宋体" w:cs="Times New Roman"/>
          <w:color w:val="auto"/>
          <w:kern w:val="10"/>
          <w:sz w:val="28"/>
          <w:szCs w:val="21"/>
          <w:highlight w:val="none"/>
        </w:rPr>
        <w:t>进行协商谈判；</w:t>
      </w:r>
    </w:p>
    <w:p>
      <w:pPr>
        <w:numPr>
          <w:ilvl w:val="0"/>
          <w:numId w:val="0"/>
        </w:numPr>
        <w:tabs>
          <w:tab w:val="left" w:pos="1134"/>
        </w:tabs>
        <w:spacing w:line="360" w:lineRule="auto"/>
        <w:ind w:left="567" w:firstLine="0"/>
        <w:rPr>
          <w:rFonts w:hint="eastAsia" w:ascii="宋体" w:hAnsi="宋体" w:cs="Times New Roman"/>
          <w:color w:val="auto"/>
          <w:kern w:val="10"/>
          <w:sz w:val="28"/>
          <w:szCs w:val="21"/>
          <w:highlight w:val="none"/>
        </w:rPr>
      </w:pPr>
      <w:r>
        <w:rPr>
          <w:rFonts w:hint="eastAsia" w:cs="Times New Roman"/>
          <w:color w:val="auto"/>
          <w:kern w:val="10"/>
          <w:sz w:val="28"/>
          <w:szCs w:val="21"/>
          <w:highlight w:val="none"/>
          <w:lang w:eastAsia="zh-CN"/>
        </w:rPr>
        <w:t>七、成交</w:t>
      </w:r>
      <w:r>
        <w:rPr>
          <w:rFonts w:hint="eastAsia" w:ascii="宋体" w:hAnsi="宋体" w:cs="Times New Roman"/>
          <w:color w:val="auto"/>
          <w:kern w:val="10"/>
          <w:sz w:val="28"/>
          <w:szCs w:val="21"/>
          <w:highlight w:val="none"/>
        </w:rPr>
        <w:t>后无正当理由拒不与采购人签订政府采购合同；</w:t>
      </w:r>
    </w:p>
    <w:p>
      <w:pPr>
        <w:numPr>
          <w:ilvl w:val="0"/>
          <w:numId w:val="0"/>
        </w:numPr>
        <w:tabs>
          <w:tab w:val="left" w:pos="1134"/>
        </w:tabs>
        <w:spacing w:line="360" w:lineRule="auto"/>
        <w:ind w:left="567" w:firstLine="0"/>
        <w:rPr>
          <w:rFonts w:hint="eastAsia" w:ascii="宋体" w:hAnsi="宋体" w:cs="Times New Roman"/>
          <w:color w:val="auto"/>
          <w:kern w:val="10"/>
          <w:sz w:val="28"/>
          <w:szCs w:val="21"/>
          <w:highlight w:val="none"/>
        </w:rPr>
      </w:pPr>
      <w:r>
        <w:rPr>
          <w:rFonts w:hint="eastAsia" w:cs="Times New Roman"/>
          <w:color w:val="auto"/>
          <w:kern w:val="10"/>
          <w:sz w:val="28"/>
          <w:szCs w:val="21"/>
          <w:highlight w:val="none"/>
          <w:lang w:eastAsia="zh-CN"/>
        </w:rPr>
        <w:t>八、</w:t>
      </w:r>
      <w:r>
        <w:rPr>
          <w:rFonts w:hint="eastAsia" w:ascii="宋体" w:hAnsi="宋体" w:cs="Times New Roman"/>
          <w:color w:val="auto"/>
          <w:kern w:val="10"/>
          <w:sz w:val="28"/>
          <w:szCs w:val="21"/>
          <w:highlight w:val="none"/>
        </w:rPr>
        <w:t>未按照采购文件确定的事项签订政府采购合同；</w:t>
      </w:r>
    </w:p>
    <w:p>
      <w:pPr>
        <w:numPr>
          <w:ilvl w:val="0"/>
          <w:numId w:val="0"/>
        </w:numPr>
        <w:tabs>
          <w:tab w:val="left" w:pos="1134"/>
        </w:tabs>
        <w:spacing w:line="360" w:lineRule="auto"/>
        <w:ind w:left="567" w:firstLine="0"/>
        <w:rPr>
          <w:rFonts w:hint="eastAsia" w:ascii="宋体" w:hAnsi="宋体" w:cs="Times New Roman"/>
          <w:color w:val="auto"/>
          <w:kern w:val="10"/>
          <w:sz w:val="28"/>
          <w:szCs w:val="21"/>
          <w:highlight w:val="none"/>
        </w:rPr>
      </w:pPr>
      <w:r>
        <w:rPr>
          <w:rFonts w:hint="eastAsia" w:cs="Times New Roman"/>
          <w:color w:val="auto"/>
          <w:kern w:val="10"/>
          <w:sz w:val="28"/>
          <w:szCs w:val="21"/>
          <w:highlight w:val="none"/>
          <w:lang w:eastAsia="zh-CN"/>
        </w:rPr>
        <w:t>九、</w:t>
      </w:r>
      <w:r>
        <w:rPr>
          <w:rFonts w:hint="eastAsia" w:ascii="宋体" w:hAnsi="宋体" w:cs="Times New Roman"/>
          <w:color w:val="auto"/>
          <w:kern w:val="10"/>
          <w:sz w:val="28"/>
          <w:szCs w:val="21"/>
          <w:highlight w:val="none"/>
        </w:rPr>
        <w:t>将政府采购合同转包或者违规分包；</w:t>
      </w:r>
    </w:p>
    <w:p>
      <w:pPr>
        <w:numPr>
          <w:ilvl w:val="0"/>
          <w:numId w:val="0"/>
        </w:numPr>
        <w:tabs>
          <w:tab w:val="left" w:pos="1134"/>
        </w:tabs>
        <w:spacing w:line="360" w:lineRule="auto"/>
        <w:ind w:left="567" w:firstLine="0"/>
        <w:rPr>
          <w:rFonts w:hint="eastAsia" w:ascii="宋体" w:hAnsi="宋体" w:cs="Times New Roman"/>
          <w:color w:val="auto"/>
          <w:kern w:val="10"/>
          <w:sz w:val="28"/>
          <w:szCs w:val="21"/>
          <w:highlight w:val="none"/>
        </w:rPr>
      </w:pPr>
      <w:r>
        <w:rPr>
          <w:rFonts w:hint="eastAsia" w:cs="Times New Roman"/>
          <w:color w:val="auto"/>
          <w:kern w:val="10"/>
          <w:sz w:val="28"/>
          <w:szCs w:val="21"/>
          <w:highlight w:val="none"/>
          <w:lang w:eastAsia="zh-CN"/>
        </w:rPr>
        <w:t>十、</w:t>
      </w:r>
      <w:r>
        <w:rPr>
          <w:rFonts w:hint="eastAsia" w:ascii="宋体" w:hAnsi="宋体" w:cs="Times New Roman"/>
          <w:color w:val="auto"/>
          <w:kern w:val="10"/>
          <w:sz w:val="28"/>
          <w:szCs w:val="21"/>
          <w:highlight w:val="none"/>
        </w:rPr>
        <w:t>提供假冒伪劣产品；</w:t>
      </w:r>
    </w:p>
    <w:p>
      <w:pPr>
        <w:numPr>
          <w:ilvl w:val="0"/>
          <w:numId w:val="0"/>
        </w:numPr>
        <w:tabs>
          <w:tab w:val="left" w:pos="1134"/>
          <w:tab w:val="left" w:pos="1418"/>
        </w:tabs>
        <w:spacing w:line="360" w:lineRule="auto"/>
        <w:ind w:left="567" w:firstLine="0"/>
        <w:rPr>
          <w:rFonts w:hint="eastAsia" w:ascii="宋体" w:hAnsi="宋体" w:cs="Times New Roman"/>
          <w:color w:val="auto"/>
          <w:kern w:val="10"/>
          <w:sz w:val="28"/>
          <w:szCs w:val="21"/>
          <w:highlight w:val="none"/>
        </w:rPr>
      </w:pPr>
      <w:r>
        <w:rPr>
          <w:rFonts w:hint="eastAsia" w:cs="Times New Roman"/>
          <w:color w:val="auto"/>
          <w:kern w:val="10"/>
          <w:sz w:val="28"/>
          <w:szCs w:val="21"/>
          <w:highlight w:val="none"/>
          <w:lang w:eastAsia="zh-CN"/>
        </w:rPr>
        <w:t>十一、</w:t>
      </w:r>
      <w:r>
        <w:rPr>
          <w:rFonts w:hint="eastAsia" w:ascii="宋体" w:hAnsi="宋体" w:cs="Times New Roman"/>
          <w:color w:val="auto"/>
          <w:kern w:val="10"/>
          <w:sz w:val="28"/>
          <w:szCs w:val="21"/>
          <w:highlight w:val="none"/>
        </w:rPr>
        <w:t>擅自变更、中止或者终止政府采购合同；</w:t>
      </w:r>
    </w:p>
    <w:p>
      <w:pPr>
        <w:tabs>
          <w:tab w:val="left" w:pos="1134"/>
        </w:tabs>
        <w:spacing w:line="360" w:lineRule="auto"/>
        <w:ind w:firstLine="560" w:firstLineChars="200"/>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十四、处于被行政部门禁止参与政府采购活动的期限内；</w:t>
      </w:r>
    </w:p>
    <w:p>
      <w:pPr>
        <w:tabs>
          <w:tab w:val="left" w:pos="1134"/>
        </w:tabs>
        <w:spacing w:line="360" w:lineRule="auto"/>
        <w:ind w:left="567"/>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十五、拒绝有关部门的监督检查或者向监督检查部门提供虚假情况；</w:t>
      </w:r>
    </w:p>
    <w:p>
      <w:pPr>
        <w:spacing w:after="180" w:line="360" w:lineRule="auto"/>
        <w:ind w:firstLine="565" w:firstLineChars="202"/>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十六、法律法规规定的其他情形。</w:t>
      </w:r>
    </w:p>
    <w:p>
      <w:pPr>
        <w:pStyle w:val="13"/>
        <w:spacing w:line="600" w:lineRule="exact"/>
        <w:ind w:firstLine="565" w:firstLineChars="202"/>
        <w:rPr>
          <w:rFonts w:hint="eastAsia" w:ascii="宋体" w:hAnsi="宋体" w:cs="Times New Roman"/>
          <w:color w:val="auto"/>
          <w:kern w:val="10"/>
          <w:sz w:val="28"/>
          <w:szCs w:val="21"/>
          <w:highlight w:val="none"/>
          <w:lang w:val="en-US" w:eastAsia="zh-CN" w:bidi="ar-SA"/>
        </w:rPr>
      </w:pPr>
      <w:r>
        <w:rPr>
          <w:rFonts w:hint="eastAsia" w:ascii="宋体" w:hAnsi="宋体" w:cs="Times New Roman"/>
          <w:color w:val="auto"/>
          <w:kern w:val="10"/>
          <w:sz w:val="28"/>
          <w:szCs w:val="21"/>
          <w:highlight w:val="none"/>
          <w:lang w:val="en-US" w:eastAsia="zh-CN" w:bidi="ar-SA"/>
        </w:rPr>
        <w:t>供应商有上述情形的，按照规定追究法律责任，具备一至十四条情形之一的，同时将认定供应商响应文件无效或不确定其为成交供应商，或者取消成交资格或认定成交无效。</w:t>
      </w:r>
    </w:p>
    <w:p>
      <w:pPr>
        <w:pStyle w:val="5"/>
        <w:numPr>
          <w:ilvl w:val="0"/>
          <w:numId w:val="0"/>
        </w:numPr>
        <w:rPr>
          <w:color w:val="auto"/>
          <w:sz w:val="28"/>
          <w:szCs w:val="32"/>
          <w:highlight w:val="none"/>
        </w:rPr>
      </w:pPr>
      <w:bookmarkStart w:id="108" w:name="_Toc12011"/>
      <w:bookmarkStart w:id="109" w:name="_Toc19713"/>
      <w:r>
        <w:rPr>
          <w:rFonts w:hint="eastAsia"/>
          <w:color w:val="auto"/>
          <w:sz w:val="28"/>
          <w:szCs w:val="32"/>
          <w:highlight w:val="none"/>
        </w:rPr>
        <w:t>2.</w:t>
      </w:r>
      <w:r>
        <w:rPr>
          <w:rFonts w:hint="eastAsia"/>
          <w:color w:val="auto"/>
          <w:sz w:val="28"/>
          <w:szCs w:val="32"/>
          <w:highlight w:val="none"/>
          <w:lang w:val="en-US" w:eastAsia="zh-CN"/>
        </w:rPr>
        <w:t>9</w:t>
      </w:r>
      <w:r>
        <w:rPr>
          <w:rFonts w:hint="eastAsia"/>
          <w:color w:val="auto"/>
          <w:sz w:val="28"/>
          <w:szCs w:val="32"/>
          <w:highlight w:val="none"/>
        </w:rPr>
        <w:t>.</w:t>
      </w:r>
      <w:r>
        <w:rPr>
          <w:rFonts w:hint="eastAsia"/>
          <w:color w:val="auto"/>
          <w:sz w:val="28"/>
          <w:szCs w:val="32"/>
          <w:highlight w:val="none"/>
          <w:lang w:val="en-US" w:eastAsia="zh-CN"/>
        </w:rPr>
        <w:t>2</w:t>
      </w:r>
      <w:r>
        <w:rPr>
          <w:rFonts w:hint="eastAsia"/>
          <w:color w:val="auto"/>
          <w:sz w:val="28"/>
          <w:szCs w:val="32"/>
          <w:highlight w:val="none"/>
        </w:rPr>
        <w:t>回避</w:t>
      </w:r>
      <w:bookmarkEnd w:id="108"/>
      <w:bookmarkEnd w:id="109"/>
    </w:p>
    <w:p>
      <w:pPr>
        <w:shd w:val="clear" w:color="auto" w:fill="auto"/>
        <w:tabs>
          <w:tab w:val="left" w:pos="1134"/>
        </w:tabs>
        <w:spacing w:line="360" w:lineRule="auto"/>
        <w:ind w:firstLine="560" w:firstLineChars="200"/>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在政府采购活动中，采购人员</w:t>
      </w:r>
      <w:r>
        <w:rPr>
          <w:rFonts w:hint="eastAsia" w:cs="Times New Roman"/>
          <w:color w:val="auto"/>
          <w:kern w:val="10"/>
          <w:sz w:val="28"/>
          <w:szCs w:val="21"/>
          <w:highlight w:val="none"/>
        </w:rPr>
        <w:t>（如采购人内部负责采购项目的具体经办工作人员或直接分管采购项目的负责人、</w:t>
      </w:r>
      <w:r>
        <w:rPr>
          <w:rFonts w:hint="eastAsia" w:cs="Times New Roman"/>
          <w:color w:val="auto"/>
          <w:kern w:val="10"/>
          <w:sz w:val="28"/>
          <w:szCs w:val="21"/>
          <w:highlight w:val="none"/>
          <w:lang w:eastAsia="zh-CN"/>
        </w:rPr>
        <w:t>区</w:t>
      </w:r>
      <w:r>
        <w:rPr>
          <w:rFonts w:hint="eastAsia" w:cs="Times New Roman"/>
          <w:color w:val="auto"/>
          <w:kern w:val="10"/>
          <w:sz w:val="28"/>
          <w:szCs w:val="21"/>
          <w:highlight w:val="none"/>
        </w:rPr>
        <w:t>公资交易中心负责采购项目的具体经办工作人员或直接分管采购活动的负责人等）</w:t>
      </w:r>
      <w:r>
        <w:rPr>
          <w:rFonts w:hint="eastAsia" w:ascii="宋体" w:hAnsi="宋体" w:cs="Times New Roman"/>
          <w:color w:val="auto"/>
          <w:kern w:val="10"/>
          <w:sz w:val="28"/>
          <w:szCs w:val="21"/>
          <w:highlight w:val="none"/>
        </w:rPr>
        <w:t>及相关人员与供应商有下列利害关系之一的，应当回避：</w:t>
      </w:r>
    </w:p>
    <w:p>
      <w:pPr>
        <w:shd w:val="clear" w:color="auto" w:fill="auto"/>
        <w:tabs>
          <w:tab w:val="left" w:pos="1134"/>
        </w:tabs>
        <w:spacing w:line="360" w:lineRule="auto"/>
        <w:ind w:left="0" w:firstLine="560" w:firstLineChars="200"/>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（一）参加采购活动前3年内与供应商存在劳动关系；</w:t>
      </w:r>
    </w:p>
    <w:p>
      <w:pPr>
        <w:shd w:val="clear" w:color="auto" w:fill="auto"/>
        <w:tabs>
          <w:tab w:val="left" w:pos="1134"/>
        </w:tabs>
        <w:spacing w:line="360" w:lineRule="auto"/>
        <w:ind w:firstLine="560" w:firstLineChars="200"/>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（二）参加采购活动前3年内担任供应商的董事、监事；</w:t>
      </w:r>
    </w:p>
    <w:p>
      <w:pPr>
        <w:shd w:val="clear" w:color="auto" w:fill="auto"/>
        <w:tabs>
          <w:tab w:val="left" w:pos="1134"/>
        </w:tabs>
        <w:spacing w:line="360" w:lineRule="auto"/>
        <w:ind w:firstLine="560" w:firstLineChars="200"/>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（三）参加采购活动前3年内是供应商的控股股东或者实际控制人；</w:t>
      </w:r>
    </w:p>
    <w:p>
      <w:pPr>
        <w:shd w:val="clear" w:color="auto" w:fill="auto"/>
        <w:tabs>
          <w:tab w:val="left" w:pos="1134"/>
        </w:tabs>
        <w:spacing w:line="360" w:lineRule="auto"/>
        <w:ind w:firstLine="560" w:firstLineChars="200"/>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（四）与供应商的法定代表人或者负责人有夫妻、直系血亲、三代以内旁系血亲或者近姻亲关系；</w:t>
      </w:r>
    </w:p>
    <w:p>
      <w:pPr>
        <w:shd w:val="clear" w:color="auto" w:fill="auto"/>
        <w:tabs>
          <w:tab w:val="left" w:pos="1134"/>
        </w:tabs>
        <w:spacing w:line="360" w:lineRule="auto"/>
        <w:ind w:firstLine="560" w:firstLineChars="200"/>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（五）与供应商有其他可能影响政府采购活动公平、公正进行的关系。</w:t>
      </w:r>
    </w:p>
    <w:p>
      <w:pPr>
        <w:shd w:val="clear" w:color="auto" w:fill="auto"/>
        <w:tabs>
          <w:tab w:val="left" w:pos="1134"/>
        </w:tabs>
        <w:spacing w:line="360" w:lineRule="auto"/>
        <w:ind w:firstLine="560" w:firstLineChars="200"/>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numPr>
          <w:ilvl w:val="0"/>
          <w:numId w:val="0"/>
        </w:numPr>
        <w:spacing w:before="156" w:after="156"/>
        <w:rPr>
          <w:color w:val="auto"/>
          <w:sz w:val="32"/>
          <w:szCs w:val="32"/>
          <w:highlight w:val="none"/>
        </w:rPr>
      </w:pPr>
      <w:bookmarkStart w:id="110" w:name="_Toc27509"/>
      <w:bookmarkStart w:id="111" w:name="_Toc28615"/>
      <w:r>
        <w:rPr>
          <w:rFonts w:hint="eastAsia"/>
          <w:color w:val="auto"/>
          <w:sz w:val="32"/>
          <w:szCs w:val="32"/>
          <w:highlight w:val="none"/>
        </w:rPr>
        <w:t>2.</w:t>
      </w:r>
      <w:r>
        <w:rPr>
          <w:rFonts w:hint="eastAsia"/>
          <w:color w:val="auto"/>
          <w:sz w:val="32"/>
          <w:szCs w:val="32"/>
          <w:highlight w:val="none"/>
          <w:lang w:val="en-US" w:eastAsia="zh-CN"/>
        </w:rPr>
        <w:t>10</w:t>
      </w:r>
      <w:r>
        <w:rPr>
          <w:rFonts w:hint="eastAsia"/>
          <w:color w:val="auto"/>
          <w:sz w:val="32"/>
          <w:szCs w:val="32"/>
          <w:highlight w:val="none"/>
        </w:rPr>
        <w:t>询问、质疑和投诉</w:t>
      </w:r>
      <w:bookmarkEnd w:id="110"/>
      <w:bookmarkEnd w:id="111"/>
    </w:p>
    <w:p>
      <w:pPr>
        <w:pStyle w:val="27"/>
        <w:numPr>
          <w:ilvl w:val="0"/>
          <w:numId w:val="0"/>
        </w:numPr>
        <w:tabs>
          <w:tab w:val="left" w:pos="1134"/>
        </w:tabs>
        <w:spacing w:after="0"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一、</w:t>
      </w:r>
      <w:r>
        <w:rPr>
          <w:rFonts w:hint="eastAsia" w:ascii="宋体" w:hAnsi="宋体" w:cs="宋体"/>
          <w:color w:val="auto"/>
          <w:sz w:val="28"/>
          <w:szCs w:val="28"/>
          <w:highlight w:val="none"/>
        </w:rPr>
        <w:t>供应商认为磋商文件、磋商过程和成交结果使自己的合法权益受到损害的，可以依法进行质疑。</w:t>
      </w:r>
    </w:p>
    <w:p>
      <w:pPr>
        <w:pStyle w:val="237"/>
        <w:widowControl/>
        <w:numPr>
          <w:ilvl w:val="0"/>
          <w:numId w:val="0"/>
        </w:numPr>
        <w:tabs>
          <w:tab w:val="left" w:pos="1134"/>
        </w:tabs>
        <w:spacing w:before="156"/>
        <w:ind w:firstLine="560" w:firstLineChars="200"/>
        <w:jc w:val="left"/>
        <w:rPr>
          <w:rFonts w:ascii="宋体" w:hAnsi="宋体" w:eastAsia="宋体"/>
          <w:color w:val="auto"/>
          <w:sz w:val="28"/>
          <w:szCs w:val="28"/>
          <w:highlight w:val="none"/>
        </w:rPr>
      </w:pPr>
      <w:r>
        <w:rPr>
          <w:rFonts w:hint="eastAsia"/>
          <w:color w:val="auto"/>
          <w:sz w:val="28"/>
          <w:szCs w:val="28"/>
          <w:highlight w:val="none"/>
          <w:lang w:val="en-US" w:eastAsia="zh-CN"/>
        </w:rPr>
        <w:t>二、</w:t>
      </w:r>
      <w:r>
        <w:rPr>
          <w:rFonts w:hint="eastAsia" w:ascii="宋体" w:hAnsi="宋体" w:eastAsia="宋体"/>
          <w:color w:val="auto"/>
          <w:sz w:val="28"/>
          <w:szCs w:val="28"/>
          <w:highlight w:val="none"/>
        </w:rPr>
        <w:t>询问、质疑、投诉的接收和处理严格按照《中华人民共和国政府采购法》《中华人民共和国政府采购法实施条例》和《政府采购质疑和投诉办法》（财政部94号令）的规定办理。</w:t>
      </w:r>
    </w:p>
    <w:p>
      <w:pPr>
        <w:pStyle w:val="27"/>
        <w:numPr>
          <w:ilvl w:val="0"/>
          <w:numId w:val="0"/>
        </w:numPr>
        <w:tabs>
          <w:tab w:val="left" w:pos="1134"/>
        </w:tabs>
        <w:spacing w:after="0" w:line="600" w:lineRule="exact"/>
        <w:ind w:leftChars="257"/>
        <w:rPr>
          <w:rFonts w:ascii="宋体" w:hAnsi="宋体"/>
          <w:color w:val="auto"/>
          <w:sz w:val="28"/>
          <w:szCs w:val="28"/>
          <w:highlight w:val="none"/>
        </w:rPr>
      </w:pPr>
      <w:r>
        <w:rPr>
          <w:rFonts w:hint="eastAsia" w:ascii="宋体" w:hAnsi="宋体"/>
          <w:color w:val="auto"/>
          <w:sz w:val="28"/>
          <w:szCs w:val="28"/>
          <w:highlight w:val="none"/>
          <w:lang w:val="en-US" w:eastAsia="zh-CN"/>
        </w:rPr>
        <w:t>三、</w:t>
      </w:r>
      <w:r>
        <w:rPr>
          <w:rFonts w:hint="eastAsia" w:ascii="宋体" w:hAnsi="宋体"/>
          <w:color w:val="auto"/>
          <w:sz w:val="28"/>
          <w:szCs w:val="28"/>
          <w:highlight w:val="none"/>
        </w:rPr>
        <w:t>供应商询问、质疑的对象</w:t>
      </w:r>
    </w:p>
    <w:p>
      <w:pPr>
        <w:pStyle w:val="27"/>
        <w:numPr>
          <w:ilvl w:val="0"/>
          <w:numId w:val="0"/>
        </w:numPr>
        <w:tabs>
          <w:tab w:val="left" w:pos="1134"/>
        </w:tabs>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一）</w:t>
      </w:r>
      <w:r>
        <w:rPr>
          <w:rFonts w:hint="eastAsia" w:ascii="宋体" w:hAnsi="宋体"/>
          <w:color w:val="auto"/>
          <w:sz w:val="28"/>
          <w:szCs w:val="28"/>
          <w:highlight w:val="none"/>
        </w:rPr>
        <w:t>供应商对磋商文件中供应商参加本次政府采购活动应当具备的条件，项目技术、服务、商务及其他要求，评审办法</w:t>
      </w:r>
      <w:r>
        <w:rPr>
          <w:rFonts w:ascii="宋体" w:hAnsi="宋体"/>
          <w:color w:val="auto"/>
          <w:sz w:val="28"/>
          <w:szCs w:val="28"/>
          <w:highlight w:val="none"/>
        </w:rPr>
        <w:t>和</w:t>
      </w:r>
      <w:r>
        <w:rPr>
          <w:rFonts w:hint="eastAsia" w:ascii="宋体" w:hAnsi="宋体"/>
          <w:color w:val="auto"/>
          <w:sz w:val="28"/>
          <w:szCs w:val="28"/>
          <w:highlight w:val="none"/>
        </w:rPr>
        <w:t>标准提出询问或质疑的，应通过</w:t>
      </w:r>
      <w:r>
        <w:rPr>
          <w:rFonts w:ascii="宋体" w:hAnsi="宋体"/>
          <w:color w:val="auto"/>
          <w:sz w:val="28"/>
          <w:szCs w:val="28"/>
          <w:highlight w:val="none"/>
        </w:rPr>
        <w:t>政府采购云平台</w:t>
      </w:r>
      <w:r>
        <w:rPr>
          <w:rFonts w:hint="eastAsia" w:ascii="宋体" w:hAnsi="宋体"/>
          <w:color w:val="auto"/>
          <w:sz w:val="28"/>
          <w:szCs w:val="28"/>
          <w:highlight w:val="none"/>
        </w:rPr>
        <w:t>向采购人提出；</w:t>
      </w:r>
    </w:p>
    <w:p>
      <w:pPr>
        <w:pStyle w:val="27"/>
        <w:numPr>
          <w:ilvl w:val="0"/>
          <w:numId w:val="0"/>
        </w:numPr>
        <w:tabs>
          <w:tab w:val="left" w:pos="1134"/>
        </w:tabs>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二）</w:t>
      </w:r>
      <w:r>
        <w:rPr>
          <w:rFonts w:hint="eastAsia" w:ascii="宋体" w:hAnsi="宋体"/>
          <w:color w:val="auto"/>
          <w:sz w:val="28"/>
          <w:szCs w:val="28"/>
          <w:highlight w:val="none"/>
        </w:rPr>
        <w:t>供应商对除上述磋商文件中的其他内容、采购过程及成交结果提出询问、质疑的，应通过</w:t>
      </w:r>
      <w:r>
        <w:rPr>
          <w:rFonts w:ascii="宋体" w:hAnsi="宋体"/>
          <w:color w:val="auto"/>
          <w:sz w:val="28"/>
          <w:szCs w:val="28"/>
          <w:highlight w:val="none"/>
        </w:rPr>
        <w:t>政府采购云平台</w:t>
      </w:r>
      <w:r>
        <w:rPr>
          <w:rFonts w:hint="eastAsia" w:ascii="宋体" w:hAnsi="宋体"/>
          <w:color w:val="auto"/>
          <w:sz w:val="28"/>
          <w:szCs w:val="28"/>
          <w:highlight w:val="none"/>
        </w:rPr>
        <w:t>向</w:t>
      </w:r>
      <w:r>
        <w:rPr>
          <w:rFonts w:hint="eastAsia" w:ascii="宋体" w:hAnsi="宋体"/>
          <w:color w:val="auto"/>
          <w:sz w:val="28"/>
          <w:szCs w:val="28"/>
          <w:highlight w:val="none"/>
          <w:lang w:eastAsia="zh-CN"/>
        </w:rPr>
        <w:t>区</w:t>
      </w:r>
      <w:r>
        <w:rPr>
          <w:rFonts w:hint="eastAsia" w:ascii="宋体" w:hAnsi="宋体"/>
          <w:color w:val="auto"/>
          <w:sz w:val="28"/>
          <w:szCs w:val="28"/>
          <w:highlight w:val="none"/>
        </w:rPr>
        <w:t>公资交易中心提出。</w:t>
      </w:r>
    </w:p>
    <w:p>
      <w:pPr>
        <w:pStyle w:val="27"/>
        <w:numPr>
          <w:ilvl w:val="0"/>
          <w:numId w:val="0"/>
        </w:numPr>
        <w:tabs>
          <w:tab w:val="left" w:pos="1134"/>
        </w:tabs>
        <w:spacing w:after="0"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lang w:val="en-US" w:eastAsia="zh-CN"/>
        </w:rPr>
        <w:t>四、</w:t>
      </w:r>
      <w:r>
        <w:rPr>
          <w:rFonts w:hint="eastAsia" w:ascii="宋体" w:hAnsi="宋体"/>
          <w:color w:val="auto"/>
          <w:sz w:val="28"/>
          <w:szCs w:val="28"/>
          <w:highlight w:val="none"/>
        </w:rPr>
        <w:t>供应商提出的询问，应当明确询问事项，如以书面形式提出的，应由供应商法定代表人签字并加盖公章。</w:t>
      </w:r>
    </w:p>
    <w:p>
      <w:pPr>
        <w:pStyle w:val="27"/>
        <w:numPr>
          <w:ilvl w:val="0"/>
          <w:numId w:val="0"/>
        </w:numPr>
        <w:tabs>
          <w:tab w:val="left" w:pos="1134"/>
        </w:tabs>
        <w:spacing w:after="0"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lang w:val="en-US" w:eastAsia="zh-CN"/>
        </w:rPr>
        <w:t>五、</w:t>
      </w:r>
      <w:r>
        <w:rPr>
          <w:rFonts w:hint="eastAsia" w:ascii="宋体" w:hAnsi="宋体"/>
          <w:color w:val="auto"/>
          <w:sz w:val="28"/>
          <w:szCs w:val="28"/>
          <w:highlight w:val="none"/>
        </w:rPr>
        <w:t>供应商应在法定质疑期内一次性提出针对同一采购程序环节的质疑。</w:t>
      </w:r>
    </w:p>
    <w:p>
      <w:pPr>
        <w:pStyle w:val="27"/>
        <w:numPr>
          <w:ilvl w:val="0"/>
          <w:numId w:val="0"/>
        </w:numPr>
        <w:tabs>
          <w:tab w:val="left" w:pos="1134"/>
        </w:tabs>
        <w:spacing w:after="0"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lang w:val="en-US" w:eastAsia="zh-CN"/>
        </w:rPr>
        <w:t>六、</w:t>
      </w:r>
      <w:r>
        <w:rPr>
          <w:rFonts w:hint="eastAsia" w:ascii="宋体" w:hAnsi="宋体"/>
          <w:color w:val="auto"/>
          <w:sz w:val="28"/>
          <w:szCs w:val="28"/>
          <w:highlight w:val="none"/>
        </w:rPr>
        <w:t>供应商提出质疑时应当准备的资料</w:t>
      </w:r>
    </w:p>
    <w:p>
      <w:pPr>
        <w:pStyle w:val="237"/>
        <w:numPr>
          <w:ilvl w:val="1"/>
          <w:numId w:val="9"/>
        </w:numPr>
        <w:tabs>
          <w:tab w:val="left" w:pos="1134"/>
        </w:tabs>
        <w:spacing w:before="156" w:after="200" w:line="600" w:lineRule="exact"/>
        <w:ind w:left="0" w:firstLine="567" w:firstLineChars="0"/>
        <w:rPr>
          <w:rFonts w:ascii="宋体" w:hAnsi="宋体" w:eastAsia="宋体"/>
          <w:color w:val="auto"/>
          <w:sz w:val="28"/>
          <w:szCs w:val="28"/>
          <w:highlight w:val="none"/>
        </w:rPr>
      </w:pPr>
      <w:r>
        <w:rPr>
          <w:rFonts w:ascii="宋体" w:hAnsi="宋体" w:eastAsia="宋体"/>
          <w:color w:val="auto"/>
          <w:sz w:val="28"/>
          <w:szCs w:val="28"/>
          <w:highlight w:val="none"/>
        </w:rPr>
        <w:t>质疑书</w:t>
      </w:r>
      <w:r>
        <w:rPr>
          <w:rFonts w:hint="eastAsia" w:ascii="宋体" w:hAnsi="宋体" w:eastAsia="宋体"/>
          <w:color w:val="auto"/>
          <w:sz w:val="28"/>
          <w:szCs w:val="28"/>
          <w:highlight w:val="none"/>
        </w:rPr>
        <w:t>1</w:t>
      </w:r>
      <w:r>
        <w:rPr>
          <w:rFonts w:ascii="宋体" w:hAnsi="宋体" w:eastAsia="宋体"/>
          <w:color w:val="auto"/>
          <w:sz w:val="28"/>
          <w:szCs w:val="28"/>
          <w:highlight w:val="none"/>
        </w:rPr>
        <w:t>份</w:t>
      </w:r>
      <w:r>
        <w:rPr>
          <w:rFonts w:hint="eastAsia" w:ascii="宋体" w:hAnsi="宋体" w:eastAsia="宋体"/>
          <w:color w:val="auto"/>
          <w:sz w:val="28"/>
          <w:szCs w:val="28"/>
          <w:highlight w:val="none"/>
        </w:rPr>
        <w:t>（加盖公章）；</w:t>
      </w:r>
    </w:p>
    <w:p>
      <w:pPr>
        <w:pStyle w:val="237"/>
        <w:numPr>
          <w:ilvl w:val="1"/>
          <w:numId w:val="9"/>
        </w:numPr>
        <w:tabs>
          <w:tab w:val="left" w:pos="1134"/>
        </w:tabs>
        <w:spacing w:before="156" w:after="200" w:line="600" w:lineRule="exact"/>
        <w:ind w:left="0" w:firstLine="567"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委托代理人办理质疑事宜的，需提供法定代表人授权委托书1份（加盖公章）；</w:t>
      </w:r>
    </w:p>
    <w:p>
      <w:pPr>
        <w:pStyle w:val="237"/>
        <w:numPr>
          <w:ilvl w:val="1"/>
          <w:numId w:val="9"/>
        </w:numPr>
        <w:tabs>
          <w:tab w:val="left" w:pos="1134"/>
        </w:tabs>
        <w:spacing w:before="156" w:after="200" w:line="600" w:lineRule="exact"/>
        <w:ind w:left="0" w:firstLine="567"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营业执照或法人证书复印件1份；</w:t>
      </w:r>
    </w:p>
    <w:p>
      <w:pPr>
        <w:pStyle w:val="237"/>
        <w:numPr>
          <w:ilvl w:val="1"/>
          <w:numId w:val="9"/>
        </w:numPr>
        <w:tabs>
          <w:tab w:val="left" w:pos="1134"/>
        </w:tabs>
        <w:spacing w:before="156" w:after="200" w:line="600" w:lineRule="exact"/>
        <w:ind w:left="0" w:firstLine="567"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法定代表人身份证复印件1份；</w:t>
      </w:r>
    </w:p>
    <w:p>
      <w:pPr>
        <w:pStyle w:val="237"/>
        <w:numPr>
          <w:ilvl w:val="1"/>
          <w:numId w:val="9"/>
        </w:numPr>
        <w:tabs>
          <w:tab w:val="left" w:pos="1134"/>
        </w:tabs>
        <w:spacing w:before="156" w:after="200" w:line="600" w:lineRule="exact"/>
        <w:ind w:left="0" w:firstLine="567"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委托代理人身份证复印件1份（委托代理人办理质疑事宜的需提供）；</w:t>
      </w:r>
    </w:p>
    <w:p>
      <w:pPr>
        <w:pStyle w:val="237"/>
        <w:numPr>
          <w:ilvl w:val="1"/>
          <w:numId w:val="9"/>
        </w:numPr>
        <w:tabs>
          <w:tab w:val="left" w:pos="1134"/>
        </w:tabs>
        <w:spacing w:before="156" w:after="200" w:line="600" w:lineRule="exact"/>
        <w:ind w:left="0" w:firstLine="567"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针对质疑事项必要的证明材料。</w:t>
      </w:r>
    </w:p>
    <w:p>
      <w:pPr>
        <w:pStyle w:val="27"/>
        <w:tabs>
          <w:tab w:val="left" w:pos="1134"/>
        </w:tabs>
        <w:spacing w:after="200" w:line="360" w:lineRule="auto"/>
        <w:ind w:left="0" w:leftChars="0" w:firstLine="700" w:firstLineChars="250"/>
        <w:rPr>
          <w:color w:val="auto"/>
          <w:sz w:val="28"/>
          <w:szCs w:val="28"/>
          <w:highlight w:val="none"/>
        </w:rPr>
      </w:pPr>
      <w:r>
        <w:rPr>
          <w:rFonts w:hint="eastAsia" w:ascii="宋体" w:hAnsi="宋体"/>
          <w:color w:val="auto"/>
          <w:sz w:val="28"/>
          <w:szCs w:val="28"/>
          <w:highlight w:val="none"/>
        </w:rPr>
        <w:t>供应商对采购人、集中采购机构的质疑答复不满意，或者采购人、集中采购机构未在规定期限内作出答复的，供应商可以在答复期满后15个工作日内向同级财政部门提起投诉。</w:t>
      </w:r>
      <w:bookmarkStart w:id="112" w:name="_Toc376425021"/>
      <w:bookmarkEnd w:id="112"/>
      <w:bookmarkStart w:id="113" w:name="_Toc77688481"/>
      <w:bookmarkEnd w:id="113"/>
      <w:bookmarkStart w:id="114" w:name="_Toc77688482"/>
      <w:bookmarkEnd w:id="114"/>
      <w:bookmarkStart w:id="115" w:name="_Toc77688483"/>
      <w:bookmarkEnd w:id="115"/>
    </w:p>
    <w:p>
      <w:pPr>
        <w:pStyle w:val="4"/>
        <w:numPr>
          <w:ilvl w:val="0"/>
          <w:numId w:val="0"/>
        </w:numPr>
        <w:spacing w:before="156" w:after="156"/>
        <w:rPr>
          <w:color w:val="auto"/>
          <w:sz w:val="32"/>
          <w:szCs w:val="32"/>
          <w:highlight w:val="none"/>
        </w:rPr>
      </w:pPr>
      <w:bookmarkStart w:id="116" w:name="_Toc10678"/>
      <w:bookmarkStart w:id="117" w:name="_Toc28771"/>
      <w:r>
        <w:rPr>
          <w:rFonts w:hint="eastAsia"/>
          <w:color w:val="auto"/>
          <w:sz w:val="32"/>
          <w:szCs w:val="32"/>
          <w:highlight w:val="none"/>
        </w:rPr>
        <w:t>2.</w:t>
      </w:r>
      <w:bookmarkStart w:id="118" w:name="_Toc74926772"/>
      <w:r>
        <w:rPr>
          <w:rFonts w:hint="eastAsia"/>
          <w:color w:val="auto"/>
          <w:sz w:val="32"/>
          <w:szCs w:val="32"/>
          <w:highlight w:val="none"/>
          <w:lang w:val="en-US" w:eastAsia="zh-CN"/>
        </w:rPr>
        <w:t>11</w:t>
      </w:r>
      <w:r>
        <w:rPr>
          <w:rFonts w:hint="eastAsia" w:ascii="宋体" w:hAnsi="宋体"/>
          <w:b/>
          <w:bCs/>
          <w:color w:val="auto"/>
          <w:sz w:val="32"/>
          <w:szCs w:val="32"/>
          <w:highlight w:val="none"/>
        </w:rPr>
        <w:t>中小企业政府采购信用融资</w:t>
      </w:r>
      <w:bookmarkEnd w:id="116"/>
      <w:bookmarkEnd w:id="117"/>
      <w:bookmarkEnd w:id="118"/>
    </w:p>
    <w:p>
      <w:pPr>
        <w:pStyle w:val="113"/>
        <w:ind w:firstLine="480"/>
        <w:rPr>
          <w:rFonts w:hint="eastAsia"/>
          <w:color w:val="auto"/>
          <w:sz w:val="28"/>
          <w:szCs w:val="24"/>
          <w:highlight w:val="none"/>
          <w:lang w:eastAsia="zh-CN"/>
        </w:rPr>
      </w:pPr>
      <w:r>
        <w:rPr>
          <w:rFonts w:hint="eastAsia" w:ascii="宋体" w:hAnsi="宋体"/>
          <w:color w:val="auto"/>
          <w:sz w:val="28"/>
          <w:szCs w:val="24"/>
          <w:highlight w:val="none"/>
        </w:rPr>
        <w:t>参加本次采购活动成交的中小企业无需提供财产抵押或第三方担保，凭借政府采购合同可向融资机构申请融资。具体内容详见附件《成都市温江区财政局关于公布温江区首批支持中小企业政府采购信用融资银行名单的公告》和《成都市财政局关于公布成都市首批在线开展政府采购信用融资业务银行名单的通知》（成财采〔2019〕49号）。</w:t>
      </w:r>
    </w:p>
    <w:p>
      <w:pPr>
        <w:rPr>
          <w:color w:val="auto"/>
          <w:sz w:val="22"/>
          <w:szCs w:val="24"/>
          <w:highlight w:val="none"/>
        </w:rPr>
      </w:pPr>
      <w:bookmarkStart w:id="119" w:name="EB779828d01d25400aa2feafedf89f74b6"/>
      <w:r>
        <w:rPr>
          <w:rFonts w:hint="eastAsia"/>
          <w:color w:val="auto"/>
          <w:sz w:val="21"/>
          <w:szCs w:val="24"/>
          <w:highlight w:val="none"/>
        </w:rPr>
        <w:t xml:space="preserve"> </w:t>
      </w:r>
      <w:bookmarkEnd w:id="119"/>
    </w:p>
    <w:p>
      <w:pPr>
        <w:numPr>
          <w:ilvl w:val="0"/>
          <w:numId w:val="10"/>
        </w:numPr>
        <w:tabs>
          <w:tab w:val="left" w:pos="1200"/>
        </w:tabs>
        <w:spacing w:line="360" w:lineRule="auto"/>
        <w:rPr>
          <w:color w:val="auto"/>
          <w:sz w:val="32"/>
          <w:szCs w:val="32"/>
          <w:highlight w:val="none"/>
        </w:rPr>
        <w:sectPr>
          <w:footerReference r:id="rId6" w:type="first"/>
          <w:headerReference r:id="rId3" w:type="default"/>
          <w:footerReference r:id="rId4" w:type="default"/>
          <w:footerReference r:id="rId5" w:type="even"/>
          <w:pgSz w:w="11906" w:h="16838"/>
          <w:pgMar w:top="1134" w:right="1274" w:bottom="1440" w:left="1418" w:header="851" w:footer="992" w:gutter="0"/>
          <w:cols w:space="720" w:num="1"/>
          <w:titlePg/>
          <w:docGrid w:type="lines" w:linePitch="312" w:charSpace="0"/>
        </w:sectPr>
      </w:pPr>
    </w:p>
    <w:p>
      <w:pPr>
        <w:pStyle w:val="3"/>
        <w:jc w:val="center"/>
        <w:rPr>
          <w:rFonts w:hint="eastAsia"/>
          <w:color w:val="000000"/>
        </w:rPr>
      </w:pPr>
      <w:bookmarkStart w:id="120" w:name="_Toc18872"/>
      <w:r>
        <w:rPr>
          <w:rFonts w:hint="eastAsia"/>
          <w:color w:val="000000"/>
        </w:rPr>
        <w:t>第3章 响应文件格式</w:t>
      </w:r>
      <w:bookmarkEnd w:id="43"/>
      <w:bookmarkEnd w:id="44"/>
      <w:bookmarkEnd w:id="120"/>
    </w:p>
    <w:p>
      <w:pPr>
        <w:jc w:val="center"/>
        <w:rPr>
          <w:color w:val="000000"/>
        </w:rPr>
      </w:pPr>
    </w:p>
    <w:p>
      <w:pPr>
        <w:pStyle w:val="4"/>
        <w:numPr>
          <w:ilvl w:val="1"/>
          <w:numId w:val="0"/>
        </w:numPr>
        <w:spacing w:before="0" w:after="200"/>
        <w:ind w:leftChars="0"/>
        <w:jc w:val="both"/>
        <w:rPr>
          <w:color w:val="auto"/>
          <w:highlight w:val="none"/>
        </w:rPr>
      </w:pPr>
      <w:bookmarkStart w:id="121" w:name="_Toc3518"/>
      <w:bookmarkStart w:id="122" w:name="_Toc58943336"/>
      <w:bookmarkStart w:id="123" w:name="_Toc77688486"/>
      <w:bookmarkStart w:id="124" w:name="_Toc10860"/>
      <w:r>
        <w:rPr>
          <w:rFonts w:hint="eastAsia"/>
          <w:color w:val="auto"/>
          <w:highlight w:val="none"/>
          <w:lang w:val="en-US" w:eastAsia="zh-CN"/>
        </w:rPr>
        <w:t>3.1</w:t>
      </w:r>
      <w:r>
        <w:rPr>
          <w:rFonts w:hint="eastAsia"/>
          <w:color w:val="auto"/>
          <w:highlight w:val="none"/>
        </w:rPr>
        <w:t>资格性响应文件格式</w:t>
      </w:r>
      <w:bookmarkEnd w:id="121"/>
      <w:bookmarkEnd w:id="122"/>
      <w:bookmarkEnd w:id="123"/>
      <w:bookmarkEnd w:id="124"/>
    </w:p>
    <w:p>
      <w:pPr>
        <w:pStyle w:val="5"/>
        <w:numPr>
          <w:ilvl w:val="2"/>
          <w:numId w:val="0"/>
        </w:numPr>
        <w:tabs>
          <w:tab w:val="left" w:pos="709"/>
        </w:tabs>
        <w:spacing w:after="200"/>
        <w:ind w:leftChars="0"/>
        <w:rPr>
          <w:color w:val="auto"/>
          <w:highlight w:val="none"/>
        </w:rPr>
      </w:pPr>
      <w:bookmarkStart w:id="125" w:name="_Toc1961"/>
      <w:bookmarkStart w:id="126" w:name="_Toc27971"/>
      <w:bookmarkStart w:id="127" w:name="_Toc320698761"/>
      <w:r>
        <w:rPr>
          <w:rFonts w:hint="eastAsia"/>
          <w:color w:val="auto"/>
          <w:highlight w:val="none"/>
          <w:lang w:val="en-US" w:eastAsia="zh-CN"/>
        </w:rPr>
        <w:t>3.1.1.</w:t>
      </w:r>
      <w:r>
        <w:rPr>
          <w:rFonts w:hint="eastAsia"/>
          <w:color w:val="auto"/>
          <w:highlight w:val="none"/>
        </w:rPr>
        <w:t>资格性响应文件封面格式</w:t>
      </w:r>
      <w:bookmarkEnd w:id="125"/>
      <w:bookmarkEnd w:id="126"/>
      <w:bookmarkEnd w:id="127"/>
    </w:p>
    <w:p>
      <w:pPr>
        <w:pStyle w:val="131"/>
        <w:spacing w:line="360" w:lineRule="auto"/>
        <w:jc w:val="center"/>
        <w:rPr>
          <w:rFonts w:hint="eastAsia" w:ascii="宋体" w:hAnsi="宋体"/>
          <w:color w:val="000000"/>
          <w:spacing w:val="78"/>
          <w:sz w:val="96"/>
          <w:szCs w:val="120"/>
        </w:rPr>
      </w:pPr>
    </w:p>
    <w:p>
      <w:pPr>
        <w:pStyle w:val="131"/>
        <w:spacing w:line="360" w:lineRule="auto"/>
        <w:rPr>
          <w:rFonts w:hint="eastAsia" w:ascii="宋体" w:hAnsi="宋体"/>
          <w:color w:val="000000"/>
          <w:spacing w:val="78"/>
          <w:sz w:val="96"/>
          <w:szCs w:val="120"/>
        </w:rPr>
      </w:pPr>
    </w:p>
    <w:p>
      <w:pPr>
        <w:jc w:val="center"/>
        <w:rPr>
          <w:rFonts w:ascii="宋体" w:hAnsi="宋体"/>
          <w:color w:val="auto"/>
          <w:sz w:val="84"/>
          <w:szCs w:val="84"/>
          <w:highlight w:val="none"/>
        </w:rPr>
      </w:pPr>
      <w:r>
        <w:rPr>
          <w:rFonts w:hint="eastAsia" w:ascii="宋体" w:hAnsi="宋体"/>
          <w:color w:val="auto"/>
          <w:sz w:val="84"/>
          <w:szCs w:val="84"/>
          <w:highlight w:val="none"/>
        </w:rPr>
        <w:t>资格性响应文件</w:t>
      </w:r>
    </w:p>
    <w:p>
      <w:pPr>
        <w:pStyle w:val="131"/>
        <w:spacing w:line="360" w:lineRule="auto"/>
        <w:ind w:firstLine="600" w:firstLineChars="200"/>
        <w:jc w:val="center"/>
        <w:rPr>
          <w:rFonts w:hint="eastAsia" w:ascii="宋体" w:hAnsi="宋体"/>
          <w:bCs/>
          <w:color w:val="000000"/>
          <w:sz w:val="30"/>
          <w:szCs w:val="30"/>
        </w:rPr>
      </w:pPr>
    </w:p>
    <w:p>
      <w:pPr>
        <w:pStyle w:val="131"/>
        <w:spacing w:line="360" w:lineRule="auto"/>
        <w:ind w:firstLine="600" w:firstLineChars="200"/>
        <w:rPr>
          <w:rFonts w:hint="eastAsia" w:ascii="宋体" w:hAnsi="宋体"/>
          <w:bCs/>
          <w:color w:val="000000"/>
          <w:sz w:val="30"/>
          <w:szCs w:val="30"/>
        </w:rPr>
      </w:pPr>
    </w:p>
    <w:p>
      <w:pPr>
        <w:pStyle w:val="131"/>
        <w:spacing w:line="360" w:lineRule="auto"/>
        <w:rPr>
          <w:rFonts w:hint="eastAsia" w:ascii="宋体" w:hAnsi="宋体"/>
          <w:b/>
          <w:bCs/>
          <w:color w:val="000000"/>
          <w:sz w:val="28"/>
          <w:szCs w:val="28"/>
          <w:u w:val="single"/>
          <w:lang w:eastAsia="zh-CN"/>
        </w:rPr>
      </w:pPr>
      <w:r>
        <w:rPr>
          <w:rFonts w:hint="eastAsia" w:ascii="宋体" w:hAnsi="宋体"/>
          <w:b/>
          <w:bCs/>
          <w:color w:val="000000"/>
          <w:sz w:val="30"/>
          <w:szCs w:val="30"/>
        </w:rPr>
        <w:t>项目名称：</w:t>
      </w:r>
      <w:r>
        <w:rPr>
          <w:rFonts w:hint="eastAsia" w:ascii="宋体" w:hAnsi="宋体"/>
          <w:b/>
          <w:bCs/>
          <w:color w:val="000000"/>
          <w:sz w:val="28"/>
          <w:szCs w:val="28"/>
          <w:u w:val="single"/>
          <w:lang w:eastAsia="zh-CN"/>
        </w:rPr>
        <w:t>温江中学实验学校数字校园设备采购项目</w:t>
      </w:r>
    </w:p>
    <w:p>
      <w:pPr>
        <w:pStyle w:val="131"/>
        <w:spacing w:line="360" w:lineRule="auto"/>
        <w:rPr>
          <w:rFonts w:hint="eastAsia" w:ascii="宋体" w:hAnsi="宋体" w:eastAsia="宋体"/>
          <w:b/>
          <w:bCs/>
          <w:color w:val="000000"/>
          <w:sz w:val="30"/>
          <w:szCs w:val="30"/>
          <w:lang w:eastAsia="zh-CN"/>
        </w:rPr>
      </w:pPr>
      <w:r>
        <w:rPr>
          <w:rFonts w:hint="eastAsia" w:ascii="宋体" w:hAnsi="宋体"/>
          <w:b/>
          <w:bCs/>
          <w:color w:val="000000"/>
          <w:sz w:val="30"/>
          <w:szCs w:val="30"/>
        </w:rPr>
        <w:t>项目编号：</w:t>
      </w:r>
      <w:r>
        <w:rPr>
          <w:rFonts w:hint="eastAsia" w:ascii="宋体" w:hAnsi="宋体"/>
          <w:b/>
          <w:bCs/>
          <w:color w:val="000000"/>
          <w:sz w:val="28"/>
          <w:szCs w:val="28"/>
          <w:u w:val="single"/>
          <w:lang w:eastAsia="zh-CN"/>
        </w:rPr>
        <w:t>温江政采（2021）A0055号</w:t>
      </w:r>
    </w:p>
    <w:p>
      <w:pPr>
        <w:pStyle w:val="131"/>
        <w:spacing w:line="360" w:lineRule="auto"/>
        <w:rPr>
          <w:rFonts w:hint="eastAsia" w:ascii="宋体" w:hAnsi="宋体"/>
          <w:b/>
          <w:bCs/>
          <w:color w:val="000000"/>
          <w:sz w:val="30"/>
          <w:szCs w:val="30"/>
        </w:rPr>
      </w:pPr>
    </w:p>
    <w:p>
      <w:pPr>
        <w:pStyle w:val="131"/>
        <w:spacing w:line="360" w:lineRule="auto"/>
        <w:rPr>
          <w:rFonts w:hint="eastAsia" w:ascii="宋体" w:hAnsi="宋体"/>
          <w:b/>
          <w:bCs/>
          <w:color w:val="000000"/>
          <w:sz w:val="30"/>
          <w:szCs w:val="30"/>
        </w:rPr>
      </w:pPr>
    </w:p>
    <w:p>
      <w:pPr>
        <w:pStyle w:val="131"/>
        <w:spacing w:line="360" w:lineRule="auto"/>
        <w:rPr>
          <w:rFonts w:hint="eastAsia" w:ascii="宋体" w:hAnsi="宋体"/>
          <w:b/>
          <w:bCs/>
          <w:color w:val="000000"/>
          <w:sz w:val="30"/>
          <w:szCs w:val="30"/>
        </w:rPr>
      </w:pPr>
    </w:p>
    <w:p>
      <w:pPr>
        <w:pStyle w:val="131"/>
        <w:spacing w:line="360" w:lineRule="auto"/>
        <w:ind w:firstLine="1205" w:firstLineChars="400"/>
        <w:rPr>
          <w:rFonts w:hint="eastAsia" w:ascii="宋体" w:hAnsi="宋体"/>
          <w:b/>
          <w:bCs/>
          <w:color w:val="000000"/>
          <w:sz w:val="30"/>
          <w:szCs w:val="30"/>
          <w:u w:val="single"/>
        </w:rPr>
      </w:pPr>
      <w:r>
        <w:rPr>
          <w:rFonts w:hint="eastAsia" w:ascii="宋体" w:hAnsi="宋体"/>
          <w:b/>
          <w:bCs/>
          <w:color w:val="000000"/>
          <w:sz w:val="30"/>
          <w:szCs w:val="30"/>
        </w:rPr>
        <w:t>供应商名称：</w:t>
      </w:r>
      <w:r>
        <w:rPr>
          <w:rFonts w:hint="eastAsia" w:ascii="宋体" w:hAnsi="宋体" w:cs="宋体"/>
          <w:color w:val="000000"/>
          <w:sz w:val="30"/>
          <w:szCs w:val="30"/>
          <w:u w:val="single"/>
          <w:lang w:val="zh-CN"/>
        </w:rPr>
        <w:t xml:space="preserve">    </w:t>
      </w:r>
      <w:r>
        <w:rPr>
          <w:rFonts w:hint="eastAsia" w:ascii="宋体" w:hAnsi="宋体" w:cs="宋体"/>
          <w:color w:val="000000"/>
          <w:sz w:val="30"/>
          <w:szCs w:val="30"/>
          <w:u w:val="single"/>
        </w:rPr>
        <w:t xml:space="preserve">    </w:t>
      </w:r>
      <w:r>
        <w:rPr>
          <w:rFonts w:hint="eastAsia" w:ascii="宋体" w:hAnsi="宋体" w:cs="宋体"/>
          <w:color w:val="000000"/>
          <w:sz w:val="30"/>
          <w:szCs w:val="30"/>
          <w:u w:val="single"/>
          <w:lang w:val="zh-CN"/>
        </w:rPr>
        <w:t xml:space="preserve">  </w:t>
      </w:r>
      <w:r>
        <w:rPr>
          <w:rFonts w:hint="eastAsia" w:ascii="宋体" w:hAnsi="宋体" w:cs="宋体"/>
          <w:color w:val="000000"/>
          <w:sz w:val="30"/>
          <w:szCs w:val="30"/>
          <w:u w:val="single"/>
        </w:rPr>
        <w:t xml:space="preserve">          </w:t>
      </w:r>
      <w:r>
        <w:rPr>
          <w:rFonts w:hint="eastAsia" w:ascii="宋体" w:hAnsi="宋体"/>
          <w:b/>
          <w:bCs/>
          <w:color w:val="000000"/>
          <w:sz w:val="30"/>
          <w:szCs w:val="30"/>
          <w:u w:val="single"/>
        </w:rPr>
        <w:t xml:space="preserve"> </w:t>
      </w:r>
    </w:p>
    <w:p>
      <w:pPr>
        <w:pStyle w:val="131"/>
        <w:spacing w:line="360" w:lineRule="auto"/>
        <w:ind w:firstLine="602" w:firstLineChars="200"/>
        <w:rPr>
          <w:rFonts w:hint="eastAsia" w:ascii="宋体" w:hAnsi="宋体"/>
          <w:b/>
          <w:bCs/>
          <w:color w:val="000000"/>
          <w:sz w:val="30"/>
          <w:szCs w:val="30"/>
          <w:u w:val="single"/>
        </w:rPr>
      </w:pPr>
    </w:p>
    <w:p>
      <w:pPr>
        <w:pStyle w:val="131"/>
        <w:spacing w:line="360" w:lineRule="auto"/>
        <w:ind w:firstLine="1205" w:firstLineChars="400"/>
        <w:rPr>
          <w:rFonts w:hint="eastAsia" w:ascii="宋体" w:hAnsi="宋体" w:eastAsia="宋体" w:cs="宋体"/>
          <w:color w:val="000000"/>
          <w:lang w:val="en-US" w:eastAsia="zh-CN"/>
        </w:rPr>
      </w:pPr>
      <w:r>
        <w:rPr>
          <w:rFonts w:hint="eastAsia" w:ascii="宋体" w:hAnsi="宋体"/>
          <w:b/>
          <w:bCs/>
          <w:color w:val="000000"/>
          <w:sz w:val="30"/>
          <w:szCs w:val="30"/>
        </w:rPr>
        <w:t>日      期：</w:t>
      </w:r>
      <w:r>
        <w:rPr>
          <w:rFonts w:hint="eastAsia" w:ascii="宋体" w:hAnsi="宋体"/>
          <w:b/>
          <w:bCs/>
          <w:color w:val="000000"/>
          <w:sz w:val="30"/>
          <w:szCs w:val="30"/>
          <w:u w:val="single"/>
        </w:rPr>
        <w:t xml:space="preserve">       </w:t>
      </w:r>
      <w:r>
        <w:rPr>
          <w:rFonts w:hint="eastAsia" w:ascii="宋体" w:hAnsi="宋体"/>
          <w:b/>
          <w:bCs/>
          <w:color w:val="000000"/>
          <w:sz w:val="30"/>
          <w:szCs w:val="30"/>
        </w:rPr>
        <w:t>年</w:t>
      </w:r>
      <w:r>
        <w:rPr>
          <w:rFonts w:hint="eastAsia" w:ascii="宋体" w:hAnsi="宋体"/>
          <w:b/>
          <w:bCs/>
          <w:color w:val="000000"/>
          <w:sz w:val="30"/>
          <w:szCs w:val="30"/>
          <w:u w:val="single"/>
        </w:rPr>
        <w:t xml:space="preserve">       </w:t>
      </w:r>
      <w:r>
        <w:rPr>
          <w:rFonts w:hint="eastAsia" w:ascii="宋体" w:hAnsi="宋体"/>
          <w:b/>
          <w:bCs/>
          <w:color w:val="000000"/>
          <w:sz w:val="30"/>
          <w:szCs w:val="30"/>
        </w:rPr>
        <w:t>月</w:t>
      </w:r>
      <w:r>
        <w:rPr>
          <w:rFonts w:hint="eastAsia" w:ascii="宋体" w:hAnsi="宋体"/>
          <w:b/>
          <w:bCs/>
          <w:color w:val="000000"/>
          <w:sz w:val="30"/>
          <w:szCs w:val="30"/>
          <w:u w:val="single"/>
        </w:rPr>
        <w:t xml:space="preserve">      </w:t>
      </w:r>
      <w:r>
        <w:rPr>
          <w:rFonts w:hint="eastAsia" w:ascii="宋体" w:hAnsi="宋体"/>
          <w:b/>
          <w:bCs/>
          <w:color w:val="000000"/>
          <w:sz w:val="30"/>
          <w:szCs w:val="30"/>
        </w:rPr>
        <w:t>日</w:t>
      </w:r>
      <w:bookmarkStart w:id="128" w:name="_Toc25538"/>
      <w:bookmarkStart w:id="129" w:name="_Toc16858"/>
    </w:p>
    <w:p>
      <w:pPr>
        <w:pStyle w:val="252"/>
        <w:outlineLvl w:val="1"/>
        <w:rPr>
          <w:rFonts w:hint="eastAsia" w:ascii="宋体" w:hAnsi="宋体" w:eastAsia="宋体" w:cs="宋体"/>
          <w:color w:val="000000"/>
          <w:lang w:val="en-US" w:eastAsia="zh-CN"/>
        </w:rPr>
      </w:pPr>
    </w:p>
    <w:p>
      <w:pPr>
        <w:pStyle w:val="280"/>
        <w:outlineLvl w:val="1"/>
        <w:rPr>
          <w:color w:val="000000"/>
          <w:shd w:val="clear" w:color="auto" w:fill="FFFFFF"/>
        </w:rPr>
      </w:pPr>
      <w:bookmarkStart w:id="130" w:name="_Toc24985"/>
      <w:r>
        <w:rPr>
          <w:rFonts w:hint="eastAsia" w:ascii="宋体" w:hAnsi="宋体" w:eastAsia="宋体" w:cs="宋体"/>
          <w:color w:val="000000"/>
          <w:lang w:val="en-US" w:eastAsia="zh-CN"/>
        </w:rPr>
        <w:t>3.</w:t>
      </w:r>
      <w:bookmarkEnd w:id="128"/>
      <w:bookmarkEnd w:id="129"/>
      <w:bookmarkStart w:id="131" w:name="_Toc6155"/>
      <w:bookmarkStart w:id="132" w:name="_Toc22282"/>
      <w:r>
        <w:rPr>
          <w:rFonts w:hint="eastAsia" w:ascii="宋体" w:hAnsi="宋体" w:eastAsia="宋体" w:cs="宋体"/>
          <w:color w:val="000000"/>
          <w:lang w:val="en-US" w:eastAsia="zh-CN"/>
        </w:rPr>
        <w:t>1.2供应商资格申明的函</w:t>
      </w:r>
      <w:bookmarkEnd w:id="130"/>
      <w:bookmarkEnd w:id="131"/>
      <w:bookmarkEnd w:id="132"/>
    </w:p>
    <w:p>
      <w:pPr>
        <w:pStyle w:val="148"/>
        <w:rPr>
          <w:color w:val="auto"/>
          <w:highlight w:val="none"/>
        </w:rPr>
      </w:pPr>
      <w:r>
        <w:rPr>
          <w:rFonts w:hint="eastAsia"/>
          <w:color w:val="auto"/>
          <w:highlight w:val="none"/>
          <w:lang w:eastAsia="zh-CN"/>
        </w:rPr>
        <w:t>致：</w:t>
      </w:r>
      <w:r>
        <w:rPr>
          <w:rFonts w:hint="eastAsia"/>
          <w:color w:val="auto"/>
          <w:highlight w:val="none"/>
        </w:rPr>
        <w:t>成都市温江区公共资源交易服务中心：</w:t>
      </w:r>
    </w:p>
    <w:p>
      <w:pPr>
        <w:pStyle w:val="148"/>
        <w:ind w:firstLine="480"/>
        <w:rPr>
          <w:rFonts w:hint="eastAsia"/>
          <w:color w:val="000000"/>
        </w:rPr>
      </w:pPr>
      <w:r>
        <w:rPr>
          <w:rFonts w:hint="eastAsia"/>
          <w:color w:val="000000"/>
        </w:rPr>
        <w:t>我方全面研究了</w:t>
      </w:r>
      <w:r>
        <w:rPr>
          <w:rFonts w:hint="eastAsia"/>
          <w:color w:val="000000"/>
          <w:sz w:val="22"/>
          <w:szCs w:val="21"/>
        </w:rPr>
        <w:t>“</w:t>
      </w:r>
      <w:r>
        <w:rPr>
          <w:rFonts w:hint="eastAsia"/>
          <w:b/>
          <w:bCs/>
          <w:color w:val="000000"/>
          <w:sz w:val="24"/>
          <w:szCs w:val="24"/>
          <w:u w:val="single"/>
          <w:lang w:eastAsia="zh-CN"/>
        </w:rPr>
        <w:t>温江中学实验学校数字校园设备采购项目</w:t>
      </w:r>
      <w:r>
        <w:rPr>
          <w:rFonts w:hint="eastAsia" w:ascii="宋体" w:hAnsi="宋体"/>
          <w:b/>
          <w:bCs/>
          <w:color w:val="000000"/>
          <w:sz w:val="24"/>
          <w:szCs w:val="24"/>
          <w:u w:val="single"/>
          <w:lang w:eastAsia="zh-CN"/>
        </w:rPr>
        <w:t>”（项目编号：温江政采（20</w:t>
      </w:r>
      <w:r>
        <w:rPr>
          <w:rFonts w:hint="eastAsia"/>
          <w:b/>
          <w:bCs/>
          <w:color w:val="000000"/>
          <w:sz w:val="24"/>
          <w:szCs w:val="24"/>
          <w:u w:val="single"/>
          <w:lang w:eastAsia="zh-CN"/>
        </w:rPr>
        <w:t>21）A0055号</w:t>
      </w:r>
      <w:r>
        <w:rPr>
          <w:rFonts w:hint="eastAsia"/>
          <w:color w:val="000000"/>
          <w:sz w:val="22"/>
          <w:szCs w:val="21"/>
        </w:rPr>
        <w:t>）</w:t>
      </w:r>
      <w:r>
        <w:rPr>
          <w:rFonts w:hint="eastAsia"/>
          <w:color w:val="000000"/>
          <w:sz w:val="22"/>
          <w:szCs w:val="21"/>
          <w:lang w:eastAsia="zh-CN"/>
        </w:rPr>
        <w:t>”</w:t>
      </w:r>
      <w:r>
        <w:rPr>
          <w:rFonts w:hint="eastAsia"/>
          <w:color w:val="000000"/>
        </w:rPr>
        <w:t>的磋商文件，决定参加贵单位组织的本项目的磋商。我方郑重承诺：</w:t>
      </w:r>
    </w:p>
    <w:p>
      <w:pPr>
        <w:pStyle w:val="148"/>
        <w:ind w:firstLine="480"/>
        <w:rPr>
          <w:rFonts w:hint="eastAsia"/>
          <w:color w:val="000000"/>
        </w:rPr>
      </w:pPr>
      <w:r>
        <w:rPr>
          <w:rFonts w:hint="eastAsia"/>
          <w:color w:val="000000"/>
        </w:rPr>
        <w:t>一、我方自愿按照磋商文件规定的各项要求向采购人提供所需货物或服务，最后报价以政府采购云平台中递交的最后报价为准。</w:t>
      </w:r>
    </w:p>
    <w:p>
      <w:pPr>
        <w:pStyle w:val="148"/>
        <w:ind w:firstLine="480"/>
        <w:rPr>
          <w:rFonts w:hint="eastAsia"/>
          <w:color w:val="000000"/>
        </w:rPr>
      </w:pPr>
      <w:r>
        <w:rPr>
          <w:rFonts w:hint="eastAsia"/>
          <w:color w:val="000000"/>
        </w:rPr>
        <w:t>二、如果我方成为本项目的成交供应商，我方将严格履行合同规定的责任和义务，否则将承担由此产生的一切责任。</w:t>
      </w:r>
    </w:p>
    <w:p>
      <w:pPr>
        <w:pStyle w:val="148"/>
        <w:ind w:firstLine="480"/>
        <w:rPr>
          <w:rFonts w:hint="eastAsia"/>
          <w:color w:val="000000"/>
        </w:rPr>
      </w:pPr>
      <w:r>
        <w:rPr>
          <w:rFonts w:hint="eastAsia"/>
          <w:color w:val="000000"/>
        </w:rPr>
        <w:t>三、我方已知晓全部磋商文件的内容，包括修改文件（如有）以及全部相关资料和有关附件，并对上述文件均无异议。</w:t>
      </w:r>
    </w:p>
    <w:p>
      <w:pPr>
        <w:pStyle w:val="148"/>
        <w:ind w:firstLine="480"/>
        <w:rPr>
          <w:rFonts w:hint="eastAsia"/>
          <w:color w:val="000000"/>
        </w:rPr>
      </w:pPr>
      <w:r>
        <w:rPr>
          <w:rFonts w:hint="eastAsia"/>
          <w:color w:val="000000"/>
        </w:rPr>
        <w:t>四、响应文件有效期为从递交响应文件截止之日起120天。</w:t>
      </w:r>
    </w:p>
    <w:p>
      <w:pPr>
        <w:pStyle w:val="148"/>
        <w:ind w:firstLine="480"/>
        <w:rPr>
          <w:rFonts w:hint="eastAsia"/>
          <w:color w:val="000000"/>
        </w:rPr>
      </w:pPr>
      <w:r>
        <w:rPr>
          <w:rFonts w:hint="eastAsia"/>
          <w:color w:val="000000"/>
        </w:rPr>
        <w:t>五、我方愿意提供贵中心可能另外要求的，与本项目有关的文件资料，并保证我方已提供和将要提供的文件资料是真实、准确的，并对此承担一切法律后果。</w:t>
      </w:r>
    </w:p>
    <w:p>
      <w:pPr>
        <w:pStyle w:val="148"/>
        <w:ind w:firstLine="480"/>
        <w:rPr>
          <w:rFonts w:hint="eastAsia"/>
          <w:color w:val="000000"/>
        </w:rPr>
      </w:pPr>
      <w:r>
        <w:rPr>
          <w:rFonts w:hint="eastAsia"/>
          <w:color w:val="000000"/>
        </w:rPr>
        <w:t>六、我单位联系方式：</w:t>
      </w:r>
    </w:p>
    <w:p>
      <w:pPr>
        <w:pStyle w:val="148"/>
        <w:ind w:firstLine="480"/>
        <w:rPr>
          <w:rFonts w:hint="eastAsia"/>
          <w:color w:val="000000"/>
        </w:rPr>
      </w:pPr>
      <w:r>
        <w:rPr>
          <w:rFonts w:hint="eastAsia"/>
          <w:color w:val="000000"/>
        </w:rPr>
        <w:t>地    址：XXXX</w:t>
      </w:r>
    </w:p>
    <w:p>
      <w:pPr>
        <w:pStyle w:val="148"/>
        <w:ind w:firstLine="480"/>
        <w:rPr>
          <w:rFonts w:hint="eastAsia"/>
          <w:color w:val="000000"/>
        </w:rPr>
      </w:pPr>
      <w:r>
        <w:rPr>
          <w:rFonts w:hint="eastAsia"/>
          <w:color w:val="000000"/>
        </w:rPr>
        <w:t>传    真：XXXX</w:t>
      </w:r>
    </w:p>
    <w:p>
      <w:pPr>
        <w:pStyle w:val="148"/>
        <w:ind w:firstLine="480"/>
        <w:rPr>
          <w:rFonts w:hint="eastAsia"/>
          <w:color w:val="000000"/>
        </w:rPr>
      </w:pPr>
      <w:r>
        <w:rPr>
          <w:rFonts w:hint="eastAsia"/>
          <w:color w:val="000000"/>
        </w:rPr>
        <w:t>邮政编码：XXXX</w:t>
      </w:r>
    </w:p>
    <w:p>
      <w:pPr>
        <w:pStyle w:val="148"/>
        <w:ind w:firstLine="480"/>
        <w:rPr>
          <w:rFonts w:hint="eastAsia"/>
          <w:color w:val="000000"/>
        </w:rPr>
      </w:pPr>
      <w:r>
        <w:rPr>
          <w:rFonts w:hint="eastAsia"/>
          <w:color w:val="000000"/>
        </w:rPr>
        <w:t>供应商名称：XXXXXXXXXX</w:t>
      </w:r>
    </w:p>
    <w:p>
      <w:pPr>
        <w:pStyle w:val="148"/>
        <w:ind w:firstLine="480"/>
        <w:rPr>
          <w:rFonts w:hint="eastAsia"/>
          <w:color w:val="000000"/>
        </w:rPr>
      </w:pPr>
      <w:r>
        <w:rPr>
          <w:rFonts w:hint="eastAsia"/>
          <w:color w:val="000000"/>
        </w:rPr>
        <w:t>日      期：XX年XX月XX日</w:t>
      </w:r>
    </w:p>
    <w:p>
      <w:pPr>
        <w:pStyle w:val="5"/>
        <w:numPr>
          <w:ilvl w:val="2"/>
          <w:numId w:val="0"/>
        </w:numPr>
        <w:tabs>
          <w:tab w:val="left" w:pos="709"/>
        </w:tabs>
        <w:spacing w:after="200"/>
        <w:ind w:leftChars="0"/>
        <w:rPr>
          <w:color w:val="auto"/>
          <w:sz w:val="28"/>
          <w:szCs w:val="32"/>
          <w:highlight w:val="none"/>
        </w:rPr>
      </w:pPr>
      <w:r>
        <w:rPr>
          <w:color w:val="000000"/>
          <w:shd w:val="clear" w:color="auto" w:fill="FFFFFF"/>
        </w:rPr>
        <w:br w:type="page"/>
      </w:r>
      <w:bookmarkStart w:id="133" w:name="_Toc17069"/>
      <w:bookmarkStart w:id="134" w:name="_Toc28609"/>
      <w:r>
        <w:rPr>
          <w:rFonts w:hint="eastAsia" w:ascii="宋体" w:hAnsi="宋体" w:eastAsia="宋体"/>
          <w:color w:val="auto"/>
          <w:sz w:val="28"/>
          <w:szCs w:val="32"/>
          <w:highlight w:val="none"/>
          <w:lang w:val="en-US" w:eastAsia="zh-CN"/>
        </w:rPr>
        <w:t>3.1.3声明</w:t>
      </w:r>
      <w:bookmarkEnd w:id="133"/>
      <w:bookmarkEnd w:id="134"/>
    </w:p>
    <w:p>
      <w:pPr>
        <w:pStyle w:val="247"/>
        <w:spacing w:after="200"/>
        <w:ind w:firstLine="482"/>
        <w:rPr>
          <w:rFonts w:hint="eastAsia" w:cs="宋体"/>
          <w:b/>
          <w:color w:val="000000"/>
          <w:sz w:val="32"/>
          <w:szCs w:val="32"/>
        </w:rPr>
      </w:pPr>
      <w:r>
        <w:rPr>
          <w:rFonts w:hint="eastAsia"/>
          <w:b/>
          <w:color w:val="auto"/>
          <w:sz w:val="28"/>
          <w:szCs w:val="21"/>
          <w:highlight w:val="none"/>
        </w:rPr>
        <w:t>致：成都市温江区公共资源交易服务中心</w:t>
      </w:r>
    </w:p>
    <w:p>
      <w:pPr>
        <w:pStyle w:val="225"/>
        <w:spacing w:after="200" w:line="600" w:lineRule="exact"/>
        <w:ind w:firstLine="640" w:firstLineChars="200"/>
        <w:rPr>
          <w:rFonts w:hint="eastAsia" w:ascii="宋体" w:hAnsi="宋体" w:eastAsia="宋体" w:cs="宋体"/>
          <w:b w:val="0"/>
          <w:bCs/>
          <w:color w:val="000000"/>
          <w:szCs w:val="32"/>
        </w:rPr>
      </w:pPr>
      <w:r>
        <w:rPr>
          <w:rFonts w:hint="eastAsia" w:ascii="宋体" w:hAnsi="宋体" w:eastAsia="宋体" w:cs="宋体"/>
          <w:b w:val="0"/>
          <w:bCs/>
          <w:color w:val="000000"/>
          <w:szCs w:val="32"/>
        </w:rPr>
        <w:t>我单位作为</w:t>
      </w:r>
      <w:r>
        <w:rPr>
          <w:rFonts w:hint="eastAsia" w:ascii="宋体" w:hAnsi="宋体" w:eastAsia="宋体" w:cs="宋体"/>
          <w:b w:val="0"/>
          <w:bCs/>
          <w:color w:val="000000"/>
          <w:szCs w:val="32"/>
          <w:lang w:eastAsia="zh-CN"/>
        </w:rPr>
        <w:t>温江中学实验学校数字校园设备采购项目</w:t>
      </w:r>
      <w:r>
        <w:rPr>
          <w:rFonts w:hint="eastAsia" w:ascii="宋体" w:hAnsi="宋体" w:eastAsia="宋体" w:cs="宋体"/>
          <w:b/>
          <w:bCs w:val="0"/>
          <w:color w:val="000000"/>
          <w:szCs w:val="32"/>
          <w:highlight w:val="none"/>
          <w:u w:val="single"/>
        </w:rPr>
        <w:t>（项目编号：</w:t>
      </w:r>
      <w:r>
        <w:rPr>
          <w:rFonts w:hint="eastAsia" w:ascii="宋体" w:hAnsi="宋体" w:eastAsia="宋体" w:cs="宋体"/>
          <w:b/>
          <w:bCs w:val="0"/>
          <w:color w:val="000000"/>
          <w:szCs w:val="32"/>
          <w:highlight w:val="none"/>
          <w:u w:val="single"/>
          <w:lang w:eastAsia="zh-CN"/>
        </w:rPr>
        <w:t>温江政采（2021）A0055号</w:t>
      </w:r>
      <w:r>
        <w:rPr>
          <w:rFonts w:hint="eastAsia" w:ascii="宋体" w:hAnsi="宋体" w:eastAsia="宋体" w:cs="宋体"/>
          <w:b/>
          <w:bCs w:val="0"/>
          <w:color w:val="000000"/>
          <w:szCs w:val="32"/>
          <w:highlight w:val="none"/>
          <w:u w:val="single"/>
        </w:rPr>
        <w:t>）</w:t>
      </w:r>
      <w:r>
        <w:rPr>
          <w:rFonts w:hint="eastAsia" w:ascii="宋体" w:hAnsi="宋体" w:eastAsia="宋体" w:cs="宋体"/>
          <w:b w:val="0"/>
          <w:bCs/>
          <w:color w:val="000000"/>
          <w:szCs w:val="32"/>
        </w:rPr>
        <w:t>的竞争性磋商的供应商，在此郑重声明：</w:t>
      </w:r>
    </w:p>
    <w:p>
      <w:pPr>
        <w:pStyle w:val="22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一、我</w:t>
      </w:r>
      <w:r>
        <w:rPr>
          <w:rFonts w:hint="eastAsia" w:ascii="宋体" w:hAnsi="宋体" w:eastAsia="宋体" w:cs="宋体"/>
          <w:b w:val="0"/>
          <w:bCs/>
          <w:color w:val="auto"/>
          <w:sz w:val="28"/>
          <w:highlight w:val="none"/>
        </w:rPr>
        <w:t>单位</w:t>
      </w:r>
      <w:r>
        <w:rPr>
          <w:rFonts w:hint="eastAsia" w:ascii="宋体" w:hAnsi="宋体" w:eastAsia="宋体" w:cs="宋体"/>
          <w:b w:val="0"/>
          <w:bCs/>
          <w:color w:val="auto"/>
          <w:sz w:val="28"/>
          <w:szCs w:val="28"/>
          <w:highlight w:val="none"/>
        </w:rPr>
        <w:t>参加政府采购活动前三年内，在经营活动中</w:t>
      </w:r>
      <w:r>
        <w:rPr>
          <w:rFonts w:hint="eastAsia" w:ascii="宋体" w:hAnsi="宋体" w:eastAsia="宋体" w:cs="宋体"/>
          <w:b/>
          <w:bCs w:val="0"/>
          <w:color w:val="auto"/>
          <w:sz w:val="28"/>
          <w:szCs w:val="28"/>
          <w:highlight w:val="none"/>
          <w:u w:val="single"/>
        </w:rPr>
        <w:t>（说明：填写“无”或“有”）</w:t>
      </w:r>
      <w:r>
        <w:rPr>
          <w:rFonts w:hint="eastAsia" w:ascii="宋体" w:hAnsi="宋体" w:eastAsia="宋体" w:cs="宋体"/>
          <w:b w:val="0"/>
          <w:bCs/>
          <w:color w:val="auto"/>
          <w:sz w:val="28"/>
          <w:szCs w:val="28"/>
          <w:highlight w:val="none"/>
        </w:rPr>
        <w:t>重大违法记录。</w:t>
      </w:r>
    </w:p>
    <w:p>
      <w:pPr>
        <w:pStyle w:val="22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二、我</w:t>
      </w:r>
      <w:r>
        <w:rPr>
          <w:rFonts w:hint="eastAsia" w:ascii="宋体" w:hAnsi="宋体" w:eastAsia="宋体" w:cs="宋体"/>
          <w:b w:val="0"/>
          <w:bCs/>
          <w:color w:val="auto"/>
          <w:sz w:val="28"/>
          <w:highlight w:val="none"/>
        </w:rPr>
        <w:t>单位</w:t>
      </w:r>
      <w:r>
        <w:rPr>
          <w:rFonts w:hint="eastAsia" w:ascii="宋体" w:hAnsi="宋体" w:eastAsia="宋体" w:cs="宋体"/>
          <w:b/>
          <w:bCs w:val="0"/>
          <w:color w:val="auto"/>
          <w:sz w:val="28"/>
          <w:szCs w:val="28"/>
          <w:highlight w:val="none"/>
          <w:u w:val="single"/>
        </w:rPr>
        <w:t>（说明：填写“具有”或“不具有”）</w:t>
      </w:r>
      <w:r>
        <w:rPr>
          <w:rFonts w:hint="eastAsia" w:ascii="宋体" w:hAnsi="宋体" w:eastAsia="宋体" w:cs="宋体"/>
          <w:b w:val="0"/>
          <w:bCs/>
          <w:color w:val="auto"/>
          <w:sz w:val="28"/>
          <w:szCs w:val="28"/>
          <w:highlight w:val="none"/>
        </w:rPr>
        <w:t>良好的商业信誉。</w:t>
      </w:r>
    </w:p>
    <w:p>
      <w:pPr>
        <w:pStyle w:val="22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三、与我</w:t>
      </w:r>
      <w:r>
        <w:rPr>
          <w:rFonts w:hint="eastAsia" w:ascii="宋体" w:hAnsi="宋体" w:eastAsia="宋体" w:cs="宋体"/>
          <w:b w:val="0"/>
          <w:bCs/>
          <w:color w:val="auto"/>
          <w:sz w:val="28"/>
          <w:highlight w:val="none"/>
        </w:rPr>
        <w:t>单位</w:t>
      </w:r>
      <w:r>
        <w:rPr>
          <w:rFonts w:hint="eastAsia" w:ascii="宋体" w:hAnsi="宋体" w:eastAsia="宋体" w:cs="宋体"/>
          <w:b w:val="0"/>
          <w:bCs/>
          <w:color w:val="auto"/>
          <w:sz w:val="28"/>
          <w:szCs w:val="28"/>
          <w:highlight w:val="none"/>
        </w:rPr>
        <w:t>存在单位</w:t>
      </w:r>
      <w:r>
        <w:rPr>
          <w:rFonts w:hint="eastAsia" w:ascii="宋体" w:hAnsi="宋体" w:eastAsia="宋体" w:cs="宋体"/>
          <w:b w:val="0"/>
          <w:bCs/>
          <w:color w:val="auto"/>
          <w:sz w:val="28"/>
          <w:highlight w:val="none"/>
        </w:rPr>
        <w:t>负责人</w:t>
      </w:r>
      <w:r>
        <w:rPr>
          <w:rFonts w:hint="eastAsia" w:ascii="宋体" w:hAnsi="宋体" w:eastAsia="宋体" w:cs="宋体"/>
          <w:b w:val="0"/>
          <w:bCs/>
          <w:color w:val="auto"/>
          <w:sz w:val="28"/>
          <w:szCs w:val="28"/>
          <w:highlight w:val="none"/>
        </w:rPr>
        <w:t>为同一人、直接控股、管理关系的相关供应商：</w:t>
      </w:r>
      <w:r>
        <w:rPr>
          <w:rFonts w:hint="eastAsia" w:ascii="宋体" w:hAnsi="宋体" w:eastAsia="宋体" w:cs="宋体"/>
          <w:b/>
          <w:bCs w:val="0"/>
          <w:color w:val="auto"/>
          <w:sz w:val="28"/>
          <w:szCs w:val="28"/>
          <w:highlight w:val="none"/>
          <w:u w:val="single"/>
        </w:rPr>
        <w:t>（说明：填写“无”或“（一）供应商名称１；（二）供应商名称２ ；（三）……”）。</w:t>
      </w:r>
    </w:p>
    <w:p>
      <w:pPr>
        <w:pStyle w:val="22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四、在行贿犯罪信息查询期限内，我单位及我单位现任</w:t>
      </w:r>
      <w:r>
        <w:rPr>
          <w:rFonts w:hint="eastAsia" w:ascii="宋体" w:hAnsi="宋体" w:eastAsia="宋体" w:cs="宋体"/>
          <w:b w:val="0"/>
          <w:bCs/>
          <w:color w:val="auto"/>
          <w:sz w:val="28"/>
          <w:highlight w:val="none"/>
        </w:rPr>
        <w:t>法定代表人、主要负责人</w:t>
      </w:r>
      <w:r>
        <w:rPr>
          <w:rFonts w:hint="eastAsia" w:ascii="宋体" w:hAnsi="宋体" w:eastAsia="宋体" w:cs="宋体"/>
          <w:b/>
          <w:bCs w:val="0"/>
          <w:color w:val="auto"/>
          <w:sz w:val="28"/>
          <w:szCs w:val="28"/>
          <w:highlight w:val="none"/>
          <w:u w:val="single"/>
        </w:rPr>
        <w:t>（说明：填写“没有”或“有”）</w:t>
      </w:r>
      <w:r>
        <w:rPr>
          <w:rFonts w:hint="eastAsia" w:ascii="宋体" w:hAnsi="宋体" w:eastAsia="宋体" w:cs="宋体"/>
          <w:b w:val="0"/>
          <w:bCs/>
          <w:color w:val="auto"/>
          <w:sz w:val="28"/>
          <w:szCs w:val="28"/>
          <w:highlight w:val="none"/>
        </w:rPr>
        <w:t>行贿犯罪记录。</w:t>
      </w:r>
    </w:p>
    <w:p>
      <w:pPr>
        <w:pStyle w:val="22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五、我单位</w:t>
      </w:r>
      <w:r>
        <w:rPr>
          <w:rFonts w:hint="eastAsia" w:ascii="宋体" w:hAnsi="宋体" w:eastAsia="宋体" w:cs="宋体"/>
          <w:b/>
          <w:bCs w:val="0"/>
          <w:color w:val="auto"/>
          <w:sz w:val="28"/>
          <w:szCs w:val="28"/>
          <w:highlight w:val="none"/>
          <w:u w:val="single"/>
        </w:rPr>
        <w:t>（说明：填写“未列入”或“被列入”）</w:t>
      </w:r>
      <w:r>
        <w:rPr>
          <w:rFonts w:hint="eastAsia" w:ascii="宋体" w:hAnsi="宋体" w:eastAsia="宋体" w:cs="宋体"/>
          <w:b w:val="0"/>
          <w:bCs/>
          <w:color w:val="auto"/>
          <w:sz w:val="28"/>
          <w:szCs w:val="28"/>
          <w:highlight w:val="none"/>
        </w:rPr>
        <w:t>失信被执行人、重大税收违法案件当事人名单。</w:t>
      </w:r>
    </w:p>
    <w:p>
      <w:pPr>
        <w:pStyle w:val="22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我单位</w:t>
      </w:r>
      <w:r>
        <w:rPr>
          <w:rFonts w:hint="eastAsia" w:ascii="宋体" w:hAnsi="宋体" w:eastAsia="宋体" w:cs="宋体"/>
          <w:b/>
          <w:bCs w:val="0"/>
          <w:color w:val="auto"/>
          <w:sz w:val="28"/>
          <w:szCs w:val="28"/>
          <w:highlight w:val="none"/>
          <w:u w:val="single"/>
        </w:rPr>
        <w:t>（说明：填写“未列入”或“被列入”）</w:t>
      </w:r>
      <w:r>
        <w:rPr>
          <w:rFonts w:hint="eastAsia" w:ascii="宋体" w:hAnsi="宋体" w:eastAsia="宋体" w:cs="宋体"/>
          <w:b w:val="0"/>
          <w:bCs/>
          <w:color w:val="auto"/>
          <w:sz w:val="28"/>
          <w:szCs w:val="28"/>
          <w:highlight w:val="none"/>
        </w:rPr>
        <w:t>政府采购严重违法失信行为记录名单。</w:t>
      </w:r>
    </w:p>
    <w:p>
      <w:pPr>
        <w:pStyle w:val="22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六、我单位</w:t>
      </w:r>
      <w:r>
        <w:rPr>
          <w:rFonts w:hint="eastAsia" w:ascii="宋体" w:hAnsi="宋体" w:eastAsia="宋体" w:cs="宋体"/>
          <w:b/>
          <w:bCs w:val="0"/>
          <w:color w:val="auto"/>
          <w:sz w:val="28"/>
          <w:szCs w:val="28"/>
          <w:highlight w:val="none"/>
          <w:u w:val="single"/>
        </w:rPr>
        <w:t>（说明：填写“未处于”或“处于”）</w:t>
      </w:r>
      <w:r>
        <w:rPr>
          <w:rFonts w:hint="eastAsia" w:ascii="宋体" w:hAnsi="宋体" w:eastAsia="宋体" w:cs="宋体"/>
          <w:b w:val="0"/>
          <w:bCs/>
          <w:color w:val="auto"/>
          <w:sz w:val="28"/>
          <w:szCs w:val="28"/>
          <w:highlight w:val="none"/>
        </w:rPr>
        <w:t>被行政部门禁止参与政府采购活动的期限内。</w:t>
      </w:r>
    </w:p>
    <w:p>
      <w:pPr>
        <w:pStyle w:val="225"/>
        <w:spacing w:after="200" w:line="360" w:lineRule="auto"/>
        <w:ind w:firstLine="537" w:firstLineChars="192"/>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特此声明。</w:t>
      </w:r>
    </w:p>
    <w:p>
      <w:pPr>
        <w:pStyle w:val="281"/>
        <w:ind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ab/>
      </w:r>
      <w:r>
        <w:rPr>
          <w:rFonts w:hint="eastAsia" w:hAnsi="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r>
        <w:rPr>
          <w:rFonts w:hint="eastAsia" w:hAnsi="宋体" w:eastAsia="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p>
    <w:p>
      <w:pPr>
        <w:pStyle w:val="129"/>
        <w:ind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日      期：</w:t>
      </w:r>
      <w:r>
        <w:rPr>
          <w:rFonts w:hint="eastAsia" w:ascii="宋体" w:hAnsi="宋体" w:eastAsia="宋体" w:cs="宋体"/>
          <w:color w:val="auto"/>
          <w:kern w:val="2"/>
          <w:sz w:val="28"/>
          <w:szCs w:val="22"/>
          <w:highlight w:val="none"/>
          <w:u w:val="single"/>
          <w:lang w:val="zh-CN" w:eastAsia="zh-CN" w:bidi="ar-SA"/>
        </w:rPr>
        <w:t>　　年　　月　日</w:t>
      </w:r>
    </w:p>
    <w:p>
      <w:pPr>
        <w:pStyle w:val="225"/>
        <w:keepNext w:val="0"/>
        <w:keepLines w:val="0"/>
        <w:pageBreakBefore w:val="0"/>
        <w:widowControl/>
        <w:kinsoku/>
        <w:wordWrap/>
        <w:overflowPunct/>
        <w:topLinePunct w:val="0"/>
        <w:autoSpaceDE/>
        <w:autoSpaceDN/>
        <w:bidi w:val="0"/>
        <w:adjustRightInd/>
        <w:snapToGrid/>
        <w:spacing w:line="400" w:lineRule="exact"/>
        <w:ind w:firstLine="525"/>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说明：</w:t>
      </w:r>
    </w:p>
    <w:p>
      <w:pPr>
        <w:pStyle w:val="225"/>
        <w:keepNext w:val="0"/>
        <w:keepLines w:val="0"/>
        <w:pageBreakBefore w:val="0"/>
        <w:widowControl/>
        <w:kinsoku/>
        <w:wordWrap/>
        <w:overflowPunct/>
        <w:topLinePunct w:val="0"/>
        <w:autoSpaceDE/>
        <w:autoSpaceDN/>
        <w:bidi w:val="0"/>
        <w:adjustRightInd/>
        <w:snapToGrid/>
        <w:spacing w:line="400" w:lineRule="exact"/>
        <w:ind w:left="283" w:leftChars="135" w:firstLine="548" w:firstLineChars="196"/>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1、对声明中第一条的说明：如供应商在参加政府采购活动前三年内，在经营活动中有重大违法记录的，应填写“有”，供应商将被认定为磋商无效或被取消成交资格；</w:t>
      </w:r>
    </w:p>
    <w:p>
      <w:pPr>
        <w:pStyle w:val="225"/>
        <w:keepNext w:val="0"/>
        <w:keepLines w:val="0"/>
        <w:pageBreakBefore w:val="0"/>
        <w:widowControl/>
        <w:kinsoku/>
        <w:wordWrap/>
        <w:overflowPunct/>
        <w:topLinePunct w:val="0"/>
        <w:autoSpaceDE/>
        <w:autoSpaceDN/>
        <w:bidi w:val="0"/>
        <w:adjustRightInd/>
        <w:snapToGrid/>
        <w:spacing w:line="400" w:lineRule="exact"/>
        <w:ind w:left="283" w:leftChars="135" w:firstLine="548" w:firstLineChars="196"/>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2、对声明中第三条的说明：单位负责人为同一人或者存在直接控股、管理关系的不同供应商，不得参加同一合同项下的政府采购活动；</w:t>
      </w:r>
    </w:p>
    <w:p>
      <w:pPr>
        <w:pStyle w:val="225"/>
        <w:keepNext w:val="0"/>
        <w:keepLines w:val="0"/>
        <w:pageBreakBefore w:val="0"/>
        <w:widowControl/>
        <w:kinsoku/>
        <w:wordWrap/>
        <w:overflowPunct/>
        <w:topLinePunct w:val="0"/>
        <w:autoSpaceDE/>
        <w:autoSpaceDN/>
        <w:bidi w:val="0"/>
        <w:adjustRightInd/>
        <w:snapToGrid/>
        <w:spacing w:line="400" w:lineRule="exact"/>
        <w:ind w:left="283" w:leftChars="135" w:firstLine="548" w:firstLineChars="196"/>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对声明中第四条的说明：在行贿犯罪信息查询期限内，供应商根据中国裁判文书网（https://wenshu.court.gov.cn）查询结果，如果供应商及其现任法定代表人、主要负责人有行贿犯罪记录的，供应商应填写“有”，供应商将被认定为磋商无效或被取消成交资格。</w:t>
      </w:r>
    </w:p>
    <w:p>
      <w:pPr>
        <w:pStyle w:val="225"/>
        <w:keepNext w:val="0"/>
        <w:keepLines w:val="0"/>
        <w:pageBreakBefore w:val="0"/>
        <w:widowControl/>
        <w:kinsoku/>
        <w:wordWrap/>
        <w:overflowPunct/>
        <w:topLinePunct w:val="0"/>
        <w:autoSpaceDE/>
        <w:autoSpaceDN/>
        <w:bidi w:val="0"/>
        <w:adjustRightInd/>
        <w:snapToGrid/>
        <w:spacing w:line="400" w:lineRule="exact"/>
        <w:ind w:left="283" w:leftChars="135" w:firstLine="548" w:firstLineChars="196"/>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4、对声明中第五条的说明：供应商如被列入失信被执行人、重大税收违法案件当事人名单，应填写“被列入”， 供应商将被认定磋商无效或被取消成交资格；供应商如被列入政府采购严重违法失信行为记录名单，应填写“被列入”， 供应商将被认定磋商无效或被取消成交资格。</w:t>
      </w:r>
    </w:p>
    <w:p>
      <w:pPr>
        <w:pStyle w:val="225"/>
        <w:keepNext w:val="0"/>
        <w:keepLines w:val="0"/>
        <w:pageBreakBefore w:val="0"/>
        <w:widowControl/>
        <w:kinsoku/>
        <w:wordWrap/>
        <w:overflowPunct/>
        <w:topLinePunct w:val="0"/>
        <w:autoSpaceDE/>
        <w:autoSpaceDN/>
        <w:bidi w:val="0"/>
        <w:adjustRightInd/>
        <w:snapToGrid/>
        <w:spacing w:line="400" w:lineRule="exact"/>
        <w:ind w:left="283" w:leftChars="135" w:firstLine="548" w:firstLineChars="196"/>
        <w:textAlignment w:val="auto"/>
        <w:rPr>
          <w:rFonts w:hint="eastAsia" w:ascii="宋体" w:hAnsi="宋体" w:eastAsia="宋体" w:cs="宋体"/>
          <w:b w:val="0"/>
          <w:bCs w:val="0"/>
          <w:color w:val="auto"/>
          <w:sz w:val="36"/>
          <w:szCs w:val="28"/>
          <w:highlight w:val="none"/>
        </w:rPr>
      </w:pPr>
      <w:r>
        <w:rPr>
          <w:rFonts w:hint="eastAsia" w:ascii="宋体" w:hAnsi="宋体" w:eastAsia="宋体" w:cs="宋体"/>
          <w:b w:val="0"/>
          <w:bCs w:val="0"/>
          <w:color w:val="auto"/>
          <w:sz w:val="28"/>
          <w:szCs w:val="28"/>
          <w:highlight w:val="none"/>
        </w:rPr>
        <w:t>5、对声明中第六条的说明：如供应商处于被行政部门禁止参加政府采购活动期限内的，该声明填“处于”，供应商将被认定磋商无效或被取消成交资格。</w:t>
      </w:r>
    </w:p>
    <w:p>
      <w:pPr>
        <w:pStyle w:val="5"/>
        <w:numPr>
          <w:ilvl w:val="2"/>
          <w:numId w:val="0"/>
        </w:numPr>
        <w:tabs>
          <w:tab w:val="left" w:pos="709"/>
        </w:tabs>
        <w:spacing w:after="200"/>
        <w:ind w:leftChars="0"/>
        <w:rPr>
          <w:rFonts w:hint="eastAsia" w:ascii="宋体" w:hAnsi="宋体" w:eastAsia="宋体" w:cs="Times New Roman"/>
          <w:b/>
          <w:bCs/>
          <w:color w:val="auto"/>
          <w:kern w:val="2"/>
          <w:sz w:val="32"/>
          <w:szCs w:val="36"/>
          <w:highlight w:val="none"/>
          <w:lang w:val="en-US" w:eastAsia="zh-CN" w:bidi="ar-SA"/>
        </w:rPr>
      </w:pPr>
      <w:bookmarkStart w:id="135" w:name="_Toc18550"/>
    </w:p>
    <w:p>
      <w:pPr>
        <w:rPr>
          <w:rFonts w:hint="eastAsia" w:ascii="宋体" w:hAnsi="宋体" w:eastAsia="宋体" w:cs="Times New Roman"/>
          <w:b/>
          <w:bCs/>
          <w:color w:val="auto"/>
          <w:kern w:val="2"/>
          <w:sz w:val="32"/>
          <w:szCs w:val="36"/>
          <w:highlight w:val="none"/>
          <w:lang w:val="en-US" w:eastAsia="zh-CN" w:bidi="ar-SA"/>
        </w:rPr>
      </w:pPr>
    </w:p>
    <w:p>
      <w:pPr>
        <w:pStyle w:val="4"/>
        <w:rPr>
          <w:rFonts w:hint="eastAsia" w:ascii="宋体" w:hAnsi="宋体" w:eastAsia="宋体" w:cs="Times New Roman"/>
          <w:b/>
          <w:bCs/>
          <w:color w:val="auto"/>
          <w:kern w:val="2"/>
          <w:sz w:val="32"/>
          <w:szCs w:val="36"/>
          <w:highlight w:val="none"/>
          <w:lang w:val="en-US" w:eastAsia="zh-CN" w:bidi="ar-SA"/>
        </w:rPr>
      </w:pPr>
    </w:p>
    <w:p>
      <w:pPr>
        <w:rPr>
          <w:rFonts w:hint="eastAsia" w:ascii="宋体" w:hAnsi="宋体" w:eastAsia="宋体" w:cs="Times New Roman"/>
          <w:b/>
          <w:bCs/>
          <w:color w:val="auto"/>
          <w:kern w:val="2"/>
          <w:sz w:val="32"/>
          <w:szCs w:val="36"/>
          <w:highlight w:val="none"/>
          <w:lang w:val="en-US" w:eastAsia="zh-CN" w:bidi="ar-SA"/>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5"/>
        <w:numPr>
          <w:ilvl w:val="2"/>
          <w:numId w:val="0"/>
        </w:numPr>
        <w:tabs>
          <w:tab w:val="left" w:pos="709"/>
        </w:tabs>
        <w:spacing w:after="200"/>
        <w:ind w:leftChars="0"/>
        <w:rPr>
          <w:rFonts w:hint="eastAsia" w:ascii="宋体" w:hAnsi="宋体" w:eastAsia="宋体" w:cs="Times New Roman"/>
          <w:b/>
          <w:bCs/>
          <w:color w:val="auto"/>
          <w:kern w:val="2"/>
          <w:sz w:val="32"/>
          <w:szCs w:val="36"/>
          <w:highlight w:val="none"/>
          <w:lang w:val="en-US" w:eastAsia="zh-CN" w:bidi="ar-SA"/>
        </w:rPr>
      </w:pPr>
      <w:bookmarkStart w:id="136" w:name="_Toc24206"/>
      <w:r>
        <w:rPr>
          <w:rFonts w:hint="eastAsia" w:ascii="宋体" w:hAnsi="宋体" w:eastAsia="宋体" w:cs="Times New Roman"/>
          <w:b/>
          <w:bCs/>
          <w:color w:val="auto"/>
          <w:kern w:val="2"/>
          <w:sz w:val="32"/>
          <w:szCs w:val="36"/>
          <w:highlight w:val="none"/>
          <w:lang w:val="en-US" w:eastAsia="zh-CN" w:bidi="ar-SA"/>
        </w:rPr>
        <w:t>3.1.</w:t>
      </w:r>
      <w:r>
        <w:rPr>
          <w:rFonts w:hint="eastAsia" w:cs="Times New Roman"/>
          <w:b/>
          <w:bCs/>
          <w:color w:val="auto"/>
          <w:kern w:val="2"/>
          <w:sz w:val="32"/>
          <w:szCs w:val="36"/>
          <w:highlight w:val="none"/>
          <w:lang w:val="en-US" w:eastAsia="zh-CN" w:bidi="ar-SA"/>
        </w:rPr>
        <w:t>4</w:t>
      </w:r>
      <w:r>
        <w:rPr>
          <w:rFonts w:hint="eastAsia" w:ascii="宋体" w:hAnsi="宋体" w:eastAsia="宋体" w:cs="Times New Roman"/>
          <w:b/>
          <w:bCs/>
          <w:color w:val="auto"/>
          <w:kern w:val="2"/>
          <w:sz w:val="32"/>
          <w:szCs w:val="36"/>
          <w:highlight w:val="none"/>
          <w:lang w:val="en-US" w:eastAsia="zh-CN" w:bidi="ar-SA"/>
        </w:rPr>
        <w:t>法定代表人身份证明书</w:t>
      </w:r>
      <w:bookmarkEnd w:id="135"/>
      <w:bookmarkEnd w:id="136"/>
    </w:p>
    <w:p>
      <w:pPr>
        <w:pStyle w:val="208"/>
        <w:outlineLvl w:val="1"/>
        <w:rPr>
          <w:rFonts w:hint="default" w:ascii="宋体" w:hAnsi="宋体" w:eastAsia="宋体" w:cs="Times New Roman"/>
          <w:b/>
          <w:bCs/>
          <w:color w:val="auto"/>
          <w:kern w:val="44"/>
          <w:sz w:val="28"/>
          <w:szCs w:val="28"/>
          <w:highlight w:val="none"/>
          <w:lang w:val="en-US" w:eastAsia="zh-CN" w:bidi="ar-SA"/>
        </w:rPr>
      </w:pPr>
    </w:p>
    <w:p>
      <w:pPr>
        <w:tabs>
          <w:tab w:val="left" w:pos="6300"/>
        </w:tabs>
        <w:spacing w:line="360" w:lineRule="auto"/>
        <w:ind w:firstLine="573"/>
        <w:rPr>
          <w:rFonts w:ascii="宋体" w:hAnsi="宋体"/>
          <w:color w:val="auto"/>
          <w:sz w:val="28"/>
          <w:szCs w:val="28"/>
          <w:highlight w:val="none"/>
          <w:lang w:val="zh-CN"/>
        </w:rPr>
      </w:pPr>
      <w:r>
        <w:rPr>
          <w:rFonts w:hint="eastAsia" w:ascii="宋体" w:hAnsi="宋体"/>
          <w:color w:val="auto"/>
          <w:sz w:val="28"/>
          <w:szCs w:val="28"/>
          <w:highlight w:val="none"/>
          <w:u w:val="single"/>
          <w:lang w:val="zh-CN"/>
        </w:rPr>
        <w:t xml:space="preserve">  （</w:t>
      </w:r>
      <w:r>
        <w:rPr>
          <w:rFonts w:hint="eastAsia" w:ascii="宋体" w:hAnsi="宋体"/>
          <w:color w:val="auto"/>
          <w:sz w:val="28"/>
          <w:szCs w:val="28"/>
          <w:highlight w:val="none"/>
          <w:u w:val="single"/>
        </w:rPr>
        <w:t>法定代表人</w:t>
      </w:r>
      <w:r>
        <w:rPr>
          <w:rFonts w:hint="eastAsia" w:ascii="宋体" w:hAnsi="宋体"/>
          <w:color w:val="auto"/>
          <w:sz w:val="28"/>
          <w:szCs w:val="28"/>
          <w:highlight w:val="none"/>
          <w:u w:val="single"/>
          <w:lang w:val="zh-CN"/>
        </w:rPr>
        <w:t xml:space="preserve">姓名）       </w:t>
      </w:r>
      <w:r>
        <w:rPr>
          <w:rFonts w:hint="eastAsia" w:ascii="宋体" w:hAnsi="宋体"/>
          <w:color w:val="auto"/>
          <w:sz w:val="28"/>
          <w:szCs w:val="28"/>
          <w:highlight w:val="none"/>
          <w:lang w:val="zh-CN"/>
        </w:rPr>
        <w:t>在</w:t>
      </w:r>
      <w:r>
        <w:rPr>
          <w:rFonts w:hint="eastAsia" w:ascii="宋体" w:hAnsi="宋体"/>
          <w:color w:val="auto"/>
          <w:sz w:val="28"/>
          <w:szCs w:val="28"/>
          <w:highlight w:val="none"/>
          <w:u w:val="single"/>
          <w:lang w:val="zh-CN"/>
        </w:rPr>
        <w:t xml:space="preserve">       （供应商名称）       </w:t>
      </w:r>
      <w:r>
        <w:rPr>
          <w:rFonts w:hint="eastAsia" w:ascii="宋体" w:hAnsi="宋体"/>
          <w:color w:val="auto"/>
          <w:sz w:val="28"/>
          <w:szCs w:val="28"/>
          <w:highlight w:val="none"/>
          <w:lang w:val="zh-CN"/>
        </w:rPr>
        <w:t>处任</w:t>
      </w:r>
      <w:r>
        <w:rPr>
          <w:rFonts w:hint="eastAsia" w:ascii="宋体" w:hAnsi="宋体"/>
          <w:color w:val="auto"/>
          <w:sz w:val="28"/>
          <w:szCs w:val="28"/>
          <w:highlight w:val="none"/>
          <w:u w:val="single"/>
          <w:lang w:val="zh-CN"/>
        </w:rPr>
        <w:t xml:space="preserve">       （职务名称）       </w:t>
      </w:r>
      <w:r>
        <w:rPr>
          <w:rFonts w:hint="eastAsia" w:ascii="宋体" w:hAnsi="宋体"/>
          <w:color w:val="auto"/>
          <w:sz w:val="28"/>
          <w:szCs w:val="28"/>
          <w:highlight w:val="none"/>
          <w:lang w:val="zh-CN"/>
        </w:rPr>
        <w:t>职务，是</w:t>
      </w:r>
      <w:r>
        <w:rPr>
          <w:rFonts w:hint="eastAsia" w:ascii="宋体" w:hAnsi="宋体"/>
          <w:color w:val="auto"/>
          <w:sz w:val="28"/>
          <w:szCs w:val="28"/>
          <w:highlight w:val="none"/>
          <w:u w:val="single"/>
          <w:lang w:val="zh-CN"/>
        </w:rPr>
        <w:t xml:space="preserve">       （供应商名称）       </w:t>
      </w:r>
      <w:r>
        <w:rPr>
          <w:rFonts w:hint="eastAsia" w:ascii="宋体" w:hAnsi="宋体"/>
          <w:color w:val="auto"/>
          <w:sz w:val="28"/>
          <w:szCs w:val="28"/>
          <w:highlight w:val="none"/>
          <w:lang w:val="zh-CN"/>
        </w:rPr>
        <w:t>的</w:t>
      </w:r>
      <w:r>
        <w:rPr>
          <w:rFonts w:hint="eastAsia" w:ascii="宋体" w:hAnsi="宋体"/>
          <w:color w:val="auto"/>
          <w:sz w:val="28"/>
          <w:szCs w:val="28"/>
          <w:highlight w:val="none"/>
        </w:rPr>
        <w:t>法定代表人</w:t>
      </w:r>
      <w:r>
        <w:rPr>
          <w:rFonts w:hint="eastAsia" w:ascii="宋体" w:hAnsi="宋体"/>
          <w:color w:val="auto"/>
          <w:sz w:val="28"/>
          <w:szCs w:val="28"/>
          <w:highlight w:val="none"/>
          <w:lang w:val="zh-CN"/>
        </w:rPr>
        <w:t>。</w:t>
      </w:r>
    </w:p>
    <w:p>
      <w:pPr>
        <w:tabs>
          <w:tab w:val="left" w:pos="6300"/>
        </w:tabs>
        <w:spacing w:line="360" w:lineRule="auto"/>
        <w:ind w:firstLine="573"/>
        <w:rPr>
          <w:rFonts w:ascii="宋体" w:hAnsi="宋体"/>
          <w:color w:val="auto"/>
          <w:sz w:val="28"/>
          <w:szCs w:val="28"/>
          <w:highlight w:val="none"/>
          <w:lang w:val="zh-CN"/>
        </w:rPr>
      </w:pPr>
      <w:r>
        <w:rPr>
          <w:rFonts w:hint="eastAsia" w:ascii="宋体" w:hAnsi="宋体"/>
          <w:color w:val="auto"/>
          <w:sz w:val="28"/>
          <w:szCs w:val="28"/>
          <w:highlight w:val="none"/>
          <w:lang w:val="zh-CN"/>
        </w:rPr>
        <w:t>特此证明。</w:t>
      </w:r>
    </w:p>
    <w:p>
      <w:pPr>
        <w:tabs>
          <w:tab w:val="left" w:pos="6300"/>
        </w:tabs>
        <w:spacing w:line="360" w:lineRule="auto"/>
        <w:rPr>
          <w:rFonts w:ascii="宋体" w:hAnsi="宋体"/>
          <w:color w:val="auto"/>
          <w:sz w:val="28"/>
          <w:highlight w:val="none"/>
          <w:lang w:val="zh-CN"/>
        </w:rPr>
      </w:pPr>
    </w:p>
    <w:p>
      <w:pPr>
        <w:tabs>
          <w:tab w:val="left" w:pos="6300"/>
        </w:tabs>
        <w:spacing w:line="360" w:lineRule="auto"/>
        <w:rPr>
          <w:rFonts w:ascii="宋体" w:hAnsi="宋体"/>
          <w:color w:val="auto"/>
          <w:sz w:val="28"/>
          <w:highlight w:val="none"/>
          <w:lang w:val="zh-CN"/>
        </w:rPr>
      </w:pPr>
    </w:p>
    <w:p>
      <w:pPr>
        <w:tabs>
          <w:tab w:val="left" w:pos="6300"/>
        </w:tabs>
        <w:spacing w:line="360" w:lineRule="auto"/>
        <w:ind w:firstLine="573"/>
        <w:rPr>
          <w:rFonts w:ascii="宋体" w:hAnsi="宋体"/>
          <w:color w:val="auto"/>
          <w:sz w:val="28"/>
          <w:highlight w:val="none"/>
          <w:lang w:val="zh-CN"/>
        </w:rPr>
      </w:pPr>
    </w:p>
    <w:p>
      <w:pPr>
        <w:tabs>
          <w:tab w:val="left" w:pos="6300"/>
        </w:tabs>
        <w:spacing w:line="360" w:lineRule="auto"/>
        <w:rPr>
          <w:rFonts w:ascii="宋体" w:hAnsi="宋体"/>
          <w:color w:val="auto"/>
          <w:sz w:val="28"/>
          <w:highlight w:val="none"/>
          <w:lang w:val="zh-CN"/>
        </w:rPr>
      </w:pPr>
    </w:p>
    <w:p>
      <w:pPr>
        <w:tabs>
          <w:tab w:val="left" w:pos="6300"/>
        </w:tabs>
        <w:spacing w:line="360" w:lineRule="auto"/>
        <w:rPr>
          <w:rFonts w:ascii="宋体" w:hAnsi="宋体"/>
          <w:color w:val="auto"/>
          <w:sz w:val="28"/>
          <w:highlight w:val="none"/>
          <w:lang w:val="zh-CN"/>
        </w:rPr>
      </w:pPr>
    </w:p>
    <w:p>
      <w:pPr>
        <w:pStyle w:val="281"/>
        <w:ind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 xml:space="preserve">  </w:t>
      </w:r>
      <w:r>
        <w:rPr>
          <w:rFonts w:hint="eastAsia" w:hAnsi="宋体" w:eastAsia="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p>
    <w:p>
      <w:pPr>
        <w:pStyle w:val="129"/>
        <w:ind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日      期：</w:t>
      </w:r>
      <w:r>
        <w:rPr>
          <w:rFonts w:hint="eastAsia" w:ascii="宋体" w:hAnsi="宋体" w:eastAsia="宋体" w:cs="宋体"/>
          <w:color w:val="auto"/>
          <w:kern w:val="2"/>
          <w:sz w:val="28"/>
          <w:szCs w:val="22"/>
          <w:highlight w:val="none"/>
          <w:u w:val="single"/>
          <w:lang w:val="zh-CN" w:eastAsia="zh-CN" w:bidi="ar-SA"/>
        </w:rPr>
        <w:t>　　年　　月　　日</w:t>
      </w:r>
    </w:p>
    <w:p>
      <w:pPr>
        <w:tabs>
          <w:tab w:val="left" w:pos="6300"/>
        </w:tabs>
        <w:spacing w:line="360" w:lineRule="auto"/>
        <w:rPr>
          <w:rFonts w:hint="eastAsia" w:ascii="宋体" w:hAnsi="宋体" w:eastAsia="宋体" w:cs="宋体"/>
          <w:color w:val="auto"/>
          <w:kern w:val="2"/>
          <w:sz w:val="28"/>
          <w:szCs w:val="22"/>
          <w:highlight w:val="none"/>
          <w:u w:val="single"/>
          <w:lang w:val="zh-CN" w:eastAsia="zh-CN" w:bidi="ar-SA"/>
        </w:rPr>
      </w:pPr>
    </w:p>
    <w:p>
      <w:pPr>
        <w:tabs>
          <w:tab w:val="left" w:pos="6300"/>
        </w:tabs>
        <w:spacing w:line="360" w:lineRule="auto"/>
        <w:rPr>
          <w:rFonts w:ascii="宋体" w:hAnsi="宋体"/>
          <w:color w:val="auto"/>
          <w:sz w:val="28"/>
          <w:highlight w:val="none"/>
          <w:lang w:val="zh-CN"/>
        </w:rPr>
      </w:pPr>
    </w:p>
    <w:p>
      <w:pPr>
        <w:pStyle w:val="371"/>
        <w:rPr>
          <w:rFonts w:hint="eastAsia"/>
          <w:color w:val="auto"/>
          <w:highlight w:val="none"/>
          <w:lang w:val="en-US" w:eastAsia="zh-CN"/>
        </w:rPr>
      </w:pPr>
    </w:p>
    <w:p>
      <w:pPr>
        <w:pStyle w:val="372"/>
        <w:rPr>
          <w:color w:val="auto"/>
          <w:highlight w:val="none"/>
        </w:rPr>
      </w:pPr>
    </w:p>
    <w:p>
      <w:pPr>
        <w:spacing w:after="180" w:line="360" w:lineRule="auto"/>
        <w:ind w:firstLine="568" w:firstLineChars="202"/>
        <w:rPr>
          <w:rFonts w:hint="eastAsia" w:ascii="宋体" w:hAnsi="宋体"/>
          <w:b/>
          <w:color w:val="auto"/>
          <w:sz w:val="28"/>
          <w:szCs w:val="28"/>
          <w:highlight w:val="none"/>
        </w:rPr>
      </w:pPr>
      <w:r>
        <w:rPr>
          <w:rFonts w:hint="eastAsia" w:ascii="宋体" w:hAnsi="宋体"/>
          <w:b/>
          <w:color w:val="auto"/>
          <w:sz w:val="28"/>
          <w:szCs w:val="28"/>
          <w:highlight w:val="none"/>
        </w:rPr>
        <w:t>说明：上述证明文件在</w:t>
      </w:r>
      <w:r>
        <w:rPr>
          <w:rFonts w:hint="eastAsia" w:ascii="宋体" w:hAnsi="宋体"/>
          <w:b/>
          <w:color w:val="auto"/>
          <w:sz w:val="28"/>
          <w:szCs w:val="28"/>
          <w:highlight w:val="none"/>
          <w:lang w:val="en-US" w:eastAsia="zh-CN"/>
        </w:rPr>
        <w:t>响应</w:t>
      </w:r>
      <w:r>
        <w:rPr>
          <w:rFonts w:hint="eastAsia" w:ascii="宋体" w:hAnsi="宋体"/>
          <w:b/>
          <w:color w:val="auto"/>
          <w:sz w:val="28"/>
          <w:szCs w:val="28"/>
          <w:highlight w:val="none"/>
        </w:rPr>
        <w:t>文件中附有法定代表人身份证复印件（身份证两面均应复印）或护照复印件（供应商的法定代表人为外籍人士的，则提供护照复印件）时才能生效。</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keepNext/>
        <w:keepLines/>
        <w:spacing w:line="360" w:lineRule="auto"/>
        <w:jc w:val="left"/>
        <w:outlineLvl w:val="1"/>
        <w:rPr>
          <w:rFonts w:hint="eastAsia"/>
          <w:b/>
          <w:color w:val="000000"/>
          <w:kern w:val="0"/>
          <w:sz w:val="32"/>
          <w:szCs w:val="24"/>
        </w:rPr>
      </w:pPr>
      <w:bookmarkStart w:id="137" w:name="_Toc16076"/>
      <w:r>
        <w:rPr>
          <w:rFonts w:hint="eastAsia"/>
          <w:b/>
          <w:color w:val="000000"/>
          <w:kern w:val="0"/>
          <w:sz w:val="32"/>
          <w:szCs w:val="24"/>
        </w:rPr>
        <w:t>3.</w:t>
      </w:r>
      <w:r>
        <w:rPr>
          <w:rFonts w:hint="eastAsia"/>
          <w:b/>
          <w:color w:val="000000"/>
          <w:kern w:val="0"/>
          <w:sz w:val="32"/>
          <w:szCs w:val="24"/>
          <w:lang w:val="en-US" w:eastAsia="zh-CN"/>
        </w:rPr>
        <w:t>1.5</w:t>
      </w:r>
      <w:r>
        <w:rPr>
          <w:rFonts w:hint="eastAsia"/>
          <w:b/>
          <w:color w:val="000000"/>
          <w:kern w:val="0"/>
          <w:sz w:val="32"/>
          <w:szCs w:val="24"/>
        </w:rPr>
        <w:t>供应商基本情况表</w:t>
      </w:r>
      <w:bookmarkEnd w:id="137"/>
    </w:p>
    <w:p>
      <w:pPr>
        <w:rPr>
          <w:color w:val="000000"/>
        </w:rPr>
      </w:pPr>
    </w:p>
    <w:tbl>
      <w:tblPr>
        <w:tblStyle w:val="42"/>
        <w:tblW w:w="85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80"/>
        <w:gridCol w:w="992"/>
        <w:gridCol w:w="935"/>
        <w:gridCol w:w="1248"/>
        <w:gridCol w:w="8"/>
        <w:gridCol w:w="1318"/>
        <w:gridCol w:w="489"/>
        <w:gridCol w:w="683"/>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供应商名称</w:t>
            </w:r>
          </w:p>
        </w:tc>
        <w:tc>
          <w:tcPr>
            <w:tcW w:w="6740"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注册地址</w:t>
            </w:r>
          </w:p>
        </w:tc>
        <w:tc>
          <w:tcPr>
            <w:tcW w:w="3183"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联系方式</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联系人</w:t>
            </w:r>
          </w:p>
        </w:tc>
        <w:tc>
          <w:tcPr>
            <w:tcW w:w="21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780" w:type="dxa"/>
            <w:vMerge w:val="continue"/>
            <w:tcBorders>
              <w:top w:val="single" w:color="auto" w:sz="6" w:space="0"/>
              <w:left w:val="double" w:color="auto" w:sz="4" w:space="0"/>
              <w:bottom w:val="single" w:color="auto" w:sz="6" w:space="0"/>
              <w:right w:val="single" w:color="auto" w:sz="6" w:space="0"/>
            </w:tcBorders>
            <w:vAlign w:val="center"/>
          </w:tcPr>
          <w:p>
            <w:pPr>
              <w:rPr>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传真</w:t>
            </w:r>
          </w:p>
        </w:tc>
        <w:tc>
          <w:tcPr>
            <w:tcW w:w="21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单位性质</w:t>
            </w:r>
          </w:p>
        </w:tc>
        <w:tc>
          <w:tcPr>
            <w:tcW w:w="6740"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rPr>
              <w:t>法定代表人</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姓名</w:t>
            </w:r>
          </w:p>
        </w:tc>
        <w:tc>
          <w:tcPr>
            <w:tcW w:w="9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bCs/>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780"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技术负责人</w:t>
            </w:r>
          </w:p>
        </w:tc>
        <w:tc>
          <w:tcPr>
            <w:tcW w:w="99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姓名</w:t>
            </w:r>
          </w:p>
        </w:tc>
        <w:tc>
          <w:tcPr>
            <w:tcW w:w="93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color w:val="000000"/>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color w:val="000000"/>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bCs/>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780"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财务负责人</w:t>
            </w:r>
          </w:p>
        </w:tc>
        <w:tc>
          <w:tcPr>
            <w:tcW w:w="99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姓名</w:t>
            </w:r>
          </w:p>
        </w:tc>
        <w:tc>
          <w:tcPr>
            <w:tcW w:w="93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bCs/>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成立时间</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color w:val="000000"/>
                <w:szCs w:val="21"/>
              </w:rPr>
            </w:pPr>
            <w:r>
              <w:rPr>
                <w:rFonts w:hint="eastAsia"/>
                <w:color w:val="000000"/>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企业资质等级</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其中</w:t>
            </w: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项目经理</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bCs/>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营业执照号</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color w:val="000000"/>
                <w:szCs w:val="21"/>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高级职称人员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bCs/>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注册资金</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color w:val="000000"/>
                <w:szCs w:val="21"/>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中级职称人员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bCs/>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开户银行</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color w:val="000000"/>
                <w:szCs w:val="21"/>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初级职称人员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bCs/>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账号</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color w:val="000000"/>
                <w:szCs w:val="21"/>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技工</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bCs/>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6"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经营范围</w:t>
            </w:r>
          </w:p>
        </w:tc>
        <w:tc>
          <w:tcPr>
            <w:tcW w:w="6740"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bCs/>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780"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color w:val="000000"/>
                <w:szCs w:val="21"/>
              </w:rPr>
            </w:pPr>
            <w:r>
              <w:rPr>
                <w:rFonts w:hint="eastAsia"/>
                <w:color w:val="000000"/>
                <w:szCs w:val="21"/>
              </w:rPr>
              <w:t>备注</w:t>
            </w:r>
          </w:p>
        </w:tc>
        <w:tc>
          <w:tcPr>
            <w:tcW w:w="6740"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color w:val="000000"/>
                <w:szCs w:val="21"/>
              </w:rPr>
            </w:pPr>
          </w:p>
        </w:tc>
      </w:tr>
    </w:tbl>
    <w:p>
      <w:pPr>
        <w:pStyle w:val="27"/>
        <w:spacing w:line="360" w:lineRule="auto"/>
        <w:ind w:firstLine="288" w:firstLineChars="103"/>
        <w:jc w:val="center"/>
        <w:rPr>
          <w:rFonts w:hint="eastAsia" w:ascii="宋体" w:hAnsi="宋体"/>
          <w:bCs/>
          <w:color w:val="000000"/>
          <w:sz w:val="28"/>
          <w:szCs w:val="28"/>
          <w:lang w:val="en-US" w:eastAsia="zh-CN"/>
        </w:rPr>
      </w:pPr>
      <w:r>
        <w:rPr>
          <w:rFonts w:hint="eastAsia" w:ascii="宋体" w:hAnsi="宋体"/>
          <w:bCs/>
          <w:color w:val="000000"/>
          <w:sz w:val="28"/>
          <w:szCs w:val="28"/>
          <w:lang w:val="en-US" w:eastAsia="zh-CN"/>
        </w:rPr>
        <w:t xml:space="preserve">                      </w:t>
      </w:r>
    </w:p>
    <w:p>
      <w:pPr>
        <w:pStyle w:val="27"/>
        <w:spacing w:line="360" w:lineRule="auto"/>
        <w:ind w:firstLine="288" w:firstLineChars="103"/>
        <w:jc w:val="center"/>
        <w:rPr>
          <w:rFonts w:hint="default" w:ascii="宋体" w:hAnsi="宋体" w:eastAsia="宋体"/>
          <w:bCs/>
          <w:color w:val="000000"/>
          <w:sz w:val="28"/>
          <w:szCs w:val="28"/>
          <w:u w:val="single"/>
          <w:lang w:val="en-US" w:eastAsia="zh-CN"/>
        </w:rPr>
      </w:pPr>
      <w:r>
        <w:rPr>
          <w:rFonts w:hint="eastAsia" w:ascii="宋体" w:hAnsi="宋体"/>
          <w:bCs/>
          <w:color w:val="000000"/>
          <w:sz w:val="28"/>
          <w:szCs w:val="28"/>
          <w:lang w:val="en-US" w:eastAsia="zh-CN"/>
        </w:rPr>
        <w:t xml:space="preserve">                     </w:t>
      </w:r>
      <w:r>
        <w:rPr>
          <w:rFonts w:hint="eastAsia" w:ascii="宋体" w:hAnsi="宋体"/>
          <w:bCs/>
          <w:color w:val="000000"/>
          <w:sz w:val="28"/>
          <w:szCs w:val="28"/>
        </w:rPr>
        <w:t>供应商名称：</w:t>
      </w:r>
      <w:r>
        <w:rPr>
          <w:rFonts w:hint="eastAsia" w:ascii="宋体" w:hAnsi="宋体"/>
          <w:bCs/>
          <w:color w:val="000000"/>
          <w:sz w:val="28"/>
          <w:szCs w:val="28"/>
          <w:u w:val="none"/>
          <w:lang w:val="en-US" w:eastAsia="zh-CN"/>
        </w:rPr>
        <w:t xml:space="preserve"> </w:t>
      </w:r>
      <w:r>
        <w:rPr>
          <w:rFonts w:hint="eastAsia" w:ascii="宋体" w:hAnsi="宋体"/>
          <w:bCs/>
          <w:color w:val="000000"/>
          <w:sz w:val="28"/>
          <w:szCs w:val="28"/>
          <w:u w:val="single"/>
          <w:lang w:val="en-US" w:eastAsia="zh-CN"/>
        </w:rPr>
        <w:t xml:space="preserve">            </w:t>
      </w:r>
    </w:p>
    <w:p>
      <w:pPr>
        <w:pStyle w:val="317"/>
        <w:ind w:firstLine="280" w:firstLineChars="100"/>
        <w:jc w:val="right"/>
        <w:outlineLvl w:val="1"/>
        <w:rPr>
          <w:rFonts w:hint="eastAsia" w:ascii="宋体" w:hAnsi="宋体" w:eastAsia="宋体"/>
          <w:b w:val="0"/>
          <w:bCs/>
          <w:color w:val="000000"/>
          <w:kern w:val="2"/>
          <w:sz w:val="28"/>
          <w:szCs w:val="28"/>
        </w:rPr>
      </w:pPr>
      <w:bookmarkStart w:id="138" w:name="_Toc28368"/>
      <w:r>
        <w:rPr>
          <w:rFonts w:hint="eastAsia" w:ascii="宋体" w:hAnsi="宋体" w:eastAsia="宋体"/>
          <w:b w:val="0"/>
          <w:bCs/>
          <w:color w:val="000000"/>
          <w:kern w:val="2"/>
          <w:sz w:val="28"/>
          <w:szCs w:val="28"/>
        </w:rPr>
        <w:t>日期：</w:t>
      </w:r>
      <w:r>
        <w:rPr>
          <w:rFonts w:hint="eastAsia" w:ascii="宋体" w:hAnsi="宋体" w:eastAsia="宋体"/>
          <w:b w:val="0"/>
          <w:bCs/>
          <w:color w:val="000000"/>
          <w:kern w:val="2"/>
          <w:sz w:val="28"/>
          <w:szCs w:val="28"/>
          <w:u w:val="single"/>
          <w:lang w:val="en-US" w:eastAsia="zh-CN"/>
        </w:rPr>
        <w:t xml:space="preserve">   </w:t>
      </w:r>
      <w:r>
        <w:rPr>
          <w:rFonts w:hint="eastAsia" w:ascii="宋体" w:hAnsi="宋体" w:eastAsia="宋体"/>
          <w:b w:val="0"/>
          <w:bCs/>
          <w:color w:val="000000"/>
          <w:kern w:val="2"/>
          <w:sz w:val="28"/>
          <w:szCs w:val="28"/>
        </w:rPr>
        <w:t>年</w:t>
      </w:r>
      <w:r>
        <w:rPr>
          <w:rFonts w:hint="eastAsia" w:ascii="宋体" w:hAnsi="宋体" w:eastAsia="宋体"/>
          <w:b w:val="0"/>
          <w:bCs/>
          <w:color w:val="000000"/>
          <w:kern w:val="2"/>
          <w:sz w:val="28"/>
          <w:szCs w:val="28"/>
          <w:u w:val="single"/>
          <w:lang w:val="en-US" w:eastAsia="zh-CN"/>
        </w:rPr>
        <w:t xml:space="preserve">   </w:t>
      </w:r>
      <w:r>
        <w:rPr>
          <w:rFonts w:hint="eastAsia" w:ascii="宋体" w:hAnsi="宋体" w:eastAsia="宋体"/>
          <w:b w:val="0"/>
          <w:bCs/>
          <w:color w:val="000000"/>
          <w:kern w:val="2"/>
          <w:sz w:val="28"/>
          <w:szCs w:val="28"/>
        </w:rPr>
        <w:t>月</w:t>
      </w:r>
      <w:r>
        <w:rPr>
          <w:rFonts w:hint="eastAsia" w:ascii="宋体" w:hAnsi="宋体" w:eastAsia="宋体"/>
          <w:b w:val="0"/>
          <w:bCs/>
          <w:color w:val="000000"/>
          <w:kern w:val="2"/>
          <w:sz w:val="28"/>
          <w:szCs w:val="28"/>
          <w:u w:val="single"/>
          <w:lang w:val="en-US" w:eastAsia="zh-CN"/>
        </w:rPr>
        <w:t xml:space="preserve">   </w:t>
      </w:r>
      <w:r>
        <w:rPr>
          <w:rFonts w:hint="eastAsia" w:ascii="宋体" w:hAnsi="宋体" w:eastAsia="宋体"/>
          <w:b w:val="0"/>
          <w:bCs/>
          <w:color w:val="000000"/>
          <w:kern w:val="2"/>
          <w:sz w:val="28"/>
          <w:szCs w:val="28"/>
        </w:rPr>
        <w:t>日</w:t>
      </w:r>
      <w:bookmarkEnd w:id="138"/>
    </w:p>
    <w:p>
      <w:pPr>
        <w:pStyle w:val="317"/>
        <w:outlineLvl w:val="1"/>
        <w:rPr>
          <w:color w:val="000000"/>
        </w:rPr>
      </w:pPr>
    </w:p>
    <w:p>
      <w:pPr>
        <w:spacing w:line="588" w:lineRule="exact"/>
        <w:rPr>
          <w:rFonts w:hint="eastAsia"/>
          <w:color w:val="000000"/>
          <w:shd w:val="clear" w:color="auto" w:fill="FFFFFF"/>
        </w:rPr>
      </w:pPr>
    </w:p>
    <w:p>
      <w:pPr>
        <w:pStyle w:val="2"/>
        <w:rPr>
          <w:rFonts w:hint="eastAsia"/>
          <w:color w:val="000000"/>
          <w:shd w:val="clear" w:color="auto" w:fill="FFFFFF"/>
        </w:rPr>
      </w:pPr>
    </w:p>
    <w:p>
      <w:pPr>
        <w:rPr>
          <w:rFonts w:hint="eastAsia"/>
          <w:color w:val="000000"/>
          <w:shd w:val="clear" w:color="auto" w:fill="FFFFFF"/>
        </w:rPr>
      </w:pPr>
    </w:p>
    <w:p>
      <w:pPr>
        <w:pStyle w:val="2"/>
        <w:rPr>
          <w:rFonts w:hint="eastAsia"/>
        </w:rPr>
      </w:pPr>
    </w:p>
    <w:p>
      <w:pPr>
        <w:rPr>
          <w:rFonts w:hint="eastAsia"/>
        </w:rPr>
      </w:pPr>
    </w:p>
    <w:p>
      <w:pPr>
        <w:pStyle w:val="2"/>
      </w:pPr>
    </w:p>
    <w:p>
      <w:pPr>
        <w:pStyle w:val="316"/>
        <w:outlineLvl w:val="1"/>
        <w:rPr>
          <w:rFonts w:hint="eastAsia" w:ascii="宋体" w:hAnsi="宋体" w:eastAsia="宋体" w:cs="宋体"/>
          <w:color w:val="000000"/>
        </w:rPr>
      </w:pPr>
      <w:bookmarkStart w:id="139" w:name="_Toc10363"/>
      <w:bookmarkStart w:id="140" w:name="_Toc16506"/>
      <w:bookmarkStart w:id="141" w:name="_Toc22769"/>
      <w:r>
        <w:rPr>
          <w:rFonts w:hint="eastAsia" w:ascii="宋体" w:hAnsi="宋体" w:eastAsia="宋体" w:cs="宋体"/>
          <w:color w:val="000000"/>
        </w:rPr>
        <w:t>3.</w:t>
      </w:r>
      <w:r>
        <w:rPr>
          <w:rFonts w:hint="eastAsia" w:ascii="宋体" w:hAnsi="宋体" w:eastAsia="宋体" w:cs="宋体"/>
          <w:color w:val="000000"/>
          <w:lang w:val="en-US" w:eastAsia="zh-CN"/>
        </w:rPr>
        <w:t>1.6</w:t>
      </w:r>
      <w:r>
        <w:rPr>
          <w:rFonts w:hint="eastAsia" w:ascii="宋体" w:hAnsi="宋体" w:eastAsia="宋体" w:cs="宋体"/>
          <w:color w:val="000000"/>
        </w:rPr>
        <w:t>供应商应提交的相关资格证明材料</w:t>
      </w:r>
      <w:bookmarkEnd w:id="139"/>
      <w:bookmarkEnd w:id="140"/>
      <w:bookmarkEnd w:id="141"/>
    </w:p>
    <w:p>
      <w:pPr>
        <w:pStyle w:val="113"/>
        <w:ind w:firstLine="48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（一）</w:t>
      </w:r>
      <w:r>
        <w:rPr>
          <w:rFonts w:hint="eastAsia" w:ascii="宋体" w:hAnsi="宋体"/>
          <w:b w:val="0"/>
          <w:bCs w:val="0"/>
          <w:color w:val="auto"/>
          <w:kern w:val="10"/>
          <w:sz w:val="24"/>
          <w:szCs w:val="20"/>
          <w:highlight w:val="none"/>
        </w:rPr>
        <w:t>营业执照复印件（正本或副本）或法人证书复印件（正本或副本）；</w:t>
      </w:r>
    </w:p>
    <w:p>
      <w:pPr>
        <w:pStyle w:val="113"/>
        <w:ind w:firstLine="48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（二）</w:t>
      </w:r>
      <w:r>
        <w:rPr>
          <w:rFonts w:hint="eastAsia" w:ascii="宋体" w:hAnsi="宋体"/>
          <w:b w:val="0"/>
          <w:bCs w:val="0"/>
          <w:color w:val="auto"/>
          <w:kern w:val="10"/>
          <w:sz w:val="24"/>
          <w:szCs w:val="20"/>
          <w:highlight w:val="none"/>
        </w:rPr>
        <w:t>2019或2020会计年度资产负债表复印件（说明：</w:t>
      </w:r>
      <w:r>
        <w:rPr>
          <w:rFonts w:hint="eastAsia"/>
          <w:b w:val="0"/>
          <w:bCs w:val="0"/>
          <w:color w:val="auto"/>
          <w:kern w:val="10"/>
          <w:sz w:val="24"/>
          <w:szCs w:val="20"/>
          <w:highlight w:val="none"/>
          <w:lang w:eastAsia="zh-CN"/>
        </w:rPr>
        <w:t>供应商</w:t>
      </w:r>
      <w:r>
        <w:rPr>
          <w:rFonts w:hint="eastAsia" w:ascii="宋体" w:hAnsi="宋体"/>
          <w:b w:val="0"/>
          <w:bCs w:val="0"/>
          <w:color w:val="auto"/>
          <w:kern w:val="10"/>
          <w:sz w:val="24"/>
          <w:szCs w:val="20"/>
          <w:highlight w:val="none"/>
        </w:rPr>
        <w:t>成立时间至递交</w:t>
      </w:r>
      <w:r>
        <w:rPr>
          <w:rFonts w:hint="eastAsia"/>
          <w:b w:val="0"/>
          <w:bCs w:val="0"/>
          <w:color w:val="auto"/>
          <w:kern w:val="10"/>
          <w:sz w:val="24"/>
          <w:szCs w:val="20"/>
          <w:highlight w:val="none"/>
          <w:lang w:eastAsia="zh-CN"/>
        </w:rPr>
        <w:t>响应</w:t>
      </w:r>
      <w:r>
        <w:rPr>
          <w:rFonts w:hint="eastAsia" w:ascii="宋体" w:hAnsi="宋体"/>
          <w:b w:val="0"/>
          <w:bCs w:val="0"/>
          <w:color w:val="auto"/>
          <w:kern w:val="10"/>
          <w:sz w:val="24"/>
          <w:szCs w:val="20"/>
          <w:highlight w:val="none"/>
        </w:rPr>
        <w:t>文件截止时间止不足一年的，提供成立后任意时段的资产负债表复印件）；</w:t>
      </w:r>
    </w:p>
    <w:p>
      <w:pPr>
        <w:pStyle w:val="113"/>
        <w:ind w:firstLine="48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（三）供应商</w:t>
      </w:r>
      <w:r>
        <w:rPr>
          <w:rFonts w:hint="eastAsia" w:ascii="宋体" w:hAnsi="宋体"/>
          <w:b w:val="0"/>
          <w:bCs w:val="0"/>
          <w:color w:val="auto"/>
          <w:kern w:val="10"/>
          <w:sz w:val="24"/>
          <w:szCs w:val="20"/>
          <w:highlight w:val="none"/>
        </w:rPr>
        <w:t>缴纳2020或2021年任意时段的税收的银行电子回单或者行政部门出具的纳税证明或完税证明复印件；</w:t>
      </w:r>
    </w:p>
    <w:p>
      <w:pPr>
        <w:pStyle w:val="113"/>
        <w:ind w:firstLine="48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（四）</w:t>
      </w:r>
      <w:r>
        <w:rPr>
          <w:rFonts w:hint="eastAsia" w:ascii="宋体" w:hAnsi="宋体"/>
          <w:b w:val="0"/>
          <w:bCs w:val="0"/>
          <w:color w:val="auto"/>
          <w:kern w:val="10"/>
          <w:sz w:val="24"/>
          <w:szCs w:val="20"/>
          <w:highlight w:val="none"/>
        </w:rPr>
        <w:t>采购人对</w:t>
      </w:r>
      <w:r>
        <w:rPr>
          <w:rFonts w:hint="eastAsia"/>
          <w:b w:val="0"/>
          <w:bCs w:val="0"/>
          <w:color w:val="auto"/>
          <w:kern w:val="10"/>
          <w:sz w:val="24"/>
          <w:szCs w:val="20"/>
          <w:highlight w:val="none"/>
          <w:lang w:eastAsia="zh-CN"/>
        </w:rPr>
        <w:t>供应商</w:t>
      </w:r>
      <w:r>
        <w:rPr>
          <w:rFonts w:hint="eastAsia" w:ascii="宋体" w:hAnsi="宋体"/>
          <w:b w:val="0"/>
          <w:bCs w:val="0"/>
          <w:color w:val="auto"/>
          <w:kern w:val="10"/>
          <w:sz w:val="24"/>
          <w:szCs w:val="20"/>
          <w:highlight w:val="none"/>
        </w:rPr>
        <w:t>履行合同所必须的设备和专业技术能力无其他特殊要求，</w:t>
      </w:r>
      <w:r>
        <w:rPr>
          <w:rFonts w:hint="eastAsia"/>
          <w:b w:val="0"/>
          <w:bCs w:val="0"/>
          <w:color w:val="auto"/>
          <w:kern w:val="10"/>
          <w:sz w:val="24"/>
          <w:szCs w:val="20"/>
          <w:highlight w:val="none"/>
          <w:lang w:eastAsia="zh-CN"/>
        </w:rPr>
        <w:t>供应商</w:t>
      </w:r>
      <w:r>
        <w:rPr>
          <w:rFonts w:hint="eastAsia" w:ascii="宋体" w:hAnsi="宋体"/>
          <w:b w:val="0"/>
          <w:bCs w:val="0"/>
          <w:color w:val="auto"/>
          <w:kern w:val="10"/>
          <w:sz w:val="24"/>
          <w:szCs w:val="20"/>
          <w:highlight w:val="none"/>
        </w:rPr>
        <w:t>具有有效的营业执照或法人证书即可，可不提供其他证明材料；</w:t>
      </w:r>
    </w:p>
    <w:p>
      <w:pPr>
        <w:pStyle w:val="113"/>
        <w:ind w:firstLine="48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（五）供应商</w:t>
      </w:r>
      <w:r>
        <w:rPr>
          <w:rFonts w:hint="eastAsia" w:ascii="宋体" w:hAnsi="宋体"/>
          <w:b w:val="0"/>
          <w:bCs w:val="0"/>
          <w:color w:val="auto"/>
          <w:kern w:val="10"/>
          <w:sz w:val="24"/>
          <w:szCs w:val="20"/>
          <w:highlight w:val="none"/>
        </w:rPr>
        <w:t>缴纳2020或2021年任意时段的社保的银行电子回单或行政部门出具的社保缴纳证明材料复印件；</w:t>
      </w:r>
    </w:p>
    <w:p>
      <w:pPr>
        <w:pStyle w:val="113"/>
        <w:ind w:firstLine="480"/>
        <w:rPr>
          <w:rFonts w:hint="eastAsia" w:ascii="宋体" w:hAnsi="宋体" w:eastAsia="宋体"/>
          <w:b w:val="0"/>
          <w:bCs w:val="0"/>
          <w:color w:val="auto"/>
          <w:kern w:val="10"/>
          <w:sz w:val="24"/>
          <w:szCs w:val="20"/>
          <w:highlight w:val="none"/>
          <w:lang w:eastAsia="zh-CN"/>
        </w:rPr>
      </w:pPr>
      <w:r>
        <w:rPr>
          <w:rFonts w:hint="eastAsia"/>
          <w:b w:val="0"/>
          <w:bCs w:val="0"/>
          <w:color w:val="auto"/>
          <w:kern w:val="10"/>
          <w:sz w:val="24"/>
          <w:szCs w:val="20"/>
          <w:highlight w:val="none"/>
          <w:lang w:eastAsia="zh-CN"/>
        </w:rPr>
        <w:t>（六）</w:t>
      </w:r>
      <w:r>
        <w:rPr>
          <w:rFonts w:hint="eastAsia" w:ascii="宋体" w:hAnsi="宋体"/>
          <w:b w:val="0"/>
          <w:bCs w:val="0"/>
          <w:color w:val="auto"/>
          <w:kern w:val="10"/>
          <w:sz w:val="24"/>
          <w:szCs w:val="20"/>
          <w:highlight w:val="none"/>
        </w:rPr>
        <w:t>采购人对法律、行政法规规定的其他条件无其他特殊要求，</w:t>
      </w:r>
      <w:r>
        <w:rPr>
          <w:rFonts w:hint="eastAsia"/>
          <w:b w:val="0"/>
          <w:bCs w:val="0"/>
          <w:color w:val="auto"/>
          <w:kern w:val="10"/>
          <w:sz w:val="24"/>
          <w:szCs w:val="20"/>
          <w:highlight w:val="none"/>
          <w:lang w:eastAsia="zh-CN"/>
        </w:rPr>
        <w:t>供应商</w:t>
      </w:r>
      <w:r>
        <w:rPr>
          <w:rFonts w:hint="eastAsia" w:ascii="宋体" w:hAnsi="宋体"/>
          <w:b w:val="0"/>
          <w:bCs w:val="0"/>
          <w:color w:val="auto"/>
          <w:kern w:val="10"/>
          <w:sz w:val="24"/>
          <w:szCs w:val="20"/>
          <w:highlight w:val="none"/>
        </w:rPr>
        <w:t>具有有效的营业执照或法人证书即可，可不提供其他证明材料</w:t>
      </w:r>
      <w:r>
        <w:rPr>
          <w:rFonts w:hint="eastAsia"/>
          <w:b w:val="0"/>
          <w:bCs w:val="0"/>
          <w:color w:val="auto"/>
          <w:kern w:val="10"/>
          <w:sz w:val="24"/>
          <w:szCs w:val="20"/>
          <w:highlight w:val="none"/>
          <w:lang w:eastAsia="zh-CN"/>
        </w:rPr>
        <w:t>；</w:t>
      </w: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372"/>
        <w:rPr>
          <w:rFonts w:hint="eastAsia" w:ascii="宋体" w:hAnsi="宋体" w:cs="Times New Roman"/>
          <w:b/>
          <w:bCs/>
          <w:color w:val="auto"/>
          <w:kern w:val="2"/>
          <w:sz w:val="28"/>
          <w:szCs w:val="28"/>
          <w:highlight w:val="none"/>
          <w:lang w:val="en-US" w:eastAsia="zh-CN" w:bidi="ar-SA"/>
        </w:rPr>
      </w:pPr>
      <w:bookmarkStart w:id="142" w:name="_Toc13480"/>
      <w:bookmarkStart w:id="143" w:name="_Toc1599"/>
      <w:bookmarkStart w:id="144" w:name="_Toc74926776"/>
      <w:r>
        <w:rPr>
          <w:rFonts w:hint="eastAsia" w:ascii="宋体" w:hAnsi="宋体" w:eastAsia="宋体" w:cs="Times New Roman"/>
          <w:b/>
          <w:bCs/>
          <w:color w:val="auto"/>
          <w:kern w:val="2"/>
          <w:sz w:val="28"/>
          <w:szCs w:val="28"/>
          <w:highlight w:val="none"/>
          <w:lang w:val="en-US" w:eastAsia="zh-CN" w:bidi="ar-SA"/>
        </w:rPr>
        <w:t>3.</w:t>
      </w:r>
      <w:r>
        <w:rPr>
          <w:rFonts w:hint="eastAsia" w:ascii="宋体" w:hAnsi="宋体" w:cs="Times New Roman"/>
          <w:b/>
          <w:bCs/>
          <w:color w:val="auto"/>
          <w:kern w:val="2"/>
          <w:sz w:val="28"/>
          <w:szCs w:val="28"/>
          <w:highlight w:val="none"/>
          <w:lang w:val="en-US" w:eastAsia="zh-CN" w:bidi="ar-SA"/>
        </w:rPr>
        <w:t>2技术、服务性响应文件格式</w:t>
      </w:r>
    </w:p>
    <w:p>
      <w:pPr>
        <w:pStyle w:val="5"/>
        <w:numPr>
          <w:ilvl w:val="2"/>
          <w:numId w:val="0"/>
        </w:numPr>
        <w:tabs>
          <w:tab w:val="left" w:pos="709"/>
        </w:tabs>
        <w:spacing w:after="200"/>
        <w:ind w:leftChars="0"/>
        <w:jc w:val="left"/>
        <w:rPr>
          <w:color w:val="auto"/>
          <w:highlight w:val="none"/>
        </w:rPr>
      </w:pPr>
      <w:bookmarkStart w:id="145" w:name="_Toc20128"/>
      <w:bookmarkStart w:id="146" w:name="_Toc10890"/>
      <w:r>
        <w:rPr>
          <w:rFonts w:hint="eastAsia"/>
          <w:color w:val="auto"/>
          <w:highlight w:val="none"/>
          <w:lang w:val="en-US" w:eastAsia="zh-CN"/>
        </w:rPr>
        <w:t>3.2.1</w:t>
      </w:r>
      <w:r>
        <w:rPr>
          <w:rFonts w:hint="eastAsia"/>
          <w:color w:val="auto"/>
          <w:highlight w:val="none"/>
        </w:rPr>
        <w:t>技术、服务性响应文件封面格式</w:t>
      </w:r>
      <w:bookmarkEnd w:id="145"/>
      <w:bookmarkEnd w:id="146"/>
    </w:p>
    <w:p>
      <w:pPr>
        <w:spacing w:line="360" w:lineRule="auto"/>
        <w:jc w:val="center"/>
        <w:rPr>
          <w:rFonts w:ascii="宋体" w:hAnsi="宋体"/>
          <w:color w:val="auto"/>
          <w:spacing w:val="78"/>
          <w:sz w:val="96"/>
          <w:szCs w:val="120"/>
          <w:highlight w:val="none"/>
        </w:rPr>
      </w:pPr>
    </w:p>
    <w:p>
      <w:pPr>
        <w:spacing w:line="360" w:lineRule="auto"/>
        <w:jc w:val="center"/>
        <w:rPr>
          <w:rFonts w:ascii="宋体" w:hAnsi="宋体"/>
          <w:color w:val="auto"/>
          <w:spacing w:val="78"/>
          <w:sz w:val="96"/>
          <w:szCs w:val="120"/>
          <w:highlight w:val="none"/>
        </w:rPr>
      </w:pPr>
    </w:p>
    <w:p>
      <w:pPr>
        <w:spacing w:line="360" w:lineRule="auto"/>
        <w:jc w:val="center"/>
        <w:rPr>
          <w:rFonts w:ascii="宋体" w:hAnsi="宋体"/>
          <w:color w:val="auto"/>
          <w:spacing w:val="78"/>
          <w:sz w:val="96"/>
          <w:szCs w:val="120"/>
          <w:highlight w:val="none"/>
        </w:rPr>
      </w:pPr>
      <w:r>
        <w:rPr>
          <w:rFonts w:hint="eastAsia" w:ascii="宋体" w:hAnsi="宋体"/>
          <w:color w:val="auto"/>
          <w:spacing w:val="78"/>
          <w:sz w:val="56"/>
          <w:szCs w:val="120"/>
          <w:highlight w:val="none"/>
        </w:rPr>
        <w:t>技术、服务性响应文件</w:t>
      </w:r>
    </w:p>
    <w:p>
      <w:pPr>
        <w:rPr>
          <w:color w:val="auto"/>
          <w:highlight w:val="none"/>
        </w:rPr>
      </w:pPr>
    </w:p>
    <w:p>
      <w:pPr>
        <w:rPr>
          <w:color w:val="auto"/>
          <w:highlight w:val="none"/>
        </w:rPr>
      </w:pPr>
    </w:p>
    <w:p>
      <w:pPr>
        <w:rPr>
          <w:color w:val="auto"/>
          <w:highlight w:val="none"/>
        </w:rPr>
      </w:pPr>
    </w:p>
    <w:p>
      <w:pPr>
        <w:spacing w:line="360" w:lineRule="auto"/>
        <w:jc w:val="center"/>
        <w:rPr>
          <w:rFonts w:ascii="宋体" w:hAnsi="宋体"/>
          <w:bCs/>
          <w:color w:val="auto"/>
          <w:sz w:val="36"/>
          <w:highlight w:val="none"/>
        </w:rPr>
      </w:pPr>
    </w:p>
    <w:p>
      <w:pPr>
        <w:spacing w:line="360" w:lineRule="auto"/>
        <w:jc w:val="both"/>
        <w:rPr>
          <w:rFonts w:ascii="宋体" w:hAnsi="宋体"/>
          <w:bCs/>
          <w:color w:val="auto"/>
          <w:sz w:val="36"/>
          <w:highlight w:val="none"/>
        </w:rPr>
      </w:pPr>
    </w:p>
    <w:p>
      <w:pPr>
        <w:snapToGrid w:val="0"/>
        <w:spacing w:line="360" w:lineRule="auto"/>
        <w:ind w:right="-624" w:rightChars="-297"/>
        <w:rPr>
          <w:rFonts w:hint="eastAsia"/>
          <w:b/>
          <w:color w:val="auto"/>
          <w:sz w:val="28"/>
          <w:highlight w:val="none"/>
          <w:u w:val="single"/>
          <w:lang w:eastAsia="zh-CN"/>
        </w:rPr>
      </w:pPr>
      <w:r>
        <w:rPr>
          <w:rFonts w:hint="eastAsia" w:ascii="宋体" w:hAnsi="宋体"/>
          <w:b/>
          <w:color w:val="auto"/>
          <w:sz w:val="28"/>
          <w:highlight w:val="none"/>
        </w:rPr>
        <w:t>项目名称：</w:t>
      </w:r>
      <w:r>
        <w:rPr>
          <w:rFonts w:hint="eastAsia"/>
          <w:b/>
          <w:color w:val="auto"/>
          <w:sz w:val="28"/>
          <w:highlight w:val="none"/>
          <w:u w:val="single"/>
          <w:lang w:eastAsia="zh-CN"/>
        </w:rPr>
        <w:t>温江中学实验学校数字校园设备采购项目</w:t>
      </w:r>
    </w:p>
    <w:p>
      <w:pPr>
        <w:snapToGrid w:val="0"/>
        <w:spacing w:line="360" w:lineRule="auto"/>
        <w:ind w:right="-624" w:rightChars="-297"/>
        <w:rPr>
          <w:rFonts w:hint="eastAsia" w:ascii="宋体" w:hAnsi="宋体" w:eastAsia="宋体" w:cs="Times New Roman"/>
          <w:b/>
          <w:bCs/>
          <w:color w:val="auto"/>
          <w:kern w:val="2"/>
          <w:sz w:val="28"/>
          <w:szCs w:val="28"/>
          <w:highlight w:val="none"/>
          <w:u w:val="single"/>
          <w:lang w:val="en-US" w:eastAsia="zh-CN" w:bidi="ar-SA"/>
        </w:rPr>
      </w:pPr>
      <w:r>
        <w:rPr>
          <w:rFonts w:hint="eastAsia" w:ascii="宋体" w:hAnsi="宋体"/>
          <w:b/>
          <w:color w:val="auto"/>
          <w:sz w:val="28"/>
          <w:highlight w:val="none"/>
        </w:rPr>
        <w:t>项目编号：</w:t>
      </w:r>
      <w:r>
        <w:rPr>
          <w:rFonts w:hint="eastAsia"/>
          <w:b/>
          <w:color w:val="auto"/>
          <w:sz w:val="28"/>
          <w:highlight w:val="none"/>
          <w:u w:val="single"/>
          <w:lang w:eastAsia="zh-CN"/>
        </w:rPr>
        <w:t>温江政采（2021）A0055号</w:t>
      </w:r>
    </w:p>
    <w:p>
      <w:pPr>
        <w:pStyle w:val="278"/>
        <w:outlineLvl w:val="1"/>
        <w:rPr>
          <w:color w:val="auto"/>
          <w:highlight w:val="none"/>
        </w:rPr>
      </w:pPr>
    </w:p>
    <w:p>
      <w:pPr>
        <w:pStyle w:val="278"/>
        <w:outlineLvl w:val="1"/>
        <w:rPr>
          <w:color w:val="auto"/>
          <w:highlight w:val="none"/>
        </w:rPr>
      </w:pPr>
    </w:p>
    <w:p>
      <w:pPr>
        <w:pStyle w:val="278"/>
        <w:outlineLvl w:val="1"/>
        <w:rPr>
          <w:color w:val="auto"/>
          <w:highlight w:val="none"/>
        </w:rPr>
      </w:pPr>
    </w:p>
    <w:p>
      <w:pPr>
        <w:pStyle w:val="281"/>
        <w:ind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 xml:space="preserve">  </w:t>
      </w:r>
      <w:r>
        <w:rPr>
          <w:rFonts w:hint="eastAsia" w:hAnsi="宋体" w:eastAsia="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p>
    <w:p>
      <w:pPr>
        <w:pStyle w:val="129"/>
        <w:ind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日      期：</w:t>
      </w:r>
      <w:r>
        <w:rPr>
          <w:rFonts w:hint="eastAsia" w:ascii="宋体" w:hAnsi="宋体" w:eastAsia="宋体" w:cs="宋体"/>
          <w:color w:val="auto"/>
          <w:kern w:val="2"/>
          <w:sz w:val="28"/>
          <w:szCs w:val="22"/>
          <w:highlight w:val="none"/>
          <w:u w:val="single"/>
          <w:lang w:val="zh-CN" w:eastAsia="zh-CN" w:bidi="ar-SA"/>
        </w:rPr>
        <w:t>　　年　　月　　日</w:t>
      </w:r>
    </w:p>
    <w:p>
      <w:pPr>
        <w:pStyle w:val="245"/>
        <w:outlineLvl w:val="1"/>
        <w:rPr>
          <w:rFonts w:hint="eastAsia" w:ascii="宋体" w:hAnsi="宋体" w:eastAsia="宋体" w:cs="宋体"/>
          <w:color w:val="000000"/>
          <w:lang w:val="en-US" w:eastAsia="zh-CN"/>
        </w:rPr>
      </w:pPr>
    </w:p>
    <w:p>
      <w:pPr>
        <w:pStyle w:val="245"/>
        <w:outlineLvl w:val="1"/>
        <w:rPr>
          <w:rFonts w:hint="eastAsia" w:ascii="宋体" w:hAnsi="宋体" w:eastAsia="宋体" w:cs="宋体"/>
          <w:color w:val="000000"/>
          <w:lang w:val="en-US" w:eastAsia="zh-CN"/>
        </w:rPr>
      </w:pPr>
    </w:p>
    <w:p>
      <w:pPr>
        <w:pStyle w:val="245"/>
        <w:outlineLvl w:val="1"/>
        <w:rPr>
          <w:rFonts w:hint="eastAsia" w:ascii="宋体" w:hAnsi="宋体" w:eastAsia="宋体" w:cs="宋体"/>
          <w:color w:val="000000"/>
          <w:lang w:val="en-US" w:eastAsia="zh-CN"/>
        </w:rPr>
      </w:pPr>
    </w:p>
    <w:p>
      <w:pPr>
        <w:pStyle w:val="245"/>
        <w:outlineLvl w:val="1"/>
        <w:rPr>
          <w:rFonts w:hint="eastAsia" w:ascii="宋体" w:hAnsi="宋体" w:eastAsia="宋体" w:cs="宋体"/>
          <w:color w:val="000000"/>
          <w:lang w:val="en-US" w:eastAsia="zh-CN"/>
        </w:rPr>
      </w:pPr>
    </w:p>
    <w:p>
      <w:pPr>
        <w:pStyle w:val="245"/>
        <w:outlineLvl w:val="1"/>
        <w:rPr>
          <w:rFonts w:hint="eastAsia" w:ascii="宋体" w:hAnsi="宋体" w:eastAsia="宋体" w:cs="宋体"/>
          <w:color w:val="000000"/>
          <w:lang w:val="en-US" w:eastAsia="zh-CN"/>
        </w:rPr>
      </w:pPr>
    </w:p>
    <w:p>
      <w:pPr>
        <w:pStyle w:val="245"/>
        <w:outlineLvl w:val="1"/>
        <w:rPr>
          <w:rFonts w:hint="eastAsia" w:ascii="宋体" w:hAnsi="宋体" w:eastAsia="宋体" w:cs="宋体"/>
          <w:color w:val="000000"/>
          <w:lang w:val="en-US" w:eastAsia="zh-CN"/>
        </w:rPr>
      </w:pPr>
    </w:p>
    <w:p>
      <w:pPr>
        <w:pStyle w:val="245"/>
        <w:outlineLvl w:val="1"/>
        <w:rPr>
          <w:color w:val="000000"/>
          <w:shd w:val="clear" w:color="auto" w:fill="FFFFFF"/>
        </w:rPr>
      </w:pPr>
      <w:bookmarkStart w:id="147" w:name="_Toc12956"/>
      <w:r>
        <w:rPr>
          <w:rFonts w:hint="eastAsia" w:ascii="宋体" w:hAnsi="宋体" w:eastAsia="宋体" w:cs="宋体"/>
          <w:color w:val="000000"/>
          <w:lang w:val="en-US" w:eastAsia="zh-CN"/>
        </w:rPr>
        <w:t>3.</w:t>
      </w:r>
      <w:bookmarkEnd w:id="142"/>
      <w:bookmarkEnd w:id="143"/>
      <w:bookmarkEnd w:id="144"/>
      <w:bookmarkStart w:id="148" w:name="_Toc2371"/>
      <w:bookmarkStart w:id="149" w:name="_Toc23615"/>
      <w:r>
        <w:rPr>
          <w:rFonts w:hint="eastAsia" w:ascii="宋体" w:hAnsi="宋体" w:eastAsia="宋体" w:cs="宋体"/>
          <w:color w:val="000000"/>
          <w:lang w:val="en-US" w:eastAsia="zh-CN"/>
        </w:rPr>
        <w:t>2.2</w:t>
      </w:r>
      <w:bookmarkEnd w:id="148"/>
      <w:bookmarkEnd w:id="149"/>
      <w:r>
        <w:rPr>
          <w:rFonts w:hint="eastAsia" w:ascii="宋体" w:hAnsi="宋体" w:eastAsia="宋体"/>
          <w:color w:val="000000"/>
          <w:kern w:val="10"/>
          <w:sz w:val="28"/>
          <w:szCs w:val="21"/>
          <w:shd w:val="clear" w:color="auto" w:fill="FFFFFF"/>
          <w:lang w:val="en-US" w:eastAsia="zh-CN"/>
        </w:rPr>
        <w:t>报价表</w:t>
      </w:r>
      <w:bookmarkEnd w:id="147"/>
    </w:p>
    <w:p>
      <w:pPr>
        <w:pStyle w:val="166"/>
        <w:ind w:firstLine="482"/>
        <w:rPr>
          <w:rFonts w:hint="eastAsia" w:ascii="宋体" w:hAnsi="宋体"/>
          <w:b/>
          <w:color w:val="auto"/>
          <w:sz w:val="28"/>
          <w:highlight w:val="none"/>
          <w:u w:val="single"/>
        </w:rPr>
      </w:pPr>
      <w:r>
        <w:rPr>
          <w:rFonts w:hint="eastAsia" w:ascii="宋体" w:hAnsi="宋体"/>
          <w:b/>
          <w:color w:val="auto"/>
          <w:sz w:val="28"/>
          <w:highlight w:val="none"/>
          <w:u w:val="none"/>
        </w:rPr>
        <w:t>项目名称：</w:t>
      </w:r>
      <w:r>
        <w:rPr>
          <w:rFonts w:hint="eastAsia"/>
          <w:b/>
          <w:color w:val="auto"/>
          <w:sz w:val="28"/>
          <w:highlight w:val="none"/>
          <w:u w:val="single"/>
          <w:lang w:eastAsia="zh-CN"/>
        </w:rPr>
        <w:t>温江中学实验学校数字校园设备采购项目</w:t>
      </w:r>
      <w:r>
        <w:rPr>
          <w:rFonts w:hint="eastAsia" w:ascii="宋体" w:hAnsi="宋体"/>
          <w:b/>
          <w:color w:val="auto"/>
          <w:sz w:val="28"/>
          <w:highlight w:val="none"/>
          <w:u w:val="none"/>
        </w:rPr>
        <w:t xml:space="preserve">          </w:t>
      </w:r>
      <w:r>
        <w:rPr>
          <w:rFonts w:hint="eastAsia" w:ascii="宋体" w:hAnsi="宋体"/>
          <w:b/>
          <w:color w:val="auto"/>
          <w:sz w:val="28"/>
          <w:highlight w:val="none"/>
          <w:u w:val="single"/>
        </w:rPr>
        <w:t xml:space="preserve">         </w:t>
      </w:r>
    </w:p>
    <w:p>
      <w:pPr>
        <w:pStyle w:val="166"/>
        <w:ind w:firstLine="482"/>
        <w:rPr>
          <w:rFonts w:hint="eastAsia" w:ascii="宋体" w:hAnsi="宋体"/>
          <w:b/>
          <w:color w:val="auto"/>
          <w:sz w:val="28"/>
          <w:highlight w:val="none"/>
          <w:u w:val="single"/>
        </w:rPr>
      </w:pPr>
      <w:r>
        <w:rPr>
          <w:rFonts w:hint="eastAsia" w:ascii="宋体" w:hAnsi="宋体"/>
          <w:b/>
          <w:color w:val="auto"/>
          <w:sz w:val="28"/>
          <w:highlight w:val="none"/>
          <w:u w:val="none"/>
        </w:rPr>
        <w:t>项目编号：</w:t>
      </w:r>
      <w:r>
        <w:rPr>
          <w:rFonts w:hint="eastAsia"/>
          <w:b/>
          <w:color w:val="auto"/>
          <w:sz w:val="28"/>
          <w:highlight w:val="none"/>
          <w:u w:val="single"/>
          <w:lang w:eastAsia="zh-CN"/>
        </w:rPr>
        <w:t>温江政采（2021）A0055号</w:t>
      </w:r>
    </w:p>
    <w:p>
      <w:pPr>
        <w:pStyle w:val="166"/>
        <w:ind w:firstLine="482"/>
        <w:rPr>
          <w:rFonts w:hint="eastAsia" w:ascii="宋体" w:hAnsi="宋体"/>
          <w:b/>
          <w:color w:val="auto"/>
          <w:sz w:val="28"/>
          <w:highlight w:val="none"/>
          <w:u w:val="single"/>
        </w:rPr>
      </w:pPr>
    </w:p>
    <w:tbl>
      <w:tblPr>
        <w:tblStyle w:val="42"/>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Pr>
          <w:p>
            <w:pPr>
              <w:tabs>
                <w:tab w:val="left" w:pos="1134"/>
              </w:tabs>
              <w:spacing w:line="560" w:lineRule="exact"/>
              <w:jc w:val="center"/>
              <w:rPr>
                <w:sz w:val="28"/>
                <w:szCs w:val="28"/>
              </w:rPr>
            </w:pPr>
            <w:r>
              <w:rPr>
                <w:rFonts w:hint="eastAsia"/>
                <w:sz w:val="28"/>
                <w:szCs w:val="28"/>
              </w:rPr>
              <w:t>报价（</w:t>
            </w:r>
            <w:r>
              <w:rPr>
                <w:rFonts w:hint="eastAsia"/>
                <w:sz w:val="28"/>
                <w:szCs w:val="28"/>
                <w:lang w:val="en-US" w:eastAsia="zh-CN"/>
              </w:rPr>
              <w:t>总价、</w:t>
            </w:r>
            <w:r>
              <w:rPr>
                <w:rFonts w:hint="eastAsia"/>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Pr>
          <w:p>
            <w:pPr>
              <w:tabs>
                <w:tab w:val="left" w:pos="1134"/>
              </w:tabs>
              <w:spacing w:line="560" w:lineRule="exact"/>
              <w:rPr>
                <w:sz w:val="28"/>
                <w:szCs w:val="28"/>
              </w:rPr>
            </w:pPr>
          </w:p>
        </w:tc>
      </w:tr>
    </w:tbl>
    <w:p>
      <w:pPr>
        <w:tabs>
          <w:tab w:val="left" w:pos="1134"/>
        </w:tabs>
        <w:spacing w:line="560" w:lineRule="exact"/>
        <w:ind w:firstLine="425" w:firstLineChars="152"/>
        <w:rPr>
          <w:sz w:val="28"/>
          <w:szCs w:val="28"/>
        </w:rPr>
      </w:pPr>
    </w:p>
    <w:p>
      <w:pPr>
        <w:ind w:firstLine="420" w:firstLineChars="200"/>
      </w:pPr>
    </w:p>
    <w:p>
      <w:pPr>
        <w:pStyle w:val="124"/>
        <w:ind w:firstLine="562" w:firstLineChars="200"/>
        <w:rPr>
          <w:rFonts w:hint="eastAsia"/>
          <w:b/>
          <w:sz w:val="28"/>
        </w:rPr>
      </w:pPr>
      <w:r>
        <w:rPr>
          <w:rFonts w:hint="eastAsia"/>
          <w:b/>
          <w:sz w:val="28"/>
        </w:rPr>
        <w:t>说明：</w:t>
      </w:r>
    </w:p>
    <w:p>
      <w:pPr>
        <w:pStyle w:val="124"/>
        <w:ind w:firstLine="562" w:firstLineChars="200"/>
        <w:rPr>
          <w:b/>
          <w:sz w:val="28"/>
        </w:rPr>
      </w:pPr>
      <w:r>
        <w:rPr>
          <w:rFonts w:hint="eastAsia"/>
          <w:b/>
          <w:sz w:val="28"/>
        </w:rPr>
        <w:t>1、报价应是包括磋商文件规定的全部响应内容的报价。</w:t>
      </w:r>
    </w:p>
    <w:p>
      <w:pPr>
        <w:tabs>
          <w:tab w:val="left" w:pos="1134"/>
        </w:tabs>
        <w:spacing w:line="560" w:lineRule="exact"/>
        <w:ind w:firstLine="562" w:firstLineChars="200"/>
        <w:rPr>
          <w:b/>
          <w:bCs/>
          <w:sz w:val="28"/>
        </w:rPr>
      </w:pPr>
      <w:r>
        <w:rPr>
          <w:rFonts w:hint="eastAsia"/>
          <w:b/>
          <w:sz w:val="28"/>
          <w:szCs w:val="28"/>
        </w:rPr>
        <w:t>2、报价以供应商在政府采购云平台开标一览表中填写的报价为准。</w:t>
      </w:r>
    </w:p>
    <w:p>
      <w:pPr>
        <w:spacing w:after="180" w:line="360" w:lineRule="auto"/>
        <w:ind w:firstLine="568" w:firstLineChars="202"/>
        <w:rPr>
          <w:b/>
          <w:color w:val="000000"/>
          <w:sz w:val="28"/>
          <w:szCs w:val="28"/>
        </w:rPr>
      </w:pPr>
    </w:p>
    <w:p>
      <w:pPr>
        <w:pStyle w:val="245"/>
        <w:outlineLvl w:val="1"/>
        <w:rPr>
          <w:rFonts w:hint="eastAsia"/>
          <w:color w:val="000000"/>
          <w:shd w:val="clear" w:color="auto" w:fill="FFFFFF"/>
          <w:lang w:val="en-US" w:eastAsia="zh-CN"/>
        </w:rPr>
      </w:pPr>
    </w:p>
    <w:p>
      <w:pPr>
        <w:pStyle w:val="317"/>
        <w:outlineLvl w:val="1"/>
        <w:rPr>
          <w:color w:val="000000"/>
        </w:rPr>
      </w:pPr>
    </w:p>
    <w:p>
      <w:pPr>
        <w:pStyle w:val="317"/>
        <w:outlineLvl w:val="1"/>
        <w:rPr>
          <w:color w:val="000000"/>
        </w:rPr>
      </w:pPr>
    </w:p>
    <w:p>
      <w:pPr>
        <w:pStyle w:val="317"/>
        <w:outlineLvl w:val="1"/>
        <w:rPr>
          <w:color w:val="000000"/>
        </w:rPr>
      </w:pPr>
    </w:p>
    <w:p>
      <w:pPr>
        <w:pStyle w:val="317"/>
        <w:outlineLvl w:val="1"/>
        <w:rPr>
          <w:color w:val="000000"/>
        </w:rPr>
      </w:pPr>
    </w:p>
    <w:p>
      <w:pPr>
        <w:pStyle w:val="317"/>
        <w:outlineLvl w:val="1"/>
        <w:rPr>
          <w:color w:val="000000"/>
        </w:rPr>
      </w:pPr>
    </w:p>
    <w:p>
      <w:pPr>
        <w:pStyle w:val="317"/>
        <w:outlineLvl w:val="1"/>
        <w:rPr>
          <w:color w:val="000000"/>
        </w:rPr>
      </w:pPr>
    </w:p>
    <w:p>
      <w:pPr>
        <w:pStyle w:val="317"/>
        <w:outlineLvl w:val="1"/>
        <w:rPr>
          <w:color w:val="000000"/>
        </w:rPr>
      </w:pPr>
    </w:p>
    <w:p>
      <w:pPr>
        <w:pStyle w:val="317"/>
        <w:outlineLvl w:val="1"/>
        <w:rPr>
          <w:color w:val="000000"/>
        </w:rPr>
      </w:pPr>
    </w:p>
    <w:p>
      <w:pPr>
        <w:pStyle w:val="317"/>
        <w:outlineLvl w:val="1"/>
        <w:rPr>
          <w:color w:val="000000"/>
        </w:rPr>
      </w:pPr>
    </w:p>
    <w:p>
      <w:pPr>
        <w:pStyle w:val="317"/>
        <w:outlineLvl w:val="1"/>
        <w:rPr>
          <w:color w:val="000000"/>
        </w:rPr>
      </w:pPr>
    </w:p>
    <w:p>
      <w:pPr>
        <w:pStyle w:val="317"/>
        <w:outlineLvl w:val="1"/>
        <w:rPr>
          <w:color w:val="000000"/>
        </w:rPr>
      </w:pPr>
    </w:p>
    <w:p>
      <w:pPr>
        <w:pStyle w:val="317"/>
        <w:outlineLvl w:val="1"/>
        <w:rPr>
          <w:color w:val="000000"/>
        </w:rPr>
      </w:pPr>
    </w:p>
    <w:p>
      <w:pPr>
        <w:pStyle w:val="317"/>
        <w:outlineLvl w:val="1"/>
        <w:rPr>
          <w:color w:val="000000"/>
        </w:rPr>
      </w:pPr>
    </w:p>
    <w:p>
      <w:pPr>
        <w:pStyle w:val="317"/>
        <w:outlineLvl w:val="1"/>
        <w:rPr>
          <w:color w:val="000000"/>
        </w:rPr>
      </w:pPr>
    </w:p>
    <w:p>
      <w:pPr>
        <w:pStyle w:val="317"/>
        <w:outlineLvl w:val="1"/>
        <w:rPr>
          <w:color w:val="000000"/>
        </w:rPr>
      </w:pPr>
    </w:p>
    <w:p>
      <w:pPr>
        <w:keepNext/>
        <w:keepLines/>
        <w:spacing w:line="360" w:lineRule="auto"/>
        <w:outlineLvl w:val="2"/>
        <w:rPr>
          <w:rFonts w:hint="eastAsia"/>
          <w:b/>
          <w:bCs/>
          <w:sz w:val="28"/>
          <w:szCs w:val="28"/>
          <w:lang w:val="en-US" w:eastAsia="zh-CN"/>
        </w:rPr>
      </w:pPr>
      <w:bookmarkStart w:id="150" w:name="_Toc23896"/>
      <w:r>
        <w:rPr>
          <w:rFonts w:hint="eastAsia"/>
          <w:b/>
          <w:bCs/>
          <w:color w:val="000000"/>
          <w:sz w:val="28"/>
          <w:szCs w:val="32"/>
        </w:rPr>
        <w:t>3.3.</w:t>
      </w:r>
      <w:r>
        <w:rPr>
          <w:rFonts w:hint="eastAsia"/>
          <w:b/>
          <w:bCs/>
          <w:color w:val="000000"/>
          <w:sz w:val="28"/>
          <w:szCs w:val="32"/>
          <w:lang w:val="en-US" w:eastAsia="zh-CN"/>
        </w:rPr>
        <w:t>3分项</w:t>
      </w:r>
      <w:r>
        <w:rPr>
          <w:rFonts w:hint="eastAsia"/>
          <w:b/>
          <w:bCs/>
          <w:sz w:val="28"/>
          <w:szCs w:val="28"/>
        </w:rPr>
        <w:t>报价</w:t>
      </w:r>
      <w:r>
        <w:rPr>
          <w:rFonts w:hint="eastAsia"/>
          <w:b/>
          <w:bCs/>
          <w:sz w:val="28"/>
          <w:szCs w:val="28"/>
          <w:lang w:val="en-US" w:eastAsia="zh-CN"/>
        </w:rPr>
        <w:t>表</w:t>
      </w:r>
      <w:bookmarkEnd w:id="150"/>
    </w:p>
    <w:p>
      <w:pPr>
        <w:pStyle w:val="166"/>
        <w:ind w:firstLine="482"/>
        <w:rPr>
          <w:rFonts w:hint="eastAsia" w:ascii="宋体" w:hAnsi="宋体"/>
          <w:b/>
          <w:color w:val="auto"/>
          <w:sz w:val="28"/>
          <w:highlight w:val="none"/>
          <w:u w:val="single"/>
        </w:rPr>
      </w:pPr>
      <w:r>
        <w:rPr>
          <w:rFonts w:hint="eastAsia" w:ascii="宋体" w:hAnsi="宋体"/>
          <w:b/>
          <w:color w:val="auto"/>
          <w:sz w:val="28"/>
          <w:highlight w:val="none"/>
          <w:u w:val="none"/>
        </w:rPr>
        <w:t>项目名称：</w:t>
      </w:r>
      <w:r>
        <w:rPr>
          <w:rFonts w:hint="eastAsia"/>
          <w:b/>
          <w:color w:val="auto"/>
          <w:sz w:val="28"/>
          <w:highlight w:val="none"/>
          <w:u w:val="single"/>
          <w:lang w:eastAsia="zh-CN"/>
        </w:rPr>
        <w:t>温江中学实验学校数字校园设备采购项目</w:t>
      </w:r>
      <w:r>
        <w:rPr>
          <w:rFonts w:hint="eastAsia" w:ascii="宋体" w:hAnsi="宋体"/>
          <w:b/>
          <w:color w:val="auto"/>
          <w:sz w:val="28"/>
          <w:highlight w:val="none"/>
          <w:u w:val="none"/>
        </w:rPr>
        <w:t xml:space="preserve">          </w:t>
      </w:r>
      <w:r>
        <w:rPr>
          <w:rFonts w:hint="eastAsia" w:ascii="宋体" w:hAnsi="宋体"/>
          <w:b/>
          <w:color w:val="auto"/>
          <w:sz w:val="28"/>
          <w:highlight w:val="none"/>
          <w:u w:val="single"/>
        </w:rPr>
        <w:t xml:space="preserve">         </w:t>
      </w:r>
    </w:p>
    <w:p>
      <w:pPr>
        <w:pStyle w:val="166"/>
        <w:ind w:firstLine="482"/>
        <w:rPr>
          <w:rFonts w:hint="eastAsia" w:ascii="宋体" w:hAnsi="宋体"/>
          <w:b/>
          <w:color w:val="auto"/>
          <w:sz w:val="28"/>
          <w:highlight w:val="none"/>
          <w:u w:val="single"/>
        </w:rPr>
      </w:pPr>
      <w:r>
        <w:rPr>
          <w:rFonts w:hint="eastAsia" w:ascii="宋体" w:hAnsi="宋体"/>
          <w:b/>
          <w:color w:val="auto"/>
          <w:sz w:val="28"/>
          <w:highlight w:val="none"/>
          <w:u w:val="none"/>
        </w:rPr>
        <w:t>项目编号：</w:t>
      </w:r>
      <w:r>
        <w:rPr>
          <w:rFonts w:hint="eastAsia"/>
          <w:b/>
          <w:color w:val="auto"/>
          <w:sz w:val="28"/>
          <w:highlight w:val="none"/>
          <w:u w:val="single"/>
          <w:lang w:eastAsia="zh-CN"/>
        </w:rPr>
        <w:t>温江政采（2021）A0055号</w:t>
      </w:r>
    </w:p>
    <w:tbl>
      <w:tblPr>
        <w:tblStyle w:val="42"/>
        <w:tblW w:w="5479"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765"/>
        <w:gridCol w:w="705"/>
        <w:gridCol w:w="705"/>
        <w:gridCol w:w="822"/>
        <w:gridCol w:w="985"/>
        <w:gridCol w:w="965"/>
        <w:gridCol w:w="871"/>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6" w:type="dxa"/>
            <w:tcBorders>
              <w:top w:val="single" w:color="auto" w:sz="2" w:space="0"/>
              <w:left w:val="single" w:color="auto" w:sz="2" w:space="0"/>
              <w:bottom w:val="single" w:color="auto" w:sz="2" w:space="0"/>
              <w:right w:val="single" w:color="auto" w:sz="2" w:space="0"/>
            </w:tcBorders>
            <w:vAlign w:val="center"/>
          </w:tcPr>
          <w:p>
            <w:pPr>
              <w:pStyle w:val="27"/>
              <w:ind w:left="0" w:leftChars="0" w:firstLine="0" w:firstLineChars="0"/>
              <w:jc w:val="both"/>
              <w:rPr>
                <w:rFonts w:ascii="宋体" w:hAnsi="宋体"/>
                <w:b/>
                <w:bCs/>
                <w:color w:val="auto"/>
                <w:szCs w:val="21"/>
                <w:highlight w:val="none"/>
              </w:rPr>
            </w:pPr>
            <w:r>
              <w:rPr>
                <w:rFonts w:ascii="宋体" w:hAnsi="宋体"/>
                <w:b/>
                <w:bCs/>
                <w:color w:val="auto"/>
                <w:szCs w:val="21"/>
                <w:highlight w:val="none"/>
              </w:rPr>
              <w:t>序号</w:t>
            </w:r>
          </w:p>
        </w:tc>
        <w:tc>
          <w:tcPr>
            <w:tcW w:w="2119" w:type="dxa"/>
            <w:tcBorders>
              <w:top w:val="single" w:color="auto" w:sz="2" w:space="0"/>
              <w:left w:val="single" w:color="auto" w:sz="2" w:space="0"/>
              <w:bottom w:val="single" w:color="auto" w:sz="2" w:space="0"/>
              <w:right w:val="single" w:color="auto" w:sz="2" w:space="0"/>
            </w:tcBorders>
            <w:vAlign w:val="center"/>
          </w:tcPr>
          <w:p>
            <w:pPr>
              <w:pStyle w:val="27"/>
              <w:ind w:left="0" w:leftChars="0" w:firstLine="0" w:firstLineChars="0"/>
              <w:jc w:val="both"/>
              <w:rPr>
                <w:rFonts w:ascii="宋体" w:hAnsi="宋体"/>
                <w:b/>
                <w:bCs/>
                <w:color w:val="auto"/>
                <w:szCs w:val="21"/>
                <w:highlight w:val="none"/>
              </w:rPr>
            </w:pPr>
            <w:r>
              <w:rPr>
                <w:rFonts w:ascii="宋体" w:hAnsi="宋体"/>
                <w:b/>
                <w:bCs/>
                <w:color w:val="auto"/>
                <w:szCs w:val="21"/>
                <w:highlight w:val="none"/>
              </w:rPr>
              <w:t>货物名称</w:t>
            </w:r>
          </w:p>
        </w:tc>
        <w:tc>
          <w:tcPr>
            <w:tcW w:w="779" w:type="dxa"/>
            <w:tcBorders>
              <w:top w:val="single" w:color="auto" w:sz="2" w:space="0"/>
              <w:left w:val="single" w:color="auto" w:sz="2" w:space="0"/>
              <w:bottom w:val="single" w:color="auto" w:sz="2" w:space="0"/>
              <w:right w:val="single" w:color="auto" w:sz="2" w:space="0"/>
            </w:tcBorders>
            <w:vAlign w:val="center"/>
          </w:tcPr>
          <w:p>
            <w:pPr>
              <w:pStyle w:val="27"/>
              <w:ind w:left="0" w:leftChars="0" w:firstLine="0" w:firstLineChars="0"/>
              <w:jc w:val="both"/>
              <w:rPr>
                <w:rFonts w:ascii="宋体" w:hAnsi="宋体"/>
                <w:b/>
                <w:bCs/>
                <w:color w:val="auto"/>
                <w:szCs w:val="21"/>
                <w:highlight w:val="none"/>
              </w:rPr>
            </w:pPr>
            <w:r>
              <w:rPr>
                <w:rFonts w:ascii="宋体" w:hAnsi="宋体"/>
                <w:b/>
                <w:bCs/>
                <w:color w:val="auto"/>
                <w:szCs w:val="21"/>
                <w:highlight w:val="none"/>
              </w:rPr>
              <w:t>品牌</w:t>
            </w:r>
          </w:p>
        </w:tc>
        <w:tc>
          <w:tcPr>
            <w:tcW w:w="779" w:type="dxa"/>
            <w:tcBorders>
              <w:top w:val="single" w:color="auto" w:sz="2" w:space="0"/>
              <w:left w:val="single" w:color="auto" w:sz="2" w:space="0"/>
              <w:bottom w:val="single" w:color="auto" w:sz="2" w:space="0"/>
              <w:right w:val="single" w:color="auto" w:sz="2" w:space="0"/>
            </w:tcBorders>
            <w:vAlign w:val="center"/>
          </w:tcPr>
          <w:p>
            <w:pPr>
              <w:pStyle w:val="27"/>
              <w:ind w:left="0" w:leftChars="0" w:firstLine="0" w:firstLineChars="0"/>
              <w:jc w:val="both"/>
              <w:rPr>
                <w:rFonts w:ascii="宋体" w:hAnsi="宋体"/>
                <w:b/>
                <w:bCs/>
                <w:color w:val="auto"/>
                <w:szCs w:val="21"/>
                <w:highlight w:val="none"/>
              </w:rPr>
            </w:pPr>
            <w:r>
              <w:rPr>
                <w:rFonts w:ascii="宋体" w:hAnsi="宋体"/>
                <w:b/>
                <w:bCs/>
                <w:color w:val="auto"/>
                <w:szCs w:val="21"/>
                <w:highlight w:val="none"/>
              </w:rPr>
              <w:t>规格型号</w:t>
            </w:r>
          </w:p>
        </w:tc>
        <w:tc>
          <w:tcPr>
            <w:tcW w:w="927" w:type="dxa"/>
            <w:tcBorders>
              <w:top w:val="single" w:color="auto" w:sz="2" w:space="0"/>
              <w:left w:val="single" w:color="auto" w:sz="2" w:space="0"/>
              <w:bottom w:val="single" w:color="auto" w:sz="2" w:space="0"/>
              <w:right w:val="single" w:color="auto" w:sz="2" w:space="0"/>
            </w:tcBorders>
            <w:vAlign w:val="center"/>
          </w:tcPr>
          <w:p>
            <w:pPr>
              <w:pStyle w:val="27"/>
              <w:ind w:left="0" w:leftChars="0" w:firstLine="0" w:firstLineChars="0"/>
              <w:jc w:val="both"/>
              <w:rPr>
                <w:rFonts w:ascii="宋体" w:hAnsi="宋体"/>
                <w:b/>
                <w:bCs/>
                <w:color w:val="auto"/>
                <w:szCs w:val="21"/>
                <w:highlight w:val="none"/>
              </w:rPr>
            </w:pPr>
            <w:r>
              <w:rPr>
                <w:rFonts w:ascii="宋体" w:hAnsi="宋体"/>
                <w:b/>
                <w:bCs/>
                <w:color w:val="auto"/>
                <w:szCs w:val="21"/>
                <w:highlight w:val="none"/>
              </w:rPr>
              <w:t>制造商</w:t>
            </w:r>
          </w:p>
        </w:tc>
        <w:tc>
          <w:tcPr>
            <w:tcW w:w="1132" w:type="dxa"/>
            <w:tcBorders>
              <w:top w:val="single" w:color="auto" w:sz="2" w:space="0"/>
              <w:left w:val="single" w:color="auto" w:sz="2" w:space="0"/>
              <w:bottom w:val="single" w:color="auto" w:sz="2" w:space="0"/>
              <w:right w:val="single" w:color="auto" w:sz="2" w:space="0"/>
            </w:tcBorders>
            <w:vAlign w:val="center"/>
          </w:tcPr>
          <w:p>
            <w:pPr>
              <w:pStyle w:val="27"/>
              <w:ind w:left="0" w:leftChars="0" w:firstLine="0" w:firstLineChars="0"/>
              <w:jc w:val="both"/>
              <w:rPr>
                <w:rFonts w:ascii="宋体" w:hAnsi="宋体"/>
                <w:b/>
                <w:bCs/>
                <w:color w:val="auto"/>
                <w:szCs w:val="21"/>
                <w:highlight w:val="none"/>
              </w:rPr>
            </w:pPr>
            <w:r>
              <w:rPr>
                <w:rFonts w:ascii="宋体" w:hAnsi="宋体"/>
                <w:b/>
                <w:bCs/>
                <w:color w:val="auto"/>
                <w:szCs w:val="21"/>
                <w:highlight w:val="none"/>
              </w:rPr>
              <w:t>进口或国产</w:t>
            </w:r>
          </w:p>
        </w:tc>
        <w:tc>
          <w:tcPr>
            <w:tcW w:w="1107" w:type="dxa"/>
            <w:tcBorders>
              <w:top w:val="single" w:color="auto" w:sz="2" w:space="0"/>
              <w:left w:val="single" w:color="auto" w:sz="2" w:space="0"/>
              <w:bottom w:val="single" w:color="auto" w:sz="2" w:space="0"/>
              <w:right w:val="single" w:color="auto" w:sz="2" w:space="0"/>
            </w:tcBorders>
            <w:vAlign w:val="center"/>
          </w:tcPr>
          <w:p>
            <w:pPr>
              <w:pStyle w:val="27"/>
              <w:ind w:left="0" w:leftChars="0" w:firstLine="0" w:firstLineChars="0"/>
              <w:jc w:val="both"/>
              <w:rPr>
                <w:rFonts w:ascii="宋体" w:hAnsi="宋体"/>
                <w:b/>
                <w:bCs/>
                <w:color w:val="auto"/>
                <w:szCs w:val="21"/>
                <w:highlight w:val="none"/>
              </w:rPr>
            </w:pPr>
            <w:r>
              <w:rPr>
                <w:rFonts w:ascii="宋体" w:hAnsi="宋体"/>
                <w:b/>
                <w:bCs/>
                <w:color w:val="auto"/>
                <w:szCs w:val="21"/>
                <w:highlight w:val="none"/>
              </w:rPr>
              <w:t>数量</w:t>
            </w:r>
          </w:p>
        </w:tc>
        <w:tc>
          <w:tcPr>
            <w:tcW w:w="988" w:type="dxa"/>
            <w:tcBorders>
              <w:top w:val="single" w:color="auto" w:sz="2" w:space="0"/>
              <w:left w:val="single" w:color="auto" w:sz="2" w:space="0"/>
              <w:bottom w:val="single" w:color="auto" w:sz="2" w:space="0"/>
              <w:right w:val="single" w:color="auto" w:sz="2" w:space="0"/>
            </w:tcBorders>
            <w:vAlign w:val="center"/>
          </w:tcPr>
          <w:p>
            <w:pPr>
              <w:pStyle w:val="27"/>
              <w:ind w:left="0" w:leftChars="0" w:firstLine="0" w:firstLineChars="0"/>
              <w:jc w:val="both"/>
              <w:rPr>
                <w:rFonts w:ascii="宋体" w:hAnsi="宋体"/>
                <w:bCs/>
                <w:color w:val="auto"/>
                <w:szCs w:val="21"/>
                <w:highlight w:val="none"/>
              </w:rPr>
            </w:pPr>
            <w:r>
              <w:rPr>
                <w:rFonts w:ascii="宋体" w:hAnsi="宋体"/>
                <w:b/>
                <w:bCs/>
                <w:color w:val="auto"/>
                <w:szCs w:val="21"/>
                <w:highlight w:val="none"/>
              </w:rPr>
              <w:t>单价</w:t>
            </w:r>
          </w:p>
        </w:tc>
        <w:tc>
          <w:tcPr>
            <w:tcW w:w="1571" w:type="dxa"/>
            <w:tcBorders>
              <w:top w:val="single" w:color="auto" w:sz="2" w:space="0"/>
              <w:left w:val="single" w:color="auto" w:sz="2" w:space="0"/>
              <w:bottom w:val="single" w:color="auto" w:sz="2" w:space="0"/>
              <w:right w:val="single" w:color="auto" w:sz="2" w:space="0"/>
            </w:tcBorders>
            <w:vAlign w:val="center"/>
          </w:tcPr>
          <w:p>
            <w:pPr>
              <w:pStyle w:val="27"/>
              <w:ind w:left="0" w:leftChars="0" w:firstLine="0" w:firstLineChars="0"/>
              <w:jc w:val="both"/>
              <w:rPr>
                <w:rFonts w:ascii="宋体" w:hAnsi="宋体"/>
                <w:b/>
                <w:bCs/>
                <w:color w:val="auto"/>
                <w:szCs w:val="21"/>
                <w:highlight w:val="none"/>
              </w:rPr>
            </w:pPr>
            <w:r>
              <w:rPr>
                <w:rFonts w:hint="eastAsia" w:ascii="宋体" w:hAnsi="宋体"/>
                <w:b/>
                <w:color w:val="000000"/>
                <w:szCs w:val="28"/>
                <w:shd w:val="clear" w:color="auto" w:fill="FFFFFF"/>
              </w:rPr>
              <w:t>总价</w:t>
            </w:r>
            <w:r>
              <w:rPr>
                <w:rFonts w:hint="eastAsia" w:ascii="宋体" w:hAnsi="宋体"/>
                <w:b/>
                <w:color w:val="000000"/>
                <w:shd w:val="clear" w:color="auto" w:fill="FFFFFF"/>
                <w:lang w:eastAsia="zh-CN"/>
              </w:rPr>
              <w:t>（</w:t>
            </w:r>
            <w:r>
              <w:rPr>
                <w:rFonts w:hint="eastAsia" w:ascii="宋体" w:hAnsi="宋体"/>
                <w:b/>
                <w:color w:val="000000"/>
                <w:shd w:val="clear" w:color="auto" w:fill="FFFFFF"/>
                <w:lang w:val="en-US" w:eastAsia="zh-CN"/>
              </w:rPr>
              <w:t>单价x数量</w:t>
            </w:r>
            <w:r>
              <w:rPr>
                <w:rFonts w:hint="eastAsia" w:ascii="宋体" w:hAnsi="宋体"/>
                <w:b/>
                <w:color w:val="000000"/>
                <w:shd w:val="clear" w:color="auto" w:fill="FFFFFF"/>
                <w:lang w:eastAsia="zh-CN"/>
              </w:rPr>
              <w:t>）（</w:t>
            </w:r>
            <w:r>
              <w:rPr>
                <w:rFonts w:hint="eastAsia" w:ascii="宋体" w:hAnsi="宋体"/>
                <w:b/>
                <w:color w:val="000000"/>
                <w:shd w:val="clear" w:color="auto" w:fill="FFFFFF"/>
                <w:lang w:val="en-US" w:eastAsia="zh-CN"/>
              </w:rPr>
              <w:t>单位：</w:t>
            </w:r>
            <w:r>
              <w:rPr>
                <w:rFonts w:hint="eastAsia" w:ascii="宋体" w:hAnsi="宋体"/>
                <w:b/>
                <w:bCs/>
                <w:color w:val="000000"/>
                <w:u w:val="none"/>
                <w:shd w:val="clear" w:color="auto" w:fill="FFFFFF"/>
                <w:lang w:val="en-US" w:eastAsia="zh-CN"/>
              </w:rPr>
              <w:t>元</w:t>
            </w:r>
            <w:r>
              <w:rPr>
                <w:rFonts w:hint="eastAsia" w:ascii="宋体" w:hAnsi="宋体"/>
                <w:b/>
                <w:color w:val="00000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76"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2119" w:type="dxa"/>
            <w:tcBorders>
              <w:top w:val="single" w:color="auto" w:sz="2" w:space="0"/>
              <w:left w:val="single" w:color="auto" w:sz="2" w:space="0"/>
              <w:bottom w:val="single" w:color="auto" w:sz="4" w:space="0"/>
              <w:right w:val="single" w:color="auto" w:sz="2" w:space="0"/>
            </w:tcBorders>
            <w:vAlign w:val="center"/>
          </w:tcPr>
          <w:p>
            <w:pPr>
              <w:pStyle w:val="27"/>
              <w:ind w:left="0" w:leftChars="0"/>
              <w:rPr>
                <w:rFonts w:ascii="宋体" w:hAnsi="宋体"/>
                <w:bCs/>
                <w:color w:val="auto"/>
                <w:szCs w:val="21"/>
                <w:highlight w:val="none"/>
              </w:rPr>
            </w:pPr>
          </w:p>
        </w:tc>
        <w:tc>
          <w:tcPr>
            <w:tcW w:w="779"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779"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927"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1132"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1107"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988"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1571"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76"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2119" w:type="dxa"/>
            <w:tcBorders>
              <w:top w:val="single" w:color="auto" w:sz="2" w:space="0"/>
              <w:left w:val="single" w:color="auto" w:sz="2" w:space="0"/>
              <w:bottom w:val="single" w:color="auto" w:sz="4" w:space="0"/>
              <w:right w:val="single" w:color="auto" w:sz="2" w:space="0"/>
            </w:tcBorders>
            <w:vAlign w:val="center"/>
          </w:tcPr>
          <w:p>
            <w:pPr>
              <w:pStyle w:val="27"/>
              <w:ind w:left="0" w:leftChars="0"/>
              <w:rPr>
                <w:rFonts w:ascii="宋体" w:hAnsi="宋体"/>
                <w:bCs/>
                <w:color w:val="auto"/>
                <w:szCs w:val="21"/>
                <w:highlight w:val="none"/>
              </w:rPr>
            </w:pPr>
          </w:p>
        </w:tc>
        <w:tc>
          <w:tcPr>
            <w:tcW w:w="779"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779"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927"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1132"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1107"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988"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1571"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76"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2119" w:type="dxa"/>
            <w:tcBorders>
              <w:top w:val="single" w:color="auto" w:sz="2" w:space="0"/>
              <w:left w:val="single" w:color="auto" w:sz="2" w:space="0"/>
              <w:bottom w:val="single" w:color="auto" w:sz="4" w:space="0"/>
              <w:right w:val="single" w:color="auto" w:sz="2" w:space="0"/>
            </w:tcBorders>
            <w:vAlign w:val="center"/>
          </w:tcPr>
          <w:p>
            <w:pPr>
              <w:pStyle w:val="27"/>
              <w:ind w:left="0" w:leftChars="0"/>
              <w:rPr>
                <w:rFonts w:ascii="宋体" w:hAnsi="宋体"/>
                <w:bCs/>
                <w:color w:val="auto"/>
                <w:szCs w:val="21"/>
                <w:highlight w:val="none"/>
              </w:rPr>
            </w:pPr>
          </w:p>
        </w:tc>
        <w:tc>
          <w:tcPr>
            <w:tcW w:w="779"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779"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927"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1132"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1107"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988"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1571"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76"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hint="eastAsia" w:ascii="宋体" w:hAnsi="宋体" w:eastAsia="宋体"/>
                <w:bCs/>
                <w:color w:val="auto"/>
                <w:szCs w:val="21"/>
                <w:highlight w:val="none"/>
                <w:lang w:eastAsia="zh-CN"/>
              </w:rPr>
            </w:pPr>
            <w:r>
              <w:rPr>
                <w:rFonts w:hint="eastAsia"/>
                <w:bCs/>
                <w:color w:val="auto"/>
                <w:szCs w:val="21"/>
                <w:highlight w:val="none"/>
                <w:lang w:eastAsia="zh-CN"/>
              </w:rPr>
              <w:t>……</w:t>
            </w:r>
          </w:p>
        </w:tc>
        <w:tc>
          <w:tcPr>
            <w:tcW w:w="2119" w:type="dxa"/>
            <w:tcBorders>
              <w:top w:val="single" w:color="auto" w:sz="2" w:space="0"/>
              <w:left w:val="single" w:color="auto" w:sz="2" w:space="0"/>
              <w:bottom w:val="single" w:color="auto" w:sz="4" w:space="0"/>
              <w:right w:val="single" w:color="auto" w:sz="2" w:space="0"/>
            </w:tcBorders>
            <w:vAlign w:val="center"/>
          </w:tcPr>
          <w:p>
            <w:pPr>
              <w:pStyle w:val="27"/>
              <w:ind w:left="0" w:leftChars="0"/>
              <w:rPr>
                <w:rFonts w:ascii="宋体" w:hAnsi="宋体"/>
                <w:bCs/>
                <w:color w:val="auto"/>
                <w:szCs w:val="21"/>
                <w:highlight w:val="none"/>
              </w:rPr>
            </w:pPr>
          </w:p>
        </w:tc>
        <w:tc>
          <w:tcPr>
            <w:tcW w:w="779"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779"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927"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1132"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1107"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988"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1571"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607" w:type="dxa"/>
            <w:gridSpan w:val="8"/>
            <w:tcBorders>
              <w:top w:val="single" w:color="auto" w:sz="4" w:space="0"/>
              <w:left w:val="single" w:color="auto" w:sz="2" w:space="0"/>
              <w:bottom w:val="single" w:color="auto" w:sz="2" w:space="0"/>
              <w:right w:val="single" w:color="auto" w:sz="2" w:space="0"/>
            </w:tcBorders>
            <w:vAlign w:val="center"/>
          </w:tcPr>
          <w:p>
            <w:pPr>
              <w:pStyle w:val="27"/>
              <w:jc w:val="center"/>
              <w:rPr>
                <w:rFonts w:ascii="宋体" w:hAnsi="宋体"/>
                <w:b/>
                <w:bCs/>
                <w:color w:val="auto"/>
                <w:szCs w:val="21"/>
                <w:highlight w:val="none"/>
                <w:u w:val="single"/>
              </w:rPr>
            </w:pPr>
            <w:r>
              <w:rPr>
                <w:rFonts w:ascii="宋体" w:hAnsi="宋体"/>
                <w:b/>
                <w:bCs/>
                <w:color w:val="auto"/>
                <w:szCs w:val="21"/>
                <w:highlight w:val="none"/>
              </w:rPr>
              <w:t>报价</w:t>
            </w:r>
            <w:r>
              <w:rPr>
                <w:rFonts w:hint="eastAsia" w:ascii="宋体" w:hAnsi="宋体"/>
                <w:b/>
                <w:bCs/>
                <w:color w:val="auto"/>
                <w:szCs w:val="21"/>
                <w:highlight w:val="none"/>
              </w:rPr>
              <w:t>（</w:t>
            </w:r>
            <w:r>
              <w:rPr>
                <w:rFonts w:hint="eastAsia"/>
                <w:b/>
                <w:bCs/>
                <w:color w:val="auto"/>
                <w:szCs w:val="21"/>
                <w:highlight w:val="none"/>
                <w:lang w:val="en-US" w:eastAsia="zh-CN"/>
              </w:rPr>
              <w:t>总价</w:t>
            </w:r>
            <w:r>
              <w:rPr>
                <w:rFonts w:ascii="宋体" w:hAnsi="宋体"/>
                <w:b/>
                <w:bCs/>
                <w:color w:val="auto"/>
                <w:szCs w:val="21"/>
                <w:highlight w:val="none"/>
              </w:rPr>
              <w:t>合计</w:t>
            </w:r>
            <w:r>
              <w:rPr>
                <w:rFonts w:hint="eastAsia" w:ascii="宋体" w:hAnsi="宋体"/>
                <w:b/>
                <w:bCs/>
                <w:color w:val="auto"/>
                <w:szCs w:val="21"/>
                <w:highlight w:val="none"/>
              </w:rPr>
              <w:t>）</w:t>
            </w:r>
          </w:p>
        </w:tc>
        <w:tc>
          <w:tcPr>
            <w:tcW w:w="1571" w:type="dxa"/>
            <w:tcBorders>
              <w:top w:val="single" w:color="auto" w:sz="4" w:space="0"/>
              <w:left w:val="single" w:color="auto" w:sz="2" w:space="0"/>
              <w:bottom w:val="single" w:color="auto" w:sz="2" w:space="0"/>
              <w:right w:val="single" w:color="auto" w:sz="2" w:space="0"/>
            </w:tcBorders>
            <w:vAlign w:val="center"/>
          </w:tcPr>
          <w:p>
            <w:pPr>
              <w:pStyle w:val="27"/>
              <w:ind w:left="0" w:leftChars="0" w:firstLine="0" w:firstLineChars="0"/>
              <w:jc w:val="both"/>
              <w:rPr>
                <w:rFonts w:hint="default" w:ascii="宋体" w:hAnsi="宋体" w:eastAsia="宋体"/>
                <w:b/>
                <w:bCs/>
                <w:color w:val="auto"/>
                <w:szCs w:val="21"/>
                <w:highlight w:val="none"/>
                <w:u w:val="single"/>
                <w:lang w:val="en-US" w:eastAsia="zh-CN"/>
              </w:rPr>
            </w:pPr>
            <w:r>
              <w:rPr>
                <w:rFonts w:hint="eastAsia" w:ascii="宋体" w:hAnsi="宋体"/>
                <w:color w:val="000000"/>
                <w:shd w:val="clear" w:color="auto" w:fill="FFFFFF"/>
              </w:rPr>
              <w:t>￥</w:t>
            </w:r>
            <w:r>
              <w:rPr>
                <w:rFonts w:hint="eastAsia" w:ascii="宋体" w:hAnsi="宋体"/>
                <w:color w:val="000000"/>
                <w:u w:val="single"/>
                <w:shd w:val="clear" w:color="auto" w:fill="FFFFFF"/>
                <w:lang w:val="en-US" w:eastAsia="zh-CN"/>
              </w:rPr>
              <w:t xml:space="preserve">  </w:t>
            </w:r>
          </w:p>
        </w:tc>
      </w:tr>
    </w:tbl>
    <w:p>
      <w:pPr>
        <w:spacing w:line="440" w:lineRule="atLeast"/>
        <w:rPr>
          <w:rFonts w:hint="eastAsia" w:ascii="宋体" w:hAnsi="宋体"/>
          <w:b/>
          <w:color w:val="auto"/>
          <w:sz w:val="28"/>
          <w:szCs w:val="28"/>
          <w:highlight w:val="none"/>
        </w:rPr>
      </w:pPr>
    </w:p>
    <w:p>
      <w:pPr>
        <w:spacing w:line="440" w:lineRule="atLeast"/>
        <w:ind w:firstLine="419" w:firstLineChars="149"/>
        <w:rPr>
          <w:rFonts w:ascii="宋体" w:hAnsi="宋体"/>
          <w:b/>
          <w:color w:val="auto"/>
          <w:sz w:val="28"/>
          <w:szCs w:val="28"/>
          <w:highlight w:val="none"/>
        </w:rPr>
      </w:pPr>
      <w:r>
        <w:rPr>
          <w:rFonts w:hint="eastAsia" w:ascii="宋体" w:hAnsi="宋体"/>
          <w:b/>
          <w:color w:val="auto"/>
          <w:sz w:val="28"/>
          <w:szCs w:val="28"/>
          <w:highlight w:val="none"/>
        </w:rPr>
        <w:t>说明：1、进口产品是指通过中国海关报关验放进入中国境内且产自关境外的产品。2、分项报价明细表格式中要求填写品牌、规格型号、制造商、进口或国产的，</w:t>
      </w:r>
      <w:r>
        <w:rPr>
          <w:rFonts w:hint="eastAsia" w:ascii="宋体" w:hAnsi="宋体"/>
          <w:b/>
          <w:color w:val="auto"/>
          <w:sz w:val="28"/>
          <w:szCs w:val="28"/>
          <w:highlight w:val="none"/>
          <w:lang w:eastAsia="zh-CN"/>
        </w:rPr>
        <w:t>供应商</w:t>
      </w:r>
      <w:r>
        <w:rPr>
          <w:rFonts w:hint="eastAsia" w:ascii="宋体" w:hAnsi="宋体"/>
          <w:b/>
          <w:color w:val="auto"/>
          <w:sz w:val="28"/>
          <w:szCs w:val="28"/>
          <w:highlight w:val="none"/>
        </w:rPr>
        <w:t>必须载明其</w:t>
      </w:r>
      <w:r>
        <w:rPr>
          <w:rFonts w:hint="eastAsia" w:ascii="宋体" w:hAnsi="宋体"/>
          <w:b/>
          <w:color w:val="auto"/>
          <w:sz w:val="28"/>
          <w:szCs w:val="28"/>
          <w:highlight w:val="none"/>
          <w:lang w:eastAsia="zh-CN"/>
        </w:rPr>
        <w:t>所</w:t>
      </w:r>
      <w:r>
        <w:rPr>
          <w:rFonts w:hint="eastAsia"/>
          <w:b/>
          <w:color w:val="auto"/>
          <w:sz w:val="28"/>
          <w:szCs w:val="28"/>
          <w:highlight w:val="none"/>
          <w:lang w:eastAsia="zh-CN"/>
        </w:rPr>
        <w:t>投</w:t>
      </w:r>
      <w:r>
        <w:rPr>
          <w:rFonts w:hint="eastAsia" w:ascii="宋体" w:hAnsi="宋体"/>
          <w:b/>
          <w:color w:val="auto"/>
          <w:sz w:val="28"/>
          <w:szCs w:val="28"/>
          <w:highlight w:val="none"/>
        </w:rPr>
        <w:t>产品的品牌、规格型号、制造商、进口或国产。</w:t>
      </w:r>
    </w:p>
    <w:p>
      <w:pPr>
        <w:numPr>
          <w:ilvl w:val="0"/>
          <w:numId w:val="0"/>
        </w:numPr>
        <w:tabs>
          <w:tab w:val="left" w:pos="630"/>
          <w:tab w:val="left" w:pos="3414"/>
          <w:tab w:val="left" w:pos="7560"/>
        </w:tabs>
        <w:spacing w:after="200" w:line="360" w:lineRule="auto"/>
        <w:ind w:leftChars="0" w:firstLine="562" w:firstLineChars="200"/>
        <w:rPr>
          <w:rFonts w:ascii="宋体" w:hAnsi="宋体"/>
          <w:b/>
          <w:color w:val="auto"/>
          <w:sz w:val="28"/>
          <w:highlight w:val="none"/>
        </w:rPr>
      </w:pPr>
      <w:r>
        <w:rPr>
          <w:rFonts w:hint="eastAsia"/>
          <w:b/>
          <w:color w:val="auto"/>
          <w:sz w:val="28"/>
          <w:szCs w:val="28"/>
          <w:highlight w:val="none"/>
          <w:lang w:val="en-US" w:eastAsia="zh-CN"/>
        </w:rPr>
        <w:t>二、</w:t>
      </w:r>
      <w:r>
        <w:rPr>
          <w:rFonts w:hint="eastAsia" w:ascii="宋体" w:hAnsi="宋体"/>
          <w:b/>
          <w:color w:val="auto"/>
          <w:sz w:val="28"/>
          <w:szCs w:val="28"/>
          <w:highlight w:val="none"/>
          <w:lang w:eastAsia="zh-CN"/>
        </w:rPr>
        <w:t>供应商所</w:t>
      </w:r>
      <w:r>
        <w:rPr>
          <w:rFonts w:hint="eastAsia" w:ascii="宋体" w:hAnsi="宋体"/>
          <w:b/>
          <w:color w:val="auto"/>
          <w:sz w:val="28"/>
          <w:highlight w:val="none"/>
        </w:rPr>
        <w:t>投产品中为监狱企业制造的货物清单及价格（说明：</w:t>
      </w:r>
      <w:r>
        <w:rPr>
          <w:rFonts w:ascii="宋体" w:hAnsi="宋体"/>
          <w:b/>
          <w:color w:val="auto"/>
          <w:sz w:val="28"/>
          <w:highlight w:val="none"/>
        </w:rPr>
        <w:t>1、提供由省级以上监狱管理局、戒毒管理局（含新疆生产建设兵团）出具的</w:t>
      </w:r>
      <w:r>
        <w:rPr>
          <w:rFonts w:hint="eastAsia" w:ascii="宋体" w:hAnsi="宋体"/>
          <w:b/>
          <w:color w:val="auto"/>
          <w:sz w:val="28"/>
          <w:highlight w:val="none"/>
        </w:rPr>
        <w:t>制造</w:t>
      </w:r>
      <w:r>
        <w:rPr>
          <w:rFonts w:ascii="宋体" w:hAnsi="宋体"/>
          <w:b/>
          <w:color w:val="auto"/>
          <w:sz w:val="28"/>
          <w:highlight w:val="none"/>
        </w:rPr>
        <w:t>商属于监狱企业的证明文件复印件；2、如未提供</w:t>
      </w:r>
      <w:r>
        <w:rPr>
          <w:rFonts w:hint="eastAsia" w:ascii="宋体" w:hAnsi="宋体"/>
          <w:b/>
          <w:color w:val="auto"/>
          <w:sz w:val="28"/>
          <w:highlight w:val="none"/>
        </w:rPr>
        <w:t>货物</w:t>
      </w:r>
      <w:r>
        <w:rPr>
          <w:rFonts w:ascii="宋体" w:hAnsi="宋体"/>
          <w:b/>
          <w:color w:val="auto"/>
          <w:sz w:val="28"/>
          <w:highlight w:val="none"/>
        </w:rPr>
        <w:t>清单及价格以及相关证明材料复印件，则不能享受对监狱企业</w:t>
      </w:r>
      <w:r>
        <w:rPr>
          <w:rFonts w:hint="eastAsia" w:ascii="宋体" w:hAnsi="宋体"/>
          <w:b/>
          <w:color w:val="auto"/>
          <w:sz w:val="28"/>
          <w:highlight w:val="none"/>
        </w:rPr>
        <w:t>制造的货物</w:t>
      </w:r>
      <w:r>
        <w:rPr>
          <w:rFonts w:ascii="宋体" w:hAnsi="宋体"/>
          <w:b/>
          <w:color w:val="auto"/>
          <w:sz w:val="28"/>
          <w:highlight w:val="none"/>
        </w:rPr>
        <w:t>的价格扣除，但不影响</w:t>
      </w:r>
      <w:r>
        <w:rPr>
          <w:rFonts w:hint="eastAsia" w:ascii="宋体" w:hAnsi="宋体"/>
          <w:b/>
          <w:color w:val="auto"/>
          <w:sz w:val="28"/>
          <w:highlight w:val="none"/>
          <w:lang w:eastAsia="zh-CN"/>
        </w:rPr>
        <w:t>响应</w:t>
      </w:r>
      <w:r>
        <w:rPr>
          <w:rFonts w:ascii="宋体" w:hAnsi="宋体"/>
          <w:b/>
          <w:color w:val="auto"/>
          <w:sz w:val="28"/>
          <w:highlight w:val="none"/>
        </w:rPr>
        <w:t>文件的有效性。）</w:t>
      </w:r>
    </w:p>
    <w:tbl>
      <w:tblPr>
        <w:tblStyle w:val="4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694"/>
        <w:gridCol w:w="1253"/>
        <w:gridCol w:w="1417"/>
        <w:gridCol w:w="851"/>
        <w:gridCol w:w="862"/>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序号</w:t>
            </w:r>
          </w:p>
        </w:tc>
        <w:tc>
          <w:tcPr>
            <w:tcW w:w="1720"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货物名称</w:t>
            </w:r>
          </w:p>
        </w:tc>
        <w:tc>
          <w:tcPr>
            <w:tcW w:w="694"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品牌</w:t>
            </w:r>
          </w:p>
        </w:tc>
        <w:tc>
          <w:tcPr>
            <w:tcW w:w="1253"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规格型号</w:t>
            </w:r>
          </w:p>
        </w:tc>
        <w:tc>
          <w:tcPr>
            <w:tcW w:w="1417"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制造商</w:t>
            </w:r>
          </w:p>
        </w:tc>
        <w:tc>
          <w:tcPr>
            <w:tcW w:w="851"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数量</w:t>
            </w:r>
          </w:p>
        </w:tc>
        <w:tc>
          <w:tcPr>
            <w:tcW w:w="862"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单价</w:t>
            </w:r>
          </w:p>
        </w:tc>
        <w:tc>
          <w:tcPr>
            <w:tcW w:w="1929" w:type="dxa"/>
            <w:vAlign w:val="center"/>
          </w:tcPr>
          <w:p>
            <w:pPr>
              <w:pStyle w:val="27"/>
              <w:ind w:left="0" w:leftChars="0" w:firstLine="0" w:firstLineChars="0"/>
              <w:jc w:val="both"/>
              <w:rPr>
                <w:rFonts w:hint="eastAsia" w:ascii="宋体" w:hAnsi="宋体"/>
                <w:b/>
                <w:color w:val="000000"/>
                <w:szCs w:val="28"/>
                <w:shd w:val="clear" w:color="auto" w:fill="FFFFFF"/>
              </w:rPr>
            </w:pPr>
          </w:p>
          <w:p>
            <w:pPr>
              <w:pStyle w:val="27"/>
              <w:ind w:left="0" w:leftChars="0" w:firstLine="0" w:firstLineChars="0"/>
              <w:jc w:val="both"/>
              <w:rPr>
                <w:rFonts w:hint="eastAsia" w:ascii="宋体" w:hAnsi="宋体"/>
                <w:b/>
                <w:color w:val="000000"/>
                <w:shd w:val="clear" w:color="auto" w:fill="FFFFFF"/>
                <w:lang w:eastAsia="zh-CN"/>
              </w:rPr>
            </w:pPr>
            <w:r>
              <w:rPr>
                <w:rFonts w:hint="eastAsia" w:ascii="宋体" w:hAnsi="宋体"/>
                <w:b/>
                <w:color w:val="000000"/>
                <w:szCs w:val="28"/>
                <w:shd w:val="clear" w:color="auto" w:fill="FFFFFF"/>
              </w:rPr>
              <w:t>总价</w:t>
            </w:r>
            <w:r>
              <w:rPr>
                <w:rFonts w:hint="eastAsia" w:ascii="宋体" w:hAnsi="宋体"/>
                <w:b/>
                <w:color w:val="000000"/>
                <w:shd w:val="clear" w:color="auto" w:fill="FFFFFF"/>
                <w:lang w:eastAsia="zh-CN"/>
              </w:rPr>
              <w:t>（</w:t>
            </w:r>
            <w:r>
              <w:rPr>
                <w:rFonts w:hint="eastAsia" w:ascii="宋体" w:hAnsi="宋体"/>
                <w:b/>
                <w:color w:val="000000"/>
                <w:shd w:val="clear" w:color="auto" w:fill="FFFFFF"/>
                <w:lang w:val="en-US" w:eastAsia="zh-CN"/>
              </w:rPr>
              <w:t>单价x数量</w:t>
            </w:r>
            <w:r>
              <w:rPr>
                <w:rFonts w:hint="eastAsia" w:ascii="宋体" w:hAnsi="宋体"/>
                <w:b/>
                <w:color w:val="000000"/>
                <w:shd w:val="clear" w:color="auto" w:fill="FFFFFF"/>
                <w:lang w:eastAsia="zh-CN"/>
              </w:rPr>
              <w:t>）</w:t>
            </w:r>
          </w:p>
          <w:p>
            <w:pPr>
              <w:spacing w:before="156" w:beforeLines="50" w:line="360" w:lineRule="auto"/>
              <w:jc w:val="center"/>
              <w:rPr>
                <w:rFonts w:hint="eastAsia" w:ascii="宋体" w:hAnsi="宋体"/>
                <w:b/>
                <w:color w:val="auto"/>
                <w:highlight w:val="none"/>
              </w:rPr>
            </w:pPr>
            <w:r>
              <w:rPr>
                <w:rFonts w:hint="eastAsia" w:ascii="宋体" w:hAnsi="宋体"/>
                <w:b/>
                <w:color w:val="000000"/>
                <w:shd w:val="clear" w:color="auto" w:fill="FFFFFF"/>
                <w:lang w:eastAsia="zh-CN"/>
              </w:rPr>
              <w:t>（</w:t>
            </w:r>
            <w:r>
              <w:rPr>
                <w:rFonts w:hint="eastAsia" w:ascii="宋体" w:hAnsi="宋体"/>
                <w:b/>
                <w:color w:val="000000"/>
                <w:shd w:val="clear" w:color="auto" w:fill="FFFFFF"/>
                <w:lang w:val="en-US" w:eastAsia="zh-CN"/>
              </w:rPr>
              <w:t>单位：</w:t>
            </w:r>
            <w:r>
              <w:rPr>
                <w:rFonts w:hint="eastAsia" w:ascii="宋体" w:hAnsi="宋体"/>
                <w:b/>
                <w:bCs/>
                <w:color w:val="000000"/>
                <w:u w:val="none"/>
                <w:shd w:val="clear" w:color="auto" w:fill="FFFFFF"/>
                <w:lang w:val="en-US" w:eastAsia="zh-CN"/>
              </w:rPr>
              <w:t>元</w:t>
            </w:r>
            <w:r>
              <w:rPr>
                <w:rFonts w:hint="eastAsia" w:ascii="宋体" w:hAnsi="宋体"/>
                <w:b/>
                <w:color w:val="00000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color w:val="auto"/>
                <w:highlight w:val="none"/>
              </w:rPr>
            </w:pPr>
          </w:p>
        </w:tc>
        <w:tc>
          <w:tcPr>
            <w:tcW w:w="1720" w:type="dxa"/>
            <w:vAlign w:val="center"/>
          </w:tcPr>
          <w:p>
            <w:pPr>
              <w:spacing w:line="360" w:lineRule="auto"/>
              <w:jc w:val="center"/>
              <w:rPr>
                <w:rFonts w:ascii="宋体" w:hAnsi="宋体"/>
                <w:color w:val="auto"/>
                <w:highlight w:val="none"/>
              </w:rPr>
            </w:pPr>
          </w:p>
        </w:tc>
        <w:tc>
          <w:tcPr>
            <w:tcW w:w="694" w:type="dxa"/>
            <w:vAlign w:val="center"/>
          </w:tcPr>
          <w:p>
            <w:pPr>
              <w:spacing w:line="360" w:lineRule="auto"/>
              <w:jc w:val="center"/>
              <w:rPr>
                <w:rFonts w:ascii="宋体" w:hAnsi="宋体"/>
                <w:color w:val="auto"/>
                <w:highlight w:val="none"/>
              </w:rPr>
            </w:pPr>
          </w:p>
        </w:tc>
        <w:tc>
          <w:tcPr>
            <w:tcW w:w="1253" w:type="dxa"/>
            <w:vAlign w:val="center"/>
          </w:tcPr>
          <w:p>
            <w:pPr>
              <w:spacing w:line="360" w:lineRule="auto"/>
              <w:jc w:val="center"/>
              <w:rPr>
                <w:rFonts w:ascii="宋体" w:hAnsi="宋体"/>
                <w:color w:val="auto"/>
                <w:highlight w:val="none"/>
              </w:rPr>
            </w:pPr>
          </w:p>
        </w:tc>
        <w:tc>
          <w:tcPr>
            <w:tcW w:w="1417" w:type="dxa"/>
            <w:vAlign w:val="center"/>
          </w:tcPr>
          <w:p>
            <w:pPr>
              <w:spacing w:line="360" w:lineRule="auto"/>
              <w:jc w:val="center"/>
              <w:rPr>
                <w:rFonts w:ascii="宋体" w:hAnsi="宋体"/>
                <w:color w:val="auto"/>
                <w:highlight w:val="none"/>
              </w:rPr>
            </w:pPr>
          </w:p>
        </w:tc>
        <w:tc>
          <w:tcPr>
            <w:tcW w:w="851" w:type="dxa"/>
            <w:vAlign w:val="center"/>
          </w:tcPr>
          <w:p>
            <w:pPr>
              <w:spacing w:line="360" w:lineRule="auto"/>
              <w:jc w:val="center"/>
              <w:rPr>
                <w:rFonts w:ascii="宋体" w:hAnsi="宋体"/>
                <w:color w:val="auto"/>
                <w:highlight w:val="none"/>
              </w:rPr>
            </w:pPr>
          </w:p>
        </w:tc>
        <w:tc>
          <w:tcPr>
            <w:tcW w:w="862" w:type="dxa"/>
            <w:vAlign w:val="center"/>
          </w:tcPr>
          <w:p>
            <w:pPr>
              <w:spacing w:line="360" w:lineRule="auto"/>
              <w:jc w:val="center"/>
              <w:rPr>
                <w:rFonts w:ascii="宋体" w:hAnsi="宋体"/>
                <w:color w:val="auto"/>
                <w:highlight w:val="none"/>
              </w:rPr>
            </w:pPr>
          </w:p>
        </w:tc>
        <w:tc>
          <w:tcPr>
            <w:tcW w:w="1929" w:type="dxa"/>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hint="eastAsia" w:ascii="宋体" w:hAnsi="宋体" w:eastAsia="宋体"/>
                <w:color w:val="auto"/>
                <w:highlight w:val="none"/>
                <w:lang w:eastAsia="zh-CN"/>
              </w:rPr>
            </w:pPr>
            <w:r>
              <w:rPr>
                <w:rFonts w:hint="eastAsia"/>
                <w:color w:val="auto"/>
                <w:highlight w:val="none"/>
                <w:lang w:eastAsia="zh-CN"/>
              </w:rPr>
              <w:t>……</w:t>
            </w:r>
          </w:p>
        </w:tc>
        <w:tc>
          <w:tcPr>
            <w:tcW w:w="1720" w:type="dxa"/>
            <w:vAlign w:val="center"/>
          </w:tcPr>
          <w:p>
            <w:pPr>
              <w:spacing w:line="360" w:lineRule="auto"/>
              <w:jc w:val="center"/>
              <w:rPr>
                <w:rFonts w:ascii="宋体" w:hAnsi="宋体"/>
                <w:color w:val="auto"/>
                <w:highlight w:val="none"/>
              </w:rPr>
            </w:pPr>
          </w:p>
        </w:tc>
        <w:tc>
          <w:tcPr>
            <w:tcW w:w="694" w:type="dxa"/>
            <w:vAlign w:val="center"/>
          </w:tcPr>
          <w:p>
            <w:pPr>
              <w:spacing w:line="360" w:lineRule="auto"/>
              <w:jc w:val="center"/>
              <w:rPr>
                <w:rFonts w:ascii="宋体" w:hAnsi="宋体"/>
                <w:color w:val="auto"/>
                <w:highlight w:val="none"/>
              </w:rPr>
            </w:pPr>
          </w:p>
        </w:tc>
        <w:tc>
          <w:tcPr>
            <w:tcW w:w="1253" w:type="dxa"/>
            <w:vAlign w:val="center"/>
          </w:tcPr>
          <w:p>
            <w:pPr>
              <w:spacing w:line="360" w:lineRule="auto"/>
              <w:jc w:val="center"/>
              <w:rPr>
                <w:rFonts w:ascii="宋体" w:hAnsi="宋体"/>
                <w:color w:val="auto"/>
                <w:highlight w:val="none"/>
              </w:rPr>
            </w:pPr>
          </w:p>
        </w:tc>
        <w:tc>
          <w:tcPr>
            <w:tcW w:w="1417" w:type="dxa"/>
            <w:vAlign w:val="center"/>
          </w:tcPr>
          <w:p>
            <w:pPr>
              <w:spacing w:line="360" w:lineRule="auto"/>
              <w:jc w:val="center"/>
              <w:rPr>
                <w:rFonts w:ascii="宋体" w:hAnsi="宋体"/>
                <w:color w:val="auto"/>
                <w:highlight w:val="none"/>
              </w:rPr>
            </w:pPr>
          </w:p>
        </w:tc>
        <w:tc>
          <w:tcPr>
            <w:tcW w:w="851" w:type="dxa"/>
            <w:vAlign w:val="center"/>
          </w:tcPr>
          <w:p>
            <w:pPr>
              <w:spacing w:line="360" w:lineRule="auto"/>
              <w:jc w:val="center"/>
              <w:rPr>
                <w:rFonts w:ascii="宋体" w:hAnsi="宋体"/>
                <w:color w:val="auto"/>
                <w:highlight w:val="none"/>
              </w:rPr>
            </w:pPr>
          </w:p>
        </w:tc>
        <w:tc>
          <w:tcPr>
            <w:tcW w:w="862" w:type="dxa"/>
            <w:vAlign w:val="center"/>
          </w:tcPr>
          <w:p>
            <w:pPr>
              <w:spacing w:line="360" w:lineRule="auto"/>
              <w:jc w:val="center"/>
              <w:rPr>
                <w:rFonts w:ascii="宋体" w:hAnsi="宋体"/>
                <w:color w:val="auto"/>
                <w:highlight w:val="none"/>
              </w:rPr>
            </w:pPr>
          </w:p>
        </w:tc>
        <w:tc>
          <w:tcPr>
            <w:tcW w:w="1929" w:type="dxa"/>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757" w:type="dxa"/>
            <w:gridSpan w:val="7"/>
            <w:vAlign w:val="center"/>
          </w:tcPr>
          <w:p>
            <w:pPr>
              <w:spacing w:line="360" w:lineRule="auto"/>
              <w:jc w:val="center"/>
              <w:rPr>
                <w:rFonts w:ascii="宋体" w:hAnsi="宋体"/>
                <w:color w:val="auto"/>
                <w:highlight w:val="none"/>
              </w:rPr>
            </w:pPr>
            <w:r>
              <w:rPr>
                <w:rFonts w:hint="eastAsia" w:ascii="宋体" w:hAnsi="宋体" w:cs="宋体"/>
                <w:b/>
                <w:color w:val="auto"/>
                <w:highlight w:val="none"/>
              </w:rPr>
              <w:t>监狱企业制造的货物</w:t>
            </w:r>
            <w:r>
              <w:rPr>
                <w:rFonts w:ascii="宋体" w:hAnsi="宋体"/>
                <w:b/>
                <w:bCs/>
                <w:color w:val="auto"/>
                <w:szCs w:val="21"/>
                <w:highlight w:val="none"/>
              </w:rPr>
              <w:t>报价</w:t>
            </w:r>
            <w:r>
              <w:rPr>
                <w:rFonts w:hint="eastAsia" w:ascii="宋体" w:hAnsi="宋体"/>
                <w:b/>
                <w:bCs/>
                <w:color w:val="auto"/>
                <w:szCs w:val="21"/>
                <w:highlight w:val="none"/>
                <w:lang w:eastAsia="zh-CN"/>
              </w:rPr>
              <w:t>（</w:t>
            </w:r>
            <w:r>
              <w:rPr>
                <w:rFonts w:hint="eastAsia"/>
                <w:b/>
                <w:bCs/>
                <w:color w:val="auto"/>
                <w:szCs w:val="21"/>
                <w:highlight w:val="none"/>
                <w:lang w:val="en-US" w:eastAsia="zh-CN"/>
              </w:rPr>
              <w:t>总价</w:t>
            </w:r>
            <w:r>
              <w:rPr>
                <w:rFonts w:ascii="宋体" w:hAnsi="宋体"/>
                <w:b/>
                <w:bCs/>
                <w:color w:val="auto"/>
                <w:szCs w:val="21"/>
                <w:highlight w:val="none"/>
              </w:rPr>
              <w:t>合计</w:t>
            </w:r>
            <w:r>
              <w:rPr>
                <w:rFonts w:hint="eastAsia" w:ascii="宋体" w:hAnsi="宋体"/>
                <w:b/>
                <w:bCs/>
                <w:color w:val="auto"/>
                <w:szCs w:val="21"/>
                <w:highlight w:val="none"/>
              </w:rPr>
              <w:t>）</w:t>
            </w:r>
          </w:p>
        </w:tc>
        <w:tc>
          <w:tcPr>
            <w:tcW w:w="1929" w:type="dxa"/>
            <w:vAlign w:val="center"/>
          </w:tcPr>
          <w:p>
            <w:pPr>
              <w:spacing w:line="360" w:lineRule="auto"/>
              <w:rPr>
                <w:rFonts w:hint="eastAsia" w:ascii="宋体" w:hAnsi="宋体"/>
                <w:color w:val="auto"/>
                <w:highlight w:val="none"/>
              </w:rPr>
            </w:pPr>
            <w:r>
              <w:rPr>
                <w:rFonts w:hint="eastAsia" w:ascii="宋体" w:hAnsi="宋体"/>
                <w:color w:val="auto"/>
                <w:highlight w:val="none"/>
              </w:rPr>
              <w:t>￥</w:t>
            </w:r>
          </w:p>
        </w:tc>
      </w:tr>
    </w:tbl>
    <w:p>
      <w:pPr>
        <w:numPr>
          <w:ilvl w:val="0"/>
          <w:numId w:val="0"/>
        </w:numPr>
        <w:tabs>
          <w:tab w:val="left" w:pos="630"/>
          <w:tab w:val="left" w:pos="7560"/>
        </w:tabs>
        <w:spacing w:after="200" w:line="360" w:lineRule="auto"/>
        <w:ind w:leftChars="0"/>
        <w:rPr>
          <w:rFonts w:ascii="宋体" w:hAnsi="宋体"/>
          <w:b/>
          <w:color w:val="auto"/>
          <w:sz w:val="28"/>
          <w:highlight w:val="none"/>
        </w:rPr>
      </w:pPr>
      <w:r>
        <w:rPr>
          <w:rFonts w:hint="eastAsia"/>
          <w:b/>
          <w:color w:val="auto"/>
          <w:sz w:val="28"/>
          <w:szCs w:val="28"/>
          <w:highlight w:val="none"/>
          <w:lang w:val="en-US" w:eastAsia="zh-CN"/>
        </w:rPr>
        <w:t>三、</w:t>
      </w:r>
      <w:r>
        <w:rPr>
          <w:rFonts w:hint="eastAsia" w:ascii="宋体" w:hAnsi="宋体"/>
          <w:b/>
          <w:color w:val="auto"/>
          <w:sz w:val="28"/>
          <w:szCs w:val="28"/>
          <w:highlight w:val="none"/>
          <w:lang w:eastAsia="zh-CN"/>
        </w:rPr>
        <w:t>供应商所</w:t>
      </w:r>
      <w:r>
        <w:rPr>
          <w:rFonts w:hint="eastAsia" w:ascii="宋体" w:hAnsi="宋体"/>
          <w:b/>
          <w:color w:val="auto"/>
          <w:sz w:val="28"/>
          <w:highlight w:val="none"/>
        </w:rPr>
        <w:t>投产品中为残疾人福利性单位制造的货物清单及价格（说明：如未提供则不能享受对残疾人福利性单位制造的货物的价格扣除）</w:t>
      </w:r>
    </w:p>
    <w:tbl>
      <w:tblPr>
        <w:tblStyle w:val="4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694"/>
        <w:gridCol w:w="1253"/>
        <w:gridCol w:w="1417"/>
        <w:gridCol w:w="851"/>
        <w:gridCol w:w="862"/>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序号</w:t>
            </w:r>
          </w:p>
        </w:tc>
        <w:tc>
          <w:tcPr>
            <w:tcW w:w="1720"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货物名称</w:t>
            </w:r>
          </w:p>
        </w:tc>
        <w:tc>
          <w:tcPr>
            <w:tcW w:w="694"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品牌</w:t>
            </w:r>
          </w:p>
        </w:tc>
        <w:tc>
          <w:tcPr>
            <w:tcW w:w="1253"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规格型号</w:t>
            </w:r>
          </w:p>
        </w:tc>
        <w:tc>
          <w:tcPr>
            <w:tcW w:w="1417"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制造商</w:t>
            </w:r>
          </w:p>
        </w:tc>
        <w:tc>
          <w:tcPr>
            <w:tcW w:w="851"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数量</w:t>
            </w:r>
          </w:p>
        </w:tc>
        <w:tc>
          <w:tcPr>
            <w:tcW w:w="862"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单价</w:t>
            </w:r>
          </w:p>
        </w:tc>
        <w:tc>
          <w:tcPr>
            <w:tcW w:w="1929" w:type="dxa"/>
            <w:vAlign w:val="center"/>
          </w:tcPr>
          <w:p>
            <w:pPr>
              <w:pStyle w:val="27"/>
              <w:ind w:left="0" w:leftChars="0" w:firstLine="0" w:firstLineChars="0"/>
              <w:jc w:val="both"/>
              <w:rPr>
                <w:rFonts w:hint="eastAsia" w:ascii="宋体" w:hAnsi="宋体"/>
                <w:b/>
                <w:color w:val="000000"/>
                <w:szCs w:val="28"/>
                <w:shd w:val="clear" w:color="auto" w:fill="FFFFFF"/>
              </w:rPr>
            </w:pPr>
          </w:p>
          <w:p>
            <w:pPr>
              <w:pStyle w:val="27"/>
              <w:ind w:left="0" w:leftChars="0" w:firstLine="0" w:firstLineChars="0"/>
              <w:jc w:val="both"/>
              <w:rPr>
                <w:rFonts w:hint="eastAsia" w:ascii="宋体" w:hAnsi="宋体"/>
                <w:b/>
                <w:color w:val="000000"/>
                <w:shd w:val="clear" w:color="auto" w:fill="FFFFFF"/>
                <w:lang w:eastAsia="zh-CN"/>
              </w:rPr>
            </w:pPr>
            <w:r>
              <w:rPr>
                <w:rFonts w:hint="eastAsia" w:ascii="宋体" w:hAnsi="宋体"/>
                <w:b/>
                <w:color w:val="000000"/>
                <w:szCs w:val="28"/>
                <w:shd w:val="clear" w:color="auto" w:fill="FFFFFF"/>
              </w:rPr>
              <w:t>总价</w:t>
            </w:r>
            <w:r>
              <w:rPr>
                <w:rFonts w:hint="eastAsia" w:ascii="宋体" w:hAnsi="宋体"/>
                <w:b/>
                <w:color w:val="000000"/>
                <w:shd w:val="clear" w:color="auto" w:fill="FFFFFF"/>
                <w:lang w:eastAsia="zh-CN"/>
              </w:rPr>
              <w:t>（</w:t>
            </w:r>
            <w:r>
              <w:rPr>
                <w:rFonts w:hint="eastAsia" w:ascii="宋体" w:hAnsi="宋体"/>
                <w:b/>
                <w:color w:val="000000"/>
                <w:shd w:val="clear" w:color="auto" w:fill="FFFFFF"/>
                <w:lang w:val="en-US" w:eastAsia="zh-CN"/>
              </w:rPr>
              <w:t>单价x数量</w:t>
            </w:r>
            <w:r>
              <w:rPr>
                <w:rFonts w:hint="eastAsia" w:ascii="宋体" w:hAnsi="宋体"/>
                <w:b/>
                <w:color w:val="000000"/>
                <w:shd w:val="clear" w:color="auto" w:fill="FFFFFF"/>
                <w:lang w:eastAsia="zh-CN"/>
              </w:rPr>
              <w:t>）</w:t>
            </w:r>
          </w:p>
          <w:p>
            <w:pPr>
              <w:spacing w:before="156" w:beforeLines="50" w:line="360" w:lineRule="auto"/>
              <w:jc w:val="center"/>
              <w:rPr>
                <w:rFonts w:hint="eastAsia" w:ascii="宋体" w:hAnsi="宋体"/>
                <w:b/>
                <w:color w:val="auto"/>
                <w:highlight w:val="none"/>
              </w:rPr>
            </w:pPr>
            <w:r>
              <w:rPr>
                <w:rFonts w:hint="eastAsia" w:ascii="宋体" w:hAnsi="宋体"/>
                <w:b/>
                <w:color w:val="000000"/>
                <w:shd w:val="clear" w:color="auto" w:fill="FFFFFF"/>
                <w:lang w:eastAsia="zh-CN"/>
              </w:rPr>
              <w:t>（</w:t>
            </w:r>
            <w:r>
              <w:rPr>
                <w:rFonts w:hint="eastAsia" w:ascii="宋体" w:hAnsi="宋体"/>
                <w:b/>
                <w:color w:val="000000"/>
                <w:shd w:val="clear" w:color="auto" w:fill="FFFFFF"/>
                <w:lang w:val="en-US" w:eastAsia="zh-CN"/>
              </w:rPr>
              <w:t>单位：</w:t>
            </w:r>
            <w:r>
              <w:rPr>
                <w:rFonts w:hint="eastAsia" w:ascii="宋体" w:hAnsi="宋体"/>
                <w:b/>
                <w:bCs/>
                <w:color w:val="000000"/>
                <w:u w:val="none"/>
                <w:shd w:val="clear" w:color="auto" w:fill="FFFFFF"/>
                <w:lang w:val="en-US" w:eastAsia="zh-CN"/>
              </w:rPr>
              <w:t>元</w:t>
            </w:r>
            <w:r>
              <w:rPr>
                <w:rFonts w:hint="eastAsia" w:ascii="宋体" w:hAnsi="宋体"/>
                <w:b/>
                <w:color w:val="00000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color w:val="auto"/>
                <w:highlight w:val="none"/>
              </w:rPr>
            </w:pPr>
          </w:p>
        </w:tc>
        <w:tc>
          <w:tcPr>
            <w:tcW w:w="1720" w:type="dxa"/>
            <w:vAlign w:val="center"/>
          </w:tcPr>
          <w:p>
            <w:pPr>
              <w:spacing w:line="360" w:lineRule="auto"/>
              <w:jc w:val="center"/>
              <w:rPr>
                <w:rFonts w:ascii="宋体" w:hAnsi="宋体"/>
                <w:color w:val="auto"/>
                <w:highlight w:val="none"/>
              </w:rPr>
            </w:pPr>
          </w:p>
        </w:tc>
        <w:tc>
          <w:tcPr>
            <w:tcW w:w="694" w:type="dxa"/>
            <w:vAlign w:val="center"/>
          </w:tcPr>
          <w:p>
            <w:pPr>
              <w:spacing w:line="360" w:lineRule="auto"/>
              <w:jc w:val="center"/>
              <w:rPr>
                <w:rFonts w:ascii="宋体" w:hAnsi="宋体"/>
                <w:color w:val="auto"/>
                <w:highlight w:val="none"/>
              </w:rPr>
            </w:pPr>
          </w:p>
        </w:tc>
        <w:tc>
          <w:tcPr>
            <w:tcW w:w="1253" w:type="dxa"/>
            <w:vAlign w:val="center"/>
          </w:tcPr>
          <w:p>
            <w:pPr>
              <w:spacing w:line="360" w:lineRule="auto"/>
              <w:jc w:val="center"/>
              <w:rPr>
                <w:rFonts w:ascii="宋体" w:hAnsi="宋体"/>
                <w:color w:val="auto"/>
                <w:highlight w:val="none"/>
              </w:rPr>
            </w:pPr>
          </w:p>
        </w:tc>
        <w:tc>
          <w:tcPr>
            <w:tcW w:w="1417" w:type="dxa"/>
            <w:vAlign w:val="center"/>
          </w:tcPr>
          <w:p>
            <w:pPr>
              <w:spacing w:line="360" w:lineRule="auto"/>
              <w:jc w:val="center"/>
              <w:rPr>
                <w:rFonts w:ascii="宋体" w:hAnsi="宋体"/>
                <w:color w:val="auto"/>
                <w:highlight w:val="none"/>
              </w:rPr>
            </w:pPr>
          </w:p>
        </w:tc>
        <w:tc>
          <w:tcPr>
            <w:tcW w:w="851" w:type="dxa"/>
            <w:vAlign w:val="center"/>
          </w:tcPr>
          <w:p>
            <w:pPr>
              <w:spacing w:line="360" w:lineRule="auto"/>
              <w:jc w:val="center"/>
              <w:rPr>
                <w:rFonts w:ascii="宋体" w:hAnsi="宋体"/>
                <w:color w:val="auto"/>
                <w:highlight w:val="none"/>
              </w:rPr>
            </w:pPr>
          </w:p>
        </w:tc>
        <w:tc>
          <w:tcPr>
            <w:tcW w:w="862" w:type="dxa"/>
            <w:vAlign w:val="center"/>
          </w:tcPr>
          <w:p>
            <w:pPr>
              <w:spacing w:line="360" w:lineRule="auto"/>
              <w:jc w:val="center"/>
              <w:rPr>
                <w:rFonts w:ascii="宋体" w:hAnsi="宋体"/>
                <w:color w:val="auto"/>
                <w:highlight w:val="none"/>
              </w:rPr>
            </w:pPr>
          </w:p>
        </w:tc>
        <w:tc>
          <w:tcPr>
            <w:tcW w:w="1929" w:type="dxa"/>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hint="eastAsia" w:ascii="宋体" w:hAnsi="宋体" w:eastAsia="宋体"/>
                <w:color w:val="auto"/>
                <w:highlight w:val="none"/>
                <w:lang w:eastAsia="zh-CN"/>
              </w:rPr>
            </w:pPr>
            <w:r>
              <w:rPr>
                <w:rFonts w:hint="eastAsia"/>
                <w:color w:val="auto"/>
                <w:highlight w:val="none"/>
                <w:lang w:eastAsia="zh-CN"/>
              </w:rPr>
              <w:t>……</w:t>
            </w:r>
          </w:p>
        </w:tc>
        <w:tc>
          <w:tcPr>
            <w:tcW w:w="1720" w:type="dxa"/>
            <w:vAlign w:val="center"/>
          </w:tcPr>
          <w:p>
            <w:pPr>
              <w:spacing w:line="360" w:lineRule="auto"/>
              <w:jc w:val="center"/>
              <w:rPr>
                <w:rFonts w:ascii="宋体" w:hAnsi="宋体"/>
                <w:color w:val="auto"/>
                <w:highlight w:val="none"/>
              </w:rPr>
            </w:pPr>
          </w:p>
        </w:tc>
        <w:tc>
          <w:tcPr>
            <w:tcW w:w="694" w:type="dxa"/>
            <w:vAlign w:val="center"/>
          </w:tcPr>
          <w:p>
            <w:pPr>
              <w:spacing w:line="360" w:lineRule="auto"/>
              <w:jc w:val="center"/>
              <w:rPr>
                <w:rFonts w:ascii="宋体" w:hAnsi="宋体"/>
                <w:color w:val="auto"/>
                <w:highlight w:val="none"/>
              </w:rPr>
            </w:pPr>
          </w:p>
        </w:tc>
        <w:tc>
          <w:tcPr>
            <w:tcW w:w="1253" w:type="dxa"/>
            <w:vAlign w:val="center"/>
          </w:tcPr>
          <w:p>
            <w:pPr>
              <w:spacing w:line="360" w:lineRule="auto"/>
              <w:jc w:val="center"/>
              <w:rPr>
                <w:rFonts w:ascii="宋体" w:hAnsi="宋体"/>
                <w:color w:val="auto"/>
                <w:highlight w:val="none"/>
              </w:rPr>
            </w:pPr>
          </w:p>
        </w:tc>
        <w:tc>
          <w:tcPr>
            <w:tcW w:w="1417" w:type="dxa"/>
            <w:vAlign w:val="center"/>
          </w:tcPr>
          <w:p>
            <w:pPr>
              <w:spacing w:line="360" w:lineRule="auto"/>
              <w:jc w:val="center"/>
              <w:rPr>
                <w:rFonts w:ascii="宋体" w:hAnsi="宋体"/>
                <w:color w:val="auto"/>
                <w:highlight w:val="none"/>
              </w:rPr>
            </w:pPr>
          </w:p>
        </w:tc>
        <w:tc>
          <w:tcPr>
            <w:tcW w:w="851" w:type="dxa"/>
            <w:vAlign w:val="center"/>
          </w:tcPr>
          <w:p>
            <w:pPr>
              <w:spacing w:line="360" w:lineRule="auto"/>
              <w:jc w:val="center"/>
              <w:rPr>
                <w:rFonts w:ascii="宋体" w:hAnsi="宋体"/>
                <w:color w:val="auto"/>
                <w:highlight w:val="none"/>
              </w:rPr>
            </w:pPr>
          </w:p>
        </w:tc>
        <w:tc>
          <w:tcPr>
            <w:tcW w:w="862" w:type="dxa"/>
            <w:vAlign w:val="center"/>
          </w:tcPr>
          <w:p>
            <w:pPr>
              <w:spacing w:line="360" w:lineRule="auto"/>
              <w:jc w:val="center"/>
              <w:rPr>
                <w:rFonts w:ascii="宋体" w:hAnsi="宋体"/>
                <w:color w:val="auto"/>
                <w:highlight w:val="none"/>
              </w:rPr>
            </w:pPr>
          </w:p>
        </w:tc>
        <w:tc>
          <w:tcPr>
            <w:tcW w:w="1929" w:type="dxa"/>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757" w:type="dxa"/>
            <w:gridSpan w:val="7"/>
            <w:vAlign w:val="center"/>
          </w:tcPr>
          <w:p>
            <w:pPr>
              <w:spacing w:line="360" w:lineRule="auto"/>
              <w:jc w:val="center"/>
              <w:rPr>
                <w:rFonts w:ascii="宋体" w:hAnsi="宋体"/>
                <w:color w:val="auto"/>
                <w:highlight w:val="none"/>
              </w:rPr>
            </w:pPr>
            <w:r>
              <w:rPr>
                <w:rFonts w:hint="eastAsia" w:ascii="宋体" w:hAnsi="宋体" w:cs="宋体"/>
                <w:b/>
                <w:color w:val="auto"/>
                <w:highlight w:val="none"/>
              </w:rPr>
              <w:t>监狱企业制造的货物</w:t>
            </w:r>
            <w:r>
              <w:rPr>
                <w:rFonts w:ascii="宋体" w:hAnsi="宋体"/>
                <w:b/>
                <w:bCs/>
                <w:color w:val="auto"/>
                <w:szCs w:val="21"/>
                <w:highlight w:val="none"/>
              </w:rPr>
              <w:t>报价</w:t>
            </w:r>
            <w:r>
              <w:rPr>
                <w:rFonts w:hint="eastAsia" w:ascii="宋体" w:hAnsi="宋体"/>
                <w:b/>
                <w:bCs/>
                <w:color w:val="auto"/>
                <w:szCs w:val="21"/>
                <w:highlight w:val="none"/>
                <w:lang w:eastAsia="zh-CN"/>
              </w:rPr>
              <w:t>（</w:t>
            </w:r>
            <w:r>
              <w:rPr>
                <w:rFonts w:hint="eastAsia"/>
                <w:b/>
                <w:bCs/>
                <w:color w:val="auto"/>
                <w:szCs w:val="21"/>
                <w:highlight w:val="none"/>
                <w:lang w:val="en-US" w:eastAsia="zh-CN"/>
              </w:rPr>
              <w:t>总价</w:t>
            </w:r>
            <w:r>
              <w:rPr>
                <w:rFonts w:ascii="宋体" w:hAnsi="宋体"/>
                <w:b/>
                <w:bCs/>
                <w:color w:val="auto"/>
                <w:szCs w:val="21"/>
                <w:highlight w:val="none"/>
              </w:rPr>
              <w:t>合计</w:t>
            </w:r>
            <w:r>
              <w:rPr>
                <w:rFonts w:hint="eastAsia" w:ascii="宋体" w:hAnsi="宋体"/>
                <w:b/>
                <w:bCs/>
                <w:color w:val="auto"/>
                <w:szCs w:val="21"/>
                <w:highlight w:val="none"/>
              </w:rPr>
              <w:t>）</w:t>
            </w:r>
          </w:p>
        </w:tc>
        <w:tc>
          <w:tcPr>
            <w:tcW w:w="1929" w:type="dxa"/>
            <w:vAlign w:val="center"/>
          </w:tcPr>
          <w:p>
            <w:pPr>
              <w:spacing w:line="360" w:lineRule="auto"/>
              <w:rPr>
                <w:rFonts w:hint="eastAsia" w:ascii="宋体" w:hAnsi="宋体"/>
                <w:color w:val="auto"/>
                <w:highlight w:val="none"/>
              </w:rPr>
            </w:pPr>
            <w:r>
              <w:rPr>
                <w:rFonts w:hint="eastAsia" w:ascii="宋体" w:hAnsi="宋体"/>
                <w:color w:val="auto"/>
                <w:highlight w:val="none"/>
              </w:rPr>
              <w:t>￥</w:t>
            </w:r>
          </w:p>
        </w:tc>
      </w:tr>
    </w:tbl>
    <w:p>
      <w:pPr>
        <w:pStyle w:val="281"/>
        <w:ind w:firstLine="4200" w:firstLineChars="1500"/>
        <w:rPr>
          <w:rFonts w:hint="eastAsia" w:ascii="宋体" w:hAnsi="宋体" w:eastAsia="宋体" w:cs="宋体"/>
          <w:color w:val="auto"/>
          <w:kern w:val="2"/>
          <w:sz w:val="28"/>
          <w:szCs w:val="22"/>
          <w:highlight w:val="none"/>
          <w:u w:val="none"/>
          <w:lang w:val="zh-CN" w:eastAsia="zh-CN" w:bidi="ar-SA"/>
        </w:rPr>
      </w:pPr>
    </w:p>
    <w:p>
      <w:pPr>
        <w:pStyle w:val="281"/>
        <w:ind w:firstLine="4200" w:firstLineChars="1500"/>
        <w:rPr>
          <w:rFonts w:hint="eastAsia" w:ascii="宋体" w:hAnsi="宋体" w:eastAsia="宋体" w:cs="宋体"/>
          <w:color w:val="auto"/>
          <w:kern w:val="2"/>
          <w:sz w:val="28"/>
          <w:szCs w:val="22"/>
          <w:highlight w:val="none"/>
          <w:u w:val="none"/>
          <w:lang w:val="zh-CN" w:eastAsia="zh-CN" w:bidi="ar-SA"/>
        </w:rPr>
      </w:pPr>
    </w:p>
    <w:p>
      <w:pPr>
        <w:pStyle w:val="281"/>
        <w:ind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 xml:space="preserve">  </w:t>
      </w:r>
      <w:r>
        <w:rPr>
          <w:rFonts w:hint="eastAsia" w:hAnsi="宋体" w:eastAsia="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p>
    <w:p>
      <w:pPr>
        <w:pStyle w:val="129"/>
        <w:ind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日      期：</w:t>
      </w:r>
      <w:r>
        <w:rPr>
          <w:rFonts w:hint="eastAsia" w:ascii="宋体" w:hAnsi="宋体" w:eastAsia="宋体" w:cs="宋体"/>
          <w:color w:val="auto"/>
          <w:kern w:val="2"/>
          <w:sz w:val="28"/>
          <w:szCs w:val="22"/>
          <w:highlight w:val="none"/>
          <w:u w:val="single"/>
          <w:lang w:val="zh-CN" w:eastAsia="zh-CN" w:bidi="ar-SA"/>
        </w:rPr>
        <w:t>　　年　　月　　日</w:t>
      </w:r>
    </w:p>
    <w:p>
      <w:pPr>
        <w:pStyle w:val="13"/>
        <w:spacing w:after="0" w:line="240" w:lineRule="auto"/>
        <w:ind w:firstLine="0"/>
        <w:rPr>
          <w:rFonts w:ascii="宋体" w:hAnsi="宋体"/>
          <w:bCs/>
          <w:color w:val="auto"/>
          <w:sz w:val="28"/>
          <w:highlight w:val="none"/>
        </w:rPr>
      </w:pPr>
    </w:p>
    <w:p>
      <w:pPr>
        <w:spacing w:line="440" w:lineRule="atLeast"/>
        <w:ind w:firstLine="1262" w:firstLineChars="449"/>
        <w:rPr>
          <w:b/>
          <w:sz w:val="28"/>
          <w:szCs w:val="28"/>
        </w:rPr>
      </w:pPr>
    </w:p>
    <w:p>
      <w:pPr>
        <w:rPr>
          <w:rFonts w:hint="eastAsia"/>
          <w:b/>
          <w:color w:val="000000"/>
          <w:kern w:val="0"/>
          <w:sz w:val="32"/>
          <w:szCs w:val="24"/>
        </w:rPr>
      </w:pPr>
      <w:r>
        <w:rPr>
          <w:rFonts w:hint="eastAsia"/>
          <w:b/>
          <w:color w:val="000000"/>
          <w:kern w:val="0"/>
          <w:sz w:val="32"/>
          <w:szCs w:val="24"/>
        </w:rPr>
        <w:br w:type="page"/>
      </w:r>
    </w:p>
    <w:p>
      <w:pPr>
        <w:pStyle w:val="312"/>
        <w:outlineLvl w:val="1"/>
        <w:rPr>
          <w:color w:val="000000"/>
        </w:rPr>
      </w:pPr>
      <w:bookmarkStart w:id="151" w:name="_Toc2881"/>
      <w:bookmarkStart w:id="152" w:name="_Toc4212"/>
      <w:bookmarkStart w:id="153" w:name="_Toc22548"/>
      <w:r>
        <w:rPr>
          <w:rFonts w:hint="eastAsia" w:ascii="宋体" w:hAnsi="宋体" w:eastAsia="宋体" w:cs="宋体"/>
          <w:color w:val="000000"/>
        </w:rPr>
        <w:t>3.</w:t>
      </w:r>
      <w:r>
        <w:rPr>
          <w:rFonts w:hint="eastAsia" w:ascii="宋体" w:hAnsi="宋体" w:eastAsia="宋体" w:cs="宋体"/>
          <w:color w:val="000000"/>
          <w:lang w:val="en-US" w:eastAsia="zh-CN"/>
        </w:rPr>
        <w:t>2.4</w:t>
      </w:r>
      <w:r>
        <w:rPr>
          <w:rFonts w:hint="eastAsia" w:ascii="宋体" w:hAnsi="宋体" w:eastAsia="宋体" w:cs="宋体"/>
          <w:color w:val="000000"/>
        </w:rPr>
        <w:t>中小企业声明函</w:t>
      </w:r>
      <w:bookmarkEnd w:id="151"/>
      <w:bookmarkEnd w:id="152"/>
      <w:bookmarkEnd w:id="153"/>
    </w:p>
    <w:p>
      <w:pPr>
        <w:spacing w:line="480" w:lineRule="exact"/>
        <w:jc w:val="center"/>
        <w:rPr>
          <w:rFonts w:hint="eastAsia"/>
          <w:b/>
          <w:color w:val="000000"/>
          <w:spacing w:val="6"/>
          <w:sz w:val="28"/>
          <w:szCs w:val="28"/>
          <w:shd w:val="clear" w:color="auto" w:fill="FFFFFF"/>
        </w:rPr>
      </w:pPr>
      <w:r>
        <w:rPr>
          <w:rFonts w:hint="eastAsia"/>
          <w:b/>
          <w:color w:val="000000"/>
          <w:spacing w:val="6"/>
          <w:sz w:val="28"/>
          <w:szCs w:val="28"/>
          <w:shd w:val="clear" w:color="auto" w:fill="FFFFFF"/>
        </w:rPr>
        <w:t>中小企业声明函</w:t>
      </w:r>
    </w:p>
    <w:p>
      <w:pPr>
        <w:spacing w:line="480" w:lineRule="exact"/>
        <w:jc w:val="center"/>
        <w:rPr>
          <w:rFonts w:hint="eastAsia"/>
          <w:b/>
          <w:color w:val="000000"/>
          <w:spacing w:val="6"/>
          <w:sz w:val="28"/>
          <w:szCs w:val="28"/>
          <w:shd w:val="clear" w:color="auto" w:fill="FFFFFF"/>
        </w:rPr>
      </w:pPr>
    </w:p>
    <w:p>
      <w:pPr>
        <w:spacing w:line="480" w:lineRule="exact"/>
        <w:ind w:firstLine="563"/>
        <w:rPr>
          <w:color w:val="000000"/>
          <w:sz w:val="28"/>
          <w:szCs w:val="28"/>
          <w:shd w:val="clear" w:color="auto" w:fill="FFFFFF"/>
        </w:rPr>
      </w:pPr>
      <w:r>
        <w:rPr>
          <w:color w:val="000000"/>
          <w:sz w:val="28"/>
          <w:szCs w:val="28"/>
          <w:shd w:val="clear" w:color="auto" w:fill="FFFFFF"/>
        </w:rPr>
        <w:t>本公司郑重声明，根据《政府采购促进中小企业发展管理办法》（财库﹝2020﹞46 号）的规定，本公司参加</w:t>
      </w:r>
      <w:r>
        <w:rPr>
          <w:rFonts w:hint="eastAsia"/>
          <w:b/>
          <w:bCs/>
          <w:color w:val="000000"/>
          <w:sz w:val="28"/>
          <w:szCs w:val="28"/>
          <w:u w:val="single"/>
          <w:shd w:val="clear" w:color="auto" w:fill="FFFFFF"/>
          <w:lang w:eastAsia="zh-CN"/>
        </w:rPr>
        <w:t>温江中学实验学校</w:t>
      </w:r>
      <w:r>
        <w:rPr>
          <w:b/>
          <w:bCs/>
          <w:color w:val="000000"/>
          <w:sz w:val="28"/>
          <w:szCs w:val="28"/>
          <w:shd w:val="clear" w:color="auto" w:fill="FFFFFF"/>
        </w:rPr>
        <w:t>的</w:t>
      </w:r>
      <w:r>
        <w:rPr>
          <w:rFonts w:hint="eastAsia"/>
          <w:b/>
          <w:bCs/>
          <w:color w:val="000000"/>
          <w:sz w:val="28"/>
          <w:szCs w:val="28"/>
          <w:u w:val="single"/>
          <w:lang w:eastAsia="zh-CN"/>
        </w:rPr>
        <w:t>数字校园设备采购项目</w:t>
      </w:r>
      <w:r>
        <w:rPr>
          <w:color w:val="000000"/>
          <w:sz w:val="28"/>
          <w:szCs w:val="28"/>
          <w:shd w:val="clear" w:color="auto" w:fill="FFFFFF"/>
        </w:rPr>
        <w:t>采购活动，</w:t>
      </w:r>
      <w:r>
        <w:rPr>
          <w:b/>
          <w:color w:val="000000"/>
          <w:sz w:val="28"/>
          <w:szCs w:val="28"/>
          <w:shd w:val="clear" w:color="auto" w:fill="FFFFFF"/>
        </w:rPr>
        <w:t>提供的货物全部由符合政策要求的中小企业制造</w:t>
      </w:r>
      <w:r>
        <w:rPr>
          <w:color w:val="000000"/>
          <w:sz w:val="28"/>
          <w:szCs w:val="28"/>
          <w:shd w:val="clear" w:color="auto" w:fill="FFFFFF"/>
        </w:rPr>
        <w:t>。相关企业的具体情况如下：</w:t>
      </w:r>
    </w:p>
    <w:p>
      <w:pPr>
        <w:spacing w:line="480" w:lineRule="exact"/>
        <w:ind w:firstLine="561"/>
        <w:rPr>
          <w:rFonts w:ascii="宋体" w:hAnsi="宋体"/>
          <w:color w:val="auto"/>
          <w:sz w:val="28"/>
          <w:szCs w:val="28"/>
          <w:highlight w:val="none"/>
        </w:rPr>
      </w:pPr>
      <w:bookmarkStart w:id="154" w:name="_Toc20360"/>
      <w:bookmarkStart w:id="155" w:name="_Toc30980"/>
      <w:r>
        <w:rPr>
          <w:rFonts w:hint="eastAsia" w:ascii="宋体" w:hAnsi="宋体"/>
          <w:color w:val="auto"/>
          <w:sz w:val="28"/>
          <w:szCs w:val="28"/>
          <w:highlight w:val="none"/>
        </w:rPr>
        <w:t xml:space="preserve"> 1. </w:t>
      </w:r>
      <w:r>
        <w:rPr>
          <w:rFonts w:hint="eastAsia" w:ascii="宋体" w:hAnsi="宋体"/>
          <w:color w:val="auto"/>
          <w:sz w:val="28"/>
          <w:szCs w:val="28"/>
          <w:highlight w:val="none"/>
          <w:u w:val="single"/>
        </w:rPr>
        <w:t>___XXXX____</w:t>
      </w:r>
      <w:r>
        <w:rPr>
          <w:rFonts w:hint="eastAsia" w:ascii="宋体" w:hAnsi="宋体"/>
          <w:color w:val="auto"/>
          <w:sz w:val="28"/>
          <w:szCs w:val="28"/>
          <w:highlight w:val="none"/>
        </w:rPr>
        <w:t>（标的名称），属于</w:t>
      </w:r>
      <w:r>
        <w:rPr>
          <w:rFonts w:hint="eastAsia" w:ascii="宋体" w:hAnsi="宋体"/>
          <w:color w:val="auto"/>
          <w:sz w:val="28"/>
          <w:szCs w:val="28"/>
          <w:highlight w:val="none"/>
          <w:u w:val="single"/>
        </w:rPr>
        <w:t>___XXXX____</w:t>
      </w:r>
      <w:r>
        <w:rPr>
          <w:rFonts w:hint="eastAsia" w:ascii="宋体" w:hAnsi="宋体"/>
          <w:color w:val="auto"/>
          <w:sz w:val="28"/>
          <w:szCs w:val="28"/>
          <w:highlight w:val="none"/>
        </w:rPr>
        <w:t>（采购文件中明确的所属行业）行业；制造商为</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（企业名称），从业人员</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人，营业收入为</w:t>
      </w:r>
      <w:r>
        <w:rPr>
          <w:rFonts w:hint="eastAsia" w:ascii="宋体" w:hAnsi="宋体"/>
          <w:color w:val="auto"/>
          <w:sz w:val="28"/>
          <w:szCs w:val="28"/>
          <w:highlight w:val="none"/>
          <w:u w:val="single"/>
        </w:rPr>
        <w:t>__XXXX__</w:t>
      </w:r>
      <w:r>
        <w:rPr>
          <w:rFonts w:hint="eastAsia" w:ascii="宋体" w:hAnsi="宋体"/>
          <w:color w:val="auto"/>
          <w:sz w:val="28"/>
          <w:szCs w:val="28"/>
          <w:highlight w:val="none"/>
        </w:rPr>
        <w:t>万元，资产总额为</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万元</w:t>
      </w:r>
      <w:r>
        <w:rPr>
          <w:rFonts w:hint="eastAsia" w:ascii="宋体" w:hAnsi="宋体"/>
          <w:color w:val="auto"/>
          <w:sz w:val="28"/>
          <w:szCs w:val="28"/>
          <w:highlight w:val="none"/>
          <w:vertAlign w:val="superscript"/>
        </w:rPr>
        <w:t>1</w:t>
      </w:r>
      <w:r>
        <w:rPr>
          <w:rFonts w:hint="eastAsia" w:ascii="宋体" w:hAnsi="宋体"/>
          <w:color w:val="auto"/>
          <w:sz w:val="28"/>
          <w:szCs w:val="28"/>
          <w:highlight w:val="none"/>
        </w:rPr>
        <w:t>，属于</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（中型企业、小型企业、微型企业）。</w:t>
      </w:r>
    </w:p>
    <w:p>
      <w:pPr>
        <w:spacing w:line="480" w:lineRule="exact"/>
        <w:ind w:firstLine="561"/>
        <w:rPr>
          <w:rFonts w:ascii="宋体" w:hAnsi="宋体"/>
          <w:color w:val="auto"/>
          <w:sz w:val="28"/>
          <w:szCs w:val="28"/>
          <w:highlight w:val="none"/>
        </w:rPr>
      </w:pPr>
      <w:r>
        <w:rPr>
          <w:rFonts w:hint="eastAsia" w:ascii="宋体" w:hAnsi="宋体"/>
          <w:color w:val="auto"/>
          <w:sz w:val="28"/>
          <w:szCs w:val="28"/>
          <w:highlight w:val="none"/>
        </w:rPr>
        <w:t xml:space="preserve">2. </w:t>
      </w:r>
      <w:r>
        <w:rPr>
          <w:rFonts w:hint="eastAsia" w:ascii="宋体" w:hAnsi="宋体"/>
          <w:color w:val="auto"/>
          <w:sz w:val="28"/>
          <w:szCs w:val="28"/>
          <w:highlight w:val="none"/>
          <w:u w:val="single"/>
        </w:rPr>
        <w:t>___XXXX____</w:t>
      </w:r>
      <w:r>
        <w:rPr>
          <w:rFonts w:hint="eastAsia" w:ascii="宋体" w:hAnsi="宋体"/>
          <w:color w:val="auto"/>
          <w:sz w:val="28"/>
          <w:szCs w:val="28"/>
          <w:highlight w:val="none"/>
        </w:rPr>
        <w:t>（标的名称），属于</w:t>
      </w:r>
      <w:r>
        <w:rPr>
          <w:rFonts w:hint="eastAsia" w:ascii="宋体" w:hAnsi="宋体"/>
          <w:color w:val="auto"/>
          <w:sz w:val="28"/>
          <w:szCs w:val="28"/>
          <w:highlight w:val="none"/>
          <w:u w:val="single"/>
        </w:rPr>
        <w:t>___XXXX____</w:t>
      </w:r>
      <w:r>
        <w:rPr>
          <w:rFonts w:hint="eastAsia" w:ascii="宋体" w:hAnsi="宋体"/>
          <w:color w:val="auto"/>
          <w:sz w:val="28"/>
          <w:szCs w:val="28"/>
          <w:highlight w:val="none"/>
        </w:rPr>
        <w:t>（采购文件中明确的所属行业）行业；制造商为</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（企业名称），从业人员</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人，营业收入为</w:t>
      </w:r>
      <w:r>
        <w:rPr>
          <w:rFonts w:hint="eastAsia" w:ascii="宋体" w:hAnsi="宋体"/>
          <w:color w:val="auto"/>
          <w:sz w:val="28"/>
          <w:szCs w:val="28"/>
          <w:highlight w:val="none"/>
          <w:u w:val="single"/>
        </w:rPr>
        <w:t>__XXXX__</w:t>
      </w:r>
      <w:r>
        <w:rPr>
          <w:rFonts w:hint="eastAsia" w:ascii="宋体" w:hAnsi="宋体"/>
          <w:color w:val="auto"/>
          <w:sz w:val="28"/>
          <w:szCs w:val="28"/>
          <w:highlight w:val="none"/>
        </w:rPr>
        <w:t>万元，资产总额为</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万元</w:t>
      </w:r>
      <w:r>
        <w:rPr>
          <w:rFonts w:hint="eastAsia" w:ascii="宋体" w:hAnsi="宋体"/>
          <w:color w:val="auto"/>
          <w:sz w:val="28"/>
          <w:szCs w:val="28"/>
          <w:highlight w:val="none"/>
          <w:vertAlign w:val="superscript"/>
        </w:rPr>
        <w:t>1</w:t>
      </w:r>
      <w:r>
        <w:rPr>
          <w:rFonts w:hint="eastAsia" w:ascii="宋体" w:hAnsi="宋体"/>
          <w:color w:val="auto"/>
          <w:sz w:val="28"/>
          <w:szCs w:val="28"/>
          <w:highlight w:val="none"/>
        </w:rPr>
        <w:t>，属于</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（中型企业、小型企业、微型企业）。</w:t>
      </w:r>
    </w:p>
    <w:p>
      <w:pPr>
        <w:spacing w:line="480" w:lineRule="exact"/>
        <w:ind w:firstLine="561"/>
        <w:rPr>
          <w:rFonts w:ascii="宋体" w:hAnsi="宋体"/>
          <w:color w:val="auto"/>
          <w:sz w:val="28"/>
          <w:szCs w:val="28"/>
          <w:highlight w:val="none"/>
        </w:rPr>
      </w:pPr>
      <w:r>
        <w:rPr>
          <w:rFonts w:hint="eastAsia" w:ascii="宋体" w:hAnsi="宋体"/>
          <w:color w:val="auto"/>
          <w:sz w:val="28"/>
          <w:szCs w:val="28"/>
          <w:highlight w:val="none"/>
        </w:rPr>
        <w:t>…………</w:t>
      </w:r>
    </w:p>
    <w:p>
      <w:pPr>
        <w:spacing w:line="480" w:lineRule="exact"/>
        <w:ind w:firstLine="561"/>
        <w:rPr>
          <w:rFonts w:ascii="宋体" w:hAnsi="宋体"/>
          <w:color w:val="auto"/>
          <w:sz w:val="28"/>
          <w:szCs w:val="28"/>
          <w:highlight w:val="none"/>
        </w:rPr>
      </w:pPr>
      <w:r>
        <w:rPr>
          <w:rFonts w:hint="eastAsia" w:ascii="宋体" w:hAnsi="宋体"/>
          <w:color w:val="auto"/>
          <w:sz w:val="28"/>
          <w:szCs w:val="28"/>
          <w:highlight w:val="none"/>
        </w:rPr>
        <w:t>以上企业，不属于大企业的分支机构，不存在控股股东 为大企业的情形，也不存在与大企业的负责人为同一人的情形。</w:t>
      </w:r>
    </w:p>
    <w:p>
      <w:pPr>
        <w:spacing w:line="480" w:lineRule="exact"/>
        <w:ind w:firstLine="561"/>
        <w:rPr>
          <w:rFonts w:hint="eastAsia"/>
          <w:color w:val="auto"/>
          <w:szCs w:val="24"/>
          <w:highlight w:val="none"/>
        </w:rPr>
      </w:pPr>
      <w:r>
        <w:rPr>
          <w:rFonts w:hint="eastAsia" w:ascii="宋体" w:hAnsi="宋体"/>
          <w:color w:val="auto"/>
          <w:sz w:val="28"/>
          <w:szCs w:val="28"/>
          <w:highlight w:val="none"/>
        </w:rPr>
        <w:t>本企业对上述声明内容的真实性负责。如有虚假，将依法承担相应责任。</w:t>
      </w:r>
    </w:p>
    <w:p>
      <w:pPr>
        <w:pStyle w:val="281"/>
        <w:ind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 xml:space="preserve">  </w:t>
      </w:r>
      <w:r>
        <w:rPr>
          <w:rFonts w:hint="eastAsia" w:hAnsi="宋体" w:eastAsia="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p>
    <w:p>
      <w:pPr>
        <w:pStyle w:val="129"/>
        <w:ind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日      期：</w:t>
      </w:r>
      <w:r>
        <w:rPr>
          <w:rFonts w:hint="eastAsia" w:ascii="宋体" w:hAnsi="宋体" w:eastAsia="宋体" w:cs="宋体"/>
          <w:color w:val="auto"/>
          <w:kern w:val="2"/>
          <w:sz w:val="28"/>
          <w:szCs w:val="22"/>
          <w:highlight w:val="none"/>
          <w:u w:val="single"/>
          <w:lang w:val="zh-CN" w:eastAsia="zh-CN" w:bidi="ar-SA"/>
        </w:rPr>
        <w:t>　　年　　月　　日</w:t>
      </w:r>
    </w:p>
    <w:p>
      <w:pPr>
        <w:pStyle w:val="155"/>
        <w:spacing w:after="200"/>
        <w:rPr>
          <w:rFonts w:hint="eastAsia"/>
          <w:b/>
          <w:bCs/>
          <w:color w:val="auto"/>
          <w:sz w:val="24"/>
          <w:szCs w:val="24"/>
          <w:highlight w:val="none"/>
        </w:rPr>
      </w:pPr>
      <w:r>
        <w:rPr>
          <w:rFonts w:hint="eastAsia"/>
          <w:b/>
          <w:bCs/>
          <w:color w:val="auto"/>
          <w:sz w:val="24"/>
          <w:szCs w:val="24"/>
          <w:highlight w:val="none"/>
        </w:rPr>
        <w:t>说明：1. 如未提供中小企业声明函的</w:t>
      </w:r>
      <w:r>
        <w:rPr>
          <w:rFonts w:hint="eastAsia"/>
          <w:b/>
          <w:bCs/>
          <w:color w:val="auto"/>
          <w:sz w:val="24"/>
          <w:szCs w:val="24"/>
          <w:highlight w:val="none"/>
          <w:lang w:eastAsia="zh-CN"/>
        </w:rPr>
        <w:t>，</w:t>
      </w:r>
      <w:r>
        <w:rPr>
          <w:rFonts w:hint="eastAsia"/>
          <w:b/>
          <w:bCs/>
          <w:color w:val="auto"/>
          <w:sz w:val="24"/>
          <w:szCs w:val="24"/>
          <w:highlight w:val="none"/>
        </w:rPr>
        <w:t>不能享受</w:t>
      </w:r>
      <w:r>
        <w:rPr>
          <w:rFonts w:hint="eastAsia"/>
          <w:b/>
          <w:bCs/>
          <w:color w:val="auto"/>
          <w:sz w:val="24"/>
          <w:szCs w:val="24"/>
          <w:highlight w:val="none"/>
          <w:lang w:eastAsia="zh-CN"/>
        </w:rPr>
        <w:t>磋商</w:t>
      </w:r>
      <w:r>
        <w:rPr>
          <w:rFonts w:hint="eastAsia"/>
          <w:b/>
          <w:bCs/>
          <w:color w:val="auto"/>
          <w:sz w:val="24"/>
          <w:szCs w:val="24"/>
          <w:highlight w:val="none"/>
        </w:rPr>
        <w:t>文件规定的价格扣除，但不影响供应商响应文件的有效性;</w:t>
      </w:r>
    </w:p>
    <w:p>
      <w:pPr>
        <w:pStyle w:val="155"/>
        <w:numPr>
          <w:ilvl w:val="0"/>
          <w:numId w:val="11"/>
        </w:numPr>
        <w:spacing w:after="200"/>
        <w:ind w:firstLine="482" w:firstLineChars="200"/>
        <w:rPr>
          <w:rFonts w:hint="eastAsia"/>
          <w:color w:val="auto"/>
          <w:sz w:val="24"/>
          <w:szCs w:val="24"/>
          <w:highlight w:val="none"/>
        </w:rPr>
      </w:pPr>
      <w:r>
        <w:rPr>
          <w:rFonts w:hint="eastAsia"/>
          <w:b/>
          <w:bCs/>
          <w:color w:val="auto"/>
          <w:sz w:val="24"/>
          <w:szCs w:val="24"/>
          <w:highlight w:val="none"/>
        </w:rPr>
        <w:t>从业人员、营业收入、资产总额填报上一年度数据，无上一年度数据的新成立企业可不填报</w:t>
      </w:r>
      <w:r>
        <w:rPr>
          <w:rFonts w:hint="eastAsia"/>
          <w:color w:val="auto"/>
          <w:sz w:val="24"/>
          <w:szCs w:val="24"/>
          <w:highlight w:val="none"/>
        </w:rPr>
        <w:t>。</w:t>
      </w:r>
    </w:p>
    <w:p>
      <w:pPr>
        <w:pStyle w:val="155"/>
        <w:numPr>
          <w:ilvl w:val="0"/>
          <w:numId w:val="0"/>
        </w:numPr>
        <w:spacing w:after="200"/>
        <w:rPr>
          <w:rFonts w:hint="eastAsia"/>
          <w:color w:val="auto"/>
          <w:sz w:val="24"/>
          <w:szCs w:val="24"/>
          <w:highlight w:val="none"/>
          <w:lang w:eastAsia="zh-CN"/>
        </w:rPr>
      </w:pPr>
    </w:p>
    <w:p>
      <w:pPr>
        <w:pStyle w:val="155"/>
        <w:numPr>
          <w:ilvl w:val="0"/>
          <w:numId w:val="0"/>
        </w:numPr>
        <w:spacing w:after="200"/>
        <w:rPr>
          <w:rFonts w:hint="eastAsia"/>
          <w:color w:val="auto"/>
          <w:sz w:val="24"/>
          <w:szCs w:val="24"/>
          <w:highlight w:val="none"/>
          <w:lang w:eastAsia="zh-CN"/>
        </w:rPr>
      </w:pPr>
    </w:p>
    <w:p>
      <w:pPr>
        <w:pStyle w:val="316"/>
        <w:outlineLvl w:val="1"/>
        <w:rPr>
          <w:rFonts w:hint="eastAsia" w:ascii="宋体" w:hAnsi="宋体" w:eastAsia="宋体" w:cs="宋体"/>
          <w:color w:val="000000"/>
        </w:rPr>
      </w:pPr>
      <w:bookmarkStart w:id="156" w:name="_Toc21086"/>
      <w:r>
        <w:rPr>
          <w:rFonts w:hint="eastAsia" w:ascii="宋体" w:hAnsi="宋体" w:eastAsia="宋体" w:cs="宋体"/>
          <w:color w:val="000000"/>
        </w:rPr>
        <w:t>3.</w:t>
      </w:r>
      <w:r>
        <w:rPr>
          <w:rFonts w:hint="eastAsia" w:ascii="宋体" w:hAnsi="宋体" w:eastAsia="宋体" w:cs="宋体"/>
          <w:color w:val="000000"/>
          <w:lang w:val="en-US" w:eastAsia="zh-CN"/>
        </w:rPr>
        <w:t>2.5</w:t>
      </w:r>
      <w:r>
        <w:rPr>
          <w:rFonts w:hint="eastAsia" w:ascii="宋体" w:hAnsi="宋体" w:eastAsia="宋体" w:cs="宋体"/>
          <w:color w:val="000000"/>
        </w:rPr>
        <w:t>残疾人福利性单位声明函</w:t>
      </w:r>
      <w:bookmarkEnd w:id="154"/>
      <w:bookmarkEnd w:id="155"/>
      <w:bookmarkEnd w:id="156"/>
    </w:p>
    <w:p>
      <w:pPr>
        <w:pStyle w:val="316"/>
        <w:outlineLvl w:val="1"/>
        <w:rPr>
          <w:rFonts w:hint="eastAsia" w:ascii="宋体" w:hAnsi="宋体" w:eastAsia="宋体" w:cs="宋体"/>
          <w:color w:val="000000"/>
        </w:rPr>
      </w:pPr>
    </w:p>
    <w:p>
      <w:pPr>
        <w:spacing w:line="588" w:lineRule="exact"/>
        <w:ind w:firstLine="562" w:firstLineChars="200"/>
        <w:jc w:val="center"/>
        <w:rPr>
          <w:b/>
          <w:color w:val="auto"/>
          <w:sz w:val="28"/>
          <w:szCs w:val="28"/>
          <w:highlight w:val="none"/>
        </w:rPr>
      </w:pPr>
      <w:r>
        <w:rPr>
          <w:rFonts w:hint="eastAsia"/>
          <w:b/>
          <w:color w:val="auto"/>
          <w:sz w:val="28"/>
          <w:szCs w:val="28"/>
          <w:highlight w:val="none"/>
        </w:rPr>
        <w:t>残疾人福利性单位声明函</w:t>
      </w:r>
    </w:p>
    <w:p>
      <w:pPr>
        <w:spacing w:line="588" w:lineRule="exact"/>
        <w:ind w:firstLine="584" w:firstLineChars="200"/>
        <w:rPr>
          <w:rFonts w:ascii="宋体" w:hAnsi="宋体"/>
          <w:color w:val="auto"/>
          <w:spacing w:val="6"/>
          <w:sz w:val="28"/>
          <w:szCs w:val="28"/>
          <w:highlight w:val="none"/>
        </w:rPr>
      </w:pPr>
      <w:r>
        <w:rPr>
          <w:rFonts w:hint="eastAsia" w:ascii="宋体" w:hAnsi="宋体"/>
          <w:color w:val="auto"/>
          <w:spacing w:val="6"/>
          <w:sz w:val="28"/>
          <w:szCs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bCs/>
          <w:color w:val="auto"/>
          <w:sz w:val="28"/>
          <w:szCs w:val="28"/>
          <w:highlight w:val="none"/>
          <w:u w:val="single"/>
          <w:lang w:val="en-US" w:eastAsia="zh-CN"/>
        </w:rPr>
        <w:t>xxxx</w:t>
      </w:r>
      <w:r>
        <w:rPr>
          <w:rFonts w:hint="eastAsia" w:ascii="宋体" w:hAnsi="宋体"/>
          <w:color w:val="auto"/>
          <w:spacing w:val="6"/>
          <w:sz w:val="28"/>
          <w:szCs w:val="28"/>
          <w:highlight w:val="none"/>
          <w:u w:val="none"/>
        </w:rPr>
        <w:t>的</w:t>
      </w:r>
      <w:r>
        <w:rPr>
          <w:rFonts w:hint="eastAsia" w:ascii="宋体" w:hAnsi="宋体"/>
          <w:b/>
          <w:bCs/>
          <w:color w:val="auto"/>
          <w:sz w:val="28"/>
          <w:szCs w:val="28"/>
          <w:highlight w:val="none"/>
          <w:u w:val="single"/>
          <w:lang w:val="en-US" w:eastAsia="zh-CN"/>
        </w:rPr>
        <w:t>xxxxx</w:t>
      </w:r>
      <w:r>
        <w:rPr>
          <w:rFonts w:hint="eastAsia" w:ascii="宋体" w:hAnsi="宋体"/>
          <w:color w:val="auto"/>
          <w:spacing w:val="6"/>
          <w:sz w:val="28"/>
          <w:szCs w:val="28"/>
          <w:highlight w:val="none"/>
        </w:rPr>
        <w:t>采购活动提供本单位制造的货物，或者提供其他残疾人福利性单位制造的货物（不包括使用非残疾人福利性单位注册商标的货物）。</w:t>
      </w:r>
    </w:p>
    <w:p>
      <w:pPr>
        <w:spacing w:line="588" w:lineRule="exact"/>
        <w:ind w:firstLine="584" w:firstLineChars="200"/>
        <w:rPr>
          <w:rFonts w:ascii="宋体" w:hAnsi="宋体"/>
          <w:color w:val="auto"/>
          <w:spacing w:val="6"/>
          <w:sz w:val="28"/>
          <w:szCs w:val="28"/>
          <w:highlight w:val="none"/>
        </w:rPr>
      </w:pPr>
      <w:r>
        <w:rPr>
          <w:rFonts w:hint="eastAsia" w:ascii="宋体" w:hAnsi="宋体"/>
          <w:color w:val="auto"/>
          <w:spacing w:val="6"/>
          <w:sz w:val="28"/>
          <w:szCs w:val="28"/>
          <w:highlight w:val="none"/>
        </w:rPr>
        <w:t>本单位对上述声明的真实性负责。如有虚假，将依法承担相应责任。</w:t>
      </w:r>
    </w:p>
    <w:p>
      <w:pPr>
        <w:spacing w:line="588" w:lineRule="exact"/>
        <w:ind w:firstLine="584" w:firstLineChars="200"/>
        <w:rPr>
          <w:rFonts w:ascii="宋体" w:hAnsi="宋体"/>
          <w:color w:val="auto"/>
          <w:spacing w:val="6"/>
          <w:sz w:val="28"/>
          <w:szCs w:val="28"/>
          <w:highlight w:val="none"/>
        </w:rPr>
      </w:pPr>
    </w:p>
    <w:p>
      <w:pPr>
        <w:spacing w:line="588" w:lineRule="exact"/>
        <w:ind w:firstLine="584" w:firstLineChars="200"/>
        <w:rPr>
          <w:rFonts w:ascii="宋体" w:hAnsi="宋体"/>
          <w:color w:val="auto"/>
          <w:spacing w:val="6"/>
          <w:sz w:val="28"/>
          <w:szCs w:val="28"/>
          <w:highlight w:val="none"/>
        </w:rPr>
      </w:pPr>
    </w:p>
    <w:p>
      <w:pPr>
        <w:spacing w:line="588" w:lineRule="exact"/>
        <w:jc w:val="right"/>
        <w:rPr>
          <w:rFonts w:ascii="宋体" w:hAnsi="宋体"/>
          <w:color w:val="auto"/>
          <w:spacing w:val="6"/>
          <w:sz w:val="28"/>
          <w:szCs w:val="28"/>
          <w:highlight w:val="none"/>
        </w:rPr>
      </w:pPr>
    </w:p>
    <w:p>
      <w:pPr>
        <w:rPr>
          <w:color w:val="auto"/>
          <w:highlight w:val="none"/>
        </w:rPr>
      </w:pPr>
    </w:p>
    <w:p>
      <w:pPr>
        <w:rPr>
          <w:color w:val="auto"/>
          <w:highlight w:val="none"/>
        </w:rPr>
      </w:pPr>
    </w:p>
    <w:p>
      <w:pPr>
        <w:pStyle w:val="373"/>
        <w:ind w:left="0" w:leftChars="0" w:right="63" w:firstLine="0" w:firstLineChars="0"/>
        <w:jc w:val="both"/>
        <w:rPr>
          <w:rFonts w:ascii="仿宋_GB2312" w:eastAsia="仿宋_GB2312"/>
          <w:color w:val="auto"/>
          <w:spacing w:val="6"/>
          <w:sz w:val="30"/>
          <w:szCs w:val="30"/>
          <w:highlight w:val="none"/>
        </w:rPr>
      </w:pPr>
    </w:p>
    <w:p>
      <w:pPr>
        <w:pStyle w:val="281"/>
        <w:ind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 xml:space="preserve">  </w:t>
      </w:r>
      <w:r>
        <w:rPr>
          <w:rFonts w:hint="eastAsia" w:hAnsi="宋体" w:eastAsia="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p>
    <w:p>
      <w:pPr>
        <w:pStyle w:val="129"/>
        <w:ind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日      期：</w:t>
      </w:r>
      <w:r>
        <w:rPr>
          <w:rFonts w:hint="eastAsia" w:ascii="宋体" w:hAnsi="宋体" w:eastAsia="宋体" w:cs="宋体"/>
          <w:color w:val="auto"/>
          <w:kern w:val="2"/>
          <w:sz w:val="28"/>
          <w:szCs w:val="22"/>
          <w:highlight w:val="none"/>
          <w:u w:val="single"/>
          <w:lang w:val="zh-CN" w:eastAsia="zh-CN" w:bidi="ar-SA"/>
        </w:rPr>
        <w:t>　　年　　月　　日</w:t>
      </w:r>
    </w:p>
    <w:p>
      <w:pPr>
        <w:pStyle w:val="144"/>
        <w:spacing w:after="200" w:line="440" w:lineRule="exact"/>
        <w:ind w:firstLine="586" w:firstLineChars="200"/>
        <w:rPr>
          <w:rFonts w:ascii="宋体" w:hAnsi="宋体"/>
          <w:b/>
          <w:color w:val="auto"/>
          <w:spacing w:val="6"/>
          <w:sz w:val="28"/>
          <w:szCs w:val="28"/>
          <w:highlight w:val="none"/>
        </w:rPr>
      </w:pPr>
    </w:p>
    <w:p>
      <w:pPr>
        <w:spacing w:line="588" w:lineRule="exact"/>
        <w:ind w:firstLine="563"/>
        <w:rPr>
          <w:rFonts w:ascii="宋体" w:hAnsi="宋体"/>
          <w:b/>
          <w:color w:val="auto"/>
          <w:sz w:val="28"/>
          <w:szCs w:val="28"/>
          <w:highlight w:val="none"/>
        </w:rPr>
      </w:pPr>
      <w:r>
        <w:rPr>
          <w:rFonts w:hint="eastAsia" w:ascii="宋体" w:hAnsi="宋体"/>
          <w:b/>
          <w:color w:val="auto"/>
          <w:sz w:val="28"/>
          <w:szCs w:val="28"/>
          <w:highlight w:val="none"/>
        </w:rPr>
        <w:t>说明</w:t>
      </w:r>
      <w:r>
        <w:rPr>
          <w:rFonts w:ascii="宋体" w:hAnsi="宋体"/>
          <w:b/>
          <w:color w:val="auto"/>
          <w:sz w:val="28"/>
          <w:szCs w:val="28"/>
          <w:highlight w:val="none"/>
        </w:rPr>
        <w:t>：</w:t>
      </w:r>
      <w:r>
        <w:rPr>
          <w:rFonts w:hint="eastAsia" w:ascii="宋体" w:hAnsi="宋体"/>
          <w:b/>
          <w:color w:val="auto"/>
          <w:sz w:val="28"/>
          <w:szCs w:val="28"/>
          <w:highlight w:val="none"/>
        </w:rPr>
        <w:t>如未提供残疾人福利性单位声明函的，不能享受</w:t>
      </w:r>
      <w:r>
        <w:rPr>
          <w:rFonts w:hint="eastAsia" w:ascii="宋体" w:hAnsi="宋体"/>
          <w:b/>
          <w:color w:val="auto"/>
          <w:sz w:val="28"/>
          <w:szCs w:val="28"/>
          <w:highlight w:val="none"/>
          <w:lang w:eastAsia="zh-CN"/>
        </w:rPr>
        <w:t>磋商</w:t>
      </w:r>
      <w:r>
        <w:rPr>
          <w:rFonts w:hint="eastAsia" w:ascii="宋体" w:hAnsi="宋体"/>
          <w:b/>
          <w:color w:val="auto"/>
          <w:sz w:val="28"/>
          <w:szCs w:val="28"/>
          <w:highlight w:val="none"/>
        </w:rPr>
        <w:t>文件规定的价格扣除，但不影响</w:t>
      </w:r>
      <w:r>
        <w:rPr>
          <w:rFonts w:hint="eastAsia" w:ascii="宋体" w:hAnsi="宋体"/>
          <w:b/>
          <w:color w:val="auto"/>
          <w:sz w:val="28"/>
          <w:szCs w:val="28"/>
          <w:highlight w:val="none"/>
          <w:lang w:eastAsia="zh-CN"/>
        </w:rPr>
        <w:t>供应商响应</w:t>
      </w:r>
      <w:r>
        <w:rPr>
          <w:rFonts w:hint="eastAsia" w:ascii="宋体" w:hAnsi="宋体"/>
          <w:b/>
          <w:color w:val="auto"/>
          <w:sz w:val="28"/>
          <w:szCs w:val="28"/>
          <w:highlight w:val="none"/>
        </w:rPr>
        <w:t>文件的有效性。</w:t>
      </w:r>
    </w:p>
    <w:p>
      <w:pPr>
        <w:widowControl/>
        <w:jc w:val="left"/>
        <w:rPr>
          <w:rFonts w:hint="eastAsia"/>
          <w:b/>
          <w:color w:val="000000"/>
          <w:kern w:val="0"/>
          <w:sz w:val="32"/>
          <w:szCs w:val="24"/>
        </w:rPr>
      </w:pPr>
    </w:p>
    <w:p>
      <w:pPr>
        <w:pStyle w:val="2"/>
        <w:rPr>
          <w:rFonts w:hint="eastAsia"/>
          <w:b/>
          <w:color w:val="000000"/>
          <w:kern w:val="0"/>
          <w:sz w:val="32"/>
          <w:szCs w:val="24"/>
        </w:rPr>
      </w:pPr>
    </w:p>
    <w:p>
      <w:pPr>
        <w:rPr>
          <w:rFonts w:hint="eastAsia"/>
          <w:b/>
          <w:color w:val="000000"/>
          <w:kern w:val="0"/>
          <w:sz w:val="32"/>
          <w:szCs w:val="24"/>
        </w:rPr>
      </w:pPr>
    </w:p>
    <w:p>
      <w:pPr>
        <w:pStyle w:val="2"/>
        <w:rPr>
          <w:rFonts w:hint="eastAsia"/>
        </w:rPr>
      </w:pPr>
    </w:p>
    <w:p>
      <w:pPr>
        <w:pStyle w:val="2"/>
        <w:rPr>
          <w:rFonts w:hint="eastAsia"/>
        </w:rPr>
      </w:pPr>
    </w:p>
    <w:p>
      <w:pPr>
        <w:pStyle w:val="166"/>
        <w:ind w:left="0" w:leftChars="0" w:firstLine="0" w:firstLineChars="0"/>
        <w:rPr>
          <w:rFonts w:hint="default"/>
          <w:b/>
          <w:color w:val="000000"/>
          <w:kern w:val="0"/>
          <w:sz w:val="32"/>
          <w:szCs w:val="24"/>
          <w:lang w:val="en-US" w:eastAsia="zh-CN"/>
        </w:rPr>
      </w:pPr>
      <w:r>
        <w:rPr>
          <w:rFonts w:hint="eastAsia"/>
          <w:b/>
          <w:color w:val="000000"/>
          <w:kern w:val="0"/>
          <w:sz w:val="32"/>
          <w:szCs w:val="24"/>
        </w:rPr>
        <w:t>3.</w:t>
      </w:r>
      <w:r>
        <w:rPr>
          <w:rFonts w:hint="eastAsia"/>
          <w:b/>
          <w:color w:val="000000"/>
          <w:kern w:val="0"/>
          <w:sz w:val="32"/>
          <w:szCs w:val="24"/>
          <w:lang w:val="en-US" w:eastAsia="zh-CN"/>
        </w:rPr>
        <w:t>2.6所投产品技术性能、技术参数和配置的详细描述</w:t>
      </w:r>
    </w:p>
    <w:p>
      <w:pPr>
        <w:pStyle w:val="166"/>
        <w:ind w:left="638" w:leftChars="304" w:firstLine="0" w:firstLineChars="0"/>
        <w:rPr>
          <w:rFonts w:hint="eastAsia"/>
          <w:b/>
          <w:color w:val="000000"/>
          <w:shd w:val="clear" w:color="auto" w:fill="FFFFFF"/>
        </w:rPr>
      </w:pPr>
    </w:p>
    <w:p>
      <w:pPr>
        <w:pStyle w:val="166"/>
        <w:ind w:left="638" w:leftChars="304" w:firstLine="0" w:firstLineChars="0"/>
        <w:rPr>
          <w:b/>
          <w:color w:val="000000"/>
          <w:spacing w:val="-20"/>
          <w:u w:val="single"/>
          <w:shd w:val="clear" w:color="auto" w:fill="FFFFFF"/>
        </w:rPr>
      </w:pPr>
      <w:r>
        <w:rPr>
          <w:rFonts w:hint="eastAsia"/>
          <w:b/>
          <w:color w:val="000000"/>
          <w:sz w:val="28"/>
          <w:szCs w:val="24"/>
          <w:shd w:val="clear" w:color="auto" w:fill="FFFFFF"/>
        </w:rPr>
        <w:t>项目名称</w:t>
      </w:r>
      <w:r>
        <w:rPr>
          <w:rFonts w:hint="eastAsia"/>
          <w:b/>
          <w:color w:val="000000"/>
          <w:spacing w:val="-20"/>
          <w:sz w:val="28"/>
          <w:szCs w:val="24"/>
          <w:shd w:val="clear" w:color="auto" w:fill="FFFFFF"/>
        </w:rPr>
        <w:t>：</w:t>
      </w:r>
      <w:r>
        <w:rPr>
          <w:rFonts w:hint="eastAsia"/>
          <w:b/>
          <w:color w:val="000000"/>
          <w:u w:val="single"/>
          <w:shd w:val="clear" w:color="auto" w:fill="FFFFFF"/>
        </w:rPr>
        <w:t xml:space="preserve"> </w:t>
      </w:r>
      <w:r>
        <w:rPr>
          <w:rFonts w:hint="eastAsia"/>
          <w:b/>
          <w:color w:val="auto"/>
          <w:sz w:val="28"/>
          <w:highlight w:val="none"/>
          <w:u w:val="single"/>
          <w:lang w:eastAsia="zh-CN"/>
        </w:rPr>
        <w:t>温江中学实验学校数字校园设备采购项目</w:t>
      </w:r>
    </w:p>
    <w:p>
      <w:pPr>
        <w:pStyle w:val="166"/>
        <w:ind w:left="638" w:leftChars="304" w:firstLine="0" w:firstLineChars="0"/>
        <w:rPr>
          <w:rFonts w:hint="eastAsia" w:ascii="宋体" w:hAnsi="宋体"/>
          <w:b/>
          <w:color w:val="000000"/>
          <w:u w:val="single"/>
          <w:shd w:val="clear" w:color="auto" w:fill="FFFFFF"/>
        </w:rPr>
      </w:pPr>
      <w:r>
        <w:rPr>
          <w:rFonts w:hint="eastAsia" w:ascii="宋体" w:hAnsi="宋体"/>
          <w:b/>
          <w:color w:val="000000"/>
          <w:sz w:val="28"/>
          <w:szCs w:val="24"/>
          <w:shd w:val="clear" w:color="auto" w:fill="FFFFFF"/>
        </w:rPr>
        <w:t>项目编号：</w:t>
      </w:r>
      <w:r>
        <w:rPr>
          <w:rFonts w:hint="eastAsia" w:ascii="宋体" w:hAnsi="宋体"/>
          <w:b/>
          <w:color w:val="000000"/>
          <w:sz w:val="28"/>
          <w:szCs w:val="24"/>
          <w:u w:val="single"/>
          <w:shd w:val="clear" w:color="auto" w:fill="FFFFFF"/>
        </w:rPr>
        <w:t>项目编号：</w:t>
      </w:r>
      <w:r>
        <w:rPr>
          <w:rFonts w:hint="eastAsia"/>
          <w:b/>
          <w:color w:val="000000"/>
          <w:sz w:val="28"/>
          <w:szCs w:val="24"/>
          <w:u w:val="single"/>
          <w:shd w:val="clear" w:color="auto" w:fill="FFFFFF"/>
          <w:lang w:eastAsia="zh-CN"/>
        </w:rPr>
        <w:t>温江政采（2021）A0055号</w:t>
      </w:r>
    </w:p>
    <w:p>
      <w:pPr>
        <w:pStyle w:val="122"/>
        <w:spacing w:line="360" w:lineRule="auto"/>
        <w:rPr>
          <w:rFonts w:ascii="宋体" w:hAnsi="宋体"/>
          <w:b/>
          <w:color w:val="000000"/>
          <w:sz w:val="28"/>
          <w:szCs w:val="28"/>
          <w:u w:val="single"/>
          <w:shd w:val="clear" w:color="auto" w:fill="FFFFFF"/>
        </w:rPr>
      </w:pPr>
    </w:p>
    <w:p>
      <w:pPr>
        <w:pStyle w:val="122"/>
        <w:spacing w:line="360" w:lineRule="auto"/>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213"/>
        <w:ind w:firstLine="480"/>
        <w:jc w:val="center"/>
        <w:rPr>
          <w:rFonts w:hint="eastAsia"/>
          <w:color w:val="000000"/>
          <w:sz w:val="28"/>
          <w:szCs w:val="32"/>
          <w:shd w:val="clear" w:color="auto" w:fill="FFFFFF"/>
        </w:rPr>
      </w:pPr>
      <w:r>
        <w:rPr>
          <w:rFonts w:hint="eastAsia"/>
          <w:color w:val="000000"/>
          <w:sz w:val="28"/>
          <w:szCs w:val="32"/>
          <w:shd w:val="clear" w:color="auto" w:fill="FFFFFF"/>
          <w:lang w:val="en-US" w:eastAsia="zh-CN"/>
        </w:rPr>
        <w:t xml:space="preserve">                </w:t>
      </w:r>
      <w:r>
        <w:rPr>
          <w:rFonts w:hint="eastAsia"/>
          <w:color w:val="000000"/>
          <w:sz w:val="28"/>
          <w:szCs w:val="32"/>
          <w:shd w:val="clear" w:color="auto" w:fill="FFFFFF"/>
        </w:rPr>
        <w:t>供应商名称：</w:t>
      </w:r>
      <w:r>
        <w:rPr>
          <w:rFonts w:hint="eastAsia"/>
          <w:color w:val="000000"/>
          <w:sz w:val="28"/>
          <w:szCs w:val="32"/>
          <w:u w:val="single"/>
          <w:shd w:val="clear" w:color="auto" w:fill="FFFFFF"/>
        </w:rPr>
        <w:t xml:space="preserve">              </w:t>
      </w:r>
    </w:p>
    <w:p>
      <w:pPr>
        <w:pStyle w:val="166"/>
        <w:ind w:firstLine="480"/>
        <w:jc w:val="right"/>
        <w:rPr>
          <w:rFonts w:hint="eastAsia"/>
          <w:color w:val="000000"/>
          <w:sz w:val="28"/>
          <w:szCs w:val="24"/>
          <w:shd w:val="clear" w:color="auto" w:fill="FFFFFF"/>
        </w:rPr>
      </w:pPr>
      <w:r>
        <w:rPr>
          <w:rFonts w:hint="eastAsia"/>
          <w:color w:val="000000"/>
          <w:sz w:val="28"/>
          <w:szCs w:val="24"/>
          <w:shd w:val="clear" w:color="auto" w:fill="FFFFFF"/>
        </w:rPr>
        <w:t>日期：</w:t>
      </w:r>
      <w:r>
        <w:rPr>
          <w:rFonts w:hint="eastAsia"/>
          <w:color w:val="000000"/>
          <w:sz w:val="28"/>
          <w:szCs w:val="24"/>
          <w:u w:val="single"/>
          <w:shd w:val="clear" w:color="auto" w:fill="FFFFFF"/>
        </w:rPr>
        <w:t>　　</w:t>
      </w:r>
      <w:r>
        <w:rPr>
          <w:rFonts w:hint="eastAsia"/>
          <w:color w:val="000000"/>
          <w:sz w:val="28"/>
          <w:szCs w:val="24"/>
          <w:shd w:val="clear" w:color="auto" w:fill="FFFFFF"/>
        </w:rPr>
        <w:t>年</w:t>
      </w:r>
      <w:r>
        <w:rPr>
          <w:rFonts w:hint="eastAsia"/>
          <w:color w:val="000000"/>
          <w:sz w:val="28"/>
          <w:szCs w:val="24"/>
          <w:u w:val="single"/>
          <w:shd w:val="clear" w:color="auto" w:fill="FFFFFF"/>
        </w:rPr>
        <w:t>　　</w:t>
      </w:r>
      <w:r>
        <w:rPr>
          <w:rFonts w:hint="eastAsia"/>
          <w:color w:val="000000"/>
          <w:sz w:val="28"/>
          <w:szCs w:val="24"/>
          <w:shd w:val="clear" w:color="auto" w:fill="FFFFFF"/>
        </w:rPr>
        <w:t>月</w:t>
      </w:r>
      <w:r>
        <w:rPr>
          <w:rFonts w:hint="eastAsia"/>
          <w:color w:val="000000"/>
          <w:sz w:val="28"/>
          <w:szCs w:val="24"/>
          <w:u w:val="single"/>
          <w:shd w:val="clear" w:color="auto" w:fill="FFFFFF"/>
        </w:rPr>
        <w:t>　　</w:t>
      </w:r>
      <w:r>
        <w:rPr>
          <w:rFonts w:hint="eastAsia"/>
          <w:color w:val="000000"/>
          <w:sz w:val="28"/>
          <w:szCs w:val="24"/>
          <w:shd w:val="clear" w:color="auto" w:fill="FFFFFF"/>
        </w:rPr>
        <w:t>日</w:t>
      </w:r>
    </w:p>
    <w:p>
      <w:pPr>
        <w:pStyle w:val="108"/>
        <w:spacing w:line="560" w:lineRule="exact"/>
        <w:ind w:firstLine="525"/>
        <w:rPr>
          <w:rFonts w:hint="eastAsia" w:ascii="宋体" w:hAnsi="宋体"/>
          <w:bCs/>
          <w:color w:val="000000"/>
          <w:szCs w:val="21"/>
          <w:shd w:val="clear" w:color="auto" w:fill="FFFFFF"/>
        </w:rPr>
      </w:pPr>
    </w:p>
    <w:p>
      <w:pPr>
        <w:pStyle w:val="107"/>
        <w:rPr>
          <w:rFonts w:hint="eastAsia" w:ascii="宋体" w:hAnsi="宋体"/>
          <w:bCs/>
          <w:color w:val="000000"/>
          <w:szCs w:val="21"/>
          <w:shd w:val="clear" w:color="auto" w:fill="FFFFFF"/>
        </w:rPr>
      </w:pPr>
    </w:p>
    <w:p>
      <w:pPr>
        <w:pStyle w:val="107"/>
        <w:rPr>
          <w:rFonts w:hint="eastAsia" w:ascii="宋体" w:hAnsi="宋体"/>
          <w:bCs/>
          <w:color w:val="000000"/>
          <w:szCs w:val="21"/>
          <w:shd w:val="clear" w:color="auto" w:fill="FFFFFF"/>
        </w:rPr>
      </w:pPr>
    </w:p>
    <w:p>
      <w:pPr>
        <w:pStyle w:val="107"/>
        <w:rPr>
          <w:rFonts w:hint="eastAsia" w:ascii="宋体" w:hAnsi="宋体"/>
          <w:bCs/>
          <w:color w:val="000000"/>
          <w:szCs w:val="21"/>
          <w:shd w:val="clear" w:color="auto" w:fill="FFFFFF"/>
        </w:rPr>
      </w:pPr>
    </w:p>
    <w:p>
      <w:pPr>
        <w:pStyle w:val="107"/>
        <w:rPr>
          <w:rFonts w:hint="eastAsia" w:ascii="宋体" w:hAnsi="宋体"/>
          <w:bCs/>
          <w:color w:val="000000"/>
          <w:szCs w:val="21"/>
          <w:shd w:val="clear" w:color="auto" w:fill="FFFFFF"/>
        </w:rPr>
      </w:pPr>
    </w:p>
    <w:p>
      <w:pPr>
        <w:pStyle w:val="107"/>
        <w:rPr>
          <w:rFonts w:hint="eastAsia" w:ascii="宋体" w:hAnsi="宋体"/>
          <w:bCs/>
          <w:color w:val="000000"/>
          <w:szCs w:val="21"/>
          <w:shd w:val="clear" w:color="auto" w:fill="FFFFFF"/>
        </w:rPr>
      </w:pPr>
    </w:p>
    <w:p>
      <w:pPr>
        <w:pStyle w:val="107"/>
        <w:rPr>
          <w:rFonts w:hint="eastAsia" w:ascii="宋体" w:hAnsi="宋体"/>
          <w:bCs/>
          <w:color w:val="000000"/>
          <w:szCs w:val="21"/>
          <w:shd w:val="clear" w:color="auto" w:fill="FFFFFF"/>
        </w:rPr>
      </w:pPr>
    </w:p>
    <w:p>
      <w:pPr>
        <w:pStyle w:val="107"/>
        <w:rPr>
          <w:rFonts w:hint="eastAsia" w:ascii="宋体" w:hAnsi="宋体"/>
          <w:bCs/>
          <w:color w:val="000000"/>
          <w:szCs w:val="21"/>
          <w:shd w:val="clear" w:color="auto" w:fill="FFFFFF"/>
        </w:rPr>
      </w:pPr>
    </w:p>
    <w:p>
      <w:pPr>
        <w:pStyle w:val="107"/>
        <w:rPr>
          <w:rFonts w:hint="eastAsia" w:ascii="宋体" w:hAnsi="宋体"/>
          <w:bCs/>
          <w:color w:val="000000"/>
          <w:szCs w:val="21"/>
          <w:shd w:val="clear" w:color="auto" w:fill="FFFFFF"/>
        </w:rPr>
      </w:pPr>
    </w:p>
    <w:p>
      <w:pPr>
        <w:pStyle w:val="107"/>
        <w:rPr>
          <w:rFonts w:hint="eastAsia" w:ascii="宋体" w:hAnsi="宋体"/>
          <w:bCs/>
          <w:color w:val="000000"/>
          <w:szCs w:val="21"/>
          <w:shd w:val="clear" w:color="auto" w:fill="FFFFFF"/>
        </w:rPr>
      </w:pPr>
    </w:p>
    <w:p>
      <w:pPr>
        <w:pStyle w:val="278"/>
        <w:outlineLvl w:val="1"/>
        <w:rPr>
          <w:rFonts w:hint="eastAsia" w:ascii="宋体" w:hAnsi="宋体" w:eastAsia="宋体" w:cs="Times New Roman"/>
          <w:b/>
          <w:bCs/>
          <w:color w:val="auto"/>
          <w:kern w:val="2"/>
          <w:sz w:val="24"/>
          <w:szCs w:val="28"/>
          <w:highlight w:val="none"/>
          <w:lang w:val="en-US" w:eastAsia="zh-CN" w:bidi="ar-SA"/>
        </w:rPr>
      </w:pPr>
    </w:p>
    <w:p>
      <w:pPr>
        <w:pStyle w:val="278"/>
        <w:outlineLvl w:val="1"/>
        <w:rPr>
          <w:rFonts w:hint="default" w:ascii="宋体" w:hAnsi="宋体" w:eastAsia="宋体" w:cs="宋体"/>
          <w:b/>
          <w:color w:val="000000"/>
          <w:kern w:val="0"/>
          <w:sz w:val="32"/>
          <w:szCs w:val="24"/>
          <w:lang w:val="en-US" w:eastAsia="zh-CN" w:bidi="ar-SA"/>
        </w:rPr>
      </w:pPr>
      <w:bookmarkStart w:id="157" w:name="_Toc14572"/>
      <w:r>
        <w:rPr>
          <w:rFonts w:hint="eastAsia" w:ascii="宋体" w:hAnsi="宋体" w:eastAsia="宋体" w:cs="宋体"/>
          <w:b/>
          <w:color w:val="000000"/>
          <w:kern w:val="0"/>
          <w:sz w:val="32"/>
          <w:szCs w:val="24"/>
          <w:lang w:val="en-US" w:eastAsia="zh-CN" w:bidi="ar-SA"/>
        </w:rPr>
        <w:t>3.2.7项目实施方案</w:t>
      </w:r>
      <w:bookmarkEnd w:id="157"/>
    </w:p>
    <w:p>
      <w:pPr>
        <w:snapToGrid w:val="0"/>
        <w:spacing w:line="360" w:lineRule="auto"/>
        <w:ind w:right="-624" w:rightChars="-297"/>
        <w:rPr>
          <w:rFonts w:hint="eastAsia" w:ascii="宋体" w:hAnsi="宋体"/>
          <w:b/>
          <w:color w:val="auto"/>
          <w:sz w:val="28"/>
          <w:highlight w:val="none"/>
        </w:rPr>
      </w:pPr>
    </w:p>
    <w:p>
      <w:pPr>
        <w:snapToGrid w:val="0"/>
        <w:spacing w:line="360" w:lineRule="auto"/>
        <w:ind w:left="1405" w:right="-624" w:rightChars="-297" w:hanging="1405" w:hangingChars="500"/>
        <w:rPr>
          <w:rFonts w:hint="eastAsia"/>
          <w:b/>
          <w:color w:val="auto"/>
          <w:sz w:val="28"/>
          <w:highlight w:val="none"/>
          <w:u w:val="none"/>
          <w:lang w:val="en-US" w:eastAsia="zh-CN"/>
        </w:rPr>
      </w:pPr>
      <w:r>
        <w:rPr>
          <w:rFonts w:hint="eastAsia" w:ascii="宋体" w:hAnsi="宋体"/>
          <w:b/>
          <w:color w:val="auto"/>
          <w:sz w:val="28"/>
          <w:highlight w:val="none"/>
        </w:rPr>
        <w:t>项目名称：</w:t>
      </w:r>
      <w:r>
        <w:rPr>
          <w:rFonts w:hint="eastAsia"/>
          <w:b/>
          <w:color w:val="auto"/>
          <w:sz w:val="28"/>
          <w:highlight w:val="none"/>
          <w:u w:val="single"/>
          <w:lang w:eastAsia="zh-CN"/>
        </w:rPr>
        <w:t>温江中学实验学校数字校园设备采购项目</w:t>
      </w:r>
      <w:r>
        <w:rPr>
          <w:rFonts w:hint="eastAsia"/>
          <w:b/>
          <w:color w:val="auto"/>
          <w:sz w:val="28"/>
          <w:highlight w:val="none"/>
          <w:u w:val="none"/>
          <w:lang w:val="en-US" w:eastAsia="zh-CN"/>
        </w:rPr>
        <w:t xml:space="preserve">       </w:t>
      </w:r>
    </w:p>
    <w:p>
      <w:pPr>
        <w:snapToGrid w:val="0"/>
        <w:spacing w:line="360" w:lineRule="auto"/>
        <w:ind w:left="1405" w:right="-624" w:rightChars="-297" w:hanging="1405" w:hangingChars="500"/>
        <w:rPr>
          <w:rFonts w:hint="eastAsia" w:ascii="宋体" w:hAnsi="宋体"/>
          <w:b/>
          <w:color w:val="auto"/>
          <w:sz w:val="28"/>
          <w:highlight w:val="none"/>
          <w:u w:val="single"/>
        </w:rPr>
      </w:pPr>
      <w:r>
        <w:rPr>
          <w:rFonts w:hint="eastAsia" w:ascii="宋体" w:hAnsi="宋体"/>
          <w:b/>
          <w:color w:val="auto"/>
          <w:sz w:val="28"/>
          <w:highlight w:val="none"/>
        </w:rPr>
        <w:t>项目编号：</w:t>
      </w:r>
      <w:r>
        <w:rPr>
          <w:rFonts w:hint="eastAsia" w:ascii="宋体" w:hAnsi="宋体"/>
          <w:b/>
          <w:color w:val="auto"/>
          <w:sz w:val="28"/>
          <w:highlight w:val="none"/>
          <w:u w:val="single"/>
        </w:rPr>
        <w:t>项目编号：</w:t>
      </w:r>
      <w:r>
        <w:rPr>
          <w:rFonts w:hint="eastAsia"/>
          <w:b/>
          <w:color w:val="auto"/>
          <w:sz w:val="28"/>
          <w:highlight w:val="none"/>
          <w:u w:val="single"/>
          <w:lang w:eastAsia="zh-CN"/>
        </w:rPr>
        <w:t>温江政采（2021）A0055号</w:t>
      </w:r>
      <w:r>
        <w:rPr>
          <w:rFonts w:hint="eastAsia" w:ascii="宋体" w:hAnsi="宋体"/>
          <w:b/>
          <w:color w:val="auto"/>
          <w:sz w:val="28"/>
          <w:highlight w:val="none"/>
          <w:u w:val="single"/>
        </w:rPr>
        <w:t xml:space="preserve"> </w:t>
      </w:r>
    </w:p>
    <w:p>
      <w:pPr>
        <w:snapToGrid w:val="0"/>
        <w:spacing w:line="360" w:lineRule="auto"/>
        <w:ind w:right="-624" w:rightChars="-297"/>
        <w:rPr>
          <w:rFonts w:hint="default" w:ascii="宋体" w:hAnsi="宋体" w:eastAsia="宋体" w:cs="Times New Roman"/>
          <w:b/>
          <w:bCs/>
          <w:color w:val="auto"/>
          <w:kern w:val="2"/>
          <w:sz w:val="28"/>
          <w:szCs w:val="28"/>
          <w:highlight w:val="none"/>
          <w:u w:val="single"/>
          <w:lang w:val="en-US" w:eastAsia="zh-CN" w:bidi="ar-SA"/>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81"/>
        <w:ind w:left="0" w:leftChars="0"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 xml:space="preserve">  </w:t>
      </w:r>
      <w:r>
        <w:rPr>
          <w:rFonts w:hint="eastAsia" w:hAnsi="宋体" w:eastAsia="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p>
    <w:p>
      <w:pPr>
        <w:pStyle w:val="129"/>
        <w:ind w:firstLine="4200" w:firstLineChars="1500"/>
        <w:rPr>
          <w:rFonts w:hint="eastAsia" w:ascii="宋体" w:hAnsi="宋体" w:eastAsia="宋体" w:cs="宋体"/>
          <w:color w:val="000000"/>
          <w:lang w:val="en-US" w:eastAsia="zh-CN"/>
        </w:rPr>
      </w:pPr>
      <w:r>
        <w:rPr>
          <w:rFonts w:hint="eastAsia" w:ascii="宋体" w:hAnsi="宋体" w:eastAsia="宋体" w:cs="宋体"/>
          <w:color w:val="auto"/>
          <w:kern w:val="2"/>
          <w:sz w:val="28"/>
          <w:szCs w:val="22"/>
          <w:highlight w:val="none"/>
          <w:u w:val="none"/>
          <w:lang w:val="zh-CN" w:eastAsia="zh-CN" w:bidi="ar-SA"/>
        </w:rPr>
        <w:t>日      期：</w:t>
      </w:r>
      <w:r>
        <w:rPr>
          <w:rFonts w:hint="eastAsia" w:ascii="宋体" w:hAnsi="宋体" w:eastAsia="宋体" w:cs="宋体"/>
          <w:color w:val="auto"/>
          <w:kern w:val="2"/>
          <w:sz w:val="28"/>
          <w:szCs w:val="22"/>
          <w:highlight w:val="none"/>
          <w:u w:val="single"/>
          <w:lang w:val="zh-CN" w:eastAsia="zh-CN" w:bidi="ar-SA"/>
        </w:rPr>
        <w:t>　　年　　月　　日</w:t>
      </w:r>
    </w:p>
    <w:p>
      <w:pPr>
        <w:pStyle w:val="204"/>
        <w:outlineLvl w:val="1"/>
        <w:rPr>
          <w:rFonts w:hint="eastAsia" w:ascii="宋体" w:hAnsi="宋体" w:eastAsia="宋体" w:cs="宋体"/>
          <w:color w:val="000000"/>
          <w:lang w:val="en-US" w:eastAsia="zh-CN"/>
        </w:rPr>
      </w:pPr>
      <w:bookmarkStart w:id="158" w:name="_Toc1601"/>
    </w:p>
    <w:p>
      <w:pPr>
        <w:pStyle w:val="204"/>
        <w:outlineLvl w:val="1"/>
        <w:rPr>
          <w:color w:val="000000"/>
        </w:rPr>
      </w:pPr>
      <w:r>
        <w:rPr>
          <w:rFonts w:hint="eastAsia" w:ascii="宋体" w:hAnsi="宋体" w:eastAsia="宋体" w:cs="宋体"/>
          <w:color w:val="000000"/>
          <w:lang w:val="en-US" w:eastAsia="zh-CN"/>
        </w:rPr>
        <w:t>3.2.8</w:t>
      </w:r>
      <w:bookmarkEnd w:id="158"/>
      <w:r>
        <w:rPr>
          <w:rFonts w:hint="eastAsia" w:ascii="宋体" w:hAnsi="宋体" w:eastAsia="宋体" w:cs="宋体"/>
          <w:b/>
          <w:bCs w:val="0"/>
          <w:color w:val="000000"/>
          <w:kern w:val="0"/>
          <w:sz w:val="32"/>
          <w:szCs w:val="24"/>
          <w:lang w:val="en-US" w:eastAsia="zh-CN" w:bidi="ar-SA"/>
        </w:rPr>
        <w:t>售后服务方案</w:t>
      </w:r>
    </w:p>
    <w:p>
      <w:pPr>
        <w:pStyle w:val="166"/>
        <w:ind w:firstLine="482"/>
        <w:rPr>
          <w:rFonts w:hint="eastAsia"/>
          <w:b/>
          <w:color w:val="000000"/>
          <w:shd w:val="clear" w:color="auto" w:fill="FFFFFF"/>
        </w:rPr>
      </w:pPr>
    </w:p>
    <w:p>
      <w:pPr>
        <w:pStyle w:val="166"/>
        <w:ind w:left="0" w:leftChars="0" w:firstLine="0" w:firstLineChars="0"/>
        <w:rPr>
          <w:rFonts w:hint="eastAsia" w:ascii="宋体" w:hAnsi="宋体"/>
          <w:b/>
          <w:color w:val="auto"/>
          <w:sz w:val="28"/>
          <w:highlight w:val="none"/>
          <w:u w:val="single"/>
        </w:rPr>
      </w:pPr>
      <w:r>
        <w:rPr>
          <w:rFonts w:hint="eastAsia" w:ascii="宋体" w:hAnsi="宋体"/>
          <w:b/>
          <w:color w:val="auto"/>
          <w:sz w:val="28"/>
          <w:highlight w:val="none"/>
          <w:u w:val="none"/>
        </w:rPr>
        <w:t>项目名称：</w:t>
      </w:r>
      <w:r>
        <w:rPr>
          <w:rFonts w:hint="eastAsia" w:ascii="宋体" w:hAnsi="宋体"/>
          <w:b/>
          <w:color w:val="auto"/>
          <w:sz w:val="28"/>
          <w:highlight w:val="none"/>
          <w:u w:val="single"/>
        </w:rPr>
        <w:t xml:space="preserve"> </w:t>
      </w:r>
      <w:r>
        <w:rPr>
          <w:rFonts w:hint="eastAsia"/>
          <w:b/>
          <w:color w:val="auto"/>
          <w:sz w:val="28"/>
          <w:highlight w:val="none"/>
          <w:u w:val="single"/>
          <w:lang w:eastAsia="zh-CN"/>
        </w:rPr>
        <w:t>温江中学实验学校数字校园设备采购项目</w:t>
      </w:r>
      <w:r>
        <w:rPr>
          <w:rFonts w:hint="eastAsia" w:ascii="宋体" w:hAnsi="宋体"/>
          <w:b/>
          <w:color w:val="auto"/>
          <w:sz w:val="28"/>
          <w:highlight w:val="none"/>
          <w:u w:val="none"/>
        </w:rPr>
        <w:t xml:space="preserve">            </w:t>
      </w:r>
      <w:r>
        <w:rPr>
          <w:rFonts w:hint="eastAsia" w:ascii="宋体" w:hAnsi="宋体"/>
          <w:b/>
          <w:color w:val="auto"/>
          <w:sz w:val="28"/>
          <w:highlight w:val="none"/>
          <w:u w:val="single"/>
        </w:rPr>
        <w:t xml:space="preserve">               </w:t>
      </w:r>
    </w:p>
    <w:p>
      <w:pPr>
        <w:pStyle w:val="166"/>
        <w:ind w:left="0" w:leftChars="0" w:firstLine="0" w:firstLineChars="0"/>
        <w:rPr>
          <w:rFonts w:hint="eastAsia" w:ascii="宋体" w:hAnsi="宋体"/>
          <w:b/>
          <w:color w:val="auto"/>
          <w:sz w:val="28"/>
          <w:highlight w:val="none"/>
          <w:u w:val="single"/>
        </w:rPr>
      </w:pPr>
      <w:r>
        <w:rPr>
          <w:rFonts w:hint="eastAsia" w:ascii="宋体" w:hAnsi="宋体"/>
          <w:b/>
          <w:color w:val="auto"/>
          <w:sz w:val="28"/>
          <w:highlight w:val="none"/>
          <w:u w:val="none"/>
        </w:rPr>
        <w:t>项目编号：</w:t>
      </w:r>
      <w:r>
        <w:rPr>
          <w:rFonts w:hint="eastAsia" w:ascii="宋体" w:hAnsi="宋体"/>
          <w:b/>
          <w:color w:val="auto"/>
          <w:sz w:val="28"/>
          <w:highlight w:val="none"/>
          <w:u w:val="single"/>
        </w:rPr>
        <w:t>项目编号：</w:t>
      </w:r>
      <w:r>
        <w:rPr>
          <w:rFonts w:hint="eastAsia"/>
          <w:b/>
          <w:color w:val="auto"/>
          <w:sz w:val="28"/>
          <w:highlight w:val="none"/>
          <w:u w:val="single"/>
          <w:lang w:eastAsia="zh-CN"/>
        </w:rPr>
        <w:t>温江政采（2021）A0055号</w:t>
      </w:r>
      <w:r>
        <w:rPr>
          <w:rFonts w:hint="eastAsia" w:ascii="宋体" w:hAnsi="宋体"/>
          <w:b/>
          <w:color w:val="auto"/>
          <w:sz w:val="28"/>
          <w:highlight w:val="none"/>
          <w:u w:val="single"/>
        </w:rPr>
        <w:t xml:space="preserve"> </w:t>
      </w:r>
    </w:p>
    <w:p>
      <w:pPr>
        <w:pStyle w:val="166"/>
        <w:ind w:left="0" w:leftChars="0" w:firstLine="0" w:firstLineChars="0"/>
        <w:rPr>
          <w:rFonts w:hint="eastAsia" w:ascii="宋体" w:hAnsi="宋体"/>
          <w:b/>
          <w:color w:val="auto"/>
          <w:sz w:val="28"/>
          <w:highlight w:val="none"/>
          <w:u w:val="single"/>
        </w:rPr>
      </w:pPr>
    </w:p>
    <w:p>
      <w:pPr>
        <w:pStyle w:val="122"/>
        <w:spacing w:line="360" w:lineRule="auto"/>
        <w:rPr>
          <w:rFonts w:ascii="宋体" w:hAnsi="宋体"/>
          <w:b/>
          <w:color w:val="000000"/>
          <w:sz w:val="28"/>
          <w:szCs w:val="28"/>
          <w:u w:val="single"/>
          <w:shd w:val="clear" w:color="auto" w:fill="FFFFFF"/>
        </w:rPr>
      </w:pPr>
    </w:p>
    <w:p>
      <w:pPr>
        <w:pStyle w:val="122"/>
        <w:spacing w:line="360" w:lineRule="auto"/>
        <w:rPr>
          <w:rFonts w:hint="eastAsia" w:ascii="宋体" w:hAnsi="宋体"/>
          <w:color w:val="000000"/>
          <w:sz w:val="28"/>
          <w:szCs w:val="28"/>
          <w:u w:val="single"/>
          <w:shd w:val="clear" w:color="auto" w:fill="FFFFFF"/>
        </w:rPr>
      </w:pPr>
    </w:p>
    <w:p>
      <w:pPr>
        <w:pStyle w:val="122"/>
        <w:spacing w:line="360" w:lineRule="auto"/>
        <w:rPr>
          <w:rFonts w:hint="eastAsia" w:ascii="宋体" w:hAnsi="宋体"/>
          <w:color w:val="000000"/>
          <w:sz w:val="28"/>
          <w:szCs w:val="28"/>
          <w:u w:val="single"/>
          <w:shd w:val="clear" w:color="auto" w:fill="FFFFFF"/>
        </w:rPr>
      </w:pPr>
    </w:p>
    <w:p>
      <w:pPr>
        <w:pStyle w:val="122"/>
        <w:spacing w:line="360" w:lineRule="auto"/>
        <w:rPr>
          <w:rFonts w:hint="eastAsia" w:ascii="宋体" w:hAnsi="宋体"/>
          <w:color w:val="000000"/>
          <w:sz w:val="28"/>
          <w:szCs w:val="28"/>
          <w:u w:val="single"/>
          <w:shd w:val="clear" w:color="auto" w:fill="FFFFFF"/>
        </w:rPr>
      </w:pPr>
    </w:p>
    <w:p>
      <w:pPr>
        <w:pStyle w:val="122"/>
        <w:spacing w:line="360" w:lineRule="auto"/>
        <w:rPr>
          <w:rFonts w:hint="eastAsia" w:ascii="宋体" w:hAnsi="宋体"/>
          <w:color w:val="000000"/>
          <w:sz w:val="28"/>
          <w:szCs w:val="28"/>
          <w:u w:val="single"/>
          <w:shd w:val="clear" w:color="auto" w:fill="FFFFFF"/>
        </w:rPr>
      </w:pPr>
    </w:p>
    <w:p>
      <w:pPr>
        <w:pStyle w:val="122"/>
        <w:spacing w:line="360" w:lineRule="auto"/>
        <w:rPr>
          <w:rFonts w:hint="eastAsia" w:ascii="宋体" w:hAnsi="宋体"/>
          <w:color w:val="000000"/>
          <w:sz w:val="28"/>
          <w:szCs w:val="28"/>
          <w:u w:val="single"/>
          <w:shd w:val="clear" w:color="auto" w:fill="FFFFFF"/>
        </w:rPr>
      </w:pPr>
    </w:p>
    <w:p>
      <w:pPr>
        <w:pStyle w:val="122"/>
        <w:spacing w:line="360" w:lineRule="auto"/>
        <w:rPr>
          <w:rFonts w:hint="eastAsia" w:ascii="宋体" w:hAnsi="宋体"/>
          <w:color w:val="000000"/>
          <w:sz w:val="28"/>
          <w:szCs w:val="28"/>
          <w:u w:val="single"/>
          <w:shd w:val="clear" w:color="auto" w:fill="FFFFFF"/>
        </w:rPr>
      </w:pPr>
    </w:p>
    <w:p>
      <w:pPr>
        <w:pStyle w:val="122"/>
        <w:spacing w:line="360" w:lineRule="auto"/>
        <w:rPr>
          <w:rFonts w:hint="eastAsia" w:ascii="宋体" w:hAnsi="宋体"/>
          <w:color w:val="000000"/>
          <w:sz w:val="28"/>
          <w:szCs w:val="28"/>
          <w:u w:val="single"/>
          <w:shd w:val="clear" w:color="auto" w:fill="FFFFFF"/>
        </w:rPr>
      </w:pPr>
    </w:p>
    <w:p>
      <w:pPr>
        <w:pStyle w:val="122"/>
        <w:spacing w:line="360" w:lineRule="auto"/>
        <w:rPr>
          <w:rFonts w:hint="eastAsia" w:ascii="宋体" w:hAnsi="宋体"/>
          <w:color w:val="000000"/>
          <w:sz w:val="28"/>
          <w:szCs w:val="28"/>
          <w:u w:val="single"/>
          <w:shd w:val="clear" w:color="auto" w:fill="FFFFFF"/>
        </w:rPr>
      </w:pPr>
    </w:p>
    <w:p>
      <w:pPr>
        <w:pStyle w:val="122"/>
        <w:spacing w:line="360" w:lineRule="auto"/>
        <w:rPr>
          <w:rFonts w:hint="eastAsia" w:ascii="宋体" w:hAnsi="宋体"/>
          <w:color w:val="000000"/>
          <w:sz w:val="28"/>
          <w:szCs w:val="28"/>
          <w:u w:val="single"/>
          <w:shd w:val="clear" w:color="auto" w:fill="FFFFFF"/>
        </w:rPr>
      </w:pPr>
    </w:p>
    <w:p>
      <w:pPr>
        <w:pStyle w:val="122"/>
        <w:spacing w:line="360" w:lineRule="auto"/>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32"/>
          <w:szCs w:val="32"/>
          <w:u w:val="single"/>
          <w:shd w:val="clear" w:color="auto" w:fill="FFFFFF"/>
        </w:rPr>
      </w:pPr>
    </w:p>
    <w:p>
      <w:pPr>
        <w:pStyle w:val="213"/>
        <w:ind w:firstLine="480"/>
        <w:jc w:val="center"/>
        <w:rPr>
          <w:rFonts w:hint="eastAsia"/>
          <w:color w:val="000000"/>
          <w:sz w:val="28"/>
          <w:szCs w:val="32"/>
          <w:shd w:val="clear" w:color="auto" w:fill="FFFFFF"/>
        </w:rPr>
      </w:pPr>
      <w:r>
        <w:rPr>
          <w:rFonts w:hint="eastAsia"/>
          <w:color w:val="000000"/>
          <w:sz w:val="28"/>
          <w:szCs w:val="32"/>
          <w:shd w:val="clear" w:color="auto" w:fill="FFFFFF"/>
          <w:lang w:val="en-US" w:eastAsia="zh-CN"/>
        </w:rPr>
        <w:t xml:space="preserve">                   </w:t>
      </w:r>
      <w:r>
        <w:rPr>
          <w:rFonts w:hint="eastAsia"/>
          <w:color w:val="000000"/>
          <w:sz w:val="28"/>
          <w:szCs w:val="32"/>
          <w:shd w:val="clear" w:color="auto" w:fill="FFFFFF"/>
        </w:rPr>
        <w:t>供应商名称：</w:t>
      </w:r>
      <w:r>
        <w:rPr>
          <w:rFonts w:hint="eastAsia"/>
          <w:color w:val="000000"/>
          <w:sz w:val="28"/>
          <w:szCs w:val="32"/>
          <w:u w:val="single"/>
          <w:shd w:val="clear" w:color="auto" w:fill="FFFFFF"/>
        </w:rPr>
        <w:t xml:space="preserve">              </w:t>
      </w:r>
    </w:p>
    <w:p>
      <w:pPr>
        <w:pStyle w:val="166"/>
        <w:ind w:firstLine="480"/>
        <w:jc w:val="right"/>
        <w:rPr>
          <w:rFonts w:hint="eastAsia"/>
          <w:color w:val="000000"/>
          <w:sz w:val="28"/>
          <w:szCs w:val="24"/>
          <w:shd w:val="clear" w:color="auto" w:fill="FFFFFF"/>
        </w:rPr>
      </w:pPr>
      <w:r>
        <w:rPr>
          <w:rFonts w:hint="eastAsia"/>
          <w:color w:val="000000"/>
          <w:sz w:val="28"/>
          <w:szCs w:val="24"/>
          <w:shd w:val="clear" w:color="auto" w:fill="FFFFFF"/>
        </w:rPr>
        <w:t>日期：</w:t>
      </w:r>
      <w:r>
        <w:rPr>
          <w:rFonts w:hint="eastAsia"/>
          <w:color w:val="000000"/>
          <w:sz w:val="28"/>
          <w:szCs w:val="24"/>
          <w:u w:val="single"/>
          <w:shd w:val="clear" w:color="auto" w:fill="FFFFFF"/>
        </w:rPr>
        <w:t>　　</w:t>
      </w:r>
      <w:r>
        <w:rPr>
          <w:rFonts w:hint="eastAsia"/>
          <w:color w:val="000000"/>
          <w:sz w:val="28"/>
          <w:szCs w:val="24"/>
          <w:shd w:val="clear" w:color="auto" w:fill="FFFFFF"/>
        </w:rPr>
        <w:t>年</w:t>
      </w:r>
      <w:r>
        <w:rPr>
          <w:rFonts w:hint="eastAsia"/>
          <w:color w:val="000000"/>
          <w:sz w:val="28"/>
          <w:szCs w:val="24"/>
          <w:u w:val="single"/>
          <w:shd w:val="clear" w:color="auto" w:fill="FFFFFF"/>
        </w:rPr>
        <w:t>　　</w:t>
      </w:r>
      <w:r>
        <w:rPr>
          <w:rFonts w:hint="eastAsia"/>
          <w:color w:val="000000"/>
          <w:sz w:val="28"/>
          <w:szCs w:val="24"/>
          <w:shd w:val="clear" w:color="auto" w:fill="FFFFFF"/>
        </w:rPr>
        <w:t>月</w:t>
      </w:r>
      <w:r>
        <w:rPr>
          <w:rFonts w:hint="eastAsia"/>
          <w:color w:val="000000"/>
          <w:sz w:val="28"/>
          <w:szCs w:val="24"/>
          <w:u w:val="single"/>
          <w:shd w:val="clear" w:color="auto" w:fill="FFFFFF"/>
        </w:rPr>
        <w:t>　　</w:t>
      </w:r>
      <w:r>
        <w:rPr>
          <w:rFonts w:hint="eastAsia"/>
          <w:color w:val="000000"/>
          <w:sz w:val="28"/>
          <w:szCs w:val="24"/>
          <w:shd w:val="clear" w:color="auto" w:fill="FFFFFF"/>
        </w:rPr>
        <w:t>日</w:t>
      </w:r>
    </w:p>
    <w:p>
      <w:pPr>
        <w:jc w:val="right"/>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7"/>
        <w:spacing w:line="360" w:lineRule="auto"/>
        <w:ind w:firstLine="0" w:firstLineChars="0"/>
        <w:rPr>
          <w:rFonts w:hint="default" w:ascii="宋体" w:hAnsi="宋体" w:cs="宋体"/>
          <w:b/>
          <w:color w:val="000000"/>
          <w:kern w:val="0"/>
          <w:sz w:val="32"/>
          <w:lang w:val="en-US" w:eastAsia="zh-CN"/>
        </w:rPr>
      </w:pPr>
    </w:p>
    <w:p>
      <w:pPr>
        <w:pStyle w:val="27"/>
        <w:spacing w:line="360" w:lineRule="auto"/>
        <w:ind w:firstLine="0" w:firstLineChars="0"/>
        <w:rPr>
          <w:rFonts w:ascii="宋体" w:hAnsi="宋体" w:cs="宋体"/>
          <w:b/>
          <w:color w:val="000000"/>
          <w:kern w:val="0"/>
          <w:sz w:val="32"/>
        </w:rPr>
      </w:pPr>
      <w:r>
        <w:rPr>
          <w:rFonts w:hint="eastAsia" w:ascii="宋体" w:hAnsi="宋体" w:cs="宋体"/>
          <w:b/>
          <w:color w:val="000000"/>
          <w:kern w:val="0"/>
          <w:sz w:val="32"/>
        </w:rPr>
        <w:t>3.3.</w:t>
      </w:r>
      <w:r>
        <w:rPr>
          <w:rFonts w:hint="eastAsia" w:ascii="宋体" w:hAnsi="宋体" w:cs="宋体"/>
          <w:b/>
          <w:color w:val="000000"/>
          <w:kern w:val="0"/>
          <w:sz w:val="32"/>
          <w:lang w:val="en-US" w:eastAsia="zh-CN"/>
        </w:rPr>
        <w:t xml:space="preserve">9 </w:t>
      </w:r>
      <w:r>
        <w:rPr>
          <w:rFonts w:hint="eastAsia" w:ascii="宋体" w:hAnsi="宋体" w:cs="宋体"/>
          <w:b/>
          <w:color w:val="000000"/>
          <w:kern w:val="0"/>
          <w:sz w:val="32"/>
        </w:rPr>
        <w:t>承诺函</w:t>
      </w:r>
    </w:p>
    <w:p>
      <w:pPr>
        <w:pStyle w:val="290"/>
        <w:ind w:firstLine="0" w:firstLineChars="0"/>
        <w:rPr>
          <w:rFonts w:hint="eastAsia" w:hAnsi="Times New Roman"/>
          <w:color w:val="000000"/>
          <w:sz w:val="28"/>
          <w:szCs w:val="28"/>
          <w:u w:val="none"/>
          <w:shd w:val="clear" w:color="auto" w:fill="FFFFFF"/>
        </w:rPr>
      </w:pPr>
      <w:r>
        <w:rPr>
          <w:rFonts w:hint="eastAsia" w:hAnsi="Times New Roman"/>
          <w:color w:val="000000"/>
          <w:sz w:val="28"/>
          <w:szCs w:val="28"/>
          <w:shd w:val="clear" w:color="auto" w:fill="FFFFFF"/>
        </w:rPr>
        <w:t>项目名称：</w:t>
      </w:r>
      <w:r>
        <w:rPr>
          <w:rFonts w:hint="eastAsia" w:hAnsi="Times New Roman"/>
          <w:color w:val="000000"/>
          <w:sz w:val="28"/>
          <w:szCs w:val="28"/>
          <w:u w:val="single"/>
          <w:shd w:val="clear" w:color="auto" w:fill="FFFFFF"/>
          <w:lang w:eastAsia="zh-CN"/>
        </w:rPr>
        <w:t>温江中学实验学校数字校园设备采购项目</w:t>
      </w:r>
      <w:r>
        <w:rPr>
          <w:rFonts w:hint="eastAsia" w:hAnsi="Times New Roman"/>
          <w:color w:val="000000"/>
          <w:sz w:val="28"/>
          <w:szCs w:val="28"/>
          <w:u w:val="none"/>
          <w:shd w:val="clear" w:color="auto" w:fill="FFFFFF"/>
        </w:rPr>
        <w:t xml:space="preserve">           </w:t>
      </w:r>
    </w:p>
    <w:p>
      <w:pPr>
        <w:pStyle w:val="290"/>
        <w:ind w:firstLine="0" w:firstLineChars="0"/>
        <w:rPr>
          <w:rFonts w:hint="eastAsia" w:hAnsi="Times New Roman"/>
          <w:color w:val="000000"/>
          <w:sz w:val="28"/>
          <w:szCs w:val="28"/>
          <w:shd w:val="clear" w:color="auto" w:fill="FFFFFF"/>
        </w:rPr>
      </w:pPr>
      <w:r>
        <w:rPr>
          <w:rFonts w:hint="eastAsia"/>
          <w:color w:val="000000"/>
          <w:sz w:val="28"/>
          <w:szCs w:val="28"/>
          <w:shd w:val="clear" w:color="auto" w:fill="FFFFFF"/>
        </w:rPr>
        <w:t>项目</w:t>
      </w:r>
      <w:r>
        <w:rPr>
          <w:rFonts w:hint="eastAsia" w:hAnsi="Times New Roman"/>
          <w:color w:val="000000"/>
          <w:sz w:val="28"/>
          <w:szCs w:val="28"/>
          <w:shd w:val="clear" w:color="auto" w:fill="FFFFFF"/>
        </w:rPr>
        <w:t>编号：</w:t>
      </w:r>
      <w:r>
        <w:rPr>
          <w:rFonts w:hint="eastAsia" w:hAnsi="Times New Roman" w:cs="Times New Roman"/>
          <w:b/>
          <w:color w:val="000000"/>
          <w:kern w:val="2"/>
          <w:sz w:val="28"/>
          <w:szCs w:val="28"/>
          <w:u w:val="single"/>
          <w:shd w:val="clear" w:color="auto" w:fill="FFFFFF"/>
          <w:lang w:val="en-US" w:eastAsia="zh-CN" w:bidi="ar-SA"/>
        </w:rPr>
        <w:t>温江政采（2021）A0055号</w:t>
      </w:r>
    </w:p>
    <w:p>
      <w:pPr>
        <w:snapToGrid w:val="0"/>
        <w:spacing w:line="360" w:lineRule="auto"/>
        <w:ind w:firstLine="560" w:firstLineChars="200"/>
        <w:rPr>
          <w:rFonts w:hint="eastAsia"/>
          <w:color w:val="000000"/>
          <w:sz w:val="28"/>
          <w:highlight w:val="yellow"/>
          <w:shd w:val="clear" w:color="auto" w:fill="FFFFFF"/>
        </w:rPr>
      </w:pPr>
    </w:p>
    <w:p>
      <w:pPr>
        <w:snapToGrid w:val="0"/>
        <w:spacing w:line="360" w:lineRule="auto"/>
        <w:ind w:firstLine="560" w:firstLineChars="200"/>
        <w:rPr>
          <w:color w:val="000000"/>
          <w:highlight w:val="none"/>
          <w:shd w:val="clear" w:color="auto" w:fill="FFFFFF"/>
        </w:rPr>
      </w:pPr>
      <w:r>
        <w:rPr>
          <w:rFonts w:hint="eastAsia"/>
          <w:color w:val="000000"/>
          <w:sz w:val="28"/>
          <w:highlight w:val="none"/>
          <w:shd w:val="clear" w:color="auto" w:fill="FFFFFF"/>
        </w:rPr>
        <w:t>我公司作为参加本</w:t>
      </w:r>
      <w:r>
        <w:rPr>
          <w:color w:val="000000"/>
          <w:sz w:val="28"/>
          <w:szCs w:val="28"/>
          <w:highlight w:val="none"/>
          <w:shd w:val="clear" w:color="auto" w:fill="FFFFFF"/>
        </w:rPr>
        <w:t>项目</w:t>
      </w:r>
      <w:r>
        <w:rPr>
          <w:rFonts w:hint="eastAsia"/>
          <w:color w:val="000000"/>
          <w:sz w:val="28"/>
          <w:highlight w:val="none"/>
          <w:shd w:val="clear" w:color="auto" w:fill="FFFFFF"/>
        </w:rPr>
        <w:t>的供应商，在此郑重承诺：</w:t>
      </w:r>
    </w:p>
    <w:p>
      <w:pPr>
        <w:pStyle w:val="161"/>
        <w:numPr>
          <w:ilvl w:val="0"/>
          <w:numId w:val="12"/>
        </w:numPr>
        <w:tabs>
          <w:tab w:val="left" w:pos="1134"/>
        </w:tabs>
        <w:snapToGrid w:val="0"/>
        <w:spacing w:line="360" w:lineRule="auto"/>
        <w:ind w:left="-82" w:firstLine="562" w:firstLineChars="0"/>
        <w:rPr>
          <w:rFonts w:ascii="宋体" w:hAnsi="宋体"/>
          <w:color w:val="000000"/>
          <w:sz w:val="28"/>
          <w:szCs w:val="28"/>
          <w:highlight w:val="none"/>
          <w:shd w:val="clear" w:color="auto" w:fill="FFFFFF"/>
        </w:rPr>
      </w:pPr>
      <w:r>
        <w:rPr>
          <w:rFonts w:hint="eastAsia" w:ascii="宋体" w:hAnsi="宋体"/>
          <w:color w:val="000000"/>
          <w:sz w:val="28"/>
          <w:szCs w:val="28"/>
          <w:highlight w:val="none"/>
          <w:shd w:val="clear" w:color="auto" w:fill="FFFFFF"/>
        </w:rPr>
        <w:t>为本项目提供的所有产品、辅材中</w:t>
      </w:r>
      <w:r>
        <w:rPr>
          <w:rFonts w:ascii="宋体" w:hAnsi="宋体" w:cs="宋体"/>
          <w:color w:val="000000"/>
          <w:sz w:val="28"/>
          <w:szCs w:val="28"/>
          <w:highlight w:val="none"/>
          <w:shd w:val="clear" w:color="auto" w:fill="FFFFFF"/>
        </w:rPr>
        <w:t>属于《国家强制性产品认证目录》范围内产品的，均通过国家强制性产品认证并取得认证证书。</w:t>
      </w:r>
    </w:p>
    <w:p>
      <w:pPr>
        <w:pStyle w:val="161"/>
        <w:numPr>
          <w:ilvl w:val="0"/>
          <w:numId w:val="12"/>
        </w:numPr>
        <w:tabs>
          <w:tab w:val="left" w:pos="1134"/>
        </w:tabs>
        <w:snapToGrid w:val="0"/>
        <w:spacing w:line="360" w:lineRule="auto"/>
        <w:ind w:left="-82" w:firstLine="562" w:firstLineChars="0"/>
        <w:rPr>
          <w:rFonts w:ascii="宋体" w:hAnsi="宋体"/>
          <w:b/>
          <w:color w:val="000000"/>
          <w:sz w:val="28"/>
          <w:szCs w:val="28"/>
          <w:highlight w:val="none"/>
          <w:shd w:val="clear" w:color="auto" w:fill="FFFFFF"/>
        </w:rPr>
      </w:pPr>
      <w:r>
        <w:rPr>
          <w:rFonts w:hint="eastAsia"/>
          <w:color w:val="000000"/>
          <w:sz w:val="28"/>
          <w:szCs w:val="28"/>
          <w:highlight w:val="none"/>
          <w:shd w:val="clear" w:color="auto" w:fill="FFFFFF"/>
        </w:rPr>
        <w:t>为本项目提供的所有产品、辅材符合现行的强制性国家相关标准、行业标准。</w:t>
      </w:r>
    </w:p>
    <w:p>
      <w:pPr>
        <w:pStyle w:val="161"/>
        <w:numPr>
          <w:ilvl w:val="0"/>
          <w:numId w:val="12"/>
        </w:numPr>
        <w:tabs>
          <w:tab w:val="left" w:pos="1134"/>
        </w:tabs>
        <w:snapToGrid w:val="0"/>
        <w:spacing w:line="360" w:lineRule="auto"/>
        <w:ind w:left="-82" w:firstLine="562" w:firstLineChars="0"/>
        <w:rPr>
          <w:rFonts w:ascii="宋体" w:hAnsi="宋体"/>
          <w:color w:val="000000"/>
          <w:sz w:val="28"/>
          <w:szCs w:val="28"/>
          <w:highlight w:val="none"/>
          <w:shd w:val="clear" w:color="auto" w:fill="FFFFFF"/>
        </w:rPr>
      </w:pPr>
      <w:r>
        <w:rPr>
          <w:rFonts w:hint="eastAsia" w:ascii="宋体" w:hAnsi="宋体"/>
          <w:color w:val="000000"/>
          <w:sz w:val="28"/>
          <w:szCs w:val="28"/>
          <w:highlight w:val="none"/>
          <w:shd w:val="clear" w:color="auto" w:fill="FFFFFF"/>
          <w:lang w:val="zh-CN"/>
        </w:rPr>
        <w:t>为本项目提供的所有产品中属于节能产品政府采购品目清单中的政府强制采购产品的，均具有国家确定的认证机构出具的有效期内的节能产品认证证书。</w:t>
      </w:r>
    </w:p>
    <w:p>
      <w:pPr>
        <w:pStyle w:val="161"/>
        <w:numPr>
          <w:ilvl w:val="0"/>
          <w:numId w:val="12"/>
        </w:numPr>
        <w:tabs>
          <w:tab w:val="left" w:pos="1134"/>
        </w:tabs>
        <w:snapToGrid w:val="0"/>
        <w:spacing w:line="360" w:lineRule="auto"/>
        <w:ind w:left="-82" w:firstLine="562" w:firstLineChars="0"/>
        <w:rPr>
          <w:rFonts w:hint="eastAsia" w:ascii="宋体" w:hAnsi="宋体" w:eastAsia="宋体" w:cs="宋体"/>
          <w:b/>
          <w:bCs/>
          <w:color w:val="000000"/>
          <w:kern w:val="2"/>
          <w:sz w:val="28"/>
          <w:szCs w:val="28"/>
          <w:highlight w:val="none"/>
          <w:shd w:val="clear" w:color="auto" w:fill="FFFFFF"/>
          <w:lang w:val="en-US" w:eastAsia="zh-CN" w:bidi="ar-SA"/>
        </w:rPr>
      </w:pPr>
      <w:r>
        <w:rPr>
          <w:rFonts w:hint="eastAsia" w:ascii="宋体" w:hAnsi="宋体" w:eastAsia="宋体" w:cs="Times New Roman"/>
          <w:bCs/>
          <w:color w:val="000000"/>
          <w:sz w:val="28"/>
          <w:szCs w:val="28"/>
          <w:highlight w:val="none"/>
          <w:shd w:val="clear" w:color="auto" w:fill="FFFFFF"/>
          <w:lang w:val="zh-CN"/>
        </w:rPr>
        <w:t>为本项目提供的所有产品中属于3C认证产品的，均具有3C产品认证证书，并在中标后签订合同之前提供证书复印件加盖公章。</w:t>
      </w:r>
    </w:p>
    <w:p>
      <w:pPr>
        <w:pStyle w:val="161"/>
        <w:numPr>
          <w:ilvl w:val="0"/>
          <w:numId w:val="12"/>
        </w:numPr>
        <w:tabs>
          <w:tab w:val="left" w:pos="1134"/>
        </w:tabs>
        <w:snapToGrid w:val="0"/>
        <w:spacing w:line="360" w:lineRule="auto"/>
        <w:ind w:left="-82" w:firstLine="562" w:firstLineChars="0"/>
        <w:rPr>
          <w:rFonts w:hint="eastAsia" w:ascii="Times New Roman" w:hAnsi="Times New Roman" w:eastAsia="宋体" w:cs="Times New Roman"/>
          <w:b w:val="0"/>
          <w:bCs w:val="0"/>
          <w:color w:val="000000"/>
          <w:kern w:val="0"/>
          <w:sz w:val="28"/>
          <w:szCs w:val="28"/>
          <w:shd w:val="clear" w:color="auto" w:fill="FFFFFF"/>
          <w:lang w:val="en-US" w:eastAsia="zh-CN"/>
        </w:rPr>
      </w:pPr>
      <w:r>
        <w:rPr>
          <w:rFonts w:hint="eastAsia" w:ascii="宋体" w:hAnsi="宋体" w:eastAsia="宋体" w:cs="宋体"/>
          <w:b w:val="0"/>
          <w:bCs w:val="0"/>
          <w:color w:val="000000"/>
          <w:kern w:val="2"/>
          <w:sz w:val="28"/>
          <w:szCs w:val="28"/>
          <w:highlight w:val="none"/>
          <w:shd w:val="clear" w:color="auto" w:fill="FFFFFF"/>
          <w:lang w:val="en-US" w:eastAsia="zh-CN" w:bidi="ar-SA"/>
        </w:rPr>
        <w:t>售后服务的要求：</w:t>
      </w:r>
      <w:r>
        <w:rPr>
          <w:rFonts w:hint="eastAsia" w:ascii="Times New Roman" w:hAnsi="Times New Roman" w:eastAsia="宋体" w:cs="Times New Roman"/>
          <w:b w:val="0"/>
          <w:bCs w:val="0"/>
          <w:color w:val="000000"/>
          <w:kern w:val="0"/>
          <w:sz w:val="28"/>
          <w:szCs w:val="28"/>
          <w:highlight w:val="none"/>
          <w:shd w:val="clear" w:color="auto" w:fill="FFFFFF"/>
          <w:lang w:val="en-US" w:eastAsia="zh-CN"/>
        </w:rPr>
        <w:t>终验合格后3年为设备质保期，在质保期</w:t>
      </w:r>
      <w:r>
        <w:rPr>
          <w:rFonts w:hint="eastAsia" w:ascii="Times New Roman" w:hAnsi="Times New Roman" w:eastAsia="宋体" w:cs="Times New Roman"/>
          <w:b w:val="0"/>
          <w:bCs w:val="0"/>
          <w:color w:val="000000"/>
          <w:kern w:val="0"/>
          <w:sz w:val="28"/>
          <w:szCs w:val="28"/>
          <w:shd w:val="clear" w:color="auto" w:fill="FFFFFF"/>
          <w:lang w:val="en-US" w:eastAsia="zh-CN"/>
        </w:rPr>
        <w:t>内，我方免费提供产品正常使用情况下的维修、保养服务，并长期提供技术支持、电话咨询服务以及现场技术支持和远程技术服务等。</w:t>
      </w:r>
    </w:p>
    <w:p>
      <w:pPr>
        <w:pStyle w:val="161"/>
        <w:numPr>
          <w:ilvl w:val="0"/>
          <w:numId w:val="0"/>
        </w:numPr>
        <w:tabs>
          <w:tab w:val="left" w:pos="1134"/>
        </w:tabs>
        <w:snapToGrid w:val="0"/>
        <w:spacing w:line="360" w:lineRule="auto"/>
        <w:ind w:left="480" w:leftChars="0"/>
        <w:rPr>
          <w:rFonts w:hint="eastAsia" w:ascii="宋体" w:hAnsi="宋体" w:eastAsia="宋体" w:cs="Times New Roman"/>
          <w:bCs/>
          <w:color w:val="000000"/>
          <w:sz w:val="28"/>
          <w:szCs w:val="28"/>
          <w:highlight w:val="yellow"/>
          <w:shd w:val="clear" w:color="auto" w:fill="FFFFFF"/>
          <w:lang w:val="zh-CN"/>
        </w:rPr>
      </w:pPr>
    </w:p>
    <w:p>
      <w:pPr>
        <w:pStyle w:val="161"/>
        <w:tabs>
          <w:tab w:val="left" w:pos="1134"/>
        </w:tabs>
        <w:snapToGrid w:val="0"/>
        <w:spacing w:line="360" w:lineRule="auto"/>
        <w:ind w:left="480" w:firstLine="0" w:firstLineChars="0"/>
        <w:rPr>
          <w:rFonts w:ascii="宋体" w:hAnsi="宋体" w:eastAsia="宋体" w:cs="Times New Roman"/>
          <w:bCs/>
          <w:color w:val="000000"/>
          <w:sz w:val="28"/>
          <w:szCs w:val="28"/>
          <w:shd w:val="clear" w:color="auto" w:fill="FFFFFF"/>
        </w:rPr>
      </w:pPr>
    </w:p>
    <w:p>
      <w:pPr>
        <w:snapToGrid w:val="0"/>
        <w:spacing w:line="360" w:lineRule="auto"/>
        <w:ind w:firstLine="560" w:firstLineChars="200"/>
        <w:rPr>
          <w:rFonts w:hint="eastAsia"/>
          <w:color w:val="000000"/>
          <w:sz w:val="28"/>
          <w:szCs w:val="28"/>
          <w:shd w:val="clear" w:color="auto" w:fill="FFFFFF"/>
        </w:rPr>
      </w:pPr>
      <w:r>
        <w:rPr>
          <w:rFonts w:hint="eastAsia"/>
          <w:color w:val="000000"/>
          <w:sz w:val="28"/>
          <w:szCs w:val="28"/>
          <w:shd w:val="clear" w:color="auto" w:fill="FFFFFF"/>
        </w:rPr>
        <w:t>特此承诺。</w:t>
      </w:r>
    </w:p>
    <w:p>
      <w:pPr>
        <w:pStyle w:val="2"/>
      </w:pPr>
    </w:p>
    <w:p>
      <w:pPr>
        <w:snapToGrid w:val="0"/>
        <w:spacing w:line="360" w:lineRule="auto"/>
        <w:rPr>
          <w:color w:val="000000"/>
          <w:shd w:val="clear" w:color="auto" w:fill="FFFFFF"/>
        </w:rPr>
      </w:pPr>
    </w:p>
    <w:p>
      <w:pPr>
        <w:pStyle w:val="281"/>
        <w:ind w:firstLine="556" w:firstLineChars="232"/>
        <w:jc w:val="center"/>
        <w:rPr>
          <w:rFonts w:hint="eastAsia"/>
          <w:color w:val="000000"/>
          <w:shd w:val="clear" w:color="auto" w:fill="FFFFFF"/>
          <w:lang w:eastAsia="zh-CN"/>
        </w:rPr>
      </w:pPr>
      <w:r>
        <w:rPr>
          <w:rFonts w:hint="eastAsia"/>
          <w:color w:val="000000"/>
          <w:shd w:val="clear" w:color="auto" w:fill="FFFFFF"/>
          <w:lang w:val="en-US" w:eastAsia="zh-CN"/>
        </w:rPr>
        <w:t xml:space="preserve">                      </w:t>
      </w:r>
      <w:r>
        <w:rPr>
          <w:rFonts w:hint="eastAsia"/>
          <w:color w:val="000000"/>
          <w:shd w:val="clear" w:color="auto" w:fill="FFFFFF"/>
          <w:lang w:eastAsia="zh-CN"/>
        </w:rPr>
        <w:t>供应商</w:t>
      </w:r>
      <w:r>
        <w:rPr>
          <w:rFonts w:hint="eastAsia"/>
          <w:color w:val="000000"/>
          <w:shd w:val="clear" w:color="auto" w:fill="FFFFFF"/>
        </w:rPr>
        <w:t>名称</w:t>
      </w:r>
      <w:r>
        <w:rPr>
          <w:rFonts w:hint="eastAsia"/>
          <w:color w:val="000000"/>
          <w:u w:val="single"/>
          <w:shd w:val="clear" w:color="auto" w:fill="FFFFFF"/>
        </w:rPr>
        <w:t xml:space="preserve">：               </w:t>
      </w:r>
      <w:r>
        <w:rPr>
          <w:rFonts w:hint="eastAsia"/>
          <w:color w:val="000000"/>
          <w:u w:val="single"/>
          <w:shd w:val="clear" w:color="auto" w:fill="FFFFFF"/>
          <w:lang w:val="en-US" w:eastAsia="zh-CN"/>
        </w:rPr>
        <w:t xml:space="preserve"> </w:t>
      </w:r>
    </w:p>
    <w:p>
      <w:pPr>
        <w:pStyle w:val="281"/>
        <w:ind w:firstLine="480"/>
        <w:jc w:val="right"/>
        <w:rPr>
          <w:color w:val="000000"/>
          <w:shd w:val="clear" w:color="auto" w:fill="FFFFFF"/>
        </w:rPr>
      </w:pPr>
      <w:r>
        <w:rPr>
          <w:color w:val="000000"/>
          <w:shd w:val="clear" w:color="auto" w:fill="FFFFFF"/>
        </w:rPr>
        <w:t>日期：</w:t>
      </w:r>
      <w:r>
        <w:rPr>
          <w:color w:val="000000"/>
          <w:u w:val="single"/>
          <w:shd w:val="clear" w:color="auto" w:fill="FFFFFF"/>
        </w:rPr>
        <w:t xml:space="preserve">      </w:t>
      </w:r>
      <w:r>
        <w:rPr>
          <w:color w:val="000000"/>
          <w:shd w:val="clear" w:color="auto" w:fill="FFFFFF"/>
        </w:rPr>
        <w:t>年</w:t>
      </w:r>
      <w:r>
        <w:rPr>
          <w:color w:val="000000"/>
          <w:u w:val="single"/>
          <w:shd w:val="clear" w:color="auto" w:fill="FFFFFF"/>
        </w:rPr>
        <w:t xml:space="preserve">   </w:t>
      </w:r>
      <w:r>
        <w:rPr>
          <w:color w:val="000000"/>
          <w:shd w:val="clear" w:color="auto" w:fill="FFFFFF"/>
        </w:rPr>
        <w:t>月</w:t>
      </w:r>
      <w:r>
        <w:rPr>
          <w:color w:val="000000"/>
          <w:u w:val="single"/>
          <w:shd w:val="clear" w:color="auto" w:fill="FFFFFF"/>
        </w:rPr>
        <w:t xml:space="preserve">   </w:t>
      </w:r>
      <w:r>
        <w:rPr>
          <w:color w:val="000000"/>
          <w:shd w:val="clear" w:color="auto" w:fill="FFFFFF"/>
        </w:rPr>
        <w:t>日</w:t>
      </w:r>
    </w:p>
    <w:p>
      <w:pPr>
        <w:pStyle w:val="129"/>
        <w:keepNext w:val="0"/>
        <w:keepLines w:val="0"/>
        <w:pageBreakBefore w:val="0"/>
        <w:kinsoku/>
        <w:wordWrap/>
        <w:overflowPunct/>
        <w:topLinePunct w:val="0"/>
        <w:autoSpaceDE/>
        <w:autoSpaceDN/>
        <w:bidi w:val="0"/>
        <w:adjustRightInd/>
        <w:spacing w:line="420" w:lineRule="exact"/>
        <w:ind w:left="0" w:leftChars="0" w:firstLine="0" w:firstLineChars="0"/>
        <w:textAlignment w:val="auto"/>
        <w:rPr>
          <w:rFonts w:hint="eastAsia" w:ascii="宋体" w:hAnsi="宋体" w:eastAsia="宋体" w:cs="宋体"/>
          <w:b/>
          <w:color w:val="000000"/>
          <w:kern w:val="0"/>
          <w:sz w:val="32"/>
          <w:szCs w:val="24"/>
          <w:lang w:val="en-US" w:eastAsia="zh-CN" w:bidi="ar-SA"/>
        </w:rPr>
      </w:pPr>
    </w:p>
    <w:p>
      <w:pPr>
        <w:pStyle w:val="129"/>
        <w:keepNext w:val="0"/>
        <w:keepLines w:val="0"/>
        <w:pageBreakBefore w:val="0"/>
        <w:kinsoku/>
        <w:wordWrap/>
        <w:overflowPunct/>
        <w:topLinePunct w:val="0"/>
        <w:autoSpaceDE/>
        <w:autoSpaceDN/>
        <w:bidi w:val="0"/>
        <w:adjustRightInd/>
        <w:spacing w:line="420" w:lineRule="exact"/>
        <w:ind w:left="0" w:leftChars="0" w:firstLine="0" w:firstLineChars="0"/>
        <w:textAlignment w:val="auto"/>
        <w:rPr>
          <w:rFonts w:hint="eastAsia" w:ascii="宋体" w:hAnsi="宋体" w:eastAsia="宋体" w:cs="宋体"/>
          <w:b/>
          <w:color w:val="000000"/>
          <w:kern w:val="0"/>
          <w:sz w:val="32"/>
          <w:szCs w:val="24"/>
          <w:lang w:val="en-US" w:eastAsia="zh-CN" w:bidi="ar-SA"/>
        </w:rPr>
      </w:pPr>
    </w:p>
    <w:p>
      <w:pPr>
        <w:spacing w:line="560" w:lineRule="exact"/>
        <w:jc w:val="both"/>
        <w:rPr>
          <w:rFonts w:hint="eastAsia"/>
          <w:b/>
          <w:bCs/>
          <w:color w:val="000000"/>
          <w:sz w:val="28"/>
          <w:szCs w:val="28"/>
          <w:shd w:val="clear" w:color="auto" w:fill="FFFFFF"/>
        </w:rPr>
      </w:pPr>
    </w:p>
    <w:p>
      <w:pPr>
        <w:spacing w:line="560" w:lineRule="exact"/>
        <w:jc w:val="center"/>
        <w:rPr>
          <w:rFonts w:hint="eastAsia"/>
          <w:color w:val="000000"/>
          <w:sz w:val="28"/>
          <w:szCs w:val="28"/>
          <w:shd w:val="clear" w:color="auto" w:fill="FFFFFF"/>
        </w:rPr>
      </w:pPr>
      <w:r>
        <w:rPr>
          <w:rFonts w:hint="eastAsia"/>
          <w:b/>
          <w:bCs/>
          <w:color w:val="000000"/>
          <w:sz w:val="28"/>
          <w:szCs w:val="28"/>
          <w:shd w:val="clear" w:color="auto" w:fill="FFFFFF"/>
        </w:rPr>
        <w:t>第四章技术、服务要求及其他要求</w:t>
      </w:r>
    </w:p>
    <w:p>
      <w:pPr>
        <w:spacing w:line="560" w:lineRule="exact"/>
        <w:rPr>
          <w:rFonts w:hint="eastAsia"/>
          <w:color w:val="000000"/>
          <w:sz w:val="28"/>
          <w:szCs w:val="28"/>
          <w:shd w:val="clear" w:color="auto" w:fill="FFFFFF"/>
        </w:rPr>
      </w:pPr>
      <w:r>
        <w:rPr>
          <w:rFonts w:hint="eastAsia"/>
          <w:b/>
          <w:bCs/>
          <w:iCs/>
          <w:color w:val="000000"/>
          <w:kern w:val="0"/>
          <w:sz w:val="28"/>
          <w:szCs w:val="28"/>
          <w:shd w:val="clear" w:color="auto" w:fill="FFFFFF"/>
        </w:rPr>
        <w:t>4.1技术、服务要求</w:t>
      </w:r>
    </w:p>
    <w:p>
      <w:pPr>
        <w:pageBreakBefore w:val="0"/>
        <w:widowControl w:val="0"/>
        <w:kinsoku/>
        <w:wordWrap/>
        <w:overflowPunct/>
        <w:topLinePunct w:val="0"/>
        <w:autoSpaceDE/>
        <w:autoSpaceDN/>
        <w:bidi w:val="0"/>
        <w:adjustRightInd/>
        <w:snapToGrid/>
        <w:spacing w:line="560" w:lineRule="exact"/>
        <w:ind w:firstLine="281" w:firstLineChars="100"/>
        <w:textAlignment w:val="auto"/>
        <w:rPr>
          <w:rFonts w:hint="eastAsia"/>
          <w:color w:val="000000"/>
          <w:sz w:val="28"/>
          <w:szCs w:val="28"/>
          <w:shd w:val="clear" w:color="auto" w:fill="FFFFFF"/>
        </w:rPr>
      </w:pPr>
      <w:r>
        <w:rPr>
          <w:rFonts w:hint="eastAsia"/>
          <w:b/>
          <w:bCs/>
          <w:color w:val="000000"/>
          <w:sz w:val="28"/>
          <w:szCs w:val="28"/>
          <w:shd w:val="clear" w:color="auto" w:fill="FFFFFF"/>
        </w:rPr>
        <w:t>4.1.1项目名称</w:t>
      </w:r>
    </w:p>
    <w:p>
      <w:pPr>
        <w:pStyle w:val="2"/>
        <w:pageBreakBefore w:val="0"/>
        <w:widowControl w:val="0"/>
        <w:kinsoku/>
        <w:wordWrap/>
        <w:overflowPunct/>
        <w:topLinePunct w:val="0"/>
        <w:autoSpaceDE/>
        <w:autoSpaceDN/>
        <w:bidi w:val="0"/>
        <w:adjustRightInd/>
        <w:snapToGrid/>
        <w:spacing w:after="0" w:line="560" w:lineRule="exact"/>
        <w:ind w:firstLine="280" w:firstLineChars="100"/>
        <w:textAlignment w:val="auto"/>
        <w:rPr>
          <w:rFonts w:hint="eastAsia"/>
          <w:color w:val="000000"/>
          <w:sz w:val="28"/>
          <w:szCs w:val="28"/>
          <w:shd w:val="clear" w:color="auto" w:fill="FFFFFF"/>
          <w:lang w:eastAsia="zh-CN"/>
        </w:rPr>
      </w:pPr>
      <w:r>
        <w:rPr>
          <w:rFonts w:hint="eastAsia"/>
          <w:color w:val="000000"/>
          <w:sz w:val="28"/>
          <w:szCs w:val="28"/>
          <w:shd w:val="clear" w:color="auto" w:fill="FFFFFF"/>
          <w:lang w:eastAsia="zh-CN"/>
        </w:rPr>
        <w:t>温江中学实验学校数字校园设备采购项目</w:t>
      </w:r>
    </w:p>
    <w:p>
      <w:pPr>
        <w:keepNext/>
        <w:keepLines/>
        <w:pageBreakBefore w:val="0"/>
        <w:widowControl w:val="0"/>
        <w:kinsoku/>
        <w:wordWrap/>
        <w:overflowPunct/>
        <w:topLinePunct w:val="0"/>
        <w:autoSpaceDE/>
        <w:autoSpaceDN/>
        <w:bidi w:val="0"/>
        <w:adjustRightInd/>
        <w:snapToGrid/>
        <w:spacing w:line="560" w:lineRule="exact"/>
        <w:ind w:firstLine="281" w:firstLineChars="100"/>
        <w:jc w:val="left"/>
        <w:textAlignment w:val="auto"/>
        <w:outlineLvl w:val="2"/>
        <w:rPr>
          <w:rFonts w:hint="eastAsia" w:ascii="宋体" w:hAnsi="宋体" w:cs="宋体"/>
          <w:b/>
          <w:bCs/>
          <w:color w:val="000000"/>
          <w:kern w:val="2"/>
          <w:sz w:val="28"/>
          <w:szCs w:val="28"/>
          <w:shd w:val="clear" w:color="auto" w:fill="FFFFFF"/>
        </w:rPr>
      </w:pPr>
      <w:bookmarkStart w:id="159" w:name="_Toc15668"/>
      <w:r>
        <w:rPr>
          <w:rFonts w:hint="eastAsia" w:ascii="宋体" w:hAnsi="宋体" w:cs="宋体"/>
          <w:b/>
          <w:bCs/>
          <w:color w:val="000000"/>
          <w:kern w:val="2"/>
          <w:sz w:val="28"/>
          <w:szCs w:val="28"/>
          <w:shd w:val="clear" w:color="auto" w:fill="FFFFFF"/>
        </w:rPr>
        <w:t>4.1.2技术参数及要求</w:t>
      </w:r>
      <w:bookmarkEnd w:id="159"/>
    </w:p>
    <w:p>
      <w:pPr>
        <w:keepNext/>
        <w:keepLines/>
        <w:pageBreakBefore w:val="0"/>
        <w:widowControl w:val="0"/>
        <w:kinsoku/>
        <w:wordWrap/>
        <w:overflowPunct/>
        <w:topLinePunct w:val="0"/>
        <w:autoSpaceDE/>
        <w:autoSpaceDN/>
        <w:bidi w:val="0"/>
        <w:adjustRightInd/>
        <w:snapToGrid/>
        <w:spacing w:line="560" w:lineRule="exact"/>
        <w:ind w:firstLine="281" w:firstLineChars="100"/>
        <w:jc w:val="left"/>
        <w:textAlignment w:val="auto"/>
        <w:outlineLvl w:val="2"/>
        <w:rPr>
          <w:rFonts w:hint="eastAsia" w:cs="宋体"/>
          <w:b/>
          <w:bCs/>
          <w:color w:val="000000"/>
          <w:kern w:val="2"/>
          <w:sz w:val="28"/>
          <w:szCs w:val="28"/>
          <w:shd w:val="clear" w:color="auto" w:fill="FFFFFF"/>
          <w:lang w:val="en-US" w:eastAsia="zh-CN"/>
        </w:rPr>
      </w:pPr>
      <w:bookmarkStart w:id="160" w:name="_Toc5560"/>
      <w:r>
        <w:rPr>
          <w:rFonts w:hint="eastAsia" w:cs="宋体"/>
          <w:b/>
          <w:bCs/>
          <w:color w:val="000000"/>
          <w:kern w:val="2"/>
          <w:sz w:val="28"/>
          <w:szCs w:val="28"/>
          <w:shd w:val="clear" w:color="auto" w:fill="FFFFFF"/>
          <w:lang w:val="en-US" w:eastAsia="zh-CN"/>
        </w:rPr>
        <w:t>详见附件《温江中学实验学校数字校园设备采购项目技术方案》</w:t>
      </w:r>
      <w:bookmarkEnd w:id="160"/>
    </w:p>
    <w:p>
      <w:pPr>
        <w:keepNext/>
        <w:keepLines/>
        <w:pageBreakBefore w:val="0"/>
        <w:widowControl w:val="0"/>
        <w:kinsoku/>
        <w:wordWrap/>
        <w:overflowPunct/>
        <w:topLinePunct w:val="0"/>
        <w:autoSpaceDE/>
        <w:autoSpaceDN/>
        <w:bidi w:val="0"/>
        <w:adjustRightInd/>
        <w:snapToGrid/>
        <w:spacing w:line="560" w:lineRule="exact"/>
        <w:jc w:val="left"/>
        <w:textAlignment w:val="auto"/>
        <w:outlineLvl w:val="2"/>
        <w:rPr>
          <w:rFonts w:hint="eastAsia"/>
          <w:color w:val="000000"/>
          <w:sz w:val="28"/>
          <w:szCs w:val="28"/>
          <w:shd w:val="clear" w:color="auto" w:fill="FFFFFF"/>
        </w:rPr>
      </w:pPr>
      <w:bookmarkStart w:id="161" w:name="_Toc17795"/>
      <w:r>
        <w:rPr>
          <w:rFonts w:hint="eastAsia"/>
          <w:b/>
          <w:bCs/>
          <w:color w:val="000000"/>
          <w:sz w:val="28"/>
          <w:szCs w:val="28"/>
          <w:shd w:val="clear" w:color="auto" w:fill="FFFFFF"/>
        </w:rPr>
        <w:t>4.2商务要求</w:t>
      </w:r>
      <w:bookmarkEnd w:id="161"/>
      <w:r>
        <w:rPr>
          <w:rFonts w:hint="eastAsia"/>
          <w:color w:val="000000"/>
          <w:sz w:val="28"/>
          <w:szCs w:val="28"/>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81" w:firstLineChars="100"/>
        <w:textAlignment w:val="auto"/>
        <w:rPr>
          <w:rFonts w:hint="eastAsia" w:ascii="宋体" w:hAnsi="宋体" w:eastAsia="宋体" w:cs="宋体"/>
          <w:b/>
          <w:bCs/>
          <w:color w:val="000000"/>
          <w:sz w:val="28"/>
          <w:szCs w:val="28"/>
          <w:shd w:val="clear" w:color="auto" w:fill="FFFFFF"/>
          <w:lang w:val="en-US" w:eastAsia="zh-CN"/>
        </w:rPr>
      </w:pPr>
      <w:r>
        <w:rPr>
          <w:rFonts w:hint="eastAsia" w:ascii="宋体" w:hAnsi="宋体" w:eastAsia="宋体" w:cs="宋体"/>
          <w:b/>
          <w:bCs/>
          <w:color w:val="000000"/>
          <w:sz w:val="28"/>
          <w:szCs w:val="28"/>
          <w:shd w:val="clear" w:color="auto" w:fill="FFFFFF"/>
          <w:lang w:val="en-US" w:eastAsia="zh-CN"/>
        </w:rPr>
        <w:t>4.2.1履约时间、地点及方式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Times New Roman" w:hAnsi="Times New Roman" w:eastAsia="宋体" w:cs="Times New Roman"/>
          <w:color w:val="000000"/>
          <w:kern w:val="0"/>
          <w:sz w:val="28"/>
          <w:szCs w:val="28"/>
          <w:shd w:val="clear" w:color="auto" w:fill="FFFFFF"/>
          <w:lang w:val="en-US" w:eastAsia="zh-CN" w:bidi="ar-SA"/>
        </w:rPr>
      </w:pPr>
      <w:r>
        <w:rPr>
          <w:rFonts w:hint="eastAsia" w:ascii="Times New Roman" w:hAnsi="Times New Roman" w:eastAsia="宋体" w:cs="Times New Roman"/>
          <w:color w:val="000000"/>
          <w:kern w:val="0"/>
          <w:sz w:val="28"/>
          <w:szCs w:val="28"/>
          <w:shd w:val="clear" w:color="auto" w:fill="FFFFFF"/>
          <w:lang w:val="en-US" w:eastAsia="zh-CN" w:bidi="ar-SA"/>
        </w:rPr>
        <w:t>签订合同后30个日历日内按甲方指定的方式送到学校，交付时附详细发货清单和签收单，并按照甲方要求安装、调试好设备，达到正常使用要求。</w:t>
      </w:r>
    </w:p>
    <w:p>
      <w:pPr>
        <w:keepNext w:val="0"/>
        <w:keepLines w:val="0"/>
        <w:pageBreakBefore w:val="0"/>
        <w:widowControl w:val="0"/>
        <w:kinsoku/>
        <w:wordWrap/>
        <w:overflowPunct/>
        <w:topLinePunct w:val="0"/>
        <w:autoSpaceDE/>
        <w:autoSpaceDN/>
        <w:bidi w:val="0"/>
        <w:adjustRightInd/>
        <w:snapToGrid/>
        <w:spacing w:line="560" w:lineRule="exact"/>
        <w:ind w:firstLine="281" w:firstLineChars="100"/>
        <w:textAlignment w:val="auto"/>
        <w:rPr>
          <w:rFonts w:hint="default" w:ascii="宋体" w:hAnsi="宋体" w:eastAsia="宋体" w:cs="宋体"/>
          <w:b/>
          <w:bCs/>
          <w:color w:val="000000"/>
          <w:sz w:val="28"/>
          <w:szCs w:val="28"/>
          <w:shd w:val="clear" w:color="auto" w:fill="FFFFFF"/>
          <w:lang w:val="en-US" w:eastAsia="zh-CN"/>
        </w:rPr>
      </w:pPr>
      <w:r>
        <w:rPr>
          <w:rFonts w:hint="eastAsia" w:ascii="宋体" w:hAnsi="宋体" w:eastAsia="宋体" w:cs="宋体"/>
          <w:b/>
          <w:bCs/>
          <w:color w:val="000000"/>
          <w:sz w:val="28"/>
          <w:szCs w:val="28"/>
          <w:shd w:val="clear" w:color="auto" w:fill="FFFFFF"/>
          <w:lang w:val="en-US" w:eastAsia="zh-CN"/>
        </w:rPr>
        <w:t>4.2.2履约验收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cs="宋体"/>
          <w:b/>
          <w:bCs/>
          <w:color w:val="000000"/>
          <w:kern w:val="2"/>
          <w:sz w:val="28"/>
          <w:szCs w:val="28"/>
          <w:shd w:val="clear" w:color="auto" w:fill="FFFFFF"/>
          <w:lang w:val="en-US" w:eastAsia="zh-CN"/>
        </w:rPr>
      </w:pPr>
      <w:r>
        <w:rPr>
          <w:rFonts w:hint="eastAsia" w:ascii="Times New Roman" w:hAnsi="Times New Roman" w:eastAsia="宋体" w:cs="Times New Roman"/>
          <w:color w:val="000000"/>
          <w:kern w:val="0"/>
          <w:sz w:val="28"/>
          <w:szCs w:val="28"/>
          <w:shd w:val="clear" w:color="auto" w:fill="FFFFFF"/>
          <w:lang w:val="en-US" w:eastAsia="zh-CN" w:bidi="ar-SA"/>
        </w:rPr>
        <w:t>设备安装完成后，对</w:t>
      </w:r>
      <w:r>
        <w:rPr>
          <w:rFonts w:hint="eastAsia" w:ascii="Times New Roman" w:hAnsi="Times New Roman" w:cs="Times New Roman"/>
          <w:color w:val="000000"/>
          <w:kern w:val="0"/>
          <w:sz w:val="28"/>
          <w:szCs w:val="28"/>
          <w:shd w:val="clear" w:color="auto" w:fill="FFFFFF"/>
          <w:lang w:val="en-US" w:eastAsia="zh-CN" w:bidi="ar-SA"/>
        </w:rPr>
        <w:t>甲方</w:t>
      </w:r>
      <w:r>
        <w:rPr>
          <w:rFonts w:hint="eastAsia" w:ascii="Times New Roman" w:hAnsi="Times New Roman" w:eastAsia="宋体" w:cs="Times New Roman"/>
          <w:color w:val="000000"/>
          <w:kern w:val="0"/>
          <w:sz w:val="28"/>
          <w:szCs w:val="28"/>
          <w:shd w:val="clear" w:color="auto" w:fill="FFFFFF"/>
          <w:lang w:val="en-US" w:eastAsia="zh-CN" w:bidi="ar-SA"/>
        </w:rPr>
        <w:t>进行操作培训</w:t>
      </w:r>
      <w:r>
        <w:rPr>
          <w:rFonts w:hint="eastAsia" w:ascii="Times New Roman" w:hAnsi="Times New Roman" w:cs="Times New Roman"/>
          <w:color w:val="000000"/>
          <w:kern w:val="0"/>
          <w:sz w:val="28"/>
          <w:szCs w:val="28"/>
          <w:shd w:val="clear" w:color="auto" w:fill="FFFFFF"/>
          <w:lang w:val="en-US" w:eastAsia="zh-CN" w:bidi="ar-SA"/>
        </w:rPr>
        <w:t>。</w:t>
      </w:r>
      <w:r>
        <w:rPr>
          <w:rFonts w:hint="eastAsia" w:ascii="Times New Roman" w:hAnsi="Times New Roman" w:eastAsia="宋体" w:cs="Times New Roman"/>
          <w:color w:val="000000"/>
          <w:kern w:val="0"/>
          <w:sz w:val="28"/>
          <w:szCs w:val="28"/>
          <w:shd w:val="clear" w:color="auto" w:fill="FFFFFF"/>
          <w:lang w:val="en-US" w:eastAsia="zh-CN" w:bidi="ar-SA"/>
        </w:rPr>
        <w:t>学校初验</w:t>
      </w:r>
      <w:r>
        <w:rPr>
          <w:rFonts w:hint="eastAsia" w:ascii="Times New Roman" w:hAnsi="Times New Roman" w:cs="Times New Roman"/>
          <w:color w:val="000000"/>
          <w:kern w:val="0"/>
          <w:sz w:val="28"/>
          <w:szCs w:val="28"/>
          <w:shd w:val="clear" w:color="auto" w:fill="FFFFFF"/>
          <w:lang w:val="en-US" w:eastAsia="zh-CN" w:bidi="ar-SA"/>
        </w:rPr>
        <w:t>、</w:t>
      </w:r>
      <w:r>
        <w:rPr>
          <w:rFonts w:hint="eastAsia" w:ascii="Times New Roman" w:hAnsi="Times New Roman" w:eastAsia="宋体" w:cs="Times New Roman"/>
          <w:color w:val="000000"/>
          <w:kern w:val="0"/>
          <w:sz w:val="28"/>
          <w:szCs w:val="28"/>
          <w:shd w:val="clear" w:color="auto" w:fill="FFFFFF"/>
          <w:lang w:val="en-US" w:eastAsia="zh-CN" w:bidi="ar-SA"/>
        </w:rPr>
        <w:t>试运行正常，未发现任何问题，</w:t>
      </w:r>
      <w:r>
        <w:rPr>
          <w:rFonts w:hint="eastAsia" w:ascii="Times New Roman" w:hAnsi="Times New Roman" w:cs="Times New Roman"/>
          <w:color w:val="000000"/>
          <w:kern w:val="0"/>
          <w:sz w:val="28"/>
          <w:szCs w:val="28"/>
          <w:shd w:val="clear" w:color="auto" w:fill="FFFFFF"/>
          <w:lang w:val="en-US" w:eastAsia="zh-CN" w:bidi="ar-SA"/>
        </w:rPr>
        <w:t>甲方</w:t>
      </w:r>
      <w:r>
        <w:rPr>
          <w:rFonts w:hint="eastAsia" w:ascii="Times New Roman" w:hAnsi="Times New Roman" w:eastAsia="宋体" w:cs="Times New Roman"/>
          <w:color w:val="000000"/>
          <w:kern w:val="0"/>
          <w:sz w:val="28"/>
          <w:szCs w:val="28"/>
          <w:shd w:val="clear" w:color="auto" w:fill="FFFFFF"/>
          <w:lang w:val="en-US" w:eastAsia="zh-CN" w:bidi="ar-SA"/>
        </w:rPr>
        <w:t>按照《关于进一步加强政府采购需求和履约验收管理的指导意见》（财库〔2016〕205号）的要求进行最终验收</w:t>
      </w:r>
      <w:r>
        <w:rPr>
          <w:rFonts w:hint="eastAsia" w:ascii="Times New Roman" w:hAnsi="Times New Roman" w:cs="Times New Roman"/>
          <w:color w:val="000000"/>
          <w:kern w:val="0"/>
          <w:sz w:val="28"/>
          <w:szCs w:val="28"/>
          <w:shd w:val="clear" w:color="auto" w:fill="FFFFFF"/>
          <w:lang w:val="en-US" w:eastAsia="zh-CN" w:bidi="ar-SA"/>
        </w:rPr>
        <w:t>。</w:t>
      </w:r>
      <w:r>
        <w:rPr>
          <w:rFonts w:hint="eastAsia" w:cs="宋体"/>
          <w:b/>
          <w:bCs/>
          <w:color w:val="000000"/>
          <w:kern w:val="2"/>
          <w:sz w:val="28"/>
          <w:szCs w:val="28"/>
          <w:shd w:val="clear" w:color="auto" w:fill="FFFFFF"/>
          <w:lang w:val="en-US" w:eastAsia="zh-CN"/>
        </w:rPr>
        <w:t>其余详见附件《温江中学实验学校数字校园设备采购项目技术方案》</w:t>
      </w:r>
    </w:p>
    <w:p>
      <w:pPr>
        <w:pStyle w:val="2"/>
        <w:keepNext w:val="0"/>
        <w:keepLines w:val="0"/>
        <w:pageBreakBefore w:val="0"/>
        <w:widowControl w:val="0"/>
        <w:kinsoku/>
        <w:wordWrap/>
        <w:overflowPunct/>
        <w:topLinePunct w:val="0"/>
        <w:autoSpaceDE/>
        <w:autoSpaceDN/>
        <w:bidi w:val="0"/>
        <w:spacing w:after="0" w:line="500" w:lineRule="exact"/>
        <w:textAlignment w:val="auto"/>
        <w:rPr>
          <w:rFonts w:hint="eastAsia" w:ascii="宋体" w:hAnsi="宋体" w:eastAsia="宋体" w:cs="宋体"/>
          <w:b/>
          <w:bCs/>
          <w:color w:val="000000"/>
          <w:kern w:val="2"/>
          <w:sz w:val="28"/>
          <w:szCs w:val="28"/>
          <w:shd w:val="clear" w:color="auto" w:fill="FFFFFF"/>
          <w:lang w:val="en-US" w:eastAsia="zh-CN" w:bidi="ar-SA"/>
        </w:rPr>
      </w:pPr>
      <w:r>
        <w:rPr>
          <w:rFonts w:hint="eastAsia" w:ascii="宋体" w:hAnsi="宋体" w:cs="宋体"/>
          <w:b/>
          <w:bCs/>
          <w:color w:val="000000"/>
          <w:kern w:val="2"/>
          <w:sz w:val="28"/>
          <w:szCs w:val="28"/>
          <w:shd w:val="clear" w:color="auto" w:fill="FFFFFF"/>
          <w:lang w:val="en-US" w:eastAsia="zh-CN" w:bidi="ar-SA"/>
        </w:rPr>
        <w:t>★</w:t>
      </w:r>
      <w:r>
        <w:rPr>
          <w:rFonts w:hint="eastAsia" w:ascii="宋体" w:hAnsi="宋体" w:eastAsia="宋体" w:cs="宋体"/>
          <w:b/>
          <w:bCs/>
          <w:color w:val="000000"/>
          <w:kern w:val="2"/>
          <w:sz w:val="28"/>
          <w:szCs w:val="28"/>
          <w:shd w:val="clear" w:color="auto" w:fill="FFFFFF"/>
          <w:lang w:val="en-US" w:eastAsia="zh-CN" w:bidi="ar-SA"/>
        </w:rPr>
        <w:t>4.2.3售后服务的要求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Times New Roman" w:hAnsi="Times New Roman" w:eastAsia="宋体" w:cs="Times New Roman"/>
          <w:b w:val="0"/>
          <w:bCs w:val="0"/>
          <w:color w:val="000000"/>
          <w:kern w:val="0"/>
          <w:sz w:val="28"/>
          <w:szCs w:val="28"/>
          <w:shd w:val="clear" w:color="auto" w:fill="FFFFFF"/>
          <w:lang w:val="en-US" w:eastAsia="zh-CN"/>
        </w:rPr>
      </w:pPr>
      <w:r>
        <w:rPr>
          <w:rFonts w:hint="eastAsia" w:ascii="Times New Roman" w:hAnsi="Times New Roman" w:eastAsia="宋体" w:cs="Times New Roman"/>
          <w:b w:val="0"/>
          <w:bCs w:val="0"/>
          <w:color w:val="000000"/>
          <w:kern w:val="0"/>
          <w:sz w:val="28"/>
          <w:szCs w:val="28"/>
          <w:shd w:val="clear" w:color="auto" w:fill="FFFFFF"/>
          <w:lang w:val="en-US" w:eastAsia="zh-CN"/>
        </w:rPr>
        <w:t>终验合格后3年为设备质保期，在质保期内，供货商免费提供产品正常使用情况下的维修、保养服务，并长期提供技术支持、电话咨询服务以及现场技术支持和远程技术服务等。</w:t>
      </w:r>
    </w:p>
    <w:p>
      <w:pPr>
        <w:keepNext w:val="0"/>
        <w:keepLines w:val="0"/>
        <w:pageBreakBefore w:val="0"/>
        <w:widowControl w:val="0"/>
        <w:kinsoku/>
        <w:wordWrap/>
        <w:overflowPunct/>
        <w:topLinePunct w:val="0"/>
        <w:autoSpaceDE/>
        <w:autoSpaceDN/>
        <w:bidi w:val="0"/>
        <w:adjustRightInd/>
        <w:snapToGrid/>
        <w:spacing w:line="560" w:lineRule="exact"/>
        <w:ind w:firstLine="281" w:firstLineChars="100"/>
        <w:textAlignment w:val="auto"/>
        <w:rPr>
          <w:rFonts w:hint="eastAsia" w:ascii="宋体" w:hAnsi="宋体" w:eastAsia="宋体" w:cs="宋体"/>
          <w:b/>
          <w:bCs/>
          <w:color w:val="000000"/>
          <w:sz w:val="28"/>
          <w:szCs w:val="28"/>
          <w:shd w:val="clear" w:color="auto" w:fill="FFFFFF"/>
          <w:lang w:val="en-US" w:eastAsia="zh-CN"/>
        </w:rPr>
      </w:pPr>
      <w:r>
        <w:rPr>
          <w:rFonts w:hint="eastAsia" w:ascii="宋体" w:hAnsi="宋体" w:eastAsia="宋体" w:cs="宋体"/>
          <w:b/>
          <w:bCs/>
          <w:color w:val="000000"/>
          <w:sz w:val="28"/>
          <w:szCs w:val="28"/>
          <w:shd w:val="clear" w:color="auto" w:fill="FFFFFF"/>
          <w:lang w:val="en-US" w:eastAsia="zh-CN"/>
        </w:rPr>
        <w:t>4.2.</w:t>
      </w:r>
      <w:r>
        <w:rPr>
          <w:rFonts w:hint="eastAsia" w:cs="宋体"/>
          <w:b/>
          <w:bCs/>
          <w:color w:val="000000"/>
          <w:sz w:val="28"/>
          <w:szCs w:val="28"/>
          <w:shd w:val="clear" w:color="auto" w:fill="FFFFFF"/>
          <w:lang w:val="en-US" w:eastAsia="zh-CN"/>
        </w:rPr>
        <w:t>4</w:t>
      </w:r>
      <w:r>
        <w:rPr>
          <w:rFonts w:hint="eastAsia" w:ascii="宋体" w:hAnsi="宋体" w:eastAsia="宋体" w:cs="宋体"/>
          <w:b/>
          <w:bCs/>
          <w:color w:val="000000"/>
          <w:sz w:val="28"/>
          <w:szCs w:val="28"/>
          <w:shd w:val="clear" w:color="auto" w:fill="FFFFFF"/>
          <w:lang w:val="en-US" w:eastAsia="zh-CN"/>
        </w:rPr>
        <w:t>合同价款支付方式和条件</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rPr>
      </w:pPr>
      <w:r>
        <w:rPr>
          <w:rFonts w:hint="eastAsia" w:ascii="Times New Roman" w:hAnsi="Times New Roman" w:eastAsia="宋体" w:cs="Times New Roman"/>
          <w:color w:val="000000"/>
          <w:kern w:val="0"/>
          <w:sz w:val="28"/>
          <w:szCs w:val="28"/>
          <w:shd w:val="clear" w:color="auto" w:fill="FFFFFF"/>
          <w:lang w:val="en-US" w:eastAsia="zh-CN" w:bidi="ar-SA"/>
        </w:rPr>
        <w:t>合同价款含运输、送货、安装、调试、培训、售后服务等所有费用。合同签订</w:t>
      </w:r>
      <w:r>
        <w:rPr>
          <w:rFonts w:hint="eastAsia" w:ascii="Times New Roman" w:hAnsi="Times New Roman" w:cs="Times New Roman"/>
          <w:color w:val="000000"/>
          <w:kern w:val="0"/>
          <w:sz w:val="28"/>
          <w:szCs w:val="28"/>
          <w:shd w:val="clear" w:color="auto" w:fill="FFFFFF"/>
          <w:lang w:val="en-US" w:eastAsia="zh-CN" w:bidi="ar-SA"/>
        </w:rPr>
        <w:t>并完成</w:t>
      </w:r>
      <w:r>
        <w:rPr>
          <w:rFonts w:hint="eastAsia" w:ascii="Times New Roman" w:hAnsi="Times New Roman" w:eastAsia="宋体" w:cs="Times New Roman"/>
          <w:color w:val="000000"/>
          <w:kern w:val="0"/>
          <w:sz w:val="28"/>
          <w:szCs w:val="28"/>
          <w:shd w:val="clear" w:color="auto" w:fill="FFFFFF"/>
          <w:lang w:val="en-US" w:eastAsia="zh-CN" w:bidi="ar-SA"/>
        </w:rPr>
        <w:t>全部产品送货到校后支付</w:t>
      </w:r>
      <w:r>
        <w:rPr>
          <w:rFonts w:hint="eastAsia" w:ascii="Times New Roman" w:hAnsi="Times New Roman" w:cs="Times New Roman"/>
          <w:color w:val="000000"/>
          <w:kern w:val="0"/>
          <w:sz w:val="28"/>
          <w:szCs w:val="28"/>
          <w:shd w:val="clear" w:color="auto" w:fill="FFFFFF"/>
          <w:lang w:val="en-US" w:eastAsia="zh-CN" w:bidi="ar-SA"/>
        </w:rPr>
        <w:t>首付款</w:t>
      </w:r>
      <w:r>
        <w:rPr>
          <w:rFonts w:hint="eastAsia" w:ascii="Times New Roman" w:hAnsi="Times New Roman" w:eastAsia="宋体" w:cs="Times New Roman"/>
          <w:color w:val="000000"/>
          <w:kern w:val="0"/>
          <w:sz w:val="28"/>
          <w:szCs w:val="28"/>
          <w:shd w:val="clear" w:color="auto" w:fill="FFFFFF"/>
          <w:lang w:val="en-US" w:eastAsia="zh-CN" w:bidi="ar-SA"/>
        </w:rPr>
        <w:t>，安装实施完毕并验收合格后支付剩余尾款，其中：2021年支付50万元，余款2022年支付。</w:t>
      </w:r>
    </w:p>
    <w:p>
      <w:pPr>
        <w:keepNext/>
        <w:keepLines/>
        <w:spacing w:line="560" w:lineRule="exact"/>
        <w:jc w:val="left"/>
        <w:outlineLvl w:val="2"/>
        <w:rPr>
          <w:rFonts w:hint="eastAsia"/>
          <w:b/>
          <w:bCs/>
          <w:color w:val="000000"/>
          <w:sz w:val="28"/>
          <w:szCs w:val="28"/>
          <w:shd w:val="clear" w:color="auto" w:fill="FFFFFF"/>
        </w:rPr>
      </w:pPr>
      <w:bookmarkStart w:id="162" w:name="_Toc13774"/>
      <w:r>
        <w:rPr>
          <w:rFonts w:hint="eastAsia"/>
          <w:b/>
          <w:bCs/>
          <w:color w:val="000000"/>
          <w:sz w:val="28"/>
          <w:szCs w:val="28"/>
          <w:shd w:val="clear" w:color="auto" w:fill="FFFFFF"/>
        </w:rPr>
        <w:t>4.3最高限价</w:t>
      </w:r>
      <w:bookmarkEnd w:id="162"/>
    </w:p>
    <w:p>
      <w:pPr>
        <w:spacing w:line="560" w:lineRule="exact"/>
        <w:ind w:firstLine="562" w:firstLineChars="200"/>
        <w:rPr>
          <w:rFonts w:hint="eastAsia"/>
          <w:b/>
          <w:color w:val="000000"/>
          <w:kern w:val="10"/>
          <w:sz w:val="28"/>
          <w:szCs w:val="28"/>
          <w:shd w:val="clear" w:color="auto" w:fill="FFFFFF"/>
        </w:rPr>
      </w:pPr>
      <w:r>
        <w:rPr>
          <w:rFonts w:hint="eastAsia"/>
          <w:b/>
          <w:color w:val="000000"/>
          <w:kern w:val="10"/>
          <w:sz w:val="28"/>
          <w:szCs w:val="28"/>
          <w:shd w:val="clear" w:color="auto" w:fill="FFFFFF"/>
        </w:rPr>
        <w:t>★本项目最高限价为人民币</w:t>
      </w:r>
      <w:r>
        <w:rPr>
          <w:rFonts w:hint="eastAsia"/>
          <w:b/>
          <w:color w:val="000000"/>
          <w:kern w:val="10"/>
          <w:sz w:val="28"/>
          <w:szCs w:val="28"/>
          <w:shd w:val="clear" w:color="auto" w:fill="FFFFFF"/>
          <w:lang w:eastAsia="zh-CN"/>
        </w:rPr>
        <w:t>999300元</w:t>
      </w:r>
      <w:r>
        <w:rPr>
          <w:rFonts w:hint="eastAsia"/>
          <w:b/>
          <w:color w:val="000000"/>
          <w:kern w:val="10"/>
          <w:sz w:val="28"/>
          <w:szCs w:val="28"/>
          <w:shd w:val="clear" w:color="auto" w:fill="FFFFFF"/>
        </w:rPr>
        <w:t>，供应商最后报价高于最高限价的则其响应文件将按无效响应文件处理。</w:t>
      </w:r>
    </w:p>
    <w:p>
      <w:pPr>
        <w:keepNext/>
        <w:keepLines/>
        <w:tabs>
          <w:tab w:val="left" w:pos="426"/>
          <w:tab w:val="left" w:pos="567"/>
        </w:tabs>
        <w:spacing w:line="560" w:lineRule="exact"/>
        <w:jc w:val="left"/>
        <w:outlineLvl w:val="1"/>
        <w:rPr>
          <w:rFonts w:hint="eastAsia"/>
          <w:b/>
          <w:bCs/>
          <w:iCs/>
          <w:color w:val="000000"/>
          <w:kern w:val="0"/>
          <w:sz w:val="28"/>
          <w:szCs w:val="28"/>
          <w:shd w:val="clear" w:color="auto" w:fill="FFFFFF"/>
        </w:rPr>
      </w:pPr>
      <w:bookmarkStart w:id="163" w:name="_Toc8926"/>
      <w:r>
        <w:rPr>
          <w:rFonts w:hint="eastAsia"/>
          <w:b/>
          <w:bCs/>
          <w:iCs/>
          <w:color w:val="000000"/>
          <w:kern w:val="0"/>
          <w:sz w:val="28"/>
          <w:szCs w:val="28"/>
          <w:shd w:val="clear" w:color="auto" w:fill="FFFFFF"/>
        </w:rPr>
        <w:t>4.4其他要求</w:t>
      </w:r>
      <w:bookmarkEnd w:id="163"/>
    </w:p>
    <w:p>
      <w:pPr>
        <w:spacing w:line="560" w:lineRule="exact"/>
        <w:ind w:firstLine="281" w:firstLineChars="100"/>
        <w:rPr>
          <w:rFonts w:hint="eastAsia"/>
          <w:color w:val="000000"/>
          <w:sz w:val="28"/>
          <w:szCs w:val="28"/>
          <w:shd w:val="clear" w:color="auto" w:fill="FFFFFF"/>
        </w:rPr>
      </w:pPr>
      <w:r>
        <w:rPr>
          <w:rFonts w:hint="eastAsia"/>
          <w:b/>
          <w:bCs/>
          <w:iCs/>
          <w:color w:val="000000"/>
          <w:kern w:val="0"/>
          <w:sz w:val="28"/>
          <w:szCs w:val="28"/>
          <w:shd w:val="clear" w:color="auto" w:fill="FFFFFF"/>
        </w:rPr>
        <w:t>★</w:t>
      </w:r>
      <w:r>
        <w:rPr>
          <w:rFonts w:hint="eastAsia"/>
          <w:color w:val="000000"/>
          <w:sz w:val="28"/>
          <w:szCs w:val="28"/>
          <w:shd w:val="clear" w:color="auto" w:fill="FFFFFF"/>
        </w:rPr>
        <w:t>一、 在评标过程中，磋商小组认为供应商投标报价明显低于其他通过符合性审查供应商的投标报价，有可能影响产品质量或者不能诚信履约的，磋商小组应当要求其在评标现场合理的时间内提供书面说明，必要时提交相关证明材料。供应商提交的书面说明、相关证明材料（如涉及），应当加盖供应商（法定名称）电子签章，在磋商小组要求的时间内通过云平台进行递交，否则无效。如因断电、断网、系统故障或其他不可抗力等因素，导致系统无法使用的，由供应商按磋商小组的要求进行澄清或者说明。供应商能证明其投标报价合理性的，磋商小组应当将其</w:t>
      </w:r>
      <w:r>
        <w:rPr>
          <w:rFonts w:hint="eastAsia"/>
          <w:color w:val="000000"/>
          <w:sz w:val="28"/>
          <w:szCs w:val="28"/>
          <w:shd w:val="clear" w:color="auto" w:fill="FFFFFF"/>
          <w:lang w:eastAsia="zh-CN"/>
        </w:rPr>
        <w:t>响应文件</w:t>
      </w:r>
      <w:r>
        <w:rPr>
          <w:rFonts w:hint="eastAsia"/>
          <w:color w:val="000000"/>
          <w:sz w:val="28"/>
          <w:szCs w:val="28"/>
          <w:shd w:val="clear" w:color="auto" w:fill="FFFFFF"/>
        </w:rPr>
        <w:t>作为无效处。</w:t>
      </w:r>
    </w:p>
    <w:p>
      <w:pPr>
        <w:widowControl/>
        <w:spacing w:line="560" w:lineRule="exact"/>
        <w:ind w:firstLine="280" w:firstLineChars="100"/>
        <w:jc w:val="left"/>
        <w:rPr>
          <w:rStyle w:val="134"/>
          <w:rFonts w:hint="eastAsia"/>
          <w:bCs/>
          <w:color w:val="000000"/>
          <w:sz w:val="28"/>
          <w:szCs w:val="28"/>
          <w:shd w:val="clear" w:color="auto" w:fill="FFFFFF"/>
        </w:rPr>
      </w:pPr>
      <w:r>
        <w:rPr>
          <w:rStyle w:val="134"/>
          <w:rFonts w:hint="eastAsia"/>
          <w:bCs/>
          <w:color w:val="000000"/>
          <w:sz w:val="28"/>
          <w:szCs w:val="28"/>
          <w:shd w:val="clear" w:color="auto" w:fill="FFFFFF"/>
        </w:rPr>
        <w:t>★二、供应商为本项目提供的所有产品、辅材中属于《国家强制性产品认证目录》范围内产品的，均通过国家强制性产品认证并取得认证证书。</w:t>
      </w:r>
      <w:r>
        <w:rPr>
          <w:rStyle w:val="134"/>
          <w:rFonts w:hint="eastAsia"/>
          <w:b/>
          <w:color w:val="000000"/>
          <w:sz w:val="28"/>
          <w:szCs w:val="28"/>
          <w:shd w:val="clear" w:color="auto" w:fill="FFFFFF"/>
        </w:rPr>
        <w:t>（说明：供应商应按磋商文件第3章 响应文件格式3.3.</w:t>
      </w:r>
      <w:r>
        <w:rPr>
          <w:rStyle w:val="134"/>
          <w:rFonts w:hint="eastAsia"/>
          <w:b/>
          <w:color w:val="000000"/>
          <w:sz w:val="28"/>
          <w:szCs w:val="28"/>
          <w:shd w:val="clear" w:color="auto" w:fill="FFFFFF"/>
          <w:lang w:val="en-US" w:eastAsia="zh-CN"/>
        </w:rPr>
        <w:t>9</w:t>
      </w:r>
      <w:r>
        <w:rPr>
          <w:rStyle w:val="134"/>
          <w:rFonts w:hint="eastAsia"/>
          <w:b/>
          <w:color w:val="000000"/>
          <w:sz w:val="28"/>
          <w:szCs w:val="28"/>
          <w:shd w:val="clear" w:color="auto" w:fill="FFFFFF"/>
        </w:rPr>
        <w:t>承诺函的格式及要求提供承诺函。）</w:t>
      </w:r>
    </w:p>
    <w:p>
      <w:pPr>
        <w:spacing w:line="560" w:lineRule="exact"/>
        <w:ind w:firstLine="280" w:firstLineChars="100"/>
        <w:rPr>
          <w:rStyle w:val="134"/>
          <w:rFonts w:hint="eastAsia"/>
          <w:b/>
          <w:color w:val="000000"/>
          <w:sz w:val="28"/>
          <w:szCs w:val="28"/>
          <w:shd w:val="clear" w:color="auto" w:fill="FFFFFF"/>
        </w:rPr>
      </w:pPr>
      <w:r>
        <w:rPr>
          <w:rStyle w:val="134"/>
          <w:rFonts w:hint="eastAsia"/>
          <w:bCs/>
          <w:color w:val="000000"/>
          <w:sz w:val="28"/>
          <w:szCs w:val="28"/>
          <w:shd w:val="clear" w:color="auto" w:fill="FFFFFF"/>
        </w:rPr>
        <w:t>★三、供应商为本项目提供的所有产品、辅材符合现行的强制性国家相关标准、行业标准。</w:t>
      </w:r>
      <w:r>
        <w:rPr>
          <w:rStyle w:val="134"/>
          <w:rFonts w:hint="eastAsia"/>
          <w:b/>
          <w:color w:val="000000"/>
          <w:sz w:val="28"/>
          <w:szCs w:val="28"/>
          <w:shd w:val="clear" w:color="auto" w:fill="FFFFFF"/>
        </w:rPr>
        <w:t>（说明：供应商应按磋商文件第3章 响应文件格式3.3.</w:t>
      </w:r>
      <w:r>
        <w:rPr>
          <w:rStyle w:val="134"/>
          <w:rFonts w:hint="eastAsia"/>
          <w:b/>
          <w:color w:val="000000"/>
          <w:sz w:val="28"/>
          <w:szCs w:val="28"/>
          <w:shd w:val="clear" w:color="auto" w:fill="FFFFFF"/>
          <w:lang w:val="en-US" w:eastAsia="zh-CN"/>
        </w:rPr>
        <w:t>9</w:t>
      </w:r>
      <w:r>
        <w:rPr>
          <w:rStyle w:val="134"/>
          <w:rFonts w:hint="eastAsia"/>
          <w:b/>
          <w:color w:val="000000"/>
          <w:sz w:val="28"/>
          <w:szCs w:val="28"/>
          <w:shd w:val="clear" w:color="auto" w:fill="FFFFFF"/>
        </w:rPr>
        <w:t>承诺函的格式及要求提供承诺函。）</w:t>
      </w:r>
    </w:p>
    <w:p>
      <w:pPr>
        <w:spacing w:line="560" w:lineRule="exact"/>
        <w:ind w:firstLine="280" w:firstLineChars="100"/>
        <w:rPr>
          <w:rFonts w:hint="eastAsia"/>
        </w:rPr>
      </w:pPr>
      <w:r>
        <w:rPr>
          <w:rStyle w:val="134"/>
          <w:rFonts w:hint="eastAsia"/>
          <w:bCs/>
          <w:color w:val="000000"/>
          <w:sz w:val="28"/>
          <w:szCs w:val="28"/>
          <w:shd w:val="clear" w:color="auto" w:fill="FFFFFF"/>
        </w:rPr>
        <w:t>★四、供应商为本项目提供的所有产品中属于节能产品政府采购品目清单中的政府强制采购产品的，均应具有国家确定的认证机构出具的有效期内的节能产品认证证书。</w:t>
      </w:r>
      <w:r>
        <w:rPr>
          <w:rStyle w:val="134"/>
          <w:rFonts w:hint="eastAsia"/>
          <w:b/>
          <w:color w:val="000000"/>
          <w:sz w:val="28"/>
          <w:szCs w:val="28"/>
          <w:shd w:val="clear" w:color="auto" w:fill="FFFFFF"/>
        </w:rPr>
        <w:t>（说明：供应商应按磋商文件第3章 响应文件格式3.3.</w:t>
      </w:r>
      <w:r>
        <w:rPr>
          <w:rStyle w:val="134"/>
          <w:rFonts w:hint="eastAsia"/>
          <w:b/>
          <w:color w:val="000000"/>
          <w:sz w:val="28"/>
          <w:szCs w:val="28"/>
          <w:shd w:val="clear" w:color="auto" w:fill="FFFFFF"/>
          <w:lang w:val="en-US" w:eastAsia="zh-CN"/>
        </w:rPr>
        <w:t>9</w:t>
      </w:r>
      <w:r>
        <w:rPr>
          <w:rStyle w:val="134"/>
          <w:rFonts w:hint="eastAsia"/>
          <w:b/>
          <w:color w:val="000000"/>
          <w:sz w:val="28"/>
          <w:szCs w:val="28"/>
          <w:shd w:val="clear" w:color="auto" w:fill="FFFFFF"/>
        </w:rPr>
        <w:t>承诺函的格式及要求提供承诺函。）</w:t>
      </w:r>
    </w:p>
    <w:p>
      <w:pPr>
        <w:spacing w:line="560" w:lineRule="exact"/>
        <w:ind w:firstLine="280" w:firstLineChars="100"/>
        <w:rPr>
          <w:rStyle w:val="134"/>
          <w:rFonts w:hint="eastAsia" w:asciiTheme="minorHAnsi" w:hAnsiTheme="minorHAnsi" w:eastAsiaTheme="minorEastAsia" w:cstheme="minorBidi"/>
          <w:bCs/>
          <w:color w:val="000000"/>
          <w:sz w:val="28"/>
          <w:szCs w:val="28"/>
          <w:shd w:val="clear" w:color="auto" w:fill="FFFFFF"/>
          <w:lang w:val="en-US" w:eastAsia="zh-CN"/>
        </w:rPr>
      </w:pPr>
      <w:r>
        <w:rPr>
          <w:rStyle w:val="134"/>
          <w:rFonts w:hint="eastAsia"/>
          <w:bCs/>
          <w:color w:val="000000"/>
          <w:sz w:val="28"/>
          <w:szCs w:val="28"/>
          <w:shd w:val="clear" w:color="auto" w:fill="FFFFFF"/>
        </w:rPr>
        <w:t>★</w:t>
      </w:r>
      <w:r>
        <w:rPr>
          <w:rStyle w:val="134"/>
          <w:rFonts w:hint="eastAsia" w:asciiTheme="minorHAnsi" w:hAnsiTheme="minorHAnsi" w:eastAsiaTheme="minorEastAsia" w:cstheme="minorBidi"/>
          <w:bCs/>
          <w:color w:val="000000"/>
          <w:sz w:val="28"/>
          <w:szCs w:val="28"/>
          <w:shd w:val="clear" w:color="auto" w:fill="FFFFFF"/>
          <w:lang w:val="en-US" w:eastAsia="zh-CN"/>
        </w:rPr>
        <w:t>五、</w:t>
      </w:r>
      <w:r>
        <w:rPr>
          <w:rFonts w:hint="eastAsia" w:ascii="宋体" w:hAnsi="宋体" w:eastAsia="宋体" w:cs="Times New Roman"/>
          <w:bCs/>
          <w:color w:val="000000"/>
          <w:sz w:val="28"/>
          <w:szCs w:val="28"/>
          <w:shd w:val="clear" w:color="auto" w:fill="FFFFFF"/>
          <w:lang w:val="zh-CN"/>
        </w:rPr>
        <w:t>为本项目提供的所有产品中属于3C认证产品的，均具有3C产品认证证书，并在中标后签订合同之前提供证书复印件加盖公章。</w:t>
      </w:r>
      <w:r>
        <w:rPr>
          <w:rStyle w:val="134"/>
          <w:rFonts w:hint="eastAsia"/>
          <w:b/>
          <w:color w:val="000000"/>
          <w:sz w:val="28"/>
          <w:szCs w:val="28"/>
          <w:shd w:val="clear" w:color="auto" w:fill="FFFFFF"/>
        </w:rPr>
        <w:t>（说明：供应商应按磋商文件第3章 响应文件格式3.3.</w:t>
      </w:r>
      <w:r>
        <w:rPr>
          <w:rStyle w:val="134"/>
          <w:rFonts w:hint="eastAsia"/>
          <w:b/>
          <w:color w:val="000000"/>
          <w:sz w:val="28"/>
          <w:szCs w:val="28"/>
          <w:shd w:val="clear" w:color="auto" w:fill="FFFFFF"/>
          <w:lang w:val="en-US" w:eastAsia="zh-CN"/>
        </w:rPr>
        <w:t>9</w:t>
      </w:r>
      <w:r>
        <w:rPr>
          <w:rStyle w:val="134"/>
          <w:rFonts w:hint="eastAsia"/>
          <w:b/>
          <w:color w:val="000000"/>
          <w:sz w:val="28"/>
          <w:szCs w:val="28"/>
          <w:shd w:val="clear" w:color="auto" w:fill="FFFFFF"/>
        </w:rPr>
        <w:t>承诺函的格式及要求提供承诺函。）</w:t>
      </w:r>
    </w:p>
    <w:p>
      <w:pPr>
        <w:pStyle w:val="2"/>
        <w:numPr>
          <w:ilvl w:val="0"/>
          <w:numId w:val="0"/>
        </w:numPr>
        <w:ind w:firstLine="560" w:firstLineChars="200"/>
        <w:rPr>
          <w:rFonts w:hint="eastAsia" w:ascii="宋体" w:hAnsi="宋体" w:eastAsia="宋体" w:cs="Times New Roman"/>
          <w:bCs/>
          <w:color w:val="000000"/>
          <w:kern w:val="2"/>
          <w:sz w:val="28"/>
          <w:szCs w:val="28"/>
          <w:shd w:val="clear" w:color="auto" w:fill="FFFFFF"/>
          <w:lang w:val="en-US" w:eastAsia="zh-CN" w:bidi="ar-SA"/>
        </w:rPr>
      </w:pPr>
      <w:r>
        <w:rPr>
          <w:rFonts w:hint="eastAsia" w:ascii="宋体" w:hAnsi="宋体" w:eastAsia="宋体" w:cs="Times New Roman"/>
          <w:bCs/>
          <w:color w:val="000000"/>
          <w:kern w:val="2"/>
          <w:sz w:val="28"/>
          <w:szCs w:val="28"/>
          <w:shd w:val="clear" w:color="auto" w:fill="FFFFFF"/>
          <w:lang w:val="en-US" w:eastAsia="zh-CN" w:bidi="ar-SA"/>
        </w:rPr>
        <w:t>六、</w:t>
      </w:r>
      <w:r>
        <w:rPr>
          <w:rFonts w:hint="eastAsia" w:ascii="宋体" w:hAnsi="宋体" w:eastAsia="宋体" w:cs="Times New Roman"/>
          <w:bCs/>
          <w:color w:val="000000"/>
          <w:kern w:val="2"/>
          <w:sz w:val="28"/>
          <w:szCs w:val="28"/>
          <w:shd w:val="clear" w:color="auto" w:fill="FFFFFF"/>
          <w:lang w:val="zh-CN" w:eastAsia="zh-CN" w:bidi="ar-SA"/>
        </w:rPr>
        <w:t>根据供应商针对本项目的项目实施方案，方案中包括（</w:t>
      </w:r>
      <w:r>
        <w:rPr>
          <w:rFonts w:hint="eastAsia" w:ascii="宋体" w:hAnsi="宋体" w:eastAsia="宋体" w:cs="Times New Roman"/>
          <w:bCs/>
          <w:color w:val="000000"/>
          <w:kern w:val="2"/>
          <w:sz w:val="28"/>
          <w:szCs w:val="28"/>
          <w:shd w:val="clear" w:color="auto" w:fill="FFFFFF"/>
          <w:lang w:val="en-US" w:eastAsia="zh-CN" w:bidi="ar-SA"/>
        </w:rPr>
        <w:t>1</w:t>
      </w:r>
      <w:r>
        <w:rPr>
          <w:rFonts w:hint="eastAsia" w:ascii="宋体" w:hAnsi="宋体" w:eastAsia="宋体" w:cs="Times New Roman"/>
          <w:bCs/>
          <w:color w:val="000000"/>
          <w:kern w:val="2"/>
          <w:sz w:val="28"/>
          <w:szCs w:val="28"/>
          <w:shd w:val="clear" w:color="auto" w:fill="FFFFFF"/>
          <w:lang w:val="zh-CN" w:eastAsia="zh-CN" w:bidi="ar-SA"/>
        </w:rPr>
        <w:t>）进度计划、（</w:t>
      </w:r>
      <w:r>
        <w:rPr>
          <w:rFonts w:hint="eastAsia" w:ascii="宋体" w:hAnsi="宋体" w:eastAsia="宋体" w:cs="Times New Roman"/>
          <w:bCs/>
          <w:color w:val="000000"/>
          <w:kern w:val="2"/>
          <w:sz w:val="28"/>
          <w:szCs w:val="28"/>
          <w:shd w:val="clear" w:color="auto" w:fill="FFFFFF"/>
          <w:lang w:val="en-US" w:eastAsia="zh-CN" w:bidi="ar-SA"/>
        </w:rPr>
        <w:t>2</w:t>
      </w:r>
      <w:r>
        <w:rPr>
          <w:rFonts w:hint="eastAsia" w:ascii="宋体" w:hAnsi="宋体" w:eastAsia="宋体" w:cs="Times New Roman"/>
          <w:bCs/>
          <w:color w:val="000000"/>
          <w:kern w:val="2"/>
          <w:sz w:val="28"/>
          <w:szCs w:val="28"/>
          <w:shd w:val="clear" w:color="auto" w:fill="FFFFFF"/>
          <w:lang w:val="zh-CN" w:eastAsia="zh-CN" w:bidi="ar-SA"/>
        </w:rPr>
        <w:t>）人员安排、（</w:t>
      </w:r>
      <w:r>
        <w:rPr>
          <w:rFonts w:hint="eastAsia" w:ascii="宋体" w:hAnsi="宋体" w:eastAsia="宋体" w:cs="Times New Roman"/>
          <w:bCs/>
          <w:color w:val="000000"/>
          <w:kern w:val="2"/>
          <w:sz w:val="28"/>
          <w:szCs w:val="28"/>
          <w:shd w:val="clear" w:color="auto" w:fill="FFFFFF"/>
          <w:lang w:val="en-US" w:eastAsia="zh-CN" w:bidi="ar-SA"/>
        </w:rPr>
        <w:t>3</w:t>
      </w:r>
      <w:r>
        <w:rPr>
          <w:rFonts w:hint="eastAsia" w:ascii="宋体" w:hAnsi="宋体" w:eastAsia="宋体" w:cs="Times New Roman"/>
          <w:bCs/>
          <w:color w:val="000000"/>
          <w:kern w:val="2"/>
          <w:sz w:val="28"/>
          <w:szCs w:val="28"/>
          <w:shd w:val="clear" w:color="auto" w:fill="FFFFFF"/>
          <w:lang w:val="zh-CN" w:eastAsia="zh-CN" w:bidi="ar-SA"/>
        </w:rPr>
        <w:t>）质量保证措施、（</w:t>
      </w:r>
      <w:r>
        <w:rPr>
          <w:rFonts w:hint="eastAsia" w:ascii="宋体" w:hAnsi="宋体" w:eastAsia="宋体" w:cs="Times New Roman"/>
          <w:bCs/>
          <w:color w:val="000000"/>
          <w:kern w:val="2"/>
          <w:sz w:val="28"/>
          <w:szCs w:val="28"/>
          <w:shd w:val="clear" w:color="auto" w:fill="FFFFFF"/>
          <w:lang w:val="en-US" w:eastAsia="zh-CN" w:bidi="ar-SA"/>
        </w:rPr>
        <w:t>4</w:t>
      </w:r>
      <w:r>
        <w:rPr>
          <w:rFonts w:hint="eastAsia" w:ascii="宋体" w:hAnsi="宋体" w:eastAsia="宋体" w:cs="Times New Roman"/>
          <w:bCs/>
          <w:color w:val="000000"/>
          <w:kern w:val="2"/>
          <w:sz w:val="28"/>
          <w:szCs w:val="28"/>
          <w:shd w:val="clear" w:color="auto" w:fill="FFFFFF"/>
          <w:lang w:val="zh-CN" w:eastAsia="zh-CN" w:bidi="ar-SA"/>
        </w:rPr>
        <w:t>）验收方案等。</w:t>
      </w:r>
    </w:p>
    <w:p>
      <w:pPr>
        <w:pStyle w:val="2"/>
        <w:numPr>
          <w:ilvl w:val="0"/>
          <w:numId w:val="0"/>
        </w:numPr>
        <w:ind w:firstLine="560" w:firstLineChars="200"/>
        <w:rPr>
          <w:rFonts w:hint="eastAsia" w:ascii="宋体" w:hAnsi="宋体" w:eastAsia="宋体" w:cs="Times New Roman"/>
          <w:bCs/>
          <w:color w:val="000000"/>
          <w:kern w:val="2"/>
          <w:sz w:val="28"/>
          <w:szCs w:val="28"/>
          <w:shd w:val="clear" w:color="auto" w:fill="FFFFFF"/>
          <w:lang w:val="en-US" w:eastAsia="zh-CN" w:bidi="ar-SA"/>
        </w:rPr>
      </w:pPr>
      <w:r>
        <w:rPr>
          <w:rFonts w:hint="eastAsia" w:ascii="宋体" w:hAnsi="宋体" w:eastAsia="宋体" w:cs="Times New Roman"/>
          <w:bCs/>
          <w:color w:val="000000"/>
          <w:kern w:val="2"/>
          <w:sz w:val="28"/>
          <w:szCs w:val="28"/>
          <w:shd w:val="clear" w:color="auto" w:fill="FFFFFF"/>
          <w:lang w:val="en-US" w:eastAsia="zh-CN" w:bidi="ar-SA"/>
        </w:rPr>
        <w:t>七、</w:t>
      </w:r>
      <w:r>
        <w:rPr>
          <w:rFonts w:hint="eastAsia" w:ascii="宋体" w:hAnsi="宋体" w:eastAsia="宋体" w:cs="Times New Roman"/>
          <w:bCs/>
          <w:color w:val="000000"/>
          <w:kern w:val="2"/>
          <w:sz w:val="28"/>
          <w:szCs w:val="28"/>
          <w:shd w:val="clear" w:color="auto" w:fill="FFFFFF"/>
          <w:lang w:val="zh-CN" w:eastAsia="zh-CN" w:bidi="ar-SA"/>
        </w:rPr>
        <w:t>根据供应商提供的售后服务方案，包括（</w:t>
      </w:r>
      <w:r>
        <w:rPr>
          <w:rFonts w:hint="eastAsia" w:ascii="宋体" w:hAnsi="宋体" w:eastAsia="宋体" w:cs="Times New Roman"/>
          <w:bCs/>
          <w:color w:val="000000"/>
          <w:kern w:val="2"/>
          <w:sz w:val="28"/>
          <w:szCs w:val="28"/>
          <w:shd w:val="clear" w:color="auto" w:fill="FFFFFF"/>
          <w:lang w:val="en-US" w:eastAsia="zh-CN" w:bidi="ar-SA"/>
        </w:rPr>
        <w:t>1</w:t>
      </w:r>
      <w:r>
        <w:rPr>
          <w:rFonts w:hint="eastAsia" w:ascii="宋体" w:hAnsi="宋体" w:eastAsia="宋体" w:cs="Times New Roman"/>
          <w:bCs/>
          <w:color w:val="000000"/>
          <w:kern w:val="2"/>
          <w:sz w:val="28"/>
          <w:szCs w:val="28"/>
          <w:shd w:val="clear" w:color="auto" w:fill="FFFFFF"/>
          <w:lang w:val="zh-CN" w:eastAsia="zh-CN" w:bidi="ar-SA"/>
        </w:rPr>
        <w:t>）本地化服务（承诺具有或</w:t>
      </w:r>
      <w:r>
        <w:rPr>
          <w:rFonts w:hint="eastAsia" w:ascii="宋体" w:hAnsi="宋体" w:eastAsia="宋体" w:cs="Times New Roman"/>
          <w:bCs/>
          <w:color w:val="000000"/>
          <w:kern w:val="2"/>
          <w:sz w:val="28"/>
          <w:szCs w:val="28"/>
          <w:shd w:val="clear" w:color="auto" w:fill="FFFFFF"/>
          <w:lang w:val="en-US" w:eastAsia="zh-CN" w:bidi="ar-SA"/>
        </w:rPr>
        <w:t>承诺</w:t>
      </w:r>
      <w:r>
        <w:rPr>
          <w:rFonts w:hint="eastAsia" w:ascii="宋体" w:hAnsi="宋体" w:eastAsia="宋体" w:cs="Times New Roman"/>
          <w:bCs/>
          <w:color w:val="000000"/>
          <w:kern w:val="2"/>
          <w:sz w:val="28"/>
          <w:szCs w:val="28"/>
          <w:shd w:val="clear" w:color="auto" w:fill="FFFFFF"/>
          <w:lang w:val="zh-CN" w:eastAsia="zh-CN" w:bidi="ar-SA"/>
        </w:rPr>
        <w:t>中标后提供）、（</w:t>
      </w:r>
      <w:r>
        <w:rPr>
          <w:rFonts w:hint="eastAsia" w:ascii="宋体" w:hAnsi="宋体" w:eastAsia="宋体" w:cs="Times New Roman"/>
          <w:bCs/>
          <w:color w:val="000000"/>
          <w:kern w:val="2"/>
          <w:sz w:val="28"/>
          <w:szCs w:val="28"/>
          <w:shd w:val="clear" w:color="auto" w:fill="FFFFFF"/>
          <w:lang w:val="en-US" w:eastAsia="zh-CN" w:bidi="ar-SA"/>
        </w:rPr>
        <w:t>2</w:t>
      </w:r>
      <w:r>
        <w:rPr>
          <w:rFonts w:hint="eastAsia" w:ascii="宋体" w:hAnsi="宋体" w:eastAsia="宋体" w:cs="Times New Roman"/>
          <w:bCs/>
          <w:color w:val="000000"/>
          <w:kern w:val="2"/>
          <w:sz w:val="28"/>
          <w:szCs w:val="28"/>
          <w:shd w:val="clear" w:color="auto" w:fill="FFFFFF"/>
          <w:lang w:val="zh-CN" w:eastAsia="zh-CN" w:bidi="ar-SA"/>
        </w:rPr>
        <w:t>）故障处理方案、（</w:t>
      </w:r>
      <w:r>
        <w:rPr>
          <w:rFonts w:hint="eastAsia" w:ascii="宋体" w:hAnsi="宋体" w:eastAsia="宋体" w:cs="Times New Roman"/>
          <w:bCs/>
          <w:color w:val="000000"/>
          <w:kern w:val="2"/>
          <w:sz w:val="28"/>
          <w:szCs w:val="28"/>
          <w:shd w:val="clear" w:color="auto" w:fill="FFFFFF"/>
          <w:lang w:val="en-US" w:eastAsia="zh-CN" w:bidi="ar-SA"/>
        </w:rPr>
        <w:t>3</w:t>
      </w:r>
      <w:r>
        <w:rPr>
          <w:rFonts w:hint="eastAsia" w:ascii="宋体" w:hAnsi="宋体" w:eastAsia="宋体" w:cs="Times New Roman"/>
          <w:bCs/>
          <w:color w:val="000000"/>
          <w:kern w:val="2"/>
          <w:sz w:val="28"/>
          <w:szCs w:val="28"/>
          <w:shd w:val="clear" w:color="auto" w:fill="FFFFFF"/>
          <w:lang w:val="zh-CN" w:eastAsia="zh-CN" w:bidi="ar-SA"/>
        </w:rPr>
        <w:t>）解决故障承诺时间、（</w:t>
      </w:r>
      <w:r>
        <w:rPr>
          <w:rFonts w:hint="eastAsia" w:ascii="宋体" w:hAnsi="宋体" w:eastAsia="宋体" w:cs="Times New Roman"/>
          <w:bCs/>
          <w:color w:val="000000"/>
          <w:kern w:val="2"/>
          <w:sz w:val="28"/>
          <w:szCs w:val="28"/>
          <w:shd w:val="clear" w:color="auto" w:fill="FFFFFF"/>
          <w:lang w:val="en-US" w:eastAsia="zh-CN" w:bidi="ar-SA"/>
        </w:rPr>
        <w:t>4</w:t>
      </w:r>
      <w:r>
        <w:rPr>
          <w:rFonts w:hint="eastAsia" w:ascii="宋体" w:hAnsi="宋体" w:eastAsia="宋体" w:cs="Times New Roman"/>
          <w:bCs/>
          <w:color w:val="000000"/>
          <w:kern w:val="2"/>
          <w:sz w:val="28"/>
          <w:szCs w:val="28"/>
          <w:shd w:val="clear" w:color="auto" w:fill="FFFFFF"/>
          <w:lang w:val="zh-CN" w:eastAsia="zh-CN" w:bidi="ar-SA"/>
        </w:rPr>
        <w:t>）</w:t>
      </w:r>
      <w:r>
        <w:rPr>
          <w:rFonts w:hint="eastAsia" w:ascii="宋体" w:hAnsi="宋体" w:eastAsia="宋体" w:cs="Times New Roman"/>
          <w:bCs/>
          <w:color w:val="000000"/>
          <w:kern w:val="2"/>
          <w:sz w:val="28"/>
          <w:szCs w:val="28"/>
          <w:shd w:val="clear" w:color="auto" w:fill="FFFFFF"/>
          <w:lang w:val="en-US" w:eastAsia="zh-CN" w:bidi="ar-SA"/>
        </w:rPr>
        <w:t>售后服务范围</w:t>
      </w:r>
      <w:r>
        <w:rPr>
          <w:rFonts w:hint="eastAsia" w:ascii="宋体" w:hAnsi="宋体" w:eastAsia="宋体" w:cs="Times New Roman"/>
          <w:bCs/>
          <w:color w:val="000000"/>
          <w:kern w:val="2"/>
          <w:sz w:val="28"/>
          <w:szCs w:val="28"/>
          <w:shd w:val="clear" w:color="auto" w:fill="FFFFFF"/>
          <w:lang w:val="zh-CN" w:eastAsia="zh-CN" w:bidi="ar-SA"/>
        </w:rPr>
        <w:t>等。</w:t>
      </w:r>
    </w:p>
    <w:p>
      <w:pPr>
        <w:numPr>
          <w:ilvl w:val="0"/>
          <w:numId w:val="0"/>
        </w:numPr>
        <w:ind w:firstLine="560" w:firstLineChars="200"/>
        <w:rPr>
          <w:rFonts w:hint="eastAsia" w:ascii="宋体" w:hAnsi="宋体" w:eastAsia="宋体" w:cs="Times New Roman"/>
          <w:bCs/>
          <w:color w:val="000000"/>
          <w:kern w:val="2"/>
          <w:sz w:val="28"/>
          <w:szCs w:val="28"/>
          <w:shd w:val="clear" w:color="auto" w:fill="FFFFFF"/>
          <w:lang w:val="zh-CN" w:eastAsia="zh-CN" w:bidi="ar-SA"/>
        </w:rPr>
      </w:pPr>
      <w:r>
        <w:rPr>
          <w:rFonts w:hint="eastAsia" w:ascii="宋体" w:hAnsi="宋体" w:eastAsia="宋体" w:cs="Times New Roman"/>
          <w:bCs/>
          <w:color w:val="000000"/>
          <w:kern w:val="2"/>
          <w:sz w:val="28"/>
          <w:szCs w:val="28"/>
          <w:shd w:val="clear" w:color="auto" w:fill="FFFFFF"/>
          <w:lang w:val="en-US" w:eastAsia="zh-CN" w:bidi="ar-SA"/>
        </w:rPr>
        <w:t>八、</w:t>
      </w:r>
      <w:r>
        <w:rPr>
          <w:rFonts w:hint="eastAsia" w:ascii="宋体" w:hAnsi="宋体" w:eastAsia="宋体" w:cs="Times New Roman"/>
          <w:bCs/>
          <w:color w:val="000000"/>
          <w:kern w:val="2"/>
          <w:sz w:val="28"/>
          <w:szCs w:val="28"/>
          <w:shd w:val="clear" w:color="auto" w:fill="FFFFFF"/>
          <w:lang w:val="zh-CN" w:eastAsia="zh-CN" w:bidi="ar-SA"/>
        </w:rPr>
        <w:t>据供应商针对本项目提供的培训方案，</w:t>
      </w:r>
      <w:r>
        <w:rPr>
          <w:rFonts w:hint="eastAsia" w:ascii="宋体" w:hAnsi="宋体" w:eastAsia="宋体" w:cs="Times New Roman"/>
          <w:bCs/>
          <w:color w:val="000000"/>
          <w:kern w:val="2"/>
          <w:sz w:val="28"/>
          <w:szCs w:val="28"/>
          <w:shd w:val="clear" w:color="auto" w:fill="FFFFFF"/>
          <w:lang w:val="en-US" w:eastAsia="zh-CN" w:bidi="ar-SA"/>
        </w:rPr>
        <w:t>内容</w:t>
      </w:r>
      <w:r>
        <w:rPr>
          <w:rFonts w:hint="eastAsia" w:ascii="宋体" w:hAnsi="宋体" w:eastAsia="宋体" w:cs="Times New Roman"/>
          <w:bCs/>
          <w:color w:val="000000"/>
          <w:kern w:val="2"/>
          <w:sz w:val="28"/>
          <w:szCs w:val="28"/>
          <w:shd w:val="clear" w:color="auto" w:fill="FFFFFF"/>
          <w:lang w:val="zh-CN" w:eastAsia="zh-CN" w:bidi="ar-SA"/>
        </w:rPr>
        <w:t>包含①培训内容、②培训师资配备、③培训计划、</w:t>
      </w:r>
      <w:r>
        <w:rPr>
          <w:rFonts w:hint="eastAsia" w:ascii="宋体" w:hAnsi="宋体" w:eastAsia="宋体" w:cs="Times New Roman"/>
          <w:bCs/>
          <w:color w:val="000000"/>
          <w:kern w:val="2"/>
          <w:sz w:val="28"/>
          <w:szCs w:val="28"/>
          <w:shd w:val="clear" w:color="auto" w:fill="FFFFFF"/>
          <w:lang w:val="en-US" w:eastAsia="zh-CN" w:bidi="ar-SA"/>
        </w:rPr>
        <w:t>④培训目标</w:t>
      </w:r>
      <w:r>
        <w:rPr>
          <w:rFonts w:hint="eastAsia" w:ascii="宋体" w:hAnsi="宋体" w:eastAsia="宋体" w:cs="Times New Roman"/>
          <w:bCs/>
          <w:color w:val="000000"/>
          <w:kern w:val="2"/>
          <w:sz w:val="28"/>
          <w:szCs w:val="28"/>
          <w:shd w:val="clear" w:color="auto" w:fill="FFFFFF"/>
          <w:lang w:val="zh-CN" w:eastAsia="zh-CN" w:bidi="ar-SA"/>
        </w:rPr>
        <w:t>等。</w:t>
      </w:r>
    </w:p>
    <w:p>
      <w:pPr>
        <w:numPr>
          <w:ilvl w:val="0"/>
          <w:numId w:val="0"/>
        </w:numPr>
        <w:ind w:firstLine="560" w:firstLineChars="200"/>
        <w:rPr>
          <w:rFonts w:hint="eastAsia" w:ascii="宋体" w:hAnsi="宋体" w:eastAsia="宋体" w:cs="Times New Roman"/>
          <w:bCs/>
          <w:color w:val="000000"/>
          <w:kern w:val="2"/>
          <w:sz w:val="28"/>
          <w:szCs w:val="28"/>
          <w:shd w:val="clear" w:color="auto" w:fill="FFFFFF"/>
          <w:lang w:val="en-US" w:eastAsia="zh-CN" w:bidi="ar-SA"/>
        </w:rPr>
      </w:pPr>
      <w:r>
        <w:rPr>
          <w:rFonts w:hint="eastAsia" w:ascii="宋体" w:hAnsi="宋体" w:eastAsia="宋体" w:cs="Times New Roman"/>
          <w:bCs/>
          <w:color w:val="000000"/>
          <w:kern w:val="2"/>
          <w:sz w:val="28"/>
          <w:szCs w:val="28"/>
          <w:shd w:val="clear" w:color="auto" w:fill="FFFFFF"/>
          <w:lang w:val="en-US" w:eastAsia="zh-CN" w:bidi="ar-SA"/>
        </w:rPr>
        <w:t>九、</w:t>
      </w:r>
      <w:r>
        <w:rPr>
          <w:rFonts w:hint="eastAsia" w:ascii="宋体" w:hAnsi="宋体" w:eastAsia="宋体" w:cs="Times New Roman"/>
          <w:bCs/>
          <w:color w:val="000000"/>
          <w:kern w:val="2"/>
          <w:sz w:val="28"/>
          <w:szCs w:val="28"/>
          <w:shd w:val="clear" w:color="auto" w:fill="FFFFFF"/>
          <w:lang w:val="zh-CN" w:eastAsia="zh-CN" w:bidi="ar-SA"/>
        </w:rPr>
        <w:t>供应商具有质量管理体系认证证书、职业健康安全管理体系认证证书、环境管理体系认证证书。</w:t>
      </w:r>
      <w:r>
        <w:rPr>
          <w:rFonts w:hint="eastAsia" w:ascii="宋体" w:hAnsi="宋体" w:eastAsia="宋体" w:cs="Times New Roman"/>
          <w:bCs/>
          <w:color w:val="000000"/>
          <w:kern w:val="2"/>
          <w:sz w:val="28"/>
          <w:szCs w:val="28"/>
          <w:shd w:val="clear" w:color="auto" w:fill="FFFFFF"/>
          <w:lang w:val="en-US" w:eastAsia="zh-CN" w:bidi="ar-SA"/>
        </w:rPr>
        <w:t>自</w:t>
      </w:r>
      <w:r>
        <w:rPr>
          <w:rFonts w:hint="eastAsia" w:ascii="宋体" w:hAnsi="宋体" w:eastAsia="宋体" w:cs="Times New Roman"/>
          <w:bCs/>
          <w:color w:val="000000"/>
          <w:kern w:val="2"/>
          <w:sz w:val="28"/>
          <w:szCs w:val="28"/>
          <w:shd w:val="clear" w:color="auto" w:fill="FFFFFF"/>
          <w:lang w:val="zh-CN" w:eastAsia="zh-CN" w:bidi="ar-SA"/>
        </w:rPr>
        <w:t>2018年1月1日以来（含1日）具有类似本项目业绩。</w:t>
      </w:r>
    </w:p>
    <w:p>
      <w:pPr>
        <w:keepNext w:val="0"/>
        <w:keepLines w:val="0"/>
        <w:widowControl/>
        <w:suppressLineNumbers w:val="0"/>
        <w:ind w:firstLine="560" w:firstLineChars="200"/>
        <w:jc w:val="left"/>
        <w:rPr>
          <w:rFonts w:hint="default" w:ascii="宋体" w:hAnsi="宋体" w:eastAsia="宋体" w:cs="Times New Roman"/>
          <w:bCs/>
          <w:color w:val="000000"/>
          <w:kern w:val="2"/>
          <w:sz w:val="28"/>
          <w:szCs w:val="28"/>
          <w:shd w:val="clear" w:color="auto" w:fill="FFFFFF"/>
          <w:lang w:val="en-US" w:eastAsia="zh-CN" w:bidi="ar-SA"/>
        </w:rPr>
      </w:pPr>
      <w:r>
        <w:rPr>
          <w:rFonts w:hint="eastAsia" w:ascii="宋体" w:hAnsi="宋体" w:eastAsia="宋体" w:cs="Times New Roman"/>
          <w:bCs/>
          <w:color w:val="000000"/>
          <w:kern w:val="2"/>
          <w:sz w:val="28"/>
          <w:szCs w:val="28"/>
          <w:shd w:val="clear" w:color="auto" w:fill="FFFFFF"/>
          <w:lang w:val="en-US" w:eastAsia="zh-CN" w:bidi="ar-SA"/>
        </w:rPr>
        <w:t>十、其他：</w:t>
      </w:r>
    </w:p>
    <w:p>
      <w:pPr>
        <w:keepNext w:val="0"/>
        <w:keepLines w:val="0"/>
        <w:widowControl/>
        <w:suppressLineNumbers w:val="0"/>
        <w:ind w:firstLine="560" w:firstLineChars="200"/>
        <w:jc w:val="left"/>
        <w:rPr>
          <w:rFonts w:hint="eastAsia" w:ascii="宋体" w:hAnsi="宋体" w:eastAsia="宋体" w:cs="Times New Roman"/>
          <w:bCs/>
          <w:color w:val="000000"/>
          <w:kern w:val="2"/>
          <w:sz w:val="28"/>
          <w:szCs w:val="28"/>
          <w:shd w:val="clear" w:color="auto" w:fill="FFFFFF"/>
          <w:lang w:val="zh-CN" w:eastAsia="zh-CN" w:bidi="ar-SA"/>
        </w:rPr>
      </w:pPr>
      <w:r>
        <w:rPr>
          <w:rFonts w:hint="eastAsia" w:ascii="宋体" w:hAnsi="宋体" w:eastAsia="宋体" w:cs="Times New Roman"/>
          <w:bCs/>
          <w:color w:val="000000"/>
          <w:kern w:val="2"/>
          <w:sz w:val="28"/>
          <w:szCs w:val="28"/>
          <w:shd w:val="clear" w:color="auto" w:fill="FFFFFF"/>
          <w:lang w:val="en-US" w:eastAsia="zh-CN" w:bidi="ar-SA"/>
        </w:rPr>
        <w:t>1、所投智慧黑板生产厂商通过软件能力成熟度CMMI-5级</w:t>
      </w:r>
      <w:r>
        <w:rPr>
          <w:rFonts w:hint="eastAsia" w:cs="Times New Roman"/>
          <w:bCs/>
          <w:color w:val="000000"/>
          <w:kern w:val="2"/>
          <w:sz w:val="28"/>
          <w:szCs w:val="28"/>
          <w:shd w:val="clear" w:color="auto" w:fill="FFFFFF"/>
          <w:lang w:val="en-US" w:eastAsia="zh-CN" w:bidi="ar-SA"/>
        </w:rPr>
        <w:t>及以下</w:t>
      </w:r>
      <w:r>
        <w:rPr>
          <w:rFonts w:hint="eastAsia" w:ascii="宋体" w:hAnsi="宋体" w:eastAsia="宋体" w:cs="Times New Roman"/>
          <w:bCs/>
          <w:color w:val="000000"/>
          <w:kern w:val="2"/>
          <w:sz w:val="28"/>
          <w:szCs w:val="28"/>
          <w:shd w:val="clear" w:color="auto" w:fill="FFFFFF"/>
          <w:lang w:val="en-US" w:eastAsia="zh-CN" w:bidi="ar-SA"/>
        </w:rPr>
        <w:t>等级认证。</w:t>
      </w:r>
    </w:p>
    <w:p>
      <w:pPr>
        <w:keepNext w:val="0"/>
        <w:keepLines w:val="0"/>
        <w:widowControl/>
        <w:numPr>
          <w:ilvl w:val="0"/>
          <w:numId w:val="0"/>
        </w:numPr>
        <w:suppressLineNumbers w:val="0"/>
        <w:ind w:firstLine="560" w:firstLineChars="200"/>
        <w:jc w:val="left"/>
        <w:rPr>
          <w:rFonts w:hint="eastAsia" w:ascii="宋体" w:hAnsi="宋体" w:eastAsia="宋体" w:cs="Times New Roman"/>
          <w:bCs/>
          <w:color w:val="000000"/>
          <w:kern w:val="2"/>
          <w:sz w:val="28"/>
          <w:szCs w:val="28"/>
          <w:shd w:val="clear" w:color="auto" w:fill="FFFFFF"/>
          <w:lang w:val="zh-CN" w:eastAsia="zh-CN" w:bidi="ar-SA"/>
        </w:rPr>
      </w:pPr>
      <w:r>
        <w:rPr>
          <w:rFonts w:hint="eastAsia" w:cs="Times New Roman"/>
          <w:bCs/>
          <w:color w:val="000000"/>
          <w:kern w:val="2"/>
          <w:sz w:val="28"/>
          <w:szCs w:val="28"/>
          <w:shd w:val="clear" w:color="auto" w:fill="FFFFFF"/>
          <w:lang w:val="en-US" w:eastAsia="zh-CN" w:bidi="ar-SA"/>
        </w:rPr>
        <w:t>2</w:t>
      </w:r>
      <w:r>
        <w:rPr>
          <w:rFonts w:hint="eastAsia" w:ascii="宋体" w:hAnsi="宋体" w:eastAsia="宋体" w:cs="Times New Roman"/>
          <w:bCs/>
          <w:color w:val="000000"/>
          <w:kern w:val="2"/>
          <w:sz w:val="28"/>
          <w:szCs w:val="28"/>
          <w:shd w:val="clear" w:color="auto" w:fill="FFFFFF"/>
          <w:lang w:val="en-US" w:eastAsia="zh-CN" w:bidi="ar-SA"/>
        </w:rPr>
        <w:t>、所投智慧教室系统支持手机相机功能，可选择手机相簿里面保存的图片或通过智能手机拍照学生上课情况、图片以及学生讨论现场上传至教师端，支持 1-9 副画面同时上传，画面排列方式为 1、2、4、6、9。</w:t>
      </w:r>
    </w:p>
    <w:p>
      <w:pPr>
        <w:keepNext w:val="0"/>
        <w:keepLines w:val="0"/>
        <w:widowControl/>
        <w:suppressLineNumbers w:val="0"/>
        <w:ind w:firstLine="560" w:firstLineChars="200"/>
        <w:jc w:val="left"/>
        <w:rPr>
          <w:rFonts w:hint="eastAsia" w:ascii="宋体" w:hAnsi="宋体" w:eastAsia="宋体" w:cs="Times New Roman"/>
          <w:bCs/>
          <w:color w:val="000000"/>
          <w:kern w:val="2"/>
          <w:sz w:val="28"/>
          <w:szCs w:val="28"/>
          <w:shd w:val="clear" w:color="auto" w:fill="FFFFFF"/>
          <w:lang w:val="zh-CN" w:eastAsia="zh-CN" w:bidi="ar-SA"/>
        </w:rPr>
      </w:pPr>
      <w:r>
        <w:rPr>
          <w:rFonts w:hint="eastAsia" w:cs="Times New Roman"/>
          <w:bCs/>
          <w:color w:val="000000"/>
          <w:kern w:val="2"/>
          <w:sz w:val="28"/>
          <w:szCs w:val="28"/>
          <w:shd w:val="clear" w:color="auto" w:fill="FFFFFF"/>
          <w:lang w:val="en-US" w:eastAsia="zh-CN" w:bidi="ar-SA"/>
        </w:rPr>
        <w:t>3</w:t>
      </w:r>
      <w:r>
        <w:rPr>
          <w:rFonts w:hint="eastAsia" w:ascii="宋体" w:hAnsi="宋体" w:eastAsia="宋体" w:cs="Times New Roman"/>
          <w:bCs/>
          <w:color w:val="000000"/>
          <w:kern w:val="2"/>
          <w:sz w:val="28"/>
          <w:szCs w:val="28"/>
          <w:shd w:val="clear" w:color="auto" w:fill="FFFFFF"/>
          <w:lang w:val="en-US" w:eastAsia="zh-CN" w:bidi="ar-SA"/>
        </w:rPr>
        <w:t>、所投智慧黑板、数字书法教学系统生产厂商具有信息技术服务体系认证证书。</w:t>
      </w:r>
    </w:p>
    <w:p>
      <w:pPr>
        <w:keepNext w:val="0"/>
        <w:keepLines w:val="0"/>
        <w:widowControl/>
        <w:suppressLineNumbers w:val="0"/>
        <w:ind w:firstLine="560" w:firstLineChars="200"/>
        <w:jc w:val="left"/>
        <w:rPr>
          <w:rFonts w:hint="eastAsia" w:ascii="宋体" w:hAnsi="宋体" w:eastAsia="宋体" w:cs="Times New Roman"/>
          <w:bCs/>
          <w:color w:val="000000"/>
          <w:kern w:val="2"/>
          <w:sz w:val="28"/>
          <w:szCs w:val="28"/>
          <w:shd w:val="clear" w:color="auto" w:fill="FFFFFF"/>
          <w:lang w:val="zh-CN" w:eastAsia="zh-CN" w:bidi="ar-SA"/>
        </w:rPr>
      </w:pPr>
      <w:r>
        <w:rPr>
          <w:rFonts w:hint="eastAsia" w:cs="Times New Roman"/>
          <w:bCs/>
          <w:color w:val="000000"/>
          <w:kern w:val="2"/>
          <w:sz w:val="28"/>
          <w:szCs w:val="28"/>
          <w:shd w:val="clear" w:color="auto" w:fill="FFFFFF"/>
          <w:lang w:val="en-US" w:eastAsia="zh-CN" w:bidi="ar-SA"/>
        </w:rPr>
        <w:t>4</w:t>
      </w:r>
      <w:r>
        <w:rPr>
          <w:rFonts w:hint="eastAsia" w:ascii="宋体" w:hAnsi="宋体" w:eastAsia="宋体" w:cs="Times New Roman"/>
          <w:bCs/>
          <w:color w:val="000000"/>
          <w:kern w:val="2"/>
          <w:sz w:val="28"/>
          <w:szCs w:val="28"/>
          <w:shd w:val="clear" w:color="auto" w:fill="FFFFFF"/>
          <w:lang w:val="en-US" w:eastAsia="zh-CN" w:bidi="ar-SA"/>
        </w:rPr>
        <w:t xml:space="preserve">、所投“书法教学直播系统” 的功能测试满足：“软件界面同时显示正面、侧面、特写三个画面，并在画面上进行标识，画面上清楚标识正面、侧面、特写。支持单镜头画面、双镜头画面、三镜头画面、画中画四种录播模式功能，四种显示模式都直接双击切换。支持三台摄像机的视频语音录制功能；支持三个画面同步回放功能；支持播放文件时间显示数字走表功能；支持在软件内直接修改视频、图片文件名，支持拍摄的视频文件自带拍摄年、月、日、时、分、秒信息”，且测试结果均为 P（表示符合GB/T25000.51-2016 标准）。 </w:t>
      </w:r>
    </w:p>
    <w:p>
      <w:pPr>
        <w:keepNext w:val="0"/>
        <w:keepLines w:val="0"/>
        <w:widowControl/>
        <w:suppressLineNumbers w:val="0"/>
        <w:ind w:firstLine="560" w:firstLineChars="200"/>
        <w:jc w:val="left"/>
        <w:rPr>
          <w:rFonts w:hint="eastAsia" w:ascii="宋体" w:hAnsi="宋体" w:eastAsia="宋体" w:cs="Times New Roman"/>
          <w:bCs/>
          <w:color w:val="000000"/>
          <w:kern w:val="2"/>
          <w:sz w:val="28"/>
          <w:szCs w:val="28"/>
          <w:shd w:val="clear" w:color="auto" w:fill="FFFFFF"/>
          <w:lang w:val="en-US" w:eastAsia="zh-CN" w:bidi="ar-SA"/>
        </w:rPr>
      </w:pPr>
      <w:r>
        <w:rPr>
          <w:rFonts w:hint="eastAsia" w:cs="Times New Roman"/>
          <w:bCs/>
          <w:color w:val="000000"/>
          <w:kern w:val="2"/>
          <w:sz w:val="28"/>
          <w:szCs w:val="28"/>
          <w:shd w:val="clear" w:color="auto" w:fill="FFFFFF"/>
          <w:lang w:val="en-US" w:eastAsia="zh-CN" w:bidi="ar-SA"/>
        </w:rPr>
        <w:t>5</w:t>
      </w:r>
      <w:r>
        <w:rPr>
          <w:rFonts w:hint="eastAsia" w:ascii="宋体" w:hAnsi="宋体" w:eastAsia="宋体" w:cs="Times New Roman"/>
          <w:bCs/>
          <w:color w:val="000000"/>
          <w:kern w:val="2"/>
          <w:sz w:val="28"/>
          <w:szCs w:val="28"/>
          <w:shd w:val="clear" w:color="auto" w:fill="FFFFFF"/>
          <w:lang w:val="en-US" w:eastAsia="zh-CN" w:bidi="ar-SA"/>
        </w:rPr>
        <w:t>、所投“书法教学查询系统” 的功能测试满足：“具备输入文字、拼音搜索功能，支持教育部推荐临摹、教育部推荐欣赏选项按钮；支持黑白反向功能，原贴是白底黑字的可以直接转换成黑底白字，原贴是黑底白字的可以直接转换成白底黑字”，且测试结果均为 P（表示符合 GB/T25000.51-2016 标准）。</w:t>
      </w:r>
    </w:p>
    <w:p>
      <w:pPr>
        <w:pStyle w:val="4"/>
        <w:ind w:left="0" w:leftChars="0" w:firstLine="560" w:firstLineChars="200"/>
        <w:rPr>
          <w:rFonts w:hint="eastAsia" w:ascii="宋体" w:hAnsi="宋体" w:eastAsia="宋体" w:cs="Times New Roman"/>
          <w:b w:val="0"/>
          <w:bCs/>
          <w:iCs w:val="0"/>
          <w:color w:val="000000"/>
          <w:kern w:val="2"/>
          <w:sz w:val="28"/>
          <w:szCs w:val="28"/>
          <w:shd w:val="clear" w:color="auto" w:fill="FFFFFF"/>
          <w:lang w:val="en-US" w:eastAsia="zh-CN" w:bidi="ar-SA"/>
        </w:rPr>
      </w:pPr>
      <w:r>
        <w:rPr>
          <w:rFonts w:hint="eastAsia" w:cs="Times New Roman"/>
          <w:b w:val="0"/>
          <w:bCs/>
          <w:iCs w:val="0"/>
          <w:color w:val="000000"/>
          <w:kern w:val="2"/>
          <w:sz w:val="28"/>
          <w:szCs w:val="28"/>
          <w:shd w:val="clear" w:color="auto" w:fill="FFFFFF"/>
          <w:lang w:val="en-US" w:eastAsia="zh-CN" w:bidi="ar-SA"/>
        </w:rPr>
        <w:t>6、</w:t>
      </w:r>
      <w:r>
        <w:rPr>
          <w:rFonts w:hint="eastAsia" w:ascii="宋体" w:hAnsi="宋体" w:eastAsia="宋体" w:cs="Times New Roman"/>
          <w:b w:val="0"/>
          <w:bCs/>
          <w:iCs w:val="0"/>
          <w:color w:val="000000"/>
          <w:kern w:val="2"/>
          <w:sz w:val="28"/>
          <w:szCs w:val="28"/>
          <w:shd w:val="clear" w:color="auto" w:fill="FFFFFF"/>
          <w:lang w:val="en-US" w:eastAsia="zh-CN" w:bidi="ar-SA"/>
        </w:rPr>
        <w:t>所投“三笔字板书示范书写软件”的功能测试满足：“具备在字体排版软件界面、视频资源库软件界面、视频直播软件界面、碑帖查询软件界面、课程讲义软件界面进行批注、点评功能”，且测试结果均为 P（表示符合 GB/T25000.51-2016 标准）</w:t>
      </w:r>
      <w:r>
        <w:rPr>
          <w:rFonts w:hint="eastAsia" w:cs="Times New Roman"/>
          <w:b w:val="0"/>
          <w:bCs/>
          <w:iCs w:val="0"/>
          <w:color w:val="000000"/>
          <w:kern w:val="2"/>
          <w:sz w:val="28"/>
          <w:szCs w:val="28"/>
          <w:shd w:val="clear" w:color="auto" w:fill="FFFFFF"/>
          <w:lang w:val="en-US" w:eastAsia="zh-CN" w:bidi="ar-SA"/>
        </w:rPr>
        <w:t>。</w:t>
      </w:r>
    </w:p>
    <w:p>
      <w:pPr>
        <w:pStyle w:val="4"/>
        <w:ind w:left="0" w:leftChars="0" w:firstLine="560" w:firstLineChars="200"/>
        <w:rPr>
          <w:rFonts w:hint="eastAsia" w:ascii="宋体" w:hAnsi="宋体" w:eastAsia="宋体" w:cs="Times New Roman"/>
          <w:b w:val="0"/>
          <w:bCs/>
          <w:iCs w:val="0"/>
          <w:color w:val="000000"/>
          <w:kern w:val="2"/>
          <w:sz w:val="28"/>
          <w:szCs w:val="28"/>
          <w:shd w:val="clear" w:color="auto" w:fill="FFFFFF"/>
          <w:lang w:val="zh-CN" w:eastAsia="zh-CN" w:bidi="ar-SA"/>
        </w:rPr>
      </w:pPr>
      <w:r>
        <w:rPr>
          <w:rFonts w:hint="eastAsia" w:cs="Times New Roman"/>
          <w:b w:val="0"/>
          <w:bCs/>
          <w:iCs w:val="0"/>
          <w:color w:val="000000"/>
          <w:kern w:val="2"/>
          <w:sz w:val="28"/>
          <w:szCs w:val="28"/>
          <w:shd w:val="clear" w:color="auto" w:fill="FFFFFF"/>
          <w:lang w:val="en-US" w:eastAsia="zh-CN" w:bidi="ar-SA"/>
        </w:rPr>
        <w:t>7、</w:t>
      </w:r>
      <w:r>
        <w:rPr>
          <w:rFonts w:hint="eastAsia" w:ascii="宋体" w:hAnsi="宋体" w:eastAsia="宋体" w:cs="Times New Roman"/>
          <w:b w:val="0"/>
          <w:bCs/>
          <w:iCs w:val="0"/>
          <w:color w:val="000000"/>
          <w:kern w:val="2"/>
          <w:sz w:val="28"/>
          <w:szCs w:val="28"/>
          <w:shd w:val="clear" w:color="auto" w:fill="FFFFFF"/>
          <w:lang w:val="en-US" w:eastAsia="zh-CN" w:bidi="ar-SA"/>
        </w:rPr>
        <w:t>供应商承诺中标后提供主要设备（中控系统、智慧黑板）生产厂商的三年售后服务承诺</w:t>
      </w:r>
      <w:r>
        <w:rPr>
          <w:rFonts w:hint="eastAsia" w:cs="Times New Roman"/>
          <w:b w:val="0"/>
          <w:bCs/>
          <w:iCs w:val="0"/>
          <w:color w:val="000000"/>
          <w:kern w:val="2"/>
          <w:sz w:val="28"/>
          <w:szCs w:val="28"/>
          <w:shd w:val="clear" w:color="auto" w:fill="FFFFFF"/>
          <w:lang w:val="en-US" w:eastAsia="zh-CN" w:bidi="ar-SA"/>
        </w:rPr>
        <w:t>。</w:t>
      </w:r>
    </w:p>
    <w:p>
      <w:pPr>
        <w:pStyle w:val="236"/>
        <w:spacing w:line="560" w:lineRule="exact"/>
        <w:jc w:val="both"/>
        <w:rPr>
          <w:rFonts w:hint="eastAsia"/>
          <w:color w:val="000000"/>
          <w:sz w:val="28"/>
          <w:shd w:val="clear" w:color="auto" w:fill="FFFFFF"/>
        </w:rPr>
      </w:pPr>
      <w:r>
        <w:rPr>
          <w:rFonts w:hint="eastAsia"/>
          <w:color w:val="000000"/>
          <w:sz w:val="28"/>
          <w:shd w:val="clear" w:color="auto" w:fill="FFFFFF"/>
        </w:rPr>
        <w:t>注：1、中小企业政府采购信用融资参加本次招标活动的中小企业</w:t>
      </w:r>
      <w:r>
        <w:rPr>
          <w:rFonts w:hint="eastAsia"/>
          <w:color w:val="000000"/>
          <w:sz w:val="28"/>
          <w:shd w:val="clear" w:color="auto" w:fill="FFFFFF"/>
          <w:lang w:eastAsia="zh-CN"/>
        </w:rPr>
        <w:t>供应商</w:t>
      </w:r>
      <w:r>
        <w:rPr>
          <w:rFonts w:hint="eastAsia"/>
          <w:color w:val="000000"/>
          <w:sz w:val="28"/>
          <w:shd w:val="clear" w:color="auto" w:fill="FFFFFF"/>
        </w:rPr>
        <w:t>无需提供财产抵押或第三方担保，凭借政府采购合同可向融资机构申请融资。具体内容详见招标文件附件中《成都市温江区财政局关于公布温江区首批支持中小企业政府采购信用融资银行名单的公告》和《成都市财政局关于公布成都市首批在线开展政府采购信用融资业务银行名单的通知》（成财采[2019]49号）。</w:t>
      </w:r>
    </w:p>
    <w:p>
      <w:pPr>
        <w:spacing w:line="560" w:lineRule="exact"/>
        <w:ind w:firstLine="560" w:firstLineChars="200"/>
        <w:rPr>
          <w:rFonts w:hint="eastAsia"/>
          <w:color w:val="000000"/>
          <w:sz w:val="28"/>
          <w:szCs w:val="28"/>
          <w:shd w:val="clear" w:color="auto" w:fill="FFFFFF"/>
        </w:rPr>
      </w:pPr>
      <w:r>
        <w:rPr>
          <w:rFonts w:hint="eastAsia"/>
          <w:color w:val="000000"/>
          <w:sz w:val="28"/>
          <w:szCs w:val="28"/>
          <w:shd w:val="clear" w:color="auto" w:fill="FFFFFF"/>
        </w:rPr>
        <w:t>2、采购项目资金首付比例原则上不低于政府采购合同总金额的30%。</w:t>
      </w:r>
    </w:p>
    <w:p>
      <w:pPr>
        <w:widowControl/>
        <w:spacing w:line="560" w:lineRule="exact"/>
        <w:ind w:firstLine="560" w:firstLineChars="200"/>
        <w:jc w:val="left"/>
        <w:rPr>
          <w:rFonts w:hint="eastAsia"/>
          <w:color w:val="000000"/>
          <w:sz w:val="28"/>
          <w:szCs w:val="28"/>
          <w:shd w:val="clear" w:color="auto" w:fill="FFFFFF"/>
        </w:rPr>
      </w:pPr>
      <w:r>
        <w:rPr>
          <w:rFonts w:hint="eastAsia"/>
          <w:color w:val="000000"/>
          <w:sz w:val="28"/>
          <w:szCs w:val="28"/>
          <w:shd w:val="clear" w:color="auto" w:fill="FFFFFF"/>
        </w:rPr>
        <w:t>3、采购单位应当自收到发票后20日内将资金支付到合同约定的</w:t>
      </w:r>
      <w:r>
        <w:rPr>
          <w:rFonts w:hint="eastAsia"/>
          <w:color w:val="000000"/>
          <w:sz w:val="28"/>
          <w:szCs w:val="28"/>
          <w:shd w:val="clear" w:color="auto" w:fill="FFFFFF"/>
          <w:lang w:eastAsia="zh-CN"/>
        </w:rPr>
        <w:t>供应商</w:t>
      </w:r>
      <w:r>
        <w:rPr>
          <w:rFonts w:hint="eastAsia"/>
          <w:color w:val="000000"/>
          <w:sz w:val="28"/>
          <w:szCs w:val="28"/>
          <w:shd w:val="clear" w:color="auto" w:fill="FFFFFF"/>
        </w:rPr>
        <w:t>账户。</w:t>
      </w:r>
    </w:p>
    <w:p>
      <w:pPr>
        <w:pStyle w:val="2"/>
        <w:rPr>
          <w:rFonts w:hint="eastAsia"/>
          <w:color w:val="000000"/>
        </w:rPr>
      </w:pPr>
    </w:p>
    <w:p>
      <w:pPr>
        <w:rPr>
          <w:rFonts w:hint="eastAsia"/>
          <w:color w:val="000000"/>
        </w:rPr>
      </w:pPr>
    </w:p>
    <w:p>
      <w:pPr>
        <w:pStyle w:val="2"/>
        <w:rPr>
          <w:rFonts w:hint="eastAsia"/>
          <w:color w:val="000000"/>
        </w:rPr>
      </w:pPr>
    </w:p>
    <w:p>
      <w:pPr>
        <w:rPr>
          <w:rFonts w:hint="eastAsia"/>
          <w:color w:val="000000"/>
        </w:rPr>
      </w:pPr>
    </w:p>
    <w:p>
      <w:pPr>
        <w:pStyle w:val="2"/>
        <w:rPr>
          <w:rFonts w:hint="eastAsia"/>
          <w:color w:val="000000"/>
        </w:rPr>
      </w:pPr>
    </w:p>
    <w:p>
      <w:pPr>
        <w:rPr>
          <w:rFonts w:hint="eastAsia"/>
          <w:color w:val="000000"/>
        </w:rPr>
      </w:pPr>
    </w:p>
    <w:p>
      <w:pPr>
        <w:pStyle w:val="2"/>
        <w:rPr>
          <w:rFonts w:hint="eastAsia"/>
          <w:color w:val="000000"/>
        </w:rPr>
      </w:pPr>
    </w:p>
    <w:p>
      <w:pPr>
        <w:rPr>
          <w:rFonts w:hint="eastAsia" w:eastAsia="宋体"/>
          <w:lang w:eastAsia="zh-CN"/>
        </w:rPr>
      </w:pPr>
    </w:p>
    <w:p>
      <w:pPr>
        <w:pStyle w:val="41"/>
        <w:rPr>
          <w:rFonts w:hint="eastAsia" w:eastAsia="宋体"/>
          <w:lang w:eastAsia="zh-CN"/>
        </w:rPr>
      </w:pPr>
    </w:p>
    <w:p>
      <w:pPr>
        <w:pStyle w:val="41"/>
        <w:rPr>
          <w:rFonts w:hint="eastAsia" w:eastAsia="宋体"/>
          <w:lang w:eastAsia="zh-CN"/>
        </w:rPr>
      </w:pPr>
    </w:p>
    <w:p>
      <w:pPr>
        <w:pStyle w:val="41"/>
        <w:rPr>
          <w:rFonts w:hint="eastAsia" w:eastAsia="宋体"/>
          <w:lang w:eastAsia="zh-CN"/>
        </w:rPr>
      </w:pPr>
    </w:p>
    <w:p>
      <w:pPr>
        <w:pStyle w:val="41"/>
        <w:rPr>
          <w:rFonts w:hint="eastAsia" w:eastAsia="宋体"/>
          <w:lang w:eastAsia="zh-CN"/>
        </w:rPr>
      </w:pPr>
    </w:p>
    <w:p>
      <w:pPr>
        <w:pStyle w:val="41"/>
        <w:rPr>
          <w:rFonts w:hint="eastAsia" w:eastAsia="宋体"/>
          <w:lang w:eastAsia="zh-CN"/>
        </w:rPr>
      </w:pPr>
    </w:p>
    <w:p>
      <w:pPr>
        <w:pStyle w:val="41"/>
        <w:rPr>
          <w:rFonts w:hint="eastAsia" w:eastAsia="宋体"/>
          <w:lang w:eastAsia="zh-CN"/>
        </w:rPr>
      </w:pPr>
    </w:p>
    <w:p>
      <w:pPr>
        <w:pStyle w:val="41"/>
        <w:rPr>
          <w:rFonts w:hint="eastAsia" w:eastAsia="宋体"/>
          <w:lang w:eastAsia="zh-CN"/>
        </w:rPr>
      </w:pPr>
    </w:p>
    <w:p>
      <w:pPr>
        <w:rPr>
          <w:rFonts w:hint="eastAsia"/>
          <w:color w:val="000000"/>
        </w:rPr>
      </w:pPr>
    </w:p>
    <w:p>
      <w:pPr>
        <w:pStyle w:val="2"/>
        <w:rPr>
          <w:rFonts w:hint="eastAsia"/>
          <w:color w:val="000000"/>
        </w:rPr>
      </w:pPr>
    </w:p>
    <w:p>
      <w:pPr>
        <w:rPr>
          <w:rFonts w:hint="eastAsia"/>
          <w:color w:val="000000"/>
        </w:rPr>
      </w:pPr>
    </w:p>
    <w:p>
      <w:pPr>
        <w:pStyle w:val="2"/>
        <w:rPr>
          <w:rFonts w:hint="eastAsia"/>
          <w:color w:val="000000"/>
        </w:rPr>
      </w:pPr>
    </w:p>
    <w:p>
      <w:pPr>
        <w:rPr>
          <w:rFonts w:hint="eastAsia"/>
        </w:rPr>
      </w:pPr>
    </w:p>
    <w:p>
      <w:pPr>
        <w:spacing w:line="245" w:lineRule="auto"/>
        <w:rPr>
          <w:rFonts w:ascii="Calibri"/>
          <w:sz w:val="21"/>
        </w:rPr>
      </w:pPr>
    </w:p>
    <w:p>
      <w:pPr>
        <w:spacing w:before="117" w:line="184" w:lineRule="auto"/>
        <w:ind w:firstLine="751"/>
        <w:rPr>
          <w:rFonts w:ascii="宋体" w:hAnsi="宋体" w:eastAsia="宋体" w:cs="宋体"/>
          <w:sz w:val="36"/>
          <w:szCs w:val="36"/>
          <w14:textOutline w14:w="6537" w14:cap="sq" w14:cmpd="sng">
            <w14:solidFill>
              <w14:srgbClr w14:val="000000"/>
            </w14:solidFill>
            <w14:prstDash w14:val="solid"/>
            <w14:bevel/>
          </w14:textOutline>
        </w:rPr>
      </w:pPr>
    </w:p>
    <w:p>
      <w:pPr>
        <w:spacing w:before="117" w:line="184" w:lineRule="auto"/>
        <w:ind w:firstLine="751"/>
        <w:rPr>
          <w:rFonts w:ascii="宋体" w:hAnsi="宋体" w:eastAsia="宋体" w:cs="宋体"/>
          <w:sz w:val="36"/>
          <w:szCs w:val="36"/>
        </w:rPr>
      </w:pPr>
      <w:r>
        <w:rPr>
          <w:rFonts w:ascii="宋体" w:hAnsi="宋体" w:eastAsia="宋体" w:cs="宋体"/>
          <w:sz w:val="36"/>
          <w:szCs w:val="36"/>
          <w14:textOutline w14:w="6537" w14:cap="sq" w14:cmpd="sng">
            <w14:solidFill>
              <w14:srgbClr w14:val="000000"/>
            </w14:solidFill>
            <w14:prstDash w14:val="solid"/>
            <w14:bevel/>
          </w14:textOutline>
        </w:rPr>
        <w:t>温江中学实验学校数字校园设备采购项目</w:t>
      </w:r>
    </w:p>
    <w:p>
      <w:pPr>
        <w:spacing w:line="242" w:lineRule="auto"/>
        <w:rPr>
          <w:rFonts w:ascii="Calibri"/>
          <w:sz w:val="21"/>
        </w:rPr>
      </w:pPr>
    </w:p>
    <w:p>
      <w:pPr>
        <w:spacing w:line="242" w:lineRule="auto"/>
        <w:rPr>
          <w:rFonts w:ascii="Calibri"/>
          <w:sz w:val="21"/>
        </w:rPr>
      </w:pPr>
    </w:p>
    <w:p>
      <w:pPr>
        <w:spacing w:line="242" w:lineRule="auto"/>
        <w:jc w:val="center"/>
        <w:rPr>
          <w:rFonts w:hint="eastAsia" w:ascii="Calibri"/>
          <w:sz w:val="72"/>
          <w:szCs w:val="96"/>
          <w:lang w:val="en-US" w:eastAsia="zh-CN"/>
        </w:rPr>
      </w:pPr>
    </w:p>
    <w:p>
      <w:pPr>
        <w:spacing w:line="242" w:lineRule="auto"/>
        <w:jc w:val="center"/>
        <w:rPr>
          <w:rFonts w:hint="eastAsia" w:ascii="Calibri"/>
          <w:sz w:val="72"/>
          <w:szCs w:val="96"/>
          <w:lang w:val="en-US" w:eastAsia="zh-CN"/>
        </w:rPr>
      </w:pPr>
      <w:r>
        <w:rPr>
          <w:rFonts w:hint="eastAsia" w:ascii="Calibri"/>
          <w:sz w:val="72"/>
          <w:szCs w:val="96"/>
          <w:lang w:val="en-US" w:eastAsia="zh-CN"/>
        </w:rPr>
        <w:t>技</w:t>
      </w:r>
    </w:p>
    <w:p>
      <w:pPr>
        <w:spacing w:line="242" w:lineRule="auto"/>
        <w:jc w:val="center"/>
        <w:rPr>
          <w:rFonts w:hint="eastAsia" w:ascii="Calibri"/>
          <w:sz w:val="72"/>
          <w:szCs w:val="96"/>
          <w:lang w:val="en-US" w:eastAsia="zh-CN"/>
        </w:rPr>
      </w:pPr>
    </w:p>
    <w:p>
      <w:pPr>
        <w:spacing w:line="242" w:lineRule="auto"/>
        <w:jc w:val="center"/>
        <w:rPr>
          <w:rFonts w:hint="eastAsia" w:ascii="Calibri"/>
          <w:sz w:val="72"/>
          <w:szCs w:val="96"/>
          <w:lang w:val="en-US" w:eastAsia="zh-CN"/>
        </w:rPr>
      </w:pPr>
      <w:r>
        <w:rPr>
          <w:rFonts w:hint="eastAsia" w:ascii="Calibri"/>
          <w:sz w:val="72"/>
          <w:szCs w:val="96"/>
          <w:lang w:val="en-US" w:eastAsia="zh-CN"/>
        </w:rPr>
        <w:t>术</w:t>
      </w:r>
    </w:p>
    <w:p>
      <w:pPr>
        <w:spacing w:line="242" w:lineRule="auto"/>
        <w:jc w:val="center"/>
        <w:rPr>
          <w:rFonts w:hint="eastAsia" w:ascii="Calibri"/>
          <w:sz w:val="72"/>
          <w:szCs w:val="96"/>
          <w:lang w:val="en-US" w:eastAsia="zh-CN"/>
        </w:rPr>
      </w:pPr>
    </w:p>
    <w:p>
      <w:pPr>
        <w:spacing w:line="242" w:lineRule="auto"/>
        <w:jc w:val="center"/>
        <w:rPr>
          <w:rFonts w:hint="eastAsia" w:ascii="Calibri"/>
          <w:sz w:val="72"/>
          <w:szCs w:val="96"/>
          <w:lang w:val="en-US" w:eastAsia="zh-CN"/>
        </w:rPr>
      </w:pPr>
      <w:r>
        <w:rPr>
          <w:rFonts w:hint="eastAsia" w:ascii="Calibri"/>
          <w:sz w:val="72"/>
          <w:szCs w:val="96"/>
          <w:lang w:val="en-US" w:eastAsia="zh-CN"/>
        </w:rPr>
        <w:t>方</w:t>
      </w:r>
    </w:p>
    <w:p>
      <w:pPr>
        <w:spacing w:line="242" w:lineRule="auto"/>
        <w:jc w:val="center"/>
        <w:rPr>
          <w:rFonts w:hint="eastAsia" w:ascii="Calibri"/>
          <w:sz w:val="72"/>
          <w:szCs w:val="96"/>
          <w:lang w:val="en-US" w:eastAsia="zh-CN"/>
        </w:rPr>
      </w:pPr>
    </w:p>
    <w:p>
      <w:pPr>
        <w:spacing w:line="242" w:lineRule="auto"/>
        <w:jc w:val="center"/>
        <w:rPr>
          <w:rFonts w:hint="default" w:ascii="Calibri" w:eastAsia="宋体"/>
          <w:sz w:val="52"/>
          <w:szCs w:val="56"/>
          <w:lang w:val="en-US" w:eastAsia="zh-CN"/>
        </w:rPr>
      </w:pPr>
      <w:r>
        <w:rPr>
          <w:rFonts w:hint="eastAsia" w:ascii="Calibri"/>
          <w:sz w:val="72"/>
          <w:szCs w:val="96"/>
          <w:lang w:val="en-US" w:eastAsia="zh-CN"/>
        </w:rPr>
        <w:t>案</w:t>
      </w:r>
    </w:p>
    <w:p>
      <w:pPr>
        <w:spacing w:line="242" w:lineRule="auto"/>
        <w:rPr>
          <w:rFonts w:ascii="Calibri"/>
          <w:sz w:val="21"/>
        </w:rPr>
      </w:pPr>
    </w:p>
    <w:p>
      <w:pPr>
        <w:spacing w:line="242" w:lineRule="auto"/>
        <w:rPr>
          <w:rFonts w:ascii="Calibri"/>
          <w:sz w:val="21"/>
        </w:rPr>
      </w:pPr>
    </w:p>
    <w:p>
      <w:pPr>
        <w:spacing w:line="242" w:lineRule="auto"/>
        <w:rPr>
          <w:rFonts w:ascii="Calibri"/>
          <w:sz w:val="21"/>
        </w:rPr>
      </w:pPr>
    </w:p>
    <w:p>
      <w:pPr>
        <w:spacing w:line="242" w:lineRule="auto"/>
        <w:rPr>
          <w:rFonts w:ascii="Calibri"/>
          <w:sz w:val="21"/>
        </w:rPr>
      </w:pPr>
    </w:p>
    <w:p>
      <w:pPr>
        <w:spacing w:line="242" w:lineRule="auto"/>
        <w:rPr>
          <w:rFonts w:ascii="Calibri"/>
          <w:sz w:val="21"/>
        </w:rPr>
      </w:pPr>
    </w:p>
    <w:p>
      <w:pPr>
        <w:spacing w:line="242" w:lineRule="auto"/>
        <w:rPr>
          <w:rFonts w:ascii="Calibri"/>
          <w:sz w:val="21"/>
        </w:rPr>
      </w:pPr>
    </w:p>
    <w:p>
      <w:pPr>
        <w:spacing w:line="242" w:lineRule="auto"/>
        <w:rPr>
          <w:rFonts w:ascii="Calibri"/>
          <w:sz w:val="21"/>
        </w:rPr>
      </w:pPr>
    </w:p>
    <w:p>
      <w:pPr>
        <w:spacing w:line="242" w:lineRule="auto"/>
        <w:rPr>
          <w:rFonts w:ascii="Calibri"/>
          <w:sz w:val="21"/>
        </w:rPr>
      </w:pPr>
    </w:p>
    <w:p>
      <w:pPr>
        <w:spacing w:line="242" w:lineRule="auto"/>
        <w:rPr>
          <w:rFonts w:ascii="Calibri"/>
          <w:sz w:val="21"/>
        </w:rPr>
      </w:pPr>
    </w:p>
    <w:p>
      <w:pPr>
        <w:spacing w:line="242" w:lineRule="auto"/>
        <w:rPr>
          <w:rFonts w:ascii="Calibri"/>
          <w:sz w:val="21"/>
        </w:rPr>
      </w:pPr>
    </w:p>
    <w:p>
      <w:pPr>
        <w:spacing w:line="242" w:lineRule="auto"/>
        <w:rPr>
          <w:rFonts w:ascii="Calibri"/>
          <w:sz w:val="21"/>
        </w:rPr>
      </w:pPr>
    </w:p>
    <w:p>
      <w:pPr>
        <w:spacing w:line="242" w:lineRule="auto"/>
        <w:rPr>
          <w:rFonts w:ascii="Calibri"/>
          <w:sz w:val="21"/>
        </w:rPr>
      </w:pPr>
    </w:p>
    <w:p>
      <w:pPr>
        <w:spacing w:line="242" w:lineRule="auto"/>
        <w:rPr>
          <w:rFonts w:ascii="Calibri"/>
          <w:sz w:val="21"/>
        </w:rPr>
      </w:pPr>
    </w:p>
    <w:p>
      <w:pPr>
        <w:spacing w:line="242" w:lineRule="auto"/>
        <w:rPr>
          <w:rFonts w:ascii="Calibri"/>
          <w:sz w:val="21"/>
        </w:rPr>
      </w:pPr>
    </w:p>
    <w:p>
      <w:pPr>
        <w:spacing w:line="242" w:lineRule="auto"/>
        <w:rPr>
          <w:rFonts w:ascii="Calibri"/>
          <w:sz w:val="21"/>
        </w:rPr>
      </w:pPr>
    </w:p>
    <w:p>
      <w:pPr>
        <w:spacing w:line="242" w:lineRule="auto"/>
        <w:rPr>
          <w:rFonts w:ascii="Calibri"/>
          <w:sz w:val="21"/>
        </w:rPr>
      </w:pPr>
    </w:p>
    <w:p>
      <w:pPr>
        <w:spacing w:line="242" w:lineRule="auto"/>
        <w:rPr>
          <w:rFonts w:ascii="Calibri"/>
          <w:sz w:val="21"/>
        </w:rPr>
      </w:pPr>
    </w:p>
    <w:p>
      <w:pPr>
        <w:spacing w:line="242" w:lineRule="auto"/>
        <w:rPr>
          <w:rFonts w:ascii="Calibri"/>
          <w:sz w:val="21"/>
        </w:rPr>
      </w:pPr>
    </w:p>
    <w:p>
      <w:pPr>
        <w:spacing w:line="242" w:lineRule="auto"/>
        <w:rPr>
          <w:rFonts w:ascii="Calibri"/>
          <w:sz w:val="21"/>
        </w:rPr>
      </w:pPr>
    </w:p>
    <w:p>
      <w:pPr>
        <w:spacing w:line="243" w:lineRule="auto"/>
        <w:rPr>
          <w:rFonts w:ascii="Calibri"/>
          <w:sz w:val="21"/>
        </w:rPr>
      </w:pPr>
    </w:p>
    <w:p>
      <w:pPr>
        <w:spacing w:line="243" w:lineRule="auto"/>
        <w:rPr>
          <w:rFonts w:ascii="Calibri"/>
          <w:sz w:val="21"/>
        </w:rPr>
      </w:pPr>
    </w:p>
    <w:p>
      <w:pPr>
        <w:spacing w:before="97" w:line="184" w:lineRule="auto"/>
        <w:ind w:firstLine="3265"/>
        <w:outlineLvl w:val="0"/>
        <w:rPr>
          <w:rFonts w:ascii="宋体" w:hAnsi="宋体" w:eastAsia="宋体" w:cs="宋体"/>
          <w:sz w:val="30"/>
          <w:szCs w:val="30"/>
        </w:rPr>
      </w:pPr>
      <w:bookmarkStart w:id="164" w:name="_bookmark1"/>
      <w:bookmarkEnd w:id="164"/>
      <w:bookmarkStart w:id="165" w:name="_Toc11020"/>
      <w:r>
        <w:rPr>
          <w:rFonts w:ascii="宋体" w:hAnsi="宋体" w:eastAsia="宋体" w:cs="宋体"/>
          <w:spacing w:val="-30"/>
          <w:sz w:val="30"/>
          <w:szCs w:val="30"/>
          <w14:textOutline w14:w="5448" w14:cap="sq" w14:cmpd="sng">
            <w14:solidFill>
              <w14:srgbClr w14:val="000000"/>
            </w14:solidFill>
            <w14:prstDash w14:val="solid"/>
            <w14:bevel/>
          </w14:textOutline>
        </w:rPr>
        <w:t>第一章项目简介</w:t>
      </w:r>
      <w:bookmarkEnd w:id="165"/>
    </w:p>
    <w:p>
      <w:pPr>
        <w:spacing w:line="267" w:lineRule="auto"/>
        <w:rPr>
          <w:rFonts w:ascii="Calibri"/>
          <w:sz w:val="21"/>
        </w:rPr>
      </w:pPr>
    </w:p>
    <w:p>
      <w:pPr>
        <w:spacing w:line="267" w:lineRule="auto"/>
        <w:rPr>
          <w:rFonts w:ascii="Calibri"/>
          <w:sz w:val="21"/>
        </w:rPr>
      </w:pPr>
    </w:p>
    <w:p>
      <w:pPr>
        <w:spacing w:before="91" w:line="185" w:lineRule="auto"/>
        <w:ind w:firstLine="45"/>
        <w:outlineLvl w:val="1"/>
        <w:rPr>
          <w:rFonts w:ascii="宋体" w:hAnsi="宋体" w:eastAsia="宋体" w:cs="宋体"/>
          <w:sz w:val="28"/>
          <w:szCs w:val="28"/>
        </w:rPr>
      </w:pPr>
      <w:bookmarkStart w:id="166" w:name="_bookmark2"/>
      <w:bookmarkEnd w:id="166"/>
      <w:bookmarkStart w:id="167" w:name="_Toc18647"/>
      <w:r>
        <w:rPr>
          <w:rFonts w:ascii="宋体" w:hAnsi="宋体" w:eastAsia="宋体" w:cs="宋体"/>
          <w:spacing w:val="-6"/>
          <w:sz w:val="28"/>
          <w:szCs w:val="28"/>
          <w14:textOutline w14:w="5103" w14:cap="sq" w14:cmpd="sng">
            <w14:solidFill>
              <w14:srgbClr w14:val="000000"/>
            </w14:solidFill>
            <w14:prstDash w14:val="solid"/>
            <w14:bevel/>
          </w14:textOutline>
        </w:rPr>
        <w:t>1.1</w:t>
      </w:r>
      <w:r>
        <w:rPr>
          <w:rFonts w:ascii="宋体" w:hAnsi="宋体" w:eastAsia="宋体" w:cs="宋体"/>
          <w:spacing w:val="-55"/>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项目名称</w:t>
      </w:r>
      <w:bookmarkEnd w:id="167"/>
    </w:p>
    <w:p>
      <w:pPr>
        <w:spacing w:line="367" w:lineRule="auto"/>
        <w:rPr>
          <w:rFonts w:ascii="Calibri"/>
          <w:sz w:val="21"/>
        </w:rPr>
      </w:pPr>
    </w:p>
    <w:p>
      <w:pPr>
        <w:spacing w:before="78" w:line="184" w:lineRule="auto"/>
        <w:ind w:firstLine="25"/>
        <w:rPr>
          <w:rFonts w:ascii="宋体" w:hAnsi="宋体" w:eastAsia="宋体" w:cs="宋体"/>
          <w:sz w:val="24"/>
          <w:szCs w:val="24"/>
        </w:rPr>
      </w:pPr>
      <w:r>
        <w:rPr>
          <w:rFonts w:ascii="宋体" w:hAnsi="宋体" w:eastAsia="宋体" w:cs="宋体"/>
          <w:spacing w:val="-1"/>
          <w:sz w:val="24"/>
          <w:szCs w:val="24"/>
        </w:rPr>
        <w:t>温江中学实验学校数字校园设备采购项目</w:t>
      </w:r>
    </w:p>
    <w:p>
      <w:pPr>
        <w:spacing w:line="351" w:lineRule="auto"/>
        <w:rPr>
          <w:rFonts w:ascii="Calibri"/>
          <w:sz w:val="21"/>
        </w:rPr>
      </w:pPr>
    </w:p>
    <w:p>
      <w:pPr>
        <w:spacing w:before="91" w:line="185" w:lineRule="auto"/>
        <w:ind w:firstLine="45"/>
        <w:outlineLvl w:val="1"/>
        <w:rPr>
          <w:rFonts w:ascii="宋体" w:hAnsi="宋体" w:eastAsia="宋体" w:cs="宋体"/>
          <w:sz w:val="28"/>
          <w:szCs w:val="28"/>
        </w:rPr>
      </w:pPr>
      <w:bookmarkStart w:id="168" w:name="_bookmark3"/>
      <w:bookmarkEnd w:id="168"/>
      <w:bookmarkStart w:id="169" w:name="_Toc7974"/>
      <w:r>
        <w:rPr>
          <w:rFonts w:ascii="宋体" w:hAnsi="宋体" w:eastAsia="宋体" w:cs="宋体"/>
          <w:spacing w:val="-5"/>
          <w:sz w:val="28"/>
          <w:szCs w:val="28"/>
          <w14:textOutline w14:w="5103" w14:cap="sq" w14:cmpd="sng">
            <w14:solidFill>
              <w14:srgbClr w14:val="000000"/>
            </w14:solidFill>
            <w14:prstDash w14:val="solid"/>
            <w14:bevel/>
          </w14:textOutline>
        </w:rPr>
        <w:t>1.2</w:t>
      </w:r>
      <w:r>
        <w:rPr>
          <w:rFonts w:ascii="宋体" w:hAnsi="宋体" w:eastAsia="宋体" w:cs="宋体"/>
          <w:spacing w:val="-48"/>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项目建设单位</w:t>
      </w:r>
      <w:bookmarkEnd w:id="169"/>
    </w:p>
    <w:p>
      <w:pPr>
        <w:spacing w:line="364" w:lineRule="auto"/>
        <w:rPr>
          <w:rFonts w:ascii="Calibri"/>
          <w:sz w:val="21"/>
        </w:rPr>
      </w:pPr>
    </w:p>
    <w:p>
      <w:pPr>
        <w:spacing w:before="79" w:line="184" w:lineRule="auto"/>
        <w:ind w:firstLine="25"/>
        <w:rPr>
          <w:rFonts w:ascii="宋体" w:hAnsi="宋体" w:eastAsia="宋体" w:cs="宋体"/>
          <w:sz w:val="24"/>
          <w:szCs w:val="24"/>
        </w:rPr>
      </w:pPr>
      <w:r>
        <w:rPr>
          <w:rFonts w:ascii="宋体" w:hAnsi="宋体" w:eastAsia="宋体" w:cs="宋体"/>
          <w:spacing w:val="-15"/>
          <w:sz w:val="24"/>
          <w:szCs w:val="24"/>
        </w:rPr>
        <w:t>单位名称：温江中学实验学校</w:t>
      </w:r>
    </w:p>
    <w:p>
      <w:pPr>
        <w:spacing w:line="286" w:lineRule="auto"/>
        <w:rPr>
          <w:rFonts w:ascii="Calibri"/>
          <w:sz w:val="21"/>
        </w:rPr>
      </w:pPr>
    </w:p>
    <w:p>
      <w:pPr>
        <w:spacing w:before="79"/>
        <w:ind w:left="33" w:right="11" w:hanging="8"/>
        <w:rPr>
          <w:rFonts w:ascii="Calibri"/>
          <w:sz w:val="21"/>
        </w:rPr>
      </w:pPr>
      <w:r>
        <w:rPr>
          <w:rFonts w:ascii="宋体" w:hAnsi="宋体" w:eastAsia="宋体" w:cs="宋体"/>
          <w:spacing w:val="-6"/>
          <w:sz w:val="24"/>
          <w:szCs w:val="24"/>
        </w:rPr>
        <w:t>单位职能：温江中学实验学校于</w:t>
      </w:r>
      <w:r>
        <w:rPr>
          <w:rFonts w:ascii="宋体" w:hAnsi="宋体" w:eastAsia="宋体" w:cs="宋体"/>
          <w:spacing w:val="-47"/>
          <w:sz w:val="24"/>
          <w:szCs w:val="24"/>
        </w:rPr>
        <w:t xml:space="preserve"> </w:t>
      </w:r>
      <w:r>
        <w:rPr>
          <w:rFonts w:ascii="Calibri" w:hAnsi="Calibri" w:eastAsia="Calibri" w:cs="Calibri"/>
          <w:spacing w:val="-6"/>
          <w:sz w:val="24"/>
          <w:szCs w:val="24"/>
        </w:rPr>
        <w:t>2013</w:t>
      </w:r>
      <w:r>
        <w:rPr>
          <w:rFonts w:ascii="Calibri" w:hAnsi="Calibri" w:eastAsia="Calibri" w:cs="Calibri"/>
          <w:spacing w:val="17"/>
          <w:w w:val="101"/>
          <w:sz w:val="24"/>
          <w:szCs w:val="24"/>
        </w:rPr>
        <w:t xml:space="preserve"> </w:t>
      </w:r>
      <w:r>
        <w:rPr>
          <w:rFonts w:ascii="宋体" w:hAnsi="宋体" w:eastAsia="宋体" w:cs="宋体"/>
          <w:spacing w:val="-6"/>
          <w:sz w:val="24"/>
          <w:szCs w:val="24"/>
        </w:rPr>
        <w:t>年在原温江中学初中部校址上成立，为全</w:t>
      </w:r>
      <w:r>
        <w:rPr>
          <w:rFonts w:ascii="宋体" w:hAnsi="宋体" w:eastAsia="宋体" w:cs="宋体"/>
          <w:spacing w:val="-4"/>
          <w:sz w:val="24"/>
          <w:szCs w:val="24"/>
        </w:rPr>
        <w:t>民制单设初级中学。经成都市温江区事业单位登记管理局登记批准，是具有法人</w:t>
      </w:r>
      <w:r>
        <w:rPr>
          <w:rFonts w:ascii="宋体" w:hAnsi="宋体" w:eastAsia="宋体" w:cs="宋体"/>
          <w:spacing w:val="-2"/>
          <w:sz w:val="24"/>
          <w:szCs w:val="24"/>
        </w:rPr>
        <w:t>资格的办学机构，独立承担民事责任。</w:t>
      </w:r>
    </w:p>
    <w:p>
      <w:pPr>
        <w:spacing w:before="91" w:line="185" w:lineRule="auto"/>
        <w:ind w:firstLine="45"/>
        <w:outlineLvl w:val="1"/>
        <w:rPr>
          <w:rFonts w:ascii="宋体" w:hAnsi="宋体" w:eastAsia="宋体" w:cs="宋体"/>
          <w:sz w:val="28"/>
          <w:szCs w:val="28"/>
        </w:rPr>
      </w:pPr>
      <w:bookmarkStart w:id="170" w:name="_bookmark4"/>
      <w:bookmarkEnd w:id="170"/>
      <w:bookmarkStart w:id="171" w:name="_Toc21781"/>
      <w:r>
        <w:rPr>
          <w:rFonts w:ascii="宋体" w:hAnsi="宋体" w:eastAsia="宋体" w:cs="宋体"/>
          <w:spacing w:val="-4"/>
          <w:sz w:val="28"/>
          <w:szCs w:val="28"/>
          <w14:textOutline w14:w="5103" w14:cap="sq" w14:cmpd="sng">
            <w14:solidFill>
              <w14:srgbClr w14:val="000000"/>
            </w14:solidFill>
            <w14:prstDash w14:val="solid"/>
            <w14:bevel/>
          </w14:textOutline>
        </w:rPr>
        <w:t>1.3</w:t>
      </w:r>
      <w:r>
        <w:rPr>
          <w:rFonts w:ascii="宋体" w:hAnsi="宋体" w:eastAsia="宋体" w:cs="宋体"/>
          <w:spacing w:val="-57"/>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方案编制单位</w:t>
      </w:r>
      <w:bookmarkEnd w:id="171"/>
    </w:p>
    <w:p>
      <w:pPr>
        <w:spacing w:line="367" w:lineRule="auto"/>
        <w:rPr>
          <w:rFonts w:ascii="Calibri"/>
          <w:sz w:val="21"/>
        </w:rPr>
      </w:pPr>
    </w:p>
    <w:p>
      <w:pPr>
        <w:spacing w:before="79" w:line="184" w:lineRule="auto"/>
        <w:ind w:firstLine="25"/>
        <w:sectPr>
          <w:headerReference r:id="rId7" w:type="default"/>
          <w:footerReference r:id="rId8" w:type="default"/>
          <w:pgSz w:w="11906" w:h="16839"/>
          <w:pgMar w:top="1192" w:right="1785" w:bottom="1104" w:left="1785" w:header="1178" w:footer="985" w:gutter="0"/>
          <w:cols w:space="720" w:num="1"/>
        </w:sectPr>
      </w:pPr>
      <w:r>
        <w:rPr>
          <w:rFonts w:ascii="宋体" w:hAnsi="宋体" w:eastAsia="宋体" w:cs="宋体"/>
          <w:spacing w:val="-15"/>
          <w:sz w:val="24"/>
          <w:szCs w:val="24"/>
        </w:rPr>
        <w:t>单位名称：</w:t>
      </w:r>
      <w:r>
        <w:rPr>
          <w:rFonts w:ascii="宋体" w:hAnsi="宋体" w:eastAsia="宋体" w:cs="宋体"/>
          <w:spacing w:val="63"/>
          <w:sz w:val="24"/>
          <w:szCs w:val="24"/>
        </w:rPr>
        <w:t xml:space="preserve"> </w:t>
      </w:r>
      <w:r>
        <w:rPr>
          <w:rFonts w:ascii="宋体" w:hAnsi="宋体" w:eastAsia="宋体" w:cs="宋体"/>
          <w:spacing w:val="-15"/>
          <w:sz w:val="24"/>
          <w:szCs w:val="24"/>
        </w:rPr>
        <w:t>温江中学实验学校</w:t>
      </w:r>
    </w:p>
    <w:p>
      <w:pPr>
        <w:spacing w:line="308" w:lineRule="auto"/>
        <w:rPr>
          <w:rFonts w:ascii="Calibri"/>
          <w:sz w:val="21"/>
        </w:rPr>
      </w:pPr>
    </w:p>
    <w:p>
      <w:pPr>
        <w:spacing w:before="91" w:line="185" w:lineRule="auto"/>
        <w:ind w:firstLine="45"/>
        <w:outlineLvl w:val="1"/>
        <w:rPr>
          <w:rFonts w:ascii="宋体" w:hAnsi="宋体" w:eastAsia="宋体" w:cs="宋体"/>
          <w:sz w:val="28"/>
          <w:szCs w:val="28"/>
        </w:rPr>
      </w:pPr>
      <w:bookmarkStart w:id="172" w:name="_bookmark5"/>
      <w:bookmarkEnd w:id="172"/>
      <w:bookmarkStart w:id="173" w:name="_Toc28899"/>
      <w:r>
        <w:rPr>
          <w:rFonts w:ascii="宋体" w:hAnsi="宋体" w:eastAsia="宋体" w:cs="宋体"/>
          <w:spacing w:val="-5"/>
          <w:sz w:val="28"/>
          <w:szCs w:val="28"/>
          <w14:textOutline w14:w="5103" w14:cap="sq" w14:cmpd="sng">
            <w14:solidFill>
              <w14:srgbClr w14:val="000000"/>
            </w14:solidFill>
            <w14:prstDash w14:val="solid"/>
            <w14:bevel/>
          </w14:textOutline>
        </w:rPr>
        <w:t>1.4</w:t>
      </w:r>
      <w:r>
        <w:rPr>
          <w:rFonts w:ascii="宋体" w:hAnsi="宋体" w:eastAsia="宋体" w:cs="宋体"/>
          <w:spacing w:val="-48"/>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项目建设依据</w:t>
      </w:r>
      <w:bookmarkEnd w:id="173"/>
    </w:p>
    <w:p>
      <w:pPr>
        <w:spacing w:line="439" w:lineRule="auto"/>
        <w:rPr>
          <w:rFonts w:ascii="Calibri"/>
          <w:sz w:val="21"/>
        </w:rPr>
      </w:pPr>
    </w:p>
    <w:p>
      <w:pPr>
        <w:spacing w:before="78" w:line="184" w:lineRule="auto"/>
        <w:ind w:firstLine="31"/>
        <w:outlineLvl w:val="2"/>
        <w:rPr>
          <w:rFonts w:ascii="宋体" w:hAnsi="宋体" w:eastAsia="宋体" w:cs="宋体"/>
          <w:sz w:val="24"/>
          <w:szCs w:val="24"/>
        </w:rPr>
      </w:pPr>
      <w:bookmarkStart w:id="174" w:name="_bookmark6"/>
      <w:bookmarkEnd w:id="174"/>
      <w:bookmarkStart w:id="175" w:name="_Toc27672"/>
      <w:r>
        <w:rPr>
          <w:rFonts w:ascii="Calibri" w:hAnsi="Calibri" w:eastAsia="Calibri" w:cs="Calibri"/>
          <w:b/>
          <w:bCs/>
          <w:spacing w:val="-3"/>
          <w:sz w:val="24"/>
          <w:szCs w:val="24"/>
        </w:rPr>
        <w:t>1.4.1</w:t>
      </w:r>
      <w:r>
        <w:rPr>
          <w:rFonts w:ascii="Calibri" w:hAnsi="Calibri" w:eastAsia="Calibri" w:cs="Calibri"/>
          <w:spacing w:val="16"/>
          <w:w w:val="101"/>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政策文件</w:t>
      </w:r>
      <w:bookmarkEnd w:id="175"/>
    </w:p>
    <w:p>
      <w:pPr>
        <w:spacing w:before="264" w:line="480" w:lineRule="auto"/>
        <w:ind w:left="24" w:right="132"/>
        <w:rPr>
          <w:rFonts w:ascii="宋体" w:hAnsi="宋体" w:eastAsia="宋体" w:cs="宋体"/>
          <w:sz w:val="24"/>
          <w:szCs w:val="24"/>
        </w:rPr>
      </w:pPr>
      <w:r>
        <w:rPr>
          <w:rFonts w:ascii="宋体" w:hAnsi="宋体" w:eastAsia="宋体" w:cs="宋体"/>
          <w:spacing w:val="-6"/>
          <w:sz w:val="24"/>
          <w:szCs w:val="24"/>
        </w:rPr>
        <w:t>《国家中长期教育改革和发展规划纲要（</w:t>
      </w:r>
      <w:r>
        <w:rPr>
          <w:rFonts w:ascii="宋体" w:hAnsi="宋体" w:eastAsia="宋体" w:cs="宋体"/>
          <w:spacing w:val="-61"/>
          <w:sz w:val="24"/>
          <w:szCs w:val="24"/>
        </w:rPr>
        <w:t xml:space="preserve"> </w:t>
      </w:r>
      <w:r>
        <w:rPr>
          <w:rFonts w:ascii="Calibri" w:hAnsi="Calibri" w:eastAsia="Calibri" w:cs="Calibri"/>
          <w:spacing w:val="-6"/>
          <w:sz w:val="24"/>
          <w:szCs w:val="24"/>
        </w:rPr>
        <w:t>2010-2020</w:t>
      </w:r>
      <w:r>
        <w:rPr>
          <w:rFonts w:ascii="Calibri" w:hAnsi="Calibri" w:eastAsia="Calibri" w:cs="Calibri"/>
          <w:spacing w:val="15"/>
          <w:sz w:val="24"/>
          <w:szCs w:val="24"/>
        </w:rPr>
        <w:t xml:space="preserve"> </w:t>
      </w:r>
      <w:r>
        <w:rPr>
          <w:rFonts w:ascii="宋体" w:hAnsi="宋体" w:eastAsia="宋体" w:cs="宋体"/>
          <w:spacing w:val="-6"/>
          <w:sz w:val="24"/>
          <w:szCs w:val="24"/>
        </w:rPr>
        <w:t>年）</w:t>
      </w:r>
      <w:r>
        <w:rPr>
          <w:rFonts w:ascii="宋体" w:hAnsi="宋体" w:eastAsia="宋体" w:cs="宋体"/>
          <w:spacing w:val="28"/>
          <w:sz w:val="24"/>
          <w:szCs w:val="24"/>
        </w:rPr>
        <w:t xml:space="preserve"> </w:t>
      </w:r>
      <w:r>
        <w:rPr>
          <w:rFonts w:ascii="宋体" w:hAnsi="宋体" w:eastAsia="宋体" w:cs="宋体"/>
          <w:spacing w:val="-6"/>
          <w:sz w:val="24"/>
          <w:szCs w:val="24"/>
        </w:rPr>
        <w:t>》（中发</w:t>
      </w:r>
      <w:r>
        <w:rPr>
          <w:rFonts w:ascii="Calibri" w:hAnsi="Calibri" w:eastAsia="Calibri" w:cs="Calibri"/>
          <w:spacing w:val="-6"/>
          <w:sz w:val="24"/>
          <w:szCs w:val="24"/>
        </w:rPr>
        <w:t>[2010]12</w:t>
      </w:r>
      <w:r>
        <w:rPr>
          <w:rFonts w:ascii="Calibri" w:hAnsi="Calibri" w:eastAsia="Calibri" w:cs="Calibri"/>
          <w:spacing w:val="20"/>
          <w:sz w:val="24"/>
          <w:szCs w:val="24"/>
        </w:rPr>
        <w:t xml:space="preserve"> </w:t>
      </w:r>
      <w:r>
        <w:rPr>
          <w:rFonts w:ascii="宋体" w:hAnsi="宋体" w:eastAsia="宋体" w:cs="宋体"/>
          <w:spacing w:val="-6"/>
          <w:sz w:val="24"/>
          <w:szCs w:val="24"/>
        </w:rPr>
        <w:t>号）</w:t>
      </w:r>
      <w:r>
        <w:rPr>
          <w:rFonts w:ascii="宋体" w:hAnsi="宋体" w:eastAsia="宋体" w:cs="宋体"/>
          <w:sz w:val="24"/>
          <w:szCs w:val="24"/>
        </w:rPr>
        <w:t xml:space="preserve"> </w:t>
      </w:r>
    </w:p>
    <w:p>
      <w:pPr>
        <w:spacing w:before="264" w:line="480" w:lineRule="auto"/>
        <w:ind w:left="24" w:right="132"/>
        <w:rPr>
          <w:rFonts w:ascii="宋体" w:hAnsi="宋体" w:eastAsia="宋体" w:cs="宋体"/>
          <w:sz w:val="24"/>
          <w:szCs w:val="24"/>
        </w:rPr>
      </w:pPr>
      <w:r>
        <w:rPr>
          <w:rFonts w:ascii="宋体" w:hAnsi="宋体" w:eastAsia="宋体" w:cs="宋体"/>
          <w:spacing w:val="-7"/>
          <w:sz w:val="24"/>
          <w:szCs w:val="24"/>
        </w:rPr>
        <w:t>《教育信息化十年发展规划（</w:t>
      </w:r>
      <w:r>
        <w:rPr>
          <w:rFonts w:ascii="宋体" w:hAnsi="宋体" w:eastAsia="宋体" w:cs="宋体"/>
          <w:spacing w:val="-43"/>
          <w:sz w:val="24"/>
          <w:szCs w:val="24"/>
        </w:rPr>
        <w:t xml:space="preserve"> </w:t>
      </w:r>
      <w:r>
        <w:rPr>
          <w:rFonts w:ascii="Calibri" w:hAnsi="Calibri" w:eastAsia="Calibri" w:cs="Calibri"/>
          <w:spacing w:val="-7"/>
          <w:sz w:val="24"/>
          <w:szCs w:val="24"/>
        </w:rPr>
        <w:t>2011</w:t>
      </w:r>
      <w:r>
        <w:rPr>
          <w:rFonts w:ascii="宋体" w:hAnsi="宋体" w:eastAsia="宋体" w:cs="宋体"/>
          <w:spacing w:val="-7"/>
          <w:sz w:val="24"/>
          <w:szCs w:val="24"/>
        </w:rPr>
        <w:t>－</w:t>
      </w:r>
      <w:r>
        <w:rPr>
          <w:rFonts w:ascii="Calibri" w:hAnsi="Calibri" w:eastAsia="Calibri" w:cs="Calibri"/>
          <w:spacing w:val="-7"/>
          <w:sz w:val="24"/>
          <w:szCs w:val="24"/>
        </w:rPr>
        <w:t>2020</w:t>
      </w:r>
      <w:r>
        <w:rPr>
          <w:rFonts w:ascii="Calibri" w:hAnsi="Calibri" w:eastAsia="Calibri" w:cs="Calibri"/>
          <w:spacing w:val="15"/>
          <w:sz w:val="24"/>
          <w:szCs w:val="24"/>
        </w:rPr>
        <w:t xml:space="preserve"> </w:t>
      </w:r>
      <w:r>
        <w:rPr>
          <w:rFonts w:ascii="宋体" w:hAnsi="宋体" w:eastAsia="宋体" w:cs="宋体"/>
          <w:spacing w:val="-7"/>
          <w:sz w:val="24"/>
          <w:szCs w:val="24"/>
        </w:rPr>
        <w:t>年）</w:t>
      </w:r>
      <w:r>
        <w:rPr>
          <w:rFonts w:ascii="宋体" w:hAnsi="宋体" w:eastAsia="宋体" w:cs="宋体"/>
          <w:spacing w:val="28"/>
          <w:sz w:val="24"/>
          <w:szCs w:val="24"/>
        </w:rPr>
        <w:t xml:space="preserve"> </w:t>
      </w:r>
      <w:r>
        <w:rPr>
          <w:rFonts w:ascii="宋体" w:hAnsi="宋体" w:eastAsia="宋体" w:cs="宋体"/>
          <w:spacing w:val="-7"/>
          <w:sz w:val="24"/>
          <w:szCs w:val="24"/>
        </w:rPr>
        <w:t>》（教技</w:t>
      </w:r>
      <w:r>
        <w:rPr>
          <w:rFonts w:ascii="Calibri" w:hAnsi="Calibri" w:eastAsia="Calibri" w:cs="Calibri"/>
          <w:spacing w:val="-7"/>
          <w:sz w:val="24"/>
          <w:szCs w:val="24"/>
        </w:rPr>
        <w:t>[2012]5</w:t>
      </w:r>
      <w:r>
        <w:rPr>
          <w:rFonts w:ascii="Calibri" w:hAnsi="Calibri" w:eastAsia="Calibri" w:cs="Calibri"/>
          <w:spacing w:val="19"/>
          <w:w w:val="101"/>
          <w:sz w:val="24"/>
          <w:szCs w:val="24"/>
        </w:rPr>
        <w:t xml:space="preserve"> </w:t>
      </w:r>
      <w:r>
        <w:rPr>
          <w:rFonts w:ascii="宋体" w:hAnsi="宋体" w:eastAsia="宋体" w:cs="宋体"/>
          <w:spacing w:val="-7"/>
          <w:sz w:val="24"/>
          <w:szCs w:val="24"/>
        </w:rPr>
        <w:t>号）</w:t>
      </w:r>
    </w:p>
    <w:p>
      <w:pPr>
        <w:spacing w:before="40" w:line="184" w:lineRule="auto"/>
        <w:ind w:firstLine="24"/>
        <w:rPr>
          <w:rFonts w:ascii="宋体" w:hAnsi="宋体" w:eastAsia="宋体" w:cs="宋体"/>
          <w:sz w:val="24"/>
          <w:szCs w:val="24"/>
        </w:rPr>
      </w:pPr>
      <w:r>
        <w:rPr>
          <w:rFonts w:ascii="宋体" w:hAnsi="宋体" w:eastAsia="宋体" w:cs="宋体"/>
          <w:spacing w:val="-7"/>
          <w:sz w:val="24"/>
          <w:szCs w:val="24"/>
        </w:rPr>
        <w:t>《教育信息化</w:t>
      </w:r>
      <w:r>
        <w:rPr>
          <w:rFonts w:ascii="宋体" w:hAnsi="宋体" w:eastAsia="宋体" w:cs="宋体"/>
          <w:spacing w:val="-34"/>
          <w:sz w:val="24"/>
          <w:szCs w:val="24"/>
        </w:rPr>
        <w:t xml:space="preserve"> </w:t>
      </w:r>
      <w:r>
        <w:rPr>
          <w:rFonts w:ascii="Calibri" w:hAnsi="Calibri" w:eastAsia="Calibri" w:cs="Calibri"/>
          <w:spacing w:val="-7"/>
          <w:sz w:val="24"/>
          <w:szCs w:val="24"/>
        </w:rPr>
        <w:t>2.0</w:t>
      </w:r>
      <w:r>
        <w:rPr>
          <w:rFonts w:ascii="Calibri" w:hAnsi="Calibri" w:eastAsia="Calibri" w:cs="Calibri"/>
          <w:spacing w:val="18"/>
          <w:sz w:val="24"/>
          <w:szCs w:val="24"/>
        </w:rPr>
        <w:t xml:space="preserve"> </w:t>
      </w:r>
      <w:r>
        <w:rPr>
          <w:rFonts w:ascii="宋体" w:hAnsi="宋体" w:eastAsia="宋体" w:cs="宋体"/>
          <w:spacing w:val="-7"/>
          <w:sz w:val="24"/>
          <w:szCs w:val="24"/>
        </w:rPr>
        <w:t>行动计划》</w:t>
      </w:r>
      <w:r>
        <w:rPr>
          <w:rFonts w:ascii="宋体" w:hAnsi="宋体" w:eastAsia="宋体" w:cs="宋体"/>
          <w:spacing w:val="-3"/>
          <w:sz w:val="24"/>
          <w:szCs w:val="24"/>
        </w:rPr>
        <w:t xml:space="preserve"> </w:t>
      </w:r>
      <w:r>
        <w:rPr>
          <w:rFonts w:ascii="宋体" w:hAnsi="宋体" w:eastAsia="宋体" w:cs="宋体"/>
          <w:spacing w:val="-7"/>
          <w:sz w:val="24"/>
          <w:szCs w:val="24"/>
        </w:rPr>
        <w:t>（教技〔</w:t>
      </w:r>
      <w:r>
        <w:rPr>
          <w:rFonts w:ascii="Calibri" w:hAnsi="Calibri" w:eastAsia="Calibri" w:cs="Calibri"/>
          <w:spacing w:val="-7"/>
          <w:sz w:val="24"/>
          <w:szCs w:val="24"/>
        </w:rPr>
        <w:t>2018</w:t>
      </w:r>
      <w:r>
        <w:rPr>
          <w:rFonts w:ascii="宋体" w:hAnsi="宋体" w:eastAsia="宋体" w:cs="宋体"/>
          <w:spacing w:val="-7"/>
          <w:sz w:val="24"/>
          <w:szCs w:val="24"/>
        </w:rPr>
        <w:t>〕</w:t>
      </w:r>
      <w:r>
        <w:rPr>
          <w:rFonts w:ascii="Calibri" w:hAnsi="Calibri" w:eastAsia="Calibri" w:cs="Calibri"/>
          <w:spacing w:val="-7"/>
          <w:sz w:val="24"/>
          <w:szCs w:val="24"/>
        </w:rPr>
        <w:t>6</w:t>
      </w:r>
      <w:r>
        <w:rPr>
          <w:rFonts w:ascii="Calibri" w:hAnsi="Calibri" w:eastAsia="Calibri" w:cs="Calibri"/>
          <w:spacing w:val="22"/>
          <w:sz w:val="24"/>
          <w:szCs w:val="24"/>
        </w:rPr>
        <w:t xml:space="preserve"> </w:t>
      </w:r>
      <w:r>
        <w:rPr>
          <w:rFonts w:ascii="宋体" w:hAnsi="宋体" w:eastAsia="宋体" w:cs="宋体"/>
          <w:spacing w:val="-7"/>
          <w:sz w:val="24"/>
          <w:szCs w:val="24"/>
        </w:rPr>
        <w:t>号）</w:t>
      </w:r>
    </w:p>
    <w:p>
      <w:pPr>
        <w:spacing w:line="287" w:lineRule="auto"/>
        <w:rPr>
          <w:rFonts w:ascii="Calibri"/>
          <w:sz w:val="21"/>
        </w:rPr>
      </w:pPr>
    </w:p>
    <w:p>
      <w:pPr>
        <w:spacing w:before="78" w:line="184" w:lineRule="auto"/>
        <w:ind w:firstLine="24"/>
        <w:rPr>
          <w:rFonts w:ascii="宋体" w:hAnsi="宋体" w:eastAsia="宋体" w:cs="宋体"/>
          <w:sz w:val="24"/>
          <w:szCs w:val="24"/>
        </w:rPr>
      </w:pPr>
      <w:r>
        <w:rPr>
          <w:rFonts w:ascii="宋体" w:hAnsi="宋体" w:eastAsia="宋体" w:cs="宋体"/>
          <w:spacing w:val="-6"/>
          <w:sz w:val="24"/>
          <w:szCs w:val="24"/>
        </w:rPr>
        <w:t>《中小学数字校园建设规范》</w:t>
      </w:r>
      <w:r>
        <w:rPr>
          <w:rFonts w:ascii="宋体" w:hAnsi="宋体" w:eastAsia="宋体" w:cs="宋体"/>
          <w:spacing w:val="2"/>
          <w:sz w:val="24"/>
          <w:szCs w:val="24"/>
        </w:rPr>
        <w:t xml:space="preserve"> </w:t>
      </w:r>
      <w:r>
        <w:rPr>
          <w:rFonts w:ascii="宋体" w:hAnsi="宋体" w:eastAsia="宋体" w:cs="宋体"/>
          <w:spacing w:val="-6"/>
          <w:sz w:val="24"/>
          <w:szCs w:val="24"/>
        </w:rPr>
        <w:t>（教技〔</w:t>
      </w:r>
      <w:r>
        <w:rPr>
          <w:rFonts w:ascii="Calibri" w:hAnsi="Calibri" w:eastAsia="Calibri" w:cs="Calibri"/>
          <w:spacing w:val="-6"/>
          <w:sz w:val="24"/>
          <w:szCs w:val="24"/>
        </w:rPr>
        <w:t>2018</w:t>
      </w:r>
      <w:r>
        <w:rPr>
          <w:rFonts w:ascii="宋体" w:hAnsi="宋体" w:eastAsia="宋体" w:cs="宋体"/>
          <w:spacing w:val="-6"/>
          <w:sz w:val="24"/>
          <w:szCs w:val="24"/>
        </w:rPr>
        <w:t>〕</w:t>
      </w:r>
      <w:r>
        <w:rPr>
          <w:rFonts w:ascii="Calibri" w:hAnsi="Calibri" w:eastAsia="Calibri" w:cs="Calibri"/>
          <w:spacing w:val="-6"/>
          <w:sz w:val="24"/>
          <w:szCs w:val="24"/>
        </w:rPr>
        <w:t>5</w:t>
      </w:r>
      <w:r>
        <w:rPr>
          <w:rFonts w:ascii="Calibri" w:hAnsi="Calibri" w:eastAsia="Calibri" w:cs="Calibri"/>
          <w:spacing w:val="22"/>
          <w:sz w:val="24"/>
          <w:szCs w:val="24"/>
        </w:rPr>
        <w:t xml:space="preserve"> </w:t>
      </w:r>
      <w:r>
        <w:rPr>
          <w:rFonts w:ascii="宋体" w:hAnsi="宋体" w:eastAsia="宋体" w:cs="宋体"/>
          <w:spacing w:val="-6"/>
          <w:sz w:val="24"/>
          <w:szCs w:val="24"/>
        </w:rPr>
        <w:t>号）</w:t>
      </w:r>
    </w:p>
    <w:p>
      <w:pPr>
        <w:spacing w:line="249" w:lineRule="auto"/>
        <w:rPr>
          <w:rFonts w:ascii="Calibri"/>
          <w:sz w:val="21"/>
        </w:rPr>
      </w:pPr>
    </w:p>
    <w:p>
      <w:pPr>
        <w:spacing w:before="78" w:line="321" w:lineRule="exact"/>
        <w:ind w:firstLine="24"/>
        <w:rPr>
          <w:rFonts w:ascii="Calibri" w:hAnsi="Calibri" w:eastAsia="Calibri" w:cs="Calibri"/>
          <w:sz w:val="24"/>
          <w:szCs w:val="24"/>
        </w:rPr>
      </w:pPr>
      <w:r>
        <w:rPr>
          <w:rFonts w:ascii="宋体" w:hAnsi="宋体" w:eastAsia="宋体" w:cs="宋体"/>
          <w:spacing w:val="-5"/>
          <w:position w:val="1"/>
          <w:sz w:val="24"/>
          <w:szCs w:val="24"/>
        </w:rPr>
        <w:t>《成都市数字校园建设与应用评价标准》</w:t>
      </w:r>
      <w:r>
        <w:rPr>
          <w:rFonts w:ascii="宋体" w:hAnsi="宋体" w:eastAsia="宋体" w:cs="宋体"/>
          <w:spacing w:val="9"/>
          <w:position w:val="1"/>
          <w:sz w:val="24"/>
          <w:szCs w:val="24"/>
        </w:rPr>
        <w:t xml:space="preserve"> </w:t>
      </w:r>
      <w:r>
        <w:rPr>
          <w:rFonts w:ascii="Calibri" w:hAnsi="Calibri" w:eastAsia="Calibri" w:cs="Calibri"/>
          <w:spacing w:val="-5"/>
          <w:position w:val="1"/>
          <w:sz w:val="24"/>
          <w:szCs w:val="24"/>
        </w:rPr>
        <w:t>(</w:t>
      </w:r>
      <w:r>
        <w:rPr>
          <w:rFonts w:ascii="宋体" w:hAnsi="宋体" w:eastAsia="宋体" w:cs="宋体"/>
          <w:spacing w:val="-5"/>
          <w:position w:val="1"/>
          <w:sz w:val="24"/>
          <w:szCs w:val="24"/>
        </w:rPr>
        <w:t>成教办〔</w:t>
      </w:r>
      <w:r>
        <w:rPr>
          <w:rFonts w:ascii="Calibri" w:hAnsi="Calibri" w:eastAsia="Calibri" w:cs="Calibri"/>
          <w:spacing w:val="-5"/>
          <w:position w:val="1"/>
          <w:sz w:val="24"/>
          <w:szCs w:val="24"/>
        </w:rPr>
        <w:t>2016</w:t>
      </w:r>
      <w:r>
        <w:rPr>
          <w:rFonts w:ascii="宋体" w:hAnsi="宋体" w:eastAsia="宋体" w:cs="宋体"/>
          <w:spacing w:val="-5"/>
          <w:position w:val="1"/>
          <w:sz w:val="24"/>
          <w:szCs w:val="24"/>
        </w:rPr>
        <w:t>〕</w:t>
      </w:r>
      <w:r>
        <w:rPr>
          <w:rFonts w:ascii="Calibri" w:hAnsi="Calibri" w:eastAsia="Calibri" w:cs="Calibri"/>
          <w:spacing w:val="-5"/>
          <w:position w:val="1"/>
          <w:sz w:val="24"/>
          <w:szCs w:val="24"/>
        </w:rPr>
        <w:t>2</w:t>
      </w:r>
      <w:r>
        <w:rPr>
          <w:rFonts w:ascii="Calibri" w:hAnsi="Calibri" w:eastAsia="Calibri" w:cs="Calibri"/>
          <w:spacing w:val="12"/>
          <w:w w:val="101"/>
          <w:position w:val="1"/>
          <w:sz w:val="24"/>
          <w:szCs w:val="24"/>
        </w:rPr>
        <w:t xml:space="preserve">  </w:t>
      </w:r>
      <w:r>
        <w:rPr>
          <w:rFonts w:ascii="宋体" w:hAnsi="宋体" w:eastAsia="宋体" w:cs="宋体"/>
          <w:spacing w:val="-5"/>
          <w:position w:val="1"/>
          <w:sz w:val="24"/>
          <w:szCs w:val="24"/>
        </w:rPr>
        <w:t>号</w:t>
      </w:r>
      <w:r>
        <w:rPr>
          <w:rFonts w:ascii="Calibri" w:hAnsi="Calibri" w:eastAsia="Calibri" w:cs="Calibri"/>
          <w:spacing w:val="-5"/>
          <w:position w:val="1"/>
          <w:sz w:val="24"/>
          <w:szCs w:val="24"/>
        </w:rPr>
        <w:t>)</w:t>
      </w:r>
    </w:p>
    <w:p>
      <w:pPr>
        <w:spacing w:line="248" w:lineRule="auto"/>
        <w:rPr>
          <w:rFonts w:ascii="Calibri"/>
          <w:sz w:val="21"/>
        </w:rPr>
      </w:pPr>
    </w:p>
    <w:p>
      <w:pPr>
        <w:spacing w:before="78" w:line="480" w:lineRule="auto"/>
        <w:ind w:left="34" w:hanging="10"/>
        <w:rPr>
          <w:rFonts w:ascii="宋体" w:hAnsi="宋体" w:eastAsia="宋体" w:cs="宋体"/>
          <w:sz w:val="24"/>
          <w:szCs w:val="24"/>
        </w:rPr>
      </w:pPr>
      <w:r>
        <w:rPr>
          <w:rFonts w:ascii="宋体" w:hAnsi="宋体" w:eastAsia="宋体" w:cs="宋体"/>
          <w:spacing w:val="-18"/>
          <w:sz w:val="24"/>
          <w:szCs w:val="24"/>
        </w:rPr>
        <w:t>《成都市温江区中小学“数字校园”建设实施方案（</w:t>
      </w:r>
      <w:r>
        <w:rPr>
          <w:rFonts w:ascii="Calibri" w:hAnsi="Calibri" w:eastAsia="Calibri" w:cs="Calibri"/>
          <w:spacing w:val="-18"/>
          <w:sz w:val="24"/>
          <w:szCs w:val="24"/>
        </w:rPr>
        <w:t>2018</w:t>
      </w:r>
      <w:r>
        <w:rPr>
          <w:rFonts w:ascii="宋体" w:hAnsi="宋体" w:eastAsia="宋体" w:cs="宋体"/>
          <w:spacing w:val="-18"/>
          <w:sz w:val="24"/>
          <w:szCs w:val="24"/>
        </w:rPr>
        <w:t>—</w:t>
      </w:r>
      <w:r>
        <w:rPr>
          <w:rFonts w:ascii="Calibri" w:hAnsi="Calibri" w:eastAsia="Calibri" w:cs="Calibri"/>
          <w:spacing w:val="-18"/>
          <w:sz w:val="24"/>
          <w:szCs w:val="24"/>
        </w:rPr>
        <w:t>2020</w:t>
      </w:r>
      <w:r>
        <w:rPr>
          <w:rFonts w:ascii="宋体" w:hAnsi="宋体" w:eastAsia="宋体" w:cs="宋体"/>
          <w:spacing w:val="-18"/>
          <w:sz w:val="24"/>
          <w:szCs w:val="24"/>
        </w:rPr>
        <w:t>）》（温教发〔</w:t>
      </w:r>
      <w:r>
        <w:rPr>
          <w:rFonts w:ascii="Calibri" w:hAnsi="Calibri" w:eastAsia="Calibri" w:cs="Calibri"/>
          <w:spacing w:val="-18"/>
          <w:sz w:val="24"/>
          <w:szCs w:val="24"/>
        </w:rPr>
        <w:t>2018</w:t>
      </w:r>
      <w:r>
        <w:rPr>
          <w:rFonts w:ascii="宋体" w:hAnsi="宋体" w:eastAsia="宋体" w:cs="宋体"/>
          <w:spacing w:val="-18"/>
          <w:sz w:val="24"/>
          <w:szCs w:val="24"/>
        </w:rPr>
        <w:t>〕</w:t>
      </w:r>
      <w:r>
        <w:rPr>
          <w:rFonts w:ascii="宋体" w:hAnsi="宋体" w:eastAsia="宋体" w:cs="宋体"/>
          <w:spacing w:val="41"/>
          <w:sz w:val="24"/>
          <w:szCs w:val="24"/>
        </w:rPr>
        <w:t xml:space="preserve"> </w:t>
      </w:r>
      <w:r>
        <w:rPr>
          <w:rFonts w:ascii="Calibri" w:hAnsi="Calibri" w:eastAsia="Calibri" w:cs="Calibri"/>
          <w:spacing w:val="-7"/>
          <w:sz w:val="24"/>
          <w:szCs w:val="24"/>
        </w:rPr>
        <w:t>136</w:t>
      </w:r>
      <w:r>
        <w:rPr>
          <w:rFonts w:ascii="Calibri" w:hAnsi="Calibri" w:eastAsia="Calibri" w:cs="Calibri"/>
          <w:spacing w:val="20"/>
          <w:sz w:val="24"/>
          <w:szCs w:val="24"/>
        </w:rPr>
        <w:t xml:space="preserve"> </w:t>
      </w:r>
      <w:r>
        <w:rPr>
          <w:rFonts w:ascii="宋体" w:hAnsi="宋体" w:eastAsia="宋体" w:cs="宋体"/>
          <w:spacing w:val="-7"/>
          <w:sz w:val="24"/>
          <w:szCs w:val="24"/>
        </w:rPr>
        <w:t>号）</w:t>
      </w:r>
    </w:p>
    <w:p>
      <w:pPr>
        <w:spacing w:line="187" w:lineRule="exact"/>
      </w:pPr>
    </w:p>
    <w:p>
      <w:pPr>
        <w:sectPr>
          <w:headerReference r:id="rId9" w:type="default"/>
          <w:footerReference r:id="rId10" w:type="default"/>
          <w:pgSz w:w="11906" w:h="16839"/>
          <w:pgMar w:top="1192" w:right="1706" w:bottom="1103" w:left="1785" w:header="1178" w:footer="987" w:gutter="0"/>
          <w:cols w:equalWidth="0" w:num="1">
            <w:col w:w="8414"/>
          </w:cols>
        </w:sectPr>
      </w:pPr>
    </w:p>
    <w:p>
      <w:pPr>
        <w:spacing w:before="49" w:line="184" w:lineRule="auto"/>
        <w:ind w:firstLine="31"/>
        <w:outlineLvl w:val="2"/>
        <w:rPr>
          <w:rFonts w:ascii="宋体" w:hAnsi="宋体" w:eastAsia="宋体" w:cs="宋体"/>
          <w:sz w:val="24"/>
          <w:szCs w:val="24"/>
        </w:rPr>
      </w:pPr>
      <w:bookmarkStart w:id="176" w:name="_bookmark7"/>
      <w:bookmarkEnd w:id="176"/>
      <w:bookmarkStart w:id="177" w:name="_Toc14413"/>
      <w:r>
        <w:rPr>
          <w:rFonts w:ascii="Calibri" w:hAnsi="Calibri" w:eastAsia="Calibri" w:cs="Calibri"/>
          <w:b/>
          <w:bCs/>
          <w:spacing w:val="-3"/>
          <w:sz w:val="24"/>
          <w:szCs w:val="24"/>
        </w:rPr>
        <w:t>1.4.2</w:t>
      </w:r>
      <w:r>
        <w:rPr>
          <w:rFonts w:ascii="Calibri" w:hAnsi="Calibri" w:eastAsia="Calibri" w:cs="Calibri"/>
          <w:spacing w:val="16"/>
          <w:w w:val="101"/>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标准规范</w:t>
      </w:r>
      <w:bookmarkEnd w:id="177"/>
    </w:p>
    <w:p>
      <w:pPr>
        <w:spacing w:before="305" w:line="184" w:lineRule="auto"/>
        <w:ind w:firstLine="499"/>
        <w:rPr>
          <w:rFonts w:ascii="宋体" w:hAnsi="宋体" w:eastAsia="宋体" w:cs="宋体"/>
          <w:sz w:val="24"/>
          <w:szCs w:val="24"/>
        </w:rPr>
      </w:pPr>
      <w:r>
        <w:rPr>
          <w:rFonts w:ascii="宋体" w:hAnsi="宋体" w:eastAsia="宋体" w:cs="宋体"/>
          <w:spacing w:val="-3"/>
          <w:sz w:val="24"/>
          <w:szCs w:val="24"/>
        </w:rPr>
        <w:t>YD/T</w:t>
      </w:r>
      <w:r>
        <w:rPr>
          <w:rFonts w:ascii="宋体" w:hAnsi="宋体" w:eastAsia="宋体" w:cs="宋体"/>
          <w:spacing w:val="33"/>
          <w:sz w:val="24"/>
          <w:szCs w:val="24"/>
        </w:rPr>
        <w:t xml:space="preserve"> </w:t>
      </w:r>
      <w:r>
        <w:rPr>
          <w:rFonts w:ascii="宋体" w:hAnsi="宋体" w:eastAsia="宋体" w:cs="宋体"/>
          <w:spacing w:val="-3"/>
          <w:sz w:val="24"/>
          <w:szCs w:val="24"/>
        </w:rPr>
        <w:t>1171-2015</w:t>
      </w:r>
    </w:p>
    <w:p>
      <w:pPr>
        <w:spacing w:line="321" w:lineRule="auto"/>
        <w:rPr>
          <w:rFonts w:ascii="Calibri"/>
          <w:sz w:val="21"/>
        </w:rPr>
      </w:pPr>
    </w:p>
    <w:p>
      <w:pPr>
        <w:spacing w:before="79" w:line="587" w:lineRule="exact"/>
        <w:ind w:firstLine="500"/>
        <w:rPr>
          <w:rFonts w:ascii="宋体" w:hAnsi="宋体" w:eastAsia="宋体" w:cs="宋体"/>
          <w:sz w:val="24"/>
          <w:szCs w:val="24"/>
        </w:rPr>
      </w:pPr>
      <w:r>
        <w:rPr>
          <w:rFonts w:ascii="宋体" w:hAnsi="宋体" w:eastAsia="宋体" w:cs="宋体"/>
          <w:spacing w:val="-2"/>
          <w:position w:val="29"/>
          <w:sz w:val="24"/>
          <w:szCs w:val="24"/>
        </w:rPr>
        <w:t>GB</w:t>
      </w:r>
      <w:r>
        <w:rPr>
          <w:rFonts w:ascii="宋体" w:hAnsi="宋体" w:eastAsia="宋体" w:cs="宋体"/>
          <w:spacing w:val="17"/>
          <w:position w:val="29"/>
          <w:sz w:val="24"/>
          <w:szCs w:val="24"/>
        </w:rPr>
        <w:t xml:space="preserve"> </w:t>
      </w:r>
      <w:r>
        <w:rPr>
          <w:rFonts w:ascii="宋体" w:hAnsi="宋体" w:eastAsia="宋体" w:cs="宋体"/>
          <w:spacing w:val="-2"/>
          <w:position w:val="29"/>
          <w:sz w:val="24"/>
          <w:szCs w:val="24"/>
        </w:rPr>
        <w:t>50314-2015</w:t>
      </w:r>
    </w:p>
    <w:p>
      <w:pPr>
        <w:spacing w:line="184" w:lineRule="auto"/>
        <w:ind w:firstLine="440"/>
        <w:rPr>
          <w:rFonts w:ascii="宋体" w:hAnsi="宋体" w:eastAsia="宋体" w:cs="宋体"/>
          <w:sz w:val="24"/>
          <w:szCs w:val="24"/>
        </w:rPr>
      </w:pPr>
      <w:r>
        <w:rPr>
          <w:rFonts w:ascii="宋体" w:hAnsi="宋体" w:eastAsia="宋体" w:cs="宋体"/>
          <w:spacing w:val="-2"/>
          <w:sz w:val="24"/>
          <w:szCs w:val="24"/>
        </w:rPr>
        <w:t>GB/T</w:t>
      </w:r>
      <w:r>
        <w:rPr>
          <w:rFonts w:ascii="宋体" w:hAnsi="宋体" w:eastAsia="宋体" w:cs="宋体"/>
          <w:spacing w:val="21"/>
          <w:sz w:val="24"/>
          <w:szCs w:val="24"/>
        </w:rPr>
        <w:t xml:space="preserve"> </w:t>
      </w:r>
      <w:r>
        <w:rPr>
          <w:rFonts w:ascii="宋体" w:hAnsi="宋体" w:eastAsia="宋体" w:cs="宋体"/>
          <w:spacing w:val="-2"/>
          <w:sz w:val="24"/>
          <w:szCs w:val="24"/>
        </w:rPr>
        <w:t>34982-2017</w:t>
      </w:r>
    </w:p>
    <w:p>
      <w:pPr>
        <w:spacing w:line="14" w:lineRule="auto"/>
        <w:rPr>
          <w:rFonts w:ascii="Calibri"/>
          <w:sz w:val="2"/>
        </w:rPr>
      </w:pPr>
      <w:r>
        <w:rPr>
          <w:rFonts w:ascii="Calibri" w:hAnsi="Calibri" w:eastAsia="Calibri" w:cs="Calibri"/>
          <w:sz w:val="2"/>
          <w:szCs w:val="2"/>
        </w:rPr>
        <w:br w:type="column"/>
      </w:r>
    </w:p>
    <w:p>
      <w:pPr>
        <w:rPr>
          <w:rFonts w:ascii="Calibri"/>
          <w:sz w:val="21"/>
        </w:rPr>
      </w:pPr>
    </w:p>
    <w:p>
      <w:pPr>
        <w:rPr>
          <w:rFonts w:ascii="Calibri"/>
          <w:sz w:val="21"/>
        </w:rPr>
      </w:pPr>
    </w:p>
    <w:p>
      <w:pPr>
        <w:spacing w:before="79" w:line="624" w:lineRule="exact"/>
        <w:ind w:firstLine="236"/>
        <w:rPr>
          <w:rFonts w:ascii="宋体" w:hAnsi="宋体" w:eastAsia="宋体" w:cs="宋体"/>
          <w:sz w:val="24"/>
          <w:szCs w:val="24"/>
        </w:rPr>
      </w:pPr>
      <w:r>
        <w:rPr>
          <w:rFonts w:ascii="宋体" w:hAnsi="宋体" w:eastAsia="宋体" w:cs="宋体"/>
          <w:spacing w:val="-5"/>
          <w:position w:val="29"/>
          <w:sz w:val="24"/>
          <w:szCs w:val="24"/>
        </w:rPr>
        <w:t>《IP</w:t>
      </w:r>
      <w:r>
        <w:rPr>
          <w:rFonts w:ascii="宋体" w:hAnsi="宋体" w:eastAsia="宋体" w:cs="宋体"/>
          <w:spacing w:val="-33"/>
          <w:position w:val="29"/>
          <w:sz w:val="24"/>
          <w:szCs w:val="24"/>
        </w:rPr>
        <w:t xml:space="preserve"> </w:t>
      </w:r>
      <w:r>
        <w:rPr>
          <w:rFonts w:ascii="宋体" w:hAnsi="宋体" w:eastAsia="宋体" w:cs="宋体"/>
          <w:spacing w:val="-5"/>
          <w:position w:val="29"/>
          <w:sz w:val="24"/>
          <w:szCs w:val="24"/>
        </w:rPr>
        <w:t>网络技术要求--网络性能参数与指标》</w:t>
      </w:r>
    </w:p>
    <w:p>
      <w:pPr>
        <w:spacing w:line="204" w:lineRule="auto"/>
        <w:rPr>
          <w:rFonts w:ascii="宋体" w:hAnsi="宋体" w:eastAsia="宋体" w:cs="宋体"/>
          <w:sz w:val="24"/>
          <w:szCs w:val="24"/>
        </w:rPr>
      </w:pPr>
      <w:r>
        <w:rPr>
          <w:rFonts w:ascii="宋体" w:hAnsi="宋体" w:eastAsia="宋体" w:cs="宋体"/>
          <w:spacing w:val="-5"/>
          <w:sz w:val="24"/>
          <w:szCs w:val="24"/>
        </w:rPr>
        <w:t>《智能建筑设计标准》</w:t>
      </w:r>
    </w:p>
    <w:p>
      <w:pPr>
        <w:spacing w:line="262" w:lineRule="auto"/>
        <w:rPr>
          <w:rFonts w:ascii="Calibri"/>
          <w:sz w:val="21"/>
        </w:rPr>
      </w:pPr>
    </w:p>
    <w:p>
      <w:pPr>
        <w:spacing w:before="79" w:line="184" w:lineRule="auto"/>
        <w:rPr>
          <w:rFonts w:ascii="宋体" w:hAnsi="宋体" w:eastAsia="宋体" w:cs="宋体"/>
          <w:sz w:val="24"/>
          <w:szCs w:val="24"/>
        </w:rPr>
      </w:pPr>
      <w:r>
        <w:rPr>
          <w:rFonts w:ascii="宋体" w:hAnsi="宋体" w:eastAsia="宋体" w:cs="宋体"/>
          <w:spacing w:val="-2"/>
          <w:sz w:val="24"/>
          <w:szCs w:val="24"/>
        </w:rPr>
        <w:t>《云计算数据中心基本要求》</w:t>
      </w:r>
    </w:p>
    <w:p>
      <w:pPr>
        <w:sectPr>
          <w:type w:val="continuous"/>
          <w:pgSz w:w="11906" w:h="16839"/>
          <w:pgMar w:top="1192" w:right="1706" w:bottom="1103" w:left="1785" w:header="1178" w:footer="987" w:gutter="0"/>
          <w:cols w:equalWidth="0" w:num="2">
            <w:col w:w="2280" w:space="100"/>
            <w:col w:w="6034"/>
          </w:cols>
        </w:sectPr>
      </w:pPr>
    </w:p>
    <w:p>
      <w:pPr>
        <w:spacing w:line="286" w:lineRule="auto"/>
        <w:rPr>
          <w:rFonts w:ascii="Calibri"/>
          <w:sz w:val="21"/>
        </w:rPr>
      </w:pPr>
    </w:p>
    <w:p>
      <w:pPr>
        <w:spacing w:before="79" w:line="624" w:lineRule="exact"/>
        <w:ind w:firstLine="440"/>
        <w:rPr>
          <w:rFonts w:ascii="宋体" w:hAnsi="宋体" w:eastAsia="宋体" w:cs="宋体"/>
          <w:sz w:val="24"/>
          <w:szCs w:val="24"/>
        </w:rPr>
      </w:pPr>
      <w:r>
        <w:rPr>
          <w:rFonts w:ascii="宋体" w:hAnsi="宋体" w:eastAsia="宋体" w:cs="宋体"/>
          <w:spacing w:val="-1"/>
          <w:position w:val="29"/>
          <w:sz w:val="24"/>
          <w:szCs w:val="24"/>
        </w:rPr>
        <w:t>GB</w:t>
      </w:r>
      <w:r>
        <w:rPr>
          <w:rFonts w:ascii="宋体" w:hAnsi="宋体" w:eastAsia="宋体" w:cs="宋体"/>
          <w:spacing w:val="19"/>
          <w:position w:val="29"/>
          <w:sz w:val="24"/>
          <w:szCs w:val="24"/>
        </w:rPr>
        <w:t xml:space="preserve"> </w:t>
      </w:r>
      <w:r>
        <w:rPr>
          <w:rFonts w:ascii="宋体" w:hAnsi="宋体" w:eastAsia="宋体" w:cs="宋体"/>
          <w:spacing w:val="-1"/>
          <w:position w:val="29"/>
          <w:sz w:val="24"/>
          <w:szCs w:val="24"/>
        </w:rPr>
        <w:t>50311-2016</w:t>
      </w:r>
      <w:r>
        <w:rPr>
          <w:rFonts w:ascii="宋体" w:hAnsi="宋体" w:eastAsia="宋体" w:cs="宋体"/>
          <w:position w:val="29"/>
          <w:sz w:val="24"/>
          <w:szCs w:val="24"/>
        </w:rPr>
        <w:t xml:space="preserve"> </w:t>
      </w:r>
      <w:r>
        <w:rPr>
          <w:rFonts w:ascii="宋体" w:hAnsi="宋体" w:eastAsia="宋体" w:cs="宋体"/>
          <w:spacing w:val="-1"/>
          <w:position w:val="29"/>
          <w:sz w:val="24"/>
          <w:szCs w:val="24"/>
        </w:rPr>
        <w:t>《综合布线系统工程设计规范》</w:t>
      </w:r>
    </w:p>
    <w:p>
      <w:pPr>
        <w:spacing w:before="1" w:line="204" w:lineRule="auto"/>
        <w:ind w:firstLine="440"/>
        <w:rPr>
          <w:rFonts w:ascii="宋体" w:hAnsi="宋体" w:eastAsia="宋体" w:cs="宋体"/>
          <w:sz w:val="24"/>
          <w:szCs w:val="24"/>
        </w:rPr>
      </w:pPr>
      <w:r>
        <w:rPr>
          <w:rFonts w:ascii="宋体" w:hAnsi="宋体" w:eastAsia="宋体" w:cs="宋体"/>
          <w:spacing w:val="-1"/>
          <w:sz w:val="24"/>
          <w:szCs w:val="24"/>
        </w:rPr>
        <w:t>GB/T</w:t>
      </w:r>
      <w:r>
        <w:rPr>
          <w:rFonts w:ascii="宋体" w:hAnsi="宋体" w:eastAsia="宋体" w:cs="宋体"/>
          <w:spacing w:val="21"/>
          <w:sz w:val="24"/>
          <w:szCs w:val="24"/>
        </w:rPr>
        <w:t xml:space="preserve"> </w:t>
      </w:r>
      <w:r>
        <w:rPr>
          <w:rFonts w:ascii="宋体" w:hAnsi="宋体" w:eastAsia="宋体" w:cs="宋体"/>
          <w:spacing w:val="-1"/>
          <w:sz w:val="24"/>
          <w:szCs w:val="24"/>
        </w:rPr>
        <w:t>50312-2016</w:t>
      </w:r>
      <w:r>
        <w:rPr>
          <w:rFonts w:ascii="宋体" w:hAnsi="宋体" w:eastAsia="宋体" w:cs="宋体"/>
          <w:sz w:val="24"/>
          <w:szCs w:val="24"/>
        </w:rPr>
        <w:t xml:space="preserve"> </w:t>
      </w:r>
      <w:r>
        <w:rPr>
          <w:rFonts w:ascii="宋体" w:hAnsi="宋体" w:eastAsia="宋体" w:cs="宋体"/>
          <w:spacing w:val="-1"/>
          <w:sz w:val="24"/>
          <w:szCs w:val="24"/>
        </w:rPr>
        <w:t>《综合布线系统工程验收规范》</w:t>
      </w:r>
    </w:p>
    <w:p>
      <w:pPr>
        <w:spacing w:line="262" w:lineRule="auto"/>
        <w:rPr>
          <w:rFonts w:ascii="Calibri"/>
          <w:sz w:val="21"/>
        </w:rPr>
      </w:pPr>
    </w:p>
    <w:p>
      <w:pPr>
        <w:spacing w:before="79" w:line="184" w:lineRule="auto"/>
        <w:ind w:firstLine="440"/>
        <w:rPr>
          <w:rFonts w:ascii="宋体" w:hAnsi="宋体" w:eastAsia="宋体" w:cs="宋体"/>
          <w:sz w:val="24"/>
          <w:szCs w:val="24"/>
        </w:rPr>
      </w:pPr>
      <w:r>
        <w:rPr>
          <w:rFonts w:ascii="宋体" w:hAnsi="宋体" w:eastAsia="宋体" w:cs="宋体"/>
          <w:spacing w:val="-1"/>
          <w:sz w:val="24"/>
          <w:szCs w:val="24"/>
        </w:rPr>
        <w:t>GB</w:t>
      </w:r>
      <w:r>
        <w:rPr>
          <w:rFonts w:ascii="宋体" w:hAnsi="宋体" w:eastAsia="宋体" w:cs="宋体"/>
          <w:spacing w:val="18"/>
          <w:sz w:val="24"/>
          <w:szCs w:val="24"/>
        </w:rPr>
        <w:t xml:space="preserve"> </w:t>
      </w:r>
      <w:r>
        <w:rPr>
          <w:rFonts w:ascii="宋体" w:hAnsi="宋体" w:eastAsia="宋体" w:cs="宋体"/>
          <w:spacing w:val="-1"/>
          <w:sz w:val="24"/>
          <w:szCs w:val="24"/>
        </w:rPr>
        <w:t>50339-2013</w:t>
      </w:r>
      <w:r>
        <w:rPr>
          <w:rFonts w:ascii="宋体" w:hAnsi="宋体" w:eastAsia="宋体" w:cs="宋体"/>
          <w:sz w:val="24"/>
          <w:szCs w:val="24"/>
        </w:rPr>
        <w:t xml:space="preserve"> </w:t>
      </w:r>
      <w:r>
        <w:rPr>
          <w:rFonts w:ascii="宋体" w:hAnsi="宋体" w:eastAsia="宋体" w:cs="宋体"/>
          <w:spacing w:val="-1"/>
          <w:sz w:val="24"/>
          <w:szCs w:val="24"/>
        </w:rPr>
        <w:t>《智能建筑施工及验收规范》</w:t>
      </w:r>
    </w:p>
    <w:p>
      <w:pPr>
        <w:sectPr>
          <w:type w:val="continuous"/>
          <w:pgSz w:w="11906" w:h="16839"/>
          <w:pgMar w:top="1192" w:right="1706" w:bottom="1103" w:left="1785" w:header="1178" w:footer="987" w:gutter="0"/>
          <w:cols w:equalWidth="0" w:num="1">
            <w:col w:w="8414"/>
          </w:cols>
        </w:sectPr>
      </w:pPr>
    </w:p>
    <w:p>
      <w:pPr>
        <w:spacing w:line="280" w:lineRule="auto"/>
        <w:rPr>
          <w:rFonts w:ascii="Calibri"/>
          <w:sz w:val="21"/>
        </w:rPr>
      </w:pPr>
    </w:p>
    <w:p>
      <w:pPr>
        <w:spacing w:line="281" w:lineRule="auto"/>
        <w:rPr>
          <w:rFonts w:ascii="Calibri"/>
          <w:sz w:val="21"/>
        </w:rPr>
      </w:pPr>
    </w:p>
    <w:p>
      <w:pPr>
        <w:spacing w:line="281" w:lineRule="auto"/>
        <w:rPr>
          <w:rFonts w:ascii="Calibri"/>
          <w:sz w:val="21"/>
        </w:rPr>
      </w:pPr>
    </w:p>
    <w:p>
      <w:pPr>
        <w:spacing w:before="92" w:line="185" w:lineRule="auto"/>
        <w:ind w:firstLine="372"/>
        <w:outlineLvl w:val="1"/>
        <w:rPr>
          <w:rFonts w:ascii="宋体" w:hAnsi="宋体" w:eastAsia="宋体" w:cs="宋体"/>
          <w:sz w:val="28"/>
          <w:szCs w:val="28"/>
        </w:rPr>
      </w:pPr>
      <w:bookmarkStart w:id="178" w:name="_bookmark8"/>
      <w:bookmarkEnd w:id="178"/>
      <w:bookmarkStart w:id="179" w:name="_Toc23842"/>
      <w:r>
        <w:rPr>
          <w:rFonts w:ascii="宋体" w:hAnsi="宋体" w:eastAsia="宋体" w:cs="宋体"/>
          <w:spacing w:val="-6"/>
          <w:sz w:val="28"/>
          <w:szCs w:val="28"/>
          <w14:textOutline w14:w="5103" w14:cap="sq" w14:cmpd="sng">
            <w14:solidFill>
              <w14:srgbClr w14:val="000000"/>
            </w14:solidFill>
            <w14:prstDash w14:val="solid"/>
            <w14:bevel/>
          </w14:textOutline>
        </w:rPr>
        <w:t>1.5</w:t>
      </w:r>
      <w:r>
        <w:rPr>
          <w:rFonts w:ascii="宋体" w:hAnsi="宋体" w:eastAsia="宋体" w:cs="宋体"/>
          <w:spacing w:val="-55"/>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项目概述</w:t>
      </w:r>
      <w:bookmarkEnd w:id="179"/>
    </w:p>
    <w:p>
      <w:pPr>
        <w:spacing w:line="439" w:lineRule="auto"/>
        <w:rPr>
          <w:rFonts w:ascii="Calibri"/>
          <w:sz w:val="21"/>
        </w:rPr>
      </w:pPr>
    </w:p>
    <w:p>
      <w:pPr>
        <w:spacing w:before="78" w:line="184" w:lineRule="auto"/>
        <w:ind w:firstLine="358"/>
        <w:outlineLvl w:val="2"/>
        <w:rPr>
          <w:rFonts w:ascii="宋体" w:hAnsi="宋体" w:eastAsia="宋体" w:cs="宋体"/>
          <w:sz w:val="24"/>
          <w:szCs w:val="24"/>
        </w:rPr>
      </w:pPr>
      <w:bookmarkStart w:id="180" w:name="_bookmark9"/>
      <w:bookmarkEnd w:id="180"/>
      <w:bookmarkStart w:id="181" w:name="_Toc18806"/>
      <w:r>
        <w:rPr>
          <w:rFonts w:ascii="Calibri" w:hAnsi="Calibri" w:eastAsia="Calibri" w:cs="Calibri"/>
          <w:b/>
          <w:bCs/>
          <w:spacing w:val="-4"/>
          <w:sz w:val="24"/>
          <w:szCs w:val="24"/>
        </w:rPr>
        <w:t>1.5.1</w:t>
      </w:r>
      <w:r>
        <w:rPr>
          <w:rFonts w:ascii="Calibri" w:hAnsi="Calibri" w:eastAsia="Calibri" w:cs="Calibri"/>
          <w:spacing w:val="25"/>
          <w:w w:val="101"/>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项目背景</w:t>
      </w:r>
      <w:bookmarkEnd w:id="181"/>
    </w:p>
    <w:p>
      <w:pPr>
        <w:spacing w:line="403" w:lineRule="auto"/>
        <w:rPr>
          <w:rFonts w:ascii="Calibri"/>
          <w:sz w:val="21"/>
        </w:rPr>
      </w:pPr>
    </w:p>
    <w:p>
      <w:pPr>
        <w:shd w:val="clear" w:fill="FFFFFF"/>
        <w:spacing w:before="78" w:line="360" w:lineRule="auto"/>
        <w:ind w:left="353" w:right="13" w:firstLine="484"/>
        <w:rPr>
          <w:rFonts w:ascii="宋体" w:hAnsi="宋体" w:eastAsia="宋体" w:cs="宋体"/>
          <w:sz w:val="24"/>
          <w:szCs w:val="24"/>
        </w:rPr>
      </w:pPr>
      <w:r>
        <w:rPr>
          <w:rFonts w:ascii="宋体" w:hAnsi="宋体" w:eastAsia="宋体" w:cs="宋体"/>
          <w:spacing w:val="-5"/>
          <w:sz w:val="24"/>
          <w:szCs w:val="24"/>
        </w:rPr>
        <w:t>学校现共有功能室</w:t>
      </w:r>
      <w:r>
        <w:rPr>
          <w:rFonts w:ascii="宋体" w:hAnsi="宋体" w:eastAsia="宋体" w:cs="宋体"/>
          <w:spacing w:val="-42"/>
          <w:sz w:val="24"/>
          <w:szCs w:val="24"/>
        </w:rPr>
        <w:t xml:space="preserve"> </w:t>
      </w:r>
      <w:r>
        <w:rPr>
          <w:rFonts w:ascii="宋体" w:hAnsi="宋体" w:eastAsia="宋体" w:cs="宋体"/>
          <w:spacing w:val="-5"/>
          <w:sz w:val="24"/>
          <w:szCs w:val="24"/>
        </w:rPr>
        <w:t>25</w:t>
      </w:r>
      <w:r>
        <w:rPr>
          <w:rFonts w:ascii="宋体" w:hAnsi="宋体" w:eastAsia="宋体" w:cs="宋体"/>
          <w:spacing w:val="-32"/>
          <w:sz w:val="24"/>
          <w:szCs w:val="24"/>
        </w:rPr>
        <w:t xml:space="preserve"> </w:t>
      </w:r>
      <w:r>
        <w:rPr>
          <w:rFonts w:ascii="宋体" w:hAnsi="宋体" w:eastAsia="宋体" w:cs="宋体"/>
          <w:spacing w:val="-5"/>
          <w:sz w:val="24"/>
          <w:szCs w:val="24"/>
        </w:rPr>
        <w:t>间，其中音乐教室</w:t>
      </w:r>
      <w:r>
        <w:rPr>
          <w:rFonts w:ascii="宋体" w:hAnsi="宋体" w:eastAsia="宋体" w:cs="宋体"/>
          <w:spacing w:val="-51"/>
          <w:sz w:val="24"/>
          <w:szCs w:val="24"/>
        </w:rPr>
        <w:t xml:space="preserve"> </w:t>
      </w:r>
      <w:r>
        <w:rPr>
          <w:rFonts w:ascii="宋体" w:hAnsi="宋体" w:eastAsia="宋体" w:cs="宋体"/>
          <w:spacing w:val="-5"/>
          <w:sz w:val="24"/>
          <w:szCs w:val="24"/>
        </w:rPr>
        <w:t>4</w:t>
      </w:r>
      <w:r>
        <w:rPr>
          <w:rFonts w:ascii="宋体" w:hAnsi="宋体" w:eastAsia="宋体" w:cs="宋体"/>
          <w:spacing w:val="-32"/>
          <w:sz w:val="24"/>
          <w:szCs w:val="24"/>
        </w:rPr>
        <w:t xml:space="preserve"> </w:t>
      </w:r>
      <w:r>
        <w:rPr>
          <w:rFonts w:ascii="宋体" w:hAnsi="宋体" w:eastAsia="宋体" w:cs="宋体"/>
          <w:spacing w:val="-5"/>
          <w:sz w:val="24"/>
          <w:szCs w:val="24"/>
        </w:rPr>
        <w:t>间、美术教室</w:t>
      </w:r>
      <w:r>
        <w:rPr>
          <w:rFonts w:ascii="宋体" w:hAnsi="宋体" w:eastAsia="宋体" w:cs="宋体"/>
          <w:spacing w:val="-48"/>
          <w:sz w:val="24"/>
          <w:szCs w:val="24"/>
        </w:rPr>
        <w:t xml:space="preserve"> </w:t>
      </w:r>
      <w:r>
        <w:rPr>
          <w:rFonts w:ascii="宋体" w:hAnsi="宋体" w:eastAsia="宋体" w:cs="宋体"/>
          <w:spacing w:val="-5"/>
          <w:sz w:val="24"/>
          <w:szCs w:val="24"/>
        </w:rPr>
        <w:t>2</w:t>
      </w:r>
      <w:r>
        <w:rPr>
          <w:rFonts w:ascii="宋体" w:hAnsi="宋体" w:eastAsia="宋体" w:cs="宋体"/>
          <w:spacing w:val="-32"/>
          <w:sz w:val="24"/>
          <w:szCs w:val="24"/>
        </w:rPr>
        <w:t xml:space="preserve"> </w:t>
      </w:r>
      <w:r>
        <w:rPr>
          <w:rFonts w:ascii="宋体" w:hAnsi="宋体" w:eastAsia="宋体" w:cs="宋体"/>
          <w:spacing w:val="-5"/>
          <w:sz w:val="24"/>
          <w:szCs w:val="24"/>
        </w:rPr>
        <w:t>间、计算机房</w:t>
      </w:r>
      <w:r>
        <w:rPr>
          <w:rFonts w:ascii="宋体" w:hAnsi="宋体" w:eastAsia="宋体" w:cs="宋体"/>
          <w:spacing w:val="-33"/>
          <w:sz w:val="24"/>
          <w:szCs w:val="24"/>
        </w:rPr>
        <w:t xml:space="preserve"> </w:t>
      </w:r>
      <w:r>
        <w:rPr>
          <w:rFonts w:ascii="宋体" w:hAnsi="宋体" w:eastAsia="宋体" w:cs="宋体"/>
          <w:spacing w:val="-5"/>
          <w:sz w:val="24"/>
          <w:szCs w:val="24"/>
        </w:rPr>
        <w:t>1</w:t>
      </w:r>
      <w:r>
        <w:rPr>
          <w:rFonts w:ascii="宋体" w:hAnsi="宋体" w:eastAsia="宋体" w:cs="宋体"/>
          <w:spacing w:val="-9"/>
          <w:sz w:val="24"/>
          <w:szCs w:val="24"/>
        </w:rPr>
        <w:t>间、物理实验室</w:t>
      </w:r>
      <w:r>
        <w:rPr>
          <w:rFonts w:ascii="宋体" w:hAnsi="宋体" w:eastAsia="宋体" w:cs="宋体"/>
          <w:spacing w:val="-19"/>
          <w:sz w:val="24"/>
          <w:szCs w:val="24"/>
        </w:rPr>
        <w:t xml:space="preserve"> </w:t>
      </w:r>
      <w:r>
        <w:rPr>
          <w:rFonts w:ascii="宋体" w:hAnsi="宋体" w:eastAsia="宋体" w:cs="宋体"/>
          <w:spacing w:val="-9"/>
          <w:sz w:val="24"/>
          <w:szCs w:val="24"/>
        </w:rPr>
        <w:t>3</w:t>
      </w:r>
      <w:r>
        <w:rPr>
          <w:rFonts w:ascii="宋体" w:hAnsi="宋体" w:eastAsia="宋体" w:cs="宋体"/>
          <w:spacing w:val="-32"/>
          <w:sz w:val="24"/>
          <w:szCs w:val="24"/>
        </w:rPr>
        <w:t xml:space="preserve"> </w:t>
      </w:r>
      <w:r>
        <w:rPr>
          <w:rFonts w:ascii="宋体" w:hAnsi="宋体" w:eastAsia="宋体" w:cs="宋体"/>
          <w:spacing w:val="-9"/>
          <w:sz w:val="24"/>
          <w:szCs w:val="24"/>
        </w:rPr>
        <w:t>间、化学实验室</w:t>
      </w:r>
      <w:r>
        <w:rPr>
          <w:rFonts w:ascii="宋体" w:hAnsi="宋体" w:eastAsia="宋体" w:cs="宋体"/>
          <w:spacing w:val="-46"/>
          <w:sz w:val="24"/>
          <w:szCs w:val="24"/>
        </w:rPr>
        <w:t xml:space="preserve"> </w:t>
      </w:r>
      <w:r>
        <w:rPr>
          <w:rFonts w:ascii="宋体" w:hAnsi="宋体" w:eastAsia="宋体" w:cs="宋体"/>
          <w:spacing w:val="-9"/>
          <w:sz w:val="24"/>
          <w:szCs w:val="24"/>
        </w:rPr>
        <w:t>3</w:t>
      </w:r>
      <w:r>
        <w:rPr>
          <w:rFonts w:ascii="宋体" w:hAnsi="宋体" w:eastAsia="宋体" w:cs="宋体"/>
          <w:spacing w:val="-32"/>
          <w:sz w:val="24"/>
          <w:szCs w:val="24"/>
        </w:rPr>
        <w:t xml:space="preserve"> </w:t>
      </w:r>
      <w:r>
        <w:rPr>
          <w:rFonts w:ascii="宋体" w:hAnsi="宋体" w:eastAsia="宋体" w:cs="宋体"/>
          <w:spacing w:val="-9"/>
          <w:sz w:val="24"/>
          <w:szCs w:val="24"/>
        </w:rPr>
        <w:t>间、生物实验室</w:t>
      </w:r>
      <w:r>
        <w:rPr>
          <w:rFonts w:ascii="宋体" w:hAnsi="宋体" w:eastAsia="宋体" w:cs="宋体"/>
          <w:spacing w:val="-46"/>
          <w:sz w:val="24"/>
          <w:szCs w:val="24"/>
        </w:rPr>
        <w:t xml:space="preserve"> </w:t>
      </w:r>
      <w:r>
        <w:rPr>
          <w:rFonts w:ascii="宋体" w:hAnsi="宋体" w:eastAsia="宋体" w:cs="宋体"/>
          <w:spacing w:val="-9"/>
          <w:sz w:val="24"/>
          <w:szCs w:val="24"/>
        </w:rPr>
        <w:t>3</w:t>
      </w:r>
      <w:r>
        <w:rPr>
          <w:rFonts w:ascii="宋体" w:hAnsi="宋体" w:eastAsia="宋体" w:cs="宋体"/>
          <w:spacing w:val="-32"/>
          <w:sz w:val="24"/>
          <w:szCs w:val="24"/>
        </w:rPr>
        <w:t xml:space="preserve"> </w:t>
      </w:r>
      <w:r>
        <w:rPr>
          <w:rFonts w:ascii="宋体" w:hAnsi="宋体" w:eastAsia="宋体" w:cs="宋体"/>
          <w:spacing w:val="-9"/>
          <w:sz w:val="24"/>
          <w:szCs w:val="24"/>
        </w:rPr>
        <w:t>间、心理咨询室</w:t>
      </w:r>
      <w:r>
        <w:rPr>
          <w:rFonts w:ascii="宋体" w:hAnsi="宋体" w:eastAsia="宋体" w:cs="宋体"/>
          <w:spacing w:val="-32"/>
          <w:sz w:val="24"/>
          <w:szCs w:val="24"/>
        </w:rPr>
        <w:t xml:space="preserve"> </w:t>
      </w:r>
      <w:r>
        <w:rPr>
          <w:rFonts w:ascii="宋体" w:hAnsi="宋体" w:eastAsia="宋体" w:cs="宋体"/>
          <w:spacing w:val="-9"/>
          <w:sz w:val="24"/>
          <w:szCs w:val="24"/>
        </w:rPr>
        <w:t>1</w:t>
      </w:r>
      <w:r>
        <w:rPr>
          <w:rFonts w:ascii="宋体" w:hAnsi="宋体" w:eastAsia="宋体" w:cs="宋体"/>
          <w:spacing w:val="-32"/>
          <w:sz w:val="24"/>
          <w:szCs w:val="24"/>
        </w:rPr>
        <w:t xml:space="preserve"> </w:t>
      </w:r>
      <w:r>
        <w:rPr>
          <w:rFonts w:ascii="宋体" w:hAnsi="宋体" w:eastAsia="宋体" w:cs="宋体"/>
          <w:spacing w:val="-9"/>
          <w:sz w:val="24"/>
          <w:szCs w:val="24"/>
        </w:rPr>
        <w:t>间、团队教室</w:t>
      </w:r>
      <w:r>
        <w:rPr>
          <w:rFonts w:ascii="宋体" w:hAnsi="宋体" w:eastAsia="宋体" w:cs="宋体"/>
          <w:spacing w:val="-20"/>
          <w:sz w:val="24"/>
          <w:szCs w:val="24"/>
        </w:rPr>
        <w:t xml:space="preserve"> </w:t>
      </w:r>
      <w:r>
        <w:rPr>
          <w:rFonts w:ascii="宋体" w:hAnsi="宋体" w:eastAsia="宋体" w:cs="宋体"/>
          <w:spacing w:val="-9"/>
          <w:sz w:val="24"/>
          <w:szCs w:val="24"/>
        </w:rPr>
        <w:t>1</w:t>
      </w:r>
      <w:r>
        <w:rPr>
          <w:rFonts w:ascii="宋体" w:hAnsi="宋体" w:eastAsia="宋体" w:cs="宋体"/>
          <w:spacing w:val="-31"/>
          <w:sz w:val="24"/>
          <w:szCs w:val="24"/>
        </w:rPr>
        <w:t xml:space="preserve"> </w:t>
      </w:r>
      <w:r>
        <w:rPr>
          <w:rFonts w:ascii="宋体" w:hAnsi="宋体" w:eastAsia="宋体" w:cs="宋体"/>
          <w:spacing w:val="-9"/>
          <w:sz w:val="24"/>
          <w:szCs w:val="24"/>
        </w:rPr>
        <w:t>间、创客教室</w:t>
      </w:r>
      <w:r>
        <w:rPr>
          <w:rFonts w:ascii="宋体" w:hAnsi="宋体" w:eastAsia="宋体" w:cs="宋体"/>
          <w:spacing w:val="-33"/>
          <w:sz w:val="24"/>
          <w:szCs w:val="24"/>
        </w:rPr>
        <w:t xml:space="preserve"> </w:t>
      </w:r>
      <w:r>
        <w:rPr>
          <w:rFonts w:ascii="宋体" w:hAnsi="宋体" w:eastAsia="宋体" w:cs="宋体"/>
          <w:spacing w:val="-9"/>
          <w:sz w:val="24"/>
          <w:szCs w:val="24"/>
        </w:rPr>
        <w:t>1</w:t>
      </w:r>
      <w:r>
        <w:rPr>
          <w:rFonts w:ascii="宋体" w:hAnsi="宋体" w:eastAsia="宋体" w:cs="宋体"/>
          <w:spacing w:val="-32"/>
          <w:sz w:val="24"/>
          <w:szCs w:val="24"/>
        </w:rPr>
        <w:t xml:space="preserve"> </w:t>
      </w:r>
      <w:r>
        <w:rPr>
          <w:rFonts w:ascii="宋体" w:hAnsi="宋体" w:eastAsia="宋体" w:cs="宋体"/>
          <w:spacing w:val="-9"/>
          <w:sz w:val="24"/>
          <w:szCs w:val="24"/>
        </w:rPr>
        <w:t>间、STE</w:t>
      </w:r>
      <w:r>
        <w:rPr>
          <w:rFonts w:hint="eastAsia" w:ascii="宋体" w:hAnsi="宋体" w:eastAsia="宋体" w:cs="宋体"/>
          <w:spacing w:val="-9"/>
          <w:sz w:val="24"/>
          <w:szCs w:val="24"/>
        </w:rPr>
        <w:t>A</w:t>
      </w:r>
      <w:r>
        <w:rPr>
          <w:rFonts w:ascii="宋体" w:hAnsi="宋体" w:eastAsia="宋体" w:cs="宋体"/>
          <w:spacing w:val="-9"/>
          <w:sz w:val="24"/>
          <w:szCs w:val="24"/>
        </w:rPr>
        <w:t>M</w:t>
      </w:r>
      <w:r>
        <w:rPr>
          <w:rFonts w:ascii="宋体" w:hAnsi="宋体" w:eastAsia="宋体" w:cs="宋体"/>
          <w:spacing w:val="-48"/>
          <w:sz w:val="24"/>
          <w:szCs w:val="24"/>
        </w:rPr>
        <w:t xml:space="preserve"> </w:t>
      </w:r>
      <w:r>
        <w:rPr>
          <w:rFonts w:ascii="宋体" w:hAnsi="宋体" w:eastAsia="宋体" w:cs="宋体"/>
          <w:spacing w:val="-9"/>
          <w:sz w:val="24"/>
          <w:szCs w:val="24"/>
        </w:rPr>
        <w:t>教室</w:t>
      </w:r>
      <w:r>
        <w:rPr>
          <w:rFonts w:ascii="宋体" w:hAnsi="宋体" w:eastAsia="宋体" w:cs="宋体"/>
          <w:spacing w:val="-33"/>
          <w:sz w:val="24"/>
          <w:szCs w:val="24"/>
        </w:rPr>
        <w:t xml:space="preserve"> </w:t>
      </w:r>
      <w:r>
        <w:rPr>
          <w:rFonts w:ascii="宋体" w:hAnsi="宋体" w:eastAsia="宋体" w:cs="宋体"/>
          <w:spacing w:val="-9"/>
          <w:sz w:val="24"/>
          <w:szCs w:val="24"/>
        </w:rPr>
        <w:t>1</w:t>
      </w:r>
      <w:r>
        <w:rPr>
          <w:rFonts w:ascii="宋体" w:hAnsi="宋体" w:eastAsia="宋体" w:cs="宋体"/>
          <w:spacing w:val="-32"/>
          <w:sz w:val="24"/>
          <w:szCs w:val="24"/>
        </w:rPr>
        <w:t xml:space="preserve"> </w:t>
      </w:r>
      <w:r>
        <w:rPr>
          <w:rFonts w:ascii="宋体" w:hAnsi="宋体" w:eastAsia="宋体" w:cs="宋体"/>
          <w:spacing w:val="-9"/>
          <w:sz w:val="24"/>
          <w:szCs w:val="24"/>
        </w:rPr>
        <w:t>间、电子阅览室</w:t>
      </w:r>
      <w:r>
        <w:rPr>
          <w:rFonts w:ascii="宋体" w:hAnsi="宋体" w:eastAsia="宋体" w:cs="宋体"/>
          <w:spacing w:val="-33"/>
          <w:sz w:val="24"/>
          <w:szCs w:val="24"/>
        </w:rPr>
        <w:t xml:space="preserve"> </w:t>
      </w:r>
      <w:r>
        <w:rPr>
          <w:rFonts w:ascii="宋体" w:hAnsi="宋体" w:eastAsia="宋体" w:cs="宋体"/>
          <w:spacing w:val="-9"/>
          <w:sz w:val="24"/>
          <w:szCs w:val="24"/>
        </w:rPr>
        <w:t>1</w:t>
      </w:r>
      <w:r>
        <w:rPr>
          <w:rFonts w:ascii="宋体" w:hAnsi="宋体" w:eastAsia="宋体" w:cs="宋体"/>
          <w:spacing w:val="-32"/>
          <w:sz w:val="24"/>
          <w:szCs w:val="24"/>
        </w:rPr>
        <w:t xml:space="preserve"> </w:t>
      </w:r>
      <w:r>
        <w:rPr>
          <w:rFonts w:ascii="宋体" w:hAnsi="宋体" w:eastAsia="宋体" w:cs="宋体"/>
          <w:spacing w:val="-9"/>
          <w:sz w:val="24"/>
          <w:szCs w:val="24"/>
        </w:rPr>
        <w:t>间，共计</w:t>
      </w:r>
      <w:r>
        <w:rPr>
          <w:rFonts w:ascii="宋体" w:hAnsi="宋体" w:eastAsia="宋体" w:cs="宋体"/>
          <w:spacing w:val="-47"/>
          <w:sz w:val="24"/>
          <w:szCs w:val="24"/>
        </w:rPr>
        <w:t xml:space="preserve"> </w:t>
      </w:r>
      <w:r>
        <w:rPr>
          <w:rFonts w:ascii="宋体" w:hAnsi="宋体" w:eastAsia="宋体" w:cs="宋体"/>
          <w:spacing w:val="-9"/>
          <w:sz w:val="24"/>
          <w:szCs w:val="24"/>
        </w:rPr>
        <w:t>21</w:t>
      </w:r>
      <w:r>
        <w:rPr>
          <w:rFonts w:ascii="宋体" w:hAnsi="宋体" w:eastAsia="宋体" w:cs="宋体"/>
          <w:spacing w:val="-32"/>
          <w:sz w:val="24"/>
          <w:szCs w:val="24"/>
        </w:rPr>
        <w:t xml:space="preserve"> </w:t>
      </w:r>
      <w:r>
        <w:rPr>
          <w:rFonts w:ascii="宋体" w:hAnsi="宋体" w:eastAsia="宋体" w:cs="宋体"/>
          <w:spacing w:val="-9"/>
          <w:sz w:val="24"/>
          <w:szCs w:val="24"/>
        </w:rPr>
        <w:t>间只有</w:t>
      </w:r>
      <w:r>
        <w:rPr>
          <w:rFonts w:ascii="宋体" w:hAnsi="宋体" w:eastAsia="宋体" w:cs="宋体"/>
          <w:sz w:val="24"/>
          <w:szCs w:val="24"/>
        </w:rPr>
        <w:t xml:space="preserve"> </w:t>
      </w:r>
      <w:r>
        <w:rPr>
          <w:rFonts w:ascii="宋体" w:hAnsi="宋体" w:eastAsia="宋体" w:cs="宋体"/>
          <w:spacing w:val="-4"/>
          <w:sz w:val="24"/>
          <w:szCs w:val="24"/>
        </w:rPr>
        <w:t>老式黑板、没有交互功能的投影设备。依据数字校园建设标准《成都市数字校园</w:t>
      </w:r>
      <w:r>
        <w:rPr>
          <w:rFonts w:ascii="宋体" w:hAnsi="宋体" w:eastAsia="宋体" w:cs="宋体"/>
          <w:spacing w:val="-5"/>
          <w:sz w:val="24"/>
          <w:szCs w:val="24"/>
        </w:rPr>
        <w:t>建设与应用评价标准》</w:t>
      </w:r>
      <w:r>
        <w:rPr>
          <w:rFonts w:ascii="宋体" w:hAnsi="宋体" w:eastAsia="宋体" w:cs="宋体"/>
          <w:spacing w:val="32"/>
          <w:sz w:val="24"/>
          <w:szCs w:val="24"/>
        </w:rPr>
        <w:t xml:space="preserve"> </w:t>
      </w:r>
      <w:r>
        <w:rPr>
          <w:rFonts w:ascii="宋体" w:hAnsi="宋体" w:eastAsia="宋体" w:cs="宋体"/>
          <w:spacing w:val="-5"/>
          <w:sz w:val="24"/>
          <w:szCs w:val="24"/>
        </w:rPr>
        <w:t>及《成都市温江区中小学“数字校园”建设实施方案</w:t>
      </w:r>
      <w:r>
        <w:rPr>
          <w:rFonts w:ascii="宋体" w:hAnsi="宋体" w:eastAsia="宋体" w:cs="宋体"/>
          <w:spacing w:val="-6"/>
          <w:sz w:val="24"/>
          <w:szCs w:val="24"/>
        </w:rPr>
        <w:t>（2018—2020）》，根据学校实际情况结合学校办学理念，制定学校数字校园设</w:t>
      </w:r>
      <w:r>
        <w:rPr>
          <w:rFonts w:ascii="宋体" w:hAnsi="宋体" w:eastAsia="宋体" w:cs="宋体"/>
          <w:spacing w:val="-3"/>
          <w:sz w:val="24"/>
          <w:szCs w:val="24"/>
        </w:rPr>
        <w:t>备采购方案。</w:t>
      </w:r>
    </w:p>
    <w:p>
      <w:pPr>
        <w:spacing w:before="278" w:line="184" w:lineRule="auto"/>
        <w:ind w:firstLine="358"/>
        <w:outlineLvl w:val="2"/>
        <w:rPr>
          <w:rFonts w:ascii="宋体" w:hAnsi="宋体" w:eastAsia="宋体" w:cs="宋体"/>
          <w:sz w:val="24"/>
          <w:szCs w:val="24"/>
        </w:rPr>
      </w:pPr>
      <w:bookmarkStart w:id="182" w:name="_bookmark10"/>
      <w:bookmarkEnd w:id="182"/>
      <w:bookmarkStart w:id="183" w:name="_Toc20080"/>
      <w:r>
        <w:rPr>
          <w:rFonts w:ascii="Calibri" w:hAnsi="Calibri" w:eastAsia="Calibri" w:cs="Calibri"/>
          <w:b/>
          <w:bCs/>
          <w:spacing w:val="-3"/>
          <w:sz w:val="24"/>
          <w:szCs w:val="24"/>
        </w:rPr>
        <w:t>1.5.2</w:t>
      </w:r>
      <w:r>
        <w:rPr>
          <w:rFonts w:ascii="Calibri" w:hAnsi="Calibri" w:eastAsia="Calibri" w:cs="Calibri"/>
          <w:spacing w:val="16"/>
          <w:w w:val="101"/>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建设目标</w:t>
      </w:r>
      <w:bookmarkEnd w:id="183"/>
    </w:p>
    <w:p>
      <w:pPr>
        <w:spacing w:before="228" w:line="184" w:lineRule="auto"/>
        <w:ind w:firstLine="831"/>
        <w:rPr>
          <w:rFonts w:ascii="Calibri"/>
          <w:sz w:val="21"/>
        </w:rPr>
      </w:pPr>
      <w:r>
        <w:rPr>
          <w:rFonts w:ascii="宋体" w:hAnsi="宋体" w:eastAsia="宋体" w:cs="宋体"/>
          <w:spacing w:val="-1"/>
          <w:sz w:val="24"/>
          <w:szCs w:val="24"/>
        </w:rPr>
        <w:t>本次数字校园设备采购包括数字书法设备、智慧教室设备两项。</w:t>
      </w:r>
    </w:p>
    <w:p>
      <w:pPr>
        <w:spacing w:line="357" w:lineRule="auto"/>
        <w:rPr>
          <w:rFonts w:ascii="Calibri"/>
          <w:sz w:val="21"/>
        </w:rPr>
      </w:pPr>
    </w:p>
    <w:p>
      <w:pPr>
        <w:spacing w:before="69" w:line="184" w:lineRule="auto"/>
        <w:outlineLvl w:val="3"/>
        <w:rPr>
          <w:rFonts w:ascii="宋体" w:hAnsi="宋体" w:eastAsia="宋体" w:cs="宋体"/>
          <w:sz w:val="21"/>
          <w:szCs w:val="21"/>
        </w:rPr>
      </w:pPr>
      <w:r>
        <w:rPr>
          <w:rFonts w:ascii="Arial" w:hAnsi="Arial" w:eastAsia="Arial" w:cs="Arial"/>
          <w:b/>
          <w:bCs/>
          <w:spacing w:val="-2"/>
          <w:sz w:val="21"/>
          <w:szCs w:val="21"/>
        </w:rPr>
        <w:t>1.5.2.1</w:t>
      </w:r>
      <w:r>
        <w:rPr>
          <w:rFonts w:ascii="Arial" w:hAnsi="Arial" w:eastAsia="Arial" w:cs="Arial"/>
          <w:spacing w:val="11"/>
          <w:sz w:val="21"/>
          <w:szCs w:val="21"/>
        </w:rPr>
        <w:t xml:space="preserve"> </w:t>
      </w:r>
      <w:r>
        <w:rPr>
          <w:rFonts w:ascii="宋体" w:hAnsi="宋体" w:eastAsia="宋体" w:cs="宋体"/>
          <w:spacing w:val="-2"/>
          <w:sz w:val="21"/>
          <w:szCs w:val="21"/>
          <w14:textOutline w14:w="3795" w14:cap="sq" w14:cmpd="sng">
            <w14:solidFill>
              <w14:srgbClr w14:val="000000"/>
            </w14:solidFill>
            <w14:prstDash w14:val="solid"/>
            <w14:bevel/>
          </w14:textOutline>
        </w:rPr>
        <w:t>数字书法教室设备</w:t>
      </w:r>
    </w:p>
    <w:p>
      <w:pPr>
        <w:spacing w:line="280" w:lineRule="auto"/>
        <w:rPr>
          <w:rFonts w:ascii="Calibri"/>
          <w:sz w:val="21"/>
        </w:rPr>
      </w:pPr>
    </w:p>
    <w:p>
      <w:pPr>
        <w:spacing w:before="78" w:line="360" w:lineRule="auto"/>
        <w:ind w:left="351" w:right="13" w:firstLine="603"/>
        <w:rPr>
          <w:rFonts w:ascii="宋体" w:hAnsi="宋体" w:eastAsia="宋体" w:cs="宋体"/>
          <w:sz w:val="24"/>
          <w:szCs w:val="24"/>
        </w:rPr>
      </w:pPr>
      <w:r>
        <w:rPr>
          <w:rFonts w:ascii="宋体" w:hAnsi="宋体" w:eastAsia="宋体" w:cs="宋体"/>
          <w:sz w:val="24"/>
          <w:szCs w:val="24"/>
        </w:rPr>
        <w:t>书法教室建设依托学校实际情况，设备根据功能分为教师端和学生端，教</w:t>
      </w:r>
      <w:r>
        <w:rPr>
          <w:rFonts w:ascii="宋体" w:hAnsi="宋体" w:eastAsia="宋体" w:cs="宋体"/>
          <w:spacing w:val="12"/>
          <w:sz w:val="24"/>
          <w:szCs w:val="24"/>
        </w:rPr>
        <w:t xml:space="preserve"> </w:t>
      </w:r>
      <w:r>
        <w:rPr>
          <w:rFonts w:ascii="宋体" w:hAnsi="宋体" w:eastAsia="宋体" w:cs="宋体"/>
          <w:spacing w:val="-3"/>
          <w:sz w:val="24"/>
          <w:szCs w:val="24"/>
        </w:rPr>
        <w:t>师端包含中控系统、书法教学直播系统及配套教学资源。学生端主要是以书法桌</w:t>
      </w:r>
      <w:r>
        <w:rPr>
          <w:rFonts w:ascii="宋体" w:hAnsi="宋体" w:eastAsia="宋体" w:cs="宋体"/>
          <w:spacing w:val="1"/>
          <w:sz w:val="24"/>
          <w:szCs w:val="24"/>
        </w:rPr>
        <w:t xml:space="preserve"> </w:t>
      </w:r>
      <w:r>
        <w:rPr>
          <w:rFonts w:ascii="宋体" w:hAnsi="宋体" w:eastAsia="宋体" w:cs="宋体"/>
          <w:spacing w:val="-1"/>
          <w:sz w:val="24"/>
          <w:szCs w:val="24"/>
        </w:rPr>
        <w:t>凳为主，以及教室的基础环境建设。</w:t>
      </w:r>
    </w:p>
    <w:p>
      <w:pPr>
        <w:spacing w:before="134" w:line="184" w:lineRule="auto"/>
        <w:outlineLvl w:val="3"/>
        <w:rPr>
          <w:rFonts w:ascii="宋体" w:hAnsi="宋体" w:eastAsia="宋体" w:cs="宋体"/>
          <w:sz w:val="21"/>
          <w:szCs w:val="21"/>
        </w:rPr>
      </w:pPr>
      <w:r>
        <w:rPr>
          <w:rFonts w:ascii="Arial" w:hAnsi="Arial" w:eastAsia="Arial" w:cs="Arial"/>
          <w:b/>
          <w:bCs/>
          <w:spacing w:val="-3"/>
          <w:sz w:val="21"/>
          <w:szCs w:val="21"/>
        </w:rPr>
        <w:t>1.5.2.2</w:t>
      </w:r>
      <w:r>
        <w:rPr>
          <w:rFonts w:ascii="Arial" w:hAnsi="Arial" w:eastAsia="Arial" w:cs="Arial"/>
          <w:spacing w:val="18"/>
          <w:sz w:val="21"/>
          <w:szCs w:val="21"/>
        </w:rPr>
        <w:t xml:space="preserve"> </w:t>
      </w:r>
      <w:r>
        <w:rPr>
          <w:rFonts w:ascii="宋体" w:hAnsi="宋体" w:eastAsia="宋体" w:cs="宋体"/>
          <w:spacing w:val="-3"/>
          <w:sz w:val="21"/>
          <w:szCs w:val="21"/>
          <w14:textOutline w14:w="3795" w14:cap="sq" w14:cmpd="sng">
            <w14:solidFill>
              <w14:srgbClr w14:val="000000"/>
            </w14:solidFill>
            <w14:prstDash w14:val="solid"/>
            <w14:bevel/>
          </w14:textOutline>
        </w:rPr>
        <w:t>智慧教室设备</w:t>
      </w:r>
    </w:p>
    <w:p>
      <w:pPr>
        <w:spacing w:line="268" w:lineRule="auto"/>
        <w:rPr>
          <w:rFonts w:ascii="Calibri"/>
          <w:sz w:val="21"/>
        </w:rPr>
      </w:pPr>
    </w:p>
    <w:p>
      <w:pPr>
        <w:spacing w:before="79" w:line="184" w:lineRule="auto"/>
        <w:ind w:firstLine="968"/>
        <w:rPr>
          <w:rFonts w:ascii="宋体" w:hAnsi="宋体" w:eastAsia="宋体" w:cs="宋体"/>
          <w:sz w:val="24"/>
          <w:szCs w:val="24"/>
        </w:rPr>
      </w:pPr>
      <w:r>
        <w:rPr>
          <w:rFonts w:ascii="宋体" w:hAnsi="宋体" w:eastAsia="宋体" w:cs="宋体"/>
          <w:spacing w:val="-3"/>
          <w:sz w:val="24"/>
          <w:szCs w:val="24"/>
        </w:rPr>
        <w:t>1、实现动态开放课堂</w:t>
      </w:r>
    </w:p>
    <w:p>
      <w:pPr>
        <w:spacing w:before="229" w:line="316" w:lineRule="auto"/>
        <w:ind w:left="350" w:right="13" w:firstLine="600"/>
        <w:rPr>
          <w:rFonts w:ascii="宋体" w:hAnsi="宋体" w:eastAsia="宋体" w:cs="宋体"/>
          <w:sz w:val="24"/>
          <w:szCs w:val="24"/>
        </w:rPr>
      </w:pPr>
      <w:r>
        <w:rPr>
          <w:rFonts w:ascii="宋体" w:hAnsi="宋体" w:eastAsia="宋体" w:cs="宋体"/>
          <w:sz w:val="24"/>
          <w:szCs w:val="24"/>
        </w:rPr>
        <w:t>借助于新兴信息技术，运用智能手机、实物展台、智慧黑板等智能终端设</w:t>
      </w:r>
      <w:r>
        <w:rPr>
          <w:rFonts w:ascii="宋体" w:hAnsi="宋体" w:eastAsia="宋体" w:cs="宋体"/>
          <w:spacing w:val="16"/>
          <w:sz w:val="24"/>
          <w:szCs w:val="24"/>
        </w:rPr>
        <w:t xml:space="preserve"> </w:t>
      </w:r>
      <w:r>
        <w:rPr>
          <w:rFonts w:ascii="宋体" w:hAnsi="宋体" w:eastAsia="宋体" w:cs="宋体"/>
          <w:spacing w:val="-3"/>
          <w:sz w:val="24"/>
          <w:szCs w:val="24"/>
        </w:rPr>
        <w:t>备，使课堂系统超越时空，动态的信息互通交流，实现更为开放的教师、更为开</w:t>
      </w:r>
      <w:r>
        <w:rPr>
          <w:rFonts w:ascii="宋体" w:hAnsi="宋体" w:eastAsia="宋体" w:cs="宋体"/>
          <w:spacing w:val="2"/>
          <w:sz w:val="24"/>
          <w:szCs w:val="24"/>
        </w:rPr>
        <w:t xml:space="preserve"> </w:t>
      </w:r>
      <w:r>
        <w:rPr>
          <w:rFonts w:ascii="宋体" w:hAnsi="宋体" w:eastAsia="宋体" w:cs="宋体"/>
          <w:spacing w:val="-3"/>
          <w:sz w:val="24"/>
          <w:szCs w:val="24"/>
        </w:rPr>
        <w:t>放的课堂活动，使得课前、课中、课后成为一体，单一、封闭的课堂教学向多元</w:t>
      </w:r>
      <w:r>
        <w:rPr>
          <w:rFonts w:ascii="宋体" w:hAnsi="宋体" w:eastAsia="宋体" w:cs="宋体"/>
          <w:spacing w:val="2"/>
          <w:sz w:val="24"/>
          <w:szCs w:val="24"/>
        </w:rPr>
        <w:t xml:space="preserve"> </w:t>
      </w:r>
      <w:r>
        <w:rPr>
          <w:rFonts w:ascii="宋体" w:hAnsi="宋体" w:eastAsia="宋体" w:cs="宋体"/>
          <w:spacing w:val="-2"/>
          <w:sz w:val="24"/>
          <w:szCs w:val="24"/>
        </w:rPr>
        <w:t>化的开放教学发展。</w:t>
      </w:r>
    </w:p>
    <w:p>
      <w:pPr>
        <w:spacing w:before="229" w:line="184" w:lineRule="auto"/>
        <w:ind w:firstLine="953"/>
        <w:rPr>
          <w:rFonts w:ascii="宋体" w:hAnsi="宋体" w:eastAsia="宋体" w:cs="宋体"/>
          <w:sz w:val="24"/>
          <w:szCs w:val="24"/>
        </w:rPr>
      </w:pPr>
      <w:r>
        <w:rPr>
          <w:rFonts w:ascii="宋体" w:hAnsi="宋体" w:eastAsia="宋体" w:cs="宋体"/>
          <w:spacing w:val="-2"/>
          <w:sz w:val="24"/>
          <w:szCs w:val="24"/>
        </w:rPr>
        <w:t>2、增进课堂高效互动</w:t>
      </w:r>
    </w:p>
    <w:p>
      <w:pPr>
        <w:spacing w:before="229" w:line="184" w:lineRule="auto"/>
        <w:ind w:firstLine="951"/>
        <w:rPr>
          <w:rFonts w:ascii="宋体" w:hAnsi="宋体" w:eastAsia="宋体" w:cs="宋体"/>
          <w:sz w:val="24"/>
          <w:szCs w:val="24"/>
        </w:rPr>
      </w:pPr>
      <w:r>
        <w:rPr>
          <w:rFonts w:ascii="宋体" w:hAnsi="宋体" w:eastAsia="宋体" w:cs="宋体"/>
          <w:sz w:val="24"/>
          <w:szCs w:val="24"/>
        </w:rPr>
        <w:t>利用智能化的移动学习工具和应用支撑平台，教师和学生、学生与学生之</w:t>
      </w:r>
    </w:p>
    <w:p>
      <w:pPr>
        <w:sectPr>
          <w:headerReference r:id="rId11" w:type="default"/>
          <w:footerReference r:id="rId12" w:type="default"/>
          <w:pgSz w:w="11906" w:h="16839"/>
          <w:pgMar w:top="1192" w:right="1785" w:bottom="1102" w:left="1458" w:header="1178" w:footer="985" w:gutter="0"/>
          <w:cols w:space="720" w:num="1"/>
        </w:sectPr>
      </w:pPr>
    </w:p>
    <w:p>
      <w:pPr>
        <w:spacing w:line="265" w:lineRule="auto"/>
        <w:rPr>
          <w:rFonts w:ascii="Calibri"/>
          <w:sz w:val="21"/>
        </w:rPr>
      </w:pPr>
    </w:p>
    <w:p>
      <w:pPr>
        <w:spacing w:before="78" w:line="360" w:lineRule="auto"/>
        <w:ind w:left="350" w:right="160" w:firstLine="18"/>
        <w:rPr>
          <w:rFonts w:ascii="宋体" w:hAnsi="宋体" w:eastAsia="宋体" w:cs="宋体"/>
          <w:sz w:val="24"/>
          <w:szCs w:val="24"/>
        </w:rPr>
      </w:pPr>
      <w:r>
        <w:rPr>
          <w:rFonts w:ascii="宋体" w:hAnsi="宋体" w:eastAsia="宋体" w:cs="宋体"/>
          <w:spacing w:val="-4"/>
          <w:sz w:val="24"/>
          <w:szCs w:val="24"/>
        </w:rPr>
        <w:t>间分沟通与交流更加立体化、更加及时。通过情感感知、数据挖掘等方法提前预</w:t>
      </w:r>
      <w:r>
        <w:rPr>
          <w:rFonts w:ascii="宋体" w:hAnsi="宋体" w:eastAsia="宋体" w:cs="宋体"/>
          <w:spacing w:val="18"/>
          <w:sz w:val="24"/>
          <w:szCs w:val="24"/>
        </w:rPr>
        <w:t xml:space="preserve"> </w:t>
      </w:r>
      <w:r>
        <w:rPr>
          <w:rFonts w:ascii="宋体" w:hAnsi="宋体" w:eastAsia="宋体" w:cs="宋体"/>
          <w:spacing w:val="-3"/>
          <w:sz w:val="24"/>
          <w:szCs w:val="24"/>
        </w:rPr>
        <w:t>知学习者潜在的学习需求，针对学情决策教学策略，通过资源推送等方式推送学</w:t>
      </w:r>
      <w:r>
        <w:rPr>
          <w:rFonts w:ascii="宋体" w:hAnsi="宋体" w:eastAsia="宋体" w:cs="宋体"/>
          <w:spacing w:val="2"/>
          <w:sz w:val="24"/>
          <w:szCs w:val="24"/>
        </w:rPr>
        <w:t xml:space="preserve"> </w:t>
      </w:r>
      <w:r>
        <w:rPr>
          <w:rFonts w:ascii="宋体" w:hAnsi="宋体" w:eastAsia="宋体" w:cs="宋体"/>
          <w:spacing w:val="-3"/>
          <w:sz w:val="24"/>
          <w:szCs w:val="24"/>
        </w:rPr>
        <w:t>习资源，即时交互、反馈，实现动态的数据分析及信息反馈，实现有效交互教学</w:t>
      </w:r>
      <w:r>
        <w:rPr>
          <w:rFonts w:ascii="宋体" w:hAnsi="宋体" w:eastAsia="宋体" w:cs="宋体"/>
          <w:spacing w:val="2"/>
          <w:sz w:val="24"/>
          <w:szCs w:val="24"/>
        </w:rPr>
        <w:t xml:space="preserve"> </w:t>
      </w:r>
      <w:r>
        <w:rPr>
          <w:rFonts w:ascii="宋体" w:hAnsi="宋体" w:eastAsia="宋体" w:cs="宋体"/>
          <w:spacing w:val="-1"/>
          <w:sz w:val="24"/>
          <w:szCs w:val="24"/>
        </w:rPr>
        <w:t>应用，增加师生互动的深度与广度。</w:t>
      </w:r>
    </w:p>
    <w:p>
      <w:pPr>
        <w:spacing w:line="202" w:lineRule="auto"/>
        <w:ind w:firstLine="955"/>
        <w:rPr>
          <w:rFonts w:ascii="宋体" w:hAnsi="宋体" w:eastAsia="宋体" w:cs="宋体"/>
          <w:sz w:val="24"/>
          <w:szCs w:val="24"/>
        </w:rPr>
      </w:pPr>
      <w:r>
        <w:rPr>
          <w:rFonts w:ascii="宋体" w:hAnsi="宋体" w:eastAsia="宋体" w:cs="宋体"/>
          <w:spacing w:val="-2"/>
          <w:sz w:val="24"/>
          <w:szCs w:val="24"/>
        </w:rPr>
        <w:t>3、促进合作探究学习</w:t>
      </w:r>
    </w:p>
    <w:p>
      <w:pPr>
        <w:spacing w:before="205" w:line="360" w:lineRule="auto"/>
        <w:ind w:left="351" w:right="160" w:firstLine="600"/>
        <w:rPr>
          <w:rFonts w:ascii="宋体" w:hAnsi="宋体" w:eastAsia="宋体" w:cs="宋体"/>
          <w:sz w:val="24"/>
          <w:szCs w:val="24"/>
        </w:rPr>
      </w:pPr>
      <w:r>
        <w:rPr>
          <w:rFonts w:ascii="宋体" w:hAnsi="宋体" w:eastAsia="宋体" w:cs="宋体"/>
          <w:sz w:val="24"/>
          <w:szCs w:val="24"/>
        </w:rPr>
        <w:t>依托信息化平台建构的学习环境，在智慧课堂中采用小组合作学习、基于</w:t>
      </w:r>
      <w:r>
        <w:rPr>
          <w:rFonts w:ascii="宋体" w:hAnsi="宋体" w:eastAsia="宋体" w:cs="宋体"/>
          <w:spacing w:val="15"/>
          <w:sz w:val="24"/>
          <w:szCs w:val="24"/>
        </w:rPr>
        <w:t xml:space="preserve"> </w:t>
      </w:r>
      <w:r>
        <w:rPr>
          <w:rFonts w:ascii="宋体" w:hAnsi="宋体" w:eastAsia="宋体" w:cs="宋体"/>
          <w:spacing w:val="-3"/>
          <w:sz w:val="24"/>
          <w:szCs w:val="24"/>
        </w:rPr>
        <w:t>问题的学习的学习方式，协作群组服务能够帮助有相同学习需求和兴趣的学习者</w:t>
      </w:r>
      <w:r>
        <w:rPr>
          <w:rFonts w:ascii="宋体" w:hAnsi="宋体" w:eastAsia="宋体" w:cs="宋体"/>
          <w:spacing w:val="1"/>
          <w:sz w:val="24"/>
          <w:szCs w:val="24"/>
        </w:rPr>
        <w:t xml:space="preserve"> </w:t>
      </w:r>
      <w:r>
        <w:rPr>
          <w:rFonts w:ascii="宋体" w:hAnsi="宋体" w:eastAsia="宋体" w:cs="宋体"/>
          <w:spacing w:val="-3"/>
          <w:sz w:val="24"/>
          <w:szCs w:val="24"/>
        </w:rPr>
        <w:t>自动形成学习共同体，通过平台获取丰富的学习资源和信息动态，深入展开讨论</w:t>
      </w:r>
      <w:r>
        <w:rPr>
          <w:rFonts w:ascii="宋体" w:hAnsi="宋体" w:eastAsia="宋体" w:cs="宋体"/>
          <w:spacing w:val="1"/>
          <w:sz w:val="24"/>
          <w:szCs w:val="24"/>
        </w:rPr>
        <w:t xml:space="preserve"> </w:t>
      </w:r>
      <w:r>
        <w:rPr>
          <w:rFonts w:ascii="宋体" w:hAnsi="宋体" w:eastAsia="宋体" w:cs="宋体"/>
          <w:spacing w:val="-1"/>
          <w:sz w:val="24"/>
          <w:szCs w:val="24"/>
        </w:rPr>
        <w:t>和交流，实现对所学知识的意义建构，促进知识内化。</w:t>
      </w:r>
    </w:p>
    <w:p>
      <w:pPr>
        <w:spacing w:line="202" w:lineRule="auto"/>
        <w:ind w:firstLine="949"/>
        <w:rPr>
          <w:rFonts w:ascii="宋体" w:hAnsi="宋体" w:eastAsia="宋体" w:cs="宋体"/>
          <w:sz w:val="24"/>
          <w:szCs w:val="24"/>
        </w:rPr>
      </w:pPr>
      <w:r>
        <w:rPr>
          <w:rFonts w:ascii="宋体" w:hAnsi="宋体" w:eastAsia="宋体" w:cs="宋体"/>
          <w:spacing w:val="-1"/>
          <w:sz w:val="24"/>
          <w:szCs w:val="24"/>
        </w:rPr>
        <w:t>4、实现科学的教学评价</w:t>
      </w:r>
    </w:p>
    <w:p>
      <w:pPr>
        <w:spacing w:before="205" w:line="360" w:lineRule="auto"/>
        <w:ind w:left="350" w:firstLine="600"/>
        <w:rPr>
          <w:rFonts w:ascii="宋体" w:hAnsi="宋体" w:eastAsia="宋体" w:cs="宋体"/>
          <w:sz w:val="24"/>
          <w:szCs w:val="24"/>
        </w:rPr>
      </w:pPr>
      <w:r>
        <w:rPr>
          <w:rFonts w:ascii="宋体" w:hAnsi="宋体" w:eastAsia="宋体" w:cs="宋体"/>
          <w:spacing w:val="-2"/>
          <w:sz w:val="24"/>
          <w:szCs w:val="24"/>
        </w:rPr>
        <w:t>通过课堂数据采集和大数据分析技术推动教育评价中数据驱动决策的实现，</w:t>
      </w:r>
      <w:r>
        <w:rPr>
          <w:rFonts w:ascii="宋体" w:hAnsi="宋体" w:eastAsia="宋体" w:cs="宋体"/>
          <w:spacing w:val="3"/>
          <w:sz w:val="24"/>
          <w:szCs w:val="24"/>
        </w:rPr>
        <w:t xml:space="preserve"> </w:t>
      </w:r>
      <w:r>
        <w:rPr>
          <w:rFonts w:ascii="宋体" w:hAnsi="宋体" w:eastAsia="宋体" w:cs="宋体"/>
          <w:spacing w:val="-3"/>
          <w:sz w:val="24"/>
          <w:szCs w:val="24"/>
        </w:rPr>
        <w:t>为实现发展性学生评估提供良好的支持。通过对学生学习全过程数据的采集，为</w:t>
      </w:r>
      <w:r>
        <w:rPr>
          <w:rFonts w:ascii="宋体" w:hAnsi="宋体" w:eastAsia="宋体" w:cs="宋体"/>
          <w:spacing w:val="1"/>
          <w:sz w:val="24"/>
          <w:szCs w:val="24"/>
        </w:rPr>
        <w:t xml:space="preserve">  </w:t>
      </w:r>
      <w:r>
        <w:rPr>
          <w:rFonts w:ascii="宋体" w:hAnsi="宋体" w:eastAsia="宋体" w:cs="宋体"/>
          <w:spacing w:val="-6"/>
          <w:sz w:val="24"/>
          <w:szCs w:val="24"/>
        </w:rPr>
        <w:t>教育领域中实现基于数据分析与理性证据的教育评估与决策提供了数据基础；</w:t>
      </w:r>
      <w:r>
        <w:rPr>
          <w:rFonts w:ascii="宋体" w:hAnsi="宋体" w:eastAsia="宋体" w:cs="宋体"/>
          <w:spacing w:val="-13"/>
          <w:sz w:val="24"/>
          <w:szCs w:val="24"/>
        </w:rPr>
        <w:t xml:space="preserve"> </w:t>
      </w:r>
      <w:r>
        <w:rPr>
          <w:rFonts w:ascii="宋体" w:hAnsi="宋体" w:eastAsia="宋体" w:cs="宋体"/>
          <w:spacing w:val="-6"/>
          <w:sz w:val="24"/>
          <w:szCs w:val="24"/>
        </w:rPr>
        <w:t>教</w:t>
      </w:r>
      <w:r>
        <w:rPr>
          <w:rFonts w:ascii="宋体" w:hAnsi="宋体" w:eastAsia="宋体" w:cs="宋体"/>
          <w:sz w:val="24"/>
          <w:szCs w:val="24"/>
        </w:rPr>
        <w:t xml:space="preserve">  </w:t>
      </w:r>
      <w:r>
        <w:rPr>
          <w:rFonts w:ascii="宋体" w:hAnsi="宋体" w:eastAsia="宋体" w:cs="宋体"/>
          <w:spacing w:val="-3"/>
          <w:sz w:val="24"/>
          <w:szCs w:val="24"/>
        </w:rPr>
        <w:t>师不再是知识的传授者、灌输者，而是学习的引导者、帮助者，在教学过程中起</w:t>
      </w:r>
      <w:r>
        <w:rPr>
          <w:rFonts w:ascii="宋体" w:hAnsi="宋体" w:eastAsia="宋体" w:cs="宋体"/>
          <w:spacing w:val="1"/>
          <w:sz w:val="24"/>
          <w:szCs w:val="24"/>
        </w:rPr>
        <w:t xml:space="preserve">  </w:t>
      </w:r>
      <w:r>
        <w:rPr>
          <w:rFonts w:ascii="宋体" w:hAnsi="宋体" w:eastAsia="宋体" w:cs="宋体"/>
          <w:spacing w:val="-3"/>
          <w:sz w:val="24"/>
          <w:szCs w:val="24"/>
        </w:rPr>
        <w:t>着引导作用。教师课前可通过云服务平台了解学生学习疑惑，给予相应的学习引</w:t>
      </w:r>
      <w:r>
        <w:rPr>
          <w:rFonts w:ascii="宋体" w:hAnsi="宋体" w:eastAsia="宋体" w:cs="宋体"/>
          <w:spacing w:val="1"/>
          <w:sz w:val="24"/>
          <w:szCs w:val="24"/>
        </w:rPr>
        <w:t xml:space="preserve">  </w:t>
      </w:r>
      <w:r>
        <w:rPr>
          <w:rFonts w:ascii="宋体" w:hAnsi="宋体" w:eastAsia="宋体" w:cs="宋体"/>
          <w:spacing w:val="-8"/>
          <w:sz w:val="24"/>
          <w:szCs w:val="24"/>
        </w:rPr>
        <w:t>导，促进自行解决课前疑惑；</w:t>
      </w:r>
      <w:r>
        <w:rPr>
          <w:rFonts w:ascii="宋体" w:hAnsi="宋体" w:eastAsia="宋体" w:cs="宋体"/>
          <w:spacing w:val="57"/>
          <w:sz w:val="24"/>
          <w:szCs w:val="24"/>
        </w:rPr>
        <w:t xml:space="preserve"> </w:t>
      </w:r>
      <w:r>
        <w:rPr>
          <w:rFonts w:ascii="宋体" w:hAnsi="宋体" w:eastAsia="宋体" w:cs="宋体"/>
          <w:spacing w:val="-8"/>
          <w:sz w:val="24"/>
          <w:szCs w:val="24"/>
        </w:rPr>
        <w:t>在课堂中可有效促进小组探究学习，通过学生、教</w:t>
      </w:r>
      <w:r>
        <w:rPr>
          <w:rFonts w:ascii="宋体" w:hAnsi="宋体" w:eastAsia="宋体" w:cs="宋体"/>
          <w:sz w:val="24"/>
          <w:szCs w:val="24"/>
        </w:rPr>
        <w:t xml:space="preserve">  </w:t>
      </w:r>
      <w:r>
        <w:rPr>
          <w:rFonts w:ascii="宋体" w:hAnsi="宋体" w:eastAsia="宋体" w:cs="宋体"/>
          <w:spacing w:val="-1"/>
          <w:sz w:val="24"/>
          <w:szCs w:val="24"/>
        </w:rPr>
        <w:t>师智能终端即时看见学生学习思维，给予适当引导。</w:t>
      </w:r>
    </w:p>
    <w:p>
      <w:pPr>
        <w:spacing w:before="78" w:line="184" w:lineRule="auto"/>
        <w:ind w:firstLine="358"/>
        <w:outlineLvl w:val="2"/>
        <w:rPr>
          <w:rFonts w:ascii="宋体" w:hAnsi="宋体" w:eastAsia="宋体" w:cs="宋体"/>
          <w:sz w:val="24"/>
          <w:szCs w:val="24"/>
        </w:rPr>
      </w:pPr>
      <w:bookmarkStart w:id="184" w:name="_bookmark11"/>
      <w:bookmarkEnd w:id="184"/>
      <w:bookmarkStart w:id="185" w:name="_Toc4691"/>
      <w:r>
        <w:rPr>
          <w:rFonts w:ascii="Calibri" w:hAnsi="Calibri" w:eastAsia="Calibri" w:cs="Calibri"/>
          <w:b/>
          <w:bCs/>
          <w:spacing w:val="-3"/>
          <w:sz w:val="24"/>
          <w:szCs w:val="24"/>
        </w:rPr>
        <w:t>1.5.3</w:t>
      </w:r>
      <w:r>
        <w:rPr>
          <w:rFonts w:ascii="Calibri" w:hAnsi="Calibri" w:eastAsia="Calibri" w:cs="Calibri"/>
          <w:spacing w:val="16"/>
          <w:w w:val="101"/>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建设内容</w:t>
      </w:r>
      <w:bookmarkEnd w:id="185"/>
    </w:p>
    <w:p>
      <w:pPr>
        <w:spacing w:before="228" w:line="360" w:lineRule="auto"/>
        <w:ind w:left="351" w:right="160" w:firstLine="600"/>
        <w:rPr>
          <w:rFonts w:ascii="Calibri"/>
          <w:sz w:val="21"/>
        </w:rPr>
      </w:pPr>
      <w:r>
        <w:rPr>
          <w:rFonts w:ascii="宋体" w:hAnsi="宋体" w:eastAsia="宋体" w:cs="宋体"/>
          <w:sz w:val="24"/>
          <w:szCs w:val="24"/>
        </w:rPr>
        <w:t>成都市温江中学实验学校本次“数字校园”设备采购项目，包括“数字书</w:t>
      </w:r>
      <w:r>
        <w:rPr>
          <w:rFonts w:ascii="宋体" w:hAnsi="宋体" w:eastAsia="宋体" w:cs="宋体"/>
          <w:spacing w:val="15"/>
          <w:sz w:val="24"/>
          <w:szCs w:val="24"/>
        </w:rPr>
        <w:t xml:space="preserve"> </w:t>
      </w:r>
      <w:r>
        <w:rPr>
          <w:rFonts w:ascii="宋体" w:hAnsi="宋体" w:eastAsia="宋体" w:cs="宋体"/>
          <w:spacing w:val="-1"/>
          <w:sz w:val="24"/>
          <w:szCs w:val="24"/>
        </w:rPr>
        <w:t>法教室设备”、</w:t>
      </w:r>
      <w:r>
        <w:rPr>
          <w:rFonts w:ascii="宋体" w:hAnsi="宋体" w:eastAsia="宋体" w:cs="宋体"/>
          <w:spacing w:val="-113"/>
          <w:sz w:val="24"/>
          <w:szCs w:val="24"/>
        </w:rPr>
        <w:t xml:space="preserve"> </w:t>
      </w:r>
      <w:r>
        <w:rPr>
          <w:rFonts w:ascii="宋体" w:hAnsi="宋体" w:eastAsia="宋体" w:cs="宋体"/>
          <w:spacing w:val="-1"/>
          <w:sz w:val="24"/>
          <w:szCs w:val="24"/>
        </w:rPr>
        <w:t>“智慧教室设备”两项。</w:t>
      </w:r>
    </w:p>
    <w:p>
      <w:pPr>
        <w:spacing w:before="69" w:line="184" w:lineRule="auto"/>
        <w:outlineLvl w:val="3"/>
        <w:rPr>
          <w:rFonts w:ascii="宋体" w:hAnsi="宋体" w:eastAsia="宋体" w:cs="宋体"/>
          <w:sz w:val="21"/>
          <w:szCs w:val="21"/>
        </w:rPr>
      </w:pPr>
      <w:r>
        <w:rPr>
          <w:rFonts w:ascii="Arial" w:hAnsi="Arial" w:eastAsia="Arial" w:cs="Arial"/>
          <w:b/>
          <w:bCs/>
          <w:spacing w:val="-2"/>
          <w:sz w:val="21"/>
          <w:szCs w:val="21"/>
        </w:rPr>
        <w:t>1.5.3.1</w:t>
      </w:r>
      <w:r>
        <w:rPr>
          <w:rFonts w:ascii="Arial" w:hAnsi="Arial" w:eastAsia="Arial" w:cs="Arial"/>
          <w:spacing w:val="11"/>
          <w:sz w:val="21"/>
          <w:szCs w:val="21"/>
        </w:rPr>
        <w:t xml:space="preserve"> </w:t>
      </w:r>
      <w:r>
        <w:rPr>
          <w:rFonts w:ascii="宋体" w:hAnsi="宋体" w:eastAsia="宋体" w:cs="宋体"/>
          <w:spacing w:val="-2"/>
          <w:sz w:val="21"/>
          <w:szCs w:val="21"/>
          <w14:textOutline w14:w="3795" w14:cap="sq" w14:cmpd="sng">
            <w14:solidFill>
              <w14:srgbClr w14:val="000000"/>
            </w14:solidFill>
            <w14:prstDash w14:val="solid"/>
            <w14:bevel/>
          </w14:textOutline>
        </w:rPr>
        <w:t>数字书法教室设备</w:t>
      </w:r>
    </w:p>
    <w:p>
      <w:pPr>
        <w:spacing w:before="288" w:line="184" w:lineRule="auto"/>
        <w:ind w:firstLine="951"/>
        <w:rPr>
          <w:rFonts w:ascii="宋体" w:hAnsi="宋体" w:eastAsia="宋体" w:cs="宋体"/>
          <w:sz w:val="24"/>
          <w:szCs w:val="24"/>
        </w:rPr>
      </w:pPr>
      <w:r>
        <w:rPr>
          <w:rFonts w:ascii="宋体" w:hAnsi="宋体" w:eastAsia="宋体" w:cs="宋体"/>
          <w:spacing w:val="-3"/>
          <w:sz w:val="24"/>
          <w:szCs w:val="24"/>
        </w:rPr>
        <w:t>本次建设数字书法教室</w:t>
      </w:r>
      <w:r>
        <w:rPr>
          <w:rFonts w:ascii="宋体" w:hAnsi="宋体" w:eastAsia="宋体" w:cs="宋体"/>
          <w:spacing w:val="-21"/>
          <w:sz w:val="24"/>
          <w:szCs w:val="24"/>
        </w:rPr>
        <w:t xml:space="preserve"> </w:t>
      </w:r>
      <w:r>
        <w:rPr>
          <w:rFonts w:ascii="宋体" w:hAnsi="宋体" w:eastAsia="宋体" w:cs="宋体"/>
          <w:spacing w:val="-3"/>
          <w:sz w:val="24"/>
          <w:szCs w:val="24"/>
        </w:rPr>
        <w:t>1</w:t>
      </w:r>
      <w:r>
        <w:rPr>
          <w:rFonts w:ascii="宋体" w:hAnsi="宋体" w:eastAsia="宋体" w:cs="宋体"/>
          <w:spacing w:val="-32"/>
          <w:sz w:val="24"/>
          <w:szCs w:val="24"/>
        </w:rPr>
        <w:t xml:space="preserve"> </w:t>
      </w:r>
      <w:r>
        <w:rPr>
          <w:rFonts w:ascii="宋体" w:hAnsi="宋体" w:eastAsia="宋体" w:cs="宋体"/>
          <w:spacing w:val="-3"/>
          <w:sz w:val="24"/>
          <w:szCs w:val="24"/>
        </w:rPr>
        <w:t>间，满足学校日常书法教学工作。</w:t>
      </w:r>
    </w:p>
    <w:p>
      <w:pPr>
        <w:spacing w:before="284" w:line="184" w:lineRule="auto"/>
        <w:outlineLvl w:val="3"/>
        <w:rPr>
          <w:rFonts w:ascii="宋体" w:hAnsi="宋体" w:eastAsia="宋体" w:cs="宋体"/>
          <w:sz w:val="21"/>
          <w:szCs w:val="21"/>
        </w:rPr>
      </w:pPr>
      <w:r>
        <w:rPr>
          <w:rFonts w:ascii="Arial" w:hAnsi="Arial" w:eastAsia="Arial" w:cs="Arial"/>
          <w:b/>
          <w:bCs/>
          <w:spacing w:val="-3"/>
          <w:sz w:val="21"/>
          <w:szCs w:val="21"/>
        </w:rPr>
        <w:t>1.5.3.3</w:t>
      </w:r>
      <w:r>
        <w:rPr>
          <w:rFonts w:ascii="Arial" w:hAnsi="Arial" w:eastAsia="Arial" w:cs="Arial"/>
          <w:spacing w:val="18"/>
          <w:sz w:val="21"/>
          <w:szCs w:val="21"/>
        </w:rPr>
        <w:t xml:space="preserve"> </w:t>
      </w:r>
      <w:r>
        <w:rPr>
          <w:rFonts w:ascii="宋体" w:hAnsi="宋体" w:eastAsia="宋体" w:cs="宋体"/>
          <w:spacing w:val="-3"/>
          <w:sz w:val="21"/>
          <w:szCs w:val="21"/>
          <w14:textOutline w14:w="3795" w14:cap="sq" w14:cmpd="sng">
            <w14:solidFill>
              <w14:srgbClr w14:val="000000"/>
            </w14:solidFill>
            <w14:prstDash w14:val="solid"/>
            <w14:bevel/>
          </w14:textOutline>
        </w:rPr>
        <w:t>智慧教室设备</w:t>
      </w:r>
    </w:p>
    <w:p>
      <w:pPr>
        <w:spacing w:line="268" w:lineRule="auto"/>
        <w:rPr>
          <w:rFonts w:ascii="Calibri"/>
          <w:sz w:val="21"/>
        </w:rPr>
      </w:pPr>
    </w:p>
    <w:p>
      <w:pPr>
        <w:spacing w:before="78" w:line="360" w:lineRule="auto"/>
        <w:ind w:left="354" w:right="160" w:firstLine="601"/>
        <w:rPr>
          <w:rFonts w:hint="default" w:eastAsia="宋体"/>
          <w:lang w:val="en-US" w:eastAsia="zh-CN"/>
        </w:rPr>
        <w:sectPr>
          <w:headerReference r:id="rId13" w:type="default"/>
          <w:footerReference r:id="rId14" w:type="default"/>
          <w:pgSz w:w="11906" w:h="16839"/>
          <w:pgMar w:top="1192" w:right="1639" w:bottom="1104" w:left="1458" w:header="1178" w:footer="985" w:gutter="0"/>
          <w:cols w:space="720" w:num="1"/>
        </w:sectPr>
      </w:pPr>
      <w:r>
        <w:rPr>
          <w:rFonts w:ascii="宋体" w:hAnsi="宋体" w:eastAsia="宋体" w:cs="宋体"/>
          <w:spacing w:val="-9"/>
          <w:sz w:val="24"/>
          <w:szCs w:val="24"/>
        </w:rPr>
        <w:t>常态化智慧教室主要包含：智慧黑板、智慧教室系统、实物展台等</w:t>
      </w:r>
      <w:r>
        <w:rPr>
          <w:rFonts w:ascii="宋体" w:hAnsi="宋体" w:eastAsia="宋体" w:cs="宋体"/>
          <w:spacing w:val="-47"/>
          <w:sz w:val="24"/>
          <w:szCs w:val="24"/>
        </w:rPr>
        <w:t xml:space="preserve"> </w:t>
      </w:r>
      <w:r>
        <w:rPr>
          <w:rFonts w:ascii="宋体" w:hAnsi="宋体" w:eastAsia="宋体" w:cs="宋体"/>
          <w:spacing w:val="-9"/>
          <w:sz w:val="24"/>
          <w:szCs w:val="24"/>
        </w:rPr>
        <w:t>21</w:t>
      </w:r>
      <w:r>
        <w:rPr>
          <w:rFonts w:ascii="宋体" w:hAnsi="宋体" w:eastAsia="宋体" w:cs="宋体"/>
          <w:spacing w:val="-32"/>
          <w:sz w:val="24"/>
          <w:szCs w:val="24"/>
        </w:rPr>
        <w:t xml:space="preserve"> </w:t>
      </w:r>
      <w:r>
        <w:rPr>
          <w:rFonts w:ascii="宋体" w:hAnsi="宋体" w:eastAsia="宋体" w:cs="宋体"/>
          <w:spacing w:val="-9"/>
          <w:sz w:val="24"/>
          <w:szCs w:val="24"/>
        </w:rPr>
        <w:t>间教</w:t>
      </w:r>
      <w:r>
        <w:rPr>
          <w:rFonts w:ascii="宋体" w:hAnsi="宋体" w:eastAsia="宋体" w:cs="宋体"/>
          <w:spacing w:val="-1"/>
          <w:sz w:val="24"/>
          <w:szCs w:val="24"/>
        </w:rPr>
        <w:t>室辅材、安装调试等所有的设备集成。</w:t>
      </w:r>
      <w:r>
        <w:rPr>
          <w:rFonts w:hint="eastAsia" w:cs="宋体"/>
          <w:spacing w:val="-1"/>
          <w:sz w:val="24"/>
          <w:szCs w:val="24"/>
          <w:lang w:val="en-US" w:eastAsia="zh-CN"/>
        </w:rPr>
        <w:t xml:space="preserve">  </w:t>
      </w:r>
    </w:p>
    <w:p>
      <w:pPr>
        <w:sectPr>
          <w:headerReference r:id="rId15" w:type="default"/>
          <w:footerReference r:id="rId16" w:type="default"/>
          <w:pgSz w:w="11906" w:h="16839"/>
          <w:pgMar w:top="400" w:right="1785" w:bottom="1102" w:left="1785" w:header="0" w:footer="987" w:gutter="0"/>
          <w:cols w:space="720" w:num="1"/>
        </w:sectPr>
      </w:pPr>
    </w:p>
    <w:p>
      <w:pPr>
        <w:spacing w:before="97" w:line="184" w:lineRule="auto"/>
        <w:jc w:val="center"/>
        <w:outlineLvl w:val="0"/>
        <w:rPr>
          <w:rFonts w:ascii="宋体" w:hAnsi="宋体" w:eastAsia="宋体" w:cs="宋体"/>
          <w:sz w:val="30"/>
          <w:szCs w:val="30"/>
        </w:rPr>
      </w:pPr>
      <w:bookmarkStart w:id="186" w:name="_bookmark14"/>
      <w:bookmarkEnd w:id="186"/>
      <w:bookmarkStart w:id="187" w:name="_Toc21627"/>
      <w:r>
        <w:rPr>
          <w:rFonts w:ascii="宋体" w:hAnsi="宋体" w:eastAsia="宋体" w:cs="宋体"/>
          <w:spacing w:val="-30"/>
          <w:sz w:val="30"/>
          <w:szCs w:val="30"/>
          <w14:textOutline w14:w="5448" w14:cap="sq" w14:cmpd="sng">
            <w14:solidFill>
              <w14:srgbClr w14:val="000000"/>
            </w14:solidFill>
            <w14:prstDash w14:val="solid"/>
            <w14:bevel/>
          </w14:textOutline>
        </w:rPr>
        <w:t>第二章需求分析</w:t>
      </w:r>
      <w:bookmarkEnd w:id="187"/>
    </w:p>
    <w:p>
      <w:pPr>
        <w:spacing w:line="267" w:lineRule="auto"/>
        <w:rPr>
          <w:rFonts w:ascii="Calibri"/>
          <w:sz w:val="21"/>
        </w:rPr>
      </w:pPr>
    </w:p>
    <w:p>
      <w:pPr>
        <w:spacing w:line="267" w:lineRule="auto"/>
        <w:rPr>
          <w:rFonts w:ascii="Calibri"/>
          <w:sz w:val="21"/>
        </w:rPr>
      </w:pPr>
    </w:p>
    <w:p>
      <w:pPr>
        <w:spacing w:before="91" w:line="185" w:lineRule="auto"/>
        <w:ind w:firstLine="28"/>
        <w:outlineLvl w:val="1"/>
        <w:rPr>
          <w:rFonts w:ascii="宋体" w:hAnsi="宋体" w:eastAsia="宋体" w:cs="宋体"/>
          <w:sz w:val="28"/>
          <w:szCs w:val="28"/>
        </w:rPr>
      </w:pPr>
      <w:bookmarkStart w:id="188" w:name="_bookmark15"/>
      <w:bookmarkEnd w:id="188"/>
      <w:bookmarkStart w:id="189" w:name="_Toc10122"/>
      <w:r>
        <w:rPr>
          <w:rFonts w:ascii="宋体" w:hAnsi="宋体" w:eastAsia="宋体" w:cs="宋体"/>
          <w:spacing w:val="-5"/>
          <w:sz w:val="28"/>
          <w:szCs w:val="28"/>
          <w14:textOutline w14:w="5103" w14:cap="sq" w14:cmpd="sng">
            <w14:solidFill>
              <w14:srgbClr w14:val="000000"/>
            </w14:solidFill>
            <w14:prstDash w14:val="solid"/>
            <w14:bevel/>
          </w14:textOutline>
        </w:rPr>
        <w:t>2.1</w:t>
      </w:r>
      <w:r>
        <w:rPr>
          <w:rFonts w:ascii="宋体" w:hAnsi="宋体" w:eastAsia="宋体" w:cs="宋体"/>
          <w:spacing w:val="-44"/>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需求分析</w:t>
      </w:r>
      <w:bookmarkEnd w:id="189"/>
    </w:p>
    <w:p>
      <w:pPr>
        <w:spacing w:line="439" w:lineRule="auto"/>
        <w:rPr>
          <w:rFonts w:ascii="Calibri"/>
          <w:sz w:val="21"/>
        </w:rPr>
      </w:pPr>
    </w:p>
    <w:p>
      <w:pPr>
        <w:spacing w:before="78" w:line="184" w:lineRule="auto"/>
        <w:ind w:firstLine="24"/>
        <w:outlineLvl w:val="2"/>
        <w:rPr>
          <w:rFonts w:ascii="宋体" w:hAnsi="宋体" w:eastAsia="宋体" w:cs="宋体"/>
          <w:sz w:val="24"/>
          <w:szCs w:val="24"/>
        </w:rPr>
      </w:pPr>
      <w:bookmarkStart w:id="190" w:name="_bookmark16"/>
      <w:bookmarkEnd w:id="190"/>
      <w:bookmarkStart w:id="191" w:name="_Toc459"/>
      <w:r>
        <w:rPr>
          <w:rFonts w:ascii="Calibri" w:hAnsi="Calibri" w:eastAsia="Calibri" w:cs="Calibri"/>
          <w:b/>
          <w:bCs/>
          <w:spacing w:val="-2"/>
          <w:sz w:val="24"/>
          <w:szCs w:val="24"/>
        </w:rPr>
        <w:t>2.1.1</w:t>
      </w:r>
      <w:r>
        <w:rPr>
          <w:rFonts w:ascii="Calibri" w:hAnsi="Calibri" w:eastAsia="Calibri" w:cs="Calibri"/>
          <w:spacing w:val="25"/>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数字书法教室设备</w:t>
      </w:r>
      <w:bookmarkEnd w:id="191"/>
    </w:p>
    <w:p>
      <w:pPr>
        <w:spacing w:before="228" w:line="360" w:lineRule="auto"/>
        <w:ind w:left="26" w:right="85" w:firstLine="479"/>
        <w:rPr>
          <w:rFonts w:ascii="宋体" w:hAnsi="宋体" w:eastAsia="宋体" w:cs="宋体"/>
          <w:sz w:val="24"/>
          <w:szCs w:val="24"/>
        </w:rPr>
      </w:pPr>
      <w:r>
        <w:rPr>
          <w:rFonts w:ascii="宋体" w:hAnsi="宋体" w:eastAsia="宋体" w:cs="宋体"/>
          <w:spacing w:val="-4"/>
          <w:sz w:val="24"/>
          <w:szCs w:val="24"/>
        </w:rPr>
        <w:t>数字书法教室建设是学校大力开展书法教育基础建设，其次是现学校不能满</w:t>
      </w:r>
      <w:r>
        <w:rPr>
          <w:rFonts w:ascii="宋体" w:hAnsi="宋体" w:eastAsia="宋体" w:cs="宋体"/>
          <w:spacing w:val="27"/>
          <w:sz w:val="24"/>
          <w:szCs w:val="24"/>
        </w:rPr>
        <w:t xml:space="preserve"> </w:t>
      </w:r>
      <w:r>
        <w:rPr>
          <w:rFonts w:ascii="宋体" w:hAnsi="宋体" w:eastAsia="宋体" w:cs="宋体"/>
          <w:spacing w:val="-4"/>
          <w:sz w:val="24"/>
          <w:szCs w:val="24"/>
        </w:rPr>
        <w:t>足常规书法教学。我校需要新增一间书法教室并配备数字书法教学软件教师端及</w:t>
      </w:r>
      <w:r>
        <w:rPr>
          <w:rFonts w:ascii="宋体" w:hAnsi="宋体" w:eastAsia="宋体" w:cs="宋体"/>
          <w:spacing w:val="34"/>
          <w:sz w:val="24"/>
          <w:szCs w:val="24"/>
        </w:rPr>
        <w:t xml:space="preserve"> </w:t>
      </w:r>
      <w:r>
        <w:rPr>
          <w:rFonts w:ascii="宋体" w:hAnsi="宋体" w:eastAsia="宋体" w:cs="宋体"/>
          <w:spacing w:val="-1"/>
          <w:sz w:val="24"/>
          <w:szCs w:val="24"/>
        </w:rPr>
        <w:t>教学资源，保证学校书法课程正常教学。</w:t>
      </w:r>
    </w:p>
    <w:p>
      <w:pPr>
        <w:spacing w:before="312" w:line="184" w:lineRule="auto"/>
        <w:ind w:firstLine="24"/>
        <w:outlineLvl w:val="2"/>
        <w:rPr>
          <w:rFonts w:ascii="宋体" w:hAnsi="宋体" w:eastAsia="宋体" w:cs="宋体"/>
          <w:sz w:val="24"/>
          <w:szCs w:val="24"/>
        </w:rPr>
      </w:pPr>
      <w:bookmarkStart w:id="192" w:name="_bookmark17"/>
      <w:bookmarkEnd w:id="192"/>
      <w:bookmarkStart w:id="193" w:name="_Toc430"/>
      <w:r>
        <w:rPr>
          <w:rFonts w:ascii="Calibri" w:hAnsi="Calibri" w:eastAsia="Calibri" w:cs="Calibri"/>
          <w:b/>
          <w:bCs/>
          <w:spacing w:val="-2"/>
          <w:sz w:val="24"/>
          <w:szCs w:val="24"/>
        </w:rPr>
        <w:t>2.1.2</w:t>
      </w:r>
      <w:r>
        <w:rPr>
          <w:rFonts w:ascii="Calibri" w:hAnsi="Calibri" w:eastAsia="Calibri" w:cs="Calibri"/>
          <w:spacing w:val="21"/>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智慧教室设备</w:t>
      </w:r>
      <w:bookmarkEnd w:id="193"/>
    </w:p>
    <w:p>
      <w:pPr>
        <w:spacing w:before="226" w:line="331" w:lineRule="auto"/>
        <w:ind w:left="24" w:firstLine="494"/>
        <w:rPr>
          <w:rFonts w:ascii="宋体" w:hAnsi="宋体" w:eastAsia="宋体" w:cs="宋体"/>
          <w:sz w:val="24"/>
          <w:szCs w:val="24"/>
        </w:rPr>
      </w:pPr>
      <w:r>
        <w:rPr>
          <w:rFonts w:ascii="宋体" w:hAnsi="宋体" w:eastAsia="宋体" w:cs="宋体"/>
          <w:spacing w:val="-4"/>
          <w:sz w:val="24"/>
          <w:szCs w:val="24"/>
        </w:rPr>
        <w:t>当前在教学工作中普遍存在的需求是提升教学手段和方法，促进教学质量的</w:t>
      </w:r>
      <w:r>
        <w:rPr>
          <w:rFonts w:ascii="宋体" w:hAnsi="宋体" w:eastAsia="宋体" w:cs="宋体"/>
          <w:spacing w:val="13"/>
          <w:sz w:val="24"/>
          <w:szCs w:val="24"/>
        </w:rPr>
        <w:t xml:space="preserve"> </w:t>
      </w:r>
      <w:r>
        <w:rPr>
          <w:rFonts w:ascii="宋体" w:hAnsi="宋体" w:eastAsia="宋体" w:cs="宋体"/>
          <w:spacing w:val="-8"/>
          <w:sz w:val="24"/>
          <w:szCs w:val="24"/>
        </w:rPr>
        <w:t>提升，同时能够关注到课堂上更多的孩子，传统的多媒体教室无法解决这个问题，</w:t>
      </w:r>
      <w:r>
        <w:rPr>
          <w:rFonts w:ascii="宋体" w:hAnsi="宋体" w:eastAsia="宋体" w:cs="宋体"/>
          <w:spacing w:val="29"/>
          <w:sz w:val="24"/>
          <w:szCs w:val="24"/>
        </w:rPr>
        <w:t xml:space="preserve"> </w:t>
      </w:r>
      <w:r>
        <w:rPr>
          <w:rFonts w:ascii="宋体" w:hAnsi="宋体" w:eastAsia="宋体" w:cs="宋体"/>
          <w:spacing w:val="-3"/>
          <w:sz w:val="24"/>
          <w:szCs w:val="24"/>
        </w:rPr>
        <w:t>因为教学工作不仅涉及到课堂形态和教学观念，还和师生间的交互，教学工具的</w:t>
      </w:r>
      <w:r>
        <w:rPr>
          <w:rFonts w:ascii="宋体" w:hAnsi="宋体" w:eastAsia="宋体" w:cs="宋体"/>
          <w:spacing w:val="1"/>
          <w:sz w:val="24"/>
          <w:szCs w:val="24"/>
        </w:rPr>
        <w:t xml:space="preserve"> </w:t>
      </w:r>
      <w:r>
        <w:rPr>
          <w:rFonts w:ascii="宋体" w:hAnsi="宋体" w:eastAsia="宋体" w:cs="宋体"/>
          <w:spacing w:val="-8"/>
          <w:sz w:val="24"/>
          <w:szCs w:val="24"/>
        </w:rPr>
        <w:t>利用有重要的关系，如何利用信息化手段实现教学观念，教学方法的转变和提升。</w:t>
      </w:r>
      <w:r>
        <w:rPr>
          <w:rFonts w:ascii="宋体" w:hAnsi="宋体" w:eastAsia="宋体" w:cs="宋体"/>
          <w:spacing w:val="29"/>
          <w:sz w:val="24"/>
          <w:szCs w:val="24"/>
        </w:rPr>
        <w:t xml:space="preserve"> </w:t>
      </w:r>
      <w:r>
        <w:rPr>
          <w:rFonts w:ascii="宋体" w:hAnsi="宋体" w:eastAsia="宋体" w:cs="宋体"/>
          <w:spacing w:val="-1"/>
          <w:sz w:val="24"/>
          <w:szCs w:val="24"/>
        </w:rPr>
        <w:t>实现师生教与学的充分互动和同步，实现更便捷，功能更完善的教学工具利用，</w:t>
      </w:r>
      <w:r>
        <w:rPr>
          <w:rFonts w:ascii="宋体" w:hAnsi="宋体" w:eastAsia="宋体" w:cs="宋体"/>
          <w:spacing w:val="16"/>
          <w:sz w:val="24"/>
          <w:szCs w:val="24"/>
        </w:rPr>
        <w:t xml:space="preserve"> </w:t>
      </w:r>
      <w:r>
        <w:rPr>
          <w:rFonts w:ascii="宋体" w:hAnsi="宋体" w:eastAsia="宋体" w:cs="宋体"/>
          <w:spacing w:val="-1"/>
          <w:sz w:val="24"/>
          <w:szCs w:val="24"/>
        </w:rPr>
        <w:t>都是学校急需解决的现实需求。</w:t>
      </w:r>
    </w:p>
    <w:p>
      <w:pPr>
        <w:spacing w:before="228" w:line="360" w:lineRule="auto"/>
        <w:ind w:left="23" w:right="85" w:firstLine="484"/>
        <w:rPr>
          <w:rFonts w:ascii="宋体" w:hAnsi="宋体" w:eastAsia="宋体" w:cs="宋体"/>
          <w:sz w:val="24"/>
          <w:szCs w:val="24"/>
        </w:rPr>
      </w:pPr>
      <w:r>
        <w:rPr>
          <w:rFonts w:ascii="宋体" w:hAnsi="宋体" w:eastAsia="宋体" w:cs="宋体"/>
          <w:spacing w:val="-1"/>
          <w:sz w:val="24"/>
          <w:szCs w:val="24"/>
        </w:rPr>
        <w:t>学校现有的</w:t>
      </w:r>
      <w:r>
        <w:rPr>
          <w:rFonts w:ascii="宋体" w:hAnsi="宋体" w:eastAsia="宋体" w:cs="宋体"/>
          <w:spacing w:val="-25"/>
          <w:sz w:val="24"/>
          <w:szCs w:val="24"/>
        </w:rPr>
        <w:t xml:space="preserve"> </w:t>
      </w:r>
      <w:r>
        <w:rPr>
          <w:rFonts w:ascii="宋体" w:hAnsi="宋体" w:eastAsia="宋体" w:cs="宋体"/>
          <w:spacing w:val="-1"/>
          <w:sz w:val="24"/>
          <w:szCs w:val="24"/>
        </w:rPr>
        <w:t>2012</w:t>
      </w:r>
      <w:r>
        <w:rPr>
          <w:rFonts w:ascii="宋体" w:hAnsi="宋体" w:eastAsia="宋体" w:cs="宋体"/>
          <w:spacing w:val="-49"/>
          <w:sz w:val="24"/>
          <w:szCs w:val="24"/>
        </w:rPr>
        <w:t xml:space="preserve"> </w:t>
      </w:r>
      <w:r>
        <w:rPr>
          <w:rFonts w:ascii="宋体" w:hAnsi="宋体" w:eastAsia="宋体" w:cs="宋体"/>
          <w:spacing w:val="-1"/>
          <w:sz w:val="24"/>
          <w:szCs w:val="24"/>
        </w:rPr>
        <w:t>年建设的功能室多媒体系统采用投影的模式显示画面无交</w:t>
      </w:r>
      <w:r>
        <w:rPr>
          <w:rFonts w:ascii="宋体" w:hAnsi="宋体" w:eastAsia="宋体" w:cs="宋体"/>
          <w:sz w:val="24"/>
          <w:szCs w:val="24"/>
        </w:rPr>
        <w:t xml:space="preserve"> </w:t>
      </w:r>
      <w:r>
        <w:rPr>
          <w:rFonts w:ascii="宋体" w:hAnsi="宋体" w:eastAsia="宋体" w:cs="宋体"/>
          <w:spacing w:val="-3"/>
          <w:sz w:val="24"/>
          <w:szCs w:val="24"/>
        </w:rPr>
        <w:t>互功能，设备长期使用老化严重。经常在上课时无端死机、卡顿。反复维修后仍</w:t>
      </w:r>
      <w:r>
        <w:rPr>
          <w:rFonts w:ascii="宋体" w:hAnsi="宋体" w:eastAsia="宋体" w:cs="宋体"/>
          <w:spacing w:val="2"/>
          <w:sz w:val="24"/>
          <w:szCs w:val="24"/>
        </w:rPr>
        <w:t xml:space="preserve"> </w:t>
      </w:r>
      <w:r>
        <w:rPr>
          <w:rFonts w:ascii="宋体" w:hAnsi="宋体" w:eastAsia="宋体" w:cs="宋体"/>
          <w:spacing w:val="-1"/>
          <w:sz w:val="24"/>
          <w:szCs w:val="24"/>
        </w:rPr>
        <w:t>然无法正常使用。现有功能室多媒体系统已经无法满足在校学生</w:t>
      </w:r>
      <w:r>
        <w:rPr>
          <w:rFonts w:ascii="宋体" w:hAnsi="宋体" w:eastAsia="宋体" w:cs="宋体"/>
          <w:spacing w:val="-43"/>
          <w:sz w:val="24"/>
          <w:szCs w:val="24"/>
        </w:rPr>
        <w:t xml:space="preserve"> </w:t>
      </w:r>
      <w:r>
        <w:rPr>
          <w:rFonts w:ascii="宋体" w:hAnsi="宋体" w:eastAsia="宋体" w:cs="宋体"/>
          <w:spacing w:val="-1"/>
          <w:sz w:val="24"/>
          <w:szCs w:val="24"/>
        </w:rPr>
        <w:t>2700</w:t>
      </w:r>
      <w:r>
        <w:rPr>
          <w:rFonts w:ascii="宋体" w:hAnsi="宋体" w:eastAsia="宋体" w:cs="宋体"/>
          <w:spacing w:val="-50"/>
          <w:sz w:val="24"/>
          <w:szCs w:val="24"/>
        </w:rPr>
        <w:t xml:space="preserve"> </w:t>
      </w:r>
      <w:r>
        <w:rPr>
          <w:rFonts w:ascii="宋体" w:hAnsi="宋体" w:eastAsia="宋体" w:cs="宋体"/>
          <w:spacing w:val="-1"/>
          <w:sz w:val="24"/>
          <w:szCs w:val="24"/>
        </w:rPr>
        <w:t>余人、54</w:t>
      </w:r>
      <w:r>
        <w:rPr>
          <w:rFonts w:ascii="宋体" w:hAnsi="宋体" w:eastAsia="宋体" w:cs="宋体"/>
          <w:sz w:val="24"/>
          <w:szCs w:val="24"/>
        </w:rPr>
        <w:t xml:space="preserve"> </w:t>
      </w:r>
      <w:r>
        <w:rPr>
          <w:rFonts w:ascii="宋体" w:hAnsi="宋体" w:eastAsia="宋体" w:cs="宋体"/>
          <w:spacing w:val="-3"/>
          <w:sz w:val="24"/>
          <w:szCs w:val="24"/>
        </w:rPr>
        <w:t>个教学班级的正常教学需求，无法达到成都市现代教育技术示范校的标准。所以</w:t>
      </w:r>
      <w:r>
        <w:rPr>
          <w:rFonts w:ascii="宋体" w:hAnsi="宋体" w:eastAsia="宋体" w:cs="宋体"/>
          <w:spacing w:val="2"/>
          <w:sz w:val="24"/>
          <w:szCs w:val="24"/>
        </w:rPr>
        <w:t xml:space="preserve"> </w:t>
      </w:r>
      <w:r>
        <w:rPr>
          <w:rFonts w:ascii="宋体" w:hAnsi="宋体" w:eastAsia="宋体" w:cs="宋体"/>
          <w:spacing w:val="-1"/>
          <w:sz w:val="24"/>
          <w:szCs w:val="24"/>
        </w:rPr>
        <w:t>需要采购一批智慧教室设备来保障正常教学。</w:t>
      </w:r>
    </w:p>
    <w:p>
      <w:pPr>
        <w:sectPr>
          <w:headerReference r:id="rId17" w:type="default"/>
          <w:footerReference r:id="rId18" w:type="default"/>
          <w:pgSz w:w="11906" w:h="16839"/>
          <w:pgMar w:top="1192" w:right="1714" w:bottom="1104" w:left="1785" w:header="1178" w:footer="985" w:gutter="0"/>
          <w:cols w:space="720" w:num="1"/>
        </w:sectPr>
      </w:pPr>
    </w:p>
    <w:p>
      <w:pPr>
        <w:spacing w:line="305" w:lineRule="auto"/>
        <w:rPr>
          <w:rFonts w:ascii="Calibri"/>
          <w:sz w:val="21"/>
        </w:rPr>
      </w:pPr>
    </w:p>
    <w:p>
      <w:pPr>
        <w:spacing w:line="305" w:lineRule="auto"/>
        <w:rPr>
          <w:rFonts w:ascii="Calibri"/>
          <w:sz w:val="21"/>
        </w:rPr>
      </w:pPr>
    </w:p>
    <w:p>
      <w:pPr>
        <w:spacing w:before="98" w:line="184" w:lineRule="auto"/>
        <w:ind w:firstLine="3265"/>
        <w:outlineLvl w:val="0"/>
        <w:rPr>
          <w:rFonts w:ascii="宋体" w:hAnsi="宋体" w:eastAsia="宋体" w:cs="宋体"/>
          <w:sz w:val="30"/>
          <w:szCs w:val="30"/>
        </w:rPr>
      </w:pPr>
      <w:bookmarkStart w:id="194" w:name="_bookmark18"/>
      <w:bookmarkEnd w:id="194"/>
      <w:bookmarkStart w:id="195" w:name="_Toc31551"/>
      <w:r>
        <w:rPr>
          <w:rFonts w:ascii="宋体" w:hAnsi="宋体" w:eastAsia="宋体" w:cs="宋体"/>
          <w:spacing w:val="-30"/>
          <w:sz w:val="30"/>
          <w:szCs w:val="30"/>
          <w14:textOutline w14:w="5448" w14:cap="sq" w14:cmpd="sng">
            <w14:solidFill>
              <w14:srgbClr w14:val="000000"/>
            </w14:solidFill>
            <w14:prstDash w14:val="solid"/>
            <w14:bevel/>
          </w14:textOutline>
        </w:rPr>
        <w:t>第三章方案设计</w:t>
      </w:r>
      <w:bookmarkEnd w:id="195"/>
    </w:p>
    <w:p>
      <w:pPr>
        <w:spacing w:line="268" w:lineRule="auto"/>
        <w:rPr>
          <w:rFonts w:ascii="Calibri"/>
          <w:sz w:val="21"/>
        </w:rPr>
      </w:pPr>
    </w:p>
    <w:p>
      <w:pPr>
        <w:spacing w:line="269" w:lineRule="auto"/>
        <w:rPr>
          <w:rFonts w:ascii="Calibri"/>
          <w:sz w:val="21"/>
        </w:rPr>
      </w:pPr>
    </w:p>
    <w:p>
      <w:pPr>
        <w:spacing w:before="91" w:line="185" w:lineRule="auto"/>
        <w:ind w:firstLine="30"/>
        <w:outlineLvl w:val="1"/>
        <w:rPr>
          <w:rFonts w:ascii="宋体" w:hAnsi="宋体" w:eastAsia="宋体" w:cs="宋体"/>
          <w:sz w:val="28"/>
          <w:szCs w:val="28"/>
        </w:rPr>
      </w:pPr>
      <w:bookmarkStart w:id="196" w:name="_bookmark19"/>
      <w:bookmarkEnd w:id="196"/>
      <w:bookmarkStart w:id="197" w:name="_Toc29521"/>
      <w:r>
        <w:rPr>
          <w:rFonts w:ascii="宋体" w:hAnsi="宋体" w:eastAsia="宋体" w:cs="宋体"/>
          <w:spacing w:val="-5"/>
          <w:sz w:val="28"/>
          <w:szCs w:val="28"/>
          <w14:textOutline w14:w="5103" w14:cap="sq" w14:cmpd="sng">
            <w14:solidFill>
              <w14:srgbClr w14:val="000000"/>
            </w14:solidFill>
            <w14:prstDash w14:val="solid"/>
            <w14:bevel/>
          </w14:textOutline>
        </w:rPr>
        <w:t>3.1</w:t>
      </w:r>
      <w:r>
        <w:rPr>
          <w:rFonts w:ascii="宋体" w:hAnsi="宋体" w:eastAsia="宋体" w:cs="宋体"/>
          <w:spacing w:val="-47"/>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总体设计</w:t>
      </w:r>
      <w:bookmarkEnd w:id="197"/>
    </w:p>
    <w:p>
      <w:pPr>
        <w:spacing w:line="256" w:lineRule="auto"/>
        <w:rPr>
          <w:rFonts w:ascii="Calibri"/>
          <w:sz w:val="21"/>
        </w:rPr>
      </w:pPr>
    </w:p>
    <w:p>
      <w:pPr>
        <w:spacing w:line="257" w:lineRule="auto"/>
        <w:rPr>
          <w:rFonts w:ascii="Calibri"/>
          <w:sz w:val="21"/>
        </w:rPr>
      </w:pPr>
    </w:p>
    <w:p>
      <w:pPr>
        <w:spacing w:before="78" w:line="184" w:lineRule="auto"/>
        <w:ind w:firstLine="521"/>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20"/>
          <w:sz w:val="24"/>
          <w:szCs w:val="24"/>
        </w:rPr>
        <w:t xml:space="preserve"> </w:t>
      </w:r>
      <w:r>
        <w:rPr>
          <w:rFonts w:ascii="宋体" w:hAnsi="宋体" w:eastAsia="宋体" w:cs="宋体"/>
          <w:spacing w:val="-8"/>
          <w:sz w:val="24"/>
          <w:szCs w:val="24"/>
        </w:rPr>
        <w:t>坚持现行装备标准，与全区主流配置一致。</w:t>
      </w:r>
    </w:p>
    <w:p>
      <w:pPr>
        <w:spacing w:before="260" w:line="184" w:lineRule="auto"/>
        <w:ind w:firstLine="506"/>
        <w:rPr>
          <w:rFonts w:ascii="宋体" w:hAnsi="宋体" w:eastAsia="宋体" w:cs="宋体"/>
          <w:sz w:val="24"/>
          <w:szCs w:val="24"/>
        </w:rPr>
      </w:pPr>
      <w:r>
        <w:rPr>
          <w:rFonts w:ascii="宋体" w:hAnsi="宋体" w:eastAsia="宋体" w:cs="宋体"/>
          <w:spacing w:val="-8"/>
          <w:sz w:val="24"/>
          <w:szCs w:val="24"/>
        </w:rPr>
        <w:t>2）</w:t>
      </w:r>
      <w:r>
        <w:rPr>
          <w:rFonts w:ascii="宋体" w:hAnsi="宋体" w:eastAsia="宋体" w:cs="宋体"/>
          <w:spacing w:val="11"/>
          <w:sz w:val="24"/>
          <w:szCs w:val="24"/>
        </w:rPr>
        <w:t xml:space="preserve"> </w:t>
      </w:r>
      <w:r>
        <w:rPr>
          <w:rFonts w:ascii="宋体" w:hAnsi="宋体" w:eastAsia="宋体" w:cs="宋体"/>
          <w:spacing w:val="-8"/>
          <w:sz w:val="24"/>
          <w:szCs w:val="24"/>
        </w:rPr>
        <w:t>坚持技术支撑、培训及后勤保障服务，确保所购设备尽快应用到教学中。</w:t>
      </w:r>
    </w:p>
    <w:p>
      <w:pPr>
        <w:spacing w:before="261" w:line="384" w:lineRule="auto"/>
        <w:ind w:left="29" w:right="87" w:firstLine="479"/>
        <w:rPr>
          <w:rFonts w:ascii="宋体" w:hAnsi="宋体" w:eastAsia="宋体" w:cs="宋体"/>
          <w:sz w:val="24"/>
          <w:szCs w:val="24"/>
        </w:rPr>
      </w:pPr>
      <w:r>
        <w:rPr>
          <w:rFonts w:ascii="宋体" w:hAnsi="宋体" w:eastAsia="宋体" w:cs="宋体"/>
          <w:spacing w:val="-4"/>
          <w:sz w:val="24"/>
          <w:szCs w:val="24"/>
        </w:rPr>
        <w:t>3）</w:t>
      </w:r>
      <w:r>
        <w:rPr>
          <w:rFonts w:ascii="宋体" w:hAnsi="宋体" w:eastAsia="宋体" w:cs="宋体"/>
          <w:spacing w:val="21"/>
          <w:sz w:val="24"/>
          <w:szCs w:val="24"/>
        </w:rPr>
        <w:t xml:space="preserve"> </w:t>
      </w:r>
      <w:r>
        <w:rPr>
          <w:rFonts w:ascii="宋体" w:hAnsi="宋体" w:eastAsia="宋体" w:cs="宋体"/>
          <w:spacing w:val="-4"/>
          <w:sz w:val="24"/>
          <w:szCs w:val="24"/>
        </w:rPr>
        <w:t>坚持满足教育教学需求，保证系统功能的完整性、稳定性、可用性、正</w:t>
      </w:r>
      <w:r>
        <w:rPr>
          <w:rFonts w:ascii="宋体" w:hAnsi="宋体" w:eastAsia="宋体" w:cs="宋体"/>
          <w:sz w:val="24"/>
          <w:szCs w:val="24"/>
        </w:rPr>
        <w:t xml:space="preserve"> </w:t>
      </w:r>
      <w:r>
        <w:rPr>
          <w:rFonts w:ascii="宋体" w:hAnsi="宋体" w:eastAsia="宋体" w:cs="宋体"/>
          <w:spacing w:val="-4"/>
          <w:sz w:val="24"/>
          <w:szCs w:val="24"/>
        </w:rPr>
        <w:t>常运行。</w:t>
      </w:r>
    </w:p>
    <w:p>
      <w:pPr>
        <w:spacing w:before="229" w:line="184" w:lineRule="auto"/>
        <w:ind w:firstLine="173"/>
        <w:outlineLvl w:val="1"/>
        <w:rPr>
          <w:rFonts w:ascii="宋体" w:hAnsi="宋体" w:eastAsia="宋体" w:cs="宋体"/>
          <w:sz w:val="30"/>
          <w:szCs w:val="30"/>
        </w:rPr>
      </w:pPr>
      <w:bookmarkStart w:id="198" w:name="_bookmark20"/>
      <w:bookmarkEnd w:id="198"/>
      <w:bookmarkStart w:id="199" w:name="_Toc11135"/>
      <w:r>
        <w:rPr>
          <w:rFonts w:ascii="宋体" w:hAnsi="宋体" w:eastAsia="宋体" w:cs="宋体"/>
          <w:spacing w:val="-5"/>
          <w:sz w:val="30"/>
          <w:szCs w:val="30"/>
          <w14:textOutline w14:w="5448" w14:cap="sq" w14:cmpd="sng">
            <w14:solidFill>
              <w14:srgbClr w14:val="000000"/>
            </w14:solidFill>
            <w14:prstDash w14:val="solid"/>
            <w14:bevel/>
          </w14:textOutline>
        </w:rPr>
        <w:t>3.2</w:t>
      </w:r>
      <w:r>
        <w:rPr>
          <w:rFonts w:ascii="宋体" w:hAnsi="宋体" w:eastAsia="宋体" w:cs="宋体"/>
          <w:spacing w:val="-53"/>
          <w:sz w:val="30"/>
          <w:szCs w:val="30"/>
        </w:rPr>
        <w:t xml:space="preserve"> </w:t>
      </w:r>
      <w:r>
        <w:rPr>
          <w:rFonts w:ascii="宋体" w:hAnsi="宋体" w:eastAsia="宋体" w:cs="宋体"/>
          <w:spacing w:val="-5"/>
          <w:sz w:val="30"/>
          <w:szCs w:val="30"/>
          <w14:textOutline w14:w="5448" w14:cap="sq" w14:cmpd="sng">
            <w14:solidFill>
              <w14:srgbClr w14:val="000000"/>
            </w14:solidFill>
            <w14:prstDash w14:val="solid"/>
            <w14:bevel/>
          </w14:textOutline>
        </w:rPr>
        <w:t>设计原则</w:t>
      </w:r>
      <w:bookmarkEnd w:id="199"/>
    </w:p>
    <w:p>
      <w:pPr>
        <w:spacing w:line="251" w:lineRule="auto"/>
        <w:rPr>
          <w:rFonts w:ascii="Calibri"/>
          <w:sz w:val="21"/>
        </w:rPr>
      </w:pPr>
    </w:p>
    <w:p>
      <w:pPr>
        <w:spacing w:line="251" w:lineRule="auto"/>
        <w:rPr>
          <w:rFonts w:ascii="Calibri"/>
          <w:sz w:val="21"/>
        </w:rPr>
      </w:pPr>
    </w:p>
    <w:p>
      <w:pPr>
        <w:spacing w:before="78" w:line="385" w:lineRule="auto"/>
        <w:ind w:left="24" w:right="85" w:firstLine="478"/>
        <w:rPr>
          <w:rFonts w:ascii="宋体" w:hAnsi="宋体" w:eastAsia="宋体" w:cs="宋体"/>
          <w:sz w:val="24"/>
          <w:szCs w:val="24"/>
        </w:rPr>
      </w:pPr>
      <w:r>
        <w:rPr>
          <w:rFonts w:ascii="宋体" w:hAnsi="宋体" w:eastAsia="宋体" w:cs="宋体"/>
          <w:spacing w:val="-7"/>
          <w:sz w:val="24"/>
          <w:szCs w:val="24"/>
        </w:rPr>
        <w:t>遵循国家《教育信息化</w:t>
      </w:r>
      <w:r>
        <w:rPr>
          <w:rFonts w:ascii="宋体" w:hAnsi="宋体" w:eastAsia="宋体" w:cs="宋体"/>
          <w:spacing w:val="-33"/>
          <w:sz w:val="24"/>
          <w:szCs w:val="24"/>
        </w:rPr>
        <w:t xml:space="preserve"> </w:t>
      </w:r>
      <w:r>
        <w:rPr>
          <w:rFonts w:ascii="宋体" w:hAnsi="宋体" w:eastAsia="宋体" w:cs="宋体"/>
          <w:spacing w:val="-7"/>
          <w:sz w:val="24"/>
          <w:szCs w:val="24"/>
        </w:rPr>
        <w:t>2.0</w:t>
      </w:r>
      <w:r>
        <w:rPr>
          <w:rFonts w:ascii="宋体" w:hAnsi="宋体" w:eastAsia="宋体" w:cs="宋体"/>
          <w:spacing w:val="-47"/>
          <w:sz w:val="24"/>
          <w:szCs w:val="24"/>
        </w:rPr>
        <w:t xml:space="preserve"> </w:t>
      </w:r>
      <w:r>
        <w:rPr>
          <w:rFonts w:ascii="宋体" w:hAnsi="宋体" w:eastAsia="宋体" w:cs="宋体"/>
          <w:spacing w:val="-7"/>
          <w:sz w:val="24"/>
          <w:szCs w:val="24"/>
        </w:rPr>
        <w:t>行动计划》</w:t>
      </w:r>
      <w:r>
        <w:rPr>
          <w:rFonts w:ascii="宋体" w:hAnsi="宋体" w:eastAsia="宋体" w:cs="宋体"/>
          <w:spacing w:val="-25"/>
          <w:sz w:val="24"/>
          <w:szCs w:val="24"/>
        </w:rPr>
        <w:t xml:space="preserve"> </w:t>
      </w:r>
      <w:r>
        <w:rPr>
          <w:rFonts w:ascii="宋体" w:hAnsi="宋体" w:eastAsia="宋体" w:cs="宋体"/>
          <w:spacing w:val="-7"/>
          <w:sz w:val="24"/>
          <w:szCs w:val="24"/>
        </w:rPr>
        <w:t>，符合《成都市中小学教育技术装备</w:t>
      </w:r>
      <w:r>
        <w:rPr>
          <w:rFonts w:ascii="宋体" w:hAnsi="宋体" w:eastAsia="宋体" w:cs="宋体"/>
          <w:sz w:val="24"/>
          <w:szCs w:val="24"/>
        </w:rPr>
        <w:t xml:space="preserve"> </w:t>
      </w:r>
      <w:r>
        <w:rPr>
          <w:rFonts w:ascii="宋体" w:hAnsi="宋体" w:eastAsia="宋体" w:cs="宋体"/>
          <w:spacing w:val="-7"/>
          <w:sz w:val="24"/>
          <w:szCs w:val="24"/>
        </w:rPr>
        <w:t>标准（基本型）》和学校当前教育信息现状，本着经济、实用、够用及适度超前</w:t>
      </w:r>
      <w:r>
        <w:rPr>
          <w:rFonts w:ascii="宋体" w:hAnsi="宋体" w:eastAsia="宋体" w:cs="宋体"/>
          <w:spacing w:val="-3"/>
          <w:sz w:val="24"/>
          <w:szCs w:val="24"/>
        </w:rPr>
        <w:t>的原则，提高办事效率，提升教育教学质量，加快教育现代化建设步伐。为实现</w:t>
      </w:r>
      <w:r>
        <w:rPr>
          <w:rFonts w:ascii="宋体" w:hAnsi="宋体" w:eastAsia="宋体" w:cs="宋体"/>
          <w:spacing w:val="-1"/>
          <w:sz w:val="24"/>
          <w:szCs w:val="24"/>
        </w:rPr>
        <w:t>信息设备高质、高效互联的目标要求，在系统设计构建上始终坚持以下思想：</w:t>
      </w:r>
    </w:p>
    <w:p>
      <w:pPr>
        <w:spacing w:before="233" w:line="502" w:lineRule="exact"/>
        <w:ind w:firstLine="508"/>
        <w:rPr>
          <w:rFonts w:ascii="宋体" w:hAnsi="宋体" w:eastAsia="宋体" w:cs="宋体"/>
          <w:sz w:val="24"/>
          <w:szCs w:val="24"/>
        </w:rPr>
      </w:pPr>
      <w:r>
        <w:rPr>
          <w:rFonts w:ascii="宋体" w:hAnsi="宋体" w:eastAsia="宋体" w:cs="宋体"/>
          <w:spacing w:val="-8"/>
          <w:position w:val="19"/>
          <w:sz w:val="24"/>
          <w:szCs w:val="24"/>
        </w:rPr>
        <w:t>先进性原则：具有先进成熟的主流技术，并具有长期的发展能力。系统整体</w:t>
      </w:r>
    </w:p>
    <w:p>
      <w:pPr>
        <w:spacing w:before="1" w:line="204" w:lineRule="auto"/>
        <w:ind w:firstLine="27"/>
        <w:rPr>
          <w:rFonts w:ascii="宋体" w:hAnsi="宋体" w:eastAsia="宋体" w:cs="宋体"/>
          <w:sz w:val="24"/>
          <w:szCs w:val="24"/>
        </w:rPr>
      </w:pPr>
      <w:r>
        <w:rPr>
          <w:rFonts w:ascii="宋体" w:hAnsi="宋体" w:eastAsia="宋体" w:cs="宋体"/>
          <w:spacing w:val="-1"/>
          <w:sz w:val="24"/>
          <w:szCs w:val="24"/>
        </w:rPr>
        <w:t>设计先进、软硬件设备先进合理。</w:t>
      </w:r>
    </w:p>
    <w:p>
      <w:pPr>
        <w:spacing w:before="233" w:line="384" w:lineRule="auto"/>
        <w:ind w:left="22" w:right="82" w:firstLine="482"/>
        <w:rPr>
          <w:rFonts w:ascii="宋体" w:hAnsi="宋体" w:eastAsia="宋体" w:cs="宋体"/>
          <w:sz w:val="24"/>
          <w:szCs w:val="24"/>
        </w:rPr>
      </w:pPr>
      <w:r>
        <w:rPr>
          <w:rFonts w:ascii="宋体" w:hAnsi="宋体" w:eastAsia="宋体" w:cs="宋体"/>
          <w:spacing w:val="-8"/>
          <w:sz w:val="24"/>
          <w:szCs w:val="24"/>
        </w:rPr>
        <w:t>可靠性原则：系统建设的主要目的是为教学服务，必须保证其稳定可靠，能</w:t>
      </w:r>
      <w:r>
        <w:rPr>
          <w:rFonts w:ascii="宋体" w:hAnsi="宋体" w:eastAsia="宋体" w:cs="宋体"/>
          <w:spacing w:val="-2"/>
          <w:sz w:val="24"/>
          <w:szCs w:val="24"/>
        </w:rPr>
        <w:t>够提供每周</w:t>
      </w:r>
      <w:r>
        <w:rPr>
          <w:rFonts w:ascii="宋体" w:hAnsi="宋体" w:eastAsia="宋体" w:cs="宋体"/>
          <w:spacing w:val="-45"/>
          <w:sz w:val="24"/>
          <w:szCs w:val="24"/>
        </w:rPr>
        <w:t xml:space="preserve"> </w:t>
      </w:r>
      <w:r>
        <w:rPr>
          <w:rFonts w:ascii="宋体" w:hAnsi="宋体" w:eastAsia="宋体" w:cs="宋体"/>
          <w:spacing w:val="-2"/>
          <w:sz w:val="24"/>
          <w:szCs w:val="24"/>
        </w:rPr>
        <w:t>7×24</w:t>
      </w:r>
      <w:r>
        <w:rPr>
          <w:rFonts w:ascii="宋体" w:hAnsi="宋体" w:eastAsia="宋体" w:cs="宋体"/>
          <w:spacing w:val="-44"/>
          <w:sz w:val="24"/>
          <w:szCs w:val="24"/>
        </w:rPr>
        <w:t xml:space="preserve"> </w:t>
      </w:r>
      <w:r>
        <w:rPr>
          <w:rFonts w:ascii="宋体" w:hAnsi="宋体" w:eastAsia="宋体" w:cs="宋体"/>
          <w:spacing w:val="-2"/>
          <w:sz w:val="24"/>
          <w:szCs w:val="24"/>
        </w:rPr>
        <w:t>小时正常和高效地运行。</w:t>
      </w:r>
    </w:p>
    <w:p>
      <w:pPr>
        <w:spacing w:before="2" w:line="500" w:lineRule="exact"/>
        <w:ind w:firstLine="504"/>
        <w:rPr>
          <w:rFonts w:ascii="宋体" w:hAnsi="宋体" w:eastAsia="宋体" w:cs="宋体"/>
          <w:sz w:val="24"/>
          <w:szCs w:val="24"/>
        </w:rPr>
      </w:pPr>
      <w:r>
        <w:rPr>
          <w:rFonts w:ascii="宋体" w:hAnsi="宋体" w:eastAsia="宋体" w:cs="宋体"/>
          <w:spacing w:val="-8"/>
          <w:position w:val="19"/>
          <w:sz w:val="24"/>
          <w:szCs w:val="24"/>
        </w:rPr>
        <w:t>标准性原则：系统相关设备符合国际标准或工业标准，充分利用不同的应用</w:t>
      </w:r>
    </w:p>
    <w:p>
      <w:pPr>
        <w:spacing w:line="204" w:lineRule="auto"/>
        <w:rPr>
          <w:rFonts w:ascii="宋体" w:hAnsi="宋体" w:eastAsia="宋体" w:cs="宋体"/>
          <w:sz w:val="24"/>
          <w:szCs w:val="24"/>
        </w:rPr>
      </w:pPr>
      <w:r>
        <w:rPr>
          <w:rFonts w:ascii="宋体" w:hAnsi="宋体" w:eastAsia="宋体" w:cs="宋体"/>
          <w:spacing w:val="-1"/>
          <w:sz w:val="24"/>
          <w:szCs w:val="24"/>
        </w:rPr>
        <w:t>和不同优势，将它们有机地结合起来。</w:t>
      </w:r>
    </w:p>
    <w:p>
      <w:pPr>
        <w:spacing w:before="233" w:line="385" w:lineRule="auto"/>
        <w:ind w:left="32" w:right="85" w:firstLine="470"/>
        <w:rPr>
          <w:rFonts w:ascii="宋体" w:hAnsi="宋体" w:eastAsia="宋体" w:cs="宋体"/>
          <w:sz w:val="24"/>
          <w:szCs w:val="24"/>
        </w:rPr>
      </w:pPr>
      <w:r>
        <w:rPr>
          <w:rFonts w:ascii="宋体" w:hAnsi="宋体" w:eastAsia="宋体" w:cs="宋体"/>
          <w:spacing w:val="-8"/>
          <w:sz w:val="24"/>
          <w:szCs w:val="24"/>
        </w:rPr>
        <w:t>扩充性原则：系统采用的架构和设备要充分体现易升级性，基础设施有扩展</w:t>
      </w:r>
      <w:r>
        <w:rPr>
          <w:rFonts w:ascii="宋体" w:hAnsi="宋体" w:eastAsia="宋体" w:cs="宋体"/>
          <w:spacing w:val="-4"/>
          <w:sz w:val="24"/>
          <w:szCs w:val="24"/>
        </w:rPr>
        <w:t>能力，包括技术和性能的提升，升级时能最大限度地保护原有的硬件设备和软件</w:t>
      </w:r>
      <w:r>
        <w:rPr>
          <w:rFonts w:ascii="宋体" w:hAnsi="宋体" w:eastAsia="宋体" w:cs="宋体"/>
          <w:spacing w:val="-5"/>
          <w:sz w:val="24"/>
          <w:szCs w:val="24"/>
        </w:rPr>
        <w:t>投资。</w:t>
      </w:r>
    </w:p>
    <w:p>
      <w:pPr>
        <w:spacing w:before="233" w:line="386" w:lineRule="auto"/>
        <w:ind w:left="24" w:right="85" w:firstLine="484"/>
        <w:rPr>
          <w:rFonts w:ascii="宋体" w:hAnsi="宋体" w:eastAsia="宋体" w:cs="宋体"/>
          <w:sz w:val="24"/>
          <w:szCs w:val="24"/>
        </w:rPr>
      </w:pPr>
      <w:r>
        <w:rPr>
          <w:rFonts w:ascii="宋体" w:hAnsi="宋体" w:eastAsia="宋体" w:cs="宋体"/>
          <w:spacing w:val="-8"/>
          <w:sz w:val="24"/>
          <w:szCs w:val="24"/>
        </w:rPr>
        <w:t>实用性原则：系统中的设备和软件在满足先进性的同时，具有良好的实用性</w:t>
      </w:r>
      <w:r>
        <w:rPr>
          <w:rFonts w:ascii="宋体" w:hAnsi="宋体" w:eastAsia="宋体" w:cs="宋体"/>
          <w:spacing w:val="-2"/>
          <w:sz w:val="24"/>
          <w:szCs w:val="24"/>
        </w:rPr>
        <w:t>和性能价格比。</w:t>
      </w:r>
    </w:p>
    <w:p>
      <w:pPr>
        <w:sectPr>
          <w:headerReference r:id="rId19" w:type="default"/>
          <w:footerReference r:id="rId20" w:type="default"/>
          <w:pgSz w:w="11906" w:h="16839"/>
          <w:pgMar w:top="1192" w:right="1714" w:bottom="1104" w:left="1785" w:header="1178" w:footer="985" w:gutter="0"/>
          <w:cols w:space="720" w:num="1"/>
        </w:sectPr>
      </w:pPr>
    </w:p>
    <w:p>
      <w:pPr>
        <w:spacing w:line="294" w:lineRule="auto"/>
        <w:rPr>
          <w:rFonts w:ascii="Calibri"/>
          <w:sz w:val="21"/>
        </w:rPr>
      </w:pPr>
    </w:p>
    <w:p>
      <w:pPr>
        <w:spacing w:before="97" w:line="184" w:lineRule="auto"/>
        <w:ind w:firstLine="31"/>
        <w:outlineLvl w:val="1"/>
        <w:rPr>
          <w:rFonts w:ascii="宋体" w:hAnsi="宋体" w:eastAsia="宋体" w:cs="宋体"/>
          <w:sz w:val="30"/>
          <w:szCs w:val="30"/>
        </w:rPr>
      </w:pPr>
      <w:bookmarkStart w:id="200" w:name="_bookmark21"/>
      <w:bookmarkEnd w:id="200"/>
      <w:bookmarkStart w:id="201" w:name="_Toc30135"/>
      <w:r>
        <w:rPr>
          <w:rFonts w:ascii="宋体" w:hAnsi="宋体" w:eastAsia="宋体" w:cs="宋体"/>
          <w:spacing w:val="-4"/>
          <w:sz w:val="30"/>
          <w:szCs w:val="30"/>
          <w14:textOutline w14:w="5448" w14:cap="sq" w14:cmpd="sng">
            <w14:solidFill>
              <w14:srgbClr w14:val="000000"/>
            </w14:solidFill>
            <w14:prstDash w14:val="solid"/>
            <w14:bevel/>
          </w14:textOutline>
        </w:rPr>
        <w:t>3.3</w:t>
      </w:r>
      <w:r>
        <w:rPr>
          <w:rFonts w:ascii="宋体" w:hAnsi="宋体" w:eastAsia="宋体" w:cs="宋体"/>
          <w:spacing w:val="-60"/>
          <w:sz w:val="30"/>
          <w:szCs w:val="30"/>
        </w:rPr>
        <w:t xml:space="preserve"> </w:t>
      </w:r>
      <w:r>
        <w:rPr>
          <w:rFonts w:ascii="宋体" w:hAnsi="宋体" w:eastAsia="宋体" w:cs="宋体"/>
          <w:spacing w:val="-4"/>
          <w:sz w:val="30"/>
          <w:szCs w:val="30"/>
          <w14:textOutline w14:w="5448" w14:cap="sq" w14:cmpd="sng">
            <w14:solidFill>
              <w14:srgbClr w14:val="000000"/>
            </w14:solidFill>
            <w14:prstDash w14:val="solid"/>
            <w14:bevel/>
          </w14:textOutline>
        </w:rPr>
        <w:t>测算依据</w:t>
      </w:r>
      <w:bookmarkEnd w:id="201"/>
    </w:p>
    <w:p>
      <w:pPr>
        <w:spacing w:line="250" w:lineRule="auto"/>
        <w:rPr>
          <w:rFonts w:ascii="Calibri"/>
          <w:sz w:val="21"/>
        </w:rPr>
      </w:pPr>
    </w:p>
    <w:p>
      <w:pPr>
        <w:spacing w:line="251" w:lineRule="auto"/>
        <w:rPr>
          <w:rFonts w:ascii="Calibri"/>
          <w:sz w:val="21"/>
        </w:rPr>
      </w:pPr>
    </w:p>
    <w:p>
      <w:pPr>
        <w:spacing w:before="78" w:line="385" w:lineRule="auto"/>
        <w:ind w:left="24" w:right="13" w:firstLine="482"/>
        <w:rPr>
          <w:rFonts w:ascii="宋体" w:hAnsi="宋体" w:eastAsia="宋体" w:cs="宋体"/>
          <w:sz w:val="24"/>
          <w:szCs w:val="24"/>
        </w:rPr>
      </w:pPr>
      <w:r>
        <w:rPr>
          <w:rFonts w:ascii="宋体" w:hAnsi="宋体" w:eastAsia="宋体" w:cs="宋体"/>
          <w:spacing w:val="-6"/>
          <w:sz w:val="24"/>
          <w:szCs w:val="24"/>
        </w:rPr>
        <w:t>设备采购方案技术参数及预算来源依据：一是温江区光华实验中学校电教设</w:t>
      </w:r>
      <w:r>
        <w:rPr>
          <w:rFonts w:ascii="宋体" w:hAnsi="宋体" w:eastAsia="宋体" w:cs="宋体"/>
          <w:sz w:val="24"/>
          <w:szCs w:val="24"/>
        </w:rPr>
        <w:t xml:space="preserve"> </w:t>
      </w:r>
      <w:r>
        <w:rPr>
          <w:rFonts w:ascii="宋体" w:hAnsi="宋体" w:eastAsia="宋体" w:cs="宋体"/>
          <w:spacing w:val="-7"/>
          <w:sz w:val="24"/>
          <w:szCs w:val="24"/>
        </w:rPr>
        <w:t>备方案、温江区鹏程小学校电教设备采购方案；温江区光华实验小学校电教设备方案</w:t>
      </w:r>
      <w:r>
        <w:rPr>
          <w:rFonts w:ascii="宋体" w:hAnsi="宋体" w:eastAsia="宋体" w:cs="宋体"/>
          <w:spacing w:val="-7"/>
          <w:sz w:val="21"/>
          <w:szCs w:val="21"/>
        </w:rPr>
        <w:t>；</w:t>
      </w:r>
      <w:r>
        <w:rPr>
          <w:rFonts w:ascii="宋体" w:hAnsi="宋体" w:eastAsia="宋体" w:cs="宋体"/>
          <w:spacing w:val="-7"/>
          <w:sz w:val="24"/>
          <w:szCs w:val="24"/>
        </w:rPr>
        <w:t>二是省、市电教设备装备参考标准；三是近期四川政府采购网学校电教设</w:t>
      </w:r>
      <w:r>
        <w:rPr>
          <w:rFonts w:ascii="宋体" w:hAnsi="宋体" w:eastAsia="宋体" w:cs="宋体"/>
          <w:spacing w:val="-2"/>
          <w:sz w:val="24"/>
          <w:szCs w:val="24"/>
        </w:rPr>
        <w:t>备采购信息。</w:t>
      </w:r>
    </w:p>
    <w:p>
      <w:pPr>
        <w:sectPr>
          <w:headerReference r:id="rId21" w:type="default"/>
          <w:footerReference r:id="rId22" w:type="default"/>
          <w:pgSz w:w="11906" w:h="16839"/>
          <w:pgMar w:top="1192" w:right="1785" w:bottom="1104" w:left="1785" w:header="1178" w:footer="985" w:gutter="0"/>
          <w:cols w:space="720" w:num="1"/>
        </w:sectPr>
      </w:pPr>
    </w:p>
    <w:p>
      <w:pPr>
        <w:spacing w:line="268" w:lineRule="auto"/>
        <w:rPr>
          <w:rFonts w:ascii="Calibri"/>
          <w:sz w:val="21"/>
        </w:rPr>
      </w:pPr>
    </w:p>
    <w:p>
      <w:pPr>
        <w:spacing w:line="268" w:lineRule="auto"/>
        <w:rPr>
          <w:rFonts w:ascii="Calibri"/>
          <w:sz w:val="21"/>
        </w:rPr>
      </w:pPr>
    </w:p>
    <w:p>
      <w:pPr>
        <w:spacing w:before="98" w:line="184" w:lineRule="auto"/>
        <w:ind w:firstLine="31"/>
        <w:outlineLvl w:val="1"/>
        <w:rPr>
          <w:rFonts w:ascii="宋体" w:hAnsi="宋体" w:eastAsia="宋体" w:cs="宋体"/>
          <w:sz w:val="30"/>
          <w:szCs w:val="30"/>
        </w:rPr>
      </w:pPr>
      <w:bookmarkStart w:id="202" w:name="_bookmark22"/>
      <w:bookmarkEnd w:id="202"/>
      <w:bookmarkStart w:id="203" w:name="_Toc757"/>
      <w:r>
        <w:rPr>
          <w:rFonts w:ascii="宋体" w:hAnsi="宋体" w:eastAsia="宋体" w:cs="宋体"/>
          <w:spacing w:val="-5"/>
          <w:sz w:val="30"/>
          <w:szCs w:val="30"/>
          <w14:textOutline w14:w="5448" w14:cap="sq" w14:cmpd="sng">
            <w14:solidFill>
              <w14:srgbClr w14:val="000000"/>
            </w14:solidFill>
            <w14:prstDash w14:val="solid"/>
            <w14:bevel/>
          </w14:textOutline>
        </w:rPr>
        <w:t>3.4</w:t>
      </w:r>
      <w:r>
        <w:rPr>
          <w:rFonts w:ascii="宋体" w:hAnsi="宋体" w:eastAsia="宋体" w:cs="宋体"/>
          <w:spacing w:val="-53"/>
          <w:sz w:val="30"/>
          <w:szCs w:val="30"/>
        </w:rPr>
        <w:t xml:space="preserve"> </w:t>
      </w:r>
      <w:r>
        <w:rPr>
          <w:rFonts w:ascii="宋体" w:hAnsi="宋体" w:eastAsia="宋体" w:cs="宋体"/>
          <w:spacing w:val="-5"/>
          <w:sz w:val="30"/>
          <w:szCs w:val="30"/>
          <w14:textOutline w14:w="5448" w14:cap="sq" w14:cmpd="sng">
            <w14:solidFill>
              <w14:srgbClr w14:val="000000"/>
            </w14:solidFill>
            <w14:prstDash w14:val="solid"/>
            <w14:bevel/>
          </w14:textOutline>
        </w:rPr>
        <w:t>功能要求</w:t>
      </w:r>
      <w:bookmarkEnd w:id="203"/>
    </w:p>
    <w:p>
      <w:pPr>
        <w:spacing w:line="251" w:lineRule="auto"/>
        <w:rPr>
          <w:rFonts w:ascii="Calibri"/>
          <w:sz w:val="21"/>
        </w:rPr>
      </w:pPr>
    </w:p>
    <w:p>
      <w:pPr>
        <w:spacing w:line="251" w:lineRule="auto"/>
        <w:rPr>
          <w:rFonts w:ascii="Calibri"/>
          <w:sz w:val="21"/>
        </w:rPr>
      </w:pPr>
    </w:p>
    <w:p>
      <w:pPr>
        <w:spacing w:before="91" w:line="180" w:lineRule="auto"/>
        <w:ind w:firstLine="30"/>
        <w:outlineLvl w:val="2"/>
        <w:rPr>
          <w:rFonts w:ascii="宋体" w:hAnsi="宋体" w:eastAsia="宋体" w:cs="宋体"/>
          <w:sz w:val="24"/>
          <w:szCs w:val="24"/>
        </w:rPr>
      </w:pPr>
      <w:bookmarkStart w:id="204" w:name="_bookmark23"/>
      <w:bookmarkEnd w:id="204"/>
      <w:bookmarkStart w:id="205" w:name="_Toc2810"/>
      <w:r>
        <w:rPr>
          <w:rFonts w:ascii="宋体" w:hAnsi="宋体" w:eastAsia="宋体" w:cs="宋体"/>
          <w:spacing w:val="-2"/>
          <w:sz w:val="28"/>
          <w:szCs w:val="28"/>
          <w14:textOutline w14:w="5103" w14:cap="sq" w14:cmpd="sng">
            <w14:solidFill>
              <w14:srgbClr w14:val="000000"/>
            </w14:solidFill>
            <w14:prstDash w14:val="solid"/>
            <w14:bevel/>
          </w14:textOutline>
        </w:rPr>
        <w:t>3.4.1</w:t>
      </w:r>
      <w:r>
        <w:rPr>
          <w:rFonts w:ascii="宋体" w:hAnsi="宋体" w:eastAsia="宋体" w:cs="宋体"/>
          <w:spacing w:val="-49"/>
          <w:sz w:val="28"/>
          <w:szCs w:val="28"/>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数字书法教室设备</w:t>
      </w:r>
      <w:bookmarkEnd w:id="205"/>
    </w:p>
    <w:p>
      <w:pPr>
        <w:spacing w:before="260" w:line="316" w:lineRule="auto"/>
        <w:ind w:left="24" w:right="13" w:firstLine="603"/>
        <w:rPr>
          <w:rFonts w:ascii="宋体" w:hAnsi="宋体" w:eastAsia="宋体" w:cs="宋体"/>
          <w:sz w:val="24"/>
          <w:szCs w:val="24"/>
        </w:rPr>
      </w:pPr>
      <w:r>
        <w:rPr>
          <w:rFonts w:ascii="宋体" w:hAnsi="宋体" w:eastAsia="宋体" w:cs="宋体"/>
          <w:sz w:val="24"/>
          <w:szCs w:val="24"/>
        </w:rPr>
        <w:t>书法是中华民族的文化瑰宝，是人类文明的宝贵财富，是基础教育的重要</w:t>
      </w:r>
      <w:r>
        <w:rPr>
          <w:rFonts w:ascii="宋体" w:hAnsi="宋体" w:eastAsia="宋体" w:cs="宋体"/>
          <w:spacing w:val="12"/>
          <w:sz w:val="24"/>
          <w:szCs w:val="24"/>
        </w:rPr>
        <w:t xml:space="preserve"> </w:t>
      </w:r>
      <w:r>
        <w:rPr>
          <w:rFonts w:ascii="宋体" w:hAnsi="宋体" w:eastAsia="宋体" w:cs="宋体"/>
          <w:spacing w:val="-3"/>
          <w:sz w:val="24"/>
          <w:szCs w:val="24"/>
        </w:rPr>
        <w:t>内容。通过书法教育对学生进行书写基本技能的培养和书法术欣赏，是传承中华</w:t>
      </w:r>
      <w:r>
        <w:rPr>
          <w:rFonts w:ascii="宋体" w:hAnsi="宋体" w:eastAsia="宋体" w:cs="宋体"/>
          <w:spacing w:val="1"/>
          <w:sz w:val="24"/>
          <w:szCs w:val="24"/>
        </w:rPr>
        <w:t xml:space="preserve"> </w:t>
      </w:r>
      <w:r>
        <w:rPr>
          <w:rFonts w:ascii="宋体" w:hAnsi="宋体" w:eastAsia="宋体" w:cs="宋体"/>
          <w:spacing w:val="-8"/>
          <w:sz w:val="24"/>
          <w:szCs w:val="24"/>
        </w:rPr>
        <w:t>民族优秀文化，培养爱国情怀的重要途径；</w:t>
      </w:r>
      <w:r>
        <w:rPr>
          <w:rFonts w:ascii="宋体" w:hAnsi="宋体" w:eastAsia="宋体" w:cs="宋体"/>
          <w:spacing w:val="56"/>
          <w:sz w:val="24"/>
          <w:szCs w:val="24"/>
        </w:rPr>
        <w:t xml:space="preserve"> </w:t>
      </w:r>
      <w:r>
        <w:rPr>
          <w:rFonts w:ascii="宋体" w:hAnsi="宋体" w:eastAsia="宋体" w:cs="宋体"/>
          <w:spacing w:val="-8"/>
          <w:sz w:val="24"/>
          <w:szCs w:val="24"/>
        </w:rPr>
        <w:t>是提高学生汉字书写能力，培养审美</w:t>
      </w:r>
      <w:r>
        <w:rPr>
          <w:rFonts w:ascii="宋体" w:hAnsi="宋体" w:eastAsia="宋体" w:cs="宋体"/>
          <w:sz w:val="24"/>
          <w:szCs w:val="24"/>
        </w:rPr>
        <w:t xml:space="preserve"> </w:t>
      </w:r>
      <w:r>
        <w:rPr>
          <w:rFonts w:ascii="宋体" w:hAnsi="宋体" w:eastAsia="宋体" w:cs="宋体"/>
          <w:spacing w:val="-1"/>
          <w:sz w:val="24"/>
          <w:szCs w:val="24"/>
        </w:rPr>
        <w:t>情趣，陶冶情操，提高文化修养，促进全面发展的重要举措。</w:t>
      </w:r>
    </w:p>
    <w:p>
      <w:pPr>
        <w:spacing w:before="228" w:line="360" w:lineRule="auto"/>
        <w:ind w:left="26" w:right="13" w:firstLine="838"/>
        <w:rPr>
          <w:rFonts w:ascii="宋体" w:hAnsi="宋体" w:eastAsia="宋体" w:cs="宋体"/>
          <w:sz w:val="24"/>
          <w:szCs w:val="24"/>
        </w:rPr>
      </w:pPr>
      <w:r>
        <w:rPr>
          <w:rFonts w:ascii="宋体" w:hAnsi="宋体" w:eastAsia="宋体" w:cs="宋体"/>
          <w:sz w:val="24"/>
          <w:szCs w:val="24"/>
        </w:rPr>
        <w:t>本次书法教室建设在配备书法临摹桌的基础上并配备数字书法教学系统</w:t>
      </w:r>
      <w:r>
        <w:rPr>
          <w:rFonts w:ascii="宋体" w:hAnsi="宋体" w:eastAsia="宋体" w:cs="宋体"/>
          <w:spacing w:val="15"/>
          <w:sz w:val="24"/>
          <w:szCs w:val="24"/>
        </w:rPr>
        <w:t xml:space="preserve"> </w:t>
      </w:r>
      <w:r>
        <w:rPr>
          <w:rFonts w:ascii="宋体" w:hAnsi="宋体" w:eastAsia="宋体" w:cs="宋体"/>
          <w:spacing w:val="-1"/>
          <w:sz w:val="24"/>
          <w:szCs w:val="24"/>
        </w:rPr>
        <w:t>教师端，使教师在日常书法教学中能够更好更直观的进行书法教学展示。</w:t>
      </w:r>
    </w:p>
    <w:p>
      <w:pPr>
        <w:spacing w:line="202" w:lineRule="auto"/>
        <w:ind w:firstLine="24"/>
        <w:rPr>
          <w:rFonts w:ascii="宋体" w:hAnsi="宋体" w:eastAsia="宋体" w:cs="宋体"/>
          <w:sz w:val="24"/>
          <w:szCs w:val="24"/>
        </w:rPr>
      </w:pPr>
      <w:r>
        <w:rPr>
          <w:rFonts w:ascii="宋体" w:hAnsi="宋体" w:eastAsia="宋体" w:cs="宋体"/>
          <w:spacing w:val="-1"/>
          <w:sz w:val="24"/>
          <w:szCs w:val="24"/>
        </w:rPr>
        <w:t>本次学校书法教室建设在教学楼二-4</w:t>
      </w:r>
      <w:r>
        <w:rPr>
          <w:rFonts w:ascii="宋体" w:hAnsi="宋体" w:eastAsia="宋体" w:cs="宋体"/>
          <w:spacing w:val="-48"/>
          <w:sz w:val="24"/>
          <w:szCs w:val="24"/>
        </w:rPr>
        <w:t xml:space="preserve"> </w:t>
      </w:r>
      <w:r>
        <w:rPr>
          <w:rFonts w:ascii="宋体" w:hAnsi="宋体" w:eastAsia="宋体" w:cs="宋体"/>
          <w:spacing w:val="-1"/>
          <w:sz w:val="24"/>
          <w:szCs w:val="24"/>
        </w:rPr>
        <w:t>楼框架如图：</w:t>
      </w:r>
    </w:p>
    <w:p>
      <w:pPr>
        <w:spacing w:before="194" w:line="2894" w:lineRule="exact"/>
        <w:ind w:firstLine="146"/>
        <w:textAlignment w:val="center"/>
      </w:pPr>
      <w:r>
        <w:drawing>
          <wp:inline distT="0" distB="0" distL="0" distR="0">
            <wp:extent cx="4838700" cy="1837690"/>
            <wp:effectExtent l="0" t="0" r="0" b="381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4"/>
                    <a:stretch>
                      <a:fillRect/>
                    </a:stretch>
                  </pic:blipFill>
                  <pic:spPr>
                    <a:xfrm>
                      <a:off x="0" y="0"/>
                      <a:ext cx="4838700" cy="1837943"/>
                    </a:xfrm>
                    <a:prstGeom prst="rect">
                      <a:avLst/>
                    </a:prstGeom>
                  </pic:spPr>
                </pic:pic>
              </a:graphicData>
            </a:graphic>
          </wp:inline>
        </w:drawing>
      </w:r>
    </w:p>
    <w:p>
      <w:pPr>
        <w:spacing w:line="315" w:lineRule="auto"/>
        <w:rPr>
          <w:rFonts w:ascii="Calibri"/>
          <w:sz w:val="21"/>
        </w:rPr>
      </w:pPr>
      <w:r>
        <w:drawing>
          <wp:anchor distT="0" distB="0" distL="0" distR="0" simplePos="0" relativeHeight="251681792" behindDoc="0" locked="0" layoutInCell="1" allowOverlap="1">
            <wp:simplePos x="0" y="0"/>
            <wp:positionH relativeFrom="column">
              <wp:posOffset>-137160</wp:posOffset>
            </wp:positionH>
            <wp:positionV relativeFrom="paragraph">
              <wp:posOffset>751840</wp:posOffset>
            </wp:positionV>
            <wp:extent cx="5273040" cy="2648585"/>
            <wp:effectExtent l="0" t="0" r="10160" b="5715"/>
            <wp:wrapSquare wrapText="bothSides"/>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55"/>
                    <a:stretch>
                      <a:fillRect/>
                    </a:stretch>
                  </pic:blipFill>
                  <pic:spPr>
                    <a:xfrm>
                      <a:off x="0" y="0"/>
                      <a:ext cx="5273040" cy="2648711"/>
                    </a:xfrm>
                    <a:prstGeom prst="rect">
                      <a:avLst/>
                    </a:prstGeom>
                  </pic:spPr>
                </pic:pic>
              </a:graphicData>
            </a:graphic>
          </wp:anchor>
        </w:drawing>
      </w:r>
    </w:p>
    <w:p>
      <w:pPr>
        <w:spacing w:line="316" w:lineRule="auto"/>
        <w:rPr>
          <w:rFonts w:ascii="Calibri"/>
          <w:sz w:val="21"/>
        </w:rPr>
      </w:pPr>
    </w:p>
    <w:p>
      <w:pPr>
        <w:spacing w:line="4172" w:lineRule="exact"/>
        <w:ind w:firstLine="14"/>
        <w:textAlignment w:val="center"/>
      </w:pPr>
    </w:p>
    <w:p>
      <w:pPr>
        <w:sectPr>
          <w:headerReference r:id="rId23" w:type="default"/>
          <w:footerReference r:id="rId24" w:type="default"/>
          <w:pgSz w:w="11906" w:h="16839"/>
          <w:pgMar w:top="1192" w:right="1785" w:bottom="1103" w:left="1785" w:header="1178" w:footer="987" w:gutter="0"/>
          <w:cols w:space="720" w:num="1"/>
        </w:sectPr>
      </w:pPr>
    </w:p>
    <w:p>
      <w:pPr>
        <w:spacing w:line="236" w:lineRule="auto"/>
        <w:sectPr>
          <w:headerReference r:id="rId25" w:type="default"/>
          <w:footerReference r:id="rId26" w:type="default"/>
          <w:pgSz w:w="16839" w:h="11906"/>
          <w:pgMar w:top="137" w:right="659" w:bottom="1104" w:left="1420" w:header="0" w:footer="987" w:gutter="0"/>
          <w:cols w:equalWidth="0" w:num="2">
            <w:col w:w="12448" w:space="100"/>
            <w:col w:w="2211"/>
          </w:cols>
        </w:sectPr>
      </w:pPr>
    </w:p>
    <w:p/>
    <w:p/>
    <w:p/>
    <w:p/>
    <w:tbl>
      <w:tblPr>
        <w:tblStyle w:val="375"/>
        <w:tblW w:w="14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891"/>
        <w:gridCol w:w="10108"/>
        <w:gridCol w:w="467"/>
        <w:gridCol w:w="545"/>
        <w:gridCol w:w="744"/>
        <w:gridCol w:w="8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4084" w:type="dxa"/>
            <w:gridSpan w:val="7"/>
            <w:vAlign w:val="top"/>
          </w:tcPr>
          <w:p>
            <w:pPr>
              <w:spacing w:before="102" w:line="371" w:lineRule="exact"/>
              <w:ind w:firstLine="5747"/>
              <w:textAlignment w:val="center"/>
            </w:pPr>
            <w:r>
              <w:drawing>
                <wp:inline distT="0" distB="0" distL="0" distR="0">
                  <wp:extent cx="1641475" cy="235585"/>
                  <wp:effectExtent l="0" t="0" r="9525" b="5715"/>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56"/>
                          <a:stretch>
                            <a:fillRect/>
                          </a:stretch>
                        </pic:blipFill>
                        <pic:spPr>
                          <a:xfrm>
                            <a:off x="0" y="0"/>
                            <a:ext cx="1641899" cy="235839"/>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473" w:type="dxa"/>
            <w:vAlign w:val="top"/>
          </w:tcPr>
          <w:p>
            <w:pPr>
              <w:spacing w:before="36" w:line="237" w:lineRule="exact"/>
              <w:ind w:firstLine="141"/>
              <w:textAlignment w:val="center"/>
            </w:pPr>
            <w:r>
              <w:drawing>
                <wp:inline distT="0" distB="0" distL="0" distR="0">
                  <wp:extent cx="144145" cy="150495"/>
                  <wp:effectExtent l="0" t="0" r="8255" b="1905"/>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57"/>
                          <a:stretch>
                            <a:fillRect/>
                          </a:stretch>
                        </pic:blipFill>
                        <pic:spPr>
                          <a:xfrm>
                            <a:off x="0" y="0"/>
                            <a:ext cx="144627" cy="150774"/>
                          </a:xfrm>
                          <a:prstGeom prst="rect">
                            <a:avLst/>
                          </a:prstGeom>
                        </pic:spPr>
                      </pic:pic>
                    </a:graphicData>
                  </a:graphic>
                </wp:inline>
              </w:drawing>
            </w:r>
          </w:p>
          <w:p>
            <w:pPr>
              <w:spacing w:before="119" w:line="235" w:lineRule="exact"/>
              <w:ind w:firstLine="141"/>
              <w:textAlignment w:val="center"/>
            </w:pPr>
            <w:r>
              <w:drawing>
                <wp:inline distT="0" distB="0" distL="0" distR="0">
                  <wp:extent cx="144145" cy="148590"/>
                  <wp:effectExtent l="0" t="0" r="8255" b="381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58"/>
                          <a:stretch>
                            <a:fillRect/>
                          </a:stretch>
                        </pic:blipFill>
                        <pic:spPr>
                          <a:xfrm>
                            <a:off x="0" y="0"/>
                            <a:ext cx="144258" cy="149174"/>
                          </a:xfrm>
                          <a:prstGeom prst="rect">
                            <a:avLst/>
                          </a:prstGeom>
                        </pic:spPr>
                      </pic:pic>
                    </a:graphicData>
                  </a:graphic>
                </wp:inline>
              </w:drawing>
            </w:r>
          </w:p>
        </w:tc>
        <w:tc>
          <w:tcPr>
            <w:tcW w:w="891" w:type="dxa"/>
            <w:vAlign w:val="top"/>
          </w:tcPr>
          <w:p>
            <w:pPr>
              <w:spacing w:before="61" w:line="238" w:lineRule="exact"/>
              <w:ind w:firstLine="147"/>
              <w:textAlignment w:val="center"/>
            </w:pPr>
            <w:r>
              <w:drawing>
                <wp:inline distT="0" distB="0" distL="0" distR="0">
                  <wp:extent cx="367665" cy="150495"/>
                  <wp:effectExtent l="0" t="0" r="635" b="1905"/>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59"/>
                          <a:stretch>
                            <a:fillRect/>
                          </a:stretch>
                        </pic:blipFill>
                        <pic:spPr>
                          <a:xfrm>
                            <a:off x="0" y="0"/>
                            <a:ext cx="368096" cy="150990"/>
                          </a:xfrm>
                          <a:prstGeom prst="rect">
                            <a:avLst/>
                          </a:prstGeom>
                        </pic:spPr>
                      </pic:pic>
                    </a:graphicData>
                  </a:graphic>
                </wp:inline>
              </w:drawing>
            </w:r>
          </w:p>
          <w:p>
            <w:pPr>
              <w:spacing w:before="10" w:line="234" w:lineRule="exact"/>
              <w:ind w:firstLine="325"/>
              <w:textAlignment w:val="center"/>
            </w:pPr>
            <w:r>
              <w:drawing>
                <wp:inline distT="0" distB="0" distL="0" distR="0">
                  <wp:extent cx="149860" cy="147955"/>
                  <wp:effectExtent l="0" t="0" r="2540" b="4445"/>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60"/>
                          <a:stretch>
                            <a:fillRect/>
                          </a:stretch>
                        </pic:blipFill>
                        <pic:spPr>
                          <a:xfrm>
                            <a:off x="0" y="0"/>
                            <a:ext cx="150088" cy="148566"/>
                          </a:xfrm>
                          <a:prstGeom prst="rect">
                            <a:avLst/>
                          </a:prstGeom>
                        </pic:spPr>
                      </pic:pic>
                    </a:graphicData>
                  </a:graphic>
                </wp:inline>
              </w:drawing>
            </w:r>
          </w:p>
        </w:tc>
        <w:tc>
          <w:tcPr>
            <w:tcW w:w="10108" w:type="dxa"/>
            <w:vAlign w:val="top"/>
          </w:tcPr>
          <w:p>
            <w:pPr>
              <w:spacing w:before="173" w:line="227" w:lineRule="exact"/>
              <w:ind w:firstLine="4670"/>
              <w:textAlignment w:val="center"/>
            </w:pPr>
            <w:r>
              <w:drawing>
                <wp:inline distT="0" distB="0" distL="0" distR="0">
                  <wp:extent cx="483870" cy="143510"/>
                  <wp:effectExtent l="0" t="0" r="11430" b="8890"/>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61"/>
                          <a:stretch>
                            <a:fillRect/>
                          </a:stretch>
                        </pic:blipFill>
                        <pic:spPr>
                          <a:xfrm>
                            <a:off x="0" y="0"/>
                            <a:ext cx="484428" cy="144033"/>
                          </a:xfrm>
                          <a:prstGeom prst="rect">
                            <a:avLst/>
                          </a:prstGeom>
                        </pic:spPr>
                      </pic:pic>
                    </a:graphicData>
                  </a:graphic>
                </wp:inline>
              </w:drawing>
            </w:r>
          </w:p>
        </w:tc>
        <w:tc>
          <w:tcPr>
            <w:tcW w:w="467" w:type="dxa"/>
            <w:vAlign w:val="top"/>
          </w:tcPr>
          <w:p>
            <w:pPr>
              <w:spacing w:before="35" w:line="239" w:lineRule="exact"/>
              <w:ind w:firstLine="147"/>
              <w:textAlignment w:val="center"/>
            </w:pPr>
            <w:r>
              <w:drawing>
                <wp:inline distT="0" distB="0" distL="0" distR="0">
                  <wp:extent cx="147320" cy="151765"/>
                  <wp:effectExtent l="0" t="0" r="5080" b="635"/>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62"/>
                          <a:stretch>
                            <a:fillRect/>
                          </a:stretch>
                        </pic:blipFill>
                        <pic:spPr>
                          <a:xfrm>
                            <a:off x="0" y="0"/>
                            <a:ext cx="147354" cy="152285"/>
                          </a:xfrm>
                          <a:prstGeom prst="rect">
                            <a:avLst/>
                          </a:prstGeom>
                        </pic:spPr>
                      </pic:pic>
                    </a:graphicData>
                  </a:graphic>
                </wp:inline>
              </w:drawing>
            </w:r>
          </w:p>
          <w:p>
            <w:pPr>
              <w:spacing w:before="116" w:line="233" w:lineRule="exact"/>
              <w:ind w:firstLine="147"/>
              <w:textAlignment w:val="center"/>
            </w:pPr>
            <w:r>
              <w:drawing>
                <wp:inline distT="0" distB="0" distL="0" distR="0">
                  <wp:extent cx="146685" cy="147320"/>
                  <wp:effectExtent l="0" t="0" r="5715" b="508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63"/>
                          <a:stretch>
                            <a:fillRect/>
                          </a:stretch>
                        </pic:blipFill>
                        <pic:spPr>
                          <a:xfrm>
                            <a:off x="0" y="0"/>
                            <a:ext cx="147041" cy="147726"/>
                          </a:xfrm>
                          <a:prstGeom prst="rect">
                            <a:avLst/>
                          </a:prstGeom>
                        </pic:spPr>
                      </pic:pic>
                    </a:graphicData>
                  </a:graphic>
                </wp:inline>
              </w:drawing>
            </w:r>
          </w:p>
        </w:tc>
        <w:tc>
          <w:tcPr>
            <w:tcW w:w="545" w:type="dxa"/>
            <w:vAlign w:val="top"/>
          </w:tcPr>
          <w:p>
            <w:pPr>
              <w:spacing w:before="35" w:line="239" w:lineRule="exact"/>
              <w:ind w:firstLine="184"/>
              <w:textAlignment w:val="center"/>
            </w:pPr>
            <w:r>
              <w:drawing>
                <wp:inline distT="0" distB="0" distL="0" distR="0">
                  <wp:extent cx="146050" cy="151130"/>
                  <wp:effectExtent l="0" t="0" r="6350" b="127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64"/>
                          <a:stretch>
                            <a:fillRect/>
                          </a:stretch>
                        </pic:blipFill>
                        <pic:spPr>
                          <a:xfrm>
                            <a:off x="0" y="0"/>
                            <a:ext cx="146414" cy="151701"/>
                          </a:xfrm>
                          <a:prstGeom prst="rect">
                            <a:avLst/>
                          </a:prstGeom>
                        </pic:spPr>
                      </pic:pic>
                    </a:graphicData>
                  </a:graphic>
                </wp:inline>
              </w:drawing>
            </w:r>
          </w:p>
          <w:p>
            <w:pPr>
              <w:spacing w:before="115" w:line="237" w:lineRule="exact"/>
              <w:ind w:firstLine="184"/>
              <w:textAlignment w:val="center"/>
            </w:pPr>
            <w:r>
              <w:drawing>
                <wp:inline distT="0" distB="0" distL="0" distR="0">
                  <wp:extent cx="146685" cy="150495"/>
                  <wp:effectExtent l="0" t="0" r="5715" b="1905"/>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65"/>
                          <a:stretch>
                            <a:fillRect/>
                          </a:stretch>
                        </pic:blipFill>
                        <pic:spPr>
                          <a:xfrm>
                            <a:off x="0" y="0"/>
                            <a:ext cx="146850" cy="150660"/>
                          </a:xfrm>
                          <a:prstGeom prst="rect">
                            <a:avLst/>
                          </a:prstGeom>
                        </pic:spPr>
                      </pic:pic>
                    </a:graphicData>
                  </a:graphic>
                </wp:inline>
              </w:drawing>
            </w:r>
          </w:p>
        </w:tc>
        <w:tc>
          <w:tcPr>
            <w:tcW w:w="744" w:type="dxa"/>
            <w:vAlign w:val="top"/>
          </w:tcPr>
          <w:p>
            <w:pPr>
              <w:spacing w:before="173" w:line="227" w:lineRule="exact"/>
              <w:ind w:firstLine="176"/>
              <w:textAlignment w:val="center"/>
            </w:pPr>
            <w:r>
              <w:drawing>
                <wp:inline distT="0" distB="0" distL="0" distR="0">
                  <wp:extent cx="259080" cy="143510"/>
                  <wp:effectExtent l="0" t="0" r="7620" b="889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66"/>
                          <a:stretch>
                            <a:fillRect/>
                          </a:stretch>
                        </pic:blipFill>
                        <pic:spPr>
                          <a:xfrm>
                            <a:off x="0" y="0"/>
                            <a:ext cx="259486" cy="143523"/>
                          </a:xfrm>
                          <a:prstGeom prst="rect">
                            <a:avLst/>
                          </a:prstGeom>
                        </pic:spPr>
                      </pic:pic>
                    </a:graphicData>
                  </a:graphic>
                </wp:inline>
              </w:drawing>
            </w:r>
          </w:p>
        </w:tc>
        <w:tc>
          <w:tcPr>
            <w:tcW w:w="856" w:type="dxa"/>
            <w:vAlign w:val="top"/>
          </w:tcPr>
          <w:p>
            <w:pPr>
              <w:spacing w:before="174" w:line="226" w:lineRule="exact"/>
              <w:ind w:firstLine="234"/>
              <w:textAlignment w:val="center"/>
            </w:pPr>
            <w:r>
              <w:drawing>
                <wp:inline distT="0" distB="0" distL="0" distR="0">
                  <wp:extent cx="258445" cy="142875"/>
                  <wp:effectExtent l="0" t="0" r="8255" b="9525"/>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67"/>
                          <a:stretch>
                            <a:fillRect/>
                          </a:stretch>
                        </pic:blipFill>
                        <pic:spPr>
                          <a:xfrm>
                            <a:off x="0" y="0"/>
                            <a:ext cx="258509" cy="142935"/>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3" w:hRule="atLeast"/>
        </w:trPr>
        <w:tc>
          <w:tcPr>
            <w:tcW w:w="47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77" w:line="400" w:lineRule="exact"/>
              <w:ind w:firstLine="216"/>
              <w:textAlignment w:val="auto"/>
              <w:rPr>
                <w:rFonts w:ascii="微软雅黑" w:hAnsi="微软雅黑" w:eastAsia="微软雅黑" w:cs="微软雅黑"/>
                <w:sz w:val="18"/>
                <w:szCs w:val="18"/>
              </w:rPr>
            </w:pPr>
            <w:r>
              <w:rPr>
                <w:rFonts w:ascii="微软雅黑" w:hAnsi="微软雅黑" w:eastAsia="微软雅黑" w:cs="微软雅黑"/>
                <w:sz w:val="18"/>
                <w:szCs w:val="18"/>
              </w:rPr>
              <w:t>1</w:t>
            </w:r>
          </w:p>
        </w:tc>
        <w:tc>
          <w:tcPr>
            <w:tcW w:w="89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58" w:line="400" w:lineRule="exact"/>
              <w:ind w:left="182" w:right="165" w:firstLine="5"/>
              <w:textAlignment w:val="auto"/>
              <w:rPr>
                <w:rFonts w:ascii="宋体" w:hAnsi="宋体" w:eastAsia="宋体" w:cs="宋体"/>
                <w:sz w:val="18"/>
                <w:szCs w:val="18"/>
              </w:rPr>
            </w:pPr>
            <w:r>
              <w:rPr>
                <w:rFonts w:ascii="宋体" w:hAnsi="宋体" w:eastAsia="宋体" w:cs="宋体"/>
                <w:spacing w:val="-3"/>
                <w:sz w:val="18"/>
                <w:szCs w:val="18"/>
              </w:rPr>
              <w:t>教师中</w:t>
            </w:r>
            <w:r>
              <w:rPr>
                <w:rFonts w:ascii="宋体" w:hAnsi="宋体" w:eastAsia="宋体" w:cs="宋体"/>
                <w:spacing w:val="2"/>
                <w:sz w:val="18"/>
                <w:szCs w:val="18"/>
              </w:rPr>
              <w:t xml:space="preserve"> </w:t>
            </w:r>
            <w:r>
              <w:rPr>
                <w:rFonts w:ascii="宋体" w:hAnsi="宋体" w:eastAsia="宋体" w:cs="宋体"/>
                <w:spacing w:val="-5"/>
                <w:sz w:val="18"/>
                <w:szCs w:val="18"/>
              </w:rPr>
              <w:t>控条案</w:t>
            </w:r>
          </w:p>
        </w:tc>
        <w:tc>
          <w:tcPr>
            <w:tcW w:w="10108" w:type="dxa"/>
            <w:vAlign w:val="top"/>
          </w:tcPr>
          <w:p>
            <w:pPr>
              <w:keepNext w:val="0"/>
              <w:keepLines w:val="0"/>
              <w:pageBreakBefore w:val="0"/>
              <w:widowControl w:val="0"/>
              <w:kinsoku/>
              <w:wordWrap/>
              <w:overflowPunct/>
              <w:topLinePunct w:val="0"/>
              <w:autoSpaceDE/>
              <w:autoSpaceDN/>
              <w:bidi w:val="0"/>
              <w:adjustRightInd/>
              <w:snapToGrid/>
              <w:spacing w:before="66" w:line="400" w:lineRule="exact"/>
              <w:ind w:left="115" w:firstLine="23"/>
              <w:textAlignment w:val="auto"/>
              <w:rPr>
                <w:rFonts w:ascii="宋体" w:hAnsi="宋体" w:eastAsia="宋体" w:cs="宋体"/>
                <w:sz w:val="18"/>
                <w:szCs w:val="18"/>
              </w:rPr>
            </w:pPr>
            <w:r>
              <w:rPr>
                <w:rFonts w:hint="eastAsia" w:ascii="宋体" w:hAnsi="宋体" w:eastAsia="宋体" w:cs="宋体"/>
                <w:spacing w:val="-9"/>
                <w:w w:val="88"/>
                <w:sz w:val="20"/>
                <w:szCs w:val="20"/>
              </w:rPr>
              <w:t>1、规格≥180cm×80cm×75cm（±1cm</w:t>
            </w:r>
            <w:r>
              <w:rPr>
                <w:rFonts w:hint="eastAsia" w:ascii="宋体" w:hAnsi="宋体" w:eastAsia="宋体" w:cs="宋体"/>
                <w:spacing w:val="-44"/>
                <w:sz w:val="20"/>
                <w:szCs w:val="20"/>
              </w:rPr>
              <w:t>）</w:t>
            </w:r>
            <w:r>
              <w:rPr>
                <w:rFonts w:hint="eastAsia" w:ascii="宋体" w:hAnsi="宋体" w:eastAsia="宋体" w:cs="宋体"/>
                <w:spacing w:val="-25"/>
                <w:sz w:val="20"/>
                <w:szCs w:val="20"/>
              </w:rPr>
              <w:t xml:space="preserve"> </w:t>
            </w:r>
            <w:r>
              <w:rPr>
                <w:rFonts w:hint="eastAsia" w:ascii="宋体" w:hAnsi="宋体" w:eastAsia="宋体" w:cs="宋体"/>
                <w:spacing w:val="-44"/>
                <w:sz w:val="20"/>
                <w:szCs w:val="20"/>
              </w:rPr>
              <w:t>，</w:t>
            </w:r>
            <w:r>
              <w:rPr>
                <w:rFonts w:hint="eastAsia" w:ascii="宋体" w:hAnsi="宋体" w:eastAsia="宋体" w:cs="宋体"/>
                <w:spacing w:val="-9"/>
                <w:w w:val="88"/>
                <w:sz w:val="20"/>
                <w:szCs w:val="20"/>
              </w:rPr>
              <w:t>实木结构；古典书桌设计，烤漆处理；全部卯榫结构；具备将本方案中的中控、教师手绘屏、直播系统</w:t>
            </w:r>
            <w:r>
              <w:rPr>
                <w:rFonts w:hint="eastAsia" w:ascii="宋体" w:hAnsi="宋体" w:eastAsia="宋体" w:cs="宋体"/>
                <w:spacing w:val="-17"/>
                <w:w w:val="97"/>
                <w:sz w:val="20"/>
                <w:szCs w:val="20"/>
              </w:rPr>
              <w:t>集成在中控条案中；门字砚≥20cm×13cm×4cm（±0.1cm</w:t>
            </w:r>
            <w:r>
              <w:rPr>
                <w:rFonts w:hint="eastAsia" w:ascii="宋体" w:hAnsi="宋体" w:eastAsia="宋体" w:cs="宋体"/>
                <w:spacing w:val="-43"/>
                <w:sz w:val="20"/>
                <w:szCs w:val="20"/>
              </w:rPr>
              <w:t>），</w:t>
            </w:r>
            <w:r>
              <w:rPr>
                <w:rFonts w:hint="eastAsia" w:ascii="宋体" w:hAnsi="宋体" w:eastAsia="宋体" w:cs="宋体"/>
                <w:spacing w:val="-17"/>
                <w:w w:val="97"/>
                <w:sz w:val="20"/>
                <w:szCs w:val="20"/>
              </w:rPr>
              <w:t>材质：鱼子石；毛笔笔架≥36cm×36cm×10cm（±0.1cm</w:t>
            </w:r>
            <w:r>
              <w:rPr>
                <w:rFonts w:hint="eastAsia" w:ascii="宋体" w:hAnsi="宋体" w:eastAsia="宋体" w:cs="宋体"/>
                <w:spacing w:val="-43"/>
                <w:sz w:val="20"/>
                <w:szCs w:val="20"/>
              </w:rPr>
              <w:t>），</w:t>
            </w:r>
            <w:r>
              <w:rPr>
                <w:rFonts w:hint="eastAsia" w:ascii="宋体" w:hAnsi="宋体" w:eastAsia="宋体" w:cs="宋体"/>
                <w:spacing w:val="-17"/>
                <w:w w:val="97"/>
                <w:sz w:val="20"/>
                <w:szCs w:val="20"/>
              </w:rPr>
              <w:t>材质:</w:t>
            </w:r>
            <w:r>
              <w:rPr>
                <w:rFonts w:hint="eastAsia" w:ascii="宋体" w:hAnsi="宋体" w:eastAsia="宋体" w:cs="宋体"/>
                <w:spacing w:val="-22"/>
                <w:sz w:val="20"/>
                <w:szCs w:val="20"/>
              </w:rPr>
              <w:t xml:space="preserve"> </w:t>
            </w:r>
            <w:r>
              <w:rPr>
                <w:rFonts w:hint="eastAsia" w:ascii="宋体" w:hAnsi="宋体" w:eastAsia="宋体" w:cs="宋体"/>
                <w:spacing w:val="-17"/>
                <w:w w:val="97"/>
                <w:sz w:val="20"/>
                <w:szCs w:val="20"/>
              </w:rPr>
              <w:t>鸡翅木；笔洗</w:t>
            </w:r>
            <w:r>
              <w:rPr>
                <w:rFonts w:hint="eastAsia" w:ascii="宋体" w:hAnsi="宋体" w:eastAsia="宋体" w:cs="宋体"/>
                <w:spacing w:val="-7"/>
                <w:w w:val="81"/>
                <w:sz w:val="20"/>
                <w:szCs w:val="20"/>
              </w:rPr>
              <w:t>≥7.9cm×20cm（±0.1cm</w:t>
            </w:r>
            <w:r>
              <w:rPr>
                <w:rFonts w:hint="eastAsia" w:ascii="宋体" w:hAnsi="宋体" w:eastAsia="宋体" w:cs="宋体"/>
                <w:spacing w:val="-62"/>
                <w:sz w:val="20"/>
                <w:szCs w:val="20"/>
              </w:rPr>
              <w:t>）</w:t>
            </w:r>
            <w:r>
              <w:rPr>
                <w:rFonts w:hint="eastAsia" w:ascii="宋体" w:hAnsi="宋体" w:eastAsia="宋体" w:cs="宋体"/>
                <w:spacing w:val="-28"/>
                <w:sz w:val="20"/>
                <w:szCs w:val="20"/>
              </w:rPr>
              <w:t xml:space="preserve"> </w:t>
            </w:r>
            <w:r>
              <w:rPr>
                <w:rFonts w:hint="eastAsia" w:ascii="宋体" w:hAnsi="宋体" w:eastAsia="宋体" w:cs="宋体"/>
                <w:spacing w:val="-62"/>
                <w:sz w:val="20"/>
                <w:szCs w:val="20"/>
              </w:rPr>
              <w:t>，</w:t>
            </w:r>
            <w:r>
              <w:rPr>
                <w:rFonts w:hint="eastAsia" w:ascii="宋体" w:hAnsi="宋体" w:eastAsia="宋体" w:cs="宋体"/>
                <w:spacing w:val="-7"/>
                <w:w w:val="81"/>
                <w:sz w:val="20"/>
                <w:szCs w:val="20"/>
              </w:rPr>
              <w:t>材质：优质陶瓷；砚台水滴：陶瓷；镇尺：加重型黑梓木；笔搁：卧式笔架，材质：实木；毛毡</w:t>
            </w:r>
            <w:r>
              <w:rPr>
                <w:rFonts w:hint="eastAsia" w:ascii="宋体" w:hAnsi="宋体" w:eastAsia="宋体" w:cs="宋体"/>
                <w:spacing w:val="-30"/>
                <w:sz w:val="20"/>
                <w:szCs w:val="20"/>
              </w:rPr>
              <w:t xml:space="preserve"> </w:t>
            </w:r>
            <w:r>
              <w:rPr>
                <w:rFonts w:hint="eastAsia" w:ascii="宋体" w:hAnsi="宋体" w:eastAsia="宋体" w:cs="宋体"/>
                <w:spacing w:val="-7"/>
                <w:w w:val="81"/>
                <w:sz w:val="20"/>
                <w:szCs w:val="20"/>
              </w:rPr>
              <w:t>≥1m×2m（±1cm</w:t>
            </w:r>
            <w:r>
              <w:rPr>
                <w:rFonts w:hint="eastAsia" w:ascii="宋体" w:hAnsi="宋体" w:eastAsia="宋体" w:cs="宋体"/>
                <w:spacing w:val="-62"/>
                <w:sz w:val="20"/>
                <w:szCs w:val="20"/>
              </w:rPr>
              <w:t>）</w:t>
            </w:r>
            <w:r>
              <w:rPr>
                <w:rFonts w:hint="eastAsia" w:ascii="宋体" w:hAnsi="宋体" w:eastAsia="宋体" w:cs="宋体"/>
                <w:spacing w:val="-40"/>
                <w:sz w:val="20"/>
                <w:szCs w:val="20"/>
              </w:rPr>
              <w:t xml:space="preserve"> </w:t>
            </w:r>
            <w:r>
              <w:rPr>
                <w:rFonts w:hint="eastAsia" w:ascii="宋体" w:hAnsi="宋体" w:eastAsia="宋体" w:cs="宋体"/>
                <w:spacing w:val="-62"/>
                <w:sz w:val="20"/>
                <w:szCs w:val="20"/>
              </w:rPr>
              <w:t>，</w:t>
            </w:r>
            <w:r>
              <w:rPr>
                <w:rFonts w:hint="eastAsia" w:ascii="宋体" w:hAnsi="宋体" w:eastAsia="宋体" w:cs="宋体"/>
                <w:w w:val="101"/>
                <w:sz w:val="20"/>
                <w:szCs w:val="20"/>
              </w:rPr>
              <w:t xml:space="preserve"> </w:t>
            </w:r>
            <w:r>
              <w:rPr>
                <w:rFonts w:hint="eastAsia" w:ascii="宋体" w:hAnsi="宋体" w:eastAsia="宋体" w:cs="宋体"/>
                <w:spacing w:val="-16"/>
                <w:w w:val="89"/>
                <w:sz w:val="20"/>
                <w:szCs w:val="20"/>
              </w:rPr>
              <w:t>材质：100%纯羊毛，</w:t>
            </w:r>
            <w:r>
              <w:rPr>
                <w:rFonts w:hint="eastAsia" w:ascii="宋体" w:hAnsi="宋体" w:eastAsia="宋体" w:cs="宋体"/>
                <w:spacing w:val="-4"/>
                <w:sz w:val="20"/>
                <w:szCs w:val="20"/>
              </w:rPr>
              <w:t xml:space="preserve"> </w:t>
            </w:r>
            <w:r>
              <w:rPr>
                <w:rFonts w:hint="eastAsia" w:ascii="宋体" w:hAnsi="宋体" w:eastAsia="宋体" w:cs="宋体"/>
                <w:spacing w:val="-16"/>
                <w:w w:val="89"/>
                <w:sz w:val="20"/>
                <w:szCs w:val="20"/>
              </w:rPr>
              <w:t>可以水洗反复使用；笔筒≥12.5cm×9.5cm（±0.1cm</w:t>
            </w:r>
            <w:r>
              <w:rPr>
                <w:rFonts w:hint="eastAsia" w:ascii="宋体" w:hAnsi="宋体" w:eastAsia="宋体" w:cs="宋体"/>
                <w:spacing w:val="-25"/>
                <w:sz w:val="20"/>
                <w:szCs w:val="20"/>
              </w:rPr>
              <w:t>）</w:t>
            </w:r>
            <w:r>
              <w:rPr>
                <w:rFonts w:hint="eastAsia" w:ascii="宋体" w:hAnsi="宋体" w:eastAsia="宋体" w:cs="宋体"/>
                <w:spacing w:val="-32"/>
                <w:sz w:val="20"/>
                <w:szCs w:val="20"/>
              </w:rPr>
              <w:t xml:space="preserve"> </w:t>
            </w:r>
            <w:r>
              <w:rPr>
                <w:rFonts w:hint="eastAsia" w:ascii="宋体" w:hAnsi="宋体" w:eastAsia="宋体" w:cs="宋体"/>
                <w:spacing w:val="-25"/>
                <w:sz w:val="20"/>
                <w:szCs w:val="20"/>
              </w:rPr>
              <w:t>，</w:t>
            </w:r>
            <w:r>
              <w:rPr>
                <w:rFonts w:hint="eastAsia" w:ascii="宋体" w:hAnsi="宋体" w:eastAsia="宋体" w:cs="宋体"/>
                <w:spacing w:val="-16"/>
                <w:w w:val="89"/>
                <w:sz w:val="20"/>
                <w:szCs w:val="20"/>
              </w:rPr>
              <w:t>材质:</w:t>
            </w:r>
            <w:r>
              <w:rPr>
                <w:rFonts w:hint="eastAsia" w:ascii="宋体" w:hAnsi="宋体" w:eastAsia="宋体" w:cs="宋体"/>
                <w:spacing w:val="-27"/>
                <w:sz w:val="20"/>
                <w:szCs w:val="20"/>
              </w:rPr>
              <w:t xml:space="preserve"> </w:t>
            </w:r>
            <w:r>
              <w:rPr>
                <w:rFonts w:hint="eastAsia" w:ascii="宋体" w:hAnsi="宋体" w:eastAsia="宋体" w:cs="宋体"/>
                <w:spacing w:val="-16"/>
                <w:w w:val="89"/>
                <w:sz w:val="20"/>
                <w:szCs w:val="20"/>
              </w:rPr>
              <w:t>黑檀；毛笔套装：笔头材质为纯狼毫；笔杆材质：天然黑湘妃；</w:t>
            </w:r>
            <w:r>
              <w:rPr>
                <w:rFonts w:hint="eastAsia" w:ascii="宋体" w:hAnsi="宋体" w:eastAsia="宋体" w:cs="宋体"/>
                <w:spacing w:val="-8"/>
                <w:w w:val="92"/>
                <w:sz w:val="20"/>
                <w:szCs w:val="20"/>
              </w:rPr>
              <w:t>大号毛笔尺寸：出锋≤3.8cm、口径≤1.1cm、全长≤26.5cm；中号毛笔：出锋≤3.3cm、口径≤0.9cm、全长≤26.0cm；小号毛笔：出锋≤2.8cm，口径≤0.8cm，全长≤25.5cm；配套实木方凳1</w:t>
            </w:r>
            <w:r>
              <w:rPr>
                <w:rFonts w:hint="eastAsia" w:ascii="宋体" w:hAnsi="宋体" w:eastAsia="宋体" w:cs="宋体"/>
                <w:spacing w:val="-30"/>
                <w:sz w:val="20"/>
                <w:szCs w:val="20"/>
              </w:rPr>
              <w:t xml:space="preserve"> </w:t>
            </w:r>
            <w:r>
              <w:rPr>
                <w:rFonts w:hint="eastAsia" w:ascii="宋体" w:hAnsi="宋体" w:eastAsia="宋体" w:cs="宋体"/>
                <w:spacing w:val="-8"/>
                <w:w w:val="92"/>
                <w:sz w:val="20"/>
                <w:szCs w:val="20"/>
              </w:rPr>
              <w:t>个。</w:t>
            </w:r>
          </w:p>
        </w:tc>
        <w:tc>
          <w:tcPr>
            <w:tcW w:w="46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77" w:line="400" w:lineRule="exact"/>
              <w:ind w:firstLine="218"/>
              <w:textAlignment w:val="auto"/>
              <w:rPr>
                <w:rFonts w:ascii="微软雅黑" w:hAnsi="微软雅黑" w:eastAsia="微软雅黑" w:cs="微软雅黑"/>
                <w:sz w:val="18"/>
                <w:szCs w:val="18"/>
              </w:rPr>
            </w:pPr>
            <w:r>
              <w:rPr>
                <w:rFonts w:ascii="微软雅黑" w:hAnsi="微软雅黑" w:eastAsia="微软雅黑" w:cs="微软雅黑"/>
                <w:sz w:val="18"/>
                <w:szCs w:val="18"/>
              </w:rPr>
              <w:t>1</w:t>
            </w:r>
          </w:p>
        </w:tc>
        <w:tc>
          <w:tcPr>
            <w:tcW w:w="5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59" w:line="400" w:lineRule="exact"/>
              <w:ind w:firstLine="224"/>
              <w:textAlignment w:val="auto"/>
              <w:rPr>
                <w:rFonts w:ascii="宋体" w:hAnsi="宋体" w:eastAsia="宋体" w:cs="宋体"/>
                <w:sz w:val="18"/>
                <w:szCs w:val="18"/>
              </w:rPr>
            </w:pPr>
            <w:r>
              <w:rPr>
                <w:rFonts w:ascii="宋体" w:hAnsi="宋体" w:eastAsia="宋体" w:cs="宋体"/>
                <w:sz w:val="18"/>
                <w:szCs w:val="18"/>
              </w:rPr>
              <w:t>台</w:t>
            </w:r>
          </w:p>
        </w:tc>
        <w:tc>
          <w:tcPr>
            <w:tcW w:w="744"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tc>
        <w:tc>
          <w:tcPr>
            <w:tcW w:w="85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473" w:type="dxa"/>
            <w:vAlign w:val="top"/>
          </w:tcPr>
          <w:p>
            <w:pPr>
              <w:keepNext w:val="0"/>
              <w:keepLines w:val="0"/>
              <w:pageBreakBefore w:val="0"/>
              <w:widowControl w:val="0"/>
              <w:kinsoku/>
              <w:wordWrap/>
              <w:overflowPunct/>
              <w:topLinePunct w:val="0"/>
              <w:autoSpaceDE/>
              <w:autoSpaceDN/>
              <w:bidi w:val="0"/>
              <w:adjustRightInd/>
              <w:snapToGrid/>
              <w:spacing w:before="270" w:line="400" w:lineRule="exact"/>
              <w:ind w:firstLine="198"/>
              <w:textAlignment w:val="auto"/>
              <w:rPr>
                <w:rFonts w:ascii="微软雅黑" w:hAnsi="微软雅黑" w:eastAsia="微软雅黑" w:cs="微软雅黑"/>
                <w:sz w:val="18"/>
                <w:szCs w:val="18"/>
              </w:rPr>
            </w:pPr>
            <w:r>
              <w:rPr>
                <w:rFonts w:ascii="微软雅黑" w:hAnsi="微软雅黑" w:eastAsia="微软雅黑" w:cs="微软雅黑"/>
                <w:sz w:val="18"/>
                <w:szCs w:val="18"/>
              </w:rPr>
              <w:t>2</w:t>
            </w:r>
          </w:p>
        </w:tc>
        <w:tc>
          <w:tcPr>
            <w:tcW w:w="891" w:type="dxa"/>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95" w:line="400" w:lineRule="exact"/>
              <w:ind w:left="271" w:right="165" w:hanging="80"/>
              <w:textAlignment w:val="auto"/>
              <w:rPr>
                <w:rFonts w:ascii="宋体" w:hAnsi="宋体" w:eastAsia="宋体" w:cs="宋体"/>
                <w:sz w:val="18"/>
                <w:szCs w:val="18"/>
              </w:rPr>
            </w:pPr>
            <w:r>
              <w:rPr>
                <w:rFonts w:ascii="宋体" w:hAnsi="宋体" w:eastAsia="宋体" w:cs="宋体"/>
                <w:spacing w:val="-4"/>
                <w:sz w:val="18"/>
                <w:szCs w:val="18"/>
              </w:rPr>
              <w:t>书法临</w:t>
            </w:r>
            <w:r>
              <w:rPr>
                <w:rFonts w:ascii="宋体" w:hAnsi="宋体" w:eastAsia="宋体" w:cs="宋体"/>
                <w:spacing w:val="1"/>
                <w:sz w:val="18"/>
                <w:szCs w:val="18"/>
              </w:rPr>
              <w:t xml:space="preserve"> </w:t>
            </w:r>
            <w:r>
              <w:rPr>
                <w:rFonts w:ascii="宋体" w:hAnsi="宋体" w:eastAsia="宋体" w:cs="宋体"/>
                <w:spacing w:val="-3"/>
                <w:sz w:val="18"/>
                <w:szCs w:val="18"/>
              </w:rPr>
              <w:t>摹桌</w:t>
            </w:r>
          </w:p>
        </w:tc>
        <w:tc>
          <w:tcPr>
            <w:tcW w:w="10108" w:type="dxa"/>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77" w:line="400" w:lineRule="exact"/>
              <w:ind w:firstLine="119"/>
              <w:textAlignment w:val="auto"/>
              <w:rPr>
                <w:rFonts w:ascii="宋体" w:hAnsi="宋体" w:eastAsia="宋体" w:cs="宋体"/>
                <w:sz w:val="18"/>
                <w:szCs w:val="18"/>
              </w:rPr>
            </w:pPr>
            <w:r>
              <w:rPr>
                <w:rFonts w:ascii="微软雅黑" w:hAnsi="微软雅黑" w:eastAsia="微软雅黑" w:cs="微软雅黑"/>
                <w:spacing w:val="-5"/>
                <w:sz w:val="18"/>
                <w:szCs w:val="18"/>
              </w:rPr>
              <w:t>2</w:t>
            </w:r>
            <w:r>
              <w:rPr>
                <w:rFonts w:ascii="宋体" w:hAnsi="宋体" w:eastAsia="宋体" w:cs="宋体"/>
                <w:spacing w:val="-5"/>
                <w:sz w:val="18"/>
                <w:szCs w:val="18"/>
              </w:rPr>
              <w:t>、仿古书桌设计，松木；规格≥</w:t>
            </w:r>
            <w:r>
              <w:rPr>
                <w:rFonts w:ascii="微软雅黑" w:hAnsi="微软雅黑" w:eastAsia="微软雅黑" w:cs="微软雅黑"/>
                <w:spacing w:val="-5"/>
                <w:sz w:val="18"/>
                <w:szCs w:val="18"/>
              </w:rPr>
              <w:t>134cm</w:t>
            </w:r>
            <w:r>
              <w:rPr>
                <w:rFonts w:ascii="宋体" w:hAnsi="宋体" w:eastAsia="宋体" w:cs="宋体"/>
                <w:spacing w:val="-5"/>
                <w:sz w:val="18"/>
                <w:szCs w:val="18"/>
              </w:rPr>
              <w:t>×</w:t>
            </w:r>
            <w:r>
              <w:rPr>
                <w:rFonts w:ascii="微软雅黑" w:hAnsi="微软雅黑" w:eastAsia="微软雅黑" w:cs="微软雅黑"/>
                <w:spacing w:val="-5"/>
                <w:sz w:val="18"/>
                <w:szCs w:val="18"/>
              </w:rPr>
              <w:t>60cm</w:t>
            </w:r>
            <w:r>
              <w:rPr>
                <w:rFonts w:ascii="宋体" w:hAnsi="宋体" w:eastAsia="宋体" w:cs="宋体"/>
                <w:spacing w:val="-5"/>
                <w:sz w:val="18"/>
                <w:szCs w:val="18"/>
              </w:rPr>
              <w:t>×</w:t>
            </w:r>
            <w:r>
              <w:rPr>
                <w:rFonts w:ascii="微软雅黑" w:hAnsi="微软雅黑" w:eastAsia="微软雅黑" w:cs="微软雅黑"/>
                <w:spacing w:val="-5"/>
                <w:sz w:val="18"/>
                <w:szCs w:val="18"/>
              </w:rPr>
              <w:t>75cm（±1cm</w:t>
            </w:r>
            <w:r>
              <w:rPr>
                <w:rFonts w:ascii="微软雅黑" w:hAnsi="微软雅黑" w:eastAsia="微软雅黑" w:cs="微软雅黑"/>
                <w:spacing w:val="-53"/>
                <w:sz w:val="18"/>
                <w:szCs w:val="18"/>
              </w:rPr>
              <w:t>）</w:t>
            </w:r>
            <w:r>
              <w:rPr>
                <w:rFonts w:ascii="微软雅黑" w:hAnsi="微软雅黑" w:eastAsia="微软雅黑" w:cs="微软雅黑"/>
                <w:spacing w:val="3"/>
                <w:w w:val="101"/>
                <w:sz w:val="18"/>
                <w:szCs w:val="18"/>
              </w:rPr>
              <w:t xml:space="preserve"> </w:t>
            </w:r>
            <w:r>
              <w:rPr>
                <w:rFonts w:ascii="宋体" w:hAnsi="宋体" w:eastAsia="宋体" w:cs="宋体"/>
                <w:spacing w:val="-53"/>
                <w:sz w:val="18"/>
                <w:szCs w:val="18"/>
              </w:rPr>
              <w:t>；</w:t>
            </w:r>
            <w:r>
              <w:rPr>
                <w:rFonts w:ascii="宋体" w:hAnsi="宋体" w:eastAsia="宋体" w:cs="宋体"/>
                <w:spacing w:val="-5"/>
                <w:sz w:val="18"/>
                <w:szCs w:val="18"/>
              </w:rPr>
              <w:t>笔搁，实木材质；配套实木方凳</w:t>
            </w:r>
            <w:r>
              <w:rPr>
                <w:rFonts w:ascii="宋体" w:hAnsi="宋体" w:eastAsia="宋体" w:cs="宋体"/>
                <w:spacing w:val="-40"/>
                <w:sz w:val="18"/>
                <w:szCs w:val="18"/>
              </w:rPr>
              <w:t xml:space="preserve"> </w:t>
            </w:r>
            <w:r>
              <w:rPr>
                <w:rFonts w:ascii="微软雅黑" w:hAnsi="微软雅黑" w:eastAsia="微软雅黑" w:cs="微软雅黑"/>
                <w:spacing w:val="-5"/>
                <w:sz w:val="18"/>
                <w:szCs w:val="18"/>
              </w:rPr>
              <w:t>2</w:t>
            </w:r>
            <w:r>
              <w:rPr>
                <w:rFonts w:ascii="宋体" w:hAnsi="宋体" w:eastAsia="宋体" w:cs="宋体"/>
                <w:spacing w:val="-5"/>
                <w:sz w:val="18"/>
                <w:szCs w:val="18"/>
              </w:rPr>
              <w:t>个。</w:t>
            </w:r>
          </w:p>
        </w:tc>
        <w:tc>
          <w:tcPr>
            <w:tcW w:w="467" w:type="dxa"/>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270" w:line="400" w:lineRule="exact"/>
              <w:ind w:firstLine="150"/>
              <w:textAlignment w:val="auto"/>
              <w:rPr>
                <w:rFonts w:ascii="微软雅黑" w:hAnsi="微软雅黑" w:eastAsia="微软雅黑" w:cs="微软雅黑"/>
                <w:sz w:val="18"/>
                <w:szCs w:val="18"/>
              </w:rPr>
            </w:pPr>
            <w:r>
              <w:rPr>
                <w:rFonts w:ascii="微软雅黑" w:hAnsi="微软雅黑" w:eastAsia="微软雅黑" w:cs="微软雅黑"/>
                <w:spacing w:val="-4"/>
                <w:sz w:val="18"/>
                <w:szCs w:val="18"/>
              </w:rPr>
              <w:t>24</w:t>
            </w:r>
          </w:p>
        </w:tc>
        <w:tc>
          <w:tcPr>
            <w:tcW w:w="545" w:type="dxa"/>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208" w:line="400" w:lineRule="exact"/>
              <w:ind w:firstLine="205"/>
              <w:textAlignment w:val="auto"/>
              <w:rPr>
                <w:rFonts w:ascii="宋体" w:hAnsi="宋体" w:eastAsia="宋体" w:cs="宋体"/>
                <w:sz w:val="18"/>
                <w:szCs w:val="18"/>
              </w:rPr>
            </w:pPr>
            <w:r>
              <w:rPr>
                <w:rFonts w:ascii="宋体" w:hAnsi="宋体" w:eastAsia="宋体" w:cs="宋体"/>
                <w:sz w:val="18"/>
                <w:szCs w:val="18"/>
              </w:rPr>
              <w:t>张</w:t>
            </w:r>
          </w:p>
        </w:tc>
        <w:tc>
          <w:tcPr>
            <w:tcW w:w="744" w:type="dxa"/>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tc>
        <w:tc>
          <w:tcPr>
            <w:tcW w:w="856" w:type="dxa"/>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47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78" w:line="400" w:lineRule="exact"/>
              <w:ind w:firstLine="203"/>
              <w:textAlignment w:val="auto"/>
              <w:rPr>
                <w:rFonts w:ascii="微软雅黑" w:hAnsi="微软雅黑" w:eastAsia="微软雅黑" w:cs="微软雅黑"/>
                <w:sz w:val="18"/>
                <w:szCs w:val="18"/>
              </w:rPr>
            </w:pPr>
            <w:r>
              <w:rPr>
                <w:rFonts w:ascii="微软雅黑" w:hAnsi="微软雅黑" w:eastAsia="微软雅黑" w:cs="微软雅黑"/>
                <w:sz w:val="18"/>
                <w:szCs w:val="18"/>
              </w:rPr>
              <w:t>3</w:t>
            </w:r>
          </w:p>
        </w:tc>
        <w:tc>
          <w:tcPr>
            <w:tcW w:w="89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58" w:line="400" w:lineRule="exact"/>
              <w:ind w:firstLine="191"/>
              <w:textAlignment w:val="auto"/>
              <w:rPr>
                <w:rFonts w:ascii="宋体" w:hAnsi="宋体" w:eastAsia="宋体" w:cs="宋体"/>
                <w:sz w:val="18"/>
                <w:szCs w:val="18"/>
              </w:rPr>
            </w:pPr>
            <w:r>
              <w:rPr>
                <w:rFonts w:ascii="宋体" w:hAnsi="宋体" w:eastAsia="宋体" w:cs="宋体"/>
                <w:spacing w:val="-6"/>
                <w:position w:val="9"/>
                <w:sz w:val="18"/>
                <w:szCs w:val="18"/>
              </w:rPr>
              <w:t>书画教</w:t>
            </w:r>
          </w:p>
          <w:p>
            <w:pPr>
              <w:keepNext w:val="0"/>
              <w:keepLines w:val="0"/>
              <w:pageBreakBefore w:val="0"/>
              <w:widowControl w:val="0"/>
              <w:kinsoku/>
              <w:wordWrap/>
              <w:overflowPunct/>
              <w:topLinePunct w:val="0"/>
              <w:autoSpaceDE/>
              <w:autoSpaceDN/>
              <w:bidi w:val="0"/>
              <w:adjustRightInd/>
              <w:snapToGrid/>
              <w:spacing w:line="400" w:lineRule="exact"/>
              <w:ind w:firstLine="191"/>
              <w:textAlignment w:val="auto"/>
              <w:rPr>
                <w:rFonts w:ascii="宋体" w:hAnsi="宋体" w:eastAsia="宋体" w:cs="宋体"/>
                <w:sz w:val="18"/>
                <w:szCs w:val="18"/>
              </w:rPr>
            </w:pPr>
            <w:r>
              <w:rPr>
                <w:rFonts w:ascii="宋体" w:hAnsi="宋体" w:eastAsia="宋体" w:cs="宋体"/>
                <w:spacing w:val="-6"/>
                <w:sz w:val="18"/>
                <w:szCs w:val="18"/>
              </w:rPr>
              <w:t>学展示</w:t>
            </w:r>
          </w:p>
          <w:p>
            <w:pPr>
              <w:keepNext w:val="0"/>
              <w:keepLines w:val="0"/>
              <w:pageBreakBefore w:val="0"/>
              <w:widowControl w:val="0"/>
              <w:kinsoku/>
              <w:wordWrap/>
              <w:overflowPunct/>
              <w:topLinePunct w:val="0"/>
              <w:autoSpaceDE/>
              <w:autoSpaceDN/>
              <w:bidi w:val="0"/>
              <w:adjustRightInd/>
              <w:snapToGrid/>
              <w:spacing w:before="113" w:line="400" w:lineRule="exact"/>
              <w:ind w:firstLine="391"/>
              <w:textAlignment w:val="auto"/>
              <w:rPr>
                <w:rFonts w:ascii="宋体" w:hAnsi="宋体" w:eastAsia="宋体" w:cs="宋体"/>
                <w:sz w:val="18"/>
                <w:szCs w:val="18"/>
              </w:rPr>
            </w:pPr>
            <w:r>
              <w:rPr>
                <w:rFonts w:ascii="宋体" w:hAnsi="宋体" w:eastAsia="宋体" w:cs="宋体"/>
                <w:sz w:val="18"/>
                <w:szCs w:val="18"/>
              </w:rPr>
              <w:t>台</w:t>
            </w:r>
          </w:p>
        </w:tc>
        <w:tc>
          <w:tcPr>
            <w:tcW w:w="10108" w:type="dxa"/>
            <w:vAlign w:val="top"/>
          </w:tcPr>
          <w:p>
            <w:pPr>
              <w:keepNext w:val="0"/>
              <w:keepLines w:val="0"/>
              <w:pageBreakBefore w:val="0"/>
              <w:widowControl w:val="0"/>
              <w:kinsoku/>
              <w:wordWrap/>
              <w:overflowPunct/>
              <w:topLinePunct w:val="0"/>
              <w:autoSpaceDE/>
              <w:autoSpaceDN/>
              <w:bidi w:val="0"/>
              <w:adjustRightInd/>
              <w:snapToGrid/>
              <w:spacing w:before="82" w:line="400" w:lineRule="exact"/>
              <w:ind w:firstLine="132"/>
              <w:textAlignment w:val="auto"/>
              <w:rPr>
                <w:rFonts w:ascii="宋体" w:hAnsi="宋体" w:eastAsia="宋体" w:cs="宋体"/>
                <w:sz w:val="18"/>
                <w:szCs w:val="18"/>
              </w:rPr>
            </w:pPr>
            <w:r>
              <w:rPr>
                <w:rFonts w:ascii="微软雅黑" w:hAnsi="微软雅黑" w:eastAsia="微软雅黑" w:cs="微软雅黑"/>
                <w:spacing w:val="-4"/>
                <w:w w:val="98"/>
                <w:sz w:val="18"/>
                <w:szCs w:val="18"/>
              </w:rPr>
              <w:t>3.</w:t>
            </w:r>
            <w:r>
              <w:rPr>
                <w:rFonts w:ascii="宋体" w:hAnsi="宋体" w:eastAsia="宋体" w:cs="宋体"/>
                <w:spacing w:val="-4"/>
                <w:w w:val="98"/>
                <w:sz w:val="18"/>
                <w:szCs w:val="18"/>
              </w:rPr>
              <w:t>拍摄架：全金属构架</w:t>
            </w:r>
            <w:r>
              <w:rPr>
                <w:rFonts w:ascii="微软雅黑" w:hAnsi="微软雅黑" w:eastAsia="微软雅黑" w:cs="微软雅黑"/>
                <w:spacing w:val="-4"/>
                <w:w w:val="98"/>
                <w:sz w:val="18"/>
                <w:szCs w:val="18"/>
              </w:rPr>
              <w:t>,</w:t>
            </w:r>
            <w:r>
              <w:rPr>
                <w:rFonts w:ascii="宋体" w:hAnsi="宋体" w:eastAsia="宋体" w:cs="宋体"/>
                <w:spacing w:val="-4"/>
                <w:w w:val="98"/>
                <w:sz w:val="18"/>
                <w:szCs w:val="18"/>
              </w:rPr>
              <w:t>铝合金底座；</w:t>
            </w:r>
          </w:p>
          <w:p>
            <w:pPr>
              <w:keepNext w:val="0"/>
              <w:keepLines w:val="0"/>
              <w:pageBreakBefore w:val="0"/>
              <w:widowControl w:val="0"/>
              <w:kinsoku/>
              <w:wordWrap/>
              <w:overflowPunct/>
              <w:topLinePunct w:val="0"/>
              <w:autoSpaceDE/>
              <w:autoSpaceDN/>
              <w:bidi w:val="0"/>
              <w:adjustRightInd/>
              <w:snapToGrid/>
              <w:spacing w:before="77" w:line="400" w:lineRule="exact"/>
              <w:ind w:firstLine="114"/>
              <w:textAlignment w:val="auto"/>
              <w:rPr>
                <w:rFonts w:ascii="宋体" w:hAnsi="宋体" w:eastAsia="宋体" w:cs="宋体"/>
                <w:sz w:val="18"/>
                <w:szCs w:val="18"/>
              </w:rPr>
            </w:pPr>
            <w:r>
              <w:rPr>
                <w:rFonts w:ascii="微软雅黑" w:hAnsi="微软雅黑" w:eastAsia="微软雅黑" w:cs="微软雅黑"/>
                <w:spacing w:val="-4"/>
                <w:w w:val="96"/>
                <w:sz w:val="18"/>
                <w:szCs w:val="18"/>
              </w:rPr>
              <w:t>4.</w:t>
            </w:r>
            <w:r>
              <w:rPr>
                <w:rFonts w:ascii="宋体" w:hAnsi="宋体" w:eastAsia="宋体" w:cs="宋体"/>
                <w:spacing w:val="-4"/>
                <w:w w:val="96"/>
                <w:sz w:val="18"/>
                <w:szCs w:val="18"/>
              </w:rPr>
              <w:t>具备每台摄像机</w:t>
            </w:r>
            <w:r>
              <w:rPr>
                <w:rFonts w:ascii="微软雅黑" w:hAnsi="微软雅黑" w:eastAsia="微软雅黑" w:cs="微软雅黑"/>
                <w:spacing w:val="-4"/>
                <w:w w:val="96"/>
                <w:sz w:val="18"/>
                <w:szCs w:val="18"/>
              </w:rPr>
              <w:t>360</w:t>
            </w:r>
            <w:r>
              <w:rPr>
                <w:rFonts w:ascii="宋体" w:hAnsi="宋体" w:eastAsia="宋体" w:cs="宋体"/>
                <w:spacing w:val="-4"/>
                <w:w w:val="96"/>
                <w:sz w:val="18"/>
                <w:szCs w:val="18"/>
              </w:rPr>
              <w:t>度旋转，拍摄幅面可以达到</w:t>
            </w:r>
            <w:r>
              <w:rPr>
                <w:rFonts w:ascii="微软雅黑" w:hAnsi="微软雅黑" w:eastAsia="微软雅黑" w:cs="微软雅黑"/>
                <w:spacing w:val="-4"/>
                <w:w w:val="96"/>
                <w:sz w:val="18"/>
                <w:szCs w:val="18"/>
              </w:rPr>
              <w:t>A2</w:t>
            </w:r>
            <w:r>
              <w:rPr>
                <w:rFonts w:ascii="宋体" w:hAnsi="宋体" w:eastAsia="宋体" w:cs="宋体"/>
                <w:spacing w:val="-4"/>
                <w:w w:val="96"/>
                <w:sz w:val="18"/>
                <w:szCs w:val="18"/>
              </w:rPr>
              <w:t>幅面（</w:t>
            </w:r>
            <w:r>
              <w:rPr>
                <w:rFonts w:ascii="微软雅黑" w:hAnsi="微软雅黑" w:eastAsia="微软雅黑" w:cs="微软雅黑"/>
                <w:spacing w:val="-4"/>
                <w:w w:val="96"/>
                <w:sz w:val="18"/>
                <w:szCs w:val="18"/>
              </w:rPr>
              <w:t>A4</w:t>
            </w:r>
            <w:r>
              <w:rPr>
                <w:rFonts w:ascii="宋体" w:hAnsi="宋体" w:eastAsia="宋体" w:cs="宋体"/>
                <w:spacing w:val="-4"/>
                <w:w w:val="96"/>
                <w:sz w:val="18"/>
                <w:szCs w:val="18"/>
              </w:rPr>
              <w:t>幅面的</w:t>
            </w:r>
            <w:r>
              <w:rPr>
                <w:rFonts w:ascii="微软雅黑" w:hAnsi="微软雅黑" w:eastAsia="微软雅黑" w:cs="微软雅黑"/>
                <w:spacing w:val="-4"/>
                <w:w w:val="96"/>
                <w:sz w:val="18"/>
                <w:szCs w:val="18"/>
              </w:rPr>
              <w:t>4</w:t>
            </w:r>
            <w:r>
              <w:rPr>
                <w:rFonts w:ascii="宋体" w:hAnsi="宋体" w:eastAsia="宋体" w:cs="宋体"/>
                <w:spacing w:val="-4"/>
                <w:w w:val="96"/>
                <w:sz w:val="18"/>
                <w:szCs w:val="18"/>
              </w:rPr>
              <w:t>倍</w:t>
            </w:r>
            <w:r>
              <w:rPr>
                <w:rFonts w:ascii="宋体" w:hAnsi="宋体" w:eastAsia="宋体" w:cs="宋体"/>
                <w:spacing w:val="-6"/>
                <w:sz w:val="18"/>
                <w:szCs w:val="18"/>
              </w:rPr>
              <w:t>），</w:t>
            </w:r>
            <w:r>
              <w:rPr>
                <w:rFonts w:ascii="宋体" w:hAnsi="宋体" w:eastAsia="宋体" w:cs="宋体"/>
                <w:spacing w:val="-45"/>
                <w:sz w:val="18"/>
                <w:szCs w:val="18"/>
              </w:rPr>
              <w:t xml:space="preserve"> </w:t>
            </w:r>
            <w:r>
              <w:rPr>
                <w:rFonts w:ascii="宋体" w:hAnsi="宋体" w:eastAsia="宋体" w:cs="宋体"/>
                <w:spacing w:val="-4"/>
                <w:w w:val="96"/>
                <w:sz w:val="18"/>
                <w:szCs w:val="18"/>
              </w:rPr>
              <w:t>可清晰拍摄软硬笔的书写；</w:t>
            </w:r>
          </w:p>
          <w:p>
            <w:pPr>
              <w:keepNext w:val="0"/>
              <w:keepLines w:val="0"/>
              <w:pageBreakBefore w:val="0"/>
              <w:widowControl w:val="0"/>
              <w:kinsoku/>
              <w:wordWrap/>
              <w:overflowPunct/>
              <w:topLinePunct w:val="0"/>
              <w:autoSpaceDE/>
              <w:autoSpaceDN/>
              <w:bidi w:val="0"/>
              <w:adjustRightInd/>
              <w:snapToGrid/>
              <w:spacing w:before="83" w:line="400" w:lineRule="exact"/>
              <w:ind w:left="116" w:right="90" w:firstLine="9"/>
              <w:textAlignment w:val="auto"/>
              <w:rPr>
                <w:rFonts w:ascii="宋体" w:hAnsi="宋体" w:eastAsia="宋体" w:cs="宋体"/>
                <w:sz w:val="18"/>
                <w:szCs w:val="18"/>
              </w:rPr>
            </w:pPr>
            <w:r>
              <w:rPr>
                <w:rFonts w:ascii="宋体" w:hAnsi="宋体" w:eastAsia="宋体" w:cs="宋体"/>
                <w:spacing w:val="-10"/>
                <w:w w:val="97"/>
                <w:sz w:val="18"/>
                <w:szCs w:val="18"/>
              </w:rPr>
              <w:t>▲</w:t>
            </w:r>
            <w:r>
              <w:rPr>
                <w:rFonts w:ascii="微软雅黑" w:hAnsi="微软雅黑" w:eastAsia="微软雅黑" w:cs="微软雅黑"/>
                <w:spacing w:val="-10"/>
                <w:w w:val="97"/>
                <w:sz w:val="18"/>
                <w:szCs w:val="18"/>
              </w:rPr>
              <w:t>5</w:t>
            </w:r>
            <w:r>
              <w:rPr>
                <w:rFonts w:ascii="宋体" w:hAnsi="宋体" w:eastAsia="宋体" w:cs="宋体"/>
                <w:spacing w:val="-10"/>
                <w:w w:val="97"/>
                <w:sz w:val="18"/>
                <w:szCs w:val="18"/>
              </w:rPr>
              <w:t>摄像机≥</w:t>
            </w:r>
            <w:r>
              <w:rPr>
                <w:rFonts w:ascii="微软雅黑" w:hAnsi="微软雅黑" w:eastAsia="微软雅黑" w:cs="微软雅黑"/>
                <w:spacing w:val="-10"/>
                <w:w w:val="97"/>
                <w:sz w:val="18"/>
                <w:szCs w:val="18"/>
              </w:rPr>
              <w:t>3</w:t>
            </w:r>
            <w:r>
              <w:rPr>
                <w:rFonts w:ascii="微软雅黑" w:hAnsi="微软雅黑" w:eastAsia="微软雅黑" w:cs="微软雅黑"/>
                <w:sz w:val="18"/>
                <w:szCs w:val="18"/>
              </w:rPr>
              <w:t xml:space="preserve"> </w:t>
            </w:r>
            <w:r>
              <w:rPr>
                <w:rFonts w:ascii="宋体" w:hAnsi="宋体" w:eastAsia="宋体" w:cs="宋体"/>
                <w:spacing w:val="-10"/>
                <w:w w:val="97"/>
                <w:sz w:val="18"/>
                <w:szCs w:val="18"/>
              </w:rPr>
              <w:t>台，≥</w:t>
            </w:r>
            <w:r>
              <w:rPr>
                <w:rFonts w:ascii="微软雅黑" w:hAnsi="微软雅黑" w:eastAsia="微软雅黑" w:cs="微软雅黑"/>
                <w:spacing w:val="-10"/>
                <w:w w:val="97"/>
                <w:sz w:val="18"/>
                <w:szCs w:val="18"/>
              </w:rPr>
              <w:t>400</w:t>
            </w:r>
            <w:r>
              <w:rPr>
                <w:rFonts w:ascii="宋体" w:hAnsi="宋体" w:eastAsia="宋体" w:cs="宋体"/>
                <w:spacing w:val="-10"/>
                <w:w w:val="97"/>
                <w:sz w:val="18"/>
                <w:szCs w:val="18"/>
              </w:rPr>
              <w:t>万像素，网络接口，规格：≥</w:t>
            </w:r>
            <w:r>
              <w:rPr>
                <w:rFonts w:ascii="微软雅黑" w:hAnsi="微软雅黑" w:eastAsia="微软雅黑" w:cs="微软雅黑"/>
                <w:spacing w:val="-10"/>
                <w:w w:val="97"/>
                <w:sz w:val="18"/>
                <w:szCs w:val="18"/>
              </w:rPr>
              <w:t>138mm</w:t>
            </w:r>
            <w:r>
              <w:rPr>
                <w:rFonts w:ascii="宋体" w:hAnsi="宋体" w:eastAsia="宋体" w:cs="宋体"/>
                <w:spacing w:val="-10"/>
                <w:w w:val="97"/>
                <w:sz w:val="18"/>
                <w:szCs w:val="18"/>
              </w:rPr>
              <w:t>×</w:t>
            </w:r>
            <w:r>
              <w:rPr>
                <w:rFonts w:ascii="微软雅黑" w:hAnsi="微软雅黑" w:eastAsia="微软雅黑" w:cs="微软雅黑"/>
                <w:spacing w:val="-10"/>
                <w:w w:val="97"/>
                <w:sz w:val="18"/>
                <w:szCs w:val="18"/>
              </w:rPr>
              <w:t>58mm</w:t>
            </w:r>
            <w:r>
              <w:rPr>
                <w:rFonts w:ascii="宋体" w:hAnsi="宋体" w:eastAsia="宋体" w:cs="宋体"/>
                <w:spacing w:val="-10"/>
                <w:w w:val="97"/>
                <w:sz w:val="18"/>
                <w:szCs w:val="18"/>
              </w:rPr>
              <w:t>×</w:t>
            </w:r>
            <w:r>
              <w:rPr>
                <w:rFonts w:ascii="微软雅黑" w:hAnsi="微软雅黑" w:eastAsia="微软雅黑" w:cs="微软雅黑"/>
                <w:spacing w:val="-10"/>
                <w:w w:val="97"/>
                <w:sz w:val="18"/>
                <w:szCs w:val="18"/>
              </w:rPr>
              <w:t>68mm（±1mm</w:t>
            </w:r>
            <w:r>
              <w:rPr>
                <w:rFonts w:ascii="微软雅黑" w:hAnsi="微软雅黑" w:eastAsia="微软雅黑" w:cs="微软雅黑"/>
                <w:spacing w:val="-70"/>
                <w:sz w:val="18"/>
                <w:szCs w:val="18"/>
              </w:rPr>
              <w:t>）</w:t>
            </w:r>
            <w:r>
              <w:rPr>
                <w:rFonts w:ascii="微软雅黑" w:hAnsi="微软雅黑" w:eastAsia="微软雅黑" w:cs="微软雅黑"/>
                <w:spacing w:val="6"/>
                <w:w w:val="101"/>
                <w:sz w:val="18"/>
                <w:szCs w:val="18"/>
              </w:rPr>
              <w:t xml:space="preserve"> </w:t>
            </w:r>
            <w:r>
              <w:rPr>
                <w:rFonts w:ascii="宋体" w:hAnsi="宋体" w:eastAsia="宋体" w:cs="宋体"/>
                <w:spacing w:val="-70"/>
                <w:sz w:val="18"/>
                <w:szCs w:val="18"/>
              </w:rPr>
              <w:t>；</w:t>
            </w:r>
            <w:r>
              <w:rPr>
                <w:rFonts w:ascii="宋体" w:hAnsi="宋体" w:eastAsia="宋体" w:cs="宋体"/>
                <w:spacing w:val="-10"/>
                <w:w w:val="97"/>
                <w:sz w:val="18"/>
                <w:szCs w:val="18"/>
              </w:rPr>
              <w:t>帧速率：每秒大于</w:t>
            </w:r>
            <w:r>
              <w:rPr>
                <w:rFonts w:ascii="微软雅黑" w:hAnsi="微软雅黑" w:eastAsia="微软雅黑" w:cs="微软雅黑"/>
                <w:spacing w:val="-10"/>
                <w:w w:val="97"/>
                <w:sz w:val="18"/>
                <w:szCs w:val="18"/>
              </w:rPr>
              <w:t>30</w:t>
            </w:r>
            <w:r>
              <w:rPr>
                <w:rFonts w:ascii="微软雅黑" w:hAnsi="微软雅黑" w:eastAsia="微软雅黑" w:cs="微软雅黑"/>
                <w:spacing w:val="-8"/>
                <w:sz w:val="18"/>
                <w:szCs w:val="18"/>
              </w:rPr>
              <w:t xml:space="preserve"> </w:t>
            </w:r>
            <w:r>
              <w:rPr>
                <w:rFonts w:ascii="宋体" w:hAnsi="宋体" w:eastAsia="宋体" w:cs="宋体"/>
                <w:spacing w:val="-10"/>
                <w:w w:val="97"/>
                <w:sz w:val="18"/>
                <w:szCs w:val="18"/>
              </w:rPr>
              <w:t>帧；具备手动</w:t>
            </w:r>
            <w:r>
              <w:rPr>
                <w:rFonts w:ascii="宋体" w:hAnsi="宋体" w:eastAsia="宋体" w:cs="宋体"/>
                <w:spacing w:val="-9"/>
                <w:sz w:val="18"/>
                <w:szCs w:val="18"/>
              </w:rPr>
              <w:t>调节焦距；</w:t>
            </w:r>
          </w:p>
        </w:tc>
        <w:tc>
          <w:tcPr>
            <w:tcW w:w="46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77" w:line="400" w:lineRule="exact"/>
              <w:ind w:firstLine="218"/>
              <w:textAlignment w:val="auto"/>
              <w:rPr>
                <w:rFonts w:ascii="微软雅黑" w:hAnsi="微软雅黑" w:eastAsia="微软雅黑" w:cs="微软雅黑"/>
                <w:sz w:val="18"/>
                <w:szCs w:val="18"/>
              </w:rPr>
            </w:pPr>
            <w:r>
              <w:rPr>
                <w:rFonts w:ascii="微软雅黑" w:hAnsi="微软雅黑" w:eastAsia="微软雅黑" w:cs="微软雅黑"/>
                <w:sz w:val="18"/>
                <w:szCs w:val="18"/>
              </w:rPr>
              <w:t>1</w:t>
            </w:r>
          </w:p>
        </w:tc>
        <w:tc>
          <w:tcPr>
            <w:tcW w:w="5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59" w:line="400" w:lineRule="exact"/>
              <w:ind w:firstLine="196"/>
              <w:textAlignment w:val="auto"/>
              <w:rPr>
                <w:rFonts w:ascii="宋体" w:hAnsi="宋体" w:eastAsia="宋体" w:cs="宋体"/>
                <w:sz w:val="18"/>
                <w:szCs w:val="18"/>
              </w:rPr>
            </w:pPr>
            <w:r>
              <w:rPr>
                <w:rFonts w:ascii="宋体" w:hAnsi="宋体" w:eastAsia="宋体" w:cs="宋体"/>
                <w:sz w:val="18"/>
                <w:szCs w:val="18"/>
              </w:rPr>
              <w:t>套</w:t>
            </w:r>
          </w:p>
        </w:tc>
        <w:tc>
          <w:tcPr>
            <w:tcW w:w="744"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tc>
        <w:tc>
          <w:tcPr>
            <w:tcW w:w="85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6" w:hRule="atLeast"/>
        </w:trPr>
        <w:tc>
          <w:tcPr>
            <w:tcW w:w="47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78" w:line="400" w:lineRule="exact"/>
              <w:ind w:firstLine="182"/>
              <w:textAlignment w:val="auto"/>
              <w:rPr>
                <w:rFonts w:ascii="微软雅黑" w:hAnsi="微软雅黑" w:eastAsia="微软雅黑" w:cs="微软雅黑"/>
                <w:sz w:val="18"/>
                <w:szCs w:val="18"/>
              </w:rPr>
            </w:pPr>
            <w:r>
              <w:rPr>
                <w:rFonts w:ascii="微软雅黑" w:hAnsi="微软雅黑" w:eastAsia="微软雅黑" w:cs="微软雅黑"/>
                <w:sz w:val="18"/>
                <w:szCs w:val="18"/>
              </w:rPr>
              <w:t>4</w:t>
            </w:r>
          </w:p>
        </w:tc>
        <w:tc>
          <w:tcPr>
            <w:tcW w:w="89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58" w:line="400" w:lineRule="exact"/>
              <w:ind w:firstLine="191"/>
              <w:textAlignment w:val="auto"/>
              <w:rPr>
                <w:rFonts w:ascii="宋体" w:hAnsi="宋体" w:eastAsia="宋体" w:cs="宋体"/>
                <w:sz w:val="18"/>
                <w:szCs w:val="18"/>
              </w:rPr>
            </w:pPr>
            <w:r>
              <w:rPr>
                <w:rFonts w:ascii="宋体" w:hAnsi="宋体" w:eastAsia="宋体" w:cs="宋体"/>
                <w:spacing w:val="-6"/>
                <w:sz w:val="18"/>
                <w:szCs w:val="18"/>
              </w:rPr>
              <w:t>书法教</w:t>
            </w:r>
          </w:p>
          <w:p>
            <w:pPr>
              <w:keepNext w:val="0"/>
              <w:keepLines w:val="0"/>
              <w:pageBreakBefore w:val="0"/>
              <w:widowControl w:val="0"/>
              <w:kinsoku/>
              <w:wordWrap/>
              <w:overflowPunct/>
              <w:topLinePunct w:val="0"/>
              <w:autoSpaceDE/>
              <w:autoSpaceDN/>
              <w:bidi w:val="0"/>
              <w:adjustRightInd/>
              <w:snapToGrid/>
              <w:spacing w:before="132" w:line="400" w:lineRule="exact"/>
              <w:ind w:firstLine="191"/>
              <w:textAlignment w:val="auto"/>
              <w:rPr>
                <w:rFonts w:ascii="宋体" w:hAnsi="宋体" w:eastAsia="宋体" w:cs="宋体"/>
                <w:sz w:val="18"/>
                <w:szCs w:val="18"/>
              </w:rPr>
            </w:pPr>
            <w:r>
              <w:rPr>
                <w:rFonts w:ascii="宋体" w:hAnsi="宋体" w:eastAsia="宋体" w:cs="宋体"/>
                <w:spacing w:val="-6"/>
                <w:sz w:val="18"/>
                <w:szCs w:val="18"/>
              </w:rPr>
              <w:t>学直播</w:t>
            </w:r>
          </w:p>
          <w:p>
            <w:pPr>
              <w:keepNext w:val="0"/>
              <w:keepLines w:val="0"/>
              <w:pageBreakBefore w:val="0"/>
              <w:widowControl w:val="0"/>
              <w:kinsoku/>
              <w:wordWrap/>
              <w:overflowPunct/>
              <w:topLinePunct w:val="0"/>
              <w:autoSpaceDE/>
              <w:autoSpaceDN/>
              <w:bidi w:val="0"/>
              <w:adjustRightInd/>
              <w:snapToGrid/>
              <w:spacing w:before="132" w:line="400" w:lineRule="exact"/>
              <w:ind w:firstLine="280"/>
              <w:textAlignment w:val="auto"/>
              <w:rPr>
                <w:rFonts w:ascii="宋体" w:hAnsi="宋体" w:eastAsia="宋体" w:cs="宋体"/>
                <w:sz w:val="18"/>
                <w:szCs w:val="18"/>
              </w:rPr>
            </w:pPr>
            <w:r>
              <w:rPr>
                <w:rFonts w:ascii="宋体" w:hAnsi="宋体" w:eastAsia="宋体" w:cs="宋体"/>
                <w:spacing w:val="-5"/>
                <w:sz w:val="18"/>
                <w:szCs w:val="18"/>
              </w:rPr>
              <w:t>系统</w:t>
            </w:r>
          </w:p>
        </w:tc>
        <w:tc>
          <w:tcPr>
            <w:tcW w:w="10108" w:type="dxa"/>
            <w:vAlign w:val="top"/>
          </w:tcPr>
          <w:p>
            <w:pPr>
              <w:keepNext w:val="0"/>
              <w:keepLines w:val="0"/>
              <w:pageBreakBefore w:val="0"/>
              <w:widowControl w:val="0"/>
              <w:kinsoku/>
              <w:wordWrap/>
              <w:overflowPunct/>
              <w:topLinePunct w:val="0"/>
              <w:autoSpaceDE/>
              <w:autoSpaceDN/>
              <w:bidi w:val="0"/>
              <w:adjustRightInd/>
              <w:snapToGrid/>
              <w:spacing w:before="153" w:line="400" w:lineRule="exact"/>
              <w:ind w:left="118" w:firstLine="12"/>
              <w:textAlignment w:val="auto"/>
              <w:rPr>
                <w:rFonts w:hint="eastAsia" w:ascii="宋体" w:hAnsi="宋体" w:eastAsia="宋体" w:cs="宋体"/>
                <w:sz w:val="20"/>
                <w:szCs w:val="20"/>
              </w:rPr>
            </w:pPr>
            <w:r>
              <w:rPr>
                <w:rFonts w:hint="eastAsia" w:ascii="宋体" w:hAnsi="宋体" w:eastAsia="宋体" w:cs="宋体"/>
                <w:spacing w:val="-10"/>
                <w:w w:val="98"/>
                <w:sz w:val="20"/>
                <w:szCs w:val="20"/>
              </w:rPr>
              <w:t>6、系统具备连接书画教学展示台的三台摄像机同时拍摄直播、录像，其中两台摄像机从正上方和左侧方45度进行同时拍摄录课，另</w:t>
            </w:r>
            <w:r>
              <w:rPr>
                <w:rFonts w:hint="eastAsia" w:ascii="宋体" w:hAnsi="宋体" w:eastAsia="宋体" w:cs="宋体"/>
                <w:spacing w:val="-16"/>
                <w:w w:val="92"/>
                <w:sz w:val="20"/>
                <w:szCs w:val="20"/>
              </w:rPr>
              <w:t>一台摄像机录制授课特写画面；具备快镜头播放、暂停功能；具备慢镜头播放、暂停功能；具备在画面上任意批注功能；具备一键抓图、看图功</w:t>
            </w:r>
            <w:r>
              <w:rPr>
                <w:rFonts w:hint="eastAsia" w:ascii="宋体" w:hAnsi="宋体" w:eastAsia="宋体" w:cs="宋体"/>
                <w:spacing w:val="-16"/>
                <w:sz w:val="20"/>
                <w:szCs w:val="20"/>
              </w:rPr>
              <w:t>能；</w:t>
            </w:r>
          </w:p>
          <w:p>
            <w:pPr>
              <w:keepNext w:val="0"/>
              <w:keepLines w:val="0"/>
              <w:pageBreakBefore w:val="0"/>
              <w:widowControl w:val="0"/>
              <w:kinsoku/>
              <w:wordWrap/>
              <w:overflowPunct/>
              <w:topLinePunct w:val="0"/>
              <w:autoSpaceDE/>
              <w:autoSpaceDN/>
              <w:bidi w:val="0"/>
              <w:adjustRightInd/>
              <w:snapToGrid/>
              <w:spacing w:before="125" w:line="400" w:lineRule="exact"/>
              <w:ind w:left="118" w:right="22" w:firstLine="3"/>
              <w:textAlignment w:val="auto"/>
              <w:rPr>
                <w:rFonts w:ascii="宋体" w:hAnsi="宋体" w:eastAsia="宋体" w:cs="宋体"/>
                <w:sz w:val="18"/>
                <w:szCs w:val="18"/>
              </w:rPr>
            </w:pPr>
            <w:r>
              <w:rPr>
                <w:rFonts w:ascii="宋体" w:hAnsi="宋体" w:eastAsia="宋体" w:cs="宋体"/>
                <w:spacing w:val="-1"/>
                <w:sz w:val="18"/>
                <w:szCs w:val="18"/>
              </w:rPr>
              <w:t>▲</w:t>
            </w:r>
            <w:r>
              <w:rPr>
                <w:rFonts w:ascii="微软雅黑" w:hAnsi="微软雅黑" w:eastAsia="微软雅黑" w:cs="微软雅黑"/>
                <w:spacing w:val="-1"/>
                <w:sz w:val="18"/>
                <w:szCs w:val="18"/>
              </w:rPr>
              <w:t>7</w:t>
            </w:r>
            <w:r>
              <w:rPr>
                <w:rFonts w:ascii="宋体" w:hAnsi="宋体" w:eastAsia="宋体" w:cs="宋体"/>
                <w:spacing w:val="-1"/>
                <w:sz w:val="18"/>
                <w:szCs w:val="18"/>
              </w:rPr>
              <w:t>、软件界面具备同时显示正面、侧面、特写三个画面，并在画面上进行标识，画面上清楚标识正面、侧面、特写。具备单镜</w:t>
            </w:r>
            <w:r>
              <w:rPr>
                <w:rFonts w:ascii="宋体" w:hAnsi="宋体" w:eastAsia="宋体" w:cs="宋体"/>
                <w:spacing w:val="-2"/>
                <w:sz w:val="18"/>
                <w:szCs w:val="18"/>
              </w:rPr>
              <w:t>头画面、双镜头画面、三镜头画面、画中画四种录播模式功能。具备三台摄像机的视频语音录制功能；具备三个画面同步回放</w:t>
            </w:r>
            <w:r>
              <w:rPr>
                <w:rFonts w:ascii="宋体" w:hAnsi="宋体" w:eastAsia="宋体" w:cs="宋体"/>
                <w:sz w:val="18"/>
                <w:szCs w:val="18"/>
              </w:rPr>
              <w:t xml:space="preserve"> </w:t>
            </w:r>
            <w:r>
              <w:rPr>
                <w:rFonts w:ascii="宋体" w:hAnsi="宋体" w:eastAsia="宋体" w:cs="宋体"/>
                <w:spacing w:val="-17"/>
                <w:w w:val="96"/>
                <w:sz w:val="18"/>
                <w:szCs w:val="18"/>
              </w:rPr>
              <w:t>功能；</w:t>
            </w:r>
            <w:r>
              <w:rPr>
                <w:rFonts w:ascii="宋体" w:hAnsi="宋体" w:eastAsia="宋体" w:cs="宋体"/>
                <w:spacing w:val="68"/>
                <w:sz w:val="18"/>
                <w:szCs w:val="18"/>
              </w:rPr>
              <w:t xml:space="preserve"> </w:t>
            </w:r>
            <w:r>
              <w:rPr>
                <w:rFonts w:ascii="宋体" w:hAnsi="宋体" w:eastAsia="宋体" w:cs="宋体"/>
                <w:spacing w:val="-17"/>
                <w:w w:val="96"/>
                <w:sz w:val="18"/>
                <w:szCs w:val="18"/>
              </w:rPr>
              <w:t>具备播放文件时间显示数字走表功能；具备在软件内直接修改视频、图片文件名，具备拍摄的视频文件自带拍摄年、月、日、时、分、秒信息。</w:t>
            </w:r>
          </w:p>
        </w:tc>
        <w:tc>
          <w:tcPr>
            <w:tcW w:w="46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77" w:line="400" w:lineRule="exact"/>
              <w:ind w:firstLine="218"/>
              <w:textAlignment w:val="auto"/>
              <w:rPr>
                <w:rFonts w:ascii="微软雅黑" w:hAnsi="微软雅黑" w:eastAsia="微软雅黑" w:cs="微软雅黑"/>
                <w:sz w:val="18"/>
                <w:szCs w:val="18"/>
              </w:rPr>
            </w:pPr>
            <w:r>
              <w:rPr>
                <w:rFonts w:ascii="微软雅黑" w:hAnsi="微软雅黑" w:eastAsia="微软雅黑" w:cs="微软雅黑"/>
                <w:sz w:val="18"/>
                <w:szCs w:val="18"/>
              </w:rPr>
              <w:t>1</w:t>
            </w:r>
          </w:p>
        </w:tc>
        <w:tc>
          <w:tcPr>
            <w:tcW w:w="5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59" w:line="400" w:lineRule="exact"/>
              <w:ind w:firstLine="196"/>
              <w:textAlignment w:val="auto"/>
              <w:rPr>
                <w:rFonts w:ascii="宋体" w:hAnsi="宋体" w:eastAsia="宋体" w:cs="宋体"/>
                <w:sz w:val="18"/>
                <w:szCs w:val="18"/>
              </w:rPr>
            </w:pPr>
            <w:r>
              <w:rPr>
                <w:rFonts w:ascii="宋体" w:hAnsi="宋体" w:eastAsia="宋体" w:cs="宋体"/>
                <w:sz w:val="18"/>
                <w:szCs w:val="18"/>
              </w:rPr>
              <w:t>套</w:t>
            </w:r>
          </w:p>
        </w:tc>
        <w:tc>
          <w:tcPr>
            <w:tcW w:w="744"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tc>
        <w:tc>
          <w:tcPr>
            <w:tcW w:w="85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tbl>
      <w:tblPr>
        <w:tblStyle w:val="375"/>
        <w:tblW w:w="14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891"/>
        <w:gridCol w:w="10108"/>
        <w:gridCol w:w="467"/>
        <w:gridCol w:w="545"/>
        <w:gridCol w:w="744"/>
        <w:gridCol w:w="8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473" w:type="dxa"/>
            <w:tcBorders>
              <w:top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tc>
        <w:tc>
          <w:tcPr>
            <w:tcW w:w="891" w:type="dxa"/>
            <w:tcBorders>
              <w:top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tc>
        <w:tc>
          <w:tcPr>
            <w:tcW w:w="10108" w:type="dxa"/>
            <w:tcBorders>
              <w:top w:val="nil"/>
            </w:tcBorders>
            <w:vAlign w:val="top"/>
          </w:tcPr>
          <w:p>
            <w:pPr>
              <w:keepNext w:val="0"/>
              <w:keepLines w:val="0"/>
              <w:pageBreakBefore w:val="0"/>
              <w:widowControl w:val="0"/>
              <w:kinsoku/>
              <w:wordWrap/>
              <w:overflowPunct/>
              <w:topLinePunct w:val="0"/>
              <w:autoSpaceDE/>
              <w:autoSpaceDN/>
              <w:bidi w:val="0"/>
              <w:adjustRightInd/>
              <w:snapToGrid/>
              <w:spacing w:before="93" w:line="400" w:lineRule="exact"/>
              <w:ind w:firstLine="124"/>
              <w:textAlignment w:val="auto"/>
              <w:rPr>
                <w:rFonts w:hint="eastAsia" w:ascii="宋体" w:hAnsi="宋体" w:eastAsia="宋体" w:cs="宋体"/>
                <w:sz w:val="18"/>
                <w:szCs w:val="18"/>
              </w:rPr>
            </w:pPr>
            <w:r>
              <w:rPr>
                <w:rFonts w:hint="eastAsia" w:ascii="宋体" w:hAnsi="宋体" w:eastAsia="宋体" w:cs="宋体"/>
                <w:spacing w:val="-7"/>
                <w:sz w:val="18"/>
                <w:szCs w:val="18"/>
              </w:rPr>
              <w:t>8、具备摄像机自动录音功能，软件调节声音大小；</w:t>
            </w:r>
          </w:p>
          <w:p>
            <w:pPr>
              <w:keepNext w:val="0"/>
              <w:keepLines w:val="0"/>
              <w:pageBreakBefore w:val="0"/>
              <w:widowControl w:val="0"/>
              <w:kinsoku/>
              <w:wordWrap/>
              <w:overflowPunct/>
              <w:topLinePunct w:val="0"/>
              <w:autoSpaceDE/>
              <w:autoSpaceDN/>
              <w:bidi w:val="0"/>
              <w:adjustRightInd/>
              <w:snapToGrid/>
              <w:spacing w:before="115" w:line="400" w:lineRule="exact"/>
              <w:ind w:left="132" w:right="99" w:hanging="20"/>
              <w:textAlignment w:val="auto"/>
              <w:rPr>
                <w:rFonts w:hint="eastAsia" w:ascii="宋体" w:hAnsi="宋体" w:eastAsia="宋体" w:cs="宋体"/>
                <w:sz w:val="18"/>
                <w:szCs w:val="18"/>
              </w:rPr>
            </w:pPr>
            <w:r>
              <w:rPr>
                <w:rFonts w:hint="eastAsia" w:ascii="宋体" w:hAnsi="宋体" w:eastAsia="宋体" w:cs="宋体"/>
                <w:spacing w:val="-8"/>
                <w:sz w:val="18"/>
                <w:szCs w:val="18"/>
              </w:rPr>
              <w:t>9、教师在示范书写的时候，具备在界面同时展现要示范的例字的视频、例字多个字体、例字的多个碑帖，显示在软件摄像机拍摄</w:t>
            </w:r>
            <w:r>
              <w:rPr>
                <w:rFonts w:hint="eastAsia" w:ascii="宋体" w:hAnsi="宋体" w:eastAsia="宋体" w:cs="宋体"/>
                <w:spacing w:val="-10"/>
                <w:sz w:val="18"/>
                <w:szCs w:val="18"/>
              </w:rPr>
              <w:t>的界面，字帖可随意放大缩小，可随意放在软件界面的任何位置；</w:t>
            </w:r>
          </w:p>
        </w:tc>
        <w:tc>
          <w:tcPr>
            <w:tcW w:w="467" w:type="dxa"/>
            <w:tcBorders>
              <w:top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tc>
        <w:tc>
          <w:tcPr>
            <w:tcW w:w="545" w:type="dxa"/>
            <w:tcBorders>
              <w:top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tc>
        <w:tc>
          <w:tcPr>
            <w:tcW w:w="744" w:type="dxa"/>
            <w:tcBorders>
              <w:top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tc>
        <w:tc>
          <w:tcPr>
            <w:tcW w:w="856" w:type="dxa"/>
            <w:tcBorders>
              <w:top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7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77" w:line="400" w:lineRule="exact"/>
              <w:ind w:firstLine="210"/>
              <w:textAlignment w:val="auto"/>
              <w:rPr>
                <w:rFonts w:ascii="微软雅黑" w:hAnsi="微软雅黑" w:eastAsia="微软雅黑" w:cs="微软雅黑"/>
                <w:sz w:val="18"/>
                <w:szCs w:val="18"/>
              </w:rPr>
            </w:pPr>
            <w:r>
              <w:rPr>
                <w:rFonts w:ascii="微软雅黑" w:hAnsi="微软雅黑" w:eastAsia="微软雅黑" w:cs="微软雅黑"/>
                <w:sz w:val="18"/>
                <w:szCs w:val="18"/>
              </w:rPr>
              <w:t>5</w:t>
            </w:r>
          </w:p>
        </w:tc>
        <w:tc>
          <w:tcPr>
            <w:tcW w:w="89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59" w:line="400" w:lineRule="exact"/>
              <w:ind w:firstLine="191"/>
              <w:textAlignment w:val="auto"/>
              <w:rPr>
                <w:rFonts w:ascii="宋体" w:hAnsi="宋体" w:eastAsia="宋体" w:cs="宋体"/>
                <w:sz w:val="18"/>
                <w:szCs w:val="18"/>
              </w:rPr>
            </w:pPr>
            <w:r>
              <w:rPr>
                <w:rFonts w:ascii="宋体" w:hAnsi="宋体" w:eastAsia="宋体" w:cs="宋体"/>
                <w:spacing w:val="-6"/>
                <w:sz w:val="18"/>
                <w:szCs w:val="18"/>
              </w:rPr>
              <w:t>书法教</w:t>
            </w:r>
          </w:p>
          <w:p>
            <w:pPr>
              <w:keepNext w:val="0"/>
              <w:keepLines w:val="0"/>
              <w:pageBreakBefore w:val="0"/>
              <w:widowControl w:val="0"/>
              <w:kinsoku/>
              <w:wordWrap/>
              <w:overflowPunct/>
              <w:topLinePunct w:val="0"/>
              <w:autoSpaceDE/>
              <w:autoSpaceDN/>
              <w:bidi w:val="0"/>
              <w:adjustRightInd/>
              <w:snapToGrid/>
              <w:spacing w:before="132" w:line="400" w:lineRule="exact"/>
              <w:ind w:firstLine="191"/>
              <w:textAlignment w:val="auto"/>
              <w:rPr>
                <w:rFonts w:ascii="宋体" w:hAnsi="宋体" w:eastAsia="宋体" w:cs="宋体"/>
                <w:sz w:val="18"/>
                <w:szCs w:val="18"/>
              </w:rPr>
            </w:pPr>
            <w:r>
              <w:rPr>
                <w:rFonts w:ascii="宋体" w:hAnsi="宋体" w:eastAsia="宋体" w:cs="宋体"/>
                <w:spacing w:val="-6"/>
                <w:sz w:val="18"/>
                <w:szCs w:val="18"/>
              </w:rPr>
              <w:t>学查询</w:t>
            </w:r>
          </w:p>
          <w:p>
            <w:pPr>
              <w:keepNext w:val="0"/>
              <w:keepLines w:val="0"/>
              <w:pageBreakBefore w:val="0"/>
              <w:widowControl w:val="0"/>
              <w:kinsoku/>
              <w:wordWrap/>
              <w:overflowPunct/>
              <w:topLinePunct w:val="0"/>
              <w:autoSpaceDE/>
              <w:autoSpaceDN/>
              <w:bidi w:val="0"/>
              <w:adjustRightInd/>
              <w:snapToGrid/>
              <w:spacing w:before="130" w:line="400" w:lineRule="exact"/>
              <w:ind w:firstLine="280"/>
              <w:textAlignment w:val="auto"/>
              <w:rPr>
                <w:rFonts w:ascii="宋体" w:hAnsi="宋体" w:eastAsia="宋体" w:cs="宋体"/>
                <w:sz w:val="18"/>
                <w:szCs w:val="18"/>
              </w:rPr>
            </w:pPr>
            <w:r>
              <w:rPr>
                <w:rFonts w:ascii="宋体" w:hAnsi="宋体" w:eastAsia="宋体" w:cs="宋体"/>
                <w:spacing w:val="-5"/>
                <w:sz w:val="18"/>
                <w:szCs w:val="18"/>
              </w:rPr>
              <w:t>系统</w:t>
            </w:r>
          </w:p>
        </w:tc>
        <w:tc>
          <w:tcPr>
            <w:tcW w:w="10108" w:type="dxa"/>
            <w:vAlign w:val="top"/>
          </w:tcPr>
          <w:p>
            <w:pPr>
              <w:keepNext w:val="0"/>
              <w:keepLines w:val="0"/>
              <w:pageBreakBefore w:val="0"/>
              <w:widowControl w:val="0"/>
              <w:kinsoku/>
              <w:wordWrap/>
              <w:overflowPunct/>
              <w:topLinePunct w:val="0"/>
              <w:autoSpaceDE/>
              <w:autoSpaceDN/>
              <w:bidi w:val="0"/>
              <w:adjustRightInd/>
              <w:snapToGrid/>
              <w:spacing w:before="147" w:line="400" w:lineRule="exact"/>
              <w:ind w:left="114" w:firstLine="24"/>
              <w:textAlignment w:val="auto"/>
              <w:rPr>
                <w:rFonts w:hint="eastAsia" w:ascii="宋体" w:hAnsi="宋体" w:eastAsia="宋体" w:cs="宋体"/>
                <w:sz w:val="18"/>
                <w:szCs w:val="18"/>
              </w:rPr>
            </w:pPr>
            <w:r>
              <w:rPr>
                <w:rFonts w:hint="eastAsia" w:ascii="宋体" w:hAnsi="宋体" w:eastAsia="宋体" w:cs="宋体"/>
                <w:sz w:val="18"/>
                <w:szCs w:val="18"/>
              </w:rPr>
              <w:t>10、碑帖资源查询可实现通过年代、作者、字帖名字进行智能化检索，并可任意放大缩小拖动字帖。具备通过原图模式、高光</w:t>
            </w:r>
            <w:r>
              <w:rPr>
                <w:rFonts w:hint="eastAsia" w:ascii="宋体" w:hAnsi="宋体" w:eastAsia="宋体" w:cs="宋体"/>
                <w:spacing w:val="-7"/>
                <w:sz w:val="18"/>
                <w:szCs w:val="18"/>
              </w:rPr>
              <w:t>模式、荧光模式、红外模式、3D模式进行碑帖的查看欣赏以及临摹。创作碑帖素材查询可通过关键字检索功能来搜索相应的碑</w:t>
            </w:r>
            <w:r>
              <w:rPr>
                <w:rFonts w:hint="eastAsia" w:ascii="宋体" w:hAnsi="宋体" w:eastAsia="宋体" w:cs="宋体"/>
                <w:spacing w:val="-14"/>
                <w:sz w:val="18"/>
                <w:szCs w:val="18"/>
              </w:rPr>
              <w:t>帖素材。内含中国历代高清碑帖，包含教育部关于印发《中小学书法教育指导纲要》推荐的临摹范本全部碑帖，包含楷书、隶书、行</w:t>
            </w:r>
            <w:r>
              <w:rPr>
                <w:rFonts w:hint="eastAsia" w:ascii="宋体" w:hAnsi="宋体" w:eastAsia="宋体" w:cs="宋体"/>
                <w:spacing w:val="-5"/>
                <w:sz w:val="18"/>
                <w:szCs w:val="18"/>
              </w:rPr>
              <w:t>书；包含教育部关于印发《中小学书法教育指导纲要》推荐的欣赏作品全部碑帖，至少包含篆、隶、草、楷、行五种字体。包含</w:t>
            </w:r>
            <w:r>
              <w:rPr>
                <w:rFonts w:hint="eastAsia" w:ascii="宋体" w:hAnsi="宋体" w:eastAsia="宋体" w:cs="宋体"/>
                <w:spacing w:val="-12"/>
                <w:sz w:val="18"/>
                <w:szCs w:val="18"/>
              </w:rPr>
              <w:t>教育部关于印发《中小学书法教育指导纲要》推荐之外的全部碑帖，包含篆、隶、草、楷、行五种字体，≥10000张。具备任意批</w:t>
            </w:r>
            <w:r>
              <w:rPr>
                <w:rFonts w:hint="eastAsia" w:ascii="宋体" w:hAnsi="宋体" w:eastAsia="宋体" w:cs="宋体"/>
                <w:spacing w:val="-10"/>
                <w:sz w:val="18"/>
                <w:szCs w:val="18"/>
              </w:rPr>
              <w:t>注功</w:t>
            </w:r>
            <w:r>
              <w:rPr>
                <w:rFonts w:hint="eastAsia" w:ascii="宋体" w:hAnsi="宋体" w:eastAsia="宋体" w:cs="宋体"/>
                <w:spacing w:val="-37"/>
                <w:sz w:val="18"/>
                <w:szCs w:val="18"/>
              </w:rPr>
              <w:t xml:space="preserve"> </w:t>
            </w:r>
            <w:r>
              <w:rPr>
                <w:rFonts w:hint="eastAsia" w:ascii="宋体" w:hAnsi="宋体" w:eastAsia="宋体" w:cs="宋体"/>
                <w:spacing w:val="-10"/>
                <w:sz w:val="18"/>
                <w:szCs w:val="18"/>
              </w:rPr>
              <w:t>能。</w:t>
            </w:r>
          </w:p>
          <w:p>
            <w:pPr>
              <w:keepNext w:val="0"/>
              <w:keepLines w:val="0"/>
              <w:pageBreakBefore w:val="0"/>
              <w:widowControl w:val="0"/>
              <w:kinsoku/>
              <w:wordWrap/>
              <w:overflowPunct/>
              <w:topLinePunct w:val="0"/>
              <w:autoSpaceDE/>
              <w:autoSpaceDN/>
              <w:bidi w:val="0"/>
              <w:adjustRightInd/>
              <w:snapToGrid/>
              <w:spacing w:before="6" w:line="400" w:lineRule="exact"/>
              <w:ind w:firstLine="126"/>
              <w:textAlignment w:val="auto"/>
              <w:rPr>
                <w:rFonts w:hint="eastAsia" w:ascii="宋体" w:hAnsi="宋体" w:eastAsia="宋体" w:cs="宋体"/>
                <w:sz w:val="18"/>
                <w:szCs w:val="18"/>
              </w:rPr>
            </w:pPr>
            <w:r>
              <w:rPr>
                <w:rFonts w:hint="eastAsia" w:ascii="宋体" w:hAnsi="宋体" w:eastAsia="宋体" w:cs="宋体"/>
                <w:spacing w:val="-6"/>
                <w:sz w:val="18"/>
                <w:szCs w:val="18"/>
              </w:rPr>
              <w:t>11、具备输入文字、拼音搜索功能，具备教育部推荐临摹、教育部推荐欣赏选项按钮；</w:t>
            </w:r>
          </w:p>
          <w:p>
            <w:pPr>
              <w:keepNext w:val="0"/>
              <w:keepLines w:val="0"/>
              <w:pageBreakBefore w:val="0"/>
              <w:widowControl w:val="0"/>
              <w:kinsoku/>
              <w:wordWrap/>
              <w:overflowPunct/>
              <w:topLinePunct w:val="0"/>
              <w:autoSpaceDE/>
              <w:autoSpaceDN/>
              <w:bidi w:val="0"/>
              <w:adjustRightInd/>
              <w:snapToGrid/>
              <w:spacing w:line="400" w:lineRule="exact"/>
              <w:ind w:firstLine="126"/>
              <w:textAlignment w:val="auto"/>
              <w:rPr>
                <w:rFonts w:hint="eastAsia" w:ascii="宋体" w:hAnsi="宋体" w:eastAsia="宋体" w:cs="宋体"/>
                <w:sz w:val="18"/>
                <w:szCs w:val="18"/>
              </w:rPr>
            </w:pPr>
            <w:r>
              <w:rPr>
                <w:rFonts w:hint="eastAsia" w:ascii="宋体" w:hAnsi="宋体" w:eastAsia="宋体" w:cs="宋体"/>
                <w:spacing w:val="-5"/>
                <w:sz w:val="18"/>
                <w:szCs w:val="18"/>
              </w:rPr>
              <w:t>12、具备黑白反向功能，原贴是白底黑字的可以</w:t>
            </w:r>
            <w:r>
              <w:rPr>
                <w:rFonts w:hint="eastAsia" w:ascii="宋体" w:hAnsi="宋体" w:eastAsia="宋体" w:cs="宋体"/>
                <w:spacing w:val="-23"/>
                <w:sz w:val="18"/>
                <w:szCs w:val="18"/>
              </w:rPr>
              <w:t xml:space="preserve"> </w:t>
            </w:r>
            <w:r>
              <w:rPr>
                <w:rFonts w:hint="eastAsia" w:ascii="宋体" w:hAnsi="宋体" w:eastAsia="宋体" w:cs="宋体"/>
                <w:spacing w:val="-5"/>
                <w:sz w:val="18"/>
                <w:szCs w:val="18"/>
              </w:rPr>
              <w:t>直接转换成黑底白字，原贴是黑底白字的可以直接转换成白底黑字。</w:t>
            </w:r>
          </w:p>
        </w:tc>
        <w:tc>
          <w:tcPr>
            <w:tcW w:w="46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77" w:line="400" w:lineRule="exact"/>
              <w:ind w:firstLine="218"/>
              <w:textAlignment w:val="auto"/>
              <w:rPr>
                <w:rFonts w:ascii="微软雅黑" w:hAnsi="微软雅黑" w:eastAsia="微软雅黑" w:cs="微软雅黑"/>
                <w:sz w:val="18"/>
                <w:szCs w:val="18"/>
              </w:rPr>
            </w:pPr>
            <w:r>
              <w:rPr>
                <w:rFonts w:ascii="微软雅黑" w:hAnsi="微软雅黑" w:eastAsia="微软雅黑" w:cs="微软雅黑"/>
                <w:sz w:val="18"/>
                <w:szCs w:val="18"/>
              </w:rPr>
              <w:t>1</w:t>
            </w:r>
          </w:p>
        </w:tc>
        <w:tc>
          <w:tcPr>
            <w:tcW w:w="5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59" w:line="400" w:lineRule="exact"/>
              <w:ind w:firstLine="196"/>
              <w:textAlignment w:val="auto"/>
              <w:rPr>
                <w:rFonts w:ascii="宋体" w:hAnsi="宋体" w:eastAsia="宋体" w:cs="宋体"/>
                <w:sz w:val="18"/>
                <w:szCs w:val="18"/>
              </w:rPr>
            </w:pPr>
            <w:r>
              <w:rPr>
                <w:rFonts w:ascii="宋体" w:hAnsi="宋体" w:eastAsia="宋体" w:cs="宋体"/>
                <w:sz w:val="18"/>
                <w:szCs w:val="18"/>
              </w:rPr>
              <w:t>套</w:t>
            </w:r>
          </w:p>
        </w:tc>
        <w:tc>
          <w:tcPr>
            <w:tcW w:w="744"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tc>
        <w:tc>
          <w:tcPr>
            <w:tcW w:w="85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473" w:type="dxa"/>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77" w:line="400" w:lineRule="exact"/>
              <w:ind w:firstLine="198"/>
              <w:textAlignment w:val="auto"/>
              <w:rPr>
                <w:rFonts w:ascii="微软雅黑" w:hAnsi="微软雅黑" w:eastAsia="微软雅黑" w:cs="微软雅黑"/>
                <w:sz w:val="18"/>
                <w:szCs w:val="18"/>
              </w:rPr>
            </w:pPr>
            <w:r>
              <w:rPr>
                <w:rFonts w:ascii="微软雅黑" w:hAnsi="微软雅黑" w:eastAsia="微软雅黑" w:cs="微软雅黑"/>
                <w:sz w:val="18"/>
                <w:szCs w:val="18"/>
              </w:rPr>
              <w:t>6</w:t>
            </w:r>
          </w:p>
        </w:tc>
        <w:tc>
          <w:tcPr>
            <w:tcW w:w="891" w:type="dxa"/>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51" w:line="400" w:lineRule="exact"/>
              <w:ind w:firstLine="191"/>
              <w:textAlignment w:val="auto"/>
              <w:rPr>
                <w:rFonts w:ascii="宋体" w:hAnsi="宋体" w:eastAsia="宋体" w:cs="宋体"/>
                <w:sz w:val="18"/>
                <w:szCs w:val="18"/>
              </w:rPr>
            </w:pPr>
            <w:r>
              <w:rPr>
                <w:rFonts w:ascii="宋体" w:hAnsi="宋体" w:eastAsia="宋体" w:cs="宋体"/>
                <w:spacing w:val="-6"/>
                <w:position w:val="9"/>
                <w:sz w:val="18"/>
                <w:szCs w:val="18"/>
              </w:rPr>
              <w:t>书法教</w:t>
            </w:r>
          </w:p>
          <w:p>
            <w:pPr>
              <w:keepNext w:val="0"/>
              <w:keepLines w:val="0"/>
              <w:pageBreakBefore w:val="0"/>
              <w:widowControl w:val="0"/>
              <w:kinsoku/>
              <w:wordWrap/>
              <w:overflowPunct/>
              <w:topLinePunct w:val="0"/>
              <w:autoSpaceDE/>
              <w:autoSpaceDN/>
              <w:bidi w:val="0"/>
              <w:adjustRightInd/>
              <w:snapToGrid/>
              <w:spacing w:line="400" w:lineRule="exact"/>
              <w:ind w:firstLine="191"/>
              <w:textAlignment w:val="auto"/>
              <w:rPr>
                <w:rFonts w:ascii="宋体" w:hAnsi="宋体" w:eastAsia="宋体" w:cs="宋体"/>
                <w:sz w:val="18"/>
                <w:szCs w:val="18"/>
              </w:rPr>
            </w:pPr>
            <w:r>
              <w:rPr>
                <w:rFonts w:ascii="宋体" w:hAnsi="宋体" w:eastAsia="宋体" w:cs="宋体"/>
                <w:spacing w:val="-6"/>
                <w:sz w:val="18"/>
                <w:szCs w:val="18"/>
              </w:rPr>
              <w:t>学视频</w:t>
            </w:r>
          </w:p>
          <w:p>
            <w:pPr>
              <w:keepNext w:val="0"/>
              <w:keepLines w:val="0"/>
              <w:pageBreakBefore w:val="0"/>
              <w:widowControl w:val="0"/>
              <w:kinsoku/>
              <w:wordWrap/>
              <w:overflowPunct/>
              <w:topLinePunct w:val="0"/>
              <w:autoSpaceDE/>
              <w:autoSpaceDN/>
              <w:bidi w:val="0"/>
              <w:adjustRightInd/>
              <w:snapToGrid/>
              <w:spacing w:before="113" w:line="400" w:lineRule="exact"/>
              <w:ind w:firstLine="197"/>
              <w:textAlignment w:val="auto"/>
              <w:rPr>
                <w:rFonts w:ascii="宋体" w:hAnsi="宋体" w:eastAsia="宋体" w:cs="宋体"/>
                <w:sz w:val="18"/>
                <w:szCs w:val="18"/>
              </w:rPr>
            </w:pPr>
            <w:r>
              <w:rPr>
                <w:rFonts w:ascii="宋体" w:hAnsi="宋体" w:eastAsia="宋体" w:cs="宋体"/>
                <w:spacing w:val="-8"/>
                <w:sz w:val="18"/>
                <w:szCs w:val="18"/>
              </w:rPr>
              <w:t>资源平</w:t>
            </w:r>
          </w:p>
          <w:p>
            <w:pPr>
              <w:keepNext w:val="0"/>
              <w:keepLines w:val="0"/>
              <w:pageBreakBefore w:val="0"/>
              <w:widowControl w:val="0"/>
              <w:kinsoku/>
              <w:wordWrap/>
              <w:overflowPunct/>
              <w:topLinePunct w:val="0"/>
              <w:autoSpaceDE/>
              <w:autoSpaceDN/>
              <w:bidi w:val="0"/>
              <w:adjustRightInd/>
              <w:snapToGrid/>
              <w:spacing w:before="130" w:line="400" w:lineRule="exact"/>
              <w:ind w:firstLine="391"/>
              <w:textAlignment w:val="auto"/>
              <w:rPr>
                <w:rFonts w:ascii="宋体" w:hAnsi="宋体" w:eastAsia="宋体" w:cs="宋体"/>
                <w:sz w:val="18"/>
                <w:szCs w:val="18"/>
              </w:rPr>
            </w:pPr>
            <w:r>
              <w:rPr>
                <w:rFonts w:ascii="宋体" w:hAnsi="宋体" w:eastAsia="宋体" w:cs="宋体"/>
                <w:sz w:val="18"/>
                <w:szCs w:val="18"/>
              </w:rPr>
              <w:t>台</w:t>
            </w:r>
          </w:p>
        </w:tc>
        <w:tc>
          <w:tcPr>
            <w:tcW w:w="10108" w:type="dxa"/>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1" w:line="400" w:lineRule="exact"/>
              <w:ind w:left="115" w:firstLine="8"/>
              <w:textAlignment w:val="auto"/>
              <w:rPr>
                <w:rFonts w:ascii="宋体" w:hAnsi="宋体" w:eastAsia="宋体" w:cs="宋体"/>
                <w:sz w:val="18"/>
                <w:szCs w:val="18"/>
              </w:rPr>
            </w:pPr>
            <w:r>
              <w:rPr>
                <w:rFonts w:ascii="微软雅黑" w:hAnsi="微软雅黑" w:eastAsia="微软雅黑" w:cs="微软雅黑"/>
                <w:spacing w:val="-6"/>
                <w:sz w:val="18"/>
                <w:szCs w:val="18"/>
              </w:rPr>
              <w:t>13</w:t>
            </w:r>
            <w:r>
              <w:rPr>
                <w:rFonts w:ascii="宋体" w:hAnsi="宋体" w:eastAsia="宋体" w:cs="宋体"/>
                <w:spacing w:val="-6"/>
                <w:sz w:val="18"/>
                <w:szCs w:val="18"/>
              </w:rPr>
              <w:t>、界面具备控制、查询、播放及备课调整功能。内置和教材同步的高清毛笔书法示范讲解视频。含各年级课时的毛笔示范视频，</w:t>
            </w:r>
            <w:r>
              <w:rPr>
                <w:rFonts w:ascii="宋体" w:hAnsi="宋体" w:eastAsia="宋体" w:cs="宋体"/>
                <w:spacing w:val="-17"/>
                <w:sz w:val="18"/>
                <w:szCs w:val="18"/>
              </w:rPr>
              <w:t>每一个笔画都有教学视频。每个视频配有教学音频讲解。视频资源为国内知名书法家亲自书写，每个字的视频为高清拍摄。视频资源按照</w:t>
            </w:r>
            <w:r>
              <w:rPr>
                <w:rFonts w:ascii="宋体" w:hAnsi="宋体" w:eastAsia="宋体" w:cs="宋体"/>
                <w:sz w:val="18"/>
                <w:szCs w:val="18"/>
              </w:rPr>
              <w:t xml:space="preserve"> </w:t>
            </w:r>
            <w:r>
              <w:rPr>
                <w:rFonts w:ascii="宋体" w:hAnsi="宋体" w:eastAsia="宋体" w:cs="宋体"/>
                <w:spacing w:val="-2"/>
                <w:sz w:val="18"/>
                <w:szCs w:val="18"/>
              </w:rPr>
              <w:t>每一例字的结构、笔画、结体规律进行分类，可以一键式调取任一课时内的视频资料。</w:t>
            </w:r>
          </w:p>
          <w:p>
            <w:pPr>
              <w:keepNext w:val="0"/>
              <w:keepLines w:val="0"/>
              <w:pageBreakBefore w:val="0"/>
              <w:widowControl w:val="0"/>
              <w:kinsoku/>
              <w:wordWrap/>
              <w:overflowPunct/>
              <w:topLinePunct w:val="0"/>
              <w:autoSpaceDE/>
              <w:autoSpaceDN/>
              <w:bidi w:val="0"/>
              <w:adjustRightInd/>
              <w:snapToGrid/>
              <w:spacing w:before="76" w:line="400" w:lineRule="exact"/>
              <w:ind w:firstLine="124"/>
              <w:textAlignment w:val="auto"/>
              <w:rPr>
                <w:rFonts w:ascii="宋体" w:hAnsi="宋体" w:eastAsia="宋体" w:cs="宋体"/>
                <w:sz w:val="18"/>
                <w:szCs w:val="18"/>
              </w:rPr>
            </w:pPr>
            <w:r>
              <w:rPr>
                <w:rFonts w:ascii="微软雅黑" w:hAnsi="微软雅黑" w:eastAsia="微软雅黑" w:cs="微软雅黑"/>
                <w:spacing w:val="-6"/>
                <w:sz w:val="18"/>
                <w:szCs w:val="18"/>
              </w:rPr>
              <w:t>14</w:t>
            </w:r>
            <w:r>
              <w:rPr>
                <w:rFonts w:ascii="宋体" w:hAnsi="宋体" w:eastAsia="宋体" w:cs="宋体"/>
                <w:spacing w:val="-6"/>
                <w:sz w:val="18"/>
                <w:szCs w:val="18"/>
              </w:rPr>
              <w:t>、具备老师管理密码功能。具备任意批注功能。</w:t>
            </w:r>
          </w:p>
        </w:tc>
        <w:tc>
          <w:tcPr>
            <w:tcW w:w="467" w:type="dxa"/>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77" w:line="400" w:lineRule="exact"/>
              <w:ind w:firstLine="218"/>
              <w:textAlignment w:val="auto"/>
              <w:rPr>
                <w:rFonts w:ascii="微软雅黑" w:hAnsi="微软雅黑" w:eastAsia="微软雅黑" w:cs="微软雅黑"/>
                <w:sz w:val="18"/>
                <w:szCs w:val="18"/>
              </w:rPr>
            </w:pPr>
            <w:r>
              <w:rPr>
                <w:rFonts w:ascii="微软雅黑" w:hAnsi="微软雅黑" w:eastAsia="微软雅黑" w:cs="微软雅黑"/>
                <w:sz w:val="18"/>
                <w:szCs w:val="18"/>
              </w:rPr>
              <w:t>1</w:t>
            </w:r>
          </w:p>
        </w:tc>
        <w:tc>
          <w:tcPr>
            <w:tcW w:w="545" w:type="dxa"/>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58" w:line="400" w:lineRule="exact"/>
              <w:ind w:firstLine="196"/>
              <w:textAlignment w:val="auto"/>
              <w:rPr>
                <w:rFonts w:ascii="宋体" w:hAnsi="宋体" w:eastAsia="宋体" w:cs="宋体"/>
                <w:sz w:val="18"/>
                <w:szCs w:val="18"/>
              </w:rPr>
            </w:pPr>
            <w:r>
              <w:rPr>
                <w:rFonts w:ascii="宋体" w:hAnsi="宋体" w:eastAsia="宋体" w:cs="宋体"/>
                <w:sz w:val="18"/>
                <w:szCs w:val="18"/>
              </w:rPr>
              <w:t>套</w:t>
            </w:r>
          </w:p>
        </w:tc>
        <w:tc>
          <w:tcPr>
            <w:tcW w:w="744" w:type="dxa"/>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tc>
        <w:tc>
          <w:tcPr>
            <w:tcW w:w="856" w:type="dxa"/>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7" w:hRule="atLeast"/>
        </w:trPr>
        <w:tc>
          <w:tcPr>
            <w:tcW w:w="47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77" w:line="400" w:lineRule="exact"/>
              <w:ind w:firstLine="197"/>
              <w:textAlignment w:val="auto"/>
              <w:rPr>
                <w:rFonts w:ascii="微软雅黑" w:hAnsi="微软雅黑" w:eastAsia="微软雅黑" w:cs="微软雅黑"/>
                <w:sz w:val="18"/>
                <w:szCs w:val="18"/>
              </w:rPr>
            </w:pPr>
            <w:r>
              <w:rPr>
                <w:rFonts w:ascii="微软雅黑" w:hAnsi="微软雅黑" w:eastAsia="微软雅黑" w:cs="微软雅黑"/>
                <w:sz w:val="18"/>
                <w:szCs w:val="18"/>
              </w:rPr>
              <w:t>7</w:t>
            </w:r>
          </w:p>
        </w:tc>
        <w:tc>
          <w:tcPr>
            <w:tcW w:w="89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59" w:line="400" w:lineRule="exact"/>
              <w:ind w:firstLine="191"/>
              <w:textAlignment w:val="auto"/>
              <w:rPr>
                <w:rFonts w:ascii="宋体" w:hAnsi="宋体" w:eastAsia="宋体" w:cs="宋体"/>
                <w:sz w:val="18"/>
                <w:szCs w:val="18"/>
              </w:rPr>
            </w:pPr>
            <w:r>
              <w:rPr>
                <w:rFonts w:ascii="宋体" w:hAnsi="宋体" w:eastAsia="宋体" w:cs="宋体"/>
                <w:spacing w:val="-6"/>
                <w:sz w:val="18"/>
                <w:szCs w:val="18"/>
              </w:rPr>
              <w:t>书法字</w:t>
            </w:r>
          </w:p>
          <w:p>
            <w:pPr>
              <w:keepNext w:val="0"/>
              <w:keepLines w:val="0"/>
              <w:pageBreakBefore w:val="0"/>
              <w:widowControl w:val="0"/>
              <w:kinsoku/>
              <w:wordWrap/>
              <w:overflowPunct/>
              <w:topLinePunct w:val="0"/>
              <w:autoSpaceDE/>
              <w:autoSpaceDN/>
              <w:bidi w:val="0"/>
              <w:adjustRightInd/>
              <w:snapToGrid/>
              <w:spacing w:before="130" w:line="400" w:lineRule="exact"/>
              <w:ind w:firstLine="201"/>
              <w:textAlignment w:val="auto"/>
              <w:rPr>
                <w:rFonts w:ascii="宋体" w:hAnsi="宋体" w:eastAsia="宋体" w:cs="宋体"/>
                <w:sz w:val="18"/>
                <w:szCs w:val="18"/>
              </w:rPr>
            </w:pPr>
            <w:r>
              <w:rPr>
                <w:rFonts w:ascii="宋体" w:hAnsi="宋体" w:eastAsia="宋体" w:cs="宋体"/>
                <w:spacing w:val="-8"/>
                <w:sz w:val="18"/>
                <w:szCs w:val="18"/>
              </w:rPr>
              <w:t>帖排版</w:t>
            </w:r>
          </w:p>
          <w:p>
            <w:pPr>
              <w:keepNext w:val="0"/>
              <w:keepLines w:val="0"/>
              <w:pageBreakBefore w:val="0"/>
              <w:widowControl w:val="0"/>
              <w:kinsoku/>
              <w:wordWrap/>
              <w:overflowPunct/>
              <w:topLinePunct w:val="0"/>
              <w:autoSpaceDE/>
              <w:autoSpaceDN/>
              <w:bidi w:val="0"/>
              <w:adjustRightInd/>
              <w:snapToGrid/>
              <w:spacing w:before="132" w:line="400" w:lineRule="exact"/>
              <w:ind w:firstLine="280"/>
              <w:textAlignment w:val="auto"/>
              <w:rPr>
                <w:rFonts w:ascii="宋体" w:hAnsi="宋体" w:eastAsia="宋体" w:cs="宋体"/>
                <w:sz w:val="18"/>
                <w:szCs w:val="18"/>
              </w:rPr>
            </w:pPr>
            <w:r>
              <w:rPr>
                <w:rFonts w:ascii="宋体" w:hAnsi="宋体" w:eastAsia="宋体" w:cs="宋体"/>
                <w:spacing w:val="-5"/>
                <w:sz w:val="18"/>
                <w:szCs w:val="18"/>
              </w:rPr>
              <w:t>系统</w:t>
            </w:r>
          </w:p>
        </w:tc>
        <w:tc>
          <w:tcPr>
            <w:tcW w:w="10108" w:type="dxa"/>
            <w:vAlign w:val="top"/>
          </w:tcPr>
          <w:p>
            <w:pPr>
              <w:keepNext w:val="0"/>
              <w:keepLines w:val="0"/>
              <w:pageBreakBefore w:val="0"/>
              <w:widowControl w:val="0"/>
              <w:kinsoku/>
              <w:wordWrap/>
              <w:overflowPunct/>
              <w:topLinePunct w:val="0"/>
              <w:autoSpaceDE/>
              <w:autoSpaceDN/>
              <w:bidi w:val="0"/>
              <w:adjustRightInd/>
              <w:snapToGrid/>
              <w:spacing w:before="86" w:line="400" w:lineRule="exact"/>
              <w:ind w:firstLine="136"/>
              <w:textAlignment w:val="auto"/>
              <w:rPr>
                <w:rFonts w:ascii="宋体" w:hAnsi="宋体" w:eastAsia="宋体" w:cs="宋体"/>
                <w:sz w:val="18"/>
                <w:szCs w:val="18"/>
              </w:rPr>
            </w:pPr>
            <w:r>
              <w:rPr>
                <w:rFonts w:ascii="微软雅黑" w:hAnsi="微软雅黑" w:eastAsia="微软雅黑" w:cs="微软雅黑"/>
                <w:spacing w:val="-8"/>
                <w:sz w:val="18"/>
                <w:szCs w:val="18"/>
              </w:rPr>
              <w:t>15</w:t>
            </w:r>
            <w:r>
              <w:rPr>
                <w:rFonts w:ascii="宋体" w:hAnsi="宋体" w:eastAsia="宋体" w:cs="宋体"/>
                <w:spacing w:val="-8"/>
                <w:sz w:val="18"/>
                <w:szCs w:val="18"/>
              </w:rPr>
              <w:t>、具备</w:t>
            </w:r>
            <w:r>
              <w:rPr>
                <w:rFonts w:ascii="微软雅黑" w:hAnsi="微软雅黑" w:eastAsia="微软雅黑" w:cs="微软雅黑"/>
                <w:spacing w:val="-8"/>
                <w:sz w:val="18"/>
                <w:szCs w:val="18"/>
              </w:rPr>
              <w:t>1-500</w:t>
            </w:r>
            <w:r>
              <w:rPr>
                <w:rFonts w:ascii="宋体" w:hAnsi="宋体" w:eastAsia="宋体" w:cs="宋体"/>
                <w:spacing w:val="-8"/>
                <w:sz w:val="18"/>
                <w:szCs w:val="18"/>
              </w:rPr>
              <w:t>个字内，任意字体数量排版功能，随意设置字格大小调节字格的宽、高，具备鼠标滚轮选择模板。</w:t>
            </w:r>
          </w:p>
          <w:p>
            <w:pPr>
              <w:keepNext w:val="0"/>
              <w:keepLines w:val="0"/>
              <w:pageBreakBefore w:val="0"/>
              <w:widowControl w:val="0"/>
              <w:kinsoku/>
              <w:wordWrap/>
              <w:overflowPunct/>
              <w:topLinePunct w:val="0"/>
              <w:autoSpaceDE/>
              <w:autoSpaceDN/>
              <w:bidi w:val="0"/>
              <w:adjustRightInd/>
              <w:snapToGrid/>
              <w:spacing w:before="97" w:line="400" w:lineRule="exact"/>
              <w:ind w:left="114" w:right="27" w:firstLine="11"/>
              <w:textAlignment w:val="auto"/>
              <w:rPr>
                <w:rFonts w:ascii="宋体" w:hAnsi="宋体" w:eastAsia="宋体" w:cs="宋体"/>
                <w:sz w:val="18"/>
                <w:szCs w:val="18"/>
              </w:rPr>
            </w:pPr>
            <w:r>
              <w:rPr>
                <w:rFonts w:ascii="微软雅黑" w:hAnsi="微软雅黑" w:eastAsia="微软雅黑" w:cs="微软雅黑"/>
                <w:spacing w:val="-7"/>
                <w:sz w:val="18"/>
                <w:szCs w:val="18"/>
              </w:rPr>
              <w:t>16</w:t>
            </w:r>
            <w:r>
              <w:rPr>
                <w:rFonts w:ascii="宋体" w:hAnsi="宋体" w:eastAsia="宋体" w:cs="宋体"/>
                <w:spacing w:val="-7"/>
                <w:sz w:val="18"/>
                <w:szCs w:val="18"/>
              </w:rPr>
              <w:t>、具备拼音搜索，可同时输入多字拼音；具备多字文本搜索；具备书写字体历史记录功能。可以实时同步临摹台显示。具备字</w:t>
            </w:r>
            <w:r>
              <w:rPr>
                <w:rFonts w:ascii="宋体" w:hAnsi="宋体" w:eastAsia="宋体" w:cs="宋体"/>
                <w:spacing w:val="-8"/>
                <w:sz w:val="18"/>
                <w:szCs w:val="18"/>
              </w:rPr>
              <w:t>帖文件随意排版及混排。具备电子字帖全屏显示，通过调整排版规格控制每个字的大小和位置。至少内置篆、隶、楷、行、草五种</w:t>
            </w:r>
            <w:r>
              <w:rPr>
                <w:rFonts w:ascii="宋体" w:hAnsi="宋体" w:eastAsia="宋体" w:cs="宋体"/>
                <w:spacing w:val="-6"/>
                <w:sz w:val="18"/>
                <w:szCs w:val="18"/>
              </w:rPr>
              <w:t>软笔字体字帖文件，不少于</w:t>
            </w:r>
            <w:r>
              <w:rPr>
                <w:rFonts w:ascii="宋体" w:hAnsi="宋体" w:eastAsia="宋体" w:cs="宋体"/>
                <w:spacing w:val="-33"/>
                <w:sz w:val="18"/>
                <w:szCs w:val="18"/>
              </w:rPr>
              <w:t xml:space="preserve"> </w:t>
            </w:r>
            <w:r>
              <w:rPr>
                <w:rFonts w:ascii="微软雅黑" w:hAnsi="微软雅黑" w:eastAsia="微软雅黑" w:cs="微软雅黑"/>
                <w:spacing w:val="-6"/>
                <w:sz w:val="18"/>
                <w:szCs w:val="18"/>
              </w:rPr>
              <w:t>2</w:t>
            </w:r>
            <w:r>
              <w:rPr>
                <w:rFonts w:ascii="宋体" w:hAnsi="宋体" w:eastAsia="宋体" w:cs="宋体"/>
                <w:spacing w:val="-6"/>
                <w:sz w:val="18"/>
                <w:szCs w:val="18"/>
              </w:rPr>
              <w:t>万字以上字帖库资源。具备米字格、回字格、九宫格、田字格、大方格选项。具备字体使用的历史</w:t>
            </w:r>
            <w:r>
              <w:rPr>
                <w:rFonts w:ascii="宋体" w:hAnsi="宋体" w:eastAsia="宋体" w:cs="宋体"/>
                <w:spacing w:val="-12"/>
                <w:sz w:val="18"/>
                <w:szCs w:val="18"/>
              </w:rPr>
              <w:t>记录功能；具备老师自定义适合自己教学的排版模板功能；具备一字多体排版功能；</w:t>
            </w:r>
          </w:p>
          <w:p>
            <w:pPr>
              <w:keepNext w:val="0"/>
              <w:keepLines w:val="0"/>
              <w:pageBreakBefore w:val="0"/>
              <w:widowControl w:val="0"/>
              <w:kinsoku/>
              <w:wordWrap/>
              <w:overflowPunct/>
              <w:topLinePunct w:val="0"/>
              <w:autoSpaceDE/>
              <w:autoSpaceDN/>
              <w:bidi w:val="0"/>
              <w:adjustRightInd/>
              <w:snapToGrid/>
              <w:spacing w:before="195" w:line="400" w:lineRule="exact"/>
              <w:ind w:left="114" w:right="129" w:firstLine="9"/>
              <w:textAlignment w:val="auto"/>
              <w:rPr>
                <w:rFonts w:ascii="宋体" w:hAnsi="宋体" w:eastAsia="宋体" w:cs="宋体"/>
                <w:sz w:val="18"/>
                <w:szCs w:val="18"/>
              </w:rPr>
            </w:pPr>
            <w:r>
              <w:rPr>
                <w:rFonts w:ascii="宋体" w:hAnsi="宋体" w:eastAsia="宋体" w:cs="宋体"/>
                <w:spacing w:val="1"/>
                <w:sz w:val="18"/>
                <w:szCs w:val="18"/>
              </w:rPr>
              <w:t>▲</w:t>
            </w:r>
            <w:r>
              <w:rPr>
                <w:rFonts w:ascii="微软雅黑" w:hAnsi="微软雅黑" w:eastAsia="微软雅黑" w:cs="微软雅黑"/>
                <w:spacing w:val="1"/>
                <w:sz w:val="18"/>
                <w:szCs w:val="18"/>
              </w:rPr>
              <w:t>17</w:t>
            </w:r>
            <w:r>
              <w:rPr>
                <w:rFonts w:ascii="宋体" w:hAnsi="宋体" w:eastAsia="宋体" w:cs="宋体"/>
                <w:spacing w:val="1"/>
                <w:sz w:val="18"/>
                <w:szCs w:val="18"/>
              </w:rPr>
              <w:t>、内含每个字的笔顺动画，字体分解动画，字体笔顺分解序列图。具备在软件界面直接点播现代书法家书写的颜欧柳赵</w:t>
            </w:r>
            <w:r>
              <w:rPr>
                <w:rFonts w:ascii="宋体" w:hAnsi="宋体" w:eastAsia="宋体" w:cs="宋体"/>
                <w:spacing w:val="43"/>
                <w:sz w:val="18"/>
                <w:szCs w:val="18"/>
              </w:rPr>
              <w:t xml:space="preserve"> </w:t>
            </w:r>
            <w:r>
              <w:rPr>
                <w:rFonts w:ascii="宋体" w:hAnsi="宋体" w:eastAsia="宋体" w:cs="宋体"/>
                <w:spacing w:val="-4"/>
                <w:sz w:val="18"/>
                <w:szCs w:val="18"/>
              </w:rPr>
              <w:t>及</w:t>
            </w:r>
            <w:r>
              <w:rPr>
                <w:rFonts w:ascii="宋体" w:hAnsi="宋体" w:eastAsia="宋体" w:cs="宋体"/>
                <w:spacing w:val="16"/>
                <w:sz w:val="18"/>
                <w:szCs w:val="18"/>
              </w:rPr>
              <w:t xml:space="preserve"> </w:t>
            </w:r>
            <w:r>
              <w:rPr>
                <w:rFonts w:ascii="宋体" w:hAnsi="宋体" w:eastAsia="宋体" w:cs="宋体"/>
                <w:spacing w:val="-4"/>
                <w:sz w:val="18"/>
                <w:szCs w:val="18"/>
              </w:rPr>
              <w:t>字体中偏旁、例字的视频功能。</w:t>
            </w:r>
          </w:p>
          <w:p>
            <w:pPr>
              <w:keepNext w:val="0"/>
              <w:keepLines w:val="0"/>
              <w:pageBreakBefore w:val="0"/>
              <w:widowControl w:val="0"/>
              <w:kinsoku/>
              <w:wordWrap/>
              <w:overflowPunct/>
              <w:topLinePunct w:val="0"/>
              <w:autoSpaceDE/>
              <w:autoSpaceDN/>
              <w:bidi w:val="0"/>
              <w:adjustRightInd/>
              <w:snapToGrid/>
              <w:spacing w:before="86" w:line="400" w:lineRule="exact"/>
              <w:ind w:firstLine="119"/>
              <w:textAlignment w:val="auto"/>
              <w:rPr>
                <w:rFonts w:ascii="宋体" w:hAnsi="宋体" w:eastAsia="宋体" w:cs="宋体"/>
                <w:sz w:val="18"/>
                <w:szCs w:val="18"/>
              </w:rPr>
            </w:pPr>
            <w:r>
              <w:rPr>
                <w:rFonts w:ascii="微软雅黑" w:hAnsi="微软雅黑" w:eastAsia="微软雅黑" w:cs="微软雅黑"/>
                <w:spacing w:val="-5"/>
                <w:sz w:val="18"/>
                <w:szCs w:val="18"/>
              </w:rPr>
              <w:t>18</w:t>
            </w:r>
            <w:r>
              <w:rPr>
                <w:rFonts w:ascii="宋体" w:hAnsi="宋体" w:eastAsia="宋体" w:cs="宋体"/>
                <w:spacing w:val="-5"/>
                <w:sz w:val="18"/>
                <w:szCs w:val="18"/>
              </w:rPr>
              <w:t>、具备集字练习功能；具备一键排版六步教学法功能。</w:t>
            </w:r>
          </w:p>
        </w:tc>
        <w:tc>
          <w:tcPr>
            <w:tcW w:w="46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77" w:line="400" w:lineRule="exact"/>
              <w:ind w:firstLine="218"/>
              <w:textAlignment w:val="auto"/>
              <w:rPr>
                <w:rFonts w:ascii="微软雅黑" w:hAnsi="微软雅黑" w:eastAsia="微软雅黑" w:cs="微软雅黑"/>
                <w:sz w:val="18"/>
                <w:szCs w:val="18"/>
              </w:rPr>
            </w:pPr>
            <w:r>
              <w:rPr>
                <w:rFonts w:ascii="微软雅黑" w:hAnsi="微软雅黑" w:eastAsia="微软雅黑" w:cs="微软雅黑"/>
                <w:sz w:val="18"/>
                <w:szCs w:val="18"/>
              </w:rPr>
              <w:t>1</w:t>
            </w:r>
          </w:p>
        </w:tc>
        <w:tc>
          <w:tcPr>
            <w:tcW w:w="5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59" w:line="400" w:lineRule="exact"/>
              <w:ind w:firstLine="196"/>
              <w:textAlignment w:val="auto"/>
              <w:rPr>
                <w:rFonts w:ascii="宋体" w:hAnsi="宋体" w:eastAsia="宋体" w:cs="宋体"/>
                <w:sz w:val="18"/>
                <w:szCs w:val="18"/>
              </w:rPr>
            </w:pPr>
            <w:r>
              <w:rPr>
                <w:rFonts w:ascii="宋体" w:hAnsi="宋体" w:eastAsia="宋体" w:cs="宋体"/>
                <w:sz w:val="18"/>
                <w:szCs w:val="18"/>
              </w:rPr>
              <w:t>套</w:t>
            </w:r>
          </w:p>
        </w:tc>
        <w:tc>
          <w:tcPr>
            <w:tcW w:w="744"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tc>
        <w:tc>
          <w:tcPr>
            <w:tcW w:w="85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47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77" w:line="400" w:lineRule="exact"/>
              <w:ind w:firstLine="196"/>
              <w:textAlignment w:val="auto"/>
              <w:rPr>
                <w:rFonts w:ascii="微软雅黑" w:hAnsi="微软雅黑" w:eastAsia="微软雅黑" w:cs="微软雅黑"/>
                <w:sz w:val="18"/>
                <w:szCs w:val="18"/>
              </w:rPr>
            </w:pPr>
            <w:r>
              <w:rPr>
                <w:rFonts w:ascii="微软雅黑" w:hAnsi="微软雅黑" w:eastAsia="微软雅黑" w:cs="微软雅黑"/>
                <w:sz w:val="18"/>
                <w:szCs w:val="18"/>
              </w:rPr>
              <w:t>8</w:t>
            </w:r>
          </w:p>
        </w:tc>
        <w:tc>
          <w:tcPr>
            <w:tcW w:w="891" w:type="dxa"/>
            <w:vAlign w:val="top"/>
          </w:tcPr>
          <w:p>
            <w:pPr>
              <w:keepNext w:val="0"/>
              <w:keepLines w:val="0"/>
              <w:pageBreakBefore w:val="0"/>
              <w:widowControl w:val="0"/>
              <w:kinsoku/>
              <w:wordWrap/>
              <w:overflowPunct/>
              <w:topLinePunct w:val="0"/>
              <w:autoSpaceDE/>
              <w:autoSpaceDN/>
              <w:bidi w:val="0"/>
              <w:adjustRightInd/>
              <w:snapToGrid/>
              <w:spacing w:before="83" w:line="400" w:lineRule="exact"/>
              <w:ind w:firstLine="191"/>
              <w:textAlignment w:val="auto"/>
              <w:rPr>
                <w:rFonts w:ascii="宋体" w:hAnsi="宋体" w:eastAsia="宋体" w:cs="宋体"/>
                <w:sz w:val="18"/>
                <w:szCs w:val="18"/>
              </w:rPr>
            </w:pPr>
            <w:r>
              <w:rPr>
                <w:rFonts w:ascii="宋体" w:hAnsi="宋体" w:eastAsia="宋体" w:cs="宋体"/>
                <w:spacing w:val="-6"/>
                <w:sz w:val="18"/>
                <w:szCs w:val="18"/>
              </w:rPr>
              <w:t>书法课</w:t>
            </w:r>
          </w:p>
          <w:p>
            <w:pPr>
              <w:keepNext w:val="0"/>
              <w:keepLines w:val="0"/>
              <w:pageBreakBefore w:val="0"/>
              <w:widowControl w:val="0"/>
              <w:kinsoku/>
              <w:wordWrap/>
              <w:overflowPunct/>
              <w:topLinePunct w:val="0"/>
              <w:autoSpaceDE/>
              <w:autoSpaceDN/>
              <w:bidi w:val="0"/>
              <w:adjustRightInd/>
              <w:snapToGrid/>
              <w:spacing w:before="130" w:line="400" w:lineRule="exact"/>
              <w:ind w:firstLine="182"/>
              <w:textAlignment w:val="auto"/>
              <w:rPr>
                <w:rFonts w:ascii="宋体" w:hAnsi="宋体" w:eastAsia="宋体" w:cs="宋体"/>
                <w:sz w:val="18"/>
                <w:szCs w:val="18"/>
              </w:rPr>
            </w:pPr>
            <w:r>
              <w:rPr>
                <w:rFonts w:ascii="宋体" w:hAnsi="宋体" w:eastAsia="宋体" w:cs="宋体"/>
                <w:spacing w:val="-4"/>
                <w:sz w:val="18"/>
                <w:szCs w:val="18"/>
              </w:rPr>
              <w:t>程讲义</w:t>
            </w:r>
          </w:p>
          <w:p>
            <w:pPr>
              <w:keepNext w:val="0"/>
              <w:keepLines w:val="0"/>
              <w:pageBreakBefore w:val="0"/>
              <w:widowControl w:val="0"/>
              <w:kinsoku/>
              <w:wordWrap/>
              <w:overflowPunct/>
              <w:topLinePunct w:val="0"/>
              <w:autoSpaceDE/>
              <w:autoSpaceDN/>
              <w:bidi w:val="0"/>
              <w:adjustRightInd/>
              <w:snapToGrid/>
              <w:spacing w:before="132" w:line="400" w:lineRule="exact"/>
              <w:ind w:firstLine="280"/>
              <w:textAlignment w:val="auto"/>
              <w:rPr>
                <w:rFonts w:ascii="宋体" w:hAnsi="宋体" w:eastAsia="宋体" w:cs="宋体"/>
                <w:sz w:val="18"/>
                <w:szCs w:val="18"/>
              </w:rPr>
            </w:pPr>
            <w:r>
              <w:rPr>
                <w:rFonts w:ascii="宋体" w:hAnsi="宋体" w:eastAsia="宋体" w:cs="宋体"/>
                <w:spacing w:val="-5"/>
                <w:sz w:val="18"/>
                <w:szCs w:val="18"/>
              </w:rPr>
              <w:t>系统</w:t>
            </w:r>
          </w:p>
        </w:tc>
        <w:tc>
          <w:tcPr>
            <w:tcW w:w="10108" w:type="dxa"/>
            <w:vAlign w:val="top"/>
          </w:tcPr>
          <w:p>
            <w:pPr>
              <w:keepNext w:val="0"/>
              <w:keepLines w:val="0"/>
              <w:pageBreakBefore w:val="0"/>
              <w:widowControl w:val="0"/>
              <w:kinsoku/>
              <w:wordWrap/>
              <w:overflowPunct/>
              <w:topLinePunct w:val="0"/>
              <w:autoSpaceDE/>
              <w:autoSpaceDN/>
              <w:bidi w:val="0"/>
              <w:adjustRightInd/>
              <w:snapToGrid/>
              <w:spacing w:before="168" w:line="400" w:lineRule="exact"/>
              <w:ind w:left="114" w:right="158" w:firstLine="14"/>
              <w:textAlignment w:val="auto"/>
              <w:rPr>
                <w:rFonts w:ascii="宋体" w:hAnsi="宋体" w:eastAsia="宋体" w:cs="宋体"/>
                <w:sz w:val="18"/>
                <w:szCs w:val="18"/>
              </w:rPr>
            </w:pPr>
            <w:r>
              <w:rPr>
                <w:rFonts w:ascii="宋体" w:hAnsi="宋体" w:eastAsia="宋体" w:cs="宋体"/>
                <w:spacing w:val="-4"/>
                <w:w w:val="97"/>
                <w:sz w:val="20"/>
                <w:szCs w:val="20"/>
              </w:rPr>
              <w:t>▲</w:t>
            </w:r>
            <w:r>
              <w:rPr>
                <w:rFonts w:ascii="微软雅黑" w:hAnsi="微软雅黑" w:eastAsia="微软雅黑" w:cs="微软雅黑"/>
                <w:spacing w:val="-4"/>
                <w:w w:val="97"/>
                <w:sz w:val="20"/>
                <w:szCs w:val="20"/>
              </w:rPr>
              <w:t>19</w:t>
            </w:r>
            <w:r>
              <w:rPr>
                <w:rFonts w:ascii="宋体" w:hAnsi="宋体" w:eastAsia="宋体" w:cs="宋体"/>
                <w:spacing w:val="-4"/>
                <w:w w:val="97"/>
                <w:sz w:val="20"/>
                <w:szCs w:val="20"/>
              </w:rPr>
              <w:t>、系统全部课程≥</w:t>
            </w:r>
            <w:r>
              <w:rPr>
                <w:rFonts w:ascii="微软雅黑" w:hAnsi="微软雅黑" w:eastAsia="微软雅黑" w:cs="微软雅黑"/>
                <w:spacing w:val="-4"/>
                <w:w w:val="97"/>
                <w:sz w:val="20"/>
                <w:szCs w:val="20"/>
              </w:rPr>
              <w:t>700</w:t>
            </w:r>
            <w:r>
              <w:rPr>
                <w:rFonts w:ascii="宋体" w:hAnsi="宋体" w:eastAsia="宋体" w:cs="宋体"/>
                <w:spacing w:val="-4"/>
                <w:w w:val="97"/>
                <w:sz w:val="20"/>
                <w:szCs w:val="20"/>
              </w:rPr>
              <w:t>课时。包含</w:t>
            </w:r>
            <w:r>
              <w:rPr>
                <w:rFonts w:ascii="宋体" w:hAnsi="宋体" w:eastAsia="宋体" w:cs="宋体"/>
                <w:spacing w:val="-49"/>
                <w:sz w:val="20"/>
                <w:szCs w:val="20"/>
              </w:rPr>
              <w:t xml:space="preserve"> </w:t>
            </w:r>
            <w:r>
              <w:rPr>
                <w:rFonts w:ascii="微软雅黑" w:hAnsi="微软雅黑" w:eastAsia="微软雅黑" w:cs="微软雅黑"/>
                <w:spacing w:val="-4"/>
                <w:w w:val="97"/>
                <w:sz w:val="20"/>
                <w:szCs w:val="20"/>
              </w:rPr>
              <w:t>5</w:t>
            </w:r>
            <w:r>
              <w:rPr>
                <w:rFonts w:ascii="宋体" w:hAnsi="宋体" w:eastAsia="宋体" w:cs="宋体"/>
                <w:spacing w:val="-4"/>
                <w:w w:val="97"/>
                <w:sz w:val="20"/>
                <w:szCs w:val="20"/>
              </w:rPr>
              <w:t>套及以上基本课程，每套课程各≥</w:t>
            </w:r>
            <w:r>
              <w:rPr>
                <w:rFonts w:ascii="微软雅黑" w:hAnsi="微软雅黑" w:eastAsia="微软雅黑" w:cs="微软雅黑"/>
                <w:spacing w:val="-4"/>
                <w:w w:val="97"/>
                <w:sz w:val="20"/>
                <w:szCs w:val="20"/>
              </w:rPr>
              <w:t>128</w:t>
            </w:r>
            <w:r>
              <w:rPr>
                <w:rFonts w:ascii="宋体" w:hAnsi="宋体" w:eastAsia="宋体" w:cs="宋体"/>
                <w:spacing w:val="-4"/>
                <w:w w:val="97"/>
                <w:sz w:val="20"/>
                <w:szCs w:val="20"/>
              </w:rPr>
              <w:t>课时</w:t>
            </w:r>
            <w:r>
              <w:rPr>
                <w:rFonts w:ascii="微软雅黑" w:hAnsi="微软雅黑" w:eastAsia="微软雅黑" w:cs="微软雅黑"/>
                <w:spacing w:val="-4"/>
                <w:w w:val="97"/>
                <w:sz w:val="20"/>
                <w:szCs w:val="20"/>
              </w:rPr>
              <w:t>,</w:t>
            </w:r>
            <w:r>
              <w:rPr>
                <w:rFonts w:ascii="宋体" w:hAnsi="宋体" w:eastAsia="宋体" w:cs="宋体"/>
                <w:spacing w:val="-4"/>
                <w:w w:val="97"/>
                <w:sz w:val="20"/>
                <w:szCs w:val="20"/>
              </w:rPr>
              <w:t>具备查看范字的书写要点讲解，书写示</w:t>
            </w:r>
            <w:r>
              <w:rPr>
                <w:rFonts w:ascii="宋体" w:hAnsi="宋体" w:eastAsia="宋体" w:cs="宋体"/>
                <w:spacing w:val="-18"/>
                <w:sz w:val="20"/>
                <w:szCs w:val="20"/>
              </w:rPr>
              <w:t>范视频讲解，单钩、双钩、笔法、示意图，核心示范字的文字演变，每课时都有书法知识点讲解。包括跟教育部配套教材相匹配的</w:t>
            </w:r>
            <w:r>
              <w:rPr>
                <w:rFonts w:ascii="宋体" w:hAnsi="宋体" w:eastAsia="宋体" w:cs="宋体"/>
                <w:spacing w:val="-8"/>
                <w:sz w:val="20"/>
                <w:szCs w:val="20"/>
              </w:rPr>
              <w:t>课程≥</w:t>
            </w:r>
            <w:r>
              <w:rPr>
                <w:rFonts w:ascii="微软雅黑" w:hAnsi="微软雅黑" w:eastAsia="微软雅黑" w:cs="微软雅黑"/>
                <w:spacing w:val="-8"/>
                <w:sz w:val="20"/>
                <w:szCs w:val="20"/>
              </w:rPr>
              <w:t>128</w:t>
            </w:r>
            <w:r>
              <w:rPr>
                <w:rFonts w:ascii="宋体" w:hAnsi="宋体" w:eastAsia="宋体" w:cs="宋体"/>
                <w:spacing w:val="-8"/>
                <w:sz w:val="20"/>
                <w:szCs w:val="20"/>
              </w:rPr>
              <w:t>课时（可在教育部通过的</w:t>
            </w:r>
            <w:r>
              <w:rPr>
                <w:rFonts w:ascii="宋体" w:hAnsi="宋体" w:eastAsia="宋体" w:cs="宋体"/>
                <w:spacing w:val="-37"/>
                <w:sz w:val="20"/>
                <w:szCs w:val="20"/>
              </w:rPr>
              <w:t xml:space="preserve"> </w:t>
            </w:r>
            <w:r>
              <w:rPr>
                <w:rFonts w:ascii="微软雅黑" w:hAnsi="微软雅黑" w:eastAsia="微软雅黑" w:cs="微软雅黑"/>
                <w:spacing w:val="-8"/>
                <w:sz w:val="20"/>
                <w:szCs w:val="20"/>
              </w:rPr>
              <w:t>11</w:t>
            </w:r>
            <w:r>
              <w:rPr>
                <w:rFonts w:ascii="宋体" w:hAnsi="宋体" w:eastAsia="宋体" w:cs="宋体"/>
                <w:spacing w:val="-8"/>
                <w:sz w:val="20"/>
                <w:szCs w:val="20"/>
              </w:rPr>
              <w:t>套教材里面任选</w:t>
            </w:r>
            <w:r>
              <w:rPr>
                <w:rFonts w:ascii="宋体" w:hAnsi="宋体" w:eastAsia="宋体" w:cs="宋体"/>
                <w:spacing w:val="-38"/>
                <w:sz w:val="20"/>
                <w:szCs w:val="20"/>
              </w:rPr>
              <w:t xml:space="preserve"> </w:t>
            </w:r>
            <w:r>
              <w:rPr>
                <w:rFonts w:ascii="微软雅黑" w:hAnsi="微软雅黑" w:eastAsia="微软雅黑" w:cs="微软雅黑"/>
                <w:spacing w:val="-8"/>
                <w:sz w:val="20"/>
                <w:szCs w:val="20"/>
              </w:rPr>
              <w:t>1</w:t>
            </w:r>
            <w:r>
              <w:rPr>
                <w:rFonts w:ascii="宋体" w:hAnsi="宋体" w:eastAsia="宋体" w:cs="宋体"/>
                <w:spacing w:val="-8"/>
                <w:sz w:val="20"/>
                <w:szCs w:val="20"/>
              </w:rPr>
              <w:t>套</w:t>
            </w:r>
            <w:r>
              <w:rPr>
                <w:rFonts w:ascii="宋体" w:hAnsi="宋体" w:eastAsia="宋体" w:cs="宋体"/>
                <w:spacing w:val="-48"/>
                <w:sz w:val="20"/>
                <w:szCs w:val="20"/>
              </w:rPr>
              <w:t>）</w:t>
            </w:r>
            <w:r>
              <w:rPr>
                <w:rFonts w:ascii="宋体" w:hAnsi="宋体" w:eastAsia="宋体" w:cs="宋体"/>
                <w:spacing w:val="-30"/>
                <w:sz w:val="20"/>
                <w:szCs w:val="20"/>
              </w:rPr>
              <w:t xml:space="preserve"> </w:t>
            </w:r>
            <w:r>
              <w:rPr>
                <w:rFonts w:ascii="宋体" w:hAnsi="宋体" w:eastAsia="宋体" w:cs="宋体"/>
                <w:spacing w:val="-48"/>
                <w:sz w:val="20"/>
                <w:szCs w:val="20"/>
              </w:rPr>
              <w:t>，</w:t>
            </w:r>
            <w:r>
              <w:rPr>
                <w:rFonts w:ascii="宋体" w:hAnsi="宋体" w:eastAsia="宋体" w:cs="宋体"/>
                <w:spacing w:val="-8"/>
                <w:sz w:val="20"/>
                <w:szCs w:val="20"/>
              </w:rPr>
              <w:t>独立的软件模块，具备查看范字的书写要点讲解，书写示范</w:t>
            </w:r>
          </w:p>
        </w:tc>
        <w:tc>
          <w:tcPr>
            <w:tcW w:w="46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77" w:line="400" w:lineRule="exact"/>
              <w:ind w:firstLine="218"/>
              <w:textAlignment w:val="auto"/>
              <w:rPr>
                <w:rFonts w:ascii="微软雅黑" w:hAnsi="微软雅黑" w:eastAsia="微软雅黑" w:cs="微软雅黑"/>
                <w:sz w:val="18"/>
                <w:szCs w:val="18"/>
              </w:rPr>
            </w:pPr>
            <w:r>
              <w:rPr>
                <w:rFonts w:ascii="微软雅黑" w:hAnsi="微软雅黑" w:eastAsia="微软雅黑" w:cs="微软雅黑"/>
                <w:sz w:val="18"/>
                <w:szCs w:val="18"/>
              </w:rPr>
              <w:t>1</w:t>
            </w:r>
          </w:p>
        </w:tc>
        <w:tc>
          <w:tcPr>
            <w:tcW w:w="5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p>
            <w:pPr>
              <w:keepNext w:val="0"/>
              <w:keepLines w:val="0"/>
              <w:pageBreakBefore w:val="0"/>
              <w:widowControl w:val="0"/>
              <w:kinsoku/>
              <w:wordWrap/>
              <w:overflowPunct/>
              <w:topLinePunct w:val="0"/>
              <w:autoSpaceDE/>
              <w:autoSpaceDN/>
              <w:bidi w:val="0"/>
              <w:adjustRightInd/>
              <w:snapToGrid/>
              <w:spacing w:before="58" w:line="400" w:lineRule="exact"/>
              <w:ind w:firstLine="196"/>
              <w:textAlignment w:val="auto"/>
              <w:rPr>
                <w:rFonts w:ascii="宋体" w:hAnsi="宋体" w:eastAsia="宋体" w:cs="宋体"/>
                <w:sz w:val="18"/>
                <w:szCs w:val="18"/>
              </w:rPr>
            </w:pPr>
            <w:r>
              <w:rPr>
                <w:rFonts w:ascii="宋体" w:hAnsi="宋体" w:eastAsia="宋体" w:cs="宋体"/>
                <w:sz w:val="18"/>
                <w:szCs w:val="18"/>
              </w:rPr>
              <w:t>套</w:t>
            </w:r>
          </w:p>
        </w:tc>
        <w:tc>
          <w:tcPr>
            <w:tcW w:w="744"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tc>
        <w:tc>
          <w:tcPr>
            <w:tcW w:w="856"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sz w:val="21"/>
              </w:rPr>
            </w:pPr>
          </w:p>
        </w:tc>
      </w:tr>
    </w:tbl>
    <w:p>
      <w:pPr>
        <w:rPr>
          <w:rFonts w:ascii="Times New Roman"/>
          <w:sz w:val="21"/>
        </w:rPr>
      </w:pPr>
    </w:p>
    <w:p>
      <w:pPr>
        <w:sectPr>
          <w:headerReference r:id="rId27" w:type="default"/>
          <w:footerReference r:id="rId28" w:type="default"/>
          <w:pgSz w:w="16840" w:h="11906"/>
          <w:pgMar w:top="400" w:right="634" w:bottom="1104" w:left="1419" w:header="0" w:footer="985" w:gutter="0"/>
          <w:cols w:space="720" w:num="1"/>
        </w:sectPr>
      </w:pPr>
    </w:p>
    <w:p>
      <w:pPr>
        <w:spacing w:line="245" w:lineRule="auto"/>
        <w:rPr>
          <w:rFonts w:ascii="Times New Roman"/>
          <w:sz w:val="21"/>
        </w:rPr>
      </w:pPr>
    </w:p>
    <w:p>
      <w:pPr>
        <w:spacing w:line="245" w:lineRule="auto"/>
        <w:rPr>
          <w:rFonts w:ascii="Times New Roman"/>
          <w:sz w:val="21"/>
        </w:rPr>
      </w:pPr>
    </w:p>
    <w:p>
      <w:pPr>
        <w:spacing w:line="245" w:lineRule="auto"/>
        <w:rPr>
          <w:rFonts w:ascii="Times New Roman"/>
          <w:sz w:val="21"/>
        </w:rPr>
      </w:pPr>
    </w:p>
    <w:p>
      <w:pPr>
        <w:spacing w:line="245" w:lineRule="auto"/>
        <w:rPr>
          <w:rFonts w:ascii="Times New Roman"/>
          <w:sz w:val="21"/>
        </w:rPr>
      </w:pPr>
    </w:p>
    <w:p>
      <w:pPr>
        <w:spacing w:line="245" w:lineRule="auto"/>
        <w:rPr>
          <w:rFonts w:ascii="Times New Roman"/>
          <w:sz w:val="21"/>
        </w:rPr>
      </w:pPr>
    </w:p>
    <w:p>
      <w:pPr>
        <w:spacing w:line="245" w:lineRule="auto"/>
        <w:rPr>
          <w:rFonts w:ascii="Times New Roman"/>
          <w:sz w:val="21"/>
        </w:rPr>
      </w:pPr>
    </w:p>
    <w:p>
      <w:pPr>
        <w:spacing w:line="245" w:lineRule="auto"/>
        <w:rPr>
          <w:rFonts w:ascii="Times New Roman"/>
          <w:sz w:val="21"/>
        </w:rPr>
      </w:pPr>
    </w:p>
    <w:p>
      <w:pPr>
        <w:spacing w:line="245" w:lineRule="auto"/>
        <w:rPr>
          <w:rFonts w:ascii="Times New Roman"/>
          <w:sz w:val="21"/>
        </w:rPr>
      </w:pPr>
    </w:p>
    <w:p>
      <w:pPr>
        <w:spacing w:line="245" w:lineRule="auto"/>
        <w:rPr>
          <w:rFonts w:ascii="Times New Roman"/>
          <w:sz w:val="21"/>
        </w:rPr>
      </w:pPr>
    </w:p>
    <w:p>
      <w:pPr>
        <w:spacing w:line="245" w:lineRule="auto"/>
        <w:rPr>
          <w:rFonts w:ascii="Times New Roman"/>
          <w:sz w:val="21"/>
        </w:rPr>
      </w:pPr>
    </w:p>
    <w:p>
      <w:pPr>
        <w:spacing w:line="245" w:lineRule="auto"/>
        <w:rPr>
          <w:rFonts w:ascii="Times New Roman"/>
          <w:sz w:val="21"/>
        </w:rPr>
      </w:pPr>
    </w:p>
    <w:p>
      <w:pPr>
        <w:spacing w:line="245" w:lineRule="auto"/>
        <w:rPr>
          <w:rFonts w:ascii="Times New Roman"/>
          <w:sz w:val="21"/>
        </w:rPr>
      </w:pPr>
    </w:p>
    <w:p>
      <w:pPr>
        <w:spacing w:line="245" w:lineRule="auto"/>
        <w:rPr>
          <w:rFonts w:ascii="Times New Roman"/>
          <w:sz w:val="21"/>
        </w:rPr>
      </w:pPr>
    </w:p>
    <w:p>
      <w:pPr>
        <w:spacing w:line="245" w:lineRule="auto"/>
        <w:rPr>
          <w:rFonts w:ascii="Times New Roman"/>
          <w:sz w:val="21"/>
        </w:rPr>
      </w:pPr>
    </w:p>
    <w:p>
      <w:pPr>
        <w:spacing w:line="245" w:lineRule="auto"/>
        <w:rPr>
          <w:rFonts w:ascii="Times New Roman"/>
          <w:sz w:val="21"/>
        </w:rPr>
      </w:pPr>
    </w:p>
    <w:p>
      <w:pPr>
        <w:spacing w:line="245" w:lineRule="auto"/>
        <w:rPr>
          <w:rFonts w:ascii="Times New Roman"/>
          <w:sz w:val="21"/>
        </w:rPr>
      </w:pPr>
    </w:p>
    <w:p>
      <w:pPr>
        <w:spacing w:line="245"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before="68" w:line="411" w:lineRule="auto"/>
        <w:ind w:right="157"/>
        <w:jc w:val="both"/>
        <w:rPr>
          <w:rFonts w:hint="eastAsia" w:ascii="宋体" w:hAnsi="宋体" w:eastAsia="宋体" w:cs="宋体"/>
          <w:spacing w:val="-27"/>
          <w:sz w:val="22"/>
          <w:szCs w:val="22"/>
        </w:rPr>
        <w:sectPr>
          <w:headerReference r:id="rId29" w:type="default"/>
          <w:footerReference r:id="rId30" w:type="default"/>
          <w:pgSz w:w="16840" w:h="11906"/>
          <w:pgMar w:top="400" w:right="659" w:bottom="1105" w:left="1419" w:header="0" w:footer="989" w:gutter="0"/>
          <w:cols w:space="720" w:num="1"/>
        </w:sectPr>
      </w:pPr>
      <w:r>
        <w:rPr>
          <w:rFonts w:hint="eastAsia" w:ascii="宋体" w:hAnsi="宋体" w:eastAsia="宋体" w:cs="宋体"/>
          <w:spacing w:val="-27"/>
          <w:sz w:val="22"/>
          <w:szCs w:val="22"/>
        </w:rPr>
        <mc:AlternateContent>
          <mc:Choice Requires="wps">
            <w:drawing>
              <wp:anchor distT="0" distB="0" distL="114300" distR="114300" simplePos="0" relativeHeight="251678720" behindDoc="0" locked="0" layoutInCell="1" allowOverlap="1">
                <wp:simplePos x="0" y="0"/>
                <wp:positionH relativeFrom="column">
                  <wp:posOffset>-12700</wp:posOffset>
                </wp:positionH>
                <wp:positionV relativeFrom="paragraph">
                  <wp:posOffset>-5170805</wp:posOffset>
                </wp:positionV>
                <wp:extent cx="8972550" cy="6042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972550" cy="6042025"/>
                        </a:xfrm>
                        <a:prstGeom prst="rect">
                          <a:avLst/>
                        </a:prstGeom>
                        <a:noFill/>
                        <a:ln>
                          <a:noFill/>
                        </a:ln>
                      </wps:spPr>
                      <wps:txbx>
                        <w:txbxContent>
                          <w:p>
                            <w:pPr>
                              <w:spacing w:line="20" w:lineRule="exact"/>
                            </w:pPr>
                          </w:p>
                          <w:tbl>
                            <w:tblPr>
                              <w:tblStyle w:val="375"/>
                              <w:tblW w:w="14084"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891"/>
                              <w:gridCol w:w="10108"/>
                              <w:gridCol w:w="467"/>
                              <w:gridCol w:w="545"/>
                              <w:gridCol w:w="744"/>
                              <w:gridCol w:w="8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6" w:hRule="atLeast"/>
                              </w:trPr>
                              <w:tc>
                                <w:tcPr>
                                  <w:tcW w:w="473" w:type="dxa"/>
                                  <w:tcBorders>
                                    <w:top w:val="nil"/>
                                  </w:tcBorders>
                                  <w:vAlign w:val="top"/>
                                </w:tcPr>
                                <w:p>
                                  <w:pPr>
                                    <w:rPr>
                                      <w:rFonts w:ascii="Times New Roman"/>
                                      <w:sz w:val="21"/>
                                    </w:rPr>
                                  </w:pPr>
                                </w:p>
                              </w:tc>
                              <w:tc>
                                <w:tcPr>
                                  <w:tcW w:w="891" w:type="dxa"/>
                                  <w:tcBorders>
                                    <w:top w:val="nil"/>
                                  </w:tcBorders>
                                  <w:vAlign w:val="top"/>
                                </w:tcPr>
                                <w:p>
                                  <w:pPr>
                                    <w:spacing w:before="59" w:line="360" w:lineRule="auto"/>
                                    <w:rPr>
                                      <w:rFonts w:ascii="宋体" w:hAnsi="宋体" w:eastAsia="宋体" w:cs="宋体"/>
                                      <w:spacing w:val="-5"/>
                                      <w:sz w:val="18"/>
                                      <w:szCs w:val="18"/>
                                    </w:rPr>
                                  </w:pPr>
                                </w:p>
                              </w:tc>
                              <w:tc>
                                <w:tcPr>
                                  <w:tcW w:w="10108" w:type="dxa"/>
                                  <w:tcBorders>
                                    <w:top w:val="nil"/>
                                  </w:tcBorders>
                                  <w:vAlign w:val="top"/>
                                </w:tcPr>
                                <w:p>
                                  <w:pPr>
                                    <w:spacing w:before="59" w:line="360" w:lineRule="auto"/>
                                    <w:rPr>
                                      <w:rFonts w:ascii="宋体" w:hAnsi="宋体" w:eastAsia="宋体" w:cs="宋体"/>
                                      <w:spacing w:val="-5"/>
                                      <w:sz w:val="18"/>
                                      <w:szCs w:val="18"/>
                                    </w:rPr>
                                  </w:pPr>
                                  <w:r>
                                    <w:rPr>
                                      <w:rFonts w:ascii="宋体" w:hAnsi="宋体" w:eastAsia="宋体" w:cs="宋体"/>
                                      <w:spacing w:val="-5"/>
                                      <w:sz w:val="18"/>
                                      <w:szCs w:val="18"/>
                                    </w:rPr>
                                    <w:t>视频讲解， 单钩、双钩、笔法、示意图，核心示范字的文字演变，每课时都有书法知识点讲解。颜欧柳赵及教育部教材的配套讲义中， 具备所 有示范字可一键变换字体、字格，可变换需要讲解的字帖；</w:t>
                                  </w:r>
                                </w:p>
                                <w:p>
                                  <w:pPr>
                                    <w:spacing w:before="59" w:line="360" w:lineRule="auto"/>
                                    <w:rPr>
                                      <w:rFonts w:ascii="宋体" w:hAnsi="宋体" w:eastAsia="宋体" w:cs="宋体"/>
                                      <w:spacing w:val="-5"/>
                                      <w:sz w:val="18"/>
                                      <w:szCs w:val="18"/>
                                    </w:rPr>
                                  </w:pPr>
                                  <w:r>
                                    <w:rPr>
                                      <w:rFonts w:ascii="宋体" w:hAnsi="宋体" w:eastAsia="宋体" w:cs="宋体"/>
                                      <w:spacing w:val="-5"/>
                                      <w:sz w:val="18"/>
                                      <w:szCs w:val="18"/>
                                    </w:rPr>
                                    <w:t>20、颜欧柳赵及教育部教材的配套讲义中，具备课程临摹练习界面可一键统一变换字体、字格，可变换需要练习的字帖；</w:t>
                                  </w:r>
                                </w:p>
                                <w:p>
                                  <w:pPr>
                                    <w:spacing w:before="59" w:line="360" w:lineRule="auto"/>
                                    <w:rPr>
                                      <w:rFonts w:ascii="宋体" w:hAnsi="宋体" w:eastAsia="宋体" w:cs="宋体"/>
                                      <w:spacing w:val="-5"/>
                                      <w:sz w:val="18"/>
                                      <w:szCs w:val="18"/>
                                    </w:rPr>
                                  </w:pPr>
                                  <w:r>
                                    <w:rPr>
                                      <w:rFonts w:ascii="宋体" w:hAnsi="宋体" w:eastAsia="宋体" w:cs="宋体"/>
                                      <w:spacing w:val="-5"/>
                                      <w:sz w:val="18"/>
                                      <w:szCs w:val="18"/>
                                    </w:rPr>
                                    <w:t>21、颜欧柳赵及教育部教材的配套讲义中，每个课时均具有通过拼字游戏进行书法结构练习：教师一键推送拼字游戏到学生端临摹台，学生临摹台变为手指触控操作，拖动被拆分的字体笔画，在米字格中进行拼字，拼字完成可显示原帖，系统可自动打分和排名；</w:t>
                                  </w:r>
                                </w:p>
                              </w:tc>
                              <w:tc>
                                <w:tcPr>
                                  <w:tcW w:w="467" w:type="dxa"/>
                                  <w:tcBorders>
                                    <w:top w:val="nil"/>
                                  </w:tcBorders>
                                  <w:vAlign w:val="top"/>
                                </w:tcPr>
                                <w:p>
                                  <w:pPr>
                                    <w:rPr>
                                      <w:rFonts w:ascii="Times New Roman"/>
                                      <w:sz w:val="21"/>
                                    </w:rPr>
                                  </w:pPr>
                                </w:p>
                              </w:tc>
                              <w:tc>
                                <w:tcPr>
                                  <w:tcW w:w="545" w:type="dxa"/>
                                  <w:tcBorders>
                                    <w:top w:val="nil"/>
                                  </w:tcBorders>
                                  <w:vAlign w:val="top"/>
                                </w:tcPr>
                                <w:p>
                                  <w:pPr>
                                    <w:rPr>
                                      <w:rFonts w:ascii="Times New Roman"/>
                                      <w:sz w:val="21"/>
                                    </w:rPr>
                                  </w:pPr>
                                </w:p>
                              </w:tc>
                              <w:tc>
                                <w:tcPr>
                                  <w:tcW w:w="744" w:type="dxa"/>
                                  <w:tcBorders>
                                    <w:top w:val="nil"/>
                                  </w:tcBorders>
                                  <w:vAlign w:val="top"/>
                                </w:tcPr>
                                <w:p>
                                  <w:pPr>
                                    <w:rPr>
                                      <w:rFonts w:ascii="Times New Roman"/>
                                      <w:sz w:val="21"/>
                                    </w:rPr>
                                  </w:pPr>
                                </w:p>
                              </w:tc>
                              <w:tc>
                                <w:tcPr>
                                  <w:tcW w:w="856" w:type="dxa"/>
                                  <w:tcBorders>
                                    <w:top w:val="nil"/>
                                  </w:tcBorders>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473" w:type="dxa"/>
                                  <w:vAlign w:val="top"/>
                                </w:tcPr>
                                <w:p>
                                  <w:pPr>
                                    <w:spacing w:line="268" w:lineRule="auto"/>
                                    <w:rPr>
                                      <w:rFonts w:ascii="Times New Roman"/>
                                      <w:sz w:val="21"/>
                                    </w:rPr>
                                  </w:pPr>
                                </w:p>
                                <w:p>
                                  <w:pPr>
                                    <w:spacing w:line="269" w:lineRule="auto"/>
                                    <w:rPr>
                                      <w:rFonts w:ascii="Times New Roman"/>
                                      <w:sz w:val="21"/>
                                    </w:rPr>
                                  </w:pPr>
                                </w:p>
                                <w:p>
                                  <w:pPr>
                                    <w:spacing w:line="269" w:lineRule="auto"/>
                                    <w:rPr>
                                      <w:rFonts w:ascii="Times New Roman"/>
                                      <w:sz w:val="21"/>
                                    </w:rPr>
                                  </w:pPr>
                                </w:p>
                                <w:p>
                                  <w:pPr>
                                    <w:spacing w:before="77" w:line="180" w:lineRule="auto"/>
                                    <w:ind w:firstLine="197"/>
                                    <w:rPr>
                                      <w:rFonts w:ascii="微软雅黑" w:hAnsi="微软雅黑" w:eastAsia="微软雅黑" w:cs="微软雅黑"/>
                                      <w:sz w:val="18"/>
                                      <w:szCs w:val="18"/>
                                    </w:rPr>
                                  </w:pPr>
                                  <w:r>
                                    <w:rPr>
                                      <w:rFonts w:ascii="微软雅黑" w:hAnsi="微软雅黑" w:eastAsia="微软雅黑" w:cs="微软雅黑"/>
                                      <w:sz w:val="18"/>
                                      <w:szCs w:val="18"/>
                                    </w:rPr>
                                    <w:t>9</w:t>
                                  </w:r>
                                </w:p>
                              </w:tc>
                              <w:tc>
                                <w:tcPr>
                                  <w:tcW w:w="891" w:type="dxa"/>
                                  <w:vAlign w:val="top"/>
                                </w:tcPr>
                                <w:p>
                                  <w:pPr>
                                    <w:spacing w:before="59" w:line="360" w:lineRule="auto"/>
                                    <w:rPr>
                                      <w:rFonts w:ascii="宋体" w:hAnsi="宋体" w:eastAsia="宋体" w:cs="宋体"/>
                                      <w:spacing w:val="-5"/>
                                      <w:sz w:val="18"/>
                                      <w:szCs w:val="18"/>
                                    </w:rPr>
                                  </w:pPr>
                                </w:p>
                                <w:p>
                                  <w:pPr>
                                    <w:spacing w:before="59" w:line="360" w:lineRule="auto"/>
                                    <w:rPr>
                                      <w:rFonts w:ascii="宋体" w:hAnsi="宋体" w:eastAsia="宋体" w:cs="宋体"/>
                                      <w:spacing w:val="-5"/>
                                      <w:sz w:val="18"/>
                                      <w:szCs w:val="18"/>
                                    </w:rPr>
                                  </w:pPr>
                                  <w:r>
                                    <w:rPr>
                                      <w:rFonts w:ascii="宋体" w:hAnsi="宋体" w:eastAsia="宋体" w:cs="宋体"/>
                                      <w:spacing w:val="-5"/>
                                      <w:sz w:val="18"/>
                                      <w:szCs w:val="18"/>
                                    </w:rPr>
                                    <w:t>三笔字</w:t>
                                  </w:r>
                                </w:p>
                                <w:p>
                                  <w:pPr>
                                    <w:spacing w:before="59" w:line="360" w:lineRule="auto"/>
                                    <w:rPr>
                                      <w:rFonts w:ascii="宋体" w:hAnsi="宋体" w:eastAsia="宋体" w:cs="宋体"/>
                                      <w:spacing w:val="-5"/>
                                      <w:sz w:val="18"/>
                                      <w:szCs w:val="18"/>
                                    </w:rPr>
                                  </w:pPr>
                                  <w:r>
                                    <w:rPr>
                                      <w:rFonts w:ascii="宋体" w:hAnsi="宋体" w:eastAsia="宋体" w:cs="宋体"/>
                                      <w:spacing w:val="-5"/>
                                      <w:sz w:val="18"/>
                                      <w:szCs w:val="18"/>
                                    </w:rPr>
                                    <w:t>板书示</w:t>
                                  </w:r>
                                </w:p>
                                <w:p>
                                  <w:pPr>
                                    <w:spacing w:before="59" w:line="360" w:lineRule="auto"/>
                                    <w:rPr>
                                      <w:rFonts w:ascii="宋体" w:hAnsi="宋体" w:eastAsia="宋体" w:cs="宋体"/>
                                      <w:spacing w:val="-5"/>
                                      <w:sz w:val="18"/>
                                      <w:szCs w:val="18"/>
                                    </w:rPr>
                                  </w:pPr>
                                  <w:r>
                                    <w:rPr>
                                      <w:rFonts w:ascii="宋体" w:hAnsi="宋体" w:eastAsia="宋体" w:cs="宋体"/>
                                      <w:spacing w:val="-5"/>
                                      <w:sz w:val="18"/>
                                      <w:szCs w:val="18"/>
                                    </w:rPr>
                                    <w:t>范书写</w:t>
                                  </w:r>
                                </w:p>
                                <w:p>
                                  <w:pPr>
                                    <w:spacing w:before="59" w:line="360" w:lineRule="auto"/>
                                    <w:rPr>
                                      <w:rFonts w:ascii="宋体" w:hAnsi="宋体" w:eastAsia="宋体" w:cs="宋体"/>
                                      <w:spacing w:val="-5"/>
                                      <w:sz w:val="18"/>
                                      <w:szCs w:val="18"/>
                                    </w:rPr>
                                  </w:pPr>
                                  <w:r>
                                    <w:rPr>
                                      <w:rFonts w:ascii="宋体" w:hAnsi="宋体" w:eastAsia="宋体" w:cs="宋体"/>
                                      <w:spacing w:val="-5"/>
                                      <w:sz w:val="18"/>
                                      <w:szCs w:val="18"/>
                                    </w:rPr>
                                    <w:t>软件</w:t>
                                  </w:r>
                                </w:p>
                              </w:tc>
                              <w:tc>
                                <w:tcPr>
                                  <w:tcW w:w="10108" w:type="dxa"/>
                                  <w:vAlign w:val="top"/>
                                </w:tcPr>
                                <w:p>
                                  <w:pPr>
                                    <w:spacing w:before="59" w:line="360" w:lineRule="auto"/>
                                    <w:rPr>
                                      <w:rFonts w:ascii="宋体" w:hAnsi="宋体" w:eastAsia="宋体" w:cs="宋体"/>
                                      <w:spacing w:val="-5"/>
                                      <w:sz w:val="18"/>
                                      <w:szCs w:val="18"/>
                                    </w:rPr>
                                  </w:pPr>
                                  <w:r>
                                    <w:rPr>
                                      <w:rFonts w:ascii="宋体" w:hAnsi="宋体" w:eastAsia="宋体" w:cs="宋体"/>
                                      <w:spacing w:val="-5"/>
                                      <w:sz w:val="18"/>
                                      <w:szCs w:val="18"/>
                                    </w:rPr>
                                    <w:t>22、软件具备选用白板、黑板、宣纸和画布四种模式作为背景底纹；软件具备米字格、田字格、田回格、九宫格、方格和无格作为写字用底格；软件排版具备从一字格到十五字格共十种不同排版方式；软件具备标注和具有橡皮擦功能；具备笔锋粗细、浓度、锐利可调控；具备色板。具有全屏显示功能；具备在字体排版软件界面、视频资源库软件界面、视频直播软件界面、碑帖查询软件界面、课程讲义软件界面进行批注、点评功能；具备一键清屏功能。</w:t>
                                  </w:r>
                                </w:p>
                                <w:p>
                                  <w:pPr>
                                    <w:spacing w:before="59" w:line="360" w:lineRule="auto"/>
                                    <w:rPr>
                                      <w:rFonts w:ascii="宋体" w:hAnsi="宋体" w:eastAsia="宋体" w:cs="宋体"/>
                                      <w:spacing w:val="-5"/>
                                      <w:sz w:val="18"/>
                                      <w:szCs w:val="18"/>
                                    </w:rPr>
                                  </w:pPr>
                                  <w:r>
                                    <w:rPr>
                                      <w:rFonts w:ascii="宋体" w:hAnsi="宋体" w:eastAsia="宋体" w:cs="宋体"/>
                                      <w:spacing w:val="-5"/>
                                      <w:sz w:val="18"/>
                                      <w:szCs w:val="18"/>
                                    </w:rPr>
                                    <w:t>▲23、笔类：具备毛笔、铅笔、钢笔、艺术笔、粉笔、刀笔、水彩笔、艺术笔 1、艺术笔2、艺术笔3、艺术笔4 等≥12 种笔类的书写功能。</w:t>
                                  </w:r>
                                </w:p>
                              </w:tc>
                              <w:tc>
                                <w:tcPr>
                                  <w:tcW w:w="467" w:type="dxa"/>
                                  <w:vAlign w:val="top"/>
                                </w:tcPr>
                                <w:p>
                                  <w:pPr>
                                    <w:spacing w:line="267" w:lineRule="auto"/>
                                    <w:rPr>
                                      <w:rFonts w:ascii="Times New Roman"/>
                                      <w:sz w:val="21"/>
                                    </w:rPr>
                                  </w:pPr>
                                </w:p>
                                <w:p>
                                  <w:pPr>
                                    <w:spacing w:line="268" w:lineRule="auto"/>
                                    <w:rPr>
                                      <w:rFonts w:ascii="Times New Roman"/>
                                      <w:sz w:val="21"/>
                                    </w:rPr>
                                  </w:pPr>
                                </w:p>
                                <w:p>
                                  <w:pPr>
                                    <w:spacing w:line="268" w:lineRule="auto"/>
                                    <w:rPr>
                                      <w:rFonts w:ascii="Times New Roman"/>
                                      <w:sz w:val="21"/>
                                    </w:rPr>
                                  </w:pPr>
                                </w:p>
                                <w:p>
                                  <w:pPr>
                                    <w:spacing w:before="77" w:line="180" w:lineRule="auto"/>
                                    <w:ind w:firstLine="218"/>
                                    <w:rPr>
                                      <w:rFonts w:ascii="微软雅黑" w:hAnsi="微软雅黑" w:eastAsia="微软雅黑" w:cs="微软雅黑"/>
                                      <w:sz w:val="18"/>
                                      <w:szCs w:val="18"/>
                                    </w:rPr>
                                  </w:pPr>
                                  <w:r>
                                    <w:rPr>
                                      <w:rFonts w:ascii="微软雅黑" w:hAnsi="微软雅黑" w:eastAsia="微软雅黑" w:cs="微软雅黑"/>
                                      <w:sz w:val="18"/>
                                      <w:szCs w:val="18"/>
                                    </w:rPr>
                                    <w:t>1</w:t>
                                  </w:r>
                                </w:p>
                              </w:tc>
                              <w:tc>
                                <w:tcPr>
                                  <w:tcW w:w="545" w:type="dxa"/>
                                  <w:vAlign w:val="top"/>
                                </w:tcPr>
                                <w:p>
                                  <w:pPr>
                                    <w:spacing w:line="255" w:lineRule="auto"/>
                                    <w:rPr>
                                      <w:rFonts w:ascii="Times New Roman"/>
                                      <w:sz w:val="21"/>
                                    </w:rPr>
                                  </w:pPr>
                                </w:p>
                                <w:p>
                                  <w:pPr>
                                    <w:spacing w:line="255" w:lineRule="auto"/>
                                    <w:rPr>
                                      <w:rFonts w:ascii="Times New Roman"/>
                                      <w:sz w:val="21"/>
                                    </w:rPr>
                                  </w:pPr>
                                </w:p>
                                <w:p>
                                  <w:pPr>
                                    <w:spacing w:line="256" w:lineRule="auto"/>
                                    <w:rPr>
                                      <w:rFonts w:ascii="Times New Roman"/>
                                      <w:sz w:val="21"/>
                                    </w:rPr>
                                  </w:pPr>
                                </w:p>
                                <w:p>
                                  <w:pPr>
                                    <w:spacing w:before="58" w:line="184" w:lineRule="auto"/>
                                    <w:ind w:firstLine="196"/>
                                    <w:rPr>
                                      <w:rFonts w:ascii="宋体" w:hAnsi="宋体" w:eastAsia="宋体" w:cs="宋体"/>
                                      <w:sz w:val="18"/>
                                      <w:szCs w:val="18"/>
                                    </w:rPr>
                                  </w:pPr>
                                  <w:r>
                                    <w:rPr>
                                      <w:rFonts w:ascii="宋体" w:hAnsi="宋体" w:eastAsia="宋体" w:cs="宋体"/>
                                      <w:sz w:val="18"/>
                                      <w:szCs w:val="18"/>
                                    </w:rPr>
                                    <w:t>套</w:t>
                                  </w:r>
                                </w:p>
                              </w:tc>
                              <w:tc>
                                <w:tcPr>
                                  <w:tcW w:w="744" w:type="dxa"/>
                                  <w:vAlign w:val="top"/>
                                </w:tcPr>
                                <w:p>
                                  <w:pPr>
                                    <w:rPr>
                                      <w:rFonts w:ascii="Times New Roman"/>
                                      <w:sz w:val="21"/>
                                    </w:rPr>
                                  </w:pPr>
                                </w:p>
                              </w:tc>
                              <w:tc>
                                <w:tcPr>
                                  <w:tcW w:w="856" w:type="dxa"/>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73" w:type="dxa"/>
                                  <w:vAlign w:val="top"/>
                                </w:tcPr>
                                <w:p>
                                  <w:pPr>
                                    <w:spacing w:line="345" w:lineRule="auto"/>
                                    <w:rPr>
                                      <w:rFonts w:ascii="Times New Roman"/>
                                      <w:sz w:val="21"/>
                                    </w:rPr>
                                  </w:pPr>
                                </w:p>
                                <w:p>
                                  <w:pPr>
                                    <w:spacing w:before="77" w:line="180" w:lineRule="auto"/>
                                    <w:ind w:firstLine="163"/>
                                    <w:rPr>
                                      <w:rFonts w:ascii="微软雅黑" w:hAnsi="微软雅黑" w:eastAsia="微软雅黑" w:cs="微软雅黑"/>
                                      <w:sz w:val="18"/>
                                      <w:szCs w:val="18"/>
                                    </w:rPr>
                                  </w:pPr>
                                  <w:r>
                                    <w:rPr>
                                      <w:rFonts w:ascii="微软雅黑" w:hAnsi="微软雅黑" w:eastAsia="微软雅黑" w:cs="微软雅黑"/>
                                      <w:spacing w:val="-7"/>
                                      <w:sz w:val="18"/>
                                      <w:szCs w:val="18"/>
                                    </w:rPr>
                                    <w:t>10</w:t>
                                  </w:r>
                                </w:p>
                              </w:tc>
                              <w:tc>
                                <w:tcPr>
                                  <w:tcW w:w="891" w:type="dxa"/>
                                  <w:vAlign w:val="top"/>
                                </w:tcPr>
                                <w:p>
                                  <w:pPr>
                                    <w:spacing w:before="59" w:line="360" w:lineRule="auto"/>
                                    <w:rPr>
                                      <w:rFonts w:ascii="宋体" w:hAnsi="宋体" w:eastAsia="宋体" w:cs="宋体"/>
                                      <w:spacing w:val="-5"/>
                                      <w:sz w:val="18"/>
                                      <w:szCs w:val="18"/>
                                    </w:rPr>
                                  </w:pPr>
                                  <w:r>
                                    <w:rPr>
                                      <w:rFonts w:ascii="宋体" w:hAnsi="宋体" w:eastAsia="宋体" w:cs="宋体"/>
                                      <w:spacing w:val="-5"/>
                                      <w:sz w:val="18"/>
                                      <w:szCs w:val="18"/>
                                    </w:rPr>
                                    <w:t>中控系 统</w:t>
                                  </w:r>
                                </w:p>
                              </w:tc>
                              <w:tc>
                                <w:tcPr>
                                  <w:tcW w:w="10108" w:type="dxa"/>
                                  <w:vAlign w:val="top"/>
                                </w:tcPr>
                                <w:p>
                                  <w:pPr>
                                    <w:spacing w:before="59" w:line="360" w:lineRule="auto"/>
                                    <w:rPr>
                                      <w:rFonts w:ascii="宋体" w:hAnsi="宋体" w:eastAsia="宋体" w:cs="宋体"/>
                                      <w:spacing w:val="-5"/>
                                      <w:sz w:val="18"/>
                                      <w:szCs w:val="18"/>
                                    </w:rPr>
                                  </w:pPr>
                                  <w:r>
                                    <w:rPr>
                                      <w:rFonts w:ascii="宋体" w:hAnsi="宋体" w:eastAsia="宋体" w:cs="宋体"/>
                                      <w:spacing w:val="-5"/>
                                      <w:sz w:val="18"/>
                                      <w:szCs w:val="18"/>
                                    </w:rPr>
                                    <w:t>24、通过主机系统直接控制书法直播系统、大屏、软件等软硬件；系统平台有独立的音乐背景模块软件；控制系统硬件规格：CPU：I5及 以上；内存≥4G；硬盘≥1TB；板书专用手写屏规格：显示尺寸≥21.5 英寸（16:9）；解析度≥1920×1080；对比度≥1000:1；感应方式：电磁式；分辨率≥2000Lpi；反应速度≥200 点/秒；压感≥2048 级；压感笔 1 支。</w:t>
                                  </w:r>
                                </w:p>
                              </w:tc>
                              <w:tc>
                                <w:tcPr>
                                  <w:tcW w:w="467" w:type="dxa"/>
                                  <w:vAlign w:val="top"/>
                                </w:tcPr>
                                <w:p>
                                  <w:pPr>
                                    <w:spacing w:line="342" w:lineRule="auto"/>
                                    <w:rPr>
                                      <w:rFonts w:ascii="Times New Roman"/>
                                      <w:sz w:val="21"/>
                                    </w:rPr>
                                  </w:pPr>
                                </w:p>
                                <w:p>
                                  <w:pPr>
                                    <w:spacing w:before="77" w:line="180" w:lineRule="auto"/>
                                    <w:ind w:firstLine="218"/>
                                    <w:rPr>
                                      <w:rFonts w:ascii="微软雅黑" w:hAnsi="微软雅黑" w:eastAsia="微软雅黑" w:cs="微软雅黑"/>
                                      <w:sz w:val="18"/>
                                      <w:szCs w:val="18"/>
                                    </w:rPr>
                                  </w:pPr>
                                  <w:r>
                                    <w:rPr>
                                      <w:rFonts w:ascii="微软雅黑" w:hAnsi="微软雅黑" w:eastAsia="微软雅黑" w:cs="微软雅黑"/>
                                      <w:sz w:val="18"/>
                                      <w:szCs w:val="18"/>
                                    </w:rPr>
                                    <w:t>1</w:t>
                                  </w:r>
                                </w:p>
                              </w:tc>
                              <w:tc>
                                <w:tcPr>
                                  <w:tcW w:w="545" w:type="dxa"/>
                                  <w:vAlign w:val="top"/>
                                </w:tcPr>
                                <w:p>
                                  <w:pPr>
                                    <w:spacing w:line="302" w:lineRule="auto"/>
                                    <w:rPr>
                                      <w:rFonts w:ascii="Times New Roman"/>
                                      <w:sz w:val="21"/>
                                    </w:rPr>
                                  </w:pPr>
                                </w:p>
                                <w:p>
                                  <w:pPr>
                                    <w:spacing w:before="59" w:line="184" w:lineRule="auto"/>
                                    <w:ind w:firstLine="224"/>
                                    <w:rPr>
                                      <w:rFonts w:ascii="宋体" w:hAnsi="宋体" w:eastAsia="宋体" w:cs="宋体"/>
                                      <w:sz w:val="18"/>
                                      <w:szCs w:val="18"/>
                                    </w:rPr>
                                  </w:pPr>
                                  <w:r>
                                    <w:rPr>
                                      <w:rFonts w:ascii="宋体" w:hAnsi="宋体" w:eastAsia="宋体" w:cs="宋体"/>
                                      <w:sz w:val="18"/>
                                      <w:szCs w:val="18"/>
                                    </w:rPr>
                                    <w:t>台</w:t>
                                  </w:r>
                                </w:p>
                              </w:tc>
                              <w:tc>
                                <w:tcPr>
                                  <w:tcW w:w="744" w:type="dxa"/>
                                  <w:vAlign w:val="top"/>
                                </w:tcPr>
                                <w:p>
                                  <w:pPr>
                                    <w:rPr>
                                      <w:rFonts w:ascii="Times New Roman"/>
                                      <w:sz w:val="21"/>
                                    </w:rPr>
                                  </w:pPr>
                                </w:p>
                              </w:tc>
                              <w:tc>
                                <w:tcPr>
                                  <w:tcW w:w="856" w:type="dxa"/>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473" w:type="dxa"/>
                                  <w:vAlign w:val="top"/>
                                </w:tcPr>
                                <w:p>
                                  <w:pPr>
                                    <w:spacing w:before="268" w:line="180" w:lineRule="auto"/>
                                    <w:ind w:firstLine="163"/>
                                    <w:rPr>
                                      <w:rFonts w:ascii="微软雅黑" w:hAnsi="微软雅黑" w:eastAsia="微软雅黑" w:cs="微软雅黑"/>
                                      <w:sz w:val="18"/>
                                      <w:szCs w:val="18"/>
                                    </w:rPr>
                                  </w:pPr>
                                  <w:r>
                                    <w:rPr>
                                      <w:rFonts w:ascii="微软雅黑" w:hAnsi="微软雅黑" w:eastAsia="微软雅黑" w:cs="微软雅黑"/>
                                      <w:spacing w:val="-7"/>
                                      <w:sz w:val="18"/>
                                      <w:szCs w:val="18"/>
                                    </w:rPr>
                                    <w:t>11</w:t>
                                  </w:r>
                                </w:p>
                              </w:tc>
                              <w:tc>
                                <w:tcPr>
                                  <w:tcW w:w="891" w:type="dxa"/>
                                  <w:vAlign w:val="top"/>
                                </w:tcPr>
                                <w:p>
                                  <w:pPr>
                                    <w:spacing w:before="59" w:line="360" w:lineRule="auto"/>
                                    <w:rPr>
                                      <w:rFonts w:ascii="宋体" w:hAnsi="宋体" w:eastAsia="宋体" w:cs="宋体"/>
                                      <w:spacing w:val="-5"/>
                                      <w:sz w:val="18"/>
                                      <w:szCs w:val="18"/>
                                    </w:rPr>
                                  </w:pPr>
                                  <w:r>
                                    <w:rPr>
                                      <w:rFonts w:ascii="宋体" w:hAnsi="宋体" w:eastAsia="宋体" w:cs="宋体"/>
                                      <w:spacing w:val="-5"/>
                                      <w:sz w:val="18"/>
                                      <w:szCs w:val="18"/>
                                    </w:rPr>
                                    <w:t>3P空调</w:t>
                                  </w:r>
                                </w:p>
                              </w:tc>
                              <w:tc>
                                <w:tcPr>
                                  <w:tcW w:w="10108" w:type="dxa"/>
                                  <w:vAlign w:val="top"/>
                                </w:tcPr>
                                <w:p>
                                  <w:pPr>
                                    <w:numPr>
                                      <w:ilvl w:val="0"/>
                                      <w:numId w:val="13"/>
                                    </w:numPr>
                                    <w:spacing w:before="59" w:line="360" w:lineRule="auto"/>
                                    <w:rPr>
                                      <w:rFonts w:ascii="宋体" w:hAnsi="宋体" w:eastAsia="宋体" w:cs="宋体"/>
                                      <w:spacing w:val="-5"/>
                                      <w:sz w:val="18"/>
                                      <w:szCs w:val="18"/>
                                    </w:rPr>
                                  </w:pPr>
                                  <w:r>
                                    <w:rPr>
                                      <w:rFonts w:ascii="宋体" w:hAnsi="宋体" w:eastAsia="宋体" w:cs="宋体"/>
                                      <w:spacing w:val="-5"/>
                                      <w:sz w:val="18"/>
                                      <w:szCs w:val="18"/>
                                    </w:rPr>
                                    <w:t>制冷量≥7200W， 制热量≥8200W （不含电辅加热）；柜式、变频、二级及以上效能、遥控、冷暖电辅式空调，配安装支架及辅材。</w:t>
                                  </w:r>
                                </w:p>
                                <w:p>
                                  <w:pPr>
                                    <w:numPr>
                                      <w:ilvl w:val="0"/>
                                      <w:numId w:val="0"/>
                                    </w:numPr>
                                    <w:spacing w:before="59" w:line="360" w:lineRule="auto"/>
                                    <w:rPr>
                                      <w:rFonts w:ascii="宋体" w:hAnsi="宋体" w:eastAsia="宋体" w:cs="宋体"/>
                                      <w:spacing w:val="-5"/>
                                      <w:sz w:val="18"/>
                                      <w:szCs w:val="18"/>
                                    </w:rPr>
                                  </w:pPr>
                                  <w:r>
                                    <w:rPr>
                                      <w:rFonts w:ascii="宋体" w:hAnsi="宋体" w:eastAsia="宋体" w:cs="宋体"/>
                                      <w:b/>
                                      <w:bCs/>
                                      <w:spacing w:val="-5"/>
                                      <w:sz w:val="18"/>
                                      <w:szCs w:val="18"/>
                                    </w:rPr>
                                    <w:t>★26、应具有国家确定的认证机构出具的在有效期内的节能产品认证证书。（说明：提供证书复印件加盖公章）</w:t>
                                  </w:r>
                                </w:p>
                              </w:tc>
                              <w:tc>
                                <w:tcPr>
                                  <w:tcW w:w="467" w:type="dxa"/>
                                  <w:vAlign w:val="top"/>
                                </w:tcPr>
                                <w:p>
                                  <w:pPr>
                                    <w:spacing w:before="268" w:line="180" w:lineRule="auto"/>
                                    <w:ind w:firstLine="218"/>
                                    <w:rPr>
                                      <w:rFonts w:ascii="微软雅黑" w:hAnsi="微软雅黑" w:eastAsia="微软雅黑" w:cs="微软雅黑"/>
                                      <w:sz w:val="18"/>
                                      <w:szCs w:val="18"/>
                                    </w:rPr>
                                  </w:pPr>
                                  <w:r>
                                    <w:rPr>
                                      <w:rFonts w:ascii="微软雅黑" w:hAnsi="微软雅黑" w:eastAsia="微软雅黑" w:cs="微软雅黑"/>
                                      <w:sz w:val="18"/>
                                      <w:szCs w:val="18"/>
                                    </w:rPr>
                                    <w:t>1</w:t>
                                  </w:r>
                                </w:p>
                              </w:tc>
                              <w:tc>
                                <w:tcPr>
                                  <w:tcW w:w="545" w:type="dxa"/>
                                  <w:vAlign w:val="top"/>
                                </w:tcPr>
                                <w:p>
                                  <w:pPr>
                                    <w:spacing w:before="207" w:line="184" w:lineRule="auto"/>
                                    <w:ind w:firstLine="224"/>
                                    <w:rPr>
                                      <w:rFonts w:ascii="宋体" w:hAnsi="宋体" w:eastAsia="宋体" w:cs="宋体"/>
                                      <w:sz w:val="18"/>
                                      <w:szCs w:val="18"/>
                                    </w:rPr>
                                  </w:pPr>
                                  <w:r>
                                    <w:rPr>
                                      <w:rFonts w:ascii="宋体" w:hAnsi="宋体" w:eastAsia="宋体" w:cs="宋体"/>
                                      <w:sz w:val="18"/>
                                      <w:szCs w:val="18"/>
                                    </w:rPr>
                                    <w:t>台</w:t>
                                  </w:r>
                                </w:p>
                              </w:tc>
                              <w:tc>
                                <w:tcPr>
                                  <w:tcW w:w="744" w:type="dxa"/>
                                  <w:vAlign w:val="top"/>
                                </w:tcPr>
                                <w:p>
                                  <w:pPr>
                                    <w:rPr>
                                      <w:rFonts w:ascii="Times New Roman"/>
                                      <w:sz w:val="21"/>
                                    </w:rPr>
                                  </w:pPr>
                                </w:p>
                              </w:tc>
                              <w:tc>
                                <w:tcPr>
                                  <w:tcW w:w="856" w:type="dxa"/>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473" w:type="dxa"/>
                                  <w:vAlign w:val="top"/>
                                </w:tcPr>
                                <w:p>
                                  <w:pPr>
                                    <w:spacing w:before="269" w:line="180" w:lineRule="auto"/>
                                    <w:ind w:firstLine="163"/>
                                    <w:rPr>
                                      <w:rFonts w:ascii="微软雅黑" w:hAnsi="微软雅黑" w:eastAsia="微软雅黑" w:cs="微软雅黑"/>
                                      <w:sz w:val="18"/>
                                      <w:szCs w:val="18"/>
                                    </w:rPr>
                                  </w:pPr>
                                  <w:r>
                                    <w:rPr>
                                      <w:rFonts w:ascii="微软雅黑" w:hAnsi="微软雅黑" w:eastAsia="微软雅黑" w:cs="微软雅黑"/>
                                      <w:spacing w:val="-7"/>
                                      <w:sz w:val="18"/>
                                      <w:szCs w:val="18"/>
                                    </w:rPr>
                                    <w:t>12</w:t>
                                  </w:r>
                                </w:p>
                              </w:tc>
                              <w:tc>
                                <w:tcPr>
                                  <w:tcW w:w="891" w:type="dxa"/>
                                  <w:vAlign w:val="top"/>
                                </w:tcPr>
                                <w:p>
                                  <w:pPr>
                                    <w:spacing w:before="59" w:line="360" w:lineRule="auto"/>
                                    <w:rPr>
                                      <w:rFonts w:ascii="宋体" w:hAnsi="宋体" w:eastAsia="宋体" w:cs="宋体"/>
                                      <w:spacing w:val="-5"/>
                                      <w:sz w:val="18"/>
                                      <w:szCs w:val="18"/>
                                    </w:rPr>
                                  </w:pPr>
                                  <w:r>
                                    <w:rPr>
                                      <w:rFonts w:ascii="宋体" w:hAnsi="宋体" w:eastAsia="宋体" w:cs="宋体"/>
                                      <w:spacing w:val="-5"/>
                                      <w:sz w:val="18"/>
                                      <w:szCs w:val="18"/>
                                    </w:rPr>
                                    <w:t>中式吊灯</w:t>
                                  </w:r>
                                </w:p>
                              </w:tc>
                              <w:tc>
                                <w:tcPr>
                                  <w:tcW w:w="10108" w:type="dxa"/>
                                  <w:vAlign w:val="top"/>
                                </w:tcPr>
                                <w:p>
                                  <w:pPr>
                                    <w:spacing w:before="59" w:line="360" w:lineRule="auto"/>
                                    <w:rPr>
                                      <w:rFonts w:ascii="宋体" w:hAnsi="宋体" w:eastAsia="宋体" w:cs="宋体"/>
                                      <w:spacing w:val="-5"/>
                                      <w:sz w:val="18"/>
                                      <w:szCs w:val="18"/>
                                    </w:rPr>
                                  </w:pPr>
                                  <w:r>
                                    <w:rPr>
                                      <w:rFonts w:ascii="宋体" w:hAnsi="宋体" w:eastAsia="宋体" w:cs="宋体"/>
                                      <w:spacing w:val="-5"/>
                                      <w:sz w:val="18"/>
                                      <w:szCs w:val="18"/>
                                    </w:rPr>
                                    <w:t>27、中式仿古吊灯，直径大于等于40cm</w:t>
                                  </w:r>
                                </w:p>
                              </w:tc>
                              <w:tc>
                                <w:tcPr>
                                  <w:tcW w:w="467" w:type="dxa"/>
                                  <w:vAlign w:val="top"/>
                                </w:tcPr>
                                <w:p>
                                  <w:pPr>
                                    <w:spacing w:before="270" w:line="180" w:lineRule="auto"/>
                                    <w:ind w:firstLine="237"/>
                                    <w:rPr>
                                      <w:rFonts w:ascii="微软雅黑" w:hAnsi="微软雅黑" w:eastAsia="微软雅黑" w:cs="微软雅黑"/>
                                      <w:sz w:val="18"/>
                                      <w:szCs w:val="18"/>
                                    </w:rPr>
                                  </w:pPr>
                                  <w:r>
                                    <w:rPr>
                                      <w:rFonts w:ascii="微软雅黑" w:hAnsi="微软雅黑" w:eastAsia="微软雅黑" w:cs="微软雅黑"/>
                                      <w:sz w:val="18"/>
                                      <w:szCs w:val="18"/>
                                    </w:rPr>
                                    <w:t>8</w:t>
                                  </w:r>
                                </w:p>
                              </w:tc>
                              <w:tc>
                                <w:tcPr>
                                  <w:tcW w:w="545" w:type="dxa"/>
                                  <w:vAlign w:val="top"/>
                                </w:tcPr>
                                <w:p>
                                  <w:pPr>
                                    <w:spacing w:before="211" w:line="184" w:lineRule="auto"/>
                                    <w:ind w:firstLine="160"/>
                                    <w:rPr>
                                      <w:rFonts w:ascii="宋体" w:hAnsi="宋体" w:eastAsia="宋体" w:cs="宋体"/>
                                      <w:sz w:val="18"/>
                                      <w:szCs w:val="18"/>
                                    </w:rPr>
                                  </w:pPr>
                                  <w:r>
                                    <w:rPr>
                                      <w:rFonts w:ascii="宋体" w:hAnsi="宋体" w:eastAsia="宋体" w:cs="宋体"/>
                                      <w:sz w:val="18"/>
                                      <w:szCs w:val="18"/>
                                    </w:rPr>
                                    <w:t>盏</w:t>
                                  </w:r>
                                </w:p>
                              </w:tc>
                              <w:tc>
                                <w:tcPr>
                                  <w:tcW w:w="744" w:type="dxa"/>
                                  <w:vAlign w:val="top"/>
                                </w:tcPr>
                                <w:p>
                                  <w:pPr>
                                    <w:rPr>
                                      <w:rFonts w:ascii="Times New Roman"/>
                                      <w:sz w:val="21"/>
                                    </w:rPr>
                                  </w:pPr>
                                </w:p>
                              </w:tc>
                              <w:tc>
                                <w:tcPr>
                                  <w:tcW w:w="856" w:type="dxa"/>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73" w:type="dxa"/>
                                  <w:vAlign w:val="top"/>
                                </w:tcPr>
                                <w:p>
                                  <w:pPr>
                                    <w:spacing w:line="346" w:lineRule="auto"/>
                                    <w:rPr>
                                      <w:rFonts w:ascii="Times New Roman"/>
                                      <w:sz w:val="21"/>
                                    </w:rPr>
                                  </w:pPr>
                                </w:p>
                                <w:p>
                                  <w:pPr>
                                    <w:spacing w:before="77" w:line="180" w:lineRule="auto"/>
                                    <w:ind w:firstLine="163"/>
                                    <w:rPr>
                                      <w:rFonts w:ascii="微软雅黑" w:hAnsi="微软雅黑" w:eastAsia="微软雅黑" w:cs="微软雅黑"/>
                                      <w:sz w:val="18"/>
                                      <w:szCs w:val="18"/>
                                    </w:rPr>
                                  </w:pPr>
                                  <w:r>
                                    <w:rPr>
                                      <w:rFonts w:ascii="微软雅黑" w:hAnsi="微软雅黑" w:eastAsia="微软雅黑" w:cs="微软雅黑"/>
                                      <w:spacing w:val="-7"/>
                                      <w:sz w:val="18"/>
                                      <w:szCs w:val="18"/>
                                    </w:rPr>
                                    <w:t>13</w:t>
                                  </w:r>
                                </w:p>
                              </w:tc>
                              <w:tc>
                                <w:tcPr>
                                  <w:tcW w:w="891" w:type="dxa"/>
                                  <w:vAlign w:val="top"/>
                                </w:tcPr>
                                <w:p>
                                  <w:pPr>
                                    <w:spacing w:before="59" w:line="360" w:lineRule="auto"/>
                                    <w:rPr>
                                      <w:rFonts w:ascii="宋体" w:hAnsi="宋体" w:eastAsia="宋体" w:cs="宋体"/>
                                      <w:spacing w:val="-5"/>
                                      <w:sz w:val="18"/>
                                      <w:szCs w:val="18"/>
                                    </w:rPr>
                                  </w:pPr>
                                  <w:r>
                                    <w:rPr>
                                      <w:rFonts w:ascii="宋体" w:hAnsi="宋体" w:eastAsia="宋体" w:cs="宋体"/>
                                      <w:spacing w:val="-5"/>
                                      <w:sz w:val="18"/>
                                      <w:szCs w:val="18"/>
                                    </w:rPr>
                                    <w:t>地面实木贴脚线</w:t>
                                  </w:r>
                                </w:p>
                              </w:tc>
                              <w:tc>
                                <w:tcPr>
                                  <w:tcW w:w="10108" w:type="dxa"/>
                                  <w:vAlign w:val="top"/>
                                </w:tcPr>
                                <w:p>
                                  <w:pPr>
                                    <w:spacing w:before="59" w:line="360" w:lineRule="auto"/>
                                    <w:rPr>
                                      <w:rFonts w:ascii="宋体" w:hAnsi="宋体" w:eastAsia="宋体" w:cs="宋体"/>
                                      <w:spacing w:val="-5"/>
                                      <w:sz w:val="18"/>
                                      <w:szCs w:val="18"/>
                                    </w:rPr>
                                  </w:pPr>
                                  <w:r>
                                    <w:rPr>
                                      <w:rFonts w:ascii="宋体" w:hAnsi="宋体" w:eastAsia="宋体" w:cs="宋体"/>
                                      <w:spacing w:val="-5"/>
                                      <w:sz w:val="18"/>
                                      <w:szCs w:val="18"/>
                                    </w:rPr>
                                    <w:t>28、实木踢贴脚线≥10mmX80mm。（颜色由甲方确认）</w:t>
                                  </w:r>
                                </w:p>
                              </w:tc>
                              <w:tc>
                                <w:tcPr>
                                  <w:tcW w:w="467" w:type="dxa"/>
                                  <w:vAlign w:val="top"/>
                                </w:tcPr>
                                <w:p>
                                  <w:pPr>
                                    <w:spacing w:line="346" w:lineRule="auto"/>
                                    <w:rPr>
                                      <w:rFonts w:ascii="Times New Roman"/>
                                      <w:sz w:val="21"/>
                                    </w:rPr>
                                  </w:pPr>
                                </w:p>
                                <w:p>
                                  <w:pPr>
                                    <w:spacing w:before="77" w:line="180" w:lineRule="auto"/>
                                    <w:ind w:firstLine="198"/>
                                    <w:rPr>
                                      <w:rFonts w:ascii="微软雅黑" w:hAnsi="微软雅黑" w:eastAsia="微软雅黑" w:cs="微软雅黑"/>
                                      <w:sz w:val="18"/>
                                      <w:szCs w:val="18"/>
                                    </w:rPr>
                                  </w:pPr>
                                  <w:r>
                                    <w:rPr>
                                      <w:rFonts w:ascii="微软雅黑" w:hAnsi="微软雅黑" w:eastAsia="微软雅黑" w:cs="微软雅黑"/>
                                      <w:spacing w:val="-6"/>
                                      <w:sz w:val="18"/>
                                      <w:szCs w:val="18"/>
                                    </w:rPr>
                                    <w:t>50</w:t>
                                  </w:r>
                                </w:p>
                              </w:tc>
                              <w:tc>
                                <w:tcPr>
                                  <w:tcW w:w="545" w:type="dxa"/>
                                  <w:vAlign w:val="top"/>
                                </w:tcPr>
                                <w:p>
                                  <w:pPr>
                                    <w:spacing w:line="306" w:lineRule="auto"/>
                                    <w:rPr>
                                      <w:rFonts w:ascii="Times New Roman"/>
                                      <w:sz w:val="21"/>
                                    </w:rPr>
                                  </w:pPr>
                                </w:p>
                                <w:p>
                                  <w:pPr>
                                    <w:spacing w:before="58" w:line="184" w:lineRule="auto"/>
                                    <w:ind w:firstLine="160"/>
                                    <w:rPr>
                                      <w:rFonts w:ascii="宋体" w:hAnsi="宋体" w:eastAsia="宋体" w:cs="宋体"/>
                                      <w:sz w:val="18"/>
                                      <w:szCs w:val="18"/>
                                    </w:rPr>
                                  </w:pPr>
                                  <w:r>
                                    <w:rPr>
                                      <w:rFonts w:ascii="宋体" w:hAnsi="宋体" w:eastAsia="宋体" w:cs="宋体"/>
                                      <w:sz w:val="18"/>
                                      <w:szCs w:val="18"/>
                                    </w:rPr>
                                    <w:t>米</w:t>
                                  </w:r>
                                </w:p>
                              </w:tc>
                              <w:tc>
                                <w:tcPr>
                                  <w:tcW w:w="744" w:type="dxa"/>
                                  <w:vAlign w:val="top"/>
                                </w:tcPr>
                                <w:p>
                                  <w:pPr>
                                    <w:rPr>
                                      <w:rFonts w:ascii="Times New Roman"/>
                                      <w:sz w:val="21"/>
                                    </w:rPr>
                                  </w:pPr>
                                </w:p>
                              </w:tc>
                              <w:tc>
                                <w:tcPr>
                                  <w:tcW w:w="856" w:type="dxa"/>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473" w:type="dxa"/>
                                  <w:vAlign w:val="top"/>
                                </w:tcPr>
                                <w:p>
                                  <w:pPr>
                                    <w:spacing w:line="383" w:lineRule="auto"/>
                                    <w:rPr>
                                      <w:rFonts w:ascii="Times New Roman"/>
                                      <w:sz w:val="21"/>
                                    </w:rPr>
                                  </w:pPr>
                                </w:p>
                                <w:p>
                                  <w:pPr>
                                    <w:spacing w:before="77" w:line="180" w:lineRule="auto"/>
                                    <w:ind w:firstLine="163"/>
                                    <w:rPr>
                                      <w:rFonts w:ascii="微软雅黑" w:hAnsi="微软雅黑" w:eastAsia="微软雅黑" w:cs="微软雅黑"/>
                                      <w:sz w:val="18"/>
                                      <w:szCs w:val="18"/>
                                    </w:rPr>
                                  </w:pPr>
                                  <w:r>
                                    <w:rPr>
                                      <w:rFonts w:ascii="微软雅黑" w:hAnsi="微软雅黑" w:eastAsia="微软雅黑" w:cs="微软雅黑"/>
                                      <w:spacing w:val="-7"/>
                                      <w:sz w:val="18"/>
                                      <w:szCs w:val="18"/>
                                    </w:rPr>
                                    <w:t>14</w:t>
                                  </w:r>
                                </w:p>
                              </w:tc>
                              <w:tc>
                                <w:tcPr>
                                  <w:tcW w:w="891" w:type="dxa"/>
                                  <w:vAlign w:val="top"/>
                                </w:tcPr>
                                <w:p>
                                  <w:pPr>
                                    <w:spacing w:before="292" w:line="318" w:lineRule="auto"/>
                                    <w:ind w:right="169"/>
                                    <w:rPr>
                                      <w:rFonts w:ascii="宋体" w:hAnsi="宋体" w:eastAsia="宋体" w:cs="宋体"/>
                                      <w:sz w:val="18"/>
                                      <w:szCs w:val="18"/>
                                    </w:rPr>
                                  </w:pPr>
                                  <w:r>
                                    <w:rPr>
                                      <w:rFonts w:ascii="宋体" w:hAnsi="宋体" w:eastAsia="宋体" w:cs="宋体"/>
                                      <w:spacing w:val="-3"/>
                                      <w:sz w:val="18"/>
                                      <w:szCs w:val="18"/>
                                    </w:rPr>
                                    <w:t>墙面基</w:t>
                                  </w:r>
                                  <w:r>
                                    <w:rPr>
                                      <w:rFonts w:ascii="宋体" w:hAnsi="宋体" w:eastAsia="宋体" w:cs="宋体"/>
                                      <w:spacing w:val="1"/>
                                      <w:w w:val="101"/>
                                      <w:sz w:val="18"/>
                                      <w:szCs w:val="18"/>
                                    </w:rPr>
                                    <w:t xml:space="preserve"> </w:t>
                                  </w:r>
                                  <w:r>
                                    <w:rPr>
                                      <w:rFonts w:ascii="宋体" w:hAnsi="宋体" w:eastAsia="宋体" w:cs="宋体"/>
                                      <w:spacing w:val="-5"/>
                                      <w:sz w:val="18"/>
                                      <w:szCs w:val="18"/>
                                    </w:rPr>
                                    <w:t>层处理</w:t>
                                  </w:r>
                                </w:p>
                              </w:tc>
                              <w:tc>
                                <w:tcPr>
                                  <w:tcW w:w="10108" w:type="dxa"/>
                                  <w:vAlign w:val="top"/>
                                </w:tcPr>
                                <w:p>
                                  <w:pPr>
                                    <w:spacing w:before="26" w:line="182" w:lineRule="auto"/>
                                    <w:ind w:firstLine="7"/>
                                    <w:rPr>
                                      <w:rFonts w:ascii="微软雅黑" w:hAnsi="微软雅黑" w:eastAsia="微软雅黑" w:cs="微软雅黑"/>
                                      <w:sz w:val="18"/>
                                      <w:szCs w:val="18"/>
                                    </w:rPr>
                                  </w:pPr>
                                  <w:r>
                                    <w:rPr>
                                      <w:rFonts w:ascii="微软雅黑" w:hAnsi="微软雅黑" w:eastAsia="微软雅黑" w:cs="微软雅黑"/>
                                      <w:spacing w:val="-4"/>
                                      <w:sz w:val="18"/>
                                      <w:szCs w:val="18"/>
                                    </w:rPr>
                                    <w:t>29</w:t>
                                  </w:r>
                                  <w:r>
                                    <w:rPr>
                                      <w:rFonts w:ascii="宋体" w:hAnsi="宋体" w:eastAsia="宋体" w:cs="宋体"/>
                                      <w:spacing w:val="-4"/>
                                      <w:sz w:val="18"/>
                                      <w:szCs w:val="18"/>
                                    </w:rPr>
                                    <w:t>、施工流程：清扫基层。墙面打磨</w:t>
                                  </w:r>
                                  <w:r>
                                    <w:rPr>
                                      <w:rFonts w:ascii="微软雅黑" w:hAnsi="微软雅黑" w:eastAsia="微软雅黑" w:cs="微软雅黑"/>
                                      <w:spacing w:val="-4"/>
                                      <w:sz w:val="18"/>
                                      <w:szCs w:val="18"/>
                                    </w:rPr>
                                    <w:t>;</w:t>
                                  </w:r>
                                </w:p>
                                <w:p>
                                  <w:pPr>
                                    <w:spacing w:before="140" w:line="180" w:lineRule="auto"/>
                                    <w:ind w:firstLine="10"/>
                                    <w:rPr>
                                      <w:rFonts w:ascii="宋体" w:hAnsi="宋体" w:eastAsia="宋体" w:cs="宋体"/>
                                      <w:sz w:val="18"/>
                                      <w:szCs w:val="18"/>
                                    </w:rPr>
                                  </w:pPr>
                                  <w:r>
                                    <w:rPr>
                                      <w:rFonts w:ascii="微软雅黑" w:hAnsi="微软雅黑" w:eastAsia="微软雅黑" w:cs="微软雅黑"/>
                                      <w:spacing w:val="-7"/>
                                      <w:sz w:val="18"/>
                                      <w:szCs w:val="18"/>
                                    </w:rPr>
                                    <w:t>30</w:t>
                                  </w:r>
                                  <w:r>
                                    <w:rPr>
                                      <w:rFonts w:ascii="宋体" w:hAnsi="宋体" w:eastAsia="宋体" w:cs="宋体"/>
                                      <w:spacing w:val="-7"/>
                                      <w:sz w:val="18"/>
                                      <w:szCs w:val="18"/>
                                    </w:rPr>
                                    <w:t>、墙面有裂缝、孔洞及脱落处修复处理；</w:t>
                                  </w:r>
                                </w:p>
                                <w:p>
                                  <w:pPr>
                                    <w:spacing w:before="80" w:line="180" w:lineRule="auto"/>
                                    <w:ind w:firstLine="10"/>
                                    <w:rPr>
                                      <w:rFonts w:ascii="宋体" w:hAnsi="宋体" w:eastAsia="宋体" w:cs="宋体"/>
                                      <w:sz w:val="18"/>
                                      <w:szCs w:val="18"/>
                                    </w:rPr>
                                  </w:pPr>
                                  <w:r>
                                    <w:rPr>
                                      <w:rFonts w:ascii="微软雅黑" w:hAnsi="微软雅黑" w:eastAsia="微软雅黑" w:cs="微软雅黑"/>
                                      <w:spacing w:val="-5"/>
                                      <w:sz w:val="18"/>
                                      <w:szCs w:val="18"/>
                                    </w:rPr>
                                    <w:t>31</w:t>
                                  </w:r>
                                  <w:r>
                                    <w:rPr>
                                      <w:rFonts w:ascii="宋体" w:hAnsi="宋体" w:eastAsia="宋体" w:cs="宋体"/>
                                      <w:spacing w:val="-5"/>
                                      <w:sz w:val="18"/>
                                      <w:szCs w:val="18"/>
                                    </w:rPr>
                                    <w:t>、在施工前提前提供彩色效果图经校方确认后方可施</w:t>
                                  </w:r>
                                </w:p>
                              </w:tc>
                              <w:tc>
                                <w:tcPr>
                                  <w:tcW w:w="467" w:type="dxa"/>
                                  <w:vAlign w:val="top"/>
                                </w:tcPr>
                                <w:p>
                                  <w:pPr>
                                    <w:spacing w:line="383" w:lineRule="auto"/>
                                    <w:rPr>
                                      <w:rFonts w:ascii="Times New Roman"/>
                                      <w:sz w:val="21"/>
                                    </w:rPr>
                                  </w:pPr>
                                </w:p>
                                <w:p>
                                  <w:pPr>
                                    <w:spacing w:before="78" w:line="180" w:lineRule="auto"/>
                                    <w:ind w:firstLine="154"/>
                                    <w:rPr>
                                      <w:rFonts w:ascii="微软雅黑" w:hAnsi="微软雅黑" w:eastAsia="微软雅黑" w:cs="微软雅黑"/>
                                      <w:sz w:val="18"/>
                                      <w:szCs w:val="18"/>
                                    </w:rPr>
                                  </w:pPr>
                                  <w:r>
                                    <w:rPr>
                                      <w:rFonts w:ascii="微软雅黑" w:hAnsi="微软雅黑" w:eastAsia="微软雅黑" w:cs="微软雅黑"/>
                                      <w:spacing w:val="-8"/>
                                      <w:sz w:val="18"/>
                                      <w:szCs w:val="18"/>
                                    </w:rPr>
                                    <w:t>140</w:t>
                                  </w:r>
                                </w:p>
                              </w:tc>
                              <w:tc>
                                <w:tcPr>
                                  <w:tcW w:w="545" w:type="dxa"/>
                                  <w:textDirection w:val="tbRlV"/>
                                  <w:vAlign w:val="top"/>
                                </w:tcPr>
                                <w:p>
                                  <w:pPr>
                                    <w:spacing w:before="111" w:line="180" w:lineRule="auto"/>
                                    <w:ind w:firstLine="265"/>
                                    <w:rPr>
                                      <w:rFonts w:ascii="宋体" w:hAnsi="宋体" w:eastAsia="宋体" w:cs="宋体"/>
                                      <w:sz w:val="18"/>
                                      <w:szCs w:val="18"/>
                                    </w:rPr>
                                  </w:pPr>
                                  <w:r>
                                    <w:rPr>
                                      <w:rFonts w:ascii="宋体" w:hAnsi="宋体" w:eastAsia="宋体" w:cs="宋体"/>
                                      <w:sz w:val="18"/>
                                      <w:szCs w:val="18"/>
                                    </w:rPr>
                                    <w:t>平</w:t>
                                  </w:r>
                                </w:p>
                              </w:tc>
                              <w:tc>
                                <w:tcPr>
                                  <w:tcW w:w="744" w:type="dxa"/>
                                  <w:vAlign w:val="top"/>
                                </w:tcPr>
                                <w:p>
                                  <w:pPr>
                                    <w:rPr>
                                      <w:rFonts w:ascii="Times New Roman"/>
                                      <w:sz w:val="21"/>
                                    </w:rPr>
                                  </w:pPr>
                                </w:p>
                              </w:tc>
                              <w:tc>
                                <w:tcPr>
                                  <w:tcW w:w="856" w:type="dxa"/>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473" w:type="dxa"/>
                                  <w:vAlign w:val="top"/>
                                </w:tcPr>
                                <w:p>
                                  <w:pPr>
                                    <w:spacing w:before="116" w:line="160" w:lineRule="auto"/>
                                    <w:ind w:firstLine="163"/>
                                    <w:rPr>
                                      <w:rFonts w:ascii="微软雅黑" w:hAnsi="微软雅黑" w:eastAsia="微软雅黑" w:cs="微软雅黑"/>
                                      <w:sz w:val="18"/>
                                      <w:szCs w:val="18"/>
                                    </w:rPr>
                                  </w:pPr>
                                  <w:r>
                                    <w:rPr>
                                      <w:rFonts w:ascii="微软雅黑" w:hAnsi="微软雅黑" w:eastAsia="微软雅黑" w:cs="微软雅黑"/>
                                      <w:spacing w:val="-7"/>
                                      <w:sz w:val="18"/>
                                      <w:szCs w:val="18"/>
                                    </w:rPr>
                                    <w:t>15</w:t>
                                  </w:r>
                                </w:p>
                              </w:tc>
                              <w:tc>
                                <w:tcPr>
                                  <w:tcW w:w="891" w:type="dxa"/>
                                  <w:vAlign w:val="top"/>
                                </w:tcPr>
                                <w:p>
                                  <w:pPr>
                                    <w:spacing w:before="59" w:line="360" w:lineRule="auto"/>
                                    <w:rPr>
                                      <w:rFonts w:ascii="宋体" w:hAnsi="宋体" w:eastAsia="宋体" w:cs="宋体"/>
                                      <w:sz w:val="18"/>
                                      <w:szCs w:val="18"/>
                                    </w:rPr>
                                  </w:pPr>
                                  <w:r>
                                    <w:rPr>
                                      <w:rFonts w:ascii="宋体" w:hAnsi="宋体" w:eastAsia="宋体" w:cs="宋体"/>
                                      <w:spacing w:val="-5"/>
                                      <w:sz w:val="18"/>
                                      <w:szCs w:val="18"/>
                                    </w:rPr>
                                    <w:t>石膏板</w:t>
                                  </w:r>
                                  <w:r>
                                    <w:rPr>
                                      <w:rFonts w:hint="eastAsia" w:ascii="宋体" w:hAnsi="宋体" w:eastAsia="宋体" w:cs="宋体"/>
                                      <w:spacing w:val="-27"/>
                                      <w:sz w:val="22"/>
                                      <w:szCs w:val="22"/>
                                    </w:rPr>
                                    <w:t>造型</w:t>
                                  </w:r>
                                </w:p>
                              </w:tc>
                              <w:tc>
                                <w:tcPr>
                                  <w:tcW w:w="10108" w:type="dxa"/>
                                  <w:vAlign w:val="top"/>
                                </w:tcPr>
                                <w:p>
                                  <w:pPr>
                                    <w:spacing w:before="28" w:line="360" w:lineRule="auto"/>
                                    <w:ind w:firstLine="10"/>
                                    <w:rPr>
                                      <w:rFonts w:ascii="宋体" w:hAnsi="宋体" w:eastAsia="宋体" w:cs="宋体"/>
                                      <w:sz w:val="18"/>
                                      <w:szCs w:val="18"/>
                                    </w:rPr>
                                  </w:pPr>
                                  <w:r>
                                    <w:rPr>
                                      <w:rFonts w:ascii="微软雅黑" w:hAnsi="微软雅黑" w:eastAsia="微软雅黑" w:cs="微软雅黑"/>
                                      <w:spacing w:val="-3"/>
                                      <w:sz w:val="18"/>
                                      <w:szCs w:val="18"/>
                                    </w:rPr>
                                    <w:t>32</w:t>
                                  </w:r>
                                  <w:r>
                                    <w:rPr>
                                      <w:rFonts w:ascii="宋体" w:hAnsi="宋体" w:eastAsia="宋体" w:cs="宋体"/>
                                      <w:spacing w:val="-3"/>
                                      <w:sz w:val="18"/>
                                      <w:szCs w:val="18"/>
                                    </w:rPr>
                                    <w:t>、采用≥</w:t>
                                  </w:r>
                                  <w:r>
                                    <w:rPr>
                                      <w:rFonts w:ascii="微软雅黑" w:hAnsi="微软雅黑" w:eastAsia="微软雅黑" w:cs="微软雅黑"/>
                                      <w:spacing w:val="-3"/>
                                      <w:sz w:val="18"/>
                                      <w:szCs w:val="18"/>
                                    </w:rPr>
                                    <w:t>15mm</w:t>
                                  </w:r>
                                  <w:r>
                                    <w:rPr>
                                      <w:rFonts w:ascii="微软雅黑" w:hAnsi="微软雅黑" w:eastAsia="微软雅黑" w:cs="微软雅黑"/>
                                      <w:spacing w:val="6"/>
                                      <w:sz w:val="18"/>
                                      <w:szCs w:val="18"/>
                                    </w:rPr>
                                    <w:t xml:space="preserve"> </w:t>
                                  </w:r>
                                  <w:r>
                                    <w:rPr>
                                      <w:rFonts w:ascii="宋体" w:hAnsi="宋体" w:eastAsia="宋体" w:cs="宋体"/>
                                      <w:spacing w:val="-3"/>
                                      <w:sz w:val="18"/>
                                      <w:szCs w:val="18"/>
                                    </w:rPr>
                                    <w:t>阻燃板</w:t>
                                  </w:r>
                                  <w:r>
                                    <w:rPr>
                                      <w:rFonts w:ascii="微软雅黑" w:hAnsi="微软雅黑" w:eastAsia="微软雅黑" w:cs="微软雅黑"/>
                                      <w:spacing w:val="-3"/>
                                      <w:sz w:val="18"/>
                                      <w:szCs w:val="18"/>
                                    </w:rPr>
                                    <w:t>+9.5</w:t>
                                  </w:r>
                                  <w:r>
                                    <w:rPr>
                                      <w:rFonts w:ascii="微软雅黑" w:hAnsi="微软雅黑" w:eastAsia="微软雅黑" w:cs="微软雅黑"/>
                                      <w:spacing w:val="1"/>
                                      <w:sz w:val="18"/>
                                      <w:szCs w:val="18"/>
                                    </w:rPr>
                                    <w:t xml:space="preserve"> </w:t>
                                  </w:r>
                                  <w:r>
                                    <w:rPr>
                                      <w:rFonts w:ascii="宋体" w:hAnsi="宋体" w:eastAsia="宋体" w:cs="宋体"/>
                                      <w:spacing w:val="-3"/>
                                      <w:sz w:val="18"/>
                                      <w:szCs w:val="18"/>
                                    </w:rPr>
                                    <w:t>厚纸面石膏板</w:t>
                                  </w:r>
                                  <w:r>
                                    <w:rPr>
                                      <w:rFonts w:ascii="微软雅黑" w:hAnsi="微软雅黑" w:eastAsia="微软雅黑" w:cs="微软雅黑"/>
                                      <w:spacing w:val="-3"/>
                                      <w:sz w:val="18"/>
                                      <w:szCs w:val="18"/>
                                    </w:rPr>
                                    <w:t>+38</w:t>
                                  </w:r>
                                  <w:r>
                                    <w:rPr>
                                      <w:rFonts w:ascii="宋体" w:hAnsi="宋体" w:eastAsia="宋体" w:cs="宋体"/>
                                      <w:spacing w:val="-3"/>
                                      <w:sz w:val="18"/>
                                      <w:szCs w:val="18"/>
                                    </w:rPr>
                                    <w:t>轻钢龙骨轻钢龙骨造型。所用材料达到</w:t>
                                  </w:r>
                                  <w:r>
                                    <w:rPr>
                                      <w:rFonts w:ascii="微软雅黑" w:hAnsi="微软雅黑" w:eastAsia="微软雅黑" w:cs="微软雅黑"/>
                                      <w:spacing w:val="-3"/>
                                      <w:sz w:val="18"/>
                                      <w:szCs w:val="18"/>
                                    </w:rPr>
                                    <w:t>A</w:t>
                                  </w:r>
                                  <w:r>
                                    <w:rPr>
                                      <w:rFonts w:ascii="微软雅黑" w:hAnsi="微软雅黑" w:eastAsia="微软雅黑" w:cs="微软雅黑"/>
                                      <w:spacing w:val="1"/>
                                      <w:sz w:val="18"/>
                                      <w:szCs w:val="18"/>
                                    </w:rPr>
                                    <w:t xml:space="preserve"> </w:t>
                                  </w:r>
                                  <w:r>
                                    <w:rPr>
                                      <w:rFonts w:ascii="宋体" w:hAnsi="宋体" w:eastAsia="宋体" w:cs="宋体"/>
                                      <w:spacing w:val="-3"/>
                                      <w:sz w:val="18"/>
                                      <w:szCs w:val="18"/>
                                    </w:rPr>
                                    <w:t>级环保标准。在施工前顶面施工设</w:t>
                                  </w:r>
                                  <w:r>
                                    <w:rPr>
                                      <w:rFonts w:hint="eastAsia" w:ascii="宋体" w:hAnsi="宋体" w:eastAsia="宋体" w:cs="宋体"/>
                                      <w:spacing w:val="-3"/>
                                      <w:sz w:val="18"/>
                                      <w:szCs w:val="18"/>
                                    </w:rPr>
                                    <w:t>计方案、及整体效果方案设计，需要根据学校的要求以及学校自有特色元素。在施工前提前提供彩色效果图经校方确认后方可施 工。</w:t>
                                  </w:r>
                                </w:p>
                              </w:tc>
                              <w:tc>
                                <w:tcPr>
                                  <w:tcW w:w="467" w:type="dxa"/>
                                  <w:vAlign w:val="top"/>
                                </w:tcPr>
                                <w:p>
                                  <w:pPr>
                                    <w:spacing w:before="116" w:line="160" w:lineRule="auto"/>
                                    <w:ind w:firstLine="154"/>
                                    <w:rPr>
                                      <w:rFonts w:ascii="微软雅黑" w:hAnsi="微软雅黑" w:eastAsia="微软雅黑" w:cs="微软雅黑"/>
                                      <w:sz w:val="18"/>
                                      <w:szCs w:val="18"/>
                                    </w:rPr>
                                  </w:pPr>
                                  <w:r>
                                    <w:rPr>
                                      <w:rFonts w:ascii="微软雅黑" w:hAnsi="微软雅黑" w:eastAsia="微软雅黑" w:cs="微软雅黑"/>
                                      <w:spacing w:val="-8"/>
                                      <w:sz w:val="18"/>
                                      <w:szCs w:val="18"/>
                                    </w:rPr>
                                    <w:t>140</w:t>
                                  </w:r>
                                </w:p>
                              </w:tc>
                              <w:tc>
                                <w:tcPr>
                                  <w:tcW w:w="545" w:type="dxa"/>
                                  <w:vAlign w:val="top"/>
                                </w:tcPr>
                                <w:p>
                                  <w:pPr>
                                    <w:spacing w:before="59" w:line="184" w:lineRule="auto"/>
                                    <w:ind w:firstLine="159"/>
                                    <w:rPr>
                                      <w:rFonts w:ascii="宋体" w:hAnsi="宋体" w:eastAsia="宋体" w:cs="宋体"/>
                                      <w:sz w:val="18"/>
                                      <w:szCs w:val="18"/>
                                    </w:rPr>
                                  </w:pPr>
                                  <w:r>
                                    <w:rPr>
                                      <w:rFonts w:ascii="宋体" w:hAnsi="宋体" w:eastAsia="宋体" w:cs="宋体"/>
                                      <w:sz w:val="18"/>
                                      <w:szCs w:val="18"/>
                                    </w:rPr>
                                    <w:t>平</w:t>
                                  </w:r>
                                  <w:r>
                                    <w:rPr>
                                      <w:rFonts w:hint="eastAsia" w:ascii="宋体" w:hAnsi="宋体" w:eastAsia="宋体" w:cs="宋体"/>
                                      <w:spacing w:val="-27"/>
                                      <w:sz w:val="22"/>
                                      <w:szCs w:val="22"/>
                                    </w:rPr>
                                    <w:t>米</w:t>
                                  </w:r>
                                </w:p>
                              </w:tc>
                              <w:tc>
                                <w:tcPr>
                                  <w:tcW w:w="744" w:type="dxa"/>
                                  <w:vAlign w:val="top"/>
                                </w:tcPr>
                                <w:p>
                                  <w:pPr>
                                    <w:rPr>
                                      <w:rFonts w:ascii="Times New Roman"/>
                                      <w:sz w:val="21"/>
                                    </w:rPr>
                                  </w:pPr>
                                </w:p>
                              </w:tc>
                              <w:tc>
                                <w:tcPr>
                                  <w:tcW w:w="856" w:type="dxa"/>
                                  <w:vAlign w:val="top"/>
                                </w:tcPr>
                                <w:p>
                                  <w:pPr>
                                    <w:rPr>
                                      <w:rFonts w:ascii="Times New Roman"/>
                                      <w:sz w:val="21"/>
                                    </w:rPr>
                                  </w:pPr>
                                </w:p>
                              </w:tc>
                            </w:tr>
                          </w:tbl>
                          <w:p>
                            <w:pPr>
                              <w:spacing w:line="241" w:lineRule="exact"/>
                              <w:rPr>
                                <w:rFonts w:ascii="Times New Roman"/>
                                <w:sz w:val="21"/>
                              </w:rPr>
                            </w:pPr>
                          </w:p>
                        </w:txbxContent>
                      </wps:txbx>
                      <wps:bodyPr lIns="0" tIns="0" rIns="0" bIns="0" upright="1"/>
                    </wps:wsp>
                  </a:graphicData>
                </a:graphic>
              </wp:anchor>
            </w:drawing>
          </mc:Choice>
          <mc:Fallback>
            <w:pict>
              <v:shape id="_x0000_s1026" o:spid="_x0000_s1026" o:spt="202" type="#_x0000_t202" style="position:absolute;left:0pt;margin-left:-1pt;margin-top:-407.15pt;height:475.75pt;width:706.5pt;z-index:251678720;mso-width-relative:page;mso-height-relative:page;" filled="f" stroked="f" coordsize="21600,21600" o:gfxdata="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xDv6A2gAAAAwBAAAPAAAAAAAAAAEAIAAAACIAAABkcnMvZG93bnJldi54bWxQ&#10;SwECFAAUAAAACACHTuJAJGjqLLwBAABzAwAADgAAAAAAAAABACAAAAApAQAAZHJzL2Uyb0RvYy54&#10;bWxQSwUGAAAAAAYABgBZAQAAVwUAAAAA&#10;">
                <v:fill on="f" focussize="0,0"/>
                <v:stroke on="f"/>
                <v:imagedata o:title=""/>
                <o:lock v:ext="edit" aspectratio="f"/>
                <v:textbox inset="0mm,0mm,0mm,0mm">
                  <w:txbxContent>
                    <w:p>
                      <w:pPr>
                        <w:spacing w:line="20" w:lineRule="exact"/>
                      </w:pPr>
                    </w:p>
                    <w:tbl>
                      <w:tblPr>
                        <w:tblStyle w:val="375"/>
                        <w:tblW w:w="14084"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891"/>
                        <w:gridCol w:w="10108"/>
                        <w:gridCol w:w="467"/>
                        <w:gridCol w:w="545"/>
                        <w:gridCol w:w="744"/>
                        <w:gridCol w:w="8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6" w:hRule="atLeast"/>
                        </w:trPr>
                        <w:tc>
                          <w:tcPr>
                            <w:tcW w:w="473" w:type="dxa"/>
                            <w:tcBorders>
                              <w:top w:val="nil"/>
                            </w:tcBorders>
                            <w:vAlign w:val="top"/>
                          </w:tcPr>
                          <w:p>
                            <w:pPr>
                              <w:rPr>
                                <w:rFonts w:ascii="Times New Roman"/>
                                <w:sz w:val="21"/>
                              </w:rPr>
                            </w:pPr>
                          </w:p>
                        </w:tc>
                        <w:tc>
                          <w:tcPr>
                            <w:tcW w:w="891" w:type="dxa"/>
                            <w:tcBorders>
                              <w:top w:val="nil"/>
                            </w:tcBorders>
                            <w:vAlign w:val="top"/>
                          </w:tcPr>
                          <w:p>
                            <w:pPr>
                              <w:spacing w:before="59" w:line="360" w:lineRule="auto"/>
                              <w:rPr>
                                <w:rFonts w:ascii="宋体" w:hAnsi="宋体" w:eastAsia="宋体" w:cs="宋体"/>
                                <w:spacing w:val="-5"/>
                                <w:sz w:val="18"/>
                                <w:szCs w:val="18"/>
                              </w:rPr>
                            </w:pPr>
                          </w:p>
                        </w:tc>
                        <w:tc>
                          <w:tcPr>
                            <w:tcW w:w="10108" w:type="dxa"/>
                            <w:tcBorders>
                              <w:top w:val="nil"/>
                            </w:tcBorders>
                            <w:vAlign w:val="top"/>
                          </w:tcPr>
                          <w:p>
                            <w:pPr>
                              <w:spacing w:before="59" w:line="360" w:lineRule="auto"/>
                              <w:rPr>
                                <w:rFonts w:ascii="宋体" w:hAnsi="宋体" w:eastAsia="宋体" w:cs="宋体"/>
                                <w:spacing w:val="-5"/>
                                <w:sz w:val="18"/>
                                <w:szCs w:val="18"/>
                              </w:rPr>
                            </w:pPr>
                            <w:r>
                              <w:rPr>
                                <w:rFonts w:ascii="宋体" w:hAnsi="宋体" w:eastAsia="宋体" w:cs="宋体"/>
                                <w:spacing w:val="-5"/>
                                <w:sz w:val="18"/>
                                <w:szCs w:val="18"/>
                              </w:rPr>
                              <w:t>视频讲解， 单钩、双钩、笔法、示意图，核心示范字的文字演变，每课时都有书法知识点讲解。颜欧柳赵及教育部教材的配套讲义中， 具备所 有示范字可一键变换字体、字格，可变换需要讲解的字帖；</w:t>
                            </w:r>
                          </w:p>
                          <w:p>
                            <w:pPr>
                              <w:spacing w:before="59" w:line="360" w:lineRule="auto"/>
                              <w:rPr>
                                <w:rFonts w:ascii="宋体" w:hAnsi="宋体" w:eastAsia="宋体" w:cs="宋体"/>
                                <w:spacing w:val="-5"/>
                                <w:sz w:val="18"/>
                                <w:szCs w:val="18"/>
                              </w:rPr>
                            </w:pPr>
                            <w:r>
                              <w:rPr>
                                <w:rFonts w:ascii="宋体" w:hAnsi="宋体" w:eastAsia="宋体" w:cs="宋体"/>
                                <w:spacing w:val="-5"/>
                                <w:sz w:val="18"/>
                                <w:szCs w:val="18"/>
                              </w:rPr>
                              <w:t>20、颜欧柳赵及教育部教材的配套讲义中，具备课程临摹练习界面可一键统一变换字体、字格，可变换需要练习的字帖；</w:t>
                            </w:r>
                          </w:p>
                          <w:p>
                            <w:pPr>
                              <w:spacing w:before="59" w:line="360" w:lineRule="auto"/>
                              <w:rPr>
                                <w:rFonts w:ascii="宋体" w:hAnsi="宋体" w:eastAsia="宋体" w:cs="宋体"/>
                                <w:spacing w:val="-5"/>
                                <w:sz w:val="18"/>
                                <w:szCs w:val="18"/>
                              </w:rPr>
                            </w:pPr>
                            <w:r>
                              <w:rPr>
                                <w:rFonts w:ascii="宋体" w:hAnsi="宋体" w:eastAsia="宋体" w:cs="宋体"/>
                                <w:spacing w:val="-5"/>
                                <w:sz w:val="18"/>
                                <w:szCs w:val="18"/>
                              </w:rPr>
                              <w:t>21、颜欧柳赵及教育部教材的配套讲义中，每个课时均具有通过拼字游戏进行书法结构练习：教师一键推送拼字游戏到学生端临摹台，学生临摹台变为手指触控操作，拖动被拆分的字体笔画，在米字格中进行拼字，拼字完成可显示原帖，系统可自动打分和排名；</w:t>
                            </w:r>
                          </w:p>
                        </w:tc>
                        <w:tc>
                          <w:tcPr>
                            <w:tcW w:w="467" w:type="dxa"/>
                            <w:tcBorders>
                              <w:top w:val="nil"/>
                            </w:tcBorders>
                            <w:vAlign w:val="top"/>
                          </w:tcPr>
                          <w:p>
                            <w:pPr>
                              <w:rPr>
                                <w:rFonts w:ascii="Times New Roman"/>
                                <w:sz w:val="21"/>
                              </w:rPr>
                            </w:pPr>
                          </w:p>
                        </w:tc>
                        <w:tc>
                          <w:tcPr>
                            <w:tcW w:w="545" w:type="dxa"/>
                            <w:tcBorders>
                              <w:top w:val="nil"/>
                            </w:tcBorders>
                            <w:vAlign w:val="top"/>
                          </w:tcPr>
                          <w:p>
                            <w:pPr>
                              <w:rPr>
                                <w:rFonts w:ascii="Times New Roman"/>
                                <w:sz w:val="21"/>
                              </w:rPr>
                            </w:pPr>
                          </w:p>
                        </w:tc>
                        <w:tc>
                          <w:tcPr>
                            <w:tcW w:w="744" w:type="dxa"/>
                            <w:tcBorders>
                              <w:top w:val="nil"/>
                            </w:tcBorders>
                            <w:vAlign w:val="top"/>
                          </w:tcPr>
                          <w:p>
                            <w:pPr>
                              <w:rPr>
                                <w:rFonts w:ascii="Times New Roman"/>
                                <w:sz w:val="21"/>
                              </w:rPr>
                            </w:pPr>
                          </w:p>
                        </w:tc>
                        <w:tc>
                          <w:tcPr>
                            <w:tcW w:w="856" w:type="dxa"/>
                            <w:tcBorders>
                              <w:top w:val="nil"/>
                            </w:tcBorders>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473" w:type="dxa"/>
                            <w:vAlign w:val="top"/>
                          </w:tcPr>
                          <w:p>
                            <w:pPr>
                              <w:spacing w:line="268" w:lineRule="auto"/>
                              <w:rPr>
                                <w:rFonts w:ascii="Times New Roman"/>
                                <w:sz w:val="21"/>
                              </w:rPr>
                            </w:pPr>
                          </w:p>
                          <w:p>
                            <w:pPr>
                              <w:spacing w:line="269" w:lineRule="auto"/>
                              <w:rPr>
                                <w:rFonts w:ascii="Times New Roman"/>
                                <w:sz w:val="21"/>
                              </w:rPr>
                            </w:pPr>
                          </w:p>
                          <w:p>
                            <w:pPr>
                              <w:spacing w:line="269" w:lineRule="auto"/>
                              <w:rPr>
                                <w:rFonts w:ascii="Times New Roman"/>
                                <w:sz w:val="21"/>
                              </w:rPr>
                            </w:pPr>
                          </w:p>
                          <w:p>
                            <w:pPr>
                              <w:spacing w:before="77" w:line="180" w:lineRule="auto"/>
                              <w:ind w:firstLine="197"/>
                              <w:rPr>
                                <w:rFonts w:ascii="微软雅黑" w:hAnsi="微软雅黑" w:eastAsia="微软雅黑" w:cs="微软雅黑"/>
                                <w:sz w:val="18"/>
                                <w:szCs w:val="18"/>
                              </w:rPr>
                            </w:pPr>
                            <w:r>
                              <w:rPr>
                                <w:rFonts w:ascii="微软雅黑" w:hAnsi="微软雅黑" w:eastAsia="微软雅黑" w:cs="微软雅黑"/>
                                <w:sz w:val="18"/>
                                <w:szCs w:val="18"/>
                              </w:rPr>
                              <w:t>9</w:t>
                            </w:r>
                          </w:p>
                        </w:tc>
                        <w:tc>
                          <w:tcPr>
                            <w:tcW w:w="891" w:type="dxa"/>
                            <w:vAlign w:val="top"/>
                          </w:tcPr>
                          <w:p>
                            <w:pPr>
                              <w:spacing w:before="59" w:line="360" w:lineRule="auto"/>
                              <w:rPr>
                                <w:rFonts w:ascii="宋体" w:hAnsi="宋体" w:eastAsia="宋体" w:cs="宋体"/>
                                <w:spacing w:val="-5"/>
                                <w:sz w:val="18"/>
                                <w:szCs w:val="18"/>
                              </w:rPr>
                            </w:pPr>
                          </w:p>
                          <w:p>
                            <w:pPr>
                              <w:spacing w:before="59" w:line="360" w:lineRule="auto"/>
                              <w:rPr>
                                <w:rFonts w:ascii="宋体" w:hAnsi="宋体" w:eastAsia="宋体" w:cs="宋体"/>
                                <w:spacing w:val="-5"/>
                                <w:sz w:val="18"/>
                                <w:szCs w:val="18"/>
                              </w:rPr>
                            </w:pPr>
                            <w:r>
                              <w:rPr>
                                <w:rFonts w:ascii="宋体" w:hAnsi="宋体" w:eastAsia="宋体" w:cs="宋体"/>
                                <w:spacing w:val="-5"/>
                                <w:sz w:val="18"/>
                                <w:szCs w:val="18"/>
                              </w:rPr>
                              <w:t>三笔字</w:t>
                            </w:r>
                          </w:p>
                          <w:p>
                            <w:pPr>
                              <w:spacing w:before="59" w:line="360" w:lineRule="auto"/>
                              <w:rPr>
                                <w:rFonts w:ascii="宋体" w:hAnsi="宋体" w:eastAsia="宋体" w:cs="宋体"/>
                                <w:spacing w:val="-5"/>
                                <w:sz w:val="18"/>
                                <w:szCs w:val="18"/>
                              </w:rPr>
                            </w:pPr>
                            <w:r>
                              <w:rPr>
                                <w:rFonts w:ascii="宋体" w:hAnsi="宋体" w:eastAsia="宋体" w:cs="宋体"/>
                                <w:spacing w:val="-5"/>
                                <w:sz w:val="18"/>
                                <w:szCs w:val="18"/>
                              </w:rPr>
                              <w:t>板书示</w:t>
                            </w:r>
                          </w:p>
                          <w:p>
                            <w:pPr>
                              <w:spacing w:before="59" w:line="360" w:lineRule="auto"/>
                              <w:rPr>
                                <w:rFonts w:ascii="宋体" w:hAnsi="宋体" w:eastAsia="宋体" w:cs="宋体"/>
                                <w:spacing w:val="-5"/>
                                <w:sz w:val="18"/>
                                <w:szCs w:val="18"/>
                              </w:rPr>
                            </w:pPr>
                            <w:r>
                              <w:rPr>
                                <w:rFonts w:ascii="宋体" w:hAnsi="宋体" w:eastAsia="宋体" w:cs="宋体"/>
                                <w:spacing w:val="-5"/>
                                <w:sz w:val="18"/>
                                <w:szCs w:val="18"/>
                              </w:rPr>
                              <w:t>范书写</w:t>
                            </w:r>
                          </w:p>
                          <w:p>
                            <w:pPr>
                              <w:spacing w:before="59" w:line="360" w:lineRule="auto"/>
                              <w:rPr>
                                <w:rFonts w:ascii="宋体" w:hAnsi="宋体" w:eastAsia="宋体" w:cs="宋体"/>
                                <w:spacing w:val="-5"/>
                                <w:sz w:val="18"/>
                                <w:szCs w:val="18"/>
                              </w:rPr>
                            </w:pPr>
                            <w:r>
                              <w:rPr>
                                <w:rFonts w:ascii="宋体" w:hAnsi="宋体" w:eastAsia="宋体" w:cs="宋体"/>
                                <w:spacing w:val="-5"/>
                                <w:sz w:val="18"/>
                                <w:szCs w:val="18"/>
                              </w:rPr>
                              <w:t>软件</w:t>
                            </w:r>
                          </w:p>
                        </w:tc>
                        <w:tc>
                          <w:tcPr>
                            <w:tcW w:w="10108" w:type="dxa"/>
                            <w:vAlign w:val="top"/>
                          </w:tcPr>
                          <w:p>
                            <w:pPr>
                              <w:spacing w:before="59" w:line="360" w:lineRule="auto"/>
                              <w:rPr>
                                <w:rFonts w:ascii="宋体" w:hAnsi="宋体" w:eastAsia="宋体" w:cs="宋体"/>
                                <w:spacing w:val="-5"/>
                                <w:sz w:val="18"/>
                                <w:szCs w:val="18"/>
                              </w:rPr>
                            </w:pPr>
                            <w:r>
                              <w:rPr>
                                <w:rFonts w:ascii="宋体" w:hAnsi="宋体" w:eastAsia="宋体" w:cs="宋体"/>
                                <w:spacing w:val="-5"/>
                                <w:sz w:val="18"/>
                                <w:szCs w:val="18"/>
                              </w:rPr>
                              <w:t>22、软件具备选用白板、黑板、宣纸和画布四种模式作为背景底纹；软件具备米字格、田字格、田回格、九宫格、方格和无格作为写字用底格；软件排版具备从一字格到十五字格共十种不同排版方式；软件具备标注和具有橡皮擦功能；具备笔锋粗细、浓度、锐利可调控；具备色板。具有全屏显示功能；具备在字体排版软件界面、视频资源库软件界面、视频直播软件界面、碑帖查询软件界面、课程讲义软件界面进行批注、点评功能；具备一键清屏功能。</w:t>
                            </w:r>
                          </w:p>
                          <w:p>
                            <w:pPr>
                              <w:spacing w:before="59" w:line="360" w:lineRule="auto"/>
                              <w:rPr>
                                <w:rFonts w:ascii="宋体" w:hAnsi="宋体" w:eastAsia="宋体" w:cs="宋体"/>
                                <w:spacing w:val="-5"/>
                                <w:sz w:val="18"/>
                                <w:szCs w:val="18"/>
                              </w:rPr>
                            </w:pPr>
                            <w:r>
                              <w:rPr>
                                <w:rFonts w:ascii="宋体" w:hAnsi="宋体" w:eastAsia="宋体" w:cs="宋体"/>
                                <w:spacing w:val="-5"/>
                                <w:sz w:val="18"/>
                                <w:szCs w:val="18"/>
                              </w:rPr>
                              <w:t>▲23、笔类：具备毛笔、铅笔、钢笔、艺术笔、粉笔、刀笔、水彩笔、艺术笔 1、艺术笔2、艺术笔3、艺术笔4 等≥12 种笔类的书写功能。</w:t>
                            </w:r>
                          </w:p>
                        </w:tc>
                        <w:tc>
                          <w:tcPr>
                            <w:tcW w:w="467" w:type="dxa"/>
                            <w:vAlign w:val="top"/>
                          </w:tcPr>
                          <w:p>
                            <w:pPr>
                              <w:spacing w:line="267" w:lineRule="auto"/>
                              <w:rPr>
                                <w:rFonts w:ascii="Times New Roman"/>
                                <w:sz w:val="21"/>
                              </w:rPr>
                            </w:pPr>
                          </w:p>
                          <w:p>
                            <w:pPr>
                              <w:spacing w:line="268" w:lineRule="auto"/>
                              <w:rPr>
                                <w:rFonts w:ascii="Times New Roman"/>
                                <w:sz w:val="21"/>
                              </w:rPr>
                            </w:pPr>
                          </w:p>
                          <w:p>
                            <w:pPr>
                              <w:spacing w:line="268" w:lineRule="auto"/>
                              <w:rPr>
                                <w:rFonts w:ascii="Times New Roman"/>
                                <w:sz w:val="21"/>
                              </w:rPr>
                            </w:pPr>
                          </w:p>
                          <w:p>
                            <w:pPr>
                              <w:spacing w:before="77" w:line="180" w:lineRule="auto"/>
                              <w:ind w:firstLine="218"/>
                              <w:rPr>
                                <w:rFonts w:ascii="微软雅黑" w:hAnsi="微软雅黑" w:eastAsia="微软雅黑" w:cs="微软雅黑"/>
                                <w:sz w:val="18"/>
                                <w:szCs w:val="18"/>
                              </w:rPr>
                            </w:pPr>
                            <w:r>
                              <w:rPr>
                                <w:rFonts w:ascii="微软雅黑" w:hAnsi="微软雅黑" w:eastAsia="微软雅黑" w:cs="微软雅黑"/>
                                <w:sz w:val="18"/>
                                <w:szCs w:val="18"/>
                              </w:rPr>
                              <w:t>1</w:t>
                            </w:r>
                          </w:p>
                        </w:tc>
                        <w:tc>
                          <w:tcPr>
                            <w:tcW w:w="545" w:type="dxa"/>
                            <w:vAlign w:val="top"/>
                          </w:tcPr>
                          <w:p>
                            <w:pPr>
                              <w:spacing w:line="255" w:lineRule="auto"/>
                              <w:rPr>
                                <w:rFonts w:ascii="Times New Roman"/>
                                <w:sz w:val="21"/>
                              </w:rPr>
                            </w:pPr>
                          </w:p>
                          <w:p>
                            <w:pPr>
                              <w:spacing w:line="255" w:lineRule="auto"/>
                              <w:rPr>
                                <w:rFonts w:ascii="Times New Roman"/>
                                <w:sz w:val="21"/>
                              </w:rPr>
                            </w:pPr>
                          </w:p>
                          <w:p>
                            <w:pPr>
                              <w:spacing w:line="256" w:lineRule="auto"/>
                              <w:rPr>
                                <w:rFonts w:ascii="Times New Roman"/>
                                <w:sz w:val="21"/>
                              </w:rPr>
                            </w:pPr>
                          </w:p>
                          <w:p>
                            <w:pPr>
                              <w:spacing w:before="58" w:line="184" w:lineRule="auto"/>
                              <w:ind w:firstLine="196"/>
                              <w:rPr>
                                <w:rFonts w:ascii="宋体" w:hAnsi="宋体" w:eastAsia="宋体" w:cs="宋体"/>
                                <w:sz w:val="18"/>
                                <w:szCs w:val="18"/>
                              </w:rPr>
                            </w:pPr>
                            <w:r>
                              <w:rPr>
                                <w:rFonts w:ascii="宋体" w:hAnsi="宋体" w:eastAsia="宋体" w:cs="宋体"/>
                                <w:sz w:val="18"/>
                                <w:szCs w:val="18"/>
                              </w:rPr>
                              <w:t>套</w:t>
                            </w:r>
                          </w:p>
                        </w:tc>
                        <w:tc>
                          <w:tcPr>
                            <w:tcW w:w="744" w:type="dxa"/>
                            <w:vAlign w:val="top"/>
                          </w:tcPr>
                          <w:p>
                            <w:pPr>
                              <w:rPr>
                                <w:rFonts w:ascii="Times New Roman"/>
                                <w:sz w:val="21"/>
                              </w:rPr>
                            </w:pPr>
                          </w:p>
                        </w:tc>
                        <w:tc>
                          <w:tcPr>
                            <w:tcW w:w="856" w:type="dxa"/>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73" w:type="dxa"/>
                            <w:vAlign w:val="top"/>
                          </w:tcPr>
                          <w:p>
                            <w:pPr>
                              <w:spacing w:line="345" w:lineRule="auto"/>
                              <w:rPr>
                                <w:rFonts w:ascii="Times New Roman"/>
                                <w:sz w:val="21"/>
                              </w:rPr>
                            </w:pPr>
                          </w:p>
                          <w:p>
                            <w:pPr>
                              <w:spacing w:before="77" w:line="180" w:lineRule="auto"/>
                              <w:ind w:firstLine="163"/>
                              <w:rPr>
                                <w:rFonts w:ascii="微软雅黑" w:hAnsi="微软雅黑" w:eastAsia="微软雅黑" w:cs="微软雅黑"/>
                                <w:sz w:val="18"/>
                                <w:szCs w:val="18"/>
                              </w:rPr>
                            </w:pPr>
                            <w:r>
                              <w:rPr>
                                <w:rFonts w:ascii="微软雅黑" w:hAnsi="微软雅黑" w:eastAsia="微软雅黑" w:cs="微软雅黑"/>
                                <w:spacing w:val="-7"/>
                                <w:sz w:val="18"/>
                                <w:szCs w:val="18"/>
                              </w:rPr>
                              <w:t>10</w:t>
                            </w:r>
                          </w:p>
                        </w:tc>
                        <w:tc>
                          <w:tcPr>
                            <w:tcW w:w="891" w:type="dxa"/>
                            <w:vAlign w:val="top"/>
                          </w:tcPr>
                          <w:p>
                            <w:pPr>
                              <w:spacing w:before="59" w:line="360" w:lineRule="auto"/>
                              <w:rPr>
                                <w:rFonts w:ascii="宋体" w:hAnsi="宋体" w:eastAsia="宋体" w:cs="宋体"/>
                                <w:spacing w:val="-5"/>
                                <w:sz w:val="18"/>
                                <w:szCs w:val="18"/>
                              </w:rPr>
                            </w:pPr>
                            <w:r>
                              <w:rPr>
                                <w:rFonts w:ascii="宋体" w:hAnsi="宋体" w:eastAsia="宋体" w:cs="宋体"/>
                                <w:spacing w:val="-5"/>
                                <w:sz w:val="18"/>
                                <w:szCs w:val="18"/>
                              </w:rPr>
                              <w:t>中控系 统</w:t>
                            </w:r>
                          </w:p>
                        </w:tc>
                        <w:tc>
                          <w:tcPr>
                            <w:tcW w:w="10108" w:type="dxa"/>
                            <w:vAlign w:val="top"/>
                          </w:tcPr>
                          <w:p>
                            <w:pPr>
                              <w:spacing w:before="59" w:line="360" w:lineRule="auto"/>
                              <w:rPr>
                                <w:rFonts w:ascii="宋体" w:hAnsi="宋体" w:eastAsia="宋体" w:cs="宋体"/>
                                <w:spacing w:val="-5"/>
                                <w:sz w:val="18"/>
                                <w:szCs w:val="18"/>
                              </w:rPr>
                            </w:pPr>
                            <w:r>
                              <w:rPr>
                                <w:rFonts w:ascii="宋体" w:hAnsi="宋体" w:eastAsia="宋体" w:cs="宋体"/>
                                <w:spacing w:val="-5"/>
                                <w:sz w:val="18"/>
                                <w:szCs w:val="18"/>
                              </w:rPr>
                              <w:t>24、通过主机系统直接控制书法直播系统、大屏、软件等软硬件；系统平台有独立的音乐背景模块软件；控制系统硬件规格：CPU：I5及 以上；内存≥4G；硬盘≥1TB；板书专用手写屏规格：显示尺寸≥21.5 英寸（16:9）；解析度≥1920×1080；对比度≥1000:1；感应方式：电磁式；分辨率≥2000Lpi；反应速度≥200 点/秒；压感≥2048 级；压感笔 1 支。</w:t>
                            </w:r>
                          </w:p>
                        </w:tc>
                        <w:tc>
                          <w:tcPr>
                            <w:tcW w:w="467" w:type="dxa"/>
                            <w:vAlign w:val="top"/>
                          </w:tcPr>
                          <w:p>
                            <w:pPr>
                              <w:spacing w:line="342" w:lineRule="auto"/>
                              <w:rPr>
                                <w:rFonts w:ascii="Times New Roman"/>
                                <w:sz w:val="21"/>
                              </w:rPr>
                            </w:pPr>
                          </w:p>
                          <w:p>
                            <w:pPr>
                              <w:spacing w:before="77" w:line="180" w:lineRule="auto"/>
                              <w:ind w:firstLine="218"/>
                              <w:rPr>
                                <w:rFonts w:ascii="微软雅黑" w:hAnsi="微软雅黑" w:eastAsia="微软雅黑" w:cs="微软雅黑"/>
                                <w:sz w:val="18"/>
                                <w:szCs w:val="18"/>
                              </w:rPr>
                            </w:pPr>
                            <w:r>
                              <w:rPr>
                                <w:rFonts w:ascii="微软雅黑" w:hAnsi="微软雅黑" w:eastAsia="微软雅黑" w:cs="微软雅黑"/>
                                <w:sz w:val="18"/>
                                <w:szCs w:val="18"/>
                              </w:rPr>
                              <w:t>1</w:t>
                            </w:r>
                          </w:p>
                        </w:tc>
                        <w:tc>
                          <w:tcPr>
                            <w:tcW w:w="545" w:type="dxa"/>
                            <w:vAlign w:val="top"/>
                          </w:tcPr>
                          <w:p>
                            <w:pPr>
                              <w:spacing w:line="302" w:lineRule="auto"/>
                              <w:rPr>
                                <w:rFonts w:ascii="Times New Roman"/>
                                <w:sz w:val="21"/>
                              </w:rPr>
                            </w:pPr>
                          </w:p>
                          <w:p>
                            <w:pPr>
                              <w:spacing w:before="59" w:line="184" w:lineRule="auto"/>
                              <w:ind w:firstLine="224"/>
                              <w:rPr>
                                <w:rFonts w:ascii="宋体" w:hAnsi="宋体" w:eastAsia="宋体" w:cs="宋体"/>
                                <w:sz w:val="18"/>
                                <w:szCs w:val="18"/>
                              </w:rPr>
                            </w:pPr>
                            <w:r>
                              <w:rPr>
                                <w:rFonts w:ascii="宋体" w:hAnsi="宋体" w:eastAsia="宋体" w:cs="宋体"/>
                                <w:sz w:val="18"/>
                                <w:szCs w:val="18"/>
                              </w:rPr>
                              <w:t>台</w:t>
                            </w:r>
                          </w:p>
                        </w:tc>
                        <w:tc>
                          <w:tcPr>
                            <w:tcW w:w="744" w:type="dxa"/>
                            <w:vAlign w:val="top"/>
                          </w:tcPr>
                          <w:p>
                            <w:pPr>
                              <w:rPr>
                                <w:rFonts w:ascii="Times New Roman"/>
                                <w:sz w:val="21"/>
                              </w:rPr>
                            </w:pPr>
                          </w:p>
                        </w:tc>
                        <w:tc>
                          <w:tcPr>
                            <w:tcW w:w="856" w:type="dxa"/>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473" w:type="dxa"/>
                            <w:vAlign w:val="top"/>
                          </w:tcPr>
                          <w:p>
                            <w:pPr>
                              <w:spacing w:before="268" w:line="180" w:lineRule="auto"/>
                              <w:ind w:firstLine="163"/>
                              <w:rPr>
                                <w:rFonts w:ascii="微软雅黑" w:hAnsi="微软雅黑" w:eastAsia="微软雅黑" w:cs="微软雅黑"/>
                                <w:sz w:val="18"/>
                                <w:szCs w:val="18"/>
                              </w:rPr>
                            </w:pPr>
                            <w:r>
                              <w:rPr>
                                <w:rFonts w:ascii="微软雅黑" w:hAnsi="微软雅黑" w:eastAsia="微软雅黑" w:cs="微软雅黑"/>
                                <w:spacing w:val="-7"/>
                                <w:sz w:val="18"/>
                                <w:szCs w:val="18"/>
                              </w:rPr>
                              <w:t>11</w:t>
                            </w:r>
                          </w:p>
                        </w:tc>
                        <w:tc>
                          <w:tcPr>
                            <w:tcW w:w="891" w:type="dxa"/>
                            <w:vAlign w:val="top"/>
                          </w:tcPr>
                          <w:p>
                            <w:pPr>
                              <w:spacing w:before="59" w:line="360" w:lineRule="auto"/>
                              <w:rPr>
                                <w:rFonts w:ascii="宋体" w:hAnsi="宋体" w:eastAsia="宋体" w:cs="宋体"/>
                                <w:spacing w:val="-5"/>
                                <w:sz w:val="18"/>
                                <w:szCs w:val="18"/>
                              </w:rPr>
                            </w:pPr>
                            <w:r>
                              <w:rPr>
                                <w:rFonts w:ascii="宋体" w:hAnsi="宋体" w:eastAsia="宋体" w:cs="宋体"/>
                                <w:spacing w:val="-5"/>
                                <w:sz w:val="18"/>
                                <w:szCs w:val="18"/>
                              </w:rPr>
                              <w:t>3P空调</w:t>
                            </w:r>
                          </w:p>
                        </w:tc>
                        <w:tc>
                          <w:tcPr>
                            <w:tcW w:w="10108" w:type="dxa"/>
                            <w:vAlign w:val="top"/>
                          </w:tcPr>
                          <w:p>
                            <w:pPr>
                              <w:numPr>
                                <w:ilvl w:val="0"/>
                                <w:numId w:val="13"/>
                              </w:numPr>
                              <w:spacing w:before="59" w:line="360" w:lineRule="auto"/>
                              <w:rPr>
                                <w:rFonts w:ascii="宋体" w:hAnsi="宋体" w:eastAsia="宋体" w:cs="宋体"/>
                                <w:spacing w:val="-5"/>
                                <w:sz w:val="18"/>
                                <w:szCs w:val="18"/>
                              </w:rPr>
                            </w:pPr>
                            <w:r>
                              <w:rPr>
                                <w:rFonts w:ascii="宋体" w:hAnsi="宋体" w:eastAsia="宋体" w:cs="宋体"/>
                                <w:spacing w:val="-5"/>
                                <w:sz w:val="18"/>
                                <w:szCs w:val="18"/>
                              </w:rPr>
                              <w:t>制冷量≥7200W， 制热量≥8200W （不含电辅加热）；柜式、变频、二级及以上效能、遥控、冷暖电辅式空调，配安装支架及辅材。</w:t>
                            </w:r>
                          </w:p>
                          <w:p>
                            <w:pPr>
                              <w:numPr>
                                <w:ilvl w:val="0"/>
                                <w:numId w:val="0"/>
                              </w:numPr>
                              <w:spacing w:before="59" w:line="360" w:lineRule="auto"/>
                              <w:rPr>
                                <w:rFonts w:ascii="宋体" w:hAnsi="宋体" w:eastAsia="宋体" w:cs="宋体"/>
                                <w:spacing w:val="-5"/>
                                <w:sz w:val="18"/>
                                <w:szCs w:val="18"/>
                              </w:rPr>
                            </w:pPr>
                            <w:r>
                              <w:rPr>
                                <w:rFonts w:ascii="宋体" w:hAnsi="宋体" w:eastAsia="宋体" w:cs="宋体"/>
                                <w:b/>
                                <w:bCs/>
                                <w:spacing w:val="-5"/>
                                <w:sz w:val="18"/>
                                <w:szCs w:val="18"/>
                              </w:rPr>
                              <w:t>★26、应具有国家确定的认证机构出具的在有效期内的节能产品认证证书。（说明：提供证书复印件加盖公章）</w:t>
                            </w:r>
                          </w:p>
                        </w:tc>
                        <w:tc>
                          <w:tcPr>
                            <w:tcW w:w="467" w:type="dxa"/>
                            <w:vAlign w:val="top"/>
                          </w:tcPr>
                          <w:p>
                            <w:pPr>
                              <w:spacing w:before="268" w:line="180" w:lineRule="auto"/>
                              <w:ind w:firstLine="218"/>
                              <w:rPr>
                                <w:rFonts w:ascii="微软雅黑" w:hAnsi="微软雅黑" w:eastAsia="微软雅黑" w:cs="微软雅黑"/>
                                <w:sz w:val="18"/>
                                <w:szCs w:val="18"/>
                              </w:rPr>
                            </w:pPr>
                            <w:r>
                              <w:rPr>
                                <w:rFonts w:ascii="微软雅黑" w:hAnsi="微软雅黑" w:eastAsia="微软雅黑" w:cs="微软雅黑"/>
                                <w:sz w:val="18"/>
                                <w:szCs w:val="18"/>
                              </w:rPr>
                              <w:t>1</w:t>
                            </w:r>
                          </w:p>
                        </w:tc>
                        <w:tc>
                          <w:tcPr>
                            <w:tcW w:w="545" w:type="dxa"/>
                            <w:vAlign w:val="top"/>
                          </w:tcPr>
                          <w:p>
                            <w:pPr>
                              <w:spacing w:before="207" w:line="184" w:lineRule="auto"/>
                              <w:ind w:firstLine="224"/>
                              <w:rPr>
                                <w:rFonts w:ascii="宋体" w:hAnsi="宋体" w:eastAsia="宋体" w:cs="宋体"/>
                                <w:sz w:val="18"/>
                                <w:szCs w:val="18"/>
                              </w:rPr>
                            </w:pPr>
                            <w:r>
                              <w:rPr>
                                <w:rFonts w:ascii="宋体" w:hAnsi="宋体" w:eastAsia="宋体" w:cs="宋体"/>
                                <w:sz w:val="18"/>
                                <w:szCs w:val="18"/>
                              </w:rPr>
                              <w:t>台</w:t>
                            </w:r>
                          </w:p>
                        </w:tc>
                        <w:tc>
                          <w:tcPr>
                            <w:tcW w:w="744" w:type="dxa"/>
                            <w:vAlign w:val="top"/>
                          </w:tcPr>
                          <w:p>
                            <w:pPr>
                              <w:rPr>
                                <w:rFonts w:ascii="Times New Roman"/>
                                <w:sz w:val="21"/>
                              </w:rPr>
                            </w:pPr>
                          </w:p>
                        </w:tc>
                        <w:tc>
                          <w:tcPr>
                            <w:tcW w:w="856" w:type="dxa"/>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473" w:type="dxa"/>
                            <w:vAlign w:val="top"/>
                          </w:tcPr>
                          <w:p>
                            <w:pPr>
                              <w:spacing w:before="269" w:line="180" w:lineRule="auto"/>
                              <w:ind w:firstLine="163"/>
                              <w:rPr>
                                <w:rFonts w:ascii="微软雅黑" w:hAnsi="微软雅黑" w:eastAsia="微软雅黑" w:cs="微软雅黑"/>
                                <w:sz w:val="18"/>
                                <w:szCs w:val="18"/>
                              </w:rPr>
                            </w:pPr>
                            <w:r>
                              <w:rPr>
                                <w:rFonts w:ascii="微软雅黑" w:hAnsi="微软雅黑" w:eastAsia="微软雅黑" w:cs="微软雅黑"/>
                                <w:spacing w:val="-7"/>
                                <w:sz w:val="18"/>
                                <w:szCs w:val="18"/>
                              </w:rPr>
                              <w:t>12</w:t>
                            </w:r>
                          </w:p>
                        </w:tc>
                        <w:tc>
                          <w:tcPr>
                            <w:tcW w:w="891" w:type="dxa"/>
                            <w:vAlign w:val="top"/>
                          </w:tcPr>
                          <w:p>
                            <w:pPr>
                              <w:spacing w:before="59" w:line="360" w:lineRule="auto"/>
                              <w:rPr>
                                <w:rFonts w:ascii="宋体" w:hAnsi="宋体" w:eastAsia="宋体" w:cs="宋体"/>
                                <w:spacing w:val="-5"/>
                                <w:sz w:val="18"/>
                                <w:szCs w:val="18"/>
                              </w:rPr>
                            </w:pPr>
                            <w:r>
                              <w:rPr>
                                <w:rFonts w:ascii="宋体" w:hAnsi="宋体" w:eastAsia="宋体" w:cs="宋体"/>
                                <w:spacing w:val="-5"/>
                                <w:sz w:val="18"/>
                                <w:szCs w:val="18"/>
                              </w:rPr>
                              <w:t>中式吊灯</w:t>
                            </w:r>
                          </w:p>
                        </w:tc>
                        <w:tc>
                          <w:tcPr>
                            <w:tcW w:w="10108" w:type="dxa"/>
                            <w:vAlign w:val="top"/>
                          </w:tcPr>
                          <w:p>
                            <w:pPr>
                              <w:spacing w:before="59" w:line="360" w:lineRule="auto"/>
                              <w:rPr>
                                <w:rFonts w:ascii="宋体" w:hAnsi="宋体" w:eastAsia="宋体" w:cs="宋体"/>
                                <w:spacing w:val="-5"/>
                                <w:sz w:val="18"/>
                                <w:szCs w:val="18"/>
                              </w:rPr>
                            </w:pPr>
                            <w:r>
                              <w:rPr>
                                <w:rFonts w:ascii="宋体" w:hAnsi="宋体" w:eastAsia="宋体" w:cs="宋体"/>
                                <w:spacing w:val="-5"/>
                                <w:sz w:val="18"/>
                                <w:szCs w:val="18"/>
                              </w:rPr>
                              <w:t>27、中式仿古吊灯，直径大于等于40cm</w:t>
                            </w:r>
                          </w:p>
                        </w:tc>
                        <w:tc>
                          <w:tcPr>
                            <w:tcW w:w="467" w:type="dxa"/>
                            <w:vAlign w:val="top"/>
                          </w:tcPr>
                          <w:p>
                            <w:pPr>
                              <w:spacing w:before="270" w:line="180" w:lineRule="auto"/>
                              <w:ind w:firstLine="237"/>
                              <w:rPr>
                                <w:rFonts w:ascii="微软雅黑" w:hAnsi="微软雅黑" w:eastAsia="微软雅黑" w:cs="微软雅黑"/>
                                <w:sz w:val="18"/>
                                <w:szCs w:val="18"/>
                              </w:rPr>
                            </w:pPr>
                            <w:r>
                              <w:rPr>
                                <w:rFonts w:ascii="微软雅黑" w:hAnsi="微软雅黑" w:eastAsia="微软雅黑" w:cs="微软雅黑"/>
                                <w:sz w:val="18"/>
                                <w:szCs w:val="18"/>
                              </w:rPr>
                              <w:t>8</w:t>
                            </w:r>
                          </w:p>
                        </w:tc>
                        <w:tc>
                          <w:tcPr>
                            <w:tcW w:w="545" w:type="dxa"/>
                            <w:vAlign w:val="top"/>
                          </w:tcPr>
                          <w:p>
                            <w:pPr>
                              <w:spacing w:before="211" w:line="184" w:lineRule="auto"/>
                              <w:ind w:firstLine="160"/>
                              <w:rPr>
                                <w:rFonts w:ascii="宋体" w:hAnsi="宋体" w:eastAsia="宋体" w:cs="宋体"/>
                                <w:sz w:val="18"/>
                                <w:szCs w:val="18"/>
                              </w:rPr>
                            </w:pPr>
                            <w:r>
                              <w:rPr>
                                <w:rFonts w:ascii="宋体" w:hAnsi="宋体" w:eastAsia="宋体" w:cs="宋体"/>
                                <w:sz w:val="18"/>
                                <w:szCs w:val="18"/>
                              </w:rPr>
                              <w:t>盏</w:t>
                            </w:r>
                          </w:p>
                        </w:tc>
                        <w:tc>
                          <w:tcPr>
                            <w:tcW w:w="744" w:type="dxa"/>
                            <w:vAlign w:val="top"/>
                          </w:tcPr>
                          <w:p>
                            <w:pPr>
                              <w:rPr>
                                <w:rFonts w:ascii="Times New Roman"/>
                                <w:sz w:val="21"/>
                              </w:rPr>
                            </w:pPr>
                          </w:p>
                        </w:tc>
                        <w:tc>
                          <w:tcPr>
                            <w:tcW w:w="856" w:type="dxa"/>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73" w:type="dxa"/>
                            <w:vAlign w:val="top"/>
                          </w:tcPr>
                          <w:p>
                            <w:pPr>
                              <w:spacing w:line="346" w:lineRule="auto"/>
                              <w:rPr>
                                <w:rFonts w:ascii="Times New Roman"/>
                                <w:sz w:val="21"/>
                              </w:rPr>
                            </w:pPr>
                          </w:p>
                          <w:p>
                            <w:pPr>
                              <w:spacing w:before="77" w:line="180" w:lineRule="auto"/>
                              <w:ind w:firstLine="163"/>
                              <w:rPr>
                                <w:rFonts w:ascii="微软雅黑" w:hAnsi="微软雅黑" w:eastAsia="微软雅黑" w:cs="微软雅黑"/>
                                <w:sz w:val="18"/>
                                <w:szCs w:val="18"/>
                              </w:rPr>
                            </w:pPr>
                            <w:r>
                              <w:rPr>
                                <w:rFonts w:ascii="微软雅黑" w:hAnsi="微软雅黑" w:eastAsia="微软雅黑" w:cs="微软雅黑"/>
                                <w:spacing w:val="-7"/>
                                <w:sz w:val="18"/>
                                <w:szCs w:val="18"/>
                              </w:rPr>
                              <w:t>13</w:t>
                            </w:r>
                          </w:p>
                        </w:tc>
                        <w:tc>
                          <w:tcPr>
                            <w:tcW w:w="891" w:type="dxa"/>
                            <w:vAlign w:val="top"/>
                          </w:tcPr>
                          <w:p>
                            <w:pPr>
                              <w:spacing w:before="59" w:line="360" w:lineRule="auto"/>
                              <w:rPr>
                                <w:rFonts w:ascii="宋体" w:hAnsi="宋体" w:eastAsia="宋体" w:cs="宋体"/>
                                <w:spacing w:val="-5"/>
                                <w:sz w:val="18"/>
                                <w:szCs w:val="18"/>
                              </w:rPr>
                            </w:pPr>
                            <w:r>
                              <w:rPr>
                                <w:rFonts w:ascii="宋体" w:hAnsi="宋体" w:eastAsia="宋体" w:cs="宋体"/>
                                <w:spacing w:val="-5"/>
                                <w:sz w:val="18"/>
                                <w:szCs w:val="18"/>
                              </w:rPr>
                              <w:t>地面实木贴脚线</w:t>
                            </w:r>
                          </w:p>
                        </w:tc>
                        <w:tc>
                          <w:tcPr>
                            <w:tcW w:w="10108" w:type="dxa"/>
                            <w:vAlign w:val="top"/>
                          </w:tcPr>
                          <w:p>
                            <w:pPr>
                              <w:spacing w:before="59" w:line="360" w:lineRule="auto"/>
                              <w:rPr>
                                <w:rFonts w:ascii="宋体" w:hAnsi="宋体" w:eastAsia="宋体" w:cs="宋体"/>
                                <w:spacing w:val="-5"/>
                                <w:sz w:val="18"/>
                                <w:szCs w:val="18"/>
                              </w:rPr>
                            </w:pPr>
                            <w:r>
                              <w:rPr>
                                <w:rFonts w:ascii="宋体" w:hAnsi="宋体" w:eastAsia="宋体" w:cs="宋体"/>
                                <w:spacing w:val="-5"/>
                                <w:sz w:val="18"/>
                                <w:szCs w:val="18"/>
                              </w:rPr>
                              <w:t>28、实木踢贴脚线≥10mmX80mm。（颜色由甲方确认）</w:t>
                            </w:r>
                          </w:p>
                        </w:tc>
                        <w:tc>
                          <w:tcPr>
                            <w:tcW w:w="467" w:type="dxa"/>
                            <w:vAlign w:val="top"/>
                          </w:tcPr>
                          <w:p>
                            <w:pPr>
                              <w:spacing w:line="346" w:lineRule="auto"/>
                              <w:rPr>
                                <w:rFonts w:ascii="Times New Roman"/>
                                <w:sz w:val="21"/>
                              </w:rPr>
                            </w:pPr>
                          </w:p>
                          <w:p>
                            <w:pPr>
                              <w:spacing w:before="77" w:line="180" w:lineRule="auto"/>
                              <w:ind w:firstLine="198"/>
                              <w:rPr>
                                <w:rFonts w:ascii="微软雅黑" w:hAnsi="微软雅黑" w:eastAsia="微软雅黑" w:cs="微软雅黑"/>
                                <w:sz w:val="18"/>
                                <w:szCs w:val="18"/>
                              </w:rPr>
                            </w:pPr>
                            <w:r>
                              <w:rPr>
                                <w:rFonts w:ascii="微软雅黑" w:hAnsi="微软雅黑" w:eastAsia="微软雅黑" w:cs="微软雅黑"/>
                                <w:spacing w:val="-6"/>
                                <w:sz w:val="18"/>
                                <w:szCs w:val="18"/>
                              </w:rPr>
                              <w:t>50</w:t>
                            </w:r>
                          </w:p>
                        </w:tc>
                        <w:tc>
                          <w:tcPr>
                            <w:tcW w:w="545" w:type="dxa"/>
                            <w:vAlign w:val="top"/>
                          </w:tcPr>
                          <w:p>
                            <w:pPr>
                              <w:spacing w:line="306" w:lineRule="auto"/>
                              <w:rPr>
                                <w:rFonts w:ascii="Times New Roman"/>
                                <w:sz w:val="21"/>
                              </w:rPr>
                            </w:pPr>
                          </w:p>
                          <w:p>
                            <w:pPr>
                              <w:spacing w:before="58" w:line="184" w:lineRule="auto"/>
                              <w:ind w:firstLine="160"/>
                              <w:rPr>
                                <w:rFonts w:ascii="宋体" w:hAnsi="宋体" w:eastAsia="宋体" w:cs="宋体"/>
                                <w:sz w:val="18"/>
                                <w:szCs w:val="18"/>
                              </w:rPr>
                            </w:pPr>
                            <w:r>
                              <w:rPr>
                                <w:rFonts w:ascii="宋体" w:hAnsi="宋体" w:eastAsia="宋体" w:cs="宋体"/>
                                <w:sz w:val="18"/>
                                <w:szCs w:val="18"/>
                              </w:rPr>
                              <w:t>米</w:t>
                            </w:r>
                          </w:p>
                        </w:tc>
                        <w:tc>
                          <w:tcPr>
                            <w:tcW w:w="744" w:type="dxa"/>
                            <w:vAlign w:val="top"/>
                          </w:tcPr>
                          <w:p>
                            <w:pPr>
                              <w:rPr>
                                <w:rFonts w:ascii="Times New Roman"/>
                                <w:sz w:val="21"/>
                              </w:rPr>
                            </w:pPr>
                          </w:p>
                        </w:tc>
                        <w:tc>
                          <w:tcPr>
                            <w:tcW w:w="856" w:type="dxa"/>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473" w:type="dxa"/>
                            <w:vAlign w:val="top"/>
                          </w:tcPr>
                          <w:p>
                            <w:pPr>
                              <w:spacing w:line="383" w:lineRule="auto"/>
                              <w:rPr>
                                <w:rFonts w:ascii="Times New Roman"/>
                                <w:sz w:val="21"/>
                              </w:rPr>
                            </w:pPr>
                          </w:p>
                          <w:p>
                            <w:pPr>
                              <w:spacing w:before="77" w:line="180" w:lineRule="auto"/>
                              <w:ind w:firstLine="163"/>
                              <w:rPr>
                                <w:rFonts w:ascii="微软雅黑" w:hAnsi="微软雅黑" w:eastAsia="微软雅黑" w:cs="微软雅黑"/>
                                <w:sz w:val="18"/>
                                <w:szCs w:val="18"/>
                              </w:rPr>
                            </w:pPr>
                            <w:r>
                              <w:rPr>
                                <w:rFonts w:ascii="微软雅黑" w:hAnsi="微软雅黑" w:eastAsia="微软雅黑" w:cs="微软雅黑"/>
                                <w:spacing w:val="-7"/>
                                <w:sz w:val="18"/>
                                <w:szCs w:val="18"/>
                              </w:rPr>
                              <w:t>14</w:t>
                            </w:r>
                          </w:p>
                        </w:tc>
                        <w:tc>
                          <w:tcPr>
                            <w:tcW w:w="891" w:type="dxa"/>
                            <w:vAlign w:val="top"/>
                          </w:tcPr>
                          <w:p>
                            <w:pPr>
                              <w:spacing w:before="292" w:line="318" w:lineRule="auto"/>
                              <w:ind w:right="169"/>
                              <w:rPr>
                                <w:rFonts w:ascii="宋体" w:hAnsi="宋体" w:eastAsia="宋体" w:cs="宋体"/>
                                <w:sz w:val="18"/>
                                <w:szCs w:val="18"/>
                              </w:rPr>
                            </w:pPr>
                            <w:r>
                              <w:rPr>
                                <w:rFonts w:ascii="宋体" w:hAnsi="宋体" w:eastAsia="宋体" w:cs="宋体"/>
                                <w:spacing w:val="-3"/>
                                <w:sz w:val="18"/>
                                <w:szCs w:val="18"/>
                              </w:rPr>
                              <w:t>墙面基</w:t>
                            </w:r>
                            <w:r>
                              <w:rPr>
                                <w:rFonts w:ascii="宋体" w:hAnsi="宋体" w:eastAsia="宋体" w:cs="宋体"/>
                                <w:spacing w:val="1"/>
                                <w:w w:val="101"/>
                                <w:sz w:val="18"/>
                                <w:szCs w:val="18"/>
                              </w:rPr>
                              <w:t xml:space="preserve"> </w:t>
                            </w:r>
                            <w:r>
                              <w:rPr>
                                <w:rFonts w:ascii="宋体" w:hAnsi="宋体" w:eastAsia="宋体" w:cs="宋体"/>
                                <w:spacing w:val="-5"/>
                                <w:sz w:val="18"/>
                                <w:szCs w:val="18"/>
                              </w:rPr>
                              <w:t>层处理</w:t>
                            </w:r>
                          </w:p>
                        </w:tc>
                        <w:tc>
                          <w:tcPr>
                            <w:tcW w:w="10108" w:type="dxa"/>
                            <w:vAlign w:val="top"/>
                          </w:tcPr>
                          <w:p>
                            <w:pPr>
                              <w:spacing w:before="26" w:line="182" w:lineRule="auto"/>
                              <w:ind w:firstLine="7"/>
                              <w:rPr>
                                <w:rFonts w:ascii="微软雅黑" w:hAnsi="微软雅黑" w:eastAsia="微软雅黑" w:cs="微软雅黑"/>
                                <w:sz w:val="18"/>
                                <w:szCs w:val="18"/>
                              </w:rPr>
                            </w:pPr>
                            <w:r>
                              <w:rPr>
                                <w:rFonts w:ascii="微软雅黑" w:hAnsi="微软雅黑" w:eastAsia="微软雅黑" w:cs="微软雅黑"/>
                                <w:spacing w:val="-4"/>
                                <w:sz w:val="18"/>
                                <w:szCs w:val="18"/>
                              </w:rPr>
                              <w:t>29</w:t>
                            </w:r>
                            <w:r>
                              <w:rPr>
                                <w:rFonts w:ascii="宋体" w:hAnsi="宋体" w:eastAsia="宋体" w:cs="宋体"/>
                                <w:spacing w:val="-4"/>
                                <w:sz w:val="18"/>
                                <w:szCs w:val="18"/>
                              </w:rPr>
                              <w:t>、施工流程：清扫基层。墙面打磨</w:t>
                            </w:r>
                            <w:r>
                              <w:rPr>
                                <w:rFonts w:ascii="微软雅黑" w:hAnsi="微软雅黑" w:eastAsia="微软雅黑" w:cs="微软雅黑"/>
                                <w:spacing w:val="-4"/>
                                <w:sz w:val="18"/>
                                <w:szCs w:val="18"/>
                              </w:rPr>
                              <w:t>;</w:t>
                            </w:r>
                          </w:p>
                          <w:p>
                            <w:pPr>
                              <w:spacing w:before="140" w:line="180" w:lineRule="auto"/>
                              <w:ind w:firstLine="10"/>
                              <w:rPr>
                                <w:rFonts w:ascii="宋体" w:hAnsi="宋体" w:eastAsia="宋体" w:cs="宋体"/>
                                <w:sz w:val="18"/>
                                <w:szCs w:val="18"/>
                              </w:rPr>
                            </w:pPr>
                            <w:r>
                              <w:rPr>
                                <w:rFonts w:ascii="微软雅黑" w:hAnsi="微软雅黑" w:eastAsia="微软雅黑" w:cs="微软雅黑"/>
                                <w:spacing w:val="-7"/>
                                <w:sz w:val="18"/>
                                <w:szCs w:val="18"/>
                              </w:rPr>
                              <w:t>30</w:t>
                            </w:r>
                            <w:r>
                              <w:rPr>
                                <w:rFonts w:ascii="宋体" w:hAnsi="宋体" w:eastAsia="宋体" w:cs="宋体"/>
                                <w:spacing w:val="-7"/>
                                <w:sz w:val="18"/>
                                <w:szCs w:val="18"/>
                              </w:rPr>
                              <w:t>、墙面有裂缝、孔洞及脱落处修复处理；</w:t>
                            </w:r>
                          </w:p>
                          <w:p>
                            <w:pPr>
                              <w:spacing w:before="80" w:line="180" w:lineRule="auto"/>
                              <w:ind w:firstLine="10"/>
                              <w:rPr>
                                <w:rFonts w:ascii="宋体" w:hAnsi="宋体" w:eastAsia="宋体" w:cs="宋体"/>
                                <w:sz w:val="18"/>
                                <w:szCs w:val="18"/>
                              </w:rPr>
                            </w:pPr>
                            <w:r>
                              <w:rPr>
                                <w:rFonts w:ascii="微软雅黑" w:hAnsi="微软雅黑" w:eastAsia="微软雅黑" w:cs="微软雅黑"/>
                                <w:spacing w:val="-5"/>
                                <w:sz w:val="18"/>
                                <w:szCs w:val="18"/>
                              </w:rPr>
                              <w:t>31</w:t>
                            </w:r>
                            <w:r>
                              <w:rPr>
                                <w:rFonts w:ascii="宋体" w:hAnsi="宋体" w:eastAsia="宋体" w:cs="宋体"/>
                                <w:spacing w:val="-5"/>
                                <w:sz w:val="18"/>
                                <w:szCs w:val="18"/>
                              </w:rPr>
                              <w:t>、在施工前提前提供彩色效果图经校方确认后方可施</w:t>
                            </w:r>
                          </w:p>
                        </w:tc>
                        <w:tc>
                          <w:tcPr>
                            <w:tcW w:w="467" w:type="dxa"/>
                            <w:vAlign w:val="top"/>
                          </w:tcPr>
                          <w:p>
                            <w:pPr>
                              <w:spacing w:line="383" w:lineRule="auto"/>
                              <w:rPr>
                                <w:rFonts w:ascii="Times New Roman"/>
                                <w:sz w:val="21"/>
                              </w:rPr>
                            </w:pPr>
                          </w:p>
                          <w:p>
                            <w:pPr>
                              <w:spacing w:before="78" w:line="180" w:lineRule="auto"/>
                              <w:ind w:firstLine="154"/>
                              <w:rPr>
                                <w:rFonts w:ascii="微软雅黑" w:hAnsi="微软雅黑" w:eastAsia="微软雅黑" w:cs="微软雅黑"/>
                                <w:sz w:val="18"/>
                                <w:szCs w:val="18"/>
                              </w:rPr>
                            </w:pPr>
                            <w:r>
                              <w:rPr>
                                <w:rFonts w:ascii="微软雅黑" w:hAnsi="微软雅黑" w:eastAsia="微软雅黑" w:cs="微软雅黑"/>
                                <w:spacing w:val="-8"/>
                                <w:sz w:val="18"/>
                                <w:szCs w:val="18"/>
                              </w:rPr>
                              <w:t>140</w:t>
                            </w:r>
                          </w:p>
                        </w:tc>
                        <w:tc>
                          <w:tcPr>
                            <w:tcW w:w="545" w:type="dxa"/>
                            <w:textDirection w:val="tbRlV"/>
                            <w:vAlign w:val="top"/>
                          </w:tcPr>
                          <w:p>
                            <w:pPr>
                              <w:spacing w:before="111" w:line="180" w:lineRule="auto"/>
                              <w:ind w:firstLine="265"/>
                              <w:rPr>
                                <w:rFonts w:ascii="宋体" w:hAnsi="宋体" w:eastAsia="宋体" w:cs="宋体"/>
                                <w:sz w:val="18"/>
                                <w:szCs w:val="18"/>
                              </w:rPr>
                            </w:pPr>
                            <w:r>
                              <w:rPr>
                                <w:rFonts w:ascii="宋体" w:hAnsi="宋体" w:eastAsia="宋体" w:cs="宋体"/>
                                <w:sz w:val="18"/>
                                <w:szCs w:val="18"/>
                              </w:rPr>
                              <w:t>平</w:t>
                            </w:r>
                          </w:p>
                        </w:tc>
                        <w:tc>
                          <w:tcPr>
                            <w:tcW w:w="744" w:type="dxa"/>
                            <w:vAlign w:val="top"/>
                          </w:tcPr>
                          <w:p>
                            <w:pPr>
                              <w:rPr>
                                <w:rFonts w:ascii="Times New Roman"/>
                                <w:sz w:val="21"/>
                              </w:rPr>
                            </w:pPr>
                          </w:p>
                        </w:tc>
                        <w:tc>
                          <w:tcPr>
                            <w:tcW w:w="856" w:type="dxa"/>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473" w:type="dxa"/>
                            <w:vAlign w:val="top"/>
                          </w:tcPr>
                          <w:p>
                            <w:pPr>
                              <w:spacing w:before="116" w:line="160" w:lineRule="auto"/>
                              <w:ind w:firstLine="163"/>
                              <w:rPr>
                                <w:rFonts w:ascii="微软雅黑" w:hAnsi="微软雅黑" w:eastAsia="微软雅黑" w:cs="微软雅黑"/>
                                <w:sz w:val="18"/>
                                <w:szCs w:val="18"/>
                              </w:rPr>
                            </w:pPr>
                            <w:r>
                              <w:rPr>
                                <w:rFonts w:ascii="微软雅黑" w:hAnsi="微软雅黑" w:eastAsia="微软雅黑" w:cs="微软雅黑"/>
                                <w:spacing w:val="-7"/>
                                <w:sz w:val="18"/>
                                <w:szCs w:val="18"/>
                              </w:rPr>
                              <w:t>15</w:t>
                            </w:r>
                          </w:p>
                        </w:tc>
                        <w:tc>
                          <w:tcPr>
                            <w:tcW w:w="891" w:type="dxa"/>
                            <w:vAlign w:val="top"/>
                          </w:tcPr>
                          <w:p>
                            <w:pPr>
                              <w:spacing w:before="59" w:line="360" w:lineRule="auto"/>
                              <w:rPr>
                                <w:rFonts w:ascii="宋体" w:hAnsi="宋体" w:eastAsia="宋体" w:cs="宋体"/>
                                <w:sz w:val="18"/>
                                <w:szCs w:val="18"/>
                              </w:rPr>
                            </w:pPr>
                            <w:r>
                              <w:rPr>
                                <w:rFonts w:ascii="宋体" w:hAnsi="宋体" w:eastAsia="宋体" w:cs="宋体"/>
                                <w:spacing w:val="-5"/>
                                <w:sz w:val="18"/>
                                <w:szCs w:val="18"/>
                              </w:rPr>
                              <w:t>石膏板</w:t>
                            </w:r>
                            <w:r>
                              <w:rPr>
                                <w:rFonts w:hint="eastAsia" w:ascii="宋体" w:hAnsi="宋体" w:eastAsia="宋体" w:cs="宋体"/>
                                <w:spacing w:val="-27"/>
                                <w:sz w:val="22"/>
                                <w:szCs w:val="22"/>
                              </w:rPr>
                              <w:t>造型</w:t>
                            </w:r>
                          </w:p>
                        </w:tc>
                        <w:tc>
                          <w:tcPr>
                            <w:tcW w:w="10108" w:type="dxa"/>
                            <w:vAlign w:val="top"/>
                          </w:tcPr>
                          <w:p>
                            <w:pPr>
                              <w:spacing w:before="28" w:line="360" w:lineRule="auto"/>
                              <w:ind w:firstLine="10"/>
                              <w:rPr>
                                <w:rFonts w:ascii="宋体" w:hAnsi="宋体" w:eastAsia="宋体" w:cs="宋体"/>
                                <w:sz w:val="18"/>
                                <w:szCs w:val="18"/>
                              </w:rPr>
                            </w:pPr>
                            <w:r>
                              <w:rPr>
                                <w:rFonts w:ascii="微软雅黑" w:hAnsi="微软雅黑" w:eastAsia="微软雅黑" w:cs="微软雅黑"/>
                                <w:spacing w:val="-3"/>
                                <w:sz w:val="18"/>
                                <w:szCs w:val="18"/>
                              </w:rPr>
                              <w:t>32</w:t>
                            </w:r>
                            <w:r>
                              <w:rPr>
                                <w:rFonts w:ascii="宋体" w:hAnsi="宋体" w:eastAsia="宋体" w:cs="宋体"/>
                                <w:spacing w:val="-3"/>
                                <w:sz w:val="18"/>
                                <w:szCs w:val="18"/>
                              </w:rPr>
                              <w:t>、采用≥</w:t>
                            </w:r>
                            <w:r>
                              <w:rPr>
                                <w:rFonts w:ascii="微软雅黑" w:hAnsi="微软雅黑" w:eastAsia="微软雅黑" w:cs="微软雅黑"/>
                                <w:spacing w:val="-3"/>
                                <w:sz w:val="18"/>
                                <w:szCs w:val="18"/>
                              </w:rPr>
                              <w:t>15mm</w:t>
                            </w:r>
                            <w:r>
                              <w:rPr>
                                <w:rFonts w:ascii="微软雅黑" w:hAnsi="微软雅黑" w:eastAsia="微软雅黑" w:cs="微软雅黑"/>
                                <w:spacing w:val="6"/>
                                <w:sz w:val="18"/>
                                <w:szCs w:val="18"/>
                              </w:rPr>
                              <w:t xml:space="preserve"> </w:t>
                            </w:r>
                            <w:r>
                              <w:rPr>
                                <w:rFonts w:ascii="宋体" w:hAnsi="宋体" w:eastAsia="宋体" w:cs="宋体"/>
                                <w:spacing w:val="-3"/>
                                <w:sz w:val="18"/>
                                <w:szCs w:val="18"/>
                              </w:rPr>
                              <w:t>阻燃板</w:t>
                            </w:r>
                            <w:r>
                              <w:rPr>
                                <w:rFonts w:ascii="微软雅黑" w:hAnsi="微软雅黑" w:eastAsia="微软雅黑" w:cs="微软雅黑"/>
                                <w:spacing w:val="-3"/>
                                <w:sz w:val="18"/>
                                <w:szCs w:val="18"/>
                              </w:rPr>
                              <w:t>+9.5</w:t>
                            </w:r>
                            <w:r>
                              <w:rPr>
                                <w:rFonts w:ascii="微软雅黑" w:hAnsi="微软雅黑" w:eastAsia="微软雅黑" w:cs="微软雅黑"/>
                                <w:spacing w:val="1"/>
                                <w:sz w:val="18"/>
                                <w:szCs w:val="18"/>
                              </w:rPr>
                              <w:t xml:space="preserve"> </w:t>
                            </w:r>
                            <w:r>
                              <w:rPr>
                                <w:rFonts w:ascii="宋体" w:hAnsi="宋体" w:eastAsia="宋体" w:cs="宋体"/>
                                <w:spacing w:val="-3"/>
                                <w:sz w:val="18"/>
                                <w:szCs w:val="18"/>
                              </w:rPr>
                              <w:t>厚纸面石膏板</w:t>
                            </w:r>
                            <w:r>
                              <w:rPr>
                                <w:rFonts w:ascii="微软雅黑" w:hAnsi="微软雅黑" w:eastAsia="微软雅黑" w:cs="微软雅黑"/>
                                <w:spacing w:val="-3"/>
                                <w:sz w:val="18"/>
                                <w:szCs w:val="18"/>
                              </w:rPr>
                              <w:t>+38</w:t>
                            </w:r>
                            <w:r>
                              <w:rPr>
                                <w:rFonts w:ascii="宋体" w:hAnsi="宋体" w:eastAsia="宋体" w:cs="宋体"/>
                                <w:spacing w:val="-3"/>
                                <w:sz w:val="18"/>
                                <w:szCs w:val="18"/>
                              </w:rPr>
                              <w:t>轻钢龙骨轻钢龙骨造型。所用材料达到</w:t>
                            </w:r>
                            <w:r>
                              <w:rPr>
                                <w:rFonts w:ascii="微软雅黑" w:hAnsi="微软雅黑" w:eastAsia="微软雅黑" w:cs="微软雅黑"/>
                                <w:spacing w:val="-3"/>
                                <w:sz w:val="18"/>
                                <w:szCs w:val="18"/>
                              </w:rPr>
                              <w:t>A</w:t>
                            </w:r>
                            <w:r>
                              <w:rPr>
                                <w:rFonts w:ascii="微软雅黑" w:hAnsi="微软雅黑" w:eastAsia="微软雅黑" w:cs="微软雅黑"/>
                                <w:spacing w:val="1"/>
                                <w:sz w:val="18"/>
                                <w:szCs w:val="18"/>
                              </w:rPr>
                              <w:t xml:space="preserve"> </w:t>
                            </w:r>
                            <w:r>
                              <w:rPr>
                                <w:rFonts w:ascii="宋体" w:hAnsi="宋体" w:eastAsia="宋体" w:cs="宋体"/>
                                <w:spacing w:val="-3"/>
                                <w:sz w:val="18"/>
                                <w:szCs w:val="18"/>
                              </w:rPr>
                              <w:t>级环保标准。在施工前顶面施工设</w:t>
                            </w:r>
                            <w:r>
                              <w:rPr>
                                <w:rFonts w:hint="eastAsia" w:ascii="宋体" w:hAnsi="宋体" w:eastAsia="宋体" w:cs="宋体"/>
                                <w:spacing w:val="-3"/>
                                <w:sz w:val="18"/>
                                <w:szCs w:val="18"/>
                              </w:rPr>
                              <w:t>计方案、及整体效果方案设计，需要根据学校的要求以及学校自有特色元素。在施工前提前提供彩色效果图经校方确认后方可施 工。</w:t>
                            </w:r>
                          </w:p>
                        </w:tc>
                        <w:tc>
                          <w:tcPr>
                            <w:tcW w:w="467" w:type="dxa"/>
                            <w:vAlign w:val="top"/>
                          </w:tcPr>
                          <w:p>
                            <w:pPr>
                              <w:spacing w:before="116" w:line="160" w:lineRule="auto"/>
                              <w:ind w:firstLine="154"/>
                              <w:rPr>
                                <w:rFonts w:ascii="微软雅黑" w:hAnsi="微软雅黑" w:eastAsia="微软雅黑" w:cs="微软雅黑"/>
                                <w:sz w:val="18"/>
                                <w:szCs w:val="18"/>
                              </w:rPr>
                            </w:pPr>
                            <w:r>
                              <w:rPr>
                                <w:rFonts w:ascii="微软雅黑" w:hAnsi="微软雅黑" w:eastAsia="微软雅黑" w:cs="微软雅黑"/>
                                <w:spacing w:val="-8"/>
                                <w:sz w:val="18"/>
                                <w:szCs w:val="18"/>
                              </w:rPr>
                              <w:t>140</w:t>
                            </w:r>
                          </w:p>
                        </w:tc>
                        <w:tc>
                          <w:tcPr>
                            <w:tcW w:w="545" w:type="dxa"/>
                            <w:vAlign w:val="top"/>
                          </w:tcPr>
                          <w:p>
                            <w:pPr>
                              <w:spacing w:before="59" w:line="184" w:lineRule="auto"/>
                              <w:ind w:firstLine="159"/>
                              <w:rPr>
                                <w:rFonts w:ascii="宋体" w:hAnsi="宋体" w:eastAsia="宋体" w:cs="宋体"/>
                                <w:sz w:val="18"/>
                                <w:szCs w:val="18"/>
                              </w:rPr>
                            </w:pPr>
                            <w:r>
                              <w:rPr>
                                <w:rFonts w:ascii="宋体" w:hAnsi="宋体" w:eastAsia="宋体" w:cs="宋体"/>
                                <w:sz w:val="18"/>
                                <w:szCs w:val="18"/>
                              </w:rPr>
                              <w:t>平</w:t>
                            </w:r>
                            <w:r>
                              <w:rPr>
                                <w:rFonts w:hint="eastAsia" w:ascii="宋体" w:hAnsi="宋体" w:eastAsia="宋体" w:cs="宋体"/>
                                <w:spacing w:val="-27"/>
                                <w:sz w:val="22"/>
                                <w:szCs w:val="22"/>
                              </w:rPr>
                              <w:t>米</w:t>
                            </w:r>
                          </w:p>
                        </w:tc>
                        <w:tc>
                          <w:tcPr>
                            <w:tcW w:w="744" w:type="dxa"/>
                            <w:vAlign w:val="top"/>
                          </w:tcPr>
                          <w:p>
                            <w:pPr>
                              <w:rPr>
                                <w:rFonts w:ascii="Times New Roman"/>
                                <w:sz w:val="21"/>
                              </w:rPr>
                            </w:pPr>
                          </w:p>
                        </w:tc>
                        <w:tc>
                          <w:tcPr>
                            <w:tcW w:w="856" w:type="dxa"/>
                            <w:vAlign w:val="top"/>
                          </w:tcPr>
                          <w:p>
                            <w:pPr>
                              <w:rPr>
                                <w:rFonts w:ascii="Times New Roman"/>
                                <w:sz w:val="21"/>
                              </w:rPr>
                            </w:pPr>
                          </w:p>
                        </w:tc>
                      </w:tr>
                    </w:tbl>
                    <w:p>
                      <w:pPr>
                        <w:spacing w:line="241" w:lineRule="exact"/>
                        <w:rPr>
                          <w:rFonts w:ascii="Times New Roman"/>
                          <w:sz w:val="21"/>
                        </w:rPr>
                      </w:pPr>
                    </w:p>
                  </w:txbxContent>
                </v:textbox>
              </v:shape>
            </w:pict>
          </mc:Fallback>
        </mc:AlternateContent>
      </w:r>
    </w:p>
    <w:tbl>
      <w:tblPr>
        <w:tblStyle w:val="375"/>
        <w:tblW w:w="14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891"/>
        <w:gridCol w:w="10108"/>
        <w:gridCol w:w="467"/>
        <w:gridCol w:w="545"/>
        <w:gridCol w:w="744"/>
        <w:gridCol w:w="8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73" w:type="dxa"/>
            <w:vAlign w:val="top"/>
          </w:tcPr>
          <w:p>
            <w:pPr>
              <w:spacing w:line="246" w:lineRule="auto"/>
              <w:jc w:val="both"/>
              <w:rPr>
                <w:rFonts w:hint="eastAsia" w:ascii="宋体" w:hAnsi="宋体" w:eastAsia="宋体" w:cs="宋体"/>
                <w:sz w:val="22"/>
                <w:szCs w:val="24"/>
              </w:rPr>
            </w:pPr>
          </w:p>
          <w:p>
            <w:pPr>
              <w:spacing w:line="247" w:lineRule="auto"/>
              <w:jc w:val="both"/>
              <w:rPr>
                <w:rFonts w:hint="eastAsia" w:ascii="宋体" w:hAnsi="宋体" w:eastAsia="宋体" w:cs="宋体"/>
                <w:sz w:val="22"/>
                <w:szCs w:val="24"/>
              </w:rPr>
            </w:pPr>
          </w:p>
          <w:p>
            <w:pPr>
              <w:spacing w:before="77" w:line="180" w:lineRule="auto"/>
              <w:ind w:firstLine="163"/>
              <w:jc w:val="both"/>
              <w:rPr>
                <w:rFonts w:hint="eastAsia" w:ascii="宋体" w:hAnsi="宋体" w:eastAsia="宋体" w:cs="宋体"/>
                <w:sz w:val="20"/>
                <w:szCs w:val="20"/>
                <w:lang w:eastAsia="zh-CN"/>
              </w:rPr>
            </w:pPr>
            <w:r>
              <w:rPr>
                <w:rFonts w:hint="eastAsia" w:ascii="宋体" w:hAnsi="宋体" w:eastAsia="宋体" w:cs="宋体"/>
                <w:spacing w:val="-7"/>
                <w:sz w:val="20"/>
                <w:szCs w:val="20"/>
              </w:rPr>
              <w:t>1</w:t>
            </w:r>
            <w:r>
              <w:rPr>
                <w:rFonts w:hint="eastAsia" w:ascii="宋体" w:hAnsi="宋体" w:eastAsia="宋体" w:cs="宋体"/>
                <w:spacing w:val="-7"/>
                <w:sz w:val="20"/>
                <w:szCs w:val="20"/>
                <w:lang w:val="en-US" w:eastAsia="zh-CN"/>
              </w:rPr>
              <w:t>6</w:t>
            </w:r>
          </w:p>
        </w:tc>
        <w:tc>
          <w:tcPr>
            <w:tcW w:w="891" w:type="dxa"/>
            <w:vAlign w:val="top"/>
          </w:tcPr>
          <w:p>
            <w:pPr>
              <w:spacing w:before="28" w:line="360" w:lineRule="auto"/>
              <w:ind w:firstLine="10"/>
              <w:rPr>
                <w:rFonts w:hint="eastAsia" w:ascii="宋体" w:hAnsi="宋体" w:eastAsia="宋体" w:cs="宋体"/>
                <w:spacing w:val="-3"/>
                <w:sz w:val="18"/>
                <w:szCs w:val="18"/>
              </w:rPr>
            </w:pPr>
            <w:r>
              <w:rPr>
                <w:rFonts w:hint="eastAsia" w:ascii="宋体" w:hAnsi="宋体" w:eastAsia="宋体" w:cs="宋体"/>
                <w:spacing w:val="-3"/>
                <w:sz w:val="18"/>
                <w:szCs w:val="18"/>
              </w:rPr>
              <w:t>墙面乳胶漆粉刷</w:t>
            </w:r>
          </w:p>
        </w:tc>
        <w:tc>
          <w:tcPr>
            <w:tcW w:w="10108" w:type="dxa"/>
            <w:vAlign w:val="top"/>
          </w:tcPr>
          <w:p>
            <w:pPr>
              <w:spacing w:before="28" w:line="360" w:lineRule="auto"/>
              <w:ind w:firstLine="10"/>
              <w:rPr>
                <w:rFonts w:hint="eastAsia" w:ascii="宋体" w:hAnsi="宋体" w:eastAsia="宋体" w:cs="宋体"/>
                <w:spacing w:val="-3"/>
                <w:sz w:val="18"/>
                <w:szCs w:val="18"/>
              </w:rPr>
            </w:pPr>
            <w:r>
              <w:rPr>
                <w:rFonts w:hint="eastAsia" w:ascii="宋体" w:hAnsi="宋体" w:eastAsia="宋体" w:cs="宋体"/>
                <w:spacing w:val="-3"/>
                <w:sz w:val="18"/>
                <w:szCs w:val="18"/>
                <w:lang w:val="en-US" w:eastAsia="zh-CN"/>
              </w:rPr>
              <w:t>33、</w:t>
            </w:r>
            <w:r>
              <w:rPr>
                <w:rFonts w:hint="eastAsia" w:ascii="宋体" w:hAnsi="宋体" w:eastAsia="宋体" w:cs="宋体"/>
                <w:spacing w:val="-3"/>
                <w:sz w:val="18"/>
                <w:szCs w:val="18"/>
              </w:rPr>
              <w:t xml:space="preserve">材料说明：805胶水、石膏粉、腻子、白水泥、乳胶漆； </w:t>
            </w:r>
          </w:p>
          <w:p>
            <w:pPr>
              <w:spacing w:before="28" w:line="360" w:lineRule="auto"/>
              <w:ind w:firstLine="10"/>
              <w:rPr>
                <w:rFonts w:hint="eastAsia" w:ascii="宋体" w:hAnsi="宋体" w:eastAsia="宋体" w:cs="宋体"/>
                <w:spacing w:val="-3"/>
                <w:sz w:val="18"/>
                <w:szCs w:val="18"/>
              </w:rPr>
            </w:pPr>
            <w:r>
              <w:rPr>
                <w:rFonts w:hint="eastAsia" w:ascii="宋体" w:hAnsi="宋体" w:eastAsia="宋体" w:cs="宋体"/>
                <w:spacing w:val="-3"/>
                <w:sz w:val="18"/>
                <w:szCs w:val="18"/>
              </w:rPr>
              <w:t>34、施工流程：清扫基层，打磨，找补腻子，打磨，乳胶漆;</w:t>
            </w:r>
          </w:p>
          <w:p>
            <w:pPr>
              <w:spacing w:before="28" w:line="360" w:lineRule="auto"/>
              <w:ind w:firstLine="10"/>
              <w:rPr>
                <w:rFonts w:hint="eastAsia" w:ascii="宋体" w:hAnsi="宋体" w:eastAsia="宋体" w:cs="宋体"/>
                <w:spacing w:val="-3"/>
                <w:sz w:val="18"/>
                <w:szCs w:val="18"/>
              </w:rPr>
            </w:pPr>
            <w:r>
              <w:rPr>
                <w:rFonts w:hint="eastAsia" w:ascii="宋体" w:hAnsi="宋体" w:eastAsia="宋体" w:cs="宋体"/>
                <w:spacing w:val="-3"/>
                <w:sz w:val="18"/>
                <w:szCs w:val="18"/>
              </w:rPr>
              <w:t>35、工艺标准：环保乳胶漆，墙面腻子，涂刷乳胶漆底漆≥一遍，面漆≥两遍</w:t>
            </w:r>
          </w:p>
          <w:p>
            <w:pPr>
              <w:spacing w:before="28" w:line="360" w:lineRule="auto"/>
              <w:ind w:firstLine="10"/>
              <w:rPr>
                <w:rFonts w:hint="eastAsia" w:ascii="宋体" w:hAnsi="宋体" w:eastAsia="宋体" w:cs="宋体"/>
                <w:spacing w:val="-3"/>
                <w:sz w:val="18"/>
                <w:szCs w:val="18"/>
              </w:rPr>
            </w:pPr>
            <w:r>
              <w:rPr>
                <w:rFonts w:hint="eastAsia" w:ascii="宋体" w:hAnsi="宋体" w:eastAsia="宋体" w:cs="宋体"/>
                <w:spacing w:val="-3"/>
                <w:sz w:val="18"/>
                <w:szCs w:val="18"/>
              </w:rPr>
              <w:t>36、在施工前提前提供彩色效果图经校方确认后方可施工。</w:t>
            </w:r>
          </w:p>
        </w:tc>
        <w:tc>
          <w:tcPr>
            <w:tcW w:w="467" w:type="dxa"/>
            <w:vAlign w:val="top"/>
          </w:tcPr>
          <w:p>
            <w:pPr>
              <w:spacing w:line="247" w:lineRule="auto"/>
              <w:jc w:val="both"/>
              <w:rPr>
                <w:rFonts w:hint="eastAsia" w:ascii="宋体" w:hAnsi="宋体" w:eastAsia="宋体" w:cs="宋体"/>
                <w:sz w:val="22"/>
                <w:szCs w:val="24"/>
              </w:rPr>
            </w:pPr>
          </w:p>
          <w:p>
            <w:pPr>
              <w:spacing w:line="247" w:lineRule="auto"/>
              <w:jc w:val="both"/>
              <w:rPr>
                <w:rFonts w:hint="eastAsia" w:ascii="宋体" w:hAnsi="宋体" w:eastAsia="宋体" w:cs="宋体"/>
                <w:sz w:val="22"/>
                <w:szCs w:val="24"/>
              </w:rPr>
            </w:pPr>
          </w:p>
          <w:p>
            <w:pPr>
              <w:spacing w:before="77" w:line="180" w:lineRule="auto"/>
              <w:ind w:firstLine="154"/>
              <w:jc w:val="both"/>
              <w:rPr>
                <w:rFonts w:hint="eastAsia" w:ascii="宋体" w:hAnsi="宋体" w:eastAsia="宋体" w:cs="宋体"/>
                <w:sz w:val="20"/>
                <w:szCs w:val="20"/>
              </w:rPr>
            </w:pPr>
            <w:r>
              <w:rPr>
                <w:rFonts w:hint="eastAsia" w:ascii="宋体" w:hAnsi="宋体" w:eastAsia="宋体" w:cs="宋体"/>
                <w:spacing w:val="-8"/>
                <w:sz w:val="20"/>
                <w:szCs w:val="20"/>
              </w:rPr>
              <w:t>140</w:t>
            </w:r>
          </w:p>
        </w:tc>
        <w:tc>
          <w:tcPr>
            <w:tcW w:w="545" w:type="dxa"/>
            <w:textDirection w:val="tbRlV"/>
            <w:vAlign w:val="top"/>
          </w:tcPr>
          <w:p>
            <w:pPr>
              <w:spacing w:before="111" w:line="180" w:lineRule="auto"/>
              <w:ind w:firstLine="379"/>
              <w:jc w:val="both"/>
              <w:rPr>
                <w:rFonts w:hint="eastAsia" w:ascii="宋体" w:hAnsi="宋体" w:eastAsia="宋体" w:cs="宋体"/>
                <w:sz w:val="20"/>
                <w:szCs w:val="20"/>
              </w:rPr>
            </w:pPr>
            <w:r>
              <w:rPr>
                <w:rFonts w:hint="eastAsia" w:ascii="宋体" w:hAnsi="宋体" w:eastAsia="宋体" w:cs="宋体"/>
                <w:sz w:val="22"/>
                <w:szCs w:val="24"/>
              </w:rPr>
              <mc:AlternateContent>
                <mc:Choice Requires="wps">
                  <w:drawing>
                    <wp:anchor distT="0" distB="0" distL="114300" distR="114300" simplePos="0" relativeHeight="251680768" behindDoc="0" locked="0" layoutInCell="1" allowOverlap="1">
                      <wp:simplePos x="0" y="0"/>
                      <wp:positionH relativeFrom="rightMargin">
                        <wp:posOffset>-254000</wp:posOffset>
                      </wp:positionH>
                      <wp:positionV relativeFrom="topMargin">
                        <wp:posOffset>456565</wp:posOffset>
                      </wp:positionV>
                      <wp:extent cx="142240" cy="1397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42240" cy="139700"/>
                              </a:xfrm>
                              <a:prstGeom prst="rect">
                                <a:avLst/>
                              </a:prstGeom>
                              <a:noFill/>
                              <a:ln>
                                <a:noFill/>
                              </a:ln>
                            </wps:spPr>
                            <wps:txbx>
                              <w:txbxContent>
                                <w:p>
                                  <w:pPr>
                                    <w:spacing w:before="20" w:line="182" w:lineRule="auto"/>
                                    <w:ind w:firstLine="20"/>
                                    <w:rPr>
                                      <w:rFonts w:ascii="宋体" w:hAnsi="宋体" w:eastAsia="宋体" w:cs="宋体"/>
                                      <w:sz w:val="18"/>
                                      <w:szCs w:val="18"/>
                                    </w:rPr>
                                  </w:pPr>
                                  <w:r>
                                    <w:rPr>
                                      <w:rFonts w:ascii="宋体" w:hAnsi="宋体" w:eastAsia="宋体" w:cs="宋体"/>
                                      <w:sz w:val="18"/>
                                      <w:szCs w:val="18"/>
                                    </w:rPr>
                                    <w:t>米</w:t>
                                  </w:r>
                                </w:p>
                              </w:txbxContent>
                            </wps:txbx>
                            <wps:bodyPr vert="eaVert" lIns="0" tIns="0" rIns="0" bIns="0" upright="1"/>
                          </wps:wsp>
                        </a:graphicData>
                      </a:graphic>
                    </wp:anchor>
                  </w:drawing>
                </mc:Choice>
                <mc:Fallback>
                  <w:pict>
                    <v:shape id="_x0000_s1026" o:spid="_x0000_s1026" o:spt="202" type="#_x0000_t202" style="position:absolute;left:0pt;margin-left:7.15pt;margin-top:36.2pt;height:11pt;width:11.2pt;mso-position-horizontal-relative:page;mso-position-vertical-relative:page;z-index:251680768;mso-width-relative:page;mso-height-relative:page;" filled="f" stroked="f" coordsize="21600,21600" o:gfxdata="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M1GT9cAAAAJAQAADwAAAAAAAAABACAAAAAiAAAAZHJzL2Rvd25yZXYu&#10;eG1sUEsBAhQAFAAAAAgAh07iQDD5+kTDAQAAfwMAAA4AAAAAAAAAAQAgAAAAJgEAAGRycy9lMm9E&#10;b2MueG1sUEsFBgAAAAAGAAYAWQEAAFsFAAAAAA==&#10;">
                      <v:fill on="f" focussize="0,0"/>
                      <v:stroke on="f"/>
                      <v:imagedata o:title=""/>
                      <o:lock v:ext="edit" aspectratio="f"/>
                      <v:textbox inset="0mm,0mm,0mm,0mm" style="layout-flow:vertical-ideographic;">
                        <w:txbxContent>
                          <w:p>
                            <w:pPr>
                              <w:spacing w:before="20" w:line="182" w:lineRule="auto"/>
                              <w:ind w:firstLine="20"/>
                              <w:rPr>
                                <w:rFonts w:ascii="宋体" w:hAnsi="宋体" w:eastAsia="宋体" w:cs="宋体"/>
                                <w:sz w:val="18"/>
                                <w:szCs w:val="18"/>
                              </w:rPr>
                            </w:pPr>
                            <w:r>
                              <w:rPr>
                                <w:rFonts w:ascii="宋体" w:hAnsi="宋体" w:eastAsia="宋体" w:cs="宋体"/>
                                <w:sz w:val="18"/>
                                <w:szCs w:val="18"/>
                              </w:rPr>
                              <w:t>米</w:t>
                            </w:r>
                          </w:p>
                        </w:txbxContent>
                      </v:textbox>
                    </v:shape>
                  </w:pict>
                </mc:Fallback>
              </mc:AlternateContent>
            </w:r>
            <w:r>
              <w:rPr>
                <w:rFonts w:hint="eastAsia" w:ascii="宋体" w:hAnsi="宋体" w:eastAsia="宋体" w:cs="宋体"/>
                <w:sz w:val="20"/>
                <w:szCs w:val="20"/>
              </w:rPr>
              <w:t>平</w:t>
            </w:r>
          </w:p>
        </w:tc>
        <w:tc>
          <w:tcPr>
            <w:tcW w:w="744" w:type="dxa"/>
            <w:vAlign w:val="top"/>
          </w:tcPr>
          <w:p>
            <w:pPr>
              <w:jc w:val="both"/>
              <w:rPr>
                <w:rFonts w:hint="eastAsia" w:ascii="宋体" w:hAnsi="宋体" w:eastAsia="宋体" w:cs="宋体"/>
                <w:sz w:val="22"/>
                <w:szCs w:val="24"/>
              </w:rPr>
            </w:pPr>
          </w:p>
        </w:tc>
        <w:tc>
          <w:tcPr>
            <w:tcW w:w="856" w:type="dxa"/>
            <w:vAlign w:val="top"/>
          </w:tcPr>
          <w:p>
            <w:pPr>
              <w:jc w:val="both"/>
              <w:rPr>
                <w:rFonts w:hint="eastAsia" w:ascii="宋体" w:hAnsi="宋体" w:eastAsia="宋体" w:cs="宋体"/>
                <w:sz w:val="22"/>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473" w:type="dxa"/>
            <w:vAlign w:val="top"/>
          </w:tcPr>
          <w:p>
            <w:pPr>
              <w:spacing w:before="268" w:line="180" w:lineRule="auto"/>
              <w:ind w:firstLine="163"/>
              <w:jc w:val="both"/>
              <w:rPr>
                <w:rFonts w:hint="eastAsia" w:ascii="宋体" w:hAnsi="宋体" w:eastAsia="宋体" w:cs="宋体"/>
                <w:sz w:val="20"/>
                <w:szCs w:val="20"/>
                <w:lang w:eastAsia="zh-CN"/>
              </w:rPr>
            </w:pPr>
            <w:r>
              <w:rPr>
                <w:rFonts w:hint="eastAsia" w:ascii="宋体" w:hAnsi="宋体" w:eastAsia="宋体" w:cs="宋体"/>
                <w:spacing w:val="-7"/>
                <w:sz w:val="20"/>
                <w:szCs w:val="20"/>
              </w:rPr>
              <w:t>1</w:t>
            </w:r>
            <w:r>
              <w:rPr>
                <w:rFonts w:hint="eastAsia" w:ascii="宋体" w:hAnsi="宋体" w:eastAsia="宋体" w:cs="宋体"/>
                <w:spacing w:val="-7"/>
                <w:sz w:val="20"/>
                <w:szCs w:val="20"/>
                <w:lang w:val="en-US" w:eastAsia="zh-CN"/>
              </w:rPr>
              <w:t>7</w:t>
            </w:r>
          </w:p>
        </w:tc>
        <w:tc>
          <w:tcPr>
            <w:tcW w:w="891" w:type="dxa"/>
            <w:vAlign w:val="top"/>
          </w:tcPr>
          <w:p>
            <w:pPr>
              <w:spacing w:before="28" w:line="360" w:lineRule="auto"/>
              <w:ind w:firstLine="10"/>
              <w:rPr>
                <w:rFonts w:hint="eastAsia" w:ascii="宋体" w:hAnsi="宋体" w:eastAsia="宋体" w:cs="宋体"/>
                <w:spacing w:val="-3"/>
                <w:sz w:val="18"/>
                <w:szCs w:val="18"/>
              </w:rPr>
            </w:pPr>
            <w:r>
              <w:rPr>
                <w:rFonts w:hint="eastAsia" w:ascii="宋体" w:hAnsi="宋体" w:eastAsia="宋体" w:cs="宋体"/>
                <w:spacing w:val="-3"/>
                <w:sz w:val="18"/>
                <w:szCs w:val="18"/>
              </w:rPr>
              <w:t>强化地板</w:t>
            </w:r>
          </w:p>
        </w:tc>
        <w:tc>
          <w:tcPr>
            <w:tcW w:w="10108" w:type="dxa"/>
            <w:vAlign w:val="top"/>
          </w:tcPr>
          <w:p>
            <w:pPr>
              <w:spacing w:before="28" w:line="360" w:lineRule="auto"/>
              <w:ind w:firstLine="10"/>
              <w:rPr>
                <w:rFonts w:hint="eastAsia" w:ascii="宋体" w:hAnsi="宋体" w:eastAsia="宋体" w:cs="宋体"/>
                <w:spacing w:val="-3"/>
                <w:sz w:val="18"/>
                <w:szCs w:val="18"/>
              </w:rPr>
            </w:pPr>
            <w:r>
              <w:rPr>
                <w:rFonts w:hint="eastAsia" w:ascii="宋体" w:hAnsi="宋体" w:eastAsia="宋体" w:cs="宋体"/>
                <w:spacing w:val="-3"/>
                <w:sz w:val="18"/>
                <w:szCs w:val="18"/>
              </w:rPr>
              <w:t>37、≥1220mmX199mmX12mm(±0.1cm)</w:t>
            </w:r>
          </w:p>
          <w:p>
            <w:pPr>
              <w:spacing w:before="28" w:line="360" w:lineRule="auto"/>
              <w:ind w:firstLine="10"/>
              <w:rPr>
                <w:rFonts w:hint="eastAsia" w:ascii="宋体" w:hAnsi="宋体" w:eastAsia="宋体" w:cs="宋体"/>
                <w:spacing w:val="-3"/>
                <w:sz w:val="18"/>
                <w:szCs w:val="18"/>
              </w:rPr>
            </w:pPr>
            <w:r>
              <w:rPr>
                <w:rFonts w:hint="eastAsia" w:ascii="宋体" w:hAnsi="宋体" w:eastAsia="宋体" w:cs="宋体"/>
                <w:spacing w:val="-3"/>
                <w:sz w:val="18"/>
                <w:szCs w:val="18"/>
              </w:rPr>
              <w:t>38、材质：强化木质环保地板</w:t>
            </w:r>
          </w:p>
        </w:tc>
        <w:tc>
          <w:tcPr>
            <w:tcW w:w="467" w:type="dxa"/>
            <w:vAlign w:val="top"/>
          </w:tcPr>
          <w:p>
            <w:pPr>
              <w:spacing w:before="268" w:line="180" w:lineRule="auto"/>
              <w:ind w:firstLine="154"/>
              <w:jc w:val="both"/>
              <w:rPr>
                <w:rFonts w:hint="eastAsia" w:ascii="宋体" w:hAnsi="宋体" w:eastAsia="宋体" w:cs="宋体"/>
                <w:sz w:val="20"/>
                <w:szCs w:val="20"/>
              </w:rPr>
            </w:pPr>
            <w:r>
              <w:rPr>
                <w:rFonts w:hint="eastAsia" w:ascii="宋体" w:hAnsi="宋体" w:eastAsia="宋体" w:cs="宋体"/>
                <w:spacing w:val="-8"/>
                <w:sz w:val="20"/>
                <w:szCs w:val="20"/>
              </w:rPr>
              <w:t>140</w:t>
            </w:r>
          </w:p>
        </w:tc>
        <w:tc>
          <w:tcPr>
            <w:tcW w:w="545" w:type="dxa"/>
            <w:textDirection w:val="tbRlV"/>
            <w:vAlign w:val="top"/>
          </w:tcPr>
          <w:p>
            <w:pPr>
              <w:spacing w:before="111" w:line="180" w:lineRule="auto"/>
              <w:ind w:firstLine="68"/>
              <w:jc w:val="both"/>
              <w:rPr>
                <w:rFonts w:hint="eastAsia" w:ascii="宋体" w:hAnsi="宋体" w:eastAsia="宋体" w:cs="宋体"/>
                <w:sz w:val="20"/>
                <w:szCs w:val="20"/>
              </w:rPr>
            </w:pPr>
            <w:r>
              <w:rPr>
                <w:rFonts w:hint="eastAsia" w:ascii="宋体" w:hAnsi="宋体" w:eastAsia="宋体" w:cs="宋体"/>
                <w:sz w:val="22"/>
                <w:szCs w:val="24"/>
              </w:rPr>
              <mc:AlternateContent>
                <mc:Choice Requires="wps">
                  <w:drawing>
                    <wp:anchor distT="0" distB="0" distL="114300" distR="114300" simplePos="0" relativeHeight="251679744" behindDoc="0" locked="0" layoutInCell="1" allowOverlap="1">
                      <wp:simplePos x="0" y="0"/>
                      <wp:positionH relativeFrom="rightMargin">
                        <wp:posOffset>-254000</wp:posOffset>
                      </wp:positionH>
                      <wp:positionV relativeFrom="topMargin">
                        <wp:posOffset>259080</wp:posOffset>
                      </wp:positionV>
                      <wp:extent cx="142240" cy="1397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42240" cy="139700"/>
                              </a:xfrm>
                              <a:prstGeom prst="rect">
                                <a:avLst/>
                              </a:prstGeom>
                              <a:noFill/>
                              <a:ln>
                                <a:noFill/>
                              </a:ln>
                            </wps:spPr>
                            <wps:txbx>
                              <w:txbxContent>
                                <w:p>
                                  <w:pPr>
                                    <w:spacing w:before="20" w:line="182" w:lineRule="auto"/>
                                    <w:ind w:firstLine="20"/>
                                    <w:rPr>
                                      <w:rFonts w:ascii="宋体" w:hAnsi="宋体" w:eastAsia="宋体" w:cs="宋体"/>
                                      <w:sz w:val="18"/>
                                      <w:szCs w:val="18"/>
                                    </w:rPr>
                                  </w:pPr>
                                  <w:r>
                                    <w:rPr>
                                      <w:rFonts w:ascii="宋体" w:hAnsi="宋体" w:eastAsia="宋体" w:cs="宋体"/>
                                      <w:sz w:val="18"/>
                                      <w:szCs w:val="18"/>
                                    </w:rPr>
                                    <w:t>米</w:t>
                                  </w:r>
                                </w:p>
                              </w:txbxContent>
                            </wps:txbx>
                            <wps:bodyPr vert="eaVert" lIns="0" tIns="0" rIns="0" bIns="0" upright="1"/>
                          </wps:wsp>
                        </a:graphicData>
                      </a:graphic>
                    </wp:anchor>
                  </w:drawing>
                </mc:Choice>
                <mc:Fallback>
                  <w:pict>
                    <v:shape id="_x0000_s1026" o:spid="_x0000_s1026" o:spt="202" type="#_x0000_t202" style="position:absolute;left:0pt;margin-left:7.15pt;margin-top:20.65pt;height:11pt;width:11.2pt;mso-position-horizontal-relative:page;mso-position-vertical-relative:page;z-index:251679744;mso-width-relative:page;mso-height-relative:page;" filled="f" stroked="f" coordsize="21600,21600" o:gfxdata="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Tq+6dcAAAAJAQAADwAAAAAAAAABACAAAAAiAAAAZHJzL2Rvd25yZXYu&#10;eG1sUEsBAhQAFAAAAAgAh07iQCZoqP/DAQAAgQMAAA4AAAAAAAAAAQAgAAAAJgEAAGRycy9lMm9E&#10;b2MueG1sUEsFBgAAAAAGAAYAWQEAAFsFAAAAAA==&#10;">
                      <v:fill on="f" focussize="0,0"/>
                      <v:stroke on="f"/>
                      <v:imagedata o:title=""/>
                      <o:lock v:ext="edit" aspectratio="f"/>
                      <v:textbox inset="0mm,0mm,0mm,0mm" style="layout-flow:vertical-ideographic;">
                        <w:txbxContent>
                          <w:p>
                            <w:pPr>
                              <w:spacing w:before="20" w:line="182" w:lineRule="auto"/>
                              <w:ind w:firstLine="20"/>
                              <w:rPr>
                                <w:rFonts w:ascii="宋体" w:hAnsi="宋体" w:eastAsia="宋体" w:cs="宋体"/>
                                <w:sz w:val="18"/>
                                <w:szCs w:val="18"/>
                              </w:rPr>
                            </w:pPr>
                            <w:r>
                              <w:rPr>
                                <w:rFonts w:ascii="宋体" w:hAnsi="宋体" w:eastAsia="宋体" w:cs="宋体"/>
                                <w:sz w:val="18"/>
                                <w:szCs w:val="18"/>
                              </w:rPr>
                              <w:t>米</w:t>
                            </w:r>
                          </w:p>
                        </w:txbxContent>
                      </v:textbox>
                    </v:shape>
                  </w:pict>
                </mc:Fallback>
              </mc:AlternateContent>
            </w:r>
            <w:r>
              <w:rPr>
                <w:rFonts w:hint="eastAsia" w:ascii="宋体" w:hAnsi="宋体" w:eastAsia="宋体" w:cs="宋体"/>
                <w:sz w:val="20"/>
                <w:szCs w:val="20"/>
              </w:rPr>
              <w:t>平</w:t>
            </w:r>
          </w:p>
        </w:tc>
        <w:tc>
          <w:tcPr>
            <w:tcW w:w="744" w:type="dxa"/>
            <w:vAlign w:val="top"/>
          </w:tcPr>
          <w:p>
            <w:pPr>
              <w:jc w:val="both"/>
              <w:rPr>
                <w:rFonts w:hint="eastAsia" w:ascii="宋体" w:hAnsi="宋体" w:eastAsia="宋体" w:cs="宋体"/>
                <w:sz w:val="22"/>
                <w:szCs w:val="24"/>
              </w:rPr>
            </w:pPr>
          </w:p>
        </w:tc>
        <w:tc>
          <w:tcPr>
            <w:tcW w:w="856" w:type="dxa"/>
            <w:vAlign w:val="top"/>
          </w:tcPr>
          <w:p>
            <w:pPr>
              <w:jc w:val="both"/>
              <w:rPr>
                <w:rFonts w:hint="eastAsia" w:ascii="宋体" w:hAnsi="宋体" w:eastAsia="宋体" w:cs="宋体"/>
                <w:sz w:val="22"/>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73" w:type="dxa"/>
            <w:vAlign w:val="top"/>
          </w:tcPr>
          <w:p>
            <w:pPr>
              <w:spacing w:before="271" w:line="180" w:lineRule="auto"/>
              <w:ind w:firstLine="153"/>
              <w:jc w:val="both"/>
              <w:rPr>
                <w:rFonts w:hint="eastAsia" w:ascii="宋体" w:hAnsi="宋体" w:eastAsia="宋体" w:cs="宋体"/>
                <w:sz w:val="20"/>
                <w:szCs w:val="20"/>
                <w:lang w:val="en-US" w:eastAsia="zh-CN"/>
              </w:rPr>
            </w:pPr>
            <w:r>
              <w:rPr>
                <w:rFonts w:hint="eastAsia" w:ascii="宋体" w:hAnsi="宋体" w:eastAsia="宋体" w:cs="宋体"/>
                <w:spacing w:val="-5"/>
                <w:sz w:val="20"/>
                <w:szCs w:val="20"/>
              </w:rPr>
              <w:t>19</w:t>
            </w:r>
            <w:r>
              <w:rPr>
                <w:rFonts w:hint="eastAsia" w:ascii="宋体" w:hAnsi="宋体" w:eastAsia="宋体" w:cs="宋体"/>
                <w:spacing w:val="-5"/>
                <w:sz w:val="20"/>
                <w:szCs w:val="20"/>
                <w:lang w:val="en-US" w:eastAsia="zh-CN"/>
              </w:rPr>
              <w:t>8</w:t>
            </w:r>
          </w:p>
        </w:tc>
        <w:tc>
          <w:tcPr>
            <w:tcW w:w="891" w:type="dxa"/>
            <w:vAlign w:val="top"/>
          </w:tcPr>
          <w:p>
            <w:pPr>
              <w:spacing w:before="28" w:line="360" w:lineRule="auto"/>
              <w:ind w:firstLine="10"/>
              <w:rPr>
                <w:rFonts w:hint="eastAsia" w:ascii="宋体" w:hAnsi="宋体" w:eastAsia="宋体" w:cs="宋体"/>
                <w:spacing w:val="-3"/>
                <w:sz w:val="18"/>
                <w:szCs w:val="18"/>
              </w:rPr>
            </w:pPr>
            <w:r>
              <w:rPr>
                <w:rFonts w:hint="eastAsia" w:ascii="宋体" w:hAnsi="宋体" w:eastAsia="宋体" w:cs="宋体"/>
                <w:spacing w:val="-3"/>
                <w:sz w:val="18"/>
                <w:szCs w:val="18"/>
              </w:rPr>
              <w:t>系统安装调试</w:t>
            </w:r>
          </w:p>
        </w:tc>
        <w:tc>
          <w:tcPr>
            <w:tcW w:w="10108" w:type="dxa"/>
            <w:vAlign w:val="top"/>
          </w:tcPr>
          <w:p>
            <w:pPr>
              <w:spacing w:before="28" w:line="360" w:lineRule="auto"/>
              <w:ind w:firstLine="10"/>
              <w:rPr>
                <w:rFonts w:hint="eastAsia" w:ascii="宋体" w:hAnsi="宋体" w:eastAsia="宋体" w:cs="宋体"/>
                <w:spacing w:val="-3"/>
                <w:sz w:val="18"/>
                <w:szCs w:val="18"/>
              </w:rPr>
            </w:pPr>
            <w:r>
              <w:rPr>
                <w:rFonts w:hint="eastAsia" w:ascii="宋体" w:hAnsi="宋体" w:eastAsia="宋体" w:cs="宋体"/>
                <w:spacing w:val="-3"/>
                <w:sz w:val="18"/>
                <w:szCs w:val="18"/>
              </w:rPr>
              <w:t>39、为了设备的配套兼容性，和售后服务的完整性， 并由厂家负责系统的安装、调试及培训。安装费含运输费、保险费、安装调试费。</w:t>
            </w:r>
          </w:p>
        </w:tc>
        <w:tc>
          <w:tcPr>
            <w:tcW w:w="467" w:type="dxa"/>
            <w:vAlign w:val="top"/>
          </w:tcPr>
          <w:p>
            <w:pPr>
              <w:spacing w:before="252" w:line="180" w:lineRule="auto"/>
              <w:ind w:firstLine="209"/>
              <w:jc w:val="both"/>
              <w:rPr>
                <w:rFonts w:hint="eastAsia" w:ascii="宋体" w:hAnsi="宋体" w:eastAsia="宋体" w:cs="宋体"/>
                <w:sz w:val="20"/>
                <w:szCs w:val="20"/>
              </w:rPr>
            </w:pPr>
            <w:r>
              <w:rPr>
                <w:rFonts w:hint="eastAsia" w:ascii="宋体" w:hAnsi="宋体" w:eastAsia="宋体" w:cs="宋体"/>
                <w:sz w:val="20"/>
                <w:szCs w:val="20"/>
              </w:rPr>
              <w:t>1</w:t>
            </w:r>
          </w:p>
        </w:tc>
        <w:tc>
          <w:tcPr>
            <w:tcW w:w="545" w:type="dxa"/>
            <w:vAlign w:val="top"/>
          </w:tcPr>
          <w:p>
            <w:pPr>
              <w:spacing w:before="227" w:line="184" w:lineRule="auto"/>
              <w:ind w:firstLine="189"/>
              <w:jc w:val="both"/>
              <w:rPr>
                <w:rFonts w:hint="eastAsia" w:ascii="宋体" w:hAnsi="宋体" w:eastAsia="宋体" w:cs="宋体"/>
                <w:sz w:val="20"/>
                <w:szCs w:val="20"/>
              </w:rPr>
            </w:pPr>
            <w:r>
              <w:rPr>
                <w:rFonts w:hint="eastAsia" w:ascii="宋体" w:hAnsi="宋体" w:eastAsia="宋体" w:cs="宋体"/>
                <w:sz w:val="20"/>
                <w:szCs w:val="20"/>
              </w:rPr>
              <w:t>套</w:t>
            </w:r>
          </w:p>
        </w:tc>
        <w:tc>
          <w:tcPr>
            <w:tcW w:w="744" w:type="dxa"/>
            <w:vAlign w:val="top"/>
          </w:tcPr>
          <w:p>
            <w:pPr>
              <w:jc w:val="both"/>
              <w:rPr>
                <w:rFonts w:hint="eastAsia" w:ascii="宋体" w:hAnsi="宋体" w:eastAsia="宋体" w:cs="宋体"/>
                <w:sz w:val="22"/>
                <w:szCs w:val="24"/>
              </w:rPr>
            </w:pPr>
          </w:p>
        </w:tc>
        <w:tc>
          <w:tcPr>
            <w:tcW w:w="856" w:type="dxa"/>
            <w:vAlign w:val="top"/>
          </w:tcPr>
          <w:p>
            <w:pPr>
              <w:jc w:val="both"/>
              <w:rPr>
                <w:rFonts w:hint="eastAsia" w:ascii="宋体" w:hAnsi="宋体" w:eastAsia="宋体" w:cs="宋体"/>
                <w:sz w:val="22"/>
                <w:szCs w:val="24"/>
              </w:rPr>
            </w:pPr>
          </w:p>
        </w:tc>
      </w:tr>
    </w:tbl>
    <w:p>
      <w:pPr>
        <w:rPr>
          <w:rFonts w:ascii="Calibri"/>
          <w:sz w:val="21"/>
        </w:rPr>
      </w:pPr>
    </w:p>
    <w:p>
      <w:pPr>
        <w:sectPr>
          <w:headerReference r:id="rId31" w:type="default"/>
          <w:footerReference r:id="rId32" w:type="default"/>
          <w:pgSz w:w="16839" w:h="11906"/>
          <w:pgMar w:top="400" w:right="1327" w:bottom="1103" w:left="1420" w:header="0" w:footer="985" w:gutter="0"/>
          <w:cols w:space="720" w:num="1"/>
        </w:sectPr>
      </w:pPr>
    </w:p>
    <w:p>
      <w:pPr>
        <w:spacing w:line="341" w:lineRule="auto"/>
        <w:rPr>
          <w:rFonts w:ascii="Calibri"/>
          <w:sz w:val="21"/>
        </w:rPr>
      </w:pPr>
    </w:p>
    <w:p>
      <w:pPr>
        <w:spacing w:before="91" w:line="180" w:lineRule="auto"/>
        <w:ind w:firstLine="30"/>
        <w:outlineLvl w:val="2"/>
        <w:rPr>
          <w:rFonts w:ascii="宋体" w:hAnsi="宋体" w:eastAsia="宋体" w:cs="宋体"/>
          <w:sz w:val="24"/>
          <w:szCs w:val="24"/>
        </w:rPr>
      </w:pPr>
      <w:bookmarkStart w:id="206" w:name="_bookmark24"/>
      <w:bookmarkEnd w:id="206"/>
      <w:bookmarkStart w:id="207" w:name="_Toc18786"/>
      <w:r>
        <w:rPr>
          <w:rFonts w:ascii="宋体" w:hAnsi="宋体" w:eastAsia="宋体" w:cs="宋体"/>
          <w:spacing w:val="-2"/>
          <w:sz w:val="28"/>
          <w:szCs w:val="28"/>
          <w14:textOutline w14:w="5103" w14:cap="sq" w14:cmpd="sng">
            <w14:solidFill>
              <w14:srgbClr w14:val="000000"/>
            </w14:solidFill>
            <w14:prstDash w14:val="solid"/>
            <w14:bevel/>
          </w14:textOutline>
        </w:rPr>
        <w:t>3.4.2</w:t>
      </w:r>
      <w:r>
        <w:rPr>
          <w:rFonts w:ascii="宋体" w:hAnsi="宋体" w:eastAsia="宋体" w:cs="宋体"/>
          <w:spacing w:val="-55"/>
          <w:sz w:val="28"/>
          <w:szCs w:val="28"/>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智慧教室设备</w:t>
      </w:r>
      <w:bookmarkEnd w:id="207"/>
    </w:p>
    <w:p>
      <w:pPr>
        <w:spacing w:line="242" w:lineRule="auto"/>
        <w:rPr>
          <w:rFonts w:ascii="Calibri"/>
          <w:sz w:val="21"/>
        </w:rPr>
      </w:pPr>
    </w:p>
    <w:p>
      <w:pPr>
        <w:spacing w:line="242" w:lineRule="auto"/>
        <w:rPr>
          <w:rFonts w:ascii="Calibri"/>
          <w:sz w:val="21"/>
        </w:rPr>
      </w:pPr>
    </w:p>
    <w:p>
      <w:pPr>
        <w:spacing w:before="68" w:line="411" w:lineRule="auto"/>
        <w:ind w:left="21" w:right="157" w:firstLine="425"/>
        <w:rPr>
          <w:rFonts w:ascii="宋体" w:hAnsi="宋体" w:eastAsia="宋体" w:cs="宋体"/>
          <w:sz w:val="21"/>
          <w:szCs w:val="21"/>
        </w:rPr>
      </w:pPr>
      <w:r>
        <w:rPr>
          <w:rFonts w:ascii="宋体" w:hAnsi="宋体" w:eastAsia="宋体" w:cs="宋体"/>
          <w:spacing w:val="-5"/>
          <w:sz w:val="21"/>
          <w:szCs w:val="21"/>
        </w:rPr>
        <w:t>学校现共有功能室</w:t>
      </w:r>
      <w:r>
        <w:rPr>
          <w:rFonts w:ascii="宋体" w:hAnsi="宋体" w:eastAsia="宋体" w:cs="宋体"/>
          <w:spacing w:val="-9"/>
          <w:sz w:val="21"/>
          <w:szCs w:val="21"/>
        </w:rPr>
        <w:t xml:space="preserve"> </w:t>
      </w:r>
      <w:r>
        <w:rPr>
          <w:rFonts w:ascii="宋体" w:hAnsi="宋体" w:eastAsia="宋体" w:cs="宋体"/>
          <w:spacing w:val="-5"/>
          <w:sz w:val="21"/>
          <w:szCs w:val="21"/>
        </w:rPr>
        <w:t>25</w:t>
      </w:r>
      <w:r>
        <w:rPr>
          <w:rFonts w:ascii="宋体" w:hAnsi="宋体" w:eastAsia="宋体" w:cs="宋体"/>
          <w:spacing w:val="-29"/>
          <w:sz w:val="21"/>
          <w:szCs w:val="21"/>
        </w:rPr>
        <w:t xml:space="preserve"> </w:t>
      </w:r>
      <w:r>
        <w:rPr>
          <w:rFonts w:ascii="宋体" w:hAnsi="宋体" w:eastAsia="宋体" w:cs="宋体"/>
          <w:spacing w:val="-5"/>
          <w:sz w:val="21"/>
          <w:szCs w:val="21"/>
        </w:rPr>
        <w:t>间，其中音乐教室</w:t>
      </w:r>
      <w:r>
        <w:rPr>
          <w:rFonts w:ascii="宋体" w:hAnsi="宋体" w:eastAsia="宋体" w:cs="宋体"/>
          <w:spacing w:val="-43"/>
          <w:sz w:val="21"/>
          <w:szCs w:val="21"/>
        </w:rPr>
        <w:t xml:space="preserve"> </w:t>
      </w:r>
      <w:r>
        <w:rPr>
          <w:rFonts w:ascii="宋体" w:hAnsi="宋体" w:eastAsia="宋体" w:cs="宋体"/>
          <w:spacing w:val="-5"/>
          <w:sz w:val="21"/>
          <w:szCs w:val="21"/>
        </w:rPr>
        <w:t>4</w:t>
      </w:r>
      <w:r>
        <w:rPr>
          <w:rFonts w:ascii="宋体" w:hAnsi="宋体" w:eastAsia="宋体" w:cs="宋体"/>
          <w:spacing w:val="-27"/>
          <w:sz w:val="21"/>
          <w:szCs w:val="21"/>
        </w:rPr>
        <w:t xml:space="preserve"> </w:t>
      </w:r>
      <w:r>
        <w:rPr>
          <w:rFonts w:ascii="宋体" w:hAnsi="宋体" w:eastAsia="宋体" w:cs="宋体"/>
          <w:spacing w:val="-5"/>
          <w:sz w:val="21"/>
          <w:szCs w:val="21"/>
        </w:rPr>
        <w:t>间、美术教室</w:t>
      </w:r>
      <w:r>
        <w:rPr>
          <w:rFonts w:ascii="宋体" w:hAnsi="宋体" w:eastAsia="宋体" w:cs="宋体"/>
          <w:spacing w:val="-39"/>
          <w:sz w:val="21"/>
          <w:szCs w:val="21"/>
        </w:rPr>
        <w:t xml:space="preserve"> </w:t>
      </w:r>
      <w:r>
        <w:rPr>
          <w:rFonts w:ascii="宋体" w:hAnsi="宋体" w:eastAsia="宋体" w:cs="宋体"/>
          <w:spacing w:val="-5"/>
          <w:sz w:val="21"/>
          <w:szCs w:val="21"/>
        </w:rPr>
        <w:t>2</w:t>
      </w:r>
      <w:r>
        <w:rPr>
          <w:rFonts w:ascii="宋体" w:hAnsi="宋体" w:eastAsia="宋体" w:cs="宋体"/>
          <w:spacing w:val="-29"/>
          <w:sz w:val="21"/>
          <w:szCs w:val="21"/>
        </w:rPr>
        <w:t xml:space="preserve"> </w:t>
      </w:r>
      <w:r>
        <w:rPr>
          <w:rFonts w:ascii="宋体" w:hAnsi="宋体" w:eastAsia="宋体" w:cs="宋体"/>
          <w:spacing w:val="-5"/>
          <w:sz w:val="21"/>
          <w:szCs w:val="21"/>
        </w:rPr>
        <w:t>间、计算机房</w:t>
      </w:r>
      <w:r>
        <w:rPr>
          <w:rFonts w:ascii="宋体" w:hAnsi="宋体" w:eastAsia="宋体" w:cs="宋体"/>
          <w:spacing w:val="-26"/>
          <w:sz w:val="21"/>
          <w:szCs w:val="21"/>
        </w:rPr>
        <w:t xml:space="preserve"> </w:t>
      </w:r>
      <w:r>
        <w:rPr>
          <w:rFonts w:ascii="宋体" w:hAnsi="宋体" w:eastAsia="宋体" w:cs="宋体"/>
          <w:spacing w:val="-5"/>
          <w:sz w:val="21"/>
          <w:szCs w:val="21"/>
        </w:rPr>
        <w:t>1</w:t>
      </w:r>
      <w:r>
        <w:rPr>
          <w:rFonts w:ascii="宋体" w:hAnsi="宋体" w:eastAsia="宋体" w:cs="宋体"/>
          <w:spacing w:val="-27"/>
          <w:sz w:val="21"/>
          <w:szCs w:val="21"/>
        </w:rPr>
        <w:t xml:space="preserve"> </w:t>
      </w:r>
      <w:r>
        <w:rPr>
          <w:rFonts w:ascii="宋体" w:hAnsi="宋体" w:eastAsia="宋体" w:cs="宋体"/>
          <w:spacing w:val="-5"/>
          <w:sz w:val="21"/>
          <w:szCs w:val="21"/>
        </w:rPr>
        <w:t>间、物理实</w:t>
      </w:r>
      <w:r>
        <w:rPr>
          <w:rFonts w:ascii="宋体" w:hAnsi="宋体" w:eastAsia="宋体" w:cs="宋体"/>
          <w:sz w:val="21"/>
          <w:szCs w:val="21"/>
        </w:rPr>
        <w:t xml:space="preserve"> </w:t>
      </w:r>
      <w:r>
        <w:rPr>
          <w:rFonts w:ascii="宋体" w:hAnsi="宋体" w:eastAsia="宋体" w:cs="宋体"/>
          <w:spacing w:val="-8"/>
          <w:sz w:val="21"/>
          <w:szCs w:val="21"/>
        </w:rPr>
        <w:t>验室</w:t>
      </w:r>
      <w:r>
        <w:rPr>
          <w:rFonts w:ascii="宋体" w:hAnsi="宋体" w:eastAsia="宋体" w:cs="宋体"/>
          <w:spacing w:val="-31"/>
          <w:sz w:val="21"/>
          <w:szCs w:val="21"/>
        </w:rPr>
        <w:t xml:space="preserve"> </w:t>
      </w:r>
      <w:r>
        <w:rPr>
          <w:rFonts w:ascii="宋体" w:hAnsi="宋体" w:eastAsia="宋体" w:cs="宋体"/>
          <w:spacing w:val="-8"/>
          <w:sz w:val="21"/>
          <w:szCs w:val="21"/>
        </w:rPr>
        <w:t>3</w:t>
      </w:r>
      <w:r>
        <w:rPr>
          <w:rFonts w:ascii="宋体" w:hAnsi="宋体" w:eastAsia="宋体" w:cs="宋体"/>
          <w:spacing w:val="-29"/>
          <w:sz w:val="21"/>
          <w:szCs w:val="21"/>
        </w:rPr>
        <w:t xml:space="preserve"> </w:t>
      </w:r>
      <w:r>
        <w:rPr>
          <w:rFonts w:ascii="宋体" w:hAnsi="宋体" w:eastAsia="宋体" w:cs="宋体"/>
          <w:spacing w:val="-8"/>
          <w:sz w:val="21"/>
          <w:szCs w:val="21"/>
        </w:rPr>
        <w:t>间、化学实验室</w:t>
      </w:r>
      <w:r>
        <w:rPr>
          <w:rFonts w:ascii="宋体" w:hAnsi="宋体" w:eastAsia="宋体" w:cs="宋体"/>
          <w:spacing w:val="-37"/>
          <w:sz w:val="21"/>
          <w:szCs w:val="21"/>
        </w:rPr>
        <w:t xml:space="preserve"> </w:t>
      </w:r>
      <w:r>
        <w:rPr>
          <w:rFonts w:ascii="宋体" w:hAnsi="宋体" w:eastAsia="宋体" w:cs="宋体"/>
          <w:spacing w:val="-8"/>
          <w:sz w:val="21"/>
          <w:szCs w:val="21"/>
        </w:rPr>
        <w:t>3</w:t>
      </w:r>
      <w:r>
        <w:rPr>
          <w:rFonts w:ascii="宋体" w:hAnsi="宋体" w:eastAsia="宋体" w:cs="宋体"/>
          <w:spacing w:val="-29"/>
          <w:sz w:val="21"/>
          <w:szCs w:val="21"/>
        </w:rPr>
        <w:t xml:space="preserve"> </w:t>
      </w:r>
      <w:r>
        <w:rPr>
          <w:rFonts w:ascii="宋体" w:hAnsi="宋体" w:eastAsia="宋体" w:cs="宋体"/>
          <w:spacing w:val="-8"/>
          <w:sz w:val="21"/>
          <w:szCs w:val="21"/>
        </w:rPr>
        <w:t>间、生物实验室</w:t>
      </w:r>
      <w:r>
        <w:rPr>
          <w:rFonts w:ascii="宋体" w:hAnsi="宋体" w:eastAsia="宋体" w:cs="宋体"/>
          <w:spacing w:val="-38"/>
          <w:sz w:val="21"/>
          <w:szCs w:val="21"/>
        </w:rPr>
        <w:t xml:space="preserve"> </w:t>
      </w:r>
      <w:r>
        <w:rPr>
          <w:rFonts w:ascii="宋体" w:hAnsi="宋体" w:eastAsia="宋体" w:cs="宋体"/>
          <w:spacing w:val="-8"/>
          <w:sz w:val="21"/>
          <w:szCs w:val="21"/>
        </w:rPr>
        <w:t>3</w:t>
      </w:r>
      <w:r>
        <w:rPr>
          <w:rFonts w:ascii="宋体" w:hAnsi="宋体" w:eastAsia="宋体" w:cs="宋体"/>
          <w:spacing w:val="-27"/>
          <w:sz w:val="21"/>
          <w:szCs w:val="21"/>
        </w:rPr>
        <w:t xml:space="preserve"> </w:t>
      </w:r>
      <w:r>
        <w:rPr>
          <w:rFonts w:ascii="宋体" w:hAnsi="宋体" w:eastAsia="宋体" w:cs="宋体"/>
          <w:spacing w:val="-8"/>
          <w:sz w:val="21"/>
          <w:szCs w:val="21"/>
        </w:rPr>
        <w:t>间、心理咨询室</w:t>
      </w:r>
      <w:r>
        <w:rPr>
          <w:rFonts w:ascii="宋体" w:hAnsi="宋体" w:eastAsia="宋体" w:cs="宋体"/>
          <w:spacing w:val="-26"/>
          <w:sz w:val="21"/>
          <w:szCs w:val="21"/>
        </w:rPr>
        <w:t xml:space="preserve"> </w:t>
      </w:r>
      <w:r>
        <w:rPr>
          <w:rFonts w:ascii="宋体" w:hAnsi="宋体" w:eastAsia="宋体" w:cs="宋体"/>
          <w:spacing w:val="-8"/>
          <w:sz w:val="21"/>
          <w:szCs w:val="21"/>
        </w:rPr>
        <w:t>1</w:t>
      </w:r>
      <w:r>
        <w:rPr>
          <w:rFonts w:ascii="宋体" w:hAnsi="宋体" w:eastAsia="宋体" w:cs="宋体"/>
          <w:spacing w:val="-29"/>
          <w:sz w:val="21"/>
          <w:szCs w:val="21"/>
        </w:rPr>
        <w:t xml:space="preserve"> </w:t>
      </w:r>
      <w:r>
        <w:rPr>
          <w:rFonts w:ascii="宋体" w:hAnsi="宋体" w:eastAsia="宋体" w:cs="宋体"/>
          <w:spacing w:val="-8"/>
          <w:sz w:val="21"/>
          <w:szCs w:val="21"/>
        </w:rPr>
        <w:t>间、团队教室</w:t>
      </w:r>
      <w:r>
        <w:rPr>
          <w:rFonts w:ascii="宋体" w:hAnsi="宋体" w:eastAsia="宋体" w:cs="宋体"/>
          <w:spacing w:val="-29"/>
          <w:sz w:val="21"/>
          <w:szCs w:val="21"/>
        </w:rPr>
        <w:t xml:space="preserve"> </w:t>
      </w:r>
      <w:r>
        <w:rPr>
          <w:rFonts w:ascii="宋体" w:hAnsi="宋体" w:eastAsia="宋体" w:cs="宋体"/>
          <w:spacing w:val="-8"/>
          <w:sz w:val="21"/>
          <w:szCs w:val="21"/>
        </w:rPr>
        <w:t>1</w:t>
      </w:r>
      <w:r>
        <w:rPr>
          <w:rFonts w:ascii="宋体" w:hAnsi="宋体" w:eastAsia="宋体" w:cs="宋体"/>
          <w:spacing w:val="-26"/>
          <w:sz w:val="21"/>
          <w:szCs w:val="21"/>
        </w:rPr>
        <w:t xml:space="preserve"> </w:t>
      </w:r>
      <w:r>
        <w:rPr>
          <w:rFonts w:ascii="宋体" w:hAnsi="宋体" w:eastAsia="宋体" w:cs="宋体"/>
          <w:spacing w:val="-8"/>
          <w:sz w:val="21"/>
          <w:szCs w:val="21"/>
        </w:rPr>
        <w:t>间、创客教室</w:t>
      </w:r>
      <w:r>
        <w:rPr>
          <w:rFonts w:ascii="宋体" w:hAnsi="宋体" w:eastAsia="宋体" w:cs="宋体"/>
          <w:sz w:val="21"/>
          <w:szCs w:val="21"/>
        </w:rPr>
        <w:t xml:space="preserve"> </w:t>
      </w:r>
      <w:r>
        <w:rPr>
          <w:rFonts w:ascii="宋体" w:hAnsi="宋体" w:eastAsia="宋体" w:cs="宋体"/>
          <w:spacing w:val="-4"/>
          <w:sz w:val="21"/>
          <w:szCs w:val="21"/>
        </w:rPr>
        <w:t>1</w:t>
      </w:r>
      <w:r>
        <w:rPr>
          <w:rFonts w:ascii="宋体" w:hAnsi="宋体" w:eastAsia="宋体" w:cs="宋体"/>
          <w:spacing w:val="-26"/>
          <w:sz w:val="21"/>
          <w:szCs w:val="21"/>
        </w:rPr>
        <w:t xml:space="preserve"> </w:t>
      </w:r>
      <w:r>
        <w:rPr>
          <w:rFonts w:ascii="宋体" w:hAnsi="宋体" w:eastAsia="宋体" w:cs="宋体"/>
          <w:spacing w:val="-4"/>
          <w:sz w:val="21"/>
          <w:szCs w:val="21"/>
        </w:rPr>
        <w:t>间、STE</w:t>
      </w:r>
      <w:r>
        <w:rPr>
          <w:rFonts w:hint="eastAsia" w:ascii="宋体" w:hAnsi="宋体" w:eastAsia="宋体" w:cs="宋体"/>
          <w:spacing w:val="-4"/>
          <w:sz w:val="21"/>
          <w:szCs w:val="21"/>
          <w:lang w:val="en-US" w:eastAsia="zh-CN"/>
        </w:rPr>
        <w:t>A</w:t>
      </w:r>
      <w:r>
        <w:rPr>
          <w:rFonts w:ascii="宋体" w:hAnsi="宋体" w:eastAsia="宋体" w:cs="宋体"/>
          <w:spacing w:val="-4"/>
          <w:sz w:val="21"/>
          <w:szCs w:val="21"/>
        </w:rPr>
        <w:t>M</w:t>
      </w:r>
      <w:r>
        <w:rPr>
          <w:rFonts w:ascii="宋体" w:hAnsi="宋体" w:eastAsia="宋体" w:cs="宋体"/>
          <w:spacing w:val="-43"/>
          <w:sz w:val="21"/>
          <w:szCs w:val="21"/>
        </w:rPr>
        <w:t xml:space="preserve"> </w:t>
      </w:r>
      <w:r>
        <w:rPr>
          <w:rFonts w:ascii="宋体" w:hAnsi="宋体" w:eastAsia="宋体" w:cs="宋体"/>
          <w:spacing w:val="-4"/>
          <w:sz w:val="21"/>
          <w:szCs w:val="21"/>
        </w:rPr>
        <w:t>教室</w:t>
      </w:r>
      <w:r>
        <w:rPr>
          <w:rFonts w:ascii="宋体" w:hAnsi="宋体" w:eastAsia="宋体" w:cs="宋体"/>
          <w:spacing w:val="-29"/>
          <w:sz w:val="21"/>
          <w:szCs w:val="21"/>
        </w:rPr>
        <w:t xml:space="preserve"> </w:t>
      </w:r>
      <w:r>
        <w:rPr>
          <w:rFonts w:ascii="宋体" w:hAnsi="宋体" w:eastAsia="宋体" w:cs="宋体"/>
          <w:spacing w:val="-4"/>
          <w:sz w:val="21"/>
          <w:szCs w:val="21"/>
        </w:rPr>
        <w:t>1</w:t>
      </w:r>
      <w:r>
        <w:rPr>
          <w:rFonts w:ascii="宋体" w:hAnsi="宋体" w:eastAsia="宋体" w:cs="宋体"/>
          <w:spacing w:val="-27"/>
          <w:sz w:val="21"/>
          <w:szCs w:val="21"/>
        </w:rPr>
        <w:t xml:space="preserve"> </w:t>
      </w:r>
      <w:r>
        <w:rPr>
          <w:rFonts w:ascii="宋体" w:hAnsi="宋体" w:eastAsia="宋体" w:cs="宋体"/>
          <w:spacing w:val="-4"/>
          <w:sz w:val="21"/>
          <w:szCs w:val="21"/>
        </w:rPr>
        <w:t>间、电子阅览室</w:t>
      </w:r>
      <w:r>
        <w:rPr>
          <w:rFonts w:ascii="宋体" w:hAnsi="宋体" w:eastAsia="宋体" w:cs="宋体"/>
          <w:spacing w:val="-26"/>
          <w:sz w:val="21"/>
          <w:szCs w:val="21"/>
        </w:rPr>
        <w:t xml:space="preserve"> </w:t>
      </w:r>
      <w:r>
        <w:rPr>
          <w:rFonts w:ascii="宋体" w:hAnsi="宋体" w:eastAsia="宋体" w:cs="宋体"/>
          <w:spacing w:val="-4"/>
          <w:sz w:val="21"/>
          <w:szCs w:val="21"/>
        </w:rPr>
        <w:t>1</w:t>
      </w:r>
      <w:r>
        <w:rPr>
          <w:rFonts w:ascii="宋体" w:hAnsi="宋体" w:eastAsia="宋体" w:cs="宋体"/>
          <w:spacing w:val="-29"/>
          <w:sz w:val="21"/>
          <w:szCs w:val="21"/>
        </w:rPr>
        <w:t xml:space="preserve"> </w:t>
      </w:r>
      <w:r>
        <w:rPr>
          <w:rFonts w:ascii="宋体" w:hAnsi="宋体" w:eastAsia="宋体" w:cs="宋体"/>
          <w:spacing w:val="-4"/>
          <w:sz w:val="21"/>
          <w:szCs w:val="21"/>
        </w:rPr>
        <w:t>间，共计</w:t>
      </w:r>
      <w:r>
        <w:rPr>
          <w:rFonts w:ascii="宋体" w:hAnsi="宋体" w:eastAsia="宋体" w:cs="宋体"/>
          <w:spacing w:val="-39"/>
          <w:sz w:val="21"/>
          <w:szCs w:val="21"/>
        </w:rPr>
        <w:t xml:space="preserve"> </w:t>
      </w:r>
      <w:r>
        <w:rPr>
          <w:rFonts w:ascii="宋体" w:hAnsi="宋体" w:eastAsia="宋体" w:cs="宋体"/>
          <w:spacing w:val="-4"/>
          <w:sz w:val="21"/>
          <w:szCs w:val="21"/>
        </w:rPr>
        <w:t>21</w:t>
      </w:r>
      <w:r>
        <w:rPr>
          <w:rFonts w:ascii="宋体" w:hAnsi="宋体" w:eastAsia="宋体" w:cs="宋体"/>
          <w:spacing w:val="-27"/>
          <w:sz w:val="21"/>
          <w:szCs w:val="21"/>
        </w:rPr>
        <w:t xml:space="preserve"> </w:t>
      </w:r>
      <w:r>
        <w:rPr>
          <w:rFonts w:ascii="宋体" w:hAnsi="宋体" w:eastAsia="宋体" w:cs="宋体"/>
          <w:spacing w:val="-4"/>
          <w:sz w:val="21"/>
          <w:szCs w:val="21"/>
        </w:rPr>
        <w:t>间需将老式黑板、没有交互功能的投影设</w:t>
      </w:r>
      <w:r>
        <w:rPr>
          <w:rFonts w:ascii="宋体" w:hAnsi="宋体" w:eastAsia="宋体" w:cs="宋体"/>
          <w:sz w:val="21"/>
          <w:szCs w:val="21"/>
        </w:rPr>
        <w:t xml:space="preserve"> </w:t>
      </w:r>
      <w:r>
        <w:rPr>
          <w:rFonts w:ascii="宋体" w:hAnsi="宋体" w:eastAsia="宋体" w:cs="宋体"/>
          <w:spacing w:val="-1"/>
          <w:sz w:val="21"/>
          <w:szCs w:val="21"/>
        </w:rPr>
        <w:t>备更新为智慧教室设备。</w:t>
      </w:r>
    </w:p>
    <w:p>
      <w:pPr>
        <w:spacing w:before="1" w:line="411" w:lineRule="auto"/>
        <w:ind w:left="21" w:right="160" w:firstLine="423"/>
        <w:rPr>
          <w:rFonts w:ascii="宋体" w:hAnsi="宋体" w:eastAsia="宋体" w:cs="宋体"/>
          <w:sz w:val="21"/>
          <w:szCs w:val="21"/>
        </w:rPr>
      </w:pPr>
      <w:r>
        <w:rPr>
          <w:rFonts w:ascii="宋体" w:hAnsi="宋体" w:eastAsia="宋体" w:cs="宋体"/>
          <w:spacing w:val="-4"/>
          <w:sz w:val="21"/>
          <w:szCs w:val="21"/>
        </w:rPr>
        <w:t>教室面积约</w:t>
      </w:r>
      <w:r>
        <w:rPr>
          <w:rFonts w:ascii="宋体" w:hAnsi="宋体" w:eastAsia="宋体" w:cs="宋体"/>
          <w:spacing w:val="-36"/>
          <w:sz w:val="21"/>
          <w:szCs w:val="21"/>
        </w:rPr>
        <w:t xml:space="preserve"> </w:t>
      </w:r>
      <w:r>
        <w:rPr>
          <w:rFonts w:ascii="宋体" w:hAnsi="宋体" w:eastAsia="宋体" w:cs="宋体"/>
          <w:spacing w:val="-4"/>
          <w:sz w:val="21"/>
          <w:szCs w:val="21"/>
        </w:rPr>
        <w:t>85</w:t>
      </w:r>
      <w:r>
        <w:rPr>
          <w:rFonts w:ascii="宋体" w:hAnsi="宋体" w:eastAsia="宋体" w:cs="宋体"/>
          <w:spacing w:val="-46"/>
          <w:sz w:val="21"/>
          <w:szCs w:val="21"/>
        </w:rPr>
        <w:t xml:space="preserve"> </w:t>
      </w:r>
      <w:r>
        <w:rPr>
          <w:rFonts w:ascii="宋体" w:hAnsi="宋体" w:eastAsia="宋体" w:cs="宋体"/>
          <w:spacing w:val="-4"/>
          <w:sz w:val="21"/>
          <w:szCs w:val="21"/>
        </w:rPr>
        <w:t>平方米，教室长约</w:t>
      </w:r>
      <w:r>
        <w:rPr>
          <w:rFonts w:ascii="宋体" w:hAnsi="宋体" w:eastAsia="宋体" w:cs="宋体"/>
          <w:spacing w:val="-29"/>
          <w:sz w:val="21"/>
          <w:szCs w:val="21"/>
        </w:rPr>
        <w:t xml:space="preserve"> </w:t>
      </w:r>
      <w:r>
        <w:rPr>
          <w:rFonts w:ascii="宋体" w:hAnsi="宋体" w:eastAsia="宋体" w:cs="宋体"/>
          <w:spacing w:val="-4"/>
          <w:sz w:val="21"/>
          <w:szCs w:val="21"/>
        </w:rPr>
        <w:t>10</w:t>
      </w:r>
      <w:r>
        <w:rPr>
          <w:rFonts w:ascii="宋体" w:hAnsi="宋体" w:eastAsia="宋体" w:cs="宋体"/>
          <w:spacing w:val="-45"/>
          <w:sz w:val="21"/>
          <w:szCs w:val="21"/>
        </w:rPr>
        <w:t xml:space="preserve"> </w:t>
      </w:r>
      <w:r>
        <w:rPr>
          <w:rFonts w:ascii="宋体" w:hAnsi="宋体" w:eastAsia="宋体" w:cs="宋体"/>
          <w:spacing w:val="-4"/>
          <w:sz w:val="21"/>
          <w:szCs w:val="21"/>
        </w:rPr>
        <w:t>米，为满足视觉清晰，数字黑板中间的液晶屏体选</w:t>
      </w:r>
      <w:r>
        <w:rPr>
          <w:rFonts w:ascii="宋体" w:hAnsi="宋体" w:eastAsia="宋体" w:cs="宋体"/>
          <w:sz w:val="21"/>
          <w:szCs w:val="21"/>
        </w:rPr>
        <w:t xml:space="preserve"> </w:t>
      </w:r>
      <w:r>
        <w:rPr>
          <w:rFonts w:ascii="宋体" w:hAnsi="宋体" w:eastAsia="宋体" w:cs="宋体"/>
          <w:spacing w:val="-1"/>
          <w:sz w:val="21"/>
          <w:szCs w:val="21"/>
        </w:rPr>
        <w:t>择大于等于</w:t>
      </w:r>
      <w:r>
        <w:rPr>
          <w:rFonts w:ascii="宋体" w:hAnsi="宋体" w:eastAsia="宋体" w:cs="宋体"/>
          <w:spacing w:val="-19"/>
          <w:sz w:val="21"/>
          <w:szCs w:val="21"/>
        </w:rPr>
        <w:t xml:space="preserve"> </w:t>
      </w:r>
      <w:r>
        <w:rPr>
          <w:rFonts w:ascii="宋体" w:hAnsi="宋体" w:eastAsia="宋体" w:cs="宋体"/>
          <w:spacing w:val="-1"/>
          <w:sz w:val="21"/>
          <w:szCs w:val="21"/>
        </w:rPr>
        <w:t>75</w:t>
      </w:r>
      <w:r>
        <w:rPr>
          <w:rFonts w:ascii="宋体" w:hAnsi="宋体" w:eastAsia="宋体" w:cs="宋体"/>
          <w:spacing w:val="-45"/>
          <w:sz w:val="21"/>
          <w:szCs w:val="21"/>
        </w:rPr>
        <w:t xml:space="preserve"> </w:t>
      </w:r>
      <w:r>
        <w:rPr>
          <w:rFonts w:ascii="宋体" w:hAnsi="宋体" w:eastAsia="宋体" w:cs="宋体"/>
          <w:spacing w:val="-1"/>
          <w:sz w:val="21"/>
          <w:szCs w:val="21"/>
        </w:rPr>
        <w:t>英寸，集成电脑、功放音响、麦克风等功能模块，无外露连接线保障教室现</w:t>
      </w:r>
      <w:r>
        <w:rPr>
          <w:rFonts w:ascii="宋体" w:hAnsi="宋体" w:eastAsia="宋体" w:cs="宋体"/>
          <w:sz w:val="21"/>
          <w:szCs w:val="21"/>
        </w:rPr>
        <w:t xml:space="preserve"> </w:t>
      </w:r>
      <w:r>
        <w:rPr>
          <w:rFonts w:ascii="宋体" w:hAnsi="宋体" w:eastAsia="宋体" w:cs="宋体"/>
          <w:spacing w:val="-1"/>
          <w:sz w:val="21"/>
          <w:szCs w:val="21"/>
        </w:rPr>
        <w:t>代教学设备简单整洁。</w:t>
      </w:r>
    </w:p>
    <w:p>
      <w:pPr>
        <w:spacing w:before="1" w:line="411" w:lineRule="auto"/>
        <w:ind w:left="23" w:right="162" w:firstLine="421"/>
        <w:rPr>
          <w:rFonts w:ascii="宋体" w:hAnsi="宋体" w:eastAsia="宋体" w:cs="宋体"/>
          <w:sz w:val="21"/>
          <w:szCs w:val="21"/>
        </w:rPr>
      </w:pPr>
      <w:r>
        <w:rPr>
          <w:rFonts w:ascii="宋体" w:hAnsi="宋体" w:eastAsia="宋体" w:cs="宋体"/>
          <w:spacing w:val="-3"/>
          <w:sz w:val="21"/>
          <w:szCs w:val="21"/>
        </w:rPr>
        <w:t>短波蓝光是波长处于</w:t>
      </w:r>
      <w:r>
        <w:rPr>
          <w:rFonts w:ascii="宋体" w:hAnsi="宋体" w:eastAsia="宋体" w:cs="宋体"/>
          <w:spacing w:val="-39"/>
          <w:sz w:val="21"/>
          <w:szCs w:val="21"/>
        </w:rPr>
        <w:t xml:space="preserve"> </w:t>
      </w:r>
      <w:r>
        <w:rPr>
          <w:rFonts w:ascii="宋体" w:hAnsi="宋体" w:eastAsia="宋体" w:cs="宋体"/>
          <w:spacing w:val="-3"/>
          <w:sz w:val="21"/>
          <w:szCs w:val="21"/>
        </w:rPr>
        <w:t>400nm-480nm</w:t>
      </w:r>
      <w:r>
        <w:rPr>
          <w:rFonts w:ascii="宋体" w:hAnsi="宋体" w:eastAsia="宋体" w:cs="宋体"/>
          <w:spacing w:val="-44"/>
          <w:sz w:val="21"/>
          <w:szCs w:val="21"/>
        </w:rPr>
        <w:t xml:space="preserve"> </w:t>
      </w:r>
      <w:r>
        <w:rPr>
          <w:rFonts w:ascii="宋体" w:hAnsi="宋体" w:eastAsia="宋体" w:cs="宋体"/>
          <w:spacing w:val="-3"/>
          <w:sz w:val="21"/>
          <w:szCs w:val="21"/>
        </w:rPr>
        <w:t>之间具有相对较高能量的光线。该波长内的蓝光会使</w:t>
      </w:r>
      <w:r>
        <w:rPr>
          <w:rFonts w:ascii="宋体" w:hAnsi="宋体" w:eastAsia="宋体" w:cs="宋体"/>
          <w:sz w:val="21"/>
          <w:szCs w:val="21"/>
        </w:rPr>
        <w:t xml:space="preserve"> </w:t>
      </w:r>
      <w:r>
        <w:rPr>
          <w:rFonts w:ascii="宋体" w:hAnsi="宋体" w:eastAsia="宋体" w:cs="宋体"/>
          <w:spacing w:val="-3"/>
          <w:sz w:val="21"/>
          <w:szCs w:val="21"/>
        </w:rPr>
        <w:t>眼睛内的黄斑区毒素量增高，严重威胁学生的视力健康。智慧黑板响应国家号召，依托在显</w:t>
      </w:r>
      <w:r>
        <w:rPr>
          <w:rFonts w:ascii="宋体" w:hAnsi="宋体" w:eastAsia="宋体" w:cs="宋体"/>
          <w:spacing w:val="17"/>
          <w:sz w:val="21"/>
          <w:szCs w:val="21"/>
        </w:rPr>
        <w:t xml:space="preserve"> </w:t>
      </w:r>
      <w:r>
        <w:rPr>
          <w:rFonts w:ascii="宋体" w:hAnsi="宋体" w:eastAsia="宋体" w:cs="宋体"/>
          <w:spacing w:val="-3"/>
          <w:sz w:val="21"/>
          <w:szCs w:val="21"/>
        </w:rPr>
        <w:t>示领域的领先技术，为智慧黑板设计了硬件级蓝光滤波护眼功能，可通过整机物理按键一键</w:t>
      </w:r>
      <w:r>
        <w:rPr>
          <w:rFonts w:ascii="宋体" w:hAnsi="宋体" w:eastAsia="宋体" w:cs="宋体"/>
          <w:spacing w:val="15"/>
          <w:sz w:val="21"/>
          <w:szCs w:val="21"/>
        </w:rPr>
        <w:t xml:space="preserve"> </w:t>
      </w:r>
      <w:r>
        <w:rPr>
          <w:rFonts w:ascii="宋体" w:hAnsi="宋体" w:eastAsia="宋体" w:cs="宋体"/>
          <w:spacing w:val="-1"/>
          <w:sz w:val="21"/>
          <w:szCs w:val="21"/>
        </w:rPr>
        <w:t>开启硬件蓝光护眼模式，实现</w:t>
      </w:r>
      <w:r>
        <w:rPr>
          <w:rFonts w:ascii="宋体" w:hAnsi="宋体" w:eastAsia="宋体" w:cs="宋体"/>
          <w:spacing w:val="-27"/>
          <w:sz w:val="21"/>
          <w:szCs w:val="21"/>
        </w:rPr>
        <w:t xml:space="preserve"> </w:t>
      </w:r>
      <w:r>
        <w:rPr>
          <w:rFonts w:ascii="宋体" w:hAnsi="宋体" w:eastAsia="宋体" w:cs="宋体"/>
          <w:spacing w:val="-1"/>
          <w:sz w:val="21"/>
          <w:szCs w:val="21"/>
        </w:rPr>
        <w:t>90%以上的有害蓝光过滤，有效保护学生视力健康。</w:t>
      </w:r>
    </w:p>
    <w:p>
      <w:pPr>
        <w:spacing w:line="319" w:lineRule="auto"/>
        <w:rPr>
          <w:rFonts w:ascii="Calibri"/>
          <w:sz w:val="21"/>
        </w:rPr>
      </w:pPr>
      <w:r>
        <w:rPr>
          <w:rFonts w:hint="eastAsia" w:ascii="Calibri" w:eastAsia="宋体"/>
          <w:sz w:val="21"/>
          <w:lang w:val="en-US" w:eastAsia="zh-CN"/>
        </w:rPr>
        <w:t>智慧黑板功能需满足：</w:t>
      </w:r>
    </w:p>
    <w:p>
      <w:pPr>
        <w:spacing w:before="69" w:line="184" w:lineRule="auto"/>
        <w:ind w:firstLine="447"/>
        <w:rPr>
          <w:rFonts w:ascii="宋体" w:hAnsi="宋体" w:eastAsia="宋体" w:cs="宋体"/>
          <w:sz w:val="21"/>
          <w:szCs w:val="21"/>
        </w:rPr>
      </w:pPr>
      <w:r>
        <w:rPr>
          <w:rFonts w:ascii="宋体" w:hAnsi="宋体" w:eastAsia="宋体" w:cs="宋体"/>
          <w:spacing w:val="-10"/>
          <w:w w:val="96"/>
          <w:sz w:val="21"/>
          <w:szCs w:val="21"/>
        </w:rPr>
        <w:t>（1）手势识别</w:t>
      </w:r>
    </w:p>
    <w:p>
      <w:pPr>
        <w:spacing w:before="260" w:line="411" w:lineRule="auto"/>
        <w:ind w:left="24" w:firstLine="418"/>
        <w:rPr>
          <w:rFonts w:ascii="宋体" w:hAnsi="宋体" w:eastAsia="宋体" w:cs="宋体"/>
          <w:sz w:val="21"/>
          <w:szCs w:val="21"/>
        </w:rPr>
      </w:pPr>
      <w:r>
        <w:rPr>
          <w:rFonts w:ascii="宋体" w:hAnsi="宋体" w:eastAsia="宋体" w:cs="宋体"/>
          <w:spacing w:val="-4"/>
          <w:sz w:val="21"/>
          <w:szCs w:val="21"/>
        </w:rPr>
        <w:t>整机支持任意通道下通过手势识别调出板擦工具进行擦除，同时用户可自定义手势操作，</w:t>
      </w:r>
      <w:r>
        <w:rPr>
          <w:rFonts w:ascii="宋体" w:hAnsi="宋体" w:eastAsia="宋体" w:cs="宋体"/>
          <w:spacing w:val="-1"/>
          <w:sz w:val="21"/>
          <w:szCs w:val="21"/>
        </w:rPr>
        <w:t>快速实现返回、截图、冻屏、息屏等功能。</w:t>
      </w:r>
    </w:p>
    <w:p>
      <w:pPr>
        <w:spacing w:before="1" w:line="204" w:lineRule="auto"/>
        <w:ind w:firstLine="447"/>
        <w:rPr>
          <w:rFonts w:ascii="宋体" w:hAnsi="宋体" w:eastAsia="宋体" w:cs="宋体"/>
          <w:sz w:val="21"/>
          <w:szCs w:val="21"/>
        </w:rPr>
      </w:pPr>
      <w:r>
        <w:rPr>
          <w:rFonts w:ascii="宋体" w:hAnsi="宋体" w:eastAsia="宋体" w:cs="宋体"/>
          <w:spacing w:val="-10"/>
          <w:w w:val="97"/>
          <w:sz w:val="21"/>
          <w:szCs w:val="21"/>
        </w:rPr>
        <w:t>（2）自定义侧边菜单</w:t>
      </w:r>
    </w:p>
    <w:p>
      <w:pPr>
        <w:spacing w:before="235" w:line="468" w:lineRule="exact"/>
        <w:ind w:firstLine="443"/>
        <w:rPr>
          <w:rFonts w:ascii="宋体" w:hAnsi="宋体" w:eastAsia="宋体" w:cs="宋体"/>
          <w:sz w:val="21"/>
          <w:szCs w:val="21"/>
        </w:rPr>
      </w:pPr>
      <w:r>
        <w:rPr>
          <w:rFonts w:ascii="宋体" w:hAnsi="宋体" w:eastAsia="宋体" w:cs="宋体"/>
          <w:spacing w:val="-6"/>
          <w:position w:val="19"/>
          <w:sz w:val="21"/>
          <w:szCs w:val="21"/>
        </w:rPr>
        <w:t>支持自定义侧边菜单的显示位置与有效通道；用户可根据不同教学场景，设置侧边菜单</w:t>
      </w:r>
    </w:p>
    <w:p>
      <w:pPr>
        <w:spacing w:before="1" w:line="204" w:lineRule="auto"/>
        <w:rPr>
          <w:rFonts w:ascii="宋体" w:hAnsi="宋体" w:eastAsia="宋体" w:cs="宋体"/>
          <w:sz w:val="21"/>
          <w:szCs w:val="21"/>
        </w:rPr>
      </w:pPr>
      <w:r>
        <w:rPr>
          <w:rFonts w:ascii="宋体" w:hAnsi="宋体" w:eastAsia="宋体" w:cs="宋体"/>
          <w:spacing w:val="-3"/>
          <w:sz w:val="21"/>
          <w:szCs w:val="21"/>
        </w:rPr>
        <w:t>中显示的功能应用及有效通道。</w:t>
      </w:r>
    </w:p>
    <w:p>
      <w:pPr>
        <w:spacing w:before="235" w:line="184" w:lineRule="auto"/>
        <w:ind w:firstLine="447"/>
        <w:rPr>
          <w:rFonts w:ascii="宋体" w:hAnsi="宋体" w:eastAsia="宋体" w:cs="宋体"/>
          <w:sz w:val="21"/>
          <w:szCs w:val="21"/>
        </w:rPr>
      </w:pPr>
      <w:r>
        <w:rPr>
          <w:rFonts w:ascii="宋体" w:hAnsi="宋体" w:eastAsia="宋体" w:cs="宋体"/>
          <w:spacing w:val="-10"/>
          <w:w w:val="96"/>
          <w:sz w:val="21"/>
          <w:szCs w:val="21"/>
        </w:rPr>
        <w:t>（3）互动课堂</w:t>
      </w:r>
    </w:p>
    <w:p>
      <w:pPr>
        <w:spacing w:before="260" w:line="411" w:lineRule="auto"/>
        <w:ind w:left="23" w:right="105" w:firstLine="420"/>
        <w:rPr>
          <w:rFonts w:ascii="宋体" w:hAnsi="宋体" w:eastAsia="宋体" w:cs="宋体"/>
          <w:sz w:val="21"/>
          <w:szCs w:val="21"/>
        </w:rPr>
      </w:pPr>
      <w:r>
        <w:rPr>
          <w:rFonts w:ascii="宋体" w:hAnsi="宋体" w:eastAsia="宋体" w:cs="宋体"/>
          <w:spacing w:val="-7"/>
          <w:sz w:val="21"/>
          <w:szCs w:val="21"/>
        </w:rPr>
        <w:t>整机处于任意通道下，可调用互动课堂功能，支持手机扫描二维码，实现互动答题功能；</w:t>
      </w:r>
      <w:r>
        <w:rPr>
          <w:rFonts w:ascii="宋体" w:hAnsi="宋体" w:eastAsia="宋体" w:cs="宋体"/>
          <w:spacing w:val="-5"/>
          <w:sz w:val="21"/>
          <w:szCs w:val="21"/>
        </w:rPr>
        <w:t>支持老师发起单选题等；学生可便捷设置姓名，方便老师管理课堂答题情况。</w:t>
      </w:r>
    </w:p>
    <w:p>
      <w:pPr>
        <w:sectPr>
          <w:headerReference r:id="rId33" w:type="default"/>
          <w:footerReference r:id="rId34" w:type="default"/>
          <w:pgSz w:w="11906" w:h="16839"/>
          <w:pgMar w:top="1192" w:right="1636" w:bottom="1104" w:left="1785" w:header="1178" w:footer="985" w:gutter="0"/>
          <w:cols w:space="720" w:num="1"/>
        </w:sectPr>
      </w:pPr>
    </w:p>
    <w:p>
      <w:pPr>
        <w:spacing w:line="252" w:lineRule="auto"/>
        <w:rPr>
          <w:rFonts w:ascii="Calibri"/>
          <w:sz w:val="21"/>
        </w:rPr>
      </w:pPr>
    </w:p>
    <w:p>
      <w:pPr>
        <w:spacing w:line="3360" w:lineRule="exact"/>
        <w:ind w:firstLine="1005"/>
        <w:textAlignment w:val="center"/>
      </w:pPr>
      <w:r>
        <w:drawing>
          <wp:inline distT="0" distB="0" distL="0" distR="0">
            <wp:extent cx="3838575" cy="2133600"/>
            <wp:effectExtent l="0" t="0" r="9525"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68"/>
                    <a:stretch>
                      <a:fillRect/>
                    </a:stretch>
                  </pic:blipFill>
                  <pic:spPr>
                    <a:xfrm>
                      <a:off x="0" y="0"/>
                      <a:ext cx="3838955" cy="2133600"/>
                    </a:xfrm>
                    <a:prstGeom prst="rect">
                      <a:avLst/>
                    </a:prstGeom>
                  </pic:spPr>
                </pic:pic>
              </a:graphicData>
            </a:graphic>
          </wp:inline>
        </w:drawing>
      </w:r>
    </w:p>
    <w:p>
      <w:pPr>
        <w:spacing w:line="245" w:lineRule="auto"/>
        <w:rPr>
          <w:rFonts w:ascii="Calibri"/>
          <w:sz w:val="21"/>
        </w:rPr>
      </w:pPr>
    </w:p>
    <w:p>
      <w:pPr>
        <w:spacing w:line="245" w:lineRule="auto"/>
        <w:rPr>
          <w:rFonts w:ascii="Calibri"/>
          <w:sz w:val="21"/>
        </w:rPr>
      </w:pPr>
    </w:p>
    <w:p>
      <w:pPr>
        <w:spacing w:line="245" w:lineRule="auto"/>
        <w:rPr>
          <w:rFonts w:ascii="Calibri"/>
          <w:sz w:val="21"/>
        </w:rPr>
      </w:pPr>
    </w:p>
    <w:p>
      <w:pPr>
        <w:spacing w:line="245" w:lineRule="auto"/>
        <w:rPr>
          <w:rFonts w:ascii="Calibri"/>
          <w:sz w:val="21"/>
        </w:rPr>
      </w:pPr>
    </w:p>
    <w:p>
      <w:pPr>
        <w:spacing w:before="69" w:line="411" w:lineRule="auto"/>
        <w:ind w:left="25" w:firstLine="421"/>
        <w:rPr>
          <w:rFonts w:ascii="宋体" w:hAnsi="宋体" w:eastAsia="宋体" w:cs="宋体"/>
          <w:sz w:val="21"/>
          <w:szCs w:val="21"/>
        </w:rPr>
      </w:pPr>
      <w:r>
        <w:rPr>
          <w:rFonts w:ascii="宋体" w:hAnsi="宋体" w:eastAsia="宋体" w:cs="宋体"/>
          <w:spacing w:val="-7"/>
          <w:sz w:val="21"/>
          <w:szCs w:val="21"/>
        </w:rPr>
        <w:t>智慧教学设备以常态化应用为目标，通过自主研发，将课前备课、学生评价、教师发展、</w:t>
      </w:r>
      <w:r>
        <w:rPr>
          <w:rFonts w:ascii="宋体" w:hAnsi="宋体" w:eastAsia="宋体" w:cs="宋体"/>
          <w:spacing w:val="29"/>
          <w:sz w:val="21"/>
          <w:szCs w:val="21"/>
        </w:rPr>
        <w:t xml:space="preserve"> </w:t>
      </w:r>
      <w:r>
        <w:rPr>
          <w:rFonts w:ascii="宋体" w:hAnsi="宋体" w:eastAsia="宋体" w:cs="宋体"/>
          <w:spacing w:val="-3"/>
          <w:sz w:val="21"/>
          <w:szCs w:val="21"/>
        </w:rPr>
        <w:t>设备监管控、区域数据这五大模块软件进行打通，采用同一账号体系，为教师提供多元化的</w:t>
      </w:r>
    </w:p>
    <w:p>
      <w:pPr>
        <w:spacing w:line="204" w:lineRule="auto"/>
        <w:ind w:firstLine="25"/>
        <w:rPr>
          <w:rFonts w:ascii="宋体" w:hAnsi="宋体" w:eastAsia="宋体" w:cs="宋体"/>
          <w:sz w:val="21"/>
          <w:szCs w:val="21"/>
        </w:rPr>
      </w:pPr>
      <w:r>
        <w:rPr>
          <w:rFonts w:ascii="宋体" w:hAnsi="宋体" w:eastAsia="宋体" w:cs="宋体"/>
          <w:spacing w:val="-1"/>
          <w:sz w:val="21"/>
          <w:szCs w:val="21"/>
        </w:rPr>
        <w:t>账号空间同时，不增加教师的学习和使用成本。</w:t>
      </w:r>
    </w:p>
    <w:p>
      <w:pPr>
        <w:spacing w:before="130" w:line="2743" w:lineRule="exact"/>
        <w:ind w:firstLine="1694"/>
        <w:textAlignment w:val="center"/>
      </w:pPr>
      <w:r>
        <w:drawing>
          <wp:inline distT="0" distB="0" distL="0" distR="0">
            <wp:extent cx="3021965" cy="1741805"/>
            <wp:effectExtent l="0" t="0" r="635" b="10795"/>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9"/>
                    <a:stretch>
                      <a:fillRect/>
                    </a:stretch>
                  </pic:blipFill>
                  <pic:spPr>
                    <a:xfrm>
                      <a:off x="0" y="0"/>
                      <a:ext cx="3022091" cy="1741932"/>
                    </a:xfrm>
                    <a:prstGeom prst="rect">
                      <a:avLst/>
                    </a:prstGeom>
                  </pic:spPr>
                </pic:pic>
              </a:graphicData>
            </a:graphic>
          </wp:inline>
        </w:drawing>
      </w:r>
    </w:p>
    <w:p>
      <w:pPr>
        <w:spacing w:before="170" w:line="411" w:lineRule="auto"/>
        <w:ind w:left="25" w:right="73" w:firstLine="417"/>
        <w:rPr>
          <w:rFonts w:ascii="宋体" w:hAnsi="宋体" w:eastAsia="宋体" w:cs="宋体"/>
          <w:sz w:val="21"/>
          <w:szCs w:val="21"/>
        </w:rPr>
      </w:pPr>
      <w:r>
        <w:rPr>
          <w:rFonts w:ascii="宋体" w:hAnsi="宋体" w:eastAsia="宋体" w:cs="宋体"/>
          <w:spacing w:val="-3"/>
          <w:sz w:val="21"/>
          <w:szCs w:val="21"/>
        </w:rPr>
        <w:t>提供完整的教学与学习服务，课堂教学服务，是一种全新的教学科技服务模式。智慧教</w:t>
      </w:r>
      <w:r>
        <w:rPr>
          <w:rFonts w:ascii="宋体" w:hAnsi="宋体" w:eastAsia="宋体" w:cs="宋体"/>
          <w:spacing w:val="11"/>
          <w:sz w:val="21"/>
          <w:szCs w:val="21"/>
        </w:rPr>
        <w:t xml:space="preserve"> </w:t>
      </w:r>
      <w:r>
        <w:rPr>
          <w:rFonts w:ascii="宋体" w:hAnsi="宋体" w:eastAsia="宋体" w:cs="宋体"/>
          <w:spacing w:val="-3"/>
          <w:sz w:val="21"/>
          <w:szCs w:val="21"/>
        </w:rPr>
        <w:t>室是指根据老师的教学需求，支持手机、智慧黑板、实物展台等，达到兼具便利，智慧与效</w:t>
      </w:r>
    </w:p>
    <w:p>
      <w:pPr>
        <w:spacing w:line="204" w:lineRule="auto"/>
        <w:ind w:firstLine="30"/>
        <w:rPr>
          <w:rFonts w:ascii="宋体" w:hAnsi="宋体" w:eastAsia="宋体" w:cs="宋体"/>
          <w:sz w:val="21"/>
          <w:szCs w:val="21"/>
        </w:rPr>
      </w:pPr>
      <w:r>
        <w:rPr>
          <w:rFonts w:ascii="宋体" w:hAnsi="宋体" w:eastAsia="宋体" w:cs="宋体"/>
          <w:spacing w:val="-1"/>
          <w:sz w:val="21"/>
          <w:szCs w:val="21"/>
        </w:rPr>
        <w:t>能的教学环境。因此，以教学为核心的智慧教室。</w:t>
      </w:r>
    </w:p>
    <w:p>
      <w:pPr>
        <w:spacing w:before="237" w:line="411" w:lineRule="auto"/>
        <w:ind w:left="23" w:right="73" w:firstLine="417"/>
        <w:rPr>
          <w:rFonts w:ascii="宋体" w:hAnsi="宋体" w:eastAsia="宋体" w:cs="宋体"/>
          <w:sz w:val="21"/>
          <w:szCs w:val="21"/>
        </w:rPr>
      </w:pPr>
      <w:r>
        <w:rPr>
          <w:rFonts w:ascii="宋体" w:hAnsi="宋体" w:eastAsia="宋体" w:cs="宋体"/>
          <w:spacing w:val="-3"/>
          <w:sz w:val="21"/>
          <w:szCs w:val="21"/>
        </w:rPr>
        <w:t>在教学活动中，应用科技来辅助教学，教师可以利用信息化教学工具多媒体系统，创造</w:t>
      </w:r>
      <w:r>
        <w:rPr>
          <w:rFonts w:ascii="宋体" w:hAnsi="宋体" w:eastAsia="宋体" w:cs="宋体"/>
          <w:spacing w:val="13"/>
          <w:sz w:val="21"/>
          <w:szCs w:val="21"/>
        </w:rPr>
        <w:t xml:space="preserve"> </w:t>
      </w:r>
      <w:r>
        <w:rPr>
          <w:rFonts w:ascii="宋体" w:hAnsi="宋体" w:eastAsia="宋体" w:cs="宋体"/>
          <w:spacing w:val="-1"/>
          <w:sz w:val="21"/>
          <w:szCs w:val="21"/>
        </w:rPr>
        <w:t>生动、互动、主动的学习情境。采用实物展台、智能手机或智慧黑板的信息反馈</w:t>
      </w:r>
      <w:r>
        <w:rPr>
          <w:rFonts w:ascii="宋体" w:hAnsi="宋体" w:eastAsia="宋体" w:cs="宋体"/>
          <w:spacing w:val="38"/>
          <w:sz w:val="21"/>
          <w:szCs w:val="21"/>
        </w:rPr>
        <w:t xml:space="preserve"> </w:t>
      </w:r>
      <w:r>
        <w:rPr>
          <w:rFonts w:ascii="宋体" w:hAnsi="宋体" w:eastAsia="宋体" w:cs="宋体"/>
          <w:spacing w:val="-1"/>
          <w:sz w:val="21"/>
          <w:szCs w:val="21"/>
        </w:rPr>
        <w:t>，使师生</w:t>
      </w:r>
      <w:r>
        <w:rPr>
          <w:rFonts w:ascii="宋体" w:hAnsi="宋体" w:eastAsia="宋体" w:cs="宋体"/>
          <w:sz w:val="21"/>
          <w:szCs w:val="21"/>
        </w:rPr>
        <w:t xml:space="preserve"> </w:t>
      </w:r>
      <w:r>
        <w:rPr>
          <w:rFonts w:ascii="宋体" w:hAnsi="宋体" w:eastAsia="宋体" w:cs="宋体"/>
          <w:spacing w:val="-1"/>
          <w:sz w:val="21"/>
          <w:szCs w:val="21"/>
        </w:rPr>
        <w:t>之间，生生之间，形成紧密连结、高效互动。</w:t>
      </w:r>
    </w:p>
    <w:p>
      <w:pPr>
        <w:sectPr>
          <w:headerReference r:id="rId35" w:type="default"/>
          <w:footerReference r:id="rId36" w:type="default"/>
          <w:pgSz w:w="11906" w:h="16839"/>
          <w:pgMar w:top="1192" w:right="1726" w:bottom="1103" w:left="1785" w:header="1178" w:footer="987" w:gutter="0"/>
          <w:cols w:space="720" w:num="1"/>
        </w:sectPr>
      </w:pPr>
    </w:p>
    <w:p>
      <w:pPr>
        <w:spacing w:line="1211" w:lineRule="exact"/>
        <w:ind w:firstLine="12056"/>
        <w:textAlignment w:val="center"/>
      </w:pPr>
      <w:r>
        <w:drawing>
          <wp:inline distT="0" distB="0" distL="0" distR="0">
            <wp:extent cx="62865" cy="768985"/>
            <wp:effectExtent l="0" t="0" r="635" b="5715"/>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0"/>
                    <a:stretch>
                      <a:fillRect/>
                    </a:stretch>
                  </pic:blipFill>
                  <pic:spPr>
                    <a:xfrm>
                      <a:off x="0" y="0"/>
                      <a:ext cx="62894" cy="769232"/>
                    </a:xfrm>
                    <a:prstGeom prst="rect">
                      <a:avLst/>
                    </a:prstGeom>
                  </pic:spPr>
                </pic:pic>
              </a:graphicData>
            </a:graphic>
          </wp:inline>
        </w:drawing>
      </w:r>
    </w:p>
    <w:p>
      <w:pPr>
        <w:spacing w:line="14" w:lineRule="auto"/>
        <w:rPr>
          <w:rFonts w:ascii="Calibri"/>
          <w:sz w:val="2"/>
        </w:rPr>
      </w:pPr>
      <w:r>
        <w:rPr>
          <w:rFonts w:ascii="Calibri" w:hAnsi="Calibri" w:eastAsia="Calibri" w:cs="Calibri"/>
          <w:sz w:val="2"/>
          <w:szCs w:val="2"/>
        </w:rPr>
        <w:br w:type="column"/>
      </w:r>
    </w:p>
    <w:p>
      <w:pPr>
        <w:spacing w:line="308" w:lineRule="auto"/>
        <w:rPr>
          <w:rFonts w:ascii="Calibri"/>
          <w:sz w:val="21"/>
        </w:rPr>
      </w:pPr>
    </w:p>
    <w:p>
      <w:pPr>
        <w:sectPr>
          <w:headerReference r:id="rId37" w:type="default"/>
          <w:footerReference r:id="rId38" w:type="default"/>
          <w:pgSz w:w="16839" w:h="11906"/>
          <w:pgMar w:top="137" w:right="659" w:bottom="1104" w:left="1327" w:header="0" w:footer="985" w:gutter="0"/>
          <w:cols w:equalWidth="0" w:num="2">
            <w:col w:w="12541" w:space="100"/>
            <w:col w:w="2211"/>
          </w:cols>
        </w:sectPr>
      </w:pPr>
    </w:p>
    <w:p/>
    <w:p>
      <w:pPr>
        <w:spacing w:line="209" w:lineRule="exact"/>
      </w:pPr>
    </w:p>
    <w:p/>
    <w:p/>
    <w:p>
      <w:pPr>
        <w:spacing w:line="38" w:lineRule="exact"/>
      </w:pPr>
    </w:p>
    <w:tbl>
      <w:tblPr>
        <w:tblStyle w:val="375"/>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1"/>
        <w:gridCol w:w="1072"/>
        <w:gridCol w:w="9457"/>
        <w:gridCol w:w="595"/>
        <w:gridCol w:w="595"/>
        <w:gridCol w:w="954"/>
        <w:gridCol w:w="8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6" w:hRule="atLeast"/>
        </w:trPr>
        <w:tc>
          <w:tcPr>
            <w:tcW w:w="14177" w:type="dxa"/>
            <w:gridSpan w:val="7"/>
            <w:vAlign w:val="top"/>
          </w:tcPr>
          <w:p>
            <w:pPr>
              <w:spacing w:before="131" w:line="408" w:lineRule="exact"/>
              <w:ind w:firstLine="5650"/>
              <w:textAlignment w:val="center"/>
            </w:pPr>
            <w:r>
              <w:drawing>
                <wp:inline distT="0" distB="0" distL="0" distR="0">
                  <wp:extent cx="1830070" cy="258445"/>
                  <wp:effectExtent l="0" t="0" r="11430" b="8255"/>
                  <wp:docPr id="71" name="IM 71"/>
                  <wp:cNvGraphicFramePr/>
                  <a:graphic xmlns:a="http://schemas.openxmlformats.org/drawingml/2006/main">
                    <a:graphicData uri="http://schemas.openxmlformats.org/drawingml/2006/picture">
                      <pic:pic xmlns:pic="http://schemas.openxmlformats.org/drawingml/2006/picture">
                        <pic:nvPicPr>
                          <pic:cNvPr id="71" name="IM 71"/>
                          <pic:cNvPicPr/>
                        </pic:nvPicPr>
                        <pic:blipFill>
                          <a:blip r:embed="rId71"/>
                          <a:stretch>
                            <a:fillRect/>
                          </a:stretch>
                        </pic:blipFill>
                        <pic:spPr>
                          <a:xfrm>
                            <a:off x="0" y="0"/>
                            <a:ext cx="1830484" cy="258876"/>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621" w:type="dxa"/>
            <w:textDirection w:val="tbRlV"/>
            <w:vAlign w:val="top"/>
          </w:tcPr>
          <w:p>
            <w:pPr>
              <w:spacing w:before="134" w:line="196" w:lineRule="auto"/>
              <w:ind w:firstLine="216"/>
              <w:rPr>
                <w:rFonts w:ascii="微软雅黑" w:hAnsi="微软雅黑" w:eastAsia="微软雅黑" w:cs="微软雅黑"/>
                <w:sz w:val="21"/>
                <w:szCs w:val="21"/>
              </w:rPr>
            </w:pPr>
            <w:r>
              <mc:AlternateContent>
                <mc:Choice Requires="wps">
                  <w:drawing>
                    <wp:anchor distT="0" distB="0" distL="114300" distR="114300" simplePos="0" relativeHeight="251685888" behindDoc="0" locked="0" layoutInCell="1" allowOverlap="1">
                      <wp:simplePos x="0" y="0"/>
                      <wp:positionH relativeFrom="rightMargin">
                        <wp:posOffset>-290195</wp:posOffset>
                      </wp:positionH>
                      <wp:positionV relativeFrom="topMargin">
                        <wp:posOffset>488950</wp:posOffset>
                      </wp:positionV>
                      <wp:extent cx="217805" cy="15875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17805" cy="158750"/>
                              </a:xfrm>
                              <a:prstGeom prst="rect">
                                <a:avLst/>
                              </a:prstGeom>
                              <a:noFill/>
                              <a:ln>
                                <a:noFill/>
                              </a:ln>
                            </wps:spPr>
                            <wps:txbx>
                              <w:txbxContent>
                                <w:p>
                                  <w:pPr>
                                    <w:spacing w:before="19" w:line="196" w:lineRule="auto"/>
                                    <w:ind w:firstLine="20"/>
                                    <w:rPr>
                                      <w:rFonts w:ascii="微软雅黑" w:hAnsi="微软雅黑" w:eastAsia="微软雅黑" w:cs="微软雅黑"/>
                                      <w:sz w:val="21"/>
                                      <w:szCs w:val="21"/>
                                    </w:rPr>
                                  </w:pPr>
                                  <w:r>
                                    <w:rPr>
                                      <w:rFonts w:ascii="微软雅黑" w:hAnsi="微软雅黑" w:eastAsia="微软雅黑" w:cs="微软雅黑"/>
                                      <w:b/>
                                      <w:bCs/>
                                      <w:sz w:val="21"/>
                                      <w:szCs w:val="21"/>
                                    </w:rPr>
                                    <w:t>号</w:t>
                                  </w:r>
                                </w:p>
                              </w:txbxContent>
                            </wps:txbx>
                            <wps:bodyPr vert="eaVert" lIns="0" tIns="0" rIns="0" bIns="0" upright="1"/>
                          </wps:wsp>
                        </a:graphicData>
                      </a:graphic>
                    </wp:anchor>
                  </w:drawing>
                </mc:Choice>
                <mc:Fallback>
                  <w:pict>
                    <v:shape id="_x0000_s1026" o:spid="_x0000_s1026" o:spt="202" type="#_x0000_t202" style="position:absolute;left:0pt;margin-left:8.1pt;margin-top:38.75pt;height:12.5pt;width:17.15pt;mso-position-horizontal-relative:page;mso-position-vertical-relative:page;z-index:251685888;mso-width-relative:page;mso-height-relative:page;" filled="f" stroked="f" coordsize="21600,21600" o:gfxdata="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bknV/XAAAACgEAAA8AAAAAAAAAAQAgAAAAIgAAAGRycy9kb3ducmV2&#10;LnhtbFBLAQIUABQAAAAIAIdO4kCZsAI0xAEAAIEDAAAOAAAAAAAAAAEAIAAAACYBAABkcnMvZTJv&#10;RG9jLnhtbFBLBQYAAAAABgAGAFkBAABcBQAAAAA=&#10;">
                      <v:fill on="f" focussize="0,0"/>
                      <v:stroke on="f"/>
                      <v:imagedata o:title=""/>
                      <o:lock v:ext="edit" aspectratio="f"/>
                      <v:textbox inset="0mm,0mm,0mm,0mm" style="layout-flow:vertical-ideographic;">
                        <w:txbxContent>
                          <w:p>
                            <w:pPr>
                              <w:spacing w:before="19" w:line="196" w:lineRule="auto"/>
                              <w:ind w:firstLine="20"/>
                              <w:rPr>
                                <w:rFonts w:ascii="微软雅黑" w:hAnsi="微软雅黑" w:eastAsia="微软雅黑" w:cs="微软雅黑"/>
                                <w:sz w:val="21"/>
                                <w:szCs w:val="21"/>
                              </w:rPr>
                            </w:pPr>
                            <w:r>
                              <w:rPr>
                                <w:rFonts w:ascii="微软雅黑" w:hAnsi="微软雅黑" w:eastAsia="微软雅黑" w:cs="微软雅黑"/>
                                <w:b/>
                                <w:bCs/>
                                <w:sz w:val="21"/>
                                <w:szCs w:val="21"/>
                              </w:rPr>
                              <w:t>号</w:t>
                            </w:r>
                          </w:p>
                        </w:txbxContent>
                      </v:textbox>
                    </v:shape>
                  </w:pict>
                </mc:Fallback>
              </mc:AlternateContent>
            </w:r>
            <w:r>
              <w:rPr>
                <w:rFonts w:ascii="微软雅黑" w:hAnsi="微软雅黑" w:eastAsia="微软雅黑" w:cs="微软雅黑"/>
                <w:b/>
                <w:bCs/>
                <w:spacing w:val="1"/>
                <w:sz w:val="21"/>
                <w:szCs w:val="21"/>
              </w:rPr>
              <w:t>序</w:t>
            </w:r>
          </w:p>
        </w:tc>
        <w:tc>
          <w:tcPr>
            <w:tcW w:w="1072" w:type="dxa"/>
            <w:vAlign w:val="top"/>
          </w:tcPr>
          <w:p>
            <w:pPr>
              <w:spacing w:line="450" w:lineRule="auto"/>
              <w:rPr>
                <w:rFonts w:ascii="Times New Roman"/>
                <w:sz w:val="21"/>
              </w:rPr>
            </w:pPr>
          </w:p>
          <w:p>
            <w:pPr>
              <w:spacing w:before="90" w:line="180" w:lineRule="auto"/>
              <w:ind w:firstLine="117"/>
              <w:rPr>
                <w:rFonts w:ascii="微软雅黑" w:hAnsi="微软雅黑" w:eastAsia="微软雅黑" w:cs="微软雅黑"/>
                <w:sz w:val="21"/>
                <w:szCs w:val="21"/>
              </w:rPr>
            </w:pPr>
            <w:r>
              <w:rPr>
                <w:rFonts w:ascii="微软雅黑" w:hAnsi="微软雅黑" w:eastAsia="微软雅黑" w:cs="微软雅黑"/>
                <w:b/>
                <w:bCs/>
                <w:spacing w:val="-4"/>
                <w:sz w:val="21"/>
                <w:szCs w:val="21"/>
              </w:rPr>
              <w:t>货物名称</w:t>
            </w:r>
          </w:p>
        </w:tc>
        <w:tc>
          <w:tcPr>
            <w:tcW w:w="9457" w:type="dxa"/>
            <w:vAlign w:val="top"/>
          </w:tcPr>
          <w:p>
            <w:pPr>
              <w:spacing w:line="452" w:lineRule="auto"/>
              <w:rPr>
                <w:rFonts w:ascii="Times New Roman"/>
                <w:sz w:val="21"/>
              </w:rPr>
            </w:pPr>
          </w:p>
          <w:p>
            <w:pPr>
              <w:spacing w:before="86" w:line="180" w:lineRule="auto"/>
              <w:ind w:firstLine="3833"/>
              <w:rPr>
                <w:rFonts w:ascii="微软雅黑" w:hAnsi="微软雅黑" w:eastAsia="微软雅黑" w:cs="微软雅黑"/>
                <w:sz w:val="20"/>
                <w:szCs w:val="20"/>
              </w:rPr>
            </w:pPr>
            <w:r>
              <w:rPr>
                <w:rFonts w:ascii="微软雅黑" w:hAnsi="微软雅黑" w:eastAsia="微软雅黑" w:cs="微软雅黑"/>
                <w:b/>
                <w:bCs/>
                <w:spacing w:val="-3"/>
                <w:sz w:val="20"/>
                <w:szCs w:val="20"/>
              </w:rPr>
              <w:t>主要技术参数及要求</w:t>
            </w:r>
          </w:p>
        </w:tc>
        <w:tc>
          <w:tcPr>
            <w:tcW w:w="595" w:type="dxa"/>
            <w:textDirection w:val="tbRlV"/>
            <w:vAlign w:val="top"/>
          </w:tcPr>
          <w:p>
            <w:pPr>
              <w:spacing w:before="115" w:line="196" w:lineRule="auto"/>
              <w:ind w:firstLine="216"/>
              <w:rPr>
                <w:rFonts w:ascii="微软雅黑" w:hAnsi="微软雅黑" w:eastAsia="微软雅黑" w:cs="微软雅黑"/>
                <w:sz w:val="21"/>
                <w:szCs w:val="21"/>
              </w:rPr>
            </w:pPr>
            <w:r>
              <mc:AlternateContent>
                <mc:Choice Requires="wps">
                  <w:drawing>
                    <wp:anchor distT="0" distB="0" distL="114300" distR="114300" simplePos="0" relativeHeight="251686912" behindDoc="0" locked="0" layoutInCell="1" allowOverlap="1">
                      <wp:simplePos x="0" y="0"/>
                      <wp:positionH relativeFrom="rightMargin">
                        <wp:posOffset>-278130</wp:posOffset>
                      </wp:positionH>
                      <wp:positionV relativeFrom="topMargin">
                        <wp:posOffset>488950</wp:posOffset>
                      </wp:positionV>
                      <wp:extent cx="217805" cy="15875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17805" cy="158750"/>
                              </a:xfrm>
                              <a:prstGeom prst="rect">
                                <a:avLst/>
                              </a:prstGeom>
                              <a:noFill/>
                              <a:ln>
                                <a:noFill/>
                              </a:ln>
                            </wps:spPr>
                            <wps:txbx>
                              <w:txbxContent>
                                <w:p>
                                  <w:pPr>
                                    <w:spacing w:before="19" w:line="196" w:lineRule="auto"/>
                                    <w:ind w:firstLine="20"/>
                                    <w:rPr>
                                      <w:rFonts w:ascii="微软雅黑" w:hAnsi="微软雅黑" w:eastAsia="微软雅黑" w:cs="微软雅黑"/>
                                      <w:sz w:val="21"/>
                                      <w:szCs w:val="21"/>
                                    </w:rPr>
                                  </w:pPr>
                                  <w:r>
                                    <w:rPr>
                                      <w:rFonts w:ascii="微软雅黑" w:hAnsi="微软雅黑" w:eastAsia="微软雅黑" w:cs="微软雅黑"/>
                                      <w:b/>
                                      <w:bCs/>
                                      <w:sz w:val="21"/>
                                      <w:szCs w:val="21"/>
                                    </w:rPr>
                                    <w:t>量</w:t>
                                  </w:r>
                                </w:p>
                              </w:txbxContent>
                            </wps:txbx>
                            <wps:bodyPr vert="eaVert" lIns="0" tIns="0" rIns="0" bIns="0" upright="1"/>
                          </wps:wsp>
                        </a:graphicData>
                      </a:graphic>
                    </wp:anchor>
                  </w:drawing>
                </mc:Choice>
                <mc:Fallback>
                  <w:pict>
                    <v:shape id="_x0000_s1026" o:spid="_x0000_s1026" o:spt="202" type="#_x0000_t202" style="position:absolute;left:0pt;margin-left:7.75pt;margin-top:38.75pt;height:12.5pt;width:17.15pt;mso-position-horizontal-relative:page;mso-position-vertical-relative:page;z-index:251686912;mso-width-relative:page;mso-height-relative:page;" filled="f" stroked="f" coordsize="21600,21600" o:gfxdata="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N8f1vXAAAACQEAAA8AAAAAAAAAAQAgAAAAIgAAAGRycy9kb3ducmV2&#10;LnhtbFBLAQIUABQAAAAIAIdO4kB876EaxAEAAIEDAAAOAAAAAAAAAAEAIAAAACYBAABkcnMvZTJv&#10;RG9jLnhtbFBLBQYAAAAABgAGAFkBAABcBQAAAAA=&#10;">
                      <v:fill on="f" focussize="0,0"/>
                      <v:stroke on="f"/>
                      <v:imagedata o:title=""/>
                      <o:lock v:ext="edit" aspectratio="f"/>
                      <v:textbox inset="0mm,0mm,0mm,0mm" style="layout-flow:vertical-ideographic;">
                        <w:txbxContent>
                          <w:p>
                            <w:pPr>
                              <w:spacing w:before="19" w:line="196" w:lineRule="auto"/>
                              <w:ind w:firstLine="20"/>
                              <w:rPr>
                                <w:rFonts w:ascii="微软雅黑" w:hAnsi="微软雅黑" w:eastAsia="微软雅黑" w:cs="微软雅黑"/>
                                <w:sz w:val="21"/>
                                <w:szCs w:val="21"/>
                              </w:rPr>
                            </w:pPr>
                            <w:r>
                              <w:rPr>
                                <w:rFonts w:ascii="微软雅黑" w:hAnsi="微软雅黑" w:eastAsia="微软雅黑" w:cs="微软雅黑"/>
                                <w:b/>
                                <w:bCs/>
                                <w:sz w:val="21"/>
                                <w:szCs w:val="21"/>
                              </w:rPr>
                              <w:t>量</w:t>
                            </w:r>
                          </w:p>
                        </w:txbxContent>
                      </v:textbox>
                    </v:shape>
                  </w:pict>
                </mc:Fallback>
              </mc:AlternateContent>
            </w:r>
            <w:r>
              <w:rPr>
                <w:rFonts w:ascii="微软雅黑" w:hAnsi="微软雅黑" w:eastAsia="微软雅黑" w:cs="微软雅黑"/>
                <w:b/>
                <w:bCs/>
                <w:spacing w:val="2"/>
                <w:sz w:val="21"/>
                <w:szCs w:val="21"/>
              </w:rPr>
              <w:t>数</w:t>
            </w:r>
          </w:p>
        </w:tc>
        <w:tc>
          <w:tcPr>
            <w:tcW w:w="595" w:type="dxa"/>
            <w:textDirection w:val="tbRlV"/>
            <w:vAlign w:val="top"/>
          </w:tcPr>
          <w:p>
            <w:pPr>
              <w:spacing w:before="115" w:line="196" w:lineRule="auto"/>
              <w:ind w:firstLine="780"/>
              <w:rPr>
                <w:rFonts w:ascii="微软雅黑" w:hAnsi="微软雅黑" w:eastAsia="微软雅黑" w:cs="微软雅黑"/>
                <w:sz w:val="21"/>
                <w:szCs w:val="21"/>
              </w:rPr>
            </w:pPr>
            <w:r>
              <mc:AlternateContent>
                <mc:Choice Requires="wps">
                  <w:drawing>
                    <wp:anchor distT="0" distB="0" distL="114300" distR="114300" simplePos="0" relativeHeight="251684864" behindDoc="0" locked="0" layoutInCell="1" allowOverlap="1">
                      <wp:simplePos x="0" y="0"/>
                      <wp:positionH relativeFrom="rightMargin">
                        <wp:posOffset>-278130</wp:posOffset>
                      </wp:positionH>
                      <wp:positionV relativeFrom="topMargin">
                        <wp:posOffset>124460</wp:posOffset>
                      </wp:positionV>
                      <wp:extent cx="217805" cy="15938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17805" cy="159385"/>
                              </a:xfrm>
                              <a:prstGeom prst="rect">
                                <a:avLst/>
                              </a:prstGeom>
                              <a:noFill/>
                              <a:ln>
                                <a:noFill/>
                              </a:ln>
                            </wps:spPr>
                            <wps:txbx>
                              <w:txbxContent>
                                <w:p>
                                  <w:pPr>
                                    <w:spacing w:before="19" w:line="196" w:lineRule="auto"/>
                                    <w:ind w:firstLine="20"/>
                                    <w:rPr>
                                      <w:rFonts w:ascii="微软雅黑" w:hAnsi="微软雅黑" w:eastAsia="微软雅黑" w:cs="微软雅黑"/>
                                      <w:sz w:val="21"/>
                                      <w:szCs w:val="21"/>
                                    </w:rPr>
                                  </w:pPr>
                                  <w:r>
                                    <w:rPr>
                                      <w:rFonts w:ascii="微软雅黑" w:hAnsi="微软雅黑" w:eastAsia="微软雅黑" w:cs="微软雅黑"/>
                                      <w:b/>
                                      <w:bCs/>
                                      <w:sz w:val="21"/>
                                      <w:szCs w:val="21"/>
                                    </w:rPr>
                                    <w:t>单</w:t>
                                  </w:r>
                                </w:p>
                              </w:txbxContent>
                            </wps:txbx>
                            <wps:bodyPr vert="eaVert" lIns="0" tIns="0" rIns="0" bIns="0" upright="1"/>
                          </wps:wsp>
                        </a:graphicData>
                      </a:graphic>
                    </wp:anchor>
                  </w:drawing>
                </mc:Choice>
                <mc:Fallback>
                  <w:pict>
                    <v:shape id="_x0000_s1026" o:spid="_x0000_s1026" o:spt="202" type="#_x0000_t202" style="position:absolute;left:0pt;margin-left:7.75pt;margin-top:10.05pt;height:12.55pt;width:17.15pt;mso-position-horizontal-relative:page;mso-position-vertical-relative:page;z-index:251684864;mso-width-relative:page;mso-height-relative:page;" filled="f" stroked="f" coordsize="21600,21600" o:gfxdata="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xhWddYAAAAIAQAADwAAAAAAAAABACAAAAAiAAAAZHJzL2Rvd25yZXYu&#10;eG1sUEsBAhQAFAAAAAgAh07iQIpa3mHEAQAAgQMAAA4AAAAAAAAAAQAgAAAAJQEAAGRycy9lMm9E&#10;b2MueG1sUEsFBgAAAAAGAAYAWQEAAFsFAAAAAA==&#10;">
                      <v:fill on="f" focussize="0,0"/>
                      <v:stroke on="f"/>
                      <v:imagedata o:title=""/>
                      <o:lock v:ext="edit" aspectratio="f"/>
                      <v:textbox inset="0mm,0mm,0mm,0mm" style="layout-flow:vertical-ideographic;">
                        <w:txbxContent>
                          <w:p>
                            <w:pPr>
                              <w:spacing w:before="19" w:line="196" w:lineRule="auto"/>
                              <w:ind w:firstLine="20"/>
                              <w:rPr>
                                <w:rFonts w:ascii="微软雅黑" w:hAnsi="微软雅黑" w:eastAsia="微软雅黑" w:cs="微软雅黑"/>
                                <w:sz w:val="21"/>
                                <w:szCs w:val="21"/>
                              </w:rPr>
                            </w:pPr>
                            <w:r>
                              <w:rPr>
                                <w:rFonts w:ascii="微软雅黑" w:hAnsi="微软雅黑" w:eastAsia="微软雅黑" w:cs="微软雅黑"/>
                                <w:b/>
                                <w:bCs/>
                                <w:sz w:val="21"/>
                                <w:szCs w:val="21"/>
                              </w:rPr>
                              <w:t>单</w:t>
                            </w:r>
                          </w:p>
                        </w:txbxContent>
                      </v:textbox>
                    </v:shape>
                  </w:pict>
                </mc:Fallback>
              </mc:AlternateContent>
            </w:r>
            <w:r>
              <w:rPr>
                <w:rFonts w:ascii="微软雅黑" w:hAnsi="微软雅黑" w:eastAsia="微软雅黑" w:cs="微软雅黑"/>
                <w:b/>
                <w:bCs/>
                <w:spacing w:val="1"/>
                <w:sz w:val="21"/>
                <w:szCs w:val="21"/>
              </w:rPr>
              <w:t>位</w:t>
            </w:r>
          </w:p>
        </w:tc>
        <w:tc>
          <w:tcPr>
            <w:tcW w:w="954" w:type="dxa"/>
            <w:vAlign w:val="top"/>
          </w:tcPr>
          <w:p>
            <w:pPr>
              <w:spacing w:before="233" w:line="564" w:lineRule="exact"/>
              <w:ind w:firstLine="166"/>
              <w:rPr>
                <w:rFonts w:ascii="微软雅黑" w:hAnsi="微软雅黑" w:eastAsia="微软雅黑" w:cs="微软雅黑"/>
                <w:sz w:val="21"/>
                <w:szCs w:val="21"/>
              </w:rPr>
            </w:pPr>
            <w:r>
              <w:rPr>
                <w:rFonts w:ascii="微软雅黑" w:hAnsi="微软雅黑" w:eastAsia="微软雅黑" w:cs="微软雅黑"/>
                <w:b/>
                <w:bCs/>
                <w:spacing w:val="-3"/>
                <w:position w:val="26"/>
                <w:sz w:val="21"/>
                <w:szCs w:val="21"/>
              </w:rPr>
              <w:t>预算单</w:t>
            </w:r>
          </w:p>
          <w:p>
            <w:pPr>
              <w:spacing w:line="204" w:lineRule="auto"/>
              <w:ind w:firstLine="112"/>
              <w:rPr>
                <w:rFonts w:ascii="微软雅黑" w:hAnsi="微软雅黑" w:eastAsia="微软雅黑" w:cs="微软雅黑"/>
                <w:sz w:val="21"/>
                <w:szCs w:val="21"/>
              </w:rPr>
            </w:pPr>
            <w:r>
              <w:rPr>
                <w:rFonts w:ascii="微软雅黑" w:hAnsi="微软雅黑" w:eastAsia="微软雅黑" w:cs="微软雅黑"/>
                <w:b/>
                <w:bCs/>
                <w:spacing w:val="-3"/>
                <w:sz w:val="21"/>
                <w:szCs w:val="21"/>
              </w:rPr>
              <w:t>价（元）</w:t>
            </w:r>
          </w:p>
        </w:tc>
        <w:tc>
          <w:tcPr>
            <w:tcW w:w="883" w:type="dxa"/>
            <w:vAlign w:val="top"/>
          </w:tcPr>
          <w:p>
            <w:pPr>
              <w:spacing w:before="233" w:line="610" w:lineRule="exact"/>
              <w:ind w:firstLine="129"/>
              <w:rPr>
                <w:rFonts w:ascii="微软雅黑" w:hAnsi="微软雅黑" w:eastAsia="微软雅黑" w:cs="微软雅黑"/>
                <w:sz w:val="21"/>
                <w:szCs w:val="21"/>
              </w:rPr>
            </w:pPr>
            <w:r>
              <w:rPr>
                <w:rFonts w:ascii="微软雅黑" w:hAnsi="微软雅黑" w:eastAsia="微软雅黑" w:cs="微软雅黑"/>
                <w:b/>
                <w:bCs/>
                <w:spacing w:val="-3"/>
                <w:position w:val="30"/>
                <w:sz w:val="21"/>
                <w:szCs w:val="21"/>
              </w:rPr>
              <w:t>预算总</w:t>
            </w:r>
          </w:p>
          <w:p>
            <w:pPr>
              <w:spacing w:line="204" w:lineRule="auto"/>
              <w:ind w:firstLine="113"/>
              <w:rPr>
                <w:rFonts w:ascii="微软雅黑" w:hAnsi="微软雅黑" w:eastAsia="微软雅黑" w:cs="微软雅黑"/>
                <w:sz w:val="21"/>
                <w:szCs w:val="21"/>
              </w:rPr>
            </w:pPr>
            <w:r>
              <w:rPr>
                <w:rFonts w:ascii="微软雅黑" w:hAnsi="微软雅黑" w:eastAsia="微软雅黑" w:cs="微软雅黑"/>
                <w:b/>
                <w:bCs/>
                <w:spacing w:val="-20"/>
                <w:w w:val="97"/>
                <w:sz w:val="21"/>
                <w:szCs w:val="21"/>
              </w:rPr>
              <w:t>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1" w:hRule="atLeast"/>
        </w:trPr>
        <w:tc>
          <w:tcPr>
            <w:tcW w:w="621" w:type="dxa"/>
            <w:vAlign w:val="top"/>
          </w:tcPr>
          <w:p>
            <w:pPr>
              <w:spacing w:line="250" w:lineRule="auto"/>
              <w:rPr>
                <w:rFonts w:ascii="Times New Roman"/>
                <w:sz w:val="21"/>
              </w:rPr>
            </w:pPr>
          </w:p>
          <w:p>
            <w:pPr>
              <w:spacing w:line="250" w:lineRule="auto"/>
              <w:rPr>
                <w:rFonts w:ascii="Times New Roman"/>
                <w:sz w:val="21"/>
              </w:rPr>
            </w:pPr>
          </w:p>
          <w:p>
            <w:pPr>
              <w:spacing w:line="250" w:lineRule="auto"/>
              <w:rPr>
                <w:rFonts w:ascii="Times New Roman"/>
                <w:sz w:val="21"/>
              </w:rPr>
            </w:pPr>
          </w:p>
          <w:p>
            <w:pPr>
              <w:spacing w:line="250" w:lineRule="auto"/>
              <w:rPr>
                <w:rFonts w:ascii="Times New Roman"/>
                <w:sz w:val="21"/>
              </w:rPr>
            </w:pPr>
          </w:p>
          <w:p>
            <w:pPr>
              <w:spacing w:line="250" w:lineRule="auto"/>
              <w:rPr>
                <w:rFonts w:ascii="Times New Roman"/>
                <w:sz w:val="21"/>
              </w:rPr>
            </w:pPr>
          </w:p>
          <w:p>
            <w:pPr>
              <w:spacing w:line="250" w:lineRule="auto"/>
              <w:rPr>
                <w:rFonts w:ascii="Times New Roman"/>
                <w:sz w:val="21"/>
              </w:rPr>
            </w:pPr>
          </w:p>
          <w:p>
            <w:pPr>
              <w:spacing w:line="251" w:lineRule="auto"/>
              <w:rPr>
                <w:rFonts w:ascii="Times New Roman"/>
                <w:sz w:val="21"/>
              </w:rPr>
            </w:pPr>
          </w:p>
          <w:p>
            <w:pPr>
              <w:spacing w:line="251" w:lineRule="auto"/>
              <w:rPr>
                <w:rFonts w:ascii="Times New Roman"/>
                <w:sz w:val="21"/>
              </w:rPr>
            </w:pPr>
          </w:p>
          <w:p>
            <w:pPr>
              <w:spacing w:line="251" w:lineRule="auto"/>
              <w:rPr>
                <w:rFonts w:ascii="Times New Roman"/>
                <w:sz w:val="21"/>
              </w:rPr>
            </w:pPr>
          </w:p>
          <w:p>
            <w:pPr>
              <w:spacing w:line="251" w:lineRule="auto"/>
              <w:rPr>
                <w:rFonts w:ascii="Times New Roman"/>
                <w:sz w:val="21"/>
              </w:rPr>
            </w:pPr>
          </w:p>
          <w:p>
            <w:pPr>
              <w:spacing w:before="68" w:line="180" w:lineRule="auto"/>
              <w:ind w:firstLine="300"/>
              <w:rPr>
                <w:rFonts w:ascii="宋体" w:hAnsi="宋体" w:eastAsia="宋体" w:cs="宋体"/>
                <w:sz w:val="21"/>
                <w:szCs w:val="21"/>
              </w:rPr>
            </w:pPr>
            <w:r>
              <w:rPr>
                <w:rFonts w:ascii="宋体" w:hAnsi="宋体" w:eastAsia="宋体" w:cs="宋体"/>
                <w:sz w:val="21"/>
                <w:szCs w:val="21"/>
              </w:rPr>
              <w:t>1</w:t>
            </w:r>
          </w:p>
        </w:tc>
        <w:tc>
          <w:tcPr>
            <w:tcW w:w="1072" w:type="dxa"/>
            <w:vAlign w:val="top"/>
          </w:tcPr>
          <w:p>
            <w:pPr>
              <w:spacing w:line="246"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line="247" w:lineRule="auto"/>
              <w:rPr>
                <w:rFonts w:ascii="Times New Roman"/>
                <w:sz w:val="21"/>
              </w:rPr>
            </w:pPr>
          </w:p>
          <w:p>
            <w:pPr>
              <w:spacing w:line="247" w:lineRule="auto"/>
              <w:rPr>
                <w:rFonts w:ascii="Times New Roman"/>
                <w:sz w:val="21"/>
              </w:rPr>
            </w:pPr>
          </w:p>
          <w:p>
            <w:pPr>
              <w:spacing w:line="247" w:lineRule="auto"/>
              <w:rPr>
                <w:rFonts w:ascii="Times New Roman"/>
                <w:sz w:val="21"/>
              </w:rPr>
            </w:pPr>
          </w:p>
          <w:p>
            <w:pPr>
              <w:spacing w:line="247" w:lineRule="auto"/>
              <w:rPr>
                <w:rFonts w:ascii="Times New Roman"/>
                <w:sz w:val="21"/>
              </w:rPr>
            </w:pPr>
          </w:p>
          <w:p>
            <w:pPr>
              <w:spacing w:before="90" w:line="180" w:lineRule="auto"/>
              <w:ind w:firstLine="113"/>
              <w:rPr>
                <w:rFonts w:ascii="微软雅黑" w:hAnsi="微软雅黑" w:eastAsia="微软雅黑" w:cs="微软雅黑"/>
                <w:sz w:val="21"/>
                <w:szCs w:val="21"/>
              </w:rPr>
            </w:pPr>
            <w:r>
              <w:rPr>
                <w:rFonts w:ascii="微软雅黑" w:hAnsi="微软雅黑" w:eastAsia="微软雅黑" w:cs="微软雅黑"/>
                <w:spacing w:val="-3"/>
                <w:sz w:val="21"/>
                <w:szCs w:val="21"/>
              </w:rPr>
              <w:t>智慧黑板</w:t>
            </w:r>
          </w:p>
        </w:tc>
        <w:tc>
          <w:tcPr>
            <w:tcW w:w="9457" w:type="dxa"/>
            <w:vAlign w:val="top"/>
          </w:tcPr>
          <w:p>
            <w:pPr>
              <w:spacing w:before="49" w:line="184" w:lineRule="auto"/>
              <w:ind w:firstLine="122"/>
              <w:rPr>
                <w:rFonts w:ascii="宋体" w:hAnsi="宋体" w:eastAsia="宋体" w:cs="宋体"/>
                <w:sz w:val="18"/>
                <w:szCs w:val="18"/>
              </w:rPr>
            </w:pPr>
            <w:r>
              <w:rPr>
                <w:rFonts w:ascii="宋体" w:hAnsi="宋体" w:eastAsia="宋体" w:cs="宋体"/>
                <w:spacing w:val="-16"/>
                <w:sz w:val="18"/>
                <w:szCs w:val="18"/>
              </w:rPr>
              <w:t>一、硬件参数：</w:t>
            </w:r>
          </w:p>
          <w:p>
            <w:pPr>
              <w:spacing w:before="173" w:line="315" w:lineRule="auto"/>
              <w:ind w:left="116" w:firstLine="4"/>
              <w:rPr>
                <w:rFonts w:ascii="宋体" w:hAnsi="宋体" w:eastAsia="宋体" w:cs="宋体"/>
                <w:sz w:val="18"/>
                <w:szCs w:val="18"/>
              </w:rPr>
            </w:pPr>
            <w:r>
              <w:rPr>
                <w:rFonts w:ascii="宋体" w:hAnsi="宋体" w:eastAsia="宋体" w:cs="宋体"/>
                <w:spacing w:val="-7"/>
                <w:sz w:val="18"/>
                <w:szCs w:val="18"/>
              </w:rPr>
              <w:t>★40、整机采用一体化设计。整机尺寸宽度≥4200mm，高度≥1200mm。中间区域为</w:t>
            </w:r>
            <w:r>
              <w:rPr>
                <w:rFonts w:ascii="宋体" w:hAnsi="宋体" w:eastAsia="宋体" w:cs="宋体"/>
                <w:spacing w:val="24"/>
                <w:sz w:val="18"/>
                <w:szCs w:val="18"/>
              </w:rPr>
              <w:t xml:space="preserve"> </w:t>
            </w:r>
            <w:r>
              <w:rPr>
                <w:rFonts w:ascii="宋体" w:hAnsi="宋体" w:eastAsia="宋体" w:cs="宋体"/>
                <w:spacing w:val="-7"/>
                <w:sz w:val="18"/>
                <w:szCs w:val="18"/>
              </w:rPr>
              <w:t>LED</w:t>
            </w:r>
            <w:r>
              <w:rPr>
                <w:rFonts w:ascii="宋体" w:hAnsi="宋体" w:eastAsia="宋体" w:cs="宋体"/>
                <w:spacing w:val="19"/>
                <w:sz w:val="18"/>
                <w:szCs w:val="18"/>
              </w:rPr>
              <w:t xml:space="preserve"> </w:t>
            </w:r>
            <w:r>
              <w:rPr>
                <w:rFonts w:ascii="宋体" w:hAnsi="宋体" w:eastAsia="宋体" w:cs="宋体"/>
                <w:spacing w:val="-7"/>
                <w:sz w:val="18"/>
                <w:szCs w:val="18"/>
              </w:rPr>
              <w:t>屏幕，可显示视频内容，进行交</w:t>
            </w:r>
            <w:r>
              <w:rPr>
                <w:rFonts w:ascii="宋体" w:hAnsi="宋体" w:eastAsia="宋体" w:cs="宋体"/>
                <w:spacing w:val="-8"/>
                <w:w w:val="95"/>
                <w:sz w:val="18"/>
                <w:szCs w:val="18"/>
              </w:rPr>
              <w:t>触控操作等。中间主屏区域内置≥75英寸LED液晶屏，显示比例16:9，分辨率：≥3840*2160；对比度：≥4000:1；</w:t>
            </w:r>
            <w:r>
              <w:rPr>
                <w:rFonts w:ascii="宋体" w:hAnsi="宋体" w:eastAsia="宋体" w:cs="宋体"/>
                <w:spacing w:val="-8"/>
                <w:sz w:val="18"/>
                <w:szCs w:val="18"/>
              </w:rPr>
              <w:t>具备防眩光效果。</w:t>
            </w:r>
          </w:p>
          <w:p>
            <w:pPr>
              <w:spacing w:before="9" w:line="252" w:lineRule="auto"/>
              <w:ind w:left="121" w:right="199" w:hanging="4"/>
              <w:rPr>
                <w:rFonts w:ascii="宋体" w:hAnsi="宋体" w:eastAsia="宋体" w:cs="宋体"/>
                <w:sz w:val="18"/>
                <w:szCs w:val="18"/>
              </w:rPr>
            </w:pPr>
            <w:r>
              <w:rPr>
                <w:rFonts w:ascii="宋体" w:hAnsi="宋体" w:eastAsia="宋体" w:cs="宋体"/>
                <w:spacing w:val="-8"/>
                <w:w w:val="95"/>
                <w:sz w:val="18"/>
                <w:szCs w:val="18"/>
              </w:rPr>
              <w:t>41.整机前侧面板均可书写板书，包含中间区域（主屏）及两侧区域（副屏</w:t>
            </w:r>
            <w:r>
              <w:rPr>
                <w:rFonts w:ascii="宋体" w:hAnsi="宋体" w:eastAsia="宋体" w:cs="宋体"/>
                <w:spacing w:val="-49"/>
                <w:sz w:val="18"/>
                <w:szCs w:val="18"/>
              </w:rPr>
              <w:t>）</w:t>
            </w:r>
            <w:r>
              <w:rPr>
                <w:rFonts w:ascii="宋体" w:hAnsi="宋体" w:eastAsia="宋体" w:cs="宋体"/>
                <w:spacing w:val="-12"/>
                <w:sz w:val="18"/>
                <w:szCs w:val="18"/>
              </w:rPr>
              <w:t xml:space="preserve"> </w:t>
            </w:r>
            <w:r>
              <w:rPr>
                <w:rFonts w:ascii="宋体" w:hAnsi="宋体" w:eastAsia="宋体" w:cs="宋体"/>
                <w:spacing w:val="-49"/>
                <w:sz w:val="18"/>
                <w:szCs w:val="18"/>
              </w:rPr>
              <w:t>，</w:t>
            </w:r>
            <w:r>
              <w:rPr>
                <w:rFonts w:ascii="宋体" w:hAnsi="宋体" w:eastAsia="宋体" w:cs="宋体"/>
                <w:spacing w:val="-8"/>
                <w:w w:val="95"/>
                <w:sz w:val="18"/>
                <w:szCs w:val="18"/>
              </w:rPr>
              <w:t>主屏与副屏的板书区域均支持普通粉笔、液体粉</w:t>
            </w:r>
            <w:r>
              <w:rPr>
                <w:rFonts w:ascii="宋体" w:hAnsi="宋体" w:eastAsia="宋体" w:cs="宋体"/>
                <w:spacing w:val="-18"/>
                <w:w w:val="99"/>
                <w:sz w:val="18"/>
                <w:szCs w:val="18"/>
              </w:rPr>
              <w:t>笔、水溶性粉笔书写。</w:t>
            </w:r>
          </w:p>
          <w:p>
            <w:pPr>
              <w:spacing w:before="103" w:line="184" w:lineRule="auto"/>
              <w:ind w:firstLine="130"/>
              <w:rPr>
                <w:rFonts w:ascii="宋体" w:hAnsi="宋体" w:eastAsia="宋体" w:cs="宋体"/>
                <w:sz w:val="18"/>
                <w:szCs w:val="18"/>
              </w:rPr>
            </w:pPr>
            <w:r>
              <w:rPr>
                <w:rFonts w:ascii="宋体" w:hAnsi="宋体" w:eastAsia="宋体" w:cs="宋体"/>
                <w:spacing w:val="-5"/>
                <w:sz w:val="18"/>
                <w:szCs w:val="18"/>
              </w:rPr>
              <w:t>▲42.整机内置非独立外扩展的麦克风，搭配一键录屏功能。</w:t>
            </w:r>
          </w:p>
          <w:p>
            <w:pPr>
              <w:spacing w:before="158" w:line="394" w:lineRule="auto"/>
              <w:ind w:left="120" w:right="965" w:firstLine="7"/>
              <w:rPr>
                <w:rFonts w:ascii="宋体" w:hAnsi="宋体" w:eastAsia="宋体" w:cs="宋体"/>
                <w:sz w:val="18"/>
                <w:szCs w:val="18"/>
              </w:rPr>
            </w:pPr>
            <w:r>
              <w:rPr>
                <w:rFonts w:ascii="宋体" w:hAnsi="宋体" w:eastAsia="宋体" w:cs="宋体"/>
                <w:spacing w:val="-8"/>
                <w:sz w:val="18"/>
                <w:szCs w:val="18"/>
              </w:rPr>
              <w:t>▲43.整机内置非独立外扩展的摄像头，≥500万像素，支持二维码扫码识别功能，便于教师访问在线资源。</w:t>
            </w:r>
            <w:r>
              <w:rPr>
                <w:rFonts w:ascii="宋体" w:hAnsi="宋体" w:eastAsia="宋体" w:cs="宋体"/>
                <w:sz w:val="18"/>
                <w:szCs w:val="18"/>
              </w:rPr>
              <w:t xml:space="preserve"> </w:t>
            </w:r>
          </w:p>
          <w:p>
            <w:pPr>
              <w:spacing w:before="158" w:line="394" w:lineRule="auto"/>
              <w:ind w:left="120" w:right="965" w:firstLine="7"/>
              <w:rPr>
                <w:rFonts w:ascii="宋体" w:hAnsi="宋体" w:eastAsia="宋体" w:cs="宋体"/>
                <w:sz w:val="18"/>
                <w:szCs w:val="18"/>
              </w:rPr>
            </w:pPr>
            <w:r>
              <w:rPr>
                <w:rFonts w:ascii="宋体" w:hAnsi="宋体" w:eastAsia="宋体" w:cs="宋体"/>
                <w:spacing w:val="-5"/>
                <w:sz w:val="18"/>
                <w:szCs w:val="18"/>
              </w:rPr>
              <w:t>44.整机具备前置喇叭，输出功率：≥15</w:t>
            </w:r>
            <w:r>
              <w:rPr>
                <w:rFonts w:ascii="宋体" w:hAnsi="宋体" w:eastAsia="宋体" w:cs="宋体"/>
                <w:spacing w:val="-44"/>
                <w:sz w:val="18"/>
                <w:szCs w:val="18"/>
              </w:rPr>
              <w:t xml:space="preserve"> </w:t>
            </w:r>
            <w:r>
              <w:rPr>
                <w:rFonts w:ascii="宋体" w:hAnsi="宋体" w:eastAsia="宋体" w:cs="宋体"/>
                <w:spacing w:val="-5"/>
                <w:sz w:val="18"/>
                <w:szCs w:val="18"/>
              </w:rPr>
              <w:t>瓦x2。支持DBX音效，具备开启/关闭DBX音效功能。</w:t>
            </w:r>
          </w:p>
          <w:p>
            <w:pPr>
              <w:spacing w:before="130" w:line="343" w:lineRule="exact"/>
              <w:ind w:firstLine="127"/>
              <w:rPr>
                <w:rFonts w:ascii="宋体" w:hAnsi="宋体" w:eastAsia="宋体" w:cs="宋体"/>
                <w:sz w:val="18"/>
                <w:szCs w:val="18"/>
              </w:rPr>
            </w:pPr>
            <w:r>
              <w:rPr>
                <w:rFonts w:ascii="宋体" w:hAnsi="宋体" w:eastAsia="宋体" w:cs="宋体"/>
                <w:spacing w:val="-5"/>
                <w:position w:val="11"/>
                <w:sz w:val="18"/>
                <w:szCs w:val="18"/>
              </w:rPr>
              <w:t>▲45、整机具有减滤蓝光护眼功能并能一键启用。</w:t>
            </w:r>
          </w:p>
          <w:p>
            <w:pPr>
              <w:spacing w:before="1" w:line="204" w:lineRule="auto"/>
              <w:ind w:firstLine="120"/>
              <w:rPr>
                <w:rFonts w:ascii="宋体" w:hAnsi="宋体" w:eastAsia="宋体" w:cs="宋体"/>
                <w:sz w:val="18"/>
                <w:szCs w:val="18"/>
              </w:rPr>
            </w:pPr>
            <w:r>
              <w:rPr>
                <w:rFonts w:ascii="宋体" w:hAnsi="宋体" w:eastAsia="宋体" w:cs="宋体"/>
                <w:spacing w:val="-3"/>
                <w:sz w:val="18"/>
                <w:szCs w:val="18"/>
              </w:rPr>
              <w:t>46.在</w:t>
            </w:r>
            <w:r>
              <w:rPr>
                <w:rFonts w:ascii="宋体" w:hAnsi="宋体" w:eastAsia="宋体" w:cs="宋体"/>
                <w:spacing w:val="-36"/>
                <w:sz w:val="18"/>
                <w:szCs w:val="18"/>
              </w:rPr>
              <w:t xml:space="preserve"> </w:t>
            </w:r>
            <w:r>
              <w:rPr>
                <w:rFonts w:ascii="宋体" w:hAnsi="宋体" w:eastAsia="宋体" w:cs="宋体"/>
                <w:spacing w:val="-3"/>
                <w:sz w:val="18"/>
                <w:szCs w:val="18"/>
              </w:rPr>
              <w:t>Windows和安卓系统等中支持不低于</w:t>
            </w:r>
            <w:r>
              <w:rPr>
                <w:rFonts w:ascii="宋体" w:hAnsi="宋体" w:eastAsia="宋体" w:cs="宋体"/>
                <w:spacing w:val="-34"/>
                <w:sz w:val="18"/>
                <w:szCs w:val="18"/>
              </w:rPr>
              <w:t xml:space="preserve"> </w:t>
            </w:r>
            <w:r>
              <w:rPr>
                <w:rFonts w:ascii="宋体" w:hAnsi="宋体" w:eastAsia="宋体" w:cs="宋体"/>
                <w:spacing w:val="-3"/>
                <w:sz w:val="18"/>
                <w:szCs w:val="18"/>
              </w:rPr>
              <w:t>10</w:t>
            </w:r>
            <w:r>
              <w:rPr>
                <w:rFonts w:ascii="宋体" w:hAnsi="宋体" w:eastAsia="宋体" w:cs="宋体"/>
                <w:spacing w:val="-47"/>
                <w:sz w:val="18"/>
                <w:szCs w:val="18"/>
              </w:rPr>
              <w:t xml:space="preserve"> </w:t>
            </w:r>
            <w:r>
              <w:rPr>
                <w:rFonts w:ascii="宋体" w:hAnsi="宋体" w:eastAsia="宋体" w:cs="宋体"/>
                <w:spacing w:val="-3"/>
                <w:sz w:val="18"/>
                <w:szCs w:val="18"/>
              </w:rPr>
              <w:t>点触控。</w:t>
            </w:r>
          </w:p>
          <w:p>
            <w:pPr>
              <w:spacing w:before="65" w:line="184" w:lineRule="auto"/>
              <w:ind w:firstLine="117"/>
              <w:rPr>
                <w:rFonts w:ascii="宋体" w:hAnsi="宋体" w:eastAsia="宋体" w:cs="宋体"/>
                <w:spacing w:val="-3"/>
                <w:sz w:val="18"/>
                <w:szCs w:val="18"/>
              </w:rPr>
            </w:pPr>
            <w:r>
              <w:rPr>
                <w:rFonts w:ascii="宋体" w:hAnsi="宋体" w:eastAsia="宋体" w:cs="宋体"/>
                <w:spacing w:val="-3"/>
                <w:sz w:val="18"/>
                <w:szCs w:val="18"/>
              </w:rPr>
              <w:t>47. 支 持 外 置 电 脑 操 作 系 统 接 入 时 ， 无 需 安 装 触 摸 框 驱 动 。</w:t>
            </w:r>
          </w:p>
          <w:p>
            <w:pPr>
              <w:spacing w:before="65" w:line="184" w:lineRule="auto"/>
              <w:ind w:firstLine="117"/>
              <w:rPr>
                <w:rFonts w:ascii="宋体" w:hAnsi="宋体" w:eastAsia="宋体" w:cs="宋体"/>
                <w:sz w:val="18"/>
                <w:szCs w:val="18"/>
              </w:rPr>
            </w:pPr>
            <w:r>
              <w:rPr>
                <w:rFonts w:ascii="宋体" w:hAnsi="宋体" w:eastAsia="宋体" w:cs="宋体"/>
                <w:spacing w:val="-3"/>
                <w:sz w:val="18"/>
                <w:szCs w:val="18"/>
              </w:rPr>
              <w:t>48、支持在嵌入式安卓操作系统下，能对所读取到的课件文件进行自动归类，分类查找和检索打开。</w:t>
            </w:r>
          </w:p>
          <w:p>
            <w:pPr>
              <w:spacing w:before="154" w:line="184" w:lineRule="auto"/>
              <w:ind w:firstLine="122"/>
              <w:rPr>
                <w:rFonts w:ascii="宋体" w:hAnsi="宋体" w:eastAsia="宋体" w:cs="宋体"/>
                <w:sz w:val="18"/>
                <w:szCs w:val="18"/>
              </w:rPr>
            </w:pPr>
            <w:r>
              <w:rPr>
                <w:rFonts w:ascii="宋体" w:hAnsi="宋体" w:eastAsia="宋体" w:cs="宋体"/>
                <w:spacing w:val="-16"/>
                <w:sz w:val="18"/>
                <w:szCs w:val="18"/>
              </w:rPr>
              <w:t>二、电脑参数：</w:t>
            </w:r>
          </w:p>
          <w:p>
            <w:pPr>
              <w:spacing w:before="150" w:line="194" w:lineRule="auto"/>
              <w:ind w:left="95" w:hanging="54"/>
              <w:rPr>
                <w:rFonts w:ascii="宋体" w:hAnsi="宋体" w:eastAsia="宋体" w:cs="宋体"/>
                <w:sz w:val="18"/>
                <w:szCs w:val="18"/>
              </w:rPr>
            </w:pPr>
            <w:r>
              <w:rPr>
                <w:rFonts w:ascii="宋体" w:hAnsi="宋体" w:eastAsia="宋体" w:cs="宋体"/>
                <w:spacing w:val="-9"/>
                <w:sz w:val="18"/>
                <w:szCs w:val="18"/>
              </w:rPr>
              <w:t>49、支持模块化电脑方案，抽拉内置式，120pin</w:t>
            </w:r>
            <w:r>
              <w:rPr>
                <w:rFonts w:ascii="宋体" w:hAnsi="宋体" w:eastAsia="宋体" w:cs="宋体"/>
                <w:spacing w:val="1"/>
                <w:sz w:val="18"/>
                <w:szCs w:val="18"/>
              </w:rPr>
              <w:t xml:space="preserve"> </w:t>
            </w:r>
            <w:r>
              <w:rPr>
                <w:rFonts w:ascii="宋体" w:hAnsi="宋体" w:eastAsia="宋体" w:cs="宋体"/>
                <w:spacing w:val="-9"/>
                <w:sz w:val="18"/>
                <w:szCs w:val="18"/>
              </w:rPr>
              <w:t>或以上接口，实现无单独接线的插拔。处理器：≥Intel</w:t>
            </w:r>
            <w:r>
              <w:rPr>
                <w:rFonts w:ascii="宋体" w:hAnsi="宋体" w:eastAsia="宋体" w:cs="宋体"/>
                <w:spacing w:val="41"/>
                <w:sz w:val="18"/>
                <w:szCs w:val="18"/>
              </w:rPr>
              <w:t xml:space="preserve"> </w:t>
            </w:r>
            <w:r>
              <w:rPr>
                <w:rFonts w:ascii="宋体" w:hAnsi="宋体" w:eastAsia="宋体" w:cs="宋体"/>
                <w:spacing w:val="-9"/>
                <w:sz w:val="18"/>
                <w:szCs w:val="18"/>
              </w:rPr>
              <w:t>i5等主流芯</w:t>
            </w:r>
            <w:r>
              <w:rPr>
                <w:rFonts w:ascii="宋体" w:hAnsi="宋体" w:eastAsia="宋体" w:cs="宋体"/>
                <w:spacing w:val="-17"/>
                <w:w w:val="96"/>
                <w:sz w:val="18"/>
                <w:szCs w:val="18"/>
              </w:rPr>
              <w:t>片处理器，内存：</w:t>
            </w:r>
            <w:r>
              <w:rPr>
                <w:rFonts w:ascii="宋体" w:hAnsi="宋体" w:eastAsia="宋体" w:cs="宋体"/>
                <w:spacing w:val="22"/>
                <w:sz w:val="18"/>
                <w:szCs w:val="18"/>
              </w:rPr>
              <w:t xml:space="preserve"> </w:t>
            </w:r>
            <w:r>
              <w:rPr>
                <w:rFonts w:ascii="宋体" w:hAnsi="宋体" w:eastAsia="宋体" w:cs="宋体"/>
                <w:spacing w:val="-17"/>
                <w:w w:val="96"/>
                <w:sz w:val="18"/>
                <w:szCs w:val="18"/>
              </w:rPr>
              <w:t>≥4G</w:t>
            </w:r>
            <w:r>
              <w:rPr>
                <w:rFonts w:ascii="宋体" w:hAnsi="宋体" w:eastAsia="宋体" w:cs="宋体"/>
                <w:spacing w:val="-42"/>
                <w:sz w:val="18"/>
                <w:szCs w:val="18"/>
              </w:rPr>
              <w:t xml:space="preserve"> </w:t>
            </w:r>
            <w:r>
              <w:rPr>
                <w:rFonts w:ascii="宋体" w:hAnsi="宋体" w:eastAsia="宋体" w:cs="宋体"/>
                <w:spacing w:val="-17"/>
                <w:w w:val="96"/>
                <w:sz w:val="18"/>
                <w:szCs w:val="18"/>
              </w:rPr>
              <w:t>DDR4，硬盘：≥128G</w:t>
            </w:r>
            <w:r>
              <w:rPr>
                <w:rFonts w:ascii="宋体" w:hAnsi="宋体" w:eastAsia="宋体" w:cs="宋体"/>
                <w:spacing w:val="18"/>
                <w:sz w:val="18"/>
                <w:szCs w:val="18"/>
              </w:rPr>
              <w:t xml:space="preserve"> </w:t>
            </w:r>
            <w:r>
              <w:rPr>
                <w:rFonts w:ascii="宋体" w:hAnsi="宋体" w:eastAsia="宋体" w:cs="宋体"/>
                <w:spacing w:val="-17"/>
                <w:w w:val="96"/>
                <w:sz w:val="18"/>
                <w:szCs w:val="18"/>
              </w:rPr>
              <w:t>SSD</w:t>
            </w:r>
            <w:r>
              <w:rPr>
                <w:rFonts w:ascii="宋体" w:hAnsi="宋体" w:eastAsia="宋体" w:cs="宋体"/>
                <w:spacing w:val="-6"/>
                <w:sz w:val="18"/>
                <w:szCs w:val="18"/>
              </w:rPr>
              <w:t xml:space="preserve"> </w:t>
            </w:r>
            <w:r>
              <w:rPr>
                <w:rFonts w:ascii="宋体" w:hAnsi="宋体" w:eastAsia="宋体" w:cs="宋体"/>
                <w:spacing w:val="-17"/>
                <w:w w:val="96"/>
                <w:sz w:val="18"/>
                <w:szCs w:val="18"/>
              </w:rPr>
              <w:t>固态硬盘，内置WiFi：IEEE</w:t>
            </w:r>
            <w:r>
              <w:rPr>
                <w:rFonts w:ascii="宋体" w:hAnsi="宋体" w:eastAsia="宋体" w:cs="宋体"/>
                <w:spacing w:val="-38"/>
                <w:sz w:val="18"/>
                <w:szCs w:val="18"/>
              </w:rPr>
              <w:t xml:space="preserve"> </w:t>
            </w:r>
            <w:r>
              <w:rPr>
                <w:rFonts w:ascii="宋体" w:hAnsi="宋体" w:eastAsia="宋体" w:cs="宋体"/>
                <w:spacing w:val="-17"/>
                <w:w w:val="96"/>
                <w:sz w:val="18"/>
                <w:szCs w:val="18"/>
              </w:rPr>
              <w:t>802.11n</w:t>
            </w:r>
            <w:r>
              <w:rPr>
                <w:rFonts w:ascii="宋体" w:hAnsi="宋体" w:eastAsia="宋体" w:cs="宋体"/>
                <w:spacing w:val="5"/>
                <w:sz w:val="18"/>
                <w:szCs w:val="18"/>
              </w:rPr>
              <w:t xml:space="preserve"> </w:t>
            </w:r>
            <w:r>
              <w:rPr>
                <w:rFonts w:ascii="宋体" w:hAnsi="宋体" w:eastAsia="宋体" w:cs="宋体"/>
                <w:spacing w:val="-17"/>
                <w:w w:val="96"/>
                <w:sz w:val="18"/>
                <w:szCs w:val="18"/>
              </w:rPr>
              <w:t>标准，内置网卡：10M/100M/1000M。</w:t>
            </w:r>
          </w:p>
        </w:tc>
        <w:tc>
          <w:tcPr>
            <w:tcW w:w="595" w:type="dxa"/>
            <w:vAlign w:val="top"/>
          </w:tcPr>
          <w:p>
            <w:pPr>
              <w:spacing w:line="250" w:lineRule="auto"/>
              <w:rPr>
                <w:rFonts w:ascii="Times New Roman"/>
                <w:sz w:val="21"/>
              </w:rPr>
            </w:pPr>
          </w:p>
          <w:p>
            <w:pPr>
              <w:spacing w:line="250" w:lineRule="auto"/>
              <w:rPr>
                <w:rFonts w:ascii="Times New Roman"/>
                <w:sz w:val="21"/>
              </w:rPr>
            </w:pPr>
          </w:p>
          <w:p>
            <w:pPr>
              <w:spacing w:line="250" w:lineRule="auto"/>
              <w:rPr>
                <w:rFonts w:ascii="Times New Roman"/>
                <w:sz w:val="21"/>
              </w:rPr>
            </w:pPr>
          </w:p>
          <w:p>
            <w:pPr>
              <w:spacing w:line="250" w:lineRule="auto"/>
              <w:rPr>
                <w:rFonts w:ascii="Times New Roman"/>
                <w:sz w:val="21"/>
              </w:rPr>
            </w:pPr>
          </w:p>
          <w:p>
            <w:pPr>
              <w:spacing w:line="250" w:lineRule="auto"/>
              <w:rPr>
                <w:rFonts w:ascii="Times New Roman"/>
                <w:sz w:val="21"/>
              </w:rPr>
            </w:pPr>
          </w:p>
          <w:p>
            <w:pPr>
              <w:spacing w:line="250" w:lineRule="auto"/>
              <w:rPr>
                <w:rFonts w:ascii="Times New Roman"/>
                <w:sz w:val="21"/>
              </w:rPr>
            </w:pPr>
          </w:p>
          <w:p>
            <w:pPr>
              <w:spacing w:line="251" w:lineRule="auto"/>
              <w:rPr>
                <w:rFonts w:ascii="Times New Roman"/>
                <w:sz w:val="21"/>
              </w:rPr>
            </w:pPr>
          </w:p>
          <w:p>
            <w:pPr>
              <w:spacing w:line="251" w:lineRule="auto"/>
              <w:rPr>
                <w:rFonts w:ascii="Times New Roman"/>
                <w:sz w:val="21"/>
              </w:rPr>
            </w:pPr>
          </w:p>
          <w:p>
            <w:pPr>
              <w:spacing w:line="251" w:lineRule="auto"/>
              <w:rPr>
                <w:rFonts w:ascii="Times New Roman"/>
                <w:sz w:val="21"/>
              </w:rPr>
            </w:pPr>
          </w:p>
          <w:p>
            <w:pPr>
              <w:spacing w:line="251" w:lineRule="auto"/>
              <w:rPr>
                <w:rFonts w:ascii="Times New Roman"/>
                <w:sz w:val="21"/>
              </w:rPr>
            </w:pPr>
          </w:p>
          <w:p>
            <w:pPr>
              <w:spacing w:before="68" w:line="180" w:lineRule="auto"/>
              <w:ind w:firstLine="215"/>
              <w:rPr>
                <w:rFonts w:ascii="宋体" w:hAnsi="宋体" w:eastAsia="宋体" w:cs="宋体"/>
                <w:sz w:val="21"/>
                <w:szCs w:val="21"/>
              </w:rPr>
            </w:pPr>
            <w:r>
              <w:rPr>
                <w:rFonts w:ascii="宋体" w:hAnsi="宋体" w:eastAsia="宋体" w:cs="宋体"/>
                <w:spacing w:val="-4"/>
                <w:sz w:val="21"/>
                <w:szCs w:val="21"/>
              </w:rPr>
              <w:t>21</w:t>
            </w:r>
          </w:p>
        </w:tc>
        <w:tc>
          <w:tcPr>
            <w:tcW w:w="595" w:type="dxa"/>
            <w:vAlign w:val="top"/>
          </w:tcPr>
          <w:p>
            <w:pPr>
              <w:spacing w:line="246"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line="246" w:lineRule="auto"/>
              <w:rPr>
                <w:rFonts w:ascii="Times New Roman"/>
                <w:sz w:val="21"/>
              </w:rPr>
            </w:pPr>
          </w:p>
          <w:p>
            <w:pPr>
              <w:spacing w:line="247" w:lineRule="auto"/>
              <w:rPr>
                <w:rFonts w:ascii="Times New Roman"/>
                <w:sz w:val="21"/>
              </w:rPr>
            </w:pPr>
          </w:p>
          <w:p>
            <w:pPr>
              <w:spacing w:line="247" w:lineRule="auto"/>
              <w:rPr>
                <w:rFonts w:ascii="Times New Roman"/>
                <w:sz w:val="21"/>
              </w:rPr>
            </w:pPr>
          </w:p>
          <w:p>
            <w:pPr>
              <w:spacing w:line="247" w:lineRule="auto"/>
              <w:rPr>
                <w:rFonts w:ascii="Times New Roman"/>
                <w:sz w:val="21"/>
              </w:rPr>
            </w:pPr>
          </w:p>
          <w:p>
            <w:pPr>
              <w:spacing w:line="247" w:lineRule="auto"/>
              <w:rPr>
                <w:rFonts w:ascii="Times New Roman"/>
                <w:sz w:val="21"/>
              </w:rPr>
            </w:pPr>
          </w:p>
          <w:p>
            <w:pPr>
              <w:spacing w:before="90" w:line="180" w:lineRule="auto"/>
              <w:ind w:firstLine="196"/>
              <w:rPr>
                <w:rFonts w:ascii="微软雅黑" w:hAnsi="微软雅黑" w:eastAsia="微软雅黑" w:cs="微软雅黑"/>
                <w:sz w:val="21"/>
                <w:szCs w:val="21"/>
              </w:rPr>
            </w:pPr>
            <w:r>
              <w:rPr>
                <w:rFonts w:ascii="微软雅黑" w:hAnsi="微软雅黑" w:eastAsia="微软雅黑" w:cs="微软雅黑"/>
                <w:sz w:val="21"/>
                <w:szCs w:val="21"/>
              </w:rPr>
              <w:t>套</w:t>
            </w:r>
          </w:p>
        </w:tc>
        <w:tc>
          <w:tcPr>
            <w:tcW w:w="954" w:type="dxa"/>
            <w:vAlign w:val="top"/>
          </w:tcPr>
          <w:p>
            <w:pPr>
              <w:rPr>
                <w:rFonts w:ascii="Times New Roman"/>
                <w:sz w:val="21"/>
              </w:rPr>
            </w:pPr>
          </w:p>
        </w:tc>
        <w:tc>
          <w:tcPr>
            <w:tcW w:w="883" w:type="dxa"/>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5" w:hRule="atLeast"/>
        </w:trPr>
        <w:tc>
          <w:tcPr>
            <w:tcW w:w="621" w:type="dxa"/>
            <w:vAlign w:val="top"/>
          </w:tcPr>
          <w:p>
            <w:pPr>
              <w:spacing w:line="344" w:lineRule="auto"/>
              <w:rPr>
                <w:rFonts w:ascii="Times New Roman"/>
                <w:sz w:val="21"/>
              </w:rPr>
            </w:pPr>
          </w:p>
          <w:p>
            <w:pPr>
              <w:spacing w:before="69" w:line="180" w:lineRule="auto"/>
              <w:ind w:firstLine="275"/>
              <w:rPr>
                <w:rFonts w:ascii="宋体" w:hAnsi="宋体" w:eastAsia="宋体" w:cs="宋体"/>
                <w:sz w:val="21"/>
                <w:szCs w:val="21"/>
              </w:rPr>
            </w:pPr>
            <w:r>
              <w:rPr>
                <w:rFonts w:ascii="宋体" w:hAnsi="宋体" w:eastAsia="宋体" w:cs="宋体"/>
                <w:sz w:val="21"/>
                <w:szCs w:val="21"/>
              </w:rPr>
              <w:t>2</w:t>
            </w:r>
          </w:p>
        </w:tc>
        <w:tc>
          <w:tcPr>
            <w:tcW w:w="1072" w:type="dxa"/>
            <w:vAlign w:val="top"/>
          </w:tcPr>
          <w:p>
            <w:pPr>
              <w:spacing w:line="303" w:lineRule="auto"/>
              <w:rPr>
                <w:rFonts w:ascii="Times New Roman"/>
                <w:sz w:val="21"/>
              </w:rPr>
            </w:pPr>
          </w:p>
          <w:p>
            <w:pPr>
              <w:spacing w:before="90" w:line="180" w:lineRule="auto"/>
              <w:ind w:firstLine="117"/>
              <w:rPr>
                <w:rFonts w:ascii="微软雅黑" w:hAnsi="微软雅黑" w:eastAsia="微软雅黑" w:cs="微软雅黑"/>
                <w:sz w:val="21"/>
                <w:szCs w:val="21"/>
              </w:rPr>
            </w:pPr>
            <w:r>
              <w:rPr>
                <w:rFonts w:ascii="微软雅黑" w:hAnsi="微软雅黑" w:eastAsia="微软雅黑" w:cs="微软雅黑"/>
                <w:spacing w:val="-3"/>
                <w:sz w:val="21"/>
                <w:szCs w:val="21"/>
              </w:rPr>
              <w:t>实物展台</w:t>
            </w:r>
          </w:p>
        </w:tc>
        <w:tc>
          <w:tcPr>
            <w:tcW w:w="9457" w:type="dxa"/>
            <w:vAlign w:val="top"/>
          </w:tcPr>
          <w:p>
            <w:pPr>
              <w:spacing w:before="102" w:line="251" w:lineRule="auto"/>
              <w:ind w:left="17" w:right="76" w:hanging="7"/>
              <w:rPr>
                <w:rFonts w:ascii="宋体" w:hAnsi="宋体" w:eastAsia="宋体" w:cs="宋体"/>
                <w:sz w:val="18"/>
                <w:szCs w:val="18"/>
              </w:rPr>
            </w:pPr>
            <w:r>
              <w:rPr>
                <w:rFonts w:ascii="宋体" w:hAnsi="宋体" w:eastAsia="宋体" w:cs="宋体"/>
                <w:spacing w:val="-8"/>
                <w:sz w:val="18"/>
                <w:szCs w:val="18"/>
              </w:rPr>
              <w:t>50.采用≥800万像素摄像头；采用USB五伏电源直接供电，无需额外配置电源适配器，环保无辐射；箱内USB连线采用</w:t>
            </w:r>
            <w:r>
              <w:rPr>
                <w:rFonts w:ascii="宋体" w:hAnsi="宋体" w:eastAsia="宋体" w:cs="宋体"/>
                <w:spacing w:val="-9"/>
                <w:sz w:val="18"/>
                <w:szCs w:val="18"/>
              </w:rPr>
              <w:t>隐藏式设计，箱内无可见连线且USB口下出，有效防止积尘，且方便布线和返修。</w:t>
            </w:r>
          </w:p>
          <w:p>
            <w:pPr>
              <w:spacing w:before="102" w:line="320" w:lineRule="auto"/>
              <w:ind w:right="153"/>
              <w:rPr>
                <w:rFonts w:ascii="宋体" w:hAnsi="宋体" w:eastAsia="宋体" w:cs="宋体"/>
                <w:sz w:val="18"/>
                <w:szCs w:val="18"/>
              </w:rPr>
            </w:pPr>
            <w:r>
              <w:rPr>
                <w:rFonts w:ascii="宋体" w:hAnsi="宋体" w:eastAsia="宋体" w:cs="宋体"/>
                <w:spacing w:val="-8"/>
                <w:sz w:val="18"/>
                <w:szCs w:val="18"/>
              </w:rPr>
              <w:t>51.A4大小拍摄幅面，1080P动态视频预览达到</w:t>
            </w:r>
            <w:r>
              <w:rPr>
                <w:rFonts w:ascii="宋体" w:hAnsi="宋体" w:eastAsia="宋体" w:cs="宋体"/>
                <w:spacing w:val="-39"/>
                <w:sz w:val="18"/>
                <w:szCs w:val="18"/>
              </w:rPr>
              <w:t xml:space="preserve"> </w:t>
            </w:r>
            <w:r>
              <w:rPr>
                <w:rFonts w:ascii="宋体" w:hAnsi="宋体" w:eastAsia="宋体" w:cs="宋体"/>
                <w:spacing w:val="-8"/>
                <w:sz w:val="18"/>
                <w:szCs w:val="18"/>
              </w:rPr>
              <w:t>30帧/秒；托板及挂墙部分采用金属加强，托板可承重3kg，整机壁挂式</w:t>
            </w:r>
            <w:r>
              <w:rPr>
                <w:rFonts w:ascii="宋体" w:hAnsi="宋体" w:eastAsia="宋体" w:cs="宋体"/>
                <w:spacing w:val="-4"/>
                <w:sz w:val="18"/>
                <w:szCs w:val="18"/>
              </w:rPr>
              <w:t>安装。支持展台成像画面实时批注，预设多种笔划粗细及颜色供选择，且支持对展台成像画面联同批注内容进行同步缩</w:t>
            </w:r>
            <w:r>
              <w:rPr>
                <w:rFonts w:ascii="宋体" w:hAnsi="宋体" w:eastAsia="宋体" w:cs="宋体"/>
                <w:spacing w:val="-10"/>
                <w:sz w:val="18"/>
                <w:szCs w:val="18"/>
              </w:rPr>
              <w:t>放、移动。</w:t>
            </w:r>
          </w:p>
          <w:p>
            <w:pPr>
              <w:spacing w:before="1" w:line="295" w:lineRule="auto"/>
              <w:ind w:left="10" w:right="69"/>
              <w:rPr>
                <w:rFonts w:ascii="宋体" w:hAnsi="宋体" w:eastAsia="宋体" w:cs="宋体"/>
                <w:sz w:val="18"/>
                <w:szCs w:val="18"/>
              </w:rPr>
            </w:pPr>
            <w:r>
              <w:rPr>
                <w:rFonts w:ascii="宋体" w:hAnsi="宋体" w:eastAsia="宋体" w:cs="宋体"/>
                <w:spacing w:val="-9"/>
                <w:w w:val="99"/>
                <w:sz w:val="18"/>
                <w:szCs w:val="18"/>
              </w:rPr>
              <w:t>52、展示托板正上方具备LED补光灯，保证展示区域的亮度及展示效果，补光灯开关采用触摸按键设计，同时可通过交互</w:t>
            </w:r>
            <w:r>
              <w:rPr>
                <w:rFonts w:ascii="宋体" w:hAnsi="宋体" w:eastAsia="宋体" w:cs="宋体"/>
                <w:spacing w:val="-3"/>
                <w:sz w:val="18"/>
                <w:szCs w:val="18"/>
              </w:rPr>
              <w:t>智能平板中的软件直接控制开关；带自动对焦摄像头；外壳在摄像头部分带保护镜片密封，防止灰尘沾染摄像头。具备</w:t>
            </w:r>
            <w:r>
              <w:rPr>
                <w:rFonts w:ascii="宋体" w:hAnsi="宋体" w:eastAsia="宋体" w:cs="宋体"/>
                <w:spacing w:val="-8"/>
                <w:sz w:val="18"/>
                <w:szCs w:val="18"/>
              </w:rPr>
              <w:t>图像增强功能，可自动裁剪背景并增强文字显示，使文档画面更清晰。</w:t>
            </w:r>
          </w:p>
          <w:p>
            <w:pPr>
              <w:spacing w:before="89" w:line="184" w:lineRule="auto"/>
              <w:ind w:firstLine="10"/>
              <w:rPr>
                <w:rFonts w:ascii="宋体" w:hAnsi="宋体" w:eastAsia="宋体" w:cs="宋体"/>
                <w:sz w:val="18"/>
                <w:szCs w:val="18"/>
              </w:rPr>
            </w:pPr>
            <w:r>
              <w:rPr>
                <w:rFonts w:ascii="宋体" w:hAnsi="宋体" w:eastAsia="宋体" w:cs="宋体"/>
                <w:spacing w:val="-9"/>
                <w:w w:val="99"/>
                <w:sz w:val="18"/>
                <w:szCs w:val="18"/>
              </w:rPr>
              <w:t>53、可选择图像、文本或动态等多种情景模式，适应不同展示内容。支持故障自动检测，在软件无法出现展台拍摄画面时，</w:t>
            </w:r>
            <w:r>
              <w:rPr>
                <w:rFonts w:ascii="宋体" w:hAnsi="宋体" w:eastAsia="宋体" w:cs="宋体"/>
                <w:spacing w:val="-4"/>
                <w:sz w:val="18"/>
                <w:szCs w:val="18"/>
              </w:rPr>
              <w:t>自动出现检测链接，帮助用户检测“无画面”的原因，并给出引导性解决方案。可判断硬件连接、显卡驱动、摄像头</w:t>
            </w:r>
            <w:r>
              <w:rPr>
                <w:rFonts w:ascii="宋体" w:hAnsi="宋体" w:eastAsia="宋体" w:cs="宋体"/>
                <w:spacing w:val="-9"/>
                <w:sz w:val="18"/>
                <w:szCs w:val="18"/>
              </w:rPr>
              <w:t>占用、软件版本等问题。</w:t>
            </w:r>
          </w:p>
        </w:tc>
        <w:tc>
          <w:tcPr>
            <w:tcW w:w="595" w:type="dxa"/>
            <w:vAlign w:val="top"/>
          </w:tcPr>
          <w:p>
            <w:pPr>
              <w:spacing w:line="343" w:lineRule="auto"/>
              <w:rPr>
                <w:rFonts w:ascii="Times New Roman"/>
                <w:sz w:val="21"/>
              </w:rPr>
            </w:pPr>
          </w:p>
          <w:p>
            <w:pPr>
              <w:spacing w:before="69" w:line="180" w:lineRule="auto"/>
              <w:ind w:firstLine="215"/>
              <w:rPr>
                <w:rFonts w:ascii="宋体" w:hAnsi="宋体" w:eastAsia="宋体" w:cs="宋体"/>
                <w:sz w:val="21"/>
                <w:szCs w:val="21"/>
              </w:rPr>
            </w:pPr>
            <w:r>
              <w:rPr>
                <w:rFonts w:ascii="宋体" w:hAnsi="宋体" w:eastAsia="宋体" w:cs="宋体"/>
                <w:spacing w:val="-4"/>
                <w:sz w:val="21"/>
                <w:szCs w:val="21"/>
              </w:rPr>
              <w:t>21</w:t>
            </w:r>
          </w:p>
        </w:tc>
        <w:tc>
          <w:tcPr>
            <w:tcW w:w="595" w:type="dxa"/>
            <w:vAlign w:val="top"/>
          </w:tcPr>
          <w:p>
            <w:pPr>
              <w:spacing w:line="304" w:lineRule="auto"/>
              <w:rPr>
                <w:rFonts w:ascii="Times New Roman"/>
                <w:sz w:val="21"/>
              </w:rPr>
            </w:pPr>
          </w:p>
          <w:p>
            <w:pPr>
              <w:spacing w:before="90" w:line="180" w:lineRule="auto"/>
              <w:ind w:firstLine="196"/>
              <w:rPr>
                <w:rFonts w:ascii="微软雅黑" w:hAnsi="微软雅黑" w:eastAsia="微软雅黑" w:cs="微软雅黑"/>
                <w:sz w:val="21"/>
                <w:szCs w:val="21"/>
              </w:rPr>
            </w:pPr>
            <w:r>
              <w:rPr>
                <w:rFonts w:ascii="微软雅黑" w:hAnsi="微软雅黑" w:eastAsia="微软雅黑" w:cs="微软雅黑"/>
                <w:sz w:val="21"/>
                <w:szCs w:val="21"/>
              </w:rPr>
              <w:t>套</w:t>
            </w:r>
          </w:p>
        </w:tc>
        <w:tc>
          <w:tcPr>
            <w:tcW w:w="954" w:type="dxa"/>
            <w:vAlign w:val="top"/>
          </w:tcPr>
          <w:p>
            <w:pPr>
              <w:rPr>
                <w:rFonts w:ascii="Times New Roman"/>
                <w:sz w:val="21"/>
              </w:rPr>
            </w:pPr>
          </w:p>
        </w:tc>
        <w:tc>
          <w:tcPr>
            <w:tcW w:w="883" w:type="dxa"/>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5" w:hRule="atLeast"/>
        </w:trPr>
        <w:tc>
          <w:tcPr>
            <w:tcW w:w="621" w:type="dxa"/>
            <w:vAlign w:val="top"/>
          </w:tcPr>
          <w:p>
            <w:pPr>
              <w:spacing w:before="68" w:line="180" w:lineRule="auto"/>
              <w:rPr>
                <w:rFonts w:ascii="宋体" w:hAnsi="宋体" w:eastAsia="宋体" w:cs="宋体"/>
                <w:sz w:val="21"/>
                <w:szCs w:val="21"/>
              </w:rPr>
            </w:pPr>
          </w:p>
          <w:p>
            <w:pPr>
              <w:spacing w:before="68" w:line="180" w:lineRule="auto"/>
              <w:ind w:firstLine="210" w:firstLineChars="100"/>
              <w:rPr>
                <w:rFonts w:ascii="宋体" w:hAnsi="宋体" w:eastAsia="宋体" w:cs="宋体"/>
                <w:kern w:val="2"/>
                <w:sz w:val="21"/>
                <w:szCs w:val="21"/>
                <w:lang w:val="en-US" w:eastAsia="zh-CN" w:bidi="ar-SA"/>
              </w:rPr>
            </w:pPr>
            <w:r>
              <w:rPr>
                <w:rFonts w:ascii="宋体" w:hAnsi="宋体" w:eastAsia="宋体" w:cs="宋体"/>
                <w:sz w:val="21"/>
                <w:szCs w:val="21"/>
              </w:rPr>
              <w:t>3</w:t>
            </w:r>
          </w:p>
        </w:tc>
        <w:tc>
          <w:tcPr>
            <w:tcW w:w="1072" w:type="dxa"/>
            <w:vAlign w:val="top"/>
          </w:tcPr>
          <w:p>
            <w:pPr>
              <w:spacing w:before="90" w:line="416" w:lineRule="auto"/>
              <w:ind w:right="115" w:rightChars="0"/>
              <w:rPr>
                <w:rFonts w:ascii="微软雅黑" w:hAnsi="微软雅黑" w:eastAsia="微软雅黑" w:cs="微软雅黑"/>
                <w:kern w:val="2"/>
                <w:sz w:val="21"/>
                <w:szCs w:val="21"/>
                <w:lang w:val="en-US" w:eastAsia="zh-CN" w:bidi="ar-SA"/>
              </w:rPr>
            </w:pPr>
            <w:r>
              <w:rPr>
                <w:rFonts w:ascii="微软雅黑" w:hAnsi="微软雅黑" w:eastAsia="微软雅黑" w:cs="微软雅黑"/>
                <w:spacing w:val="-1"/>
                <w:sz w:val="21"/>
                <w:szCs w:val="21"/>
              </w:rPr>
              <w:t>智慧备课</w:t>
            </w:r>
            <w:r>
              <w:rPr>
                <w:rFonts w:ascii="微软雅黑" w:hAnsi="微软雅黑" w:eastAsia="微软雅黑" w:cs="微软雅黑"/>
                <w:spacing w:val="1"/>
                <w:w w:val="101"/>
                <w:sz w:val="21"/>
                <w:szCs w:val="21"/>
              </w:rPr>
              <w:t xml:space="preserve"> </w:t>
            </w:r>
            <w:r>
              <w:rPr>
                <w:rFonts w:ascii="微软雅黑" w:hAnsi="微软雅黑" w:eastAsia="微软雅黑" w:cs="微软雅黑"/>
                <w:spacing w:val="-3"/>
                <w:sz w:val="21"/>
                <w:szCs w:val="21"/>
              </w:rPr>
              <w:t>软件</w:t>
            </w:r>
          </w:p>
        </w:tc>
        <w:tc>
          <w:tcPr>
            <w:tcW w:w="9457" w:type="dxa"/>
            <w:vAlign w:val="top"/>
          </w:tcPr>
          <w:p>
            <w:pPr>
              <w:numPr>
                <w:ilvl w:val="0"/>
                <w:numId w:val="14"/>
              </w:numPr>
              <w:spacing w:before="59" w:line="252" w:lineRule="auto"/>
              <w:ind w:right="218"/>
              <w:rPr>
                <w:rFonts w:ascii="宋体" w:hAnsi="宋体" w:eastAsia="宋体" w:cs="宋体"/>
                <w:spacing w:val="-3"/>
                <w:sz w:val="18"/>
                <w:szCs w:val="18"/>
              </w:rPr>
            </w:pPr>
            <w:r>
              <w:rPr>
                <w:rFonts w:ascii="宋体" w:hAnsi="宋体" w:eastAsia="宋体" w:cs="宋体"/>
                <w:spacing w:val="-9"/>
                <w:w w:val="98"/>
                <w:sz w:val="18"/>
                <w:szCs w:val="18"/>
              </w:rPr>
              <w:t>为使用方全体教师配备个人账号，形成一体的信息化教学账号体系；根据教师账号信息将教师云空间匹配至对应学校、</w:t>
            </w:r>
            <w:r>
              <w:rPr>
                <w:rFonts w:ascii="宋体" w:hAnsi="宋体" w:eastAsia="宋体" w:cs="宋体"/>
                <w:spacing w:val="-3"/>
                <w:sz w:val="18"/>
                <w:szCs w:val="18"/>
              </w:rPr>
              <w:t>学科校本资源库。支持通过数字账号、微信二维码、硬件密钥方式登录教师个人账号。</w:t>
            </w:r>
          </w:p>
          <w:p>
            <w:pPr>
              <w:numPr>
                <w:ilvl w:val="0"/>
                <w:numId w:val="0"/>
              </w:numPr>
              <w:spacing w:before="59" w:line="252" w:lineRule="auto"/>
              <w:ind w:right="218" w:rightChars="0"/>
              <w:rPr>
                <w:rFonts w:ascii="宋体" w:hAnsi="宋体" w:eastAsia="宋体" w:cs="宋体"/>
                <w:kern w:val="2"/>
                <w:sz w:val="18"/>
                <w:szCs w:val="18"/>
                <w:lang w:val="en-US" w:eastAsia="zh-CN" w:bidi="ar-SA"/>
              </w:rPr>
            </w:pPr>
            <w:r>
              <w:rPr>
                <w:rFonts w:ascii="宋体" w:hAnsi="宋体" w:eastAsia="宋体" w:cs="宋体"/>
                <w:spacing w:val="-8"/>
                <w:w w:val="95"/>
                <w:sz w:val="18"/>
                <w:szCs w:val="18"/>
              </w:rPr>
              <w:t>55、教学课件支持开放式云分享：分享者可将互动课件、课件组以公开或加密的web链接和二维码形式进行分享，分享链接可</w:t>
            </w:r>
            <w:r>
              <w:rPr>
                <w:rFonts w:ascii="宋体" w:hAnsi="宋体" w:eastAsia="宋体" w:cs="宋体"/>
                <w:spacing w:val="-6"/>
                <w:sz w:val="18"/>
                <w:szCs w:val="18"/>
              </w:rPr>
              <w:t>设</w:t>
            </w:r>
            <w:r>
              <w:rPr>
                <w:rFonts w:ascii="宋体" w:hAnsi="宋体" w:eastAsia="宋体" w:cs="宋体"/>
                <w:spacing w:val="-43"/>
                <w:sz w:val="18"/>
                <w:szCs w:val="18"/>
              </w:rPr>
              <w:t xml:space="preserve"> </w:t>
            </w:r>
            <w:r>
              <w:rPr>
                <w:rFonts w:ascii="宋体" w:hAnsi="宋体" w:eastAsia="宋体" w:cs="宋体"/>
                <w:spacing w:val="-6"/>
                <w:sz w:val="18"/>
                <w:szCs w:val="18"/>
              </w:rPr>
              <w:t>置访问有效期。</w:t>
            </w:r>
          </w:p>
        </w:tc>
        <w:tc>
          <w:tcPr>
            <w:tcW w:w="595" w:type="dxa"/>
            <w:vAlign w:val="top"/>
          </w:tcPr>
          <w:p>
            <w:pPr>
              <w:spacing w:line="265" w:lineRule="auto"/>
              <w:rPr>
                <w:rFonts w:ascii="Times New Roman"/>
                <w:sz w:val="21"/>
              </w:rPr>
            </w:pPr>
          </w:p>
          <w:p>
            <w:pPr>
              <w:spacing w:line="266" w:lineRule="auto"/>
              <w:rPr>
                <w:rFonts w:ascii="Times New Roman"/>
                <w:sz w:val="21"/>
              </w:rPr>
            </w:pPr>
          </w:p>
          <w:p>
            <w:pPr>
              <w:spacing w:line="266" w:lineRule="auto"/>
              <w:rPr>
                <w:rFonts w:ascii="Times New Roman"/>
                <w:sz w:val="21"/>
              </w:rPr>
            </w:pPr>
          </w:p>
          <w:p>
            <w:pPr>
              <w:spacing w:before="68" w:line="180" w:lineRule="auto"/>
              <w:ind w:firstLine="215" w:firstLineChars="0"/>
              <w:rPr>
                <w:rFonts w:ascii="宋体" w:hAnsi="宋体" w:eastAsia="宋体" w:cs="宋体"/>
                <w:kern w:val="2"/>
                <w:sz w:val="21"/>
                <w:szCs w:val="21"/>
                <w:lang w:val="en-US" w:eastAsia="zh-CN" w:bidi="ar-SA"/>
              </w:rPr>
            </w:pPr>
            <w:r>
              <w:rPr>
                <w:rFonts w:ascii="宋体" w:hAnsi="宋体" w:eastAsia="宋体" w:cs="宋体"/>
                <w:spacing w:val="-6"/>
                <w:sz w:val="21"/>
                <w:szCs w:val="21"/>
              </w:rPr>
              <w:t>21</w:t>
            </w:r>
          </w:p>
        </w:tc>
        <w:tc>
          <w:tcPr>
            <w:tcW w:w="595" w:type="dxa"/>
            <w:vAlign w:val="top"/>
          </w:tcPr>
          <w:p>
            <w:pPr>
              <w:spacing w:line="254" w:lineRule="auto"/>
              <w:rPr>
                <w:rFonts w:ascii="Times New Roman"/>
                <w:sz w:val="21"/>
              </w:rPr>
            </w:pPr>
          </w:p>
          <w:p>
            <w:pPr>
              <w:spacing w:line="254" w:lineRule="auto"/>
              <w:rPr>
                <w:rFonts w:ascii="Times New Roman"/>
                <w:sz w:val="21"/>
              </w:rPr>
            </w:pPr>
          </w:p>
          <w:p>
            <w:pPr>
              <w:spacing w:line="254" w:lineRule="auto"/>
              <w:rPr>
                <w:rFonts w:ascii="Times New Roman"/>
                <w:sz w:val="21"/>
              </w:rPr>
            </w:pPr>
          </w:p>
          <w:p>
            <w:pPr>
              <w:spacing w:before="90" w:line="180" w:lineRule="auto"/>
              <w:ind w:firstLine="196" w:firstLineChars="0"/>
              <w:rPr>
                <w:rFonts w:ascii="微软雅黑" w:hAnsi="微软雅黑" w:eastAsia="微软雅黑" w:cs="微软雅黑"/>
                <w:kern w:val="2"/>
                <w:sz w:val="21"/>
                <w:szCs w:val="21"/>
                <w:lang w:val="en-US" w:eastAsia="zh-CN" w:bidi="ar-SA"/>
              </w:rPr>
            </w:pPr>
            <w:r>
              <w:rPr>
                <w:rFonts w:ascii="微软雅黑" w:hAnsi="微软雅黑" w:eastAsia="微软雅黑" w:cs="微软雅黑"/>
                <w:sz w:val="21"/>
                <w:szCs w:val="21"/>
              </w:rPr>
              <w:t>套</w:t>
            </w:r>
          </w:p>
        </w:tc>
        <w:tc>
          <w:tcPr>
            <w:tcW w:w="954" w:type="dxa"/>
            <w:vAlign w:val="top"/>
          </w:tcPr>
          <w:p>
            <w:pPr>
              <w:rPr>
                <w:rFonts w:ascii="Times New Roman" w:hAnsi="宋体" w:eastAsia="宋体" w:cs="宋体"/>
                <w:kern w:val="2"/>
                <w:sz w:val="21"/>
                <w:szCs w:val="22"/>
                <w:lang w:val="en-US" w:eastAsia="zh-CN" w:bidi="ar-SA"/>
              </w:rPr>
            </w:pPr>
          </w:p>
        </w:tc>
        <w:tc>
          <w:tcPr>
            <w:tcW w:w="883" w:type="dxa"/>
            <w:vAlign w:val="top"/>
          </w:tcPr>
          <w:p>
            <w:pPr>
              <w:rPr>
                <w:rFonts w:ascii="Times New Roman" w:hAnsi="宋体" w:eastAsia="宋体" w:cs="宋体"/>
                <w:kern w:val="2"/>
                <w:sz w:val="21"/>
                <w:szCs w:val="22"/>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7" w:hRule="atLeast"/>
        </w:trPr>
        <w:tc>
          <w:tcPr>
            <w:tcW w:w="621" w:type="dxa"/>
            <w:vAlign w:val="top"/>
          </w:tcPr>
          <w:p>
            <w:pPr>
              <w:spacing w:line="247" w:lineRule="auto"/>
              <w:rPr>
                <w:rFonts w:ascii="Times New Roman"/>
                <w:sz w:val="21"/>
              </w:rPr>
            </w:pPr>
          </w:p>
          <w:p>
            <w:pPr>
              <w:spacing w:line="247" w:lineRule="auto"/>
              <w:rPr>
                <w:rFonts w:ascii="Times New Roman"/>
                <w:sz w:val="21"/>
              </w:rPr>
            </w:pPr>
          </w:p>
          <w:p>
            <w:pPr>
              <w:spacing w:line="247" w:lineRule="auto"/>
              <w:rPr>
                <w:rFonts w:ascii="Times New Roman"/>
                <w:sz w:val="21"/>
              </w:rPr>
            </w:pPr>
          </w:p>
          <w:p>
            <w:pPr>
              <w:spacing w:line="248" w:lineRule="auto"/>
              <w:rPr>
                <w:rFonts w:ascii="Times New Roman"/>
                <w:sz w:val="21"/>
              </w:rPr>
            </w:pPr>
          </w:p>
          <w:p>
            <w:pPr>
              <w:spacing w:line="248" w:lineRule="auto"/>
              <w:rPr>
                <w:rFonts w:ascii="Times New Roman"/>
                <w:sz w:val="21"/>
              </w:rPr>
            </w:pPr>
          </w:p>
          <w:p>
            <w:pPr>
              <w:spacing w:line="248" w:lineRule="auto"/>
              <w:rPr>
                <w:rFonts w:ascii="Times New Roman"/>
                <w:sz w:val="21"/>
              </w:rPr>
            </w:pPr>
          </w:p>
          <w:p>
            <w:pPr>
              <w:spacing w:line="248" w:lineRule="auto"/>
              <w:rPr>
                <w:rFonts w:ascii="Times New Roman"/>
                <w:sz w:val="21"/>
              </w:rPr>
            </w:pPr>
          </w:p>
          <w:p>
            <w:pPr>
              <w:spacing w:before="68" w:line="180" w:lineRule="auto"/>
              <w:ind w:firstLine="266" w:firstLineChars="0"/>
              <w:rPr>
                <w:rFonts w:ascii="宋体" w:hAnsi="宋体" w:eastAsia="宋体" w:cs="宋体"/>
                <w:kern w:val="2"/>
                <w:sz w:val="21"/>
                <w:szCs w:val="21"/>
                <w:lang w:val="en-US" w:eastAsia="zh-CN" w:bidi="ar-SA"/>
              </w:rPr>
            </w:pPr>
            <w:r>
              <w:rPr>
                <w:rFonts w:ascii="宋体" w:hAnsi="宋体" w:eastAsia="宋体" w:cs="宋体"/>
                <w:sz w:val="21"/>
                <w:szCs w:val="21"/>
              </w:rPr>
              <w:t>4</w:t>
            </w:r>
          </w:p>
        </w:tc>
        <w:tc>
          <w:tcPr>
            <w:tcW w:w="1072" w:type="dxa"/>
            <w:vAlign w:val="top"/>
          </w:tcPr>
          <w:p>
            <w:pPr>
              <w:spacing w:line="242" w:lineRule="auto"/>
              <w:rPr>
                <w:rFonts w:ascii="Times New Roman"/>
                <w:sz w:val="21"/>
              </w:rPr>
            </w:pPr>
          </w:p>
          <w:p>
            <w:pPr>
              <w:spacing w:line="242" w:lineRule="auto"/>
              <w:rPr>
                <w:rFonts w:ascii="Times New Roman"/>
                <w:sz w:val="21"/>
              </w:rPr>
            </w:pPr>
          </w:p>
          <w:p>
            <w:pPr>
              <w:spacing w:line="242" w:lineRule="auto"/>
              <w:rPr>
                <w:rFonts w:ascii="Times New Roman"/>
                <w:sz w:val="21"/>
              </w:rPr>
            </w:pPr>
          </w:p>
          <w:p>
            <w:pPr>
              <w:spacing w:line="243" w:lineRule="auto"/>
              <w:rPr>
                <w:rFonts w:ascii="Times New Roman"/>
                <w:sz w:val="21"/>
              </w:rPr>
            </w:pPr>
          </w:p>
          <w:p>
            <w:pPr>
              <w:spacing w:line="243" w:lineRule="auto"/>
              <w:rPr>
                <w:rFonts w:ascii="Times New Roman"/>
                <w:sz w:val="21"/>
              </w:rPr>
            </w:pPr>
          </w:p>
          <w:p>
            <w:pPr>
              <w:spacing w:line="243" w:lineRule="auto"/>
              <w:rPr>
                <w:rFonts w:ascii="Times New Roman"/>
                <w:sz w:val="21"/>
              </w:rPr>
            </w:pPr>
          </w:p>
          <w:p>
            <w:pPr>
              <w:spacing w:before="90" w:line="414" w:lineRule="auto"/>
              <w:ind w:left="321" w:leftChars="0" w:right="115" w:rightChars="0" w:hanging="208" w:firstLineChars="0"/>
              <w:rPr>
                <w:rFonts w:ascii="微软雅黑" w:hAnsi="微软雅黑" w:eastAsia="微软雅黑" w:cs="微软雅黑"/>
                <w:kern w:val="2"/>
                <w:sz w:val="21"/>
                <w:szCs w:val="21"/>
                <w:lang w:val="en-US" w:eastAsia="zh-CN" w:bidi="ar-SA"/>
              </w:rPr>
            </w:pPr>
            <w:r>
              <w:rPr>
                <w:rFonts w:ascii="微软雅黑" w:hAnsi="微软雅黑" w:eastAsia="微软雅黑" w:cs="微软雅黑"/>
                <w:spacing w:val="-1"/>
                <w:sz w:val="21"/>
                <w:szCs w:val="21"/>
              </w:rPr>
              <w:t>智慧教室</w:t>
            </w:r>
            <w:r>
              <w:rPr>
                <w:rFonts w:ascii="微软雅黑" w:hAnsi="微软雅黑" w:eastAsia="微软雅黑" w:cs="微软雅黑"/>
                <w:spacing w:val="1"/>
                <w:w w:val="101"/>
                <w:sz w:val="21"/>
                <w:szCs w:val="21"/>
              </w:rPr>
              <w:t xml:space="preserve"> </w:t>
            </w:r>
            <w:r>
              <w:rPr>
                <w:rFonts w:ascii="微软雅黑" w:hAnsi="微软雅黑" w:eastAsia="微软雅黑" w:cs="微软雅黑"/>
                <w:spacing w:val="-2"/>
                <w:sz w:val="21"/>
                <w:szCs w:val="21"/>
              </w:rPr>
              <w:t>系统</w:t>
            </w:r>
          </w:p>
        </w:tc>
        <w:tc>
          <w:tcPr>
            <w:tcW w:w="9457" w:type="dxa"/>
            <w:vAlign w:val="top"/>
          </w:tcPr>
          <w:p>
            <w:pPr>
              <w:spacing w:before="92" w:line="308" w:lineRule="auto"/>
              <w:ind w:left="118" w:right="158" w:firstLine="9"/>
              <w:rPr>
                <w:rFonts w:ascii="宋体" w:hAnsi="宋体" w:eastAsia="宋体" w:cs="宋体"/>
                <w:sz w:val="18"/>
                <w:szCs w:val="18"/>
              </w:rPr>
            </w:pPr>
            <w:r>
              <w:rPr>
                <w:rFonts w:ascii="宋体" w:hAnsi="宋体" w:eastAsia="宋体" w:cs="宋体"/>
                <w:spacing w:val="-8"/>
                <w:w w:val="97"/>
                <w:sz w:val="18"/>
                <w:szCs w:val="18"/>
              </w:rPr>
              <w:t>▲56、可支持一个安装有助教系统的移动终端（安卓、IOS系统等皆可）接入，方便教师在教室移动，融入课堂，可采</w:t>
            </w:r>
            <w:r>
              <w:rPr>
                <w:rFonts w:ascii="宋体" w:hAnsi="宋体" w:eastAsia="宋体" w:cs="宋体"/>
                <w:spacing w:val="-3"/>
                <w:sz w:val="18"/>
                <w:szCs w:val="18"/>
              </w:rPr>
              <w:t>用局域网或移动数据两种接入方式。</w:t>
            </w:r>
          </w:p>
          <w:p>
            <w:pPr>
              <w:spacing w:before="1" w:line="307" w:lineRule="auto"/>
              <w:ind w:left="118" w:right="174" w:firstLine="4"/>
              <w:rPr>
                <w:rFonts w:ascii="宋体" w:hAnsi="宋体" w:eastAsia="宋体" w:cs="宋体"/>
                <w:sz w:val="18"/>
                <w:szCs w:val="18"/>
              </w:rPr>
            </w:pPr>
            <w:r>
              <w:rPr>
                <w:rFonts w:ascii="宋体" w:hAnsi="宋体" w:eastAsia="宋体" w:cs="宋体"/>
                <w:spacing w:val="-5"/>
                <w:sz w:val="18"/>
                <w:szCs w:val="18"/>
              </w:rPr>
              <w:t>▲57、软件提供智慧黑板背景切换功能：黑板背景可根据教师上课习惯和教学场景切换任意颜色和图案（内嵌</w:t>
            </w:r>
            <w:r>
              <w:rPr>
                <w:rFonts w:ascii="宋体" w:hAnsi="宋体" w:eastAsia="宋体" w:cs="宋体"/>
                <w:spacing w:val="-8"/>
                <w:sz w:val="18"/>
                <w:szCs w:val="18"/>
              </w:rPr>
              <w:t xml:space="preserve"> </w:t>
            </w:r>
            <w:r>
              <w:rPr>
                <w:rFonts w:ascii="宋体" w:hAnsi="宋体" w:eastAsia="宋体" w:cs="宋体"/>
                <w:spacing w:val="-5"/>
                <w:sz w:val="18"/>
                <w:szCs w:val="18"/>
              </w:rPr>
              <w:t>30种以</w:t>
            </w:r>
            <w:r>
              <w:rPr>
                <w:rFonts w:ascii="宋体" w:hAnsi="宋体" w:eastAsia="宋体" w:cs="宋体"/>
                <w:spacing w:val="-18"/>
                <w:sz w:val="18"/>
                <w:szCs w:val="18"/>
              </w:rPr>
              <w:t>上图案可选）。</w:t>
            </w:r>
          </w:p>
          <w:p>
            <w:pPr>
              <w:spacing w:before="67" w:line="246" w:lineRule="auto"/>
              <w:ind w:left="120" w:right="187" w:firstLine="4"/>
              <w:rPr>
                <w:rFonts w:ascii="宋体" w:hAnsi="宋体" w:eastAsia="宋体" w:cs="宋体"/>
                <w:sz w:val="18"/>
                <w:szCs w:val="18"/>
              </w:rPr>
            </w:pPr>
            <w:r>
              <w:rPr>
                <w:rFonts w:ascii="宋体" w:hAnsi="宋体" w:eastAsia="宋体" w:cs="宋体"/>
                <w:spacing w:val="-9"/>
                <w:sz w:val="18"/>
                <w:szCs w:val="18"/>
              </w:rPr>
              <w:t>58、提供书写工具：可调整笔的线条粗细、色彩，提供竹笔、荧光笔、镭射笔、智慧笔、书大写小（使用者手写大字，</w:t>
            </w:r>
            <w:r>
              <w:rPr>
                <w:rFonts w:ascii="宋体" w:hAnsi="宋体" w:eastAsia="宋体" w:cs="宋体"/>
                <w:spacing w:val="-6"/>
                <w:sz w:val="18"/>
                <w:szCs w:val="18"/>
              </w:rPr>
              <w:t>系</w:t>
            </w:r>
            <w:r>
              <w:rPr>
                <w:rFonts w:ascii="宋体" w:hAnsi="宋体" w:eastAsia="宋体" w:cs="宋体"/>
                <w:spacing w:val="-41"/>
                <w:sz w:val="18"/>
                <w:szCs w:val="18"/>
              </w:rPr>
              <w:t xml:space="preserve"> </w:t>
            </w:r>
            <w:r>
              <w:rPr>
                <w:rFonts w:ascii="宋体" w:hAnsi="宋体" w:eastAsia="宋体" w:cs="宋体"/>
                <w:spacing w:val="-6"/>
                <w:sz w:val="18"/>
                <w:szCs w:val="18"/>
              </w:rPr>
              <w:t>统可将手写字体自动缩到适当大小，并依书写文字的方向直式或横式依序排列）、线段可选。</w:t>
            </w:r>
          </w:p>
          <w:p>
            <w:pPr>
              <w:spacing w:before="185" w:line="184" w:lineRule="auto"/>
              <w:ind w:firstLine="125"/>
              <w:rPr>
                <w:rFonts w:ascii="宋体" w:hAnsi="宋体" w:eastAsia="宋体" w:cs="宋体"/>
                <w:sz w:val="18"/>
                <w:szCs w:val="18"/>
              </w:rPr>
            </w:pPr>
            <w:r>
              <w:rPr>
                <w:rFonts w:ascii="宋体" w:hAnsi="宋体" w:eastAsia="宋体" w:cs="宋体"/>
                <w:spacing w:val="-3"/>
                <w:sz w:val="18"/>
                <w:szCs w:val="18"/>
              </w:rPr>
              <w:t>59、提供橡皮擦工具：可根据需要选择橡皮擦的大小；提供点选擦除功能；提供擦除范围选取功能。</w:t>
            </w:r>
          </w:p>
          <w:p>
            <w:pPr>
              <w:spacing w:before="184" w:line="285" w:lineRule="auto"/>
              <w:ind w:left="117" w:leftChars="0" w:right="37" w:rightChars="0" w:firstLine="10" w:firstLineChars="0"/>
              <w:rPr>
                <w:rFonts w:ascii="宋体" w:hAnsi="宋体" w:eastAsia="宋体" w:cs="宋体"/>
                <w:spacing w:val="-8"/>
                <w:w w:val="93"/>
                <w:sz w:val="18"/>
                <w:szCs w:val="18"/>
              </w:rPr>
            </w:pPr>
            <w:r>
              <w:rPr>
                <w:rFonts w:ascii="宋体" w:hAnsi="宋体" w:eastAsia="宋体" w:cs="宋体"/>
                <w:spacing w:val="-8"/>
                <w:w w:val="93"/>
                <w:sz w:val="18"/>
                <w:szCs w:val="18"/>
              </w:rPr>
              <w:t>▲60、提供图片截取功能：提供智慧黑板截图功能，在截取电脑版面时自动跳转到最后一次最大化本软件之前的版面；截取的版面范</w:t>
            </w:r>
            <w:r>
              <w:rPr>
                <w:rFonts w:ascii="宋体" w:hAnsi="宋体" w:eastAsia="宋体" w:cs="宋体"/>
                <w:spacing w:val="2"/>
                <w:sz w:val="18"/>
                <w:szCs w:val="18"/>
              </w:rPr>
              <w:t>围可根据需要自己划选；截取的图片可根据需要选择以左上角或右上角为基点进行放大和缩小；截图的图片可根据需</w:t>
            </w:r>
            <w:r>
              <w:rPr>
                <w:rFonts w:ascii="宋体" w:hAnsi="宋体" w:eastAsia="宋体" w:cs="宋体"/>
                <w:spacing w:val="-6"/>
                <w:sz w:val="18"/>
                <w:szCs w:val="18"/>
              </w:rPr>
              <w:t>要进行图片简单颜色调整（取色、增加对比度等</w:t>
            </w:r>
            <w:r>
              <w:rPr>
                <w:rFonts w:ascii="宋体" w:hAnsi="宋体" w:eastAsia="宋体" w:cs="宋体"/>
                <w:spacing w:val="-61"/>
                <w:sz w:val="18"/>
                <w:szCs w:val="18"/>
              </w:rPr>
              <w:t>）；</w:t>
            </w:r>
            <w:r>
              <w:rPr>
                <w:rFonts w:ascii="宋体" w:hAnsi="宋体" w:eastAsia="宋体" w:cs="宋体"/>
                <w:spacing w:val="-27"/>
                <w:sz w:val="18"/>
                <w:szCs w:val="18"/>
              </w:rPr>
              <w:t xml:space="preserve"> </w:t>
            </w:r>
            <w:r>
              <w:rPr>
                <w:rFonts w:ascii="宋体" w:hAnsi="宋体" w:eastAsia="宋体" w:cs="宋体"/>
                <w:spacing w:val="-6"/>
                <w:sz w:val="18"/>
                <w:szCs w:val="18"/>
              </w:rPr>
              <w:t>截图的图片可任意角度旋转或预设角度旋转；截取的图片可设置预</w:t>
            </w:r>
            <w:r>
              <w:rPr>
                <w:rFonts w:ascii="宋体" w:hAnsi="宋体" w:eastAsia="宋体" w:cs="宋体"/>
                <w:sz w:val="18"/>
                <w:szCs w:val="18"/>
              </w:rPr>
              <w:t xml:space="preserve"> </w:t>
            </w:r>
            <w:r>
              <w:rPr>
                <w:rFonts w:ascii="宋体" w:hAnsi="宋体" w:eastAsia="宋体" w:cs="宋体"/>
                <w:spacing w:val="-1"/>
                <w:sz w:val="18"/>
                <w:szCs w:val="18"/>
              </w:rPr>
              <w:t>设的透明度；在有多张截图的图层时候，可随意设置图层的顺序；截取的图片可进行复制、无限复制、锁定、删除等</w:t>
            </w:r>
            <w:r>
              <w:rPr>
                <w:rFonts w:ascii="宋体" w:hAnsi="宋体" w:eastAsia="宋体" w:cs="宋体"/>
                <w:spacing w:val="-5"/>
                <w:sz w:val="18"/>
                <w:szCs w:val="18"/>
              </w:rPr>
              <w:t>功能。</w:t>
            </w:r>
          </w:p>
          <w:p>
            <w:pPr>
              <w:spacing w:before="101" w:line="320" w:lineRule="auto"/>
              <w:ind w:left="120" w:right="29" w:firstLine="7"/>
              <w:rPr>
                <w:rFonts w:ascii="宋体" w:hAnsi="宋体" w:eastAsia="宋体" w:cs="宋体"/>
                <w:sz w:val="18"/>
                <w:szCs w:val="18"/>
              </w:rPr>
            </w:pPr>
            <w:r>
              <w:rPr>
                <w:rFonts w:ascii="宋体" w:hAnsi="宋体" w:eastAsia="宋体" w:cs="宋体"/>
                <w:spacing w:val="-8"/>
                <w:w w:val="97"/>
                <w:sz w:val="18"/>
                <w:szCs w:val="18"/>
              </w:rPr>
              <w:t>▲61、提供小组计分板功能，可根据需要添加和删除小组个数（最少组数为</w:t>
            </w:r>
            <w:r>
              <w:rPr>
                <w:rFonts w:ascii="宋体" w:hAnsi="宋体" w:eastAsia="宋体" w:cs="宋体"/>
                <w:spacing w:val="-21"/>
                <w:sz w:val="18"/>
                <w:szCs w:val="18"/>
              </w:rPr>
              <w:t xml:space="preserve"> </w:t>
            </w:r>
            <w:r>
              <w:rPr>
                <w:rFonts w:ascii="宋体" w:hAnsi="宋体" w:eastAsia="宋体" w:cs="宋体"/>
                <w:spacing w:val="-8"/>
                <w:w w:val="97"/>
                <w:sz w:val="18"/>
                <w:szCs w:val="18"/>
              </w:rPr>
              <w:t>1，最大组数不限</w:t>
            </w:r>
            <w:r>
              <w:rPr>
                <w:rFonts w:ascii="宋体" w:hAnsi="宋体" w:eastAsia="宋体" w:cs="宋体"/>
                <w:spacing w:val="-43"/>
                <w:sz w:val="18"/>
                <w:szCs w:val="18"/>
              </w:rPr>
              <w:t>），</w:t>
            </w:r>
            <w:r>
              <w:rPr>
                <w:rFonts w:ascii="宋体" w:hAnsi="宋体" w:eastAsia="宋体" w:cs="宋体"/>
                <w:spacing w:val="-8"/>
                <w:w w:val="97"/>
                <w:sz w:val="18"/>
                <w:szCs w:val="18"/>
              </w:rPr>
              <w:t>并可以一键还原到默认</w:t>
            </w:r>
            <w:r>
              <w:rPr>
                <w:rFonts w:ascii="宋体" w:hAnsi="宋体" w:eastAsia="宋体" w:cs="宋体"/>
                <w:spacing w:val="-16"/>
                <w:w w:val="92"/>
                <w:sz w:val="18"/>
                <w:szCs w:val="18"/>
              </w:rPr>
              <w:t>小组个数；可最小化记分板；可提供记分板拍照功能，记录小组得分结果；为提高课堂活跃度，至少提供20种以上不同的得分图标。</w:t>
            </w:r>
            <w:r>
              <w:rPr>
                <w:rFonts w:ascii="宋体" w:hAnsi="宋体" w:eastAsia="宋体" w:cs="宋体"/>
                <w:sz w:val="18"/>
                <w:szCs w:val="18"/>
              </w:rPr>
              <w:t xml:space="preserve">   </w:t>
            </w:r>
          </w:p>
          <w:p>
            <w:pPr>
              <w:numPr>
                <w:ilvl w:val="0"/>
                <w:numId w:val="15"/>
              </w:numPr>
              <w:spacing w:before="101" w:line="320" w:lineRule="auto"/>
              <w:ind w:left="120" w:right="29" w:firstLine="7"/>
              <w:rPr>
                <w:rFonts w:ascii="宋体" w:hAnsi="宋体" w:eastAsia="宋体" w:cs="宋体"/>
                <w:spacing w:val="-7"/>
                <w:sz w:val="18"/>
                <w:szCs w:val="18"/>
              </w:rPr>
            </w:pPr>
            <w:r>
              <w:rPr>
                <w:rFonts w:ascii="宋体" w:hAnsi="宋体" w:eastAsia="宋体" w:cs="宋体"/>
                <w:spacing w:val="-8"/>
                <w:w w:val="91"/>
                <w:sz w:val="18"/>
                <w:szCs w:val="18"/>
              </w:rPr>
              <w:t>提供指标功能，根据教师上课即时评测时，点击即可生成编号，提供英文大小写编号、阿拉伯数字编号、中文大写编号及罗马</w:t>
            </w:r>
            <w:r>
              <w:rPr>
                <w:rFonts w:ascii="宋体" w:hAnsi="宋体" w:eastAsia="宋体" w:cs="宋体"/>
                <w:spacing w:val="-10"/>
                <w:sz w:val="18"/>
                <w:szCs w:val="18"/>
              </w:rPr>
              <w:t>数字编号；可根据教师需要设置编号大小及颜色；并提供正方形、圆形、五边形、六边形、左三角、右三角、上三角、</w:t>
            </w:r>
            <w:r>
              <w:rPr>
                <w:rFonts w:ascii="宋体" w:hAnsi="宋体" w:eastAsia="宋体" w:cs="宋体"/>
                <w:spacing w:val="-7"/>
                <w:sz w:val="18"/>
                <w:szCs w:val="18"/>
              </w:rPr>
              <w:t>下三角、左箭头、右箭头、上箭头、下箭头、星形、心形等多种编号背景图案及背景颜色；并提供清除编号功能</w:t>
            </w:r>
            <w:r>
              <w:rPr>
                <w:rFonts w:hint="eastAsia" w:ascii="宋体" w:hAnsi="宋体" w:eastAsia="宋体" w:cs="宋体"/>
                <w:spacing w:val="-7"/>
                <w:sz w:val="18"/>
                <w:szCs w:val="18"/>
                <w:lang w:eastAsia="zh-CN"/>
              </w:rPr>
              <w:t>。</w:t>
            </w:r>
          </w:p>
          <w:p>
            <w:pPr>
              <w:numPr>
                <w:ilvl w:val="0"/>
                <w:numId w:val="15"/>
              </w:numPr>
              <w:spacing w:before="101" w:line="320" w:lineRule="auto"/>
              <w:ind w:left="120" w:leftChars="0" w:right="29" w:rightChars="0" w:firstLine="7" w:firstLineChars="0"/>
              <w:rPr>
                <w:rFonts w:ascii="宋体" w:hAnsi="宋体" w:eastAsia="宋体" w:cs="宋体"/>
                <w:kern w:val="2"/>
                <w:sz w:val="18"/>
                <w:szCs w:val="18"/>
                <w:lang w:val="en-US" w:eastAsia="zh-CN" w:bidi="ar-SA"/>
              </w:rPr>
            </w:pPr>
            <w:r>
              <w:rPr>
                <w:rFonts w:ascii="宋体" w:hAnsi="宋体" w:eastAsia="宋体" w:cs="宋体"/>
                <w:spacing w:val="-2"/>
                <w:sz w:val="18"/>
                <w:szCs w:val="18"/>
              </w:rPr>
              <w:t>支持文件发送，智慧教室系统支持直接打开</w:t>
            </w:r>
            <w:r>
              <w:rPr>
                <w:rFonts w:ascii="宋体" w:hAnsi="宋体" w:eastAsia="宋体" w:cs="宋体"/>
                <w:spacing w:val="-39"/>
                <w:sz w:val="18"/>
                <w:szCs w:val="18"/>
              </w:rPr>
              <w:t xml:space="preserve"> </w:t>
            </w:r>
            <w:r>
              <w:rPr>
                <w:rFonts w:ascii="宋体" w:hAnsi="宋体" w:eastAsia="宋体" w:cs="宋体"/>
                <w:spacing w:val="-2"/>
                <w:sz w:val="18"/>
                <w:szCs w:val="18"/>
              </w:rPr>
              <w:t>ppt、word、xls、hte、hts等类型文件，对不支持的格式亦可以接</w:t>
            </w:r>
            <w:r>
              <w:rPr>
                <w:rFonts w:ascii="宋体" w:hAnsi="宋体" w:eastAsia="宋体" w:cs="宋体"/>
                <w:spacing w:val="-6"/>
                <w:sz w:val="18"/>
                <w:szCs w:val="18"/>
              </w:rPr>
              <w:t>收打开。</w:t>
            </w:r>
          </w:p>
        </w:tc>
        <w:tc>
          <w:tcPr>
            <w:tcW w:w="595" w:type="dxa"/>
            <w:vAlign w:val="top"/>
          </w:tcPr>
          <w:p>
            <w:pPr>
              <w:spacing w:line="247" w:lineRule="auto"/>
              <w:rPr>
                <w:rFonts w:ascii="Times New Roman"/>
                <w:sz w:val="21"/>
              </w:rPr>
            </w:pPr>
          </w:p>
          <w:p>
            <w:pPr>
              <w:spacing w:line="247" w:lineRule="auto"/>
              <w:rPr>
                <w:rFonts w:ascii="Times New Roman"/>
                <w:sz w:val="21"/>
              </w:rPr>
            </w:pPr>
          </w:p>
          <w:p>
            <w:pPr>
              <w:spacing w:line="247" w:lineRule="auto"/>
              <w:rPr>
                <w:rFonts w:ascii="Times New Roman"/>
                <w:sz w:val="21"/>
              </w:rPr>
            </w:pPr>
          </w:p>
          <w:p>
            <w:pPr>
              <w:spacing w:line="247" w:lineRule="auto"/>
              <w:rPr>
                <w:rFonts w:ascii="Times New Roman"/>
                <w:sz w:val="21"/>
              </w:rPr>
            </w:pPr>
          </w:p>
          <w:p>
            <w:pPr>
              <w:spacing w:line="247" w:lineRule="auto"/>
              <w:rPr>
                <w:rFonts w:ascii="Times New Roman"/>
                <w:sz w:val="21"/>
              </w:rPr>
            </w:pPr>
          </w:p>
          <w:p>
            <w:pPr>
              <w:spacing w:line="247" w:lineRule="auto"/>
              <w:rPr>
                <w:rFonts w:ascii="Times New Roman"/>
                <w:sz w:val="21"/>
              </w:rPr>
            </w:pPr>
          </w:p>
          <w:p>
            <w:pPr>
              <w:spacing w:line="248" w:lineRule="auto"/>
              <w:rPr>
                <w:rFonts w:ascii="Times New Roman"/>
                <w:sz w:val="21"/>
              </w:rPr>
            </w:pPr>
          </w:p>
          <w:p>
            <w:pPr>
              <w:spacing w:before="68" w:line="180" w:lineRule="auto"/>
              <w:ind w:firstLine="215" w:firstLineChars="0"/>
              <w:rPr>
                <w:rFonts w:ascii="宋体" w:hAnsi="宋体" w:eastAsia="宋体" w:cs="宋体"/>
                <w:kern w:val="2"/>
                <w:sz w:val="21"/>
                <w:szCs w:val="21"/>
                <w:lang w:val="en-US" w:eastAsia="zh-CN" w:bidi="ar-SA"/>
              </w:rPr>
            </w:pPr>
            <w:r>
              <w:rPr>
                <w:rFonts w:ascii="宋体" w:hAnsi="宋体" w:eastAsia="宋体" w:cs="宋体"/>
                <w:spacing w:val="-6"/>
                <w:sz w:val="21"/>
                <w:szCs w:val="21"/>
              </w:rPr>
              <w:t>21</w:t>
            </w:r>
          </w:p>
        </w:tc>
        <w:tc>
          <w:tcPr>
            <w:tcW w:w="595" w:type="dxa"/>
            <w:vAlign w:val="top"/>
          </w:tcPr>
          <w:p>
            <w:pPr>
              <w:spacing w:line="242" w:lineRule="auto"/>
              <w:rPr>
                <w:rFonts w:ascii="Times New Roman"/>
                <w:sz w:val="21"/>
              </w:rPr>
            </w:pPr>
          </w:p>
          <w:p>
            <w:pPr>
              <w:spacing w:line="242" w:lineRule="auto"/>
              <w:rPr>
                <w:rFonts w:ascii="Times New Roman"/>
                <w:sz w:val="21"/>
              </w:rPr>
            </w:pPr>
          </w:p>
          <w:p>
            <w:pPr>
              <w:spacing w:line="242" w:lineRule="auto"/>
              <w:rPr>
                <w:rFonts w:ascii="Times New Roman"/>
                <w:sz w:val="21"/>
              </w:rPr>
            </w:pPr>
          </w:p>
          <w:p>
            <w:pPr>
              <w:spacing w:line="242" w:lineRule="auto"/>
              <w:rPr>
                <w:rFonts w:ascii="Times New Roman"/>
                <w:sz w:val="21"/>
              </w:rPr>
            </w:pPr>
          </w:p>
          <w:p>
            <w:pPr>
              <w:spacing w:line="242" w:lineRule="auto"/>
              <w:rPr>
                <w:rFonts w:ascii="Times New Roman"/>
                <w:sz w:val="21"/>
              </w:rPr>
            </w:pPr>
          </w:p>
          <w:p>
            <w:pPr>
              <w:spacing w:line="242" w:lineRule="auto"/>
              <w:rPr>
                <w:rFonts w:ascii="Times New Roman"/>
                <w:sz w:val="21"/>
              </w:rPr>
            </w:pPr>
          </w:p>
          <w:p>
            <w:pPr>
              <w:spacing w:line="243" w:lineRule="auto"/>
              <w:rPr>
                <w:rFonts w:ascii="Times New Roman"/>
                <w:sz w:val="21"/>
              </w:rPr>
            </w:pPr>
          </w:p>
          <w:p>
            <w:pPr>
              <w:spacing w:before="90" w:line="180" w:lineRule="auto"/>
              <w:ind w:firstLine="196" w:firstLineChars="0"/>
              <w:rPr>
                <w:rFonts w:ascii="微软雅黑" w:hAnsi="微软雅黑" w:eastAsia="微软雅黑" w:cs="微软雅黑"/>
                <w:kern w:val="2"/>
                <w:sz w:val="21"/>
                <w:szCs w:val="21"/>
                <w:lang w:val="en-US" w:eastAsia="zh-CN" w:bidi="ar-SA"/>
              </w:rPr>
            </w:pPr>
            <w:r>
              <w:rPr>
                <w:rFonts w:ascii="微软雅黑" w:hAnsi="微软雅黑" w:eastAsia="微软雅黑" w:cs="微软雅黑"/>
                <w:sz w:val="21"/>
                <w:szCs w:val="21"/>
              </w:rPr>
              <w:t>套</w:t>
            </w:r>
          </w:p>
        </w:tc>
        <w:tc>
          <w:tcPr>
            <w:tcW w:w="954" w:type="dxa"/>
            <w:vAlign w:val="top"/>
          </w:tcPr>
          <w:p>
            <w:pPr>
              <w:rPr>
                <w:rFonts w:ascii="Times New Roman" w:hAnsi="宋体" w:eastAsia="宋体" w:cs="宋体"/>
                <w:kern w:val="2"/>
                <w:sz w:val="21"/>
                <w:szCs w:val="22"/>
                <w:lang w:val="en-US" w:eastAsia="zh-CN" w:bidi="ar-SA"/>
              </w:rPr>
            </w:pPr>
          </w:p>
        </w:tc>
        <w:tc>
          <w:tcPr>
            <w:tcW w:w="883" w:type="dxa"/>
            <w:vAlign w:val="top"/>
          </w:tcPr>
          <w:p>
            <w:pPr>
              <w:rPr>
                <w:rFonts w:ascii="Times New Roman" w:hAnsi="宋体" w:eastAsia="宋体" w:cs="宋体"/>
                <w:kern w:val="2"/>
                <w:sz w:val="21"/>
                <w:szCs w:val="22"/>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5" w:hRule="atLeast"/>
        </w:trPr>
        <w:tc>
          <w:tcPr>
            <w:tcW w:w="0" w:type="auto"/>
            <w:vAlign w:val="top"/>
          </w:tcPr>
          <w:p>
            <w:pPr>
              <w:spacing w:line="361" w:lineRule="auto"/>
              <w:rPr>
                <w:rFonts w:ascii="Times New Roman"/>
                <w:sz w:val="21"/>
              </w:rPr>
            </w:pPr>
          </w:p>
          <w:p>
            <w:pPr>
              <w:spacing w:before="68" w:line="180" w:lineRule="auto"/>
              <w:ind w:firstLine="276" w:firstLineChars="0"/>
              <w:rPr>
                <w:rFonts w:ascii="宋体" w:hAnsi="宋体" w:eastAsia="宋体" w:cs="宋体"/>
                <w:kern w:val="2"/>
                <w:sz w:val="21"/>
                <w:szCs w:val="21"/>
                <w:lang w:val="en-US" w:eastAsia="zh-CN" w:bidi="ar-SA"/>
              </w:rPr>
            </w:pPr>
            <w:r>
              <w:rPr>
                <w:rFonts w:ascii="宋体" w:hAnsi="宋体" w:eastAsia="宋体" w:cs="宋体"/>
                <w:sz w:val="21"/>
                <w:szCs w:val="21"/>
              </w:rPr>
              <w:t>5</w:t>
            </w:r>
          </w:p>
        </w:tc>
        <w:tc>
          <w:tcPr>
            <w:tcW w:w="0" w:type="auto"/>
            <w:vAlign w:val="top"/>
          </w:tcPr>
          <w:p>
            <w:pPr>
              <w:spacing w:line="318" w:lineRule="auto"/>
              <w:rPr>
                <w:rFonts w:ascii="Times New Roman"/>
                <w:sz w:val="21"/>
              </w:rPr>
            </w:pPr>
          </w:p>
          <w:p>
            <w:pPr>
              <w:spacing w:before="90" w:line="180" w:lineRule="auto"/>
              <w:ind w:firstLine="117" w:firstLineChars="0"/>
              <w:rPr>
                <w:rFonts w:ascii="微软雅黑" w:hAnsi="微软雅黑" w:eastAsia="微软雅黑" w:cs="微软雅黑"/>
                <w:kern w:val="2"/>
                <w:sz w:val="21"/>
                <w:szCs w:val="21"/>
                <w:lang w:val="en-US" w:eastAsia="zh-CN" w:bidi="ar-SA"/>
              </w:rPr>
            </w:pPr>
            <w:r>
              <w:rPr>
                <w:rFonts w:ascii="微软雅黑" w:hAnsi="微软雅黑" w:eastAsia="微软雅黑" w:cs="微软雅黑"/>
                <w:spacing w:val="-3"/>
                <w:sz w:val="21"/>
                <w:szCs w:val="21"/>
              </w:rPr>
              <w:t>安装集成</w:t>
            </w:r>
          </w:p>
        </w:tc>
        <w:tc>
          <w:tcPr>
            <w:tcW w:w="0" w:type="auto"/>
            <w:vAlign w:val="top"/>
          </w:tcPr>
          <w:p>
            <w:pPr>
              <w:spacing w:line="310" w:lineRule="auto"/>
              <w:rPr>
                <w:rFonts w:ascii="Times New Roman"/>
                <w:sz w:val="21"/>
              </w:rPr>
            </w:pPr>
          </w:p>
          <w:p>
            <w:pPr>
              <w:spacing w:before="58" w:line="184" w:lineRule="auto"/>
              <w:ind w:firstLine="115" w:firstLineChars="0"/>
              <w:rPr>
                <w:rFonts w:ascii="宋体" w:hAnsi="宋体" w:eastAsia="宋体" w:cs="宋体"/>
                <w:kern w:val="2"/>
                <w:sz w:val="18"/>
                <w:szCs w:val="18"/>
                <w:lang w:val="en-US" w:eastAsia="zh-CN" w:bidi="ar-SA"/>
              </w:rPr>
            </w:pPr>
            <w:r>
              <w:rPr>
                <w:rFonts w:ascii="宋体" w:hAnsi="宋体" w:eastAsia="宋体" w:cs="宋体"/>
                <w:spacing w:val="-8"/>
                <w:w w:val="94"/>
                <w:sz w:val="18"/>
                <w:szCs w:val="18"/>
              </w:rPr>
              <w:t>64、多媒体系统的安装、调试。施工材料运输以、旧多媒体拆除到指定及新设备安装人工费，辅材费用等。</w:t>
            </w:r>
          </w:p>
        </w:tc>
        <w:tc>
          <w:tcPr>
            <w:tcW w:w="0" w:type="auto"/>
            <w:vAlign w:val="top"/>
          </w:tcPr>
          <w:p>
            <w:pPr>
              <w:spacing w:line="356" w:lineRule="auto"/>
              <w:rPr>
                <w:rFonts w:ascii="Times New Roman"/>
                <w:sz w:val="21"/>
              </w:rPr>
            </w:pPr>
          </w:p>
          <w:p>
            <w:pPr>
              <w:spacing w:before="69" w:line="180" w:lineRule="auto"/>
              <w:ind w:firstLine="215" w:firstLineChars="0"/>
              <w:rPr>
                <w:rFonts w:ascii="宋体" w:hAnsi="宋体" w:eastAsia="宋体" w:cs="宋体"/>
                <w:kern w:val="2"/>
                <w:sz w:val="21"/>
                <w:szCs w:val="21"/>
                <w:lang w:val="en-US" w:eastAsia="zh-CN" w:bidi="ar-SA"/>
              </w:rPr>
            </w:pPr>
            <w:r>
              <w:rPr>
                <w:rFonts w:ascii="宋体" w:hAnsi="宋体" w:eastAsia="宋体" w:cs="宋体"/>
                <w:spacing w:val="-6"/>
                <w:sz w:val="21"/>
                <w:szCs w:val="21"/>
              </w:rPr>
              <w:t>21</w:t>
            </w:r>
          </w:p>
        </w:tc>
        <w:tc>
          <w:tcPr>
            <w:tcW w:w="0" w:type="auto"/>
            <w:vAlign w:val="top"/>
          </w:tcPr>
          <w:p>
            <w:pPr>
              <w:spacing w:line="347" w:lineRule="auto"/>
              <w:rPr>
                <w:rFonts w:ascii="Times New Roman"/>
                <w:sz w:val="21"/>
              </w:rPr>
            </w:pPr>
          </w:p>
          <w:p>
            <w:pPr>
              <w:spacing w:before="91" w:line="180" w:lineRule="auto"/>
              <w:ind w:firstLine="196" w:firstLineChars="0"/>
              <w:rPr>
                <w:rFonts w:ascii="微软雅黑" w:hAnsi="微软雅黑" w:eastAsia="微软雅黑" w:cs="微软雅黑"/>
                <w:kern w:val="2"/>
                <w:sz w:val="21"/>
                <w:szCs w:val="21"/>
                <w:lang w:val="en-US" w:eastAsia="zh-CN" w:bidi="ar-SA"/>
              </w:rPr>
            </w:pPr>
            <w:r>
              <w:rPr>
                <w:rFonts w:ascii="微软雅黑" w:hAnsi="微软雅黑" w:eastAsia="微软雅黑" w:cs="微软雅黑"/>
                <w:sz w:val="21"/>
                <w:szCs w:val="21"/>
              </w:rPr>
              <w:t>项</w:t>
            </w:r>
          </w:p>
        </w:tc>
        <w:tc>
          <w:tcPr>
            <w:tcW w:w="0" w:type="auto"/>
            <w:vAlign w:val="top"/>
          </w:tcPr>
          <w:p>
            <w:pPr>
              <w:rPr>
                <w:rFonts w:ascii="Times New Roman" w:hAnsi="宋体" w:eastAsia="宋体" w:cs="宋体"/>
                <w:kern w:val="2"/>
                <w:sz w:val="21"/>
                <w:szCs w:val="22"/>
                <w:lang w:val="en-US" w:eastAsia="zh-CN" w:bidi="ar-SA"/>
              </w:rPr>
            </w:pPr>
          </w:p>
        </w:tc>
        <w:tc>
          <w:tcPr>
            <w:tcW w:w="0" w:type="auto"/>
            <w:vAlign w:val="top"/>
          </w:tcPr>
          <w:p>
            <w:pPr>
              <w:rPr>
                <w:rFonts w:ascii="Times New Roman" w:hAnsi="宋体" w:eastAsia="宋体" w:cs="宋体"/>
                <w:kern w:val="2"/>
                <w:sz w:val="21"/>
                <w:szCs w:val="22"/>
                <w:lang w:val="en-US" w:eastAsia="zh-CN" w:bidi="ar-SA"/>
              </w:rPr>
            </w:pPr>
          </w:p>
        </w:tc>
      </w:tr>
    </w:tbl>
    <w:p>
      <w:pPr>
        <w:rPr>
          <w:rFonts w:ascii="Times New Roman"/>
          <w:sz w:val="21"/>
        </w:rPr>
      </w:pPr>
    </w:p>
    <w:p>
      <w:pPr>
        <w:sectPr>
          <w:headerReference r:id="rId39" w:type="default"/>
          <w:footerReference r:id="rId40" w:type="default"/>
          <w:type w:val="continuous"/>
          <w:pgSz w:w="16840" w:h="11906"/>
          <w:pgMar w:top="400" w:right="659" w:bottom="1104" w:left="1326" w:header="0" w:footer="985" w:gutter="0"/>
          <w:cols w:space="720" w:num="1"/>
        </w:sectPr>
      </w:pPr>
    </w:p>
    <w:p>
      <w:pPr>
        <w:spacing w:line="161" w:lineRule="exact"/>
      </w:pPr>
    </w:p>
    <w:p>
      <w:pPr>
        <w:sectPr>
          <w:headerReference r:id="rId41" w:type="default"/>
          <w:footerReference r:id="rId42" w:type="default"/>
          <w:pgSz w:w="16840" w:h="11906"/>
          <w:pgMar w:top="400" w:right="659" w:bottom="1104" w:left="1326" w:header="0" w:footer="985" w:gutter="0"/>
          <w:cols w:space="720" w:num="1"/>
        </w:sectPr>
      </w:pPr>
    </w:p>
    <w:p/>
    <w:p/>
    <w:p/>
    <w:p>
      <w:pPr>
        <w:spacing w:line="44" w:lineRule="exact"/>
      </w:pPr>
    </w:p>
    <w:p>
      <w:pPr>
        <w:spacing w:line="14" w:lineRule="auto"/>
        <w:rPr>
          <w:rFonts w:ascii="Calibri"/>
          <w:sz w:val="2"/>
        </w:rPr>
      </w:pPr>
    </w:p>
    <w:p>
      <w:pPr>
        <w:sectPr>
          <w:headerReference r:id="rId43" w:type="default"/>
          <w:footerReference r:id="rId44" w:type="default"/>
          <w:type w:val="continuous"/>
          <w:pgSz w:w="16839" w:h="11906"/>
          <w:pgMar w:top="137" w:right="659" w:bottom="1104" w:left="1327" w:header="0" w:footer="985" w:gutter="0"/>
          <w:cols w:equalWidth="0" w:num="1">
            <w:col w:w="14852"/>
          </w:cols>
        </w:sectPr>
      </w:pPr>
    </w:p>
    <w:p>
      <w:pPr>
        <w:spacing w:line="300" w:lineRule="auto"/>
        <w:rPr>
          <w:rFonts w:ascii="Calibri"/>
          <w:sz w:val="21"/>
        </w:rPr>
      </w:pPr>
    </w:p>
    <w:p>
      <w:pPr>
        <w:spacing w:line="301" w:lineRule="auto"/>
        <w:rPr>
          <w:rFonts w:ascii="Calibri"/>
          <w:sz w:val="21"/>
        </w:rPr>
      </w:pPr>
    </w:p>
    <w:p>
      <w:pPr>
        <w:spacing w:line="301" w:lineRule="auto"/>
        <w:rPr>
          <w:rFonts w:ascii="Calibri"/>
          <w:sz w:val="21"/>
        </w:rPr>
      </w:pPr>
    </w:p>
    <w:p>
      <w:pPr>
        <w:spacing w:before="98" w:line="184" w:lineRule="auto"/>
        <w:ind w:firstLine="3265"/>
        <w:outlineLvl w:val="0"/>
        <w:rPr>
          <w:rFonts w:ascii="宋体" w:hAnsi="宋体" w:eastAsia="宋体" w:cs="宋体"/>
          <w:sz w:val="30"/>
          <w:szCs w:val="30"/>
        </w:rPr>
      </w:pPr>
      <w:bookmarkStart w:id="208" w:name="_bookmark25"/>
      <w:bookmarkEnd w:id="208"/>
      <w:bookmarkStart w:id="209" w:name="_Toc6580"/>
      <w:r>
        <w:rPr>
          <w:rFonts w:ascii="宋体" w:hAnsi="宋体" w:eastAsia="宋体" w:cs="宋体"/>
          <w:spacing w:val="-30"/>
          <w:sz w:val="30"/>
          <w:szCs w:val="30"/>
          <w14:textOutline w14:w="5448" w14:cap="sq" w14:cmpd="sng">
            <w14:solidFill>
              <w14:srgbClr w14:val="000000"/>
            </w14:solidFill>
            <w14:prstDash w14:val="solid"/>
            <w14:bevel/>
          </w14:textOutline>
        </w:rPr>
        <w:t>第四章人员培训</w:t>
      </w:r>
      <w:bookmarkEnd w:id="209"/>
    </w:p>
    <w:p>
      <w:pPr>
        <w:spacing w:line="247" w:lineRule="auto"/>
        <w:rPr>
          <w:rFonts w:ascii="Calibri"/>
          <w:sz w:val="21"/>
        </w:rPr>
      </w:pPr>
    </w:p>
    <w:p>
      <w:pPr>
        <w:spacing w:line="248" w:lineRule="auto"/>
        <w:rPr>
          <w:rFonts w:ascii="Calibri"/>
          <w:sz w:val="21"/>
        </w:rPr>
      </w:pPr>
    </w:p>
    <w:p>
      <w:pPr>
        <w:spacing w:before="78" w:line="184" w:lineRule="auto"/>
        <w:ind w:firstLine="18"/>
        <w:outlineLvl w:val="1"/>
        <w:rPr>
          <w:rFonts w:ascii="Calibri"/>
          <w:sz w:val="21"/>
        </w:rPr>
      </w:pPr>
      <w:bookmarkStart w:id="210" w:name="_bookmark26"/>
      <w:bookmarkEnd w:id="210"/>
      <w:bookmarkStart w:id="211" w:name="_Toc6477"/>
      <w:r>
        <w:rPr>
          <w:rFonts w:ascii="Calibri" w:hAnsi="Calibri" w:eastAsia="Calibri" w:cs="Calibri"/>
          <w:b/>
          <w:bCs/>
          <w:spacing w:val="-2"/>
          <w:sz w:val="24"/>
          <w:szCs w:val="24"/>
        </w:rPr>
        <w:t>4.1</w:t>
      </w:r>
      <w:r>
        <w:rPr>
          <w:rFonts w:ascii="Calibri" w:hAnsi="Calibri" w:eastAsia="Calibri" w:cs="Calibri"/>
          <w:spacing w:val="17"/>
          <w:w w:val="101"/>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培训计划</w:t>
      </w:r>
      <w:bookmarkEnd w:id="211"/>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24"/>
        <w:textAlignment w:val="baseline"/>
        <w:rPr>
          <w:rFonts w:hint="eastAsia" w:ascii="宋体" w:hAnsi="宋体" w:eastAsia="宋体" w:cs="宋体"/>
          <w:sz w:val="24"/>
          <w:szCs w:val="24"/>
          <w:lang w:eastAsia="zh-CN"/>
        </w:rPr>
      </w:pPr>
      <w:r>
        <w:rPr>
          <w:rFonts w:ascii="宋体" w:hAnsi="宋体" w:eastAsia="宋体" w:cs="宋体"/>
          <w:spacing w:val="-17"/>
          <w:sz w:val="24"/>
          <w:szCs w:val="24"/>
          <w14:textOutline w14:w="4358" w14:cap="sq" w14:cmpd="sng">
            <w14:solidFill>
              <w14:srgbClr w14:val="000000"/>
            </w14:solidFill>
            <w14:prstDash w14:val="solid"/>
            <w14:bevel/>
          </w14:textOutline>
        </w:rPr>
        <w:t>培训地点：</w:t>
      </w:r>
      <w:r>
        <w:rPr>
          <w:rFonts w:ascii="宋体" w:hAnsi="宋体" w:eastAsia="宋体" w:cs="宋体"/>
          <w:spacing w:val="-17"/>
          <w:sz w:val="24"/>
          <w:szCs w:val="24"/>
        </w:rPr>
        <w:t>学校指定地点</w:t>
      </w:r>
      <w:r>
        <w:rPr>
          <w:rFonts w:hint="eastAsia" w:ascii="宋体" w:hAnsi="宋体" w:eastAsia="宋体" w:cs="宋体"/>
          <w:spacing w:val="-17"/>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24"/>
        <w:textAlignment w:val="baseline"/>
        <w:rPr>
          <w:rFonts w:hint="eastAsia" w:ascii="宋体" w:hAnsi="宋体" w:eastAsia="宋体" w:cs="宋体"/>
          <w:sz w:val="24"/>
          <w:szCs w:val="24"/>
          <w:lang w:eastAsia="zh-CN"/>
        </w:rPr>
      </w:pPr>
      <w:r>
        <w:rPr>
          <w:rFonts w:ascii="宋体" w:hAnsi="宋体" w:eastAsia="宋体" w:cs="宋体"/>
          <w:spacing w:val="-11"/>
          <w:sz w:val="24"/>
          <w:szCs w:val="24"/>
          <w14:textOutline w14:w="4358" w14:cap="sq" w14:cmpd="sng">
            <w14:solidFill>
              <w14:srgbClr w14:val="000000"/>
            </w14:solidFill>
            <w14:prstDash w14:val="solid"/>
            <w14:bevel/>
          </w14:textOutline>
        </w:rPr>
        <w:t>培训时间：</w:t>
      </w:r>
      <w:r>
        <w:rPr>
          <w:rFonts w:ascii="宋体" w:hAnsi="宋体" w:eastAsia="宋体" w:cs="宋体"/>
          <w:spacing w:val="-11"/>
          <w:sz w:val="24"/>
          <w:szCs w:val="24"/>
        </w:rPr>
        <w:t>安装调试完毕后采购方确定</w:t>
      </w:r>
      <w:r>
        <w:rPr>
          <w:rFonts w:hint="eastAsia" w:ascii="宋体" w:hAnsi="宋体" w:eastAsia="宋体" w:cs="宋体"/>
          <w:spacing w:val="-11"/>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4"/>
        <w:textAlignment w:val="baseline"/>
        <w:rPr>
          <w:rFonts w:ascii="宋体" w:hAnsi="宋体" w:eastAsia="宋体" w:cs="宋体"/>
          <w:spacing w:val="-8"/>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培训目标：</w:t>
      </w:r>
      <w:r>
        <w:rPr>
          <w:rFonts w:ascii="宋体" w:hAnsi="宋体" w:eastAsia="宋体" w:cs="宋体"/>
          <w:spacing w:val="-8"/>
          <w:sz w:val="24"/>
          <w:szCs w:val="24"/>
        </w:rPr>
        <w:t>学校管理者，使用的老师学会每一个系统的各项功能能够正常使用。</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sz w:val="24"/>
          <w:szCs w:val="24"/>
        </w:rPr>
      </w:pPr>
      <w:r>
        <w:rPr>
          <w:rFonts w:ascii="宋体" w:hAnsi="宋体" w:eastAsia="宋体" w:cs="宋体"/>
          <w:spacing w:val="-11"/>
          <w:w w:val="96"/>
          <w:sz w:val="24"/>
          <w:szCs w:val="24"/>
          <w14:textOutline w14:w="4358" w14:cap="sq" w14:cmpd="sng">
            <w14:solidFill>
              <w14:srgbClr w14:val="000000"/>
            </w14:solidFill>
            <w14:prstDash w14:val="solid"/>
            <w14:bevel/>
          </w14:textOutline>
        </w:rPr>
        <w:t>培训次数：</w:t>
      </w:r>
      <w:r>
        <w:rPr>
          <w:rFonts w:ascii="宋体" w:hAnsi="宋体" w:eastAsia="宋体" w:cs="宋体"/>
          <w:spacing w:val="-11"/>
          <w:w w:val="96"/>
          <w:sz w:val="24"/>
          <w:szCs w:val="24"/>
        </w:rPr>
        <w:t>不少于</w:t>
      </w:r>
      <w:r>
        <w:rPr>
          <w:rFonts w:ascii="宋体" w:hAnsi="宋体" w:eastAsia="宋体" w:cs="宋体"/>
          <w:spacing w:val="-46"/>
          <w:sz w:val="24"/>
          <w:szCs w:val="24"/>
        </w:rPr>
        <w:t xml:space="preserve"> </w:t>
      </w:r>
      <w:r>
        <w:rPr>
          <w:rFonts w:ascii="宋体" w:hAnsi="宋体" w:eastAsia="宋体" w:cs="宋体"/>
          <w:spacing w:val="-11"/>
          <w:w w:val="96"/>
          <w:sz w:val="24"/>
          <w:szCs w:val="24"/>
        </w:rPr>
        <w:t>3</w:t>
      </w:r>
      <w:r>
        <w:rPr>
          <w:rFonts w:ascii="宋体" w:hAnsi="宋体" w:eastAsia="宋体" w:cs="宋体"/>
          <w:spacing w:val="-44"/>
          <w:sz w:val="24"/>
          <w:szCs w:val="24"/>
        </w:rPr>
        <w:t xml:space="preserve"> </w:t>
      </w:r>
      <w:r>
        <w:rPr>
          <w:rFonts w:ascii="宋体" w:hAnsi="宋体" w:eastAsia="宋体" w:cs="宋体"/>
          <w:spacing w:val="-11"/>
          <w:w w:val="96"/>
          <w:sz w:val="24"/>
          <w:szCs w:val="24"/>
        </w:rPr>
        <w:t>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24"/>
        <w:textAlignment w:val="baseline"/>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培训人数：</w:t>
      </w:r>
      <w:r>
        <w:rPr>
          <w:rFonts w:ascii="宋体" w:hAnsi="宋体" w:eastAsia="宋体" w:cs="宋体"/>
          <w:spacing w:val="-7"/>
          <w:sz w:val="24"/>
          <w:szCs w:val="24"/>
        </w:rPr>
        <w:t>具体参加人员由学校确定，每次培训不少于</w:t>
      </w:r>
      <w:r>
        <w:rPr>
          <w:rFonts w:ascii="宋体" w:hAnsi="宋体" w:eastAsia="宋体" w:cs="宋体"/>
          <w:spacing w:val="-33"/>
          <w:sz w:val="24"/>
          <w:szCs w:val="24"/>
        </w:rPr>
        <w:t xml:space="preserve"> </w:t>
      </w:r>
      <w:r>
        <w:rPr>
          <w:rFonts w:ascii="宋体" w:hAnsi="宋体" w:eastAsia="宋体" w:cs="宋体"/>
          <w:spacing w:val="-7"/>
          <w:sz w:val="24"/>
          <w:szCs w:val="24"/>
        </w:rPr>
        <w:t>10</w:t>
      </w:r>
      <w:r>
        <w:rPr>
          <w:rFonts w:ascii="宋体" w:hAnsi="宋体" w:eastAsia="宋体" w:cs="宋体"/>
          <w:spacing w:val="-49"/>
          <w:sz w:val="24"/>
          <w:szCs w:val="24"/>
        </w:rPr>
        <w:t xml:space="preserve"> </w:t>
      </w:r>
      <w:r>
        <w:rPr>
          <w:rFonts w:ascii="宋体" w:hAnsi="宋体" w:eastAsia="宋体" w:cs="宋体"/>
          <w:spacing w:val="-7"/>
          <w:sz w:val="24"/>
          <w:szCs w:val="24"/>
        </w:rPr>
        <w:t>人以上老师参加。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24"/>
        <w:textAlignment w:val="baseline"/>
        <w:rPr>
          <w:rFonts w:ascii="宋体" w:hAnsi="宋体" w:eastAsia="宋体" w:cs="宋体"/>
          <w:sz w:val="24"/>
          <w:szCs w:val="24"/>
        </w:rPr>
      </w:pPr>
      <w:r>
        <w:rPr>
          <w:rFonts w:ascii="宋体" w:hAnsi="宋体" w:eastAsia="宋体" w:cs="宋体"/>
          <w:spacing w:val="-13"/>
          <w:sz w:val="24"/>
          <w:szCs w:val="24"/>
          <w14:textOutline w14:w="4358" w14:cap="sq" w14:cmpd="sng">
            <w14:solidFill>
              <w14:srgbClr w14:val="000000"/>
            </w14:solidFill>
            <w14:prstDash w14:val="solid"/>
            <w14:bevel/>
          </w14:textOutline>
        </w:rPr>
        <w:t>培训对象：</w:t>
      </w:r>
      <w:r>
        <w:rPr>
          <w:rFonts w:ascii="宋体" w:hAnsi="宋体" w:eastAsia="宋体" w:cs="宋体"/>
          <w:spacing w:val="-13"/>
          <w:sz w:val="24"/>
          <w:szCs w:val="24"/>
        </w:rPr>
        <w:t>使用设备的相关老师。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24"/>
        <w:textAlignment w:val="baseline"/>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培训内容：</w:t>
      </w:r>
      <w:r>
        <w:rPr>
          <w:rFonts w:ascii="宋体" w:hAnsi="宋体" w:eastAsia="宋体" w:cs="宋体"/>
          <w:spacing w:val="-6"/>
          <w:sz w:val="24"/>
          <w:szCs w:val="24"/>
        </w:rPr>
        <w:t>对管理设备老师培训管理方法，对使用设备老师培训使用方法。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3" w:right="80"/>
        <w:textAlignment w:val="baseline"/>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培训办法：</w:t>
      </w:r>
      <w:r>
        <w:rPr>
          <w:rFonts w:ascii="宋体" w:hAnsi="宋体" w:eastAsia="宋体" w:cs="宋体"/>
          <w:spacing w:val="-7"/>
          <w:sz w:val="24"/>
          <w:szCs w:val="24"/>
        </w:rPr>
        <w:t>设备到现场进行安装调试，对管理技术工作老师进行设备的安装、使</w:t>
      </w:r>
      <w:r>
        <w:rPr>
          <w:rFonts w:ascii="宋体" w:hAnsi="宋体" w:eastAsia="宋体" w:cs="宋体"/>
          <w:sz w:val="24"/>
          <w:szCs w:val="24"/>
        </w:rPr>
        <w:t xml:space="preserve"> </w:t>
      </w:r>
      <w:r>
        <w:rPr>
          <w:rFonts w:ascii="宋体" w:hAnsi="宋体" w:eastAsia="宋体" w:cs="宋体"/>
          <w:spacing w:val="-3"/>
          <w:sz w:val="24"/>
          <w:szCs w:val="24"/>
        </w:rPr>
        <w:t>用、操作、维修、保养等现场免费实时培训基本培训。保证管理老师人员对设备</w:t>
      </w:r>
      <w:r>
        <w:rPr>
          <w:rFonts w:ascii="宋体" w:hAnsi="宋体" w:eastAsia="宋体" w:cs="宋体"/>
          <w:spacing w:val="2"/>
          <w:sz w:val="24"/>
          <w:szCs w:val="24"/>
        </w:rPr>
        <w:t xml:space="preserve"> </w:t>
      </w:r>
      <w:r>
        <w:rPr>
          <w:rFonts w:ascii="宋体" w:hAnsi="宋体" w:eastAsia="宋体" w:cs="宋体"/>
          <w:spacing w:val="-3"/>
          <w:sz w:val="24"/>
          <w:szCs w:val="24"/>
        </w:rPr>
        <w:t>的有个全面的了解认识、掌握正确的使用方法和设备的运行维护技术（并提供安</w:t>
      </w:r>
      <w:r>
        <w:rPr>
          <w:rFonts w:ascii="宋体" w:hAnsi="宋体" w:eastAsia="宋体" w:cs="宋体"/>
          <w:spacing w:val="2"/>
          <w:sz w:val="24"/>
          <w:szCs w:val="24"/>
        </w:rPr>
        <w:t xml:space="preserve"> </w:t>
      </w:r>
      <w:r>
        <w:rPr>
          <w:rFonts w:ascii="宋体" w:hAnsi="宋体" w:eastAsia="宋体" w:cs="宋体"/>
          <w:spacing w:val="-8"/>
          <w:sz w:val="24"/>
          <w:szCs w:val="24"/>
        </w:rPr>
        <w:t>装使用、维护说明书包括电子文档等）</w:t>
      </w:r>
      <w:r>
        <w:rPr>
          <w:rFonts w:ascii="宋体" w:hAnsi="宋体" w:eastAsia="宋体" w:cs="宋体"/>
          <w:spacing w:val="14"/>
          <w:sz w:val="24"/>
          <w:szCs w:val="24"/>
        </w:rPr>
        <w:t xml:space="preserve"> </w:t>
      </w:r>
      <w:r>
        <w:rPr>
          <w:rFonts w:ascii="宋体" w:hAnsi="宋体" w:eastAsia="宋体" w:cs="宋体"/>
          <w:spacing w:val="-8"/>
          <w:sz w:val="24"/>
          <w:szCs w:val="24"/>
        </w:rPr>
        <w:t>。</w:t>
      </w:r>
    </w:p>
    <w:p>
      <w:pPr>
        <w:sectPr>
          <w:headerReference r:id="rId45" w:type="default"/>
          <w:footerReference r:id="rId46" w:type="default"/>
          <w:pgSz w:w="11906" w:h="16839"/>
          <w:pgMar w:top="1192" w:right="1714" w:bottom="1104" w:left="1785" w:header="1178" w:footer="987" w:gutter="0"/>
          <w:cols w:space="720" w:num="1"/>
        </w:sectPr>
      </w:pPr>
    </w:p>
    <w:p>
      <w:pPr>
        <w:spacing w:line="262" w:lineRule="auto"/>
        <w:rPr>
          <w:rFonts w:ascii="Calibri"/>
          <w:sz w:val="21"/>
        </w:rPr>
      </w:pPr>
    </w:p>
    <w:p>
      <w:pPr>
        <w:spacing w:line="262" w:lineRule="auto"/>
        <w:rPr>
          <w:rFonts w:ascii="Calibri"/>
          <w:sz w:val="21"/>
        </w:rPr>
      </w:pPr>
    </w:p>
    <w:p>
      <w:pPr>
        <w:spacing w:line="262" w:lineRule="auto"/>
        <w:rPr>
          <w:rFonts w:ascii="Calibri"/>
          <w:sz w:val="21"/>
        </w:rPr>
      </w:pPr>
    </w:p>
    <w:p>
      <w:pPr>
        <w:spacing w:line="263" w:lineRule="auto"/>
        <w:rPr>
          <w:rFonts w:ascii="Calibri"/>
          <w:sz w:val="21"/>
        </w:rPr>
      </w:pPr>
    </w:p>
    <w:p>
      <w:pPr>
        <w:spacing w:before="97" w:line="184" w:lineRule="auto"/>
        <w:ind w:firstLine="3265"/>
        <w:outlineLvl w:val="0"/>
        <w:rPr>
          <w:rFonts w:ascii="宋体" w:hAnsi="宋体" w:eastAsia="宋体" w:cs="宋体"/>
          <w:sz w:val="30"/>
          <w:szCs w:val="30"/>
        </w:rPr>
      </w:pPr>
      <w:bookmarkStart w:id="212" w:name="_bookmark27"/>
      <w:bookmarkEnd w:id="212"/>
      <w:bookmarkStart w:id="213" w:name="_Toc20292"/>
      <w:r>
        <w:rPr>
          <w:rFonts w:ascii="宋体" w:hAnsi="宋体" w:eastAsia="宋体" w:cs="宋体"/>
          <w:spacing w:val="-30"/>
          <w:sz w:val="30"/>
          <w:szCs w:val="30"/>
          <w14:textOutline w14:w="5448" w14:cap="sq" w14:cmpd="sng">
            <w14:solidFill>
              <w14:srgbClr w14:val="000000"/>
            </w14:solidFill>
            <w14:prstDash w14:val="solid"/>
            <w14:bevel/>
          </w14:textOutline>
        </w:rPr>
        <w:t>第五章运行维护</w:t>
      </w:r>
      <w:bookmarkEnd w:id="213"/>
    </w:p>
    <w:p>
      <w:pPr>
        <w:spacing w:line="247" w:lineRule="auto"/>
        <w:rPr>
          <w:rFonts w:ascii="Calibri"/>
          <w:sz w:val="21"/>
        </w:rPr>
      </w:pPr>
    </w:p>
    <w:p>
      <w:pPr>
        <w:spacing w:line="248" w:lineRule="auto"/>
        <w:rPr>
          <w:rFonts w:ascii="Calibri"/>
          <w:sz w:val="21"/>
        </w:rPr>
      </w:pPr>
    </w:p>
    <w:p>
      <w:pPr>
        <w:spacing w:before="286" w:line="185" w:lineRule="auto"/>
        <w:ind w:firstLine="27"/>
        <w:outlineLvl w:val="1"/>
        <w:rPr>
          <w:rFonts w:ascii="宋体" w:hAnsi="宋体" w:eastAsia="宋体" w:cs="宋体"/>
          <w:spacing w:val="-2"/>
          <w:sz w:val="28"/>
          <w:szCs w:val="28"/>
          <w14:textOutline w14:w="5103" w14:cap="sq" w14:cmpd="sng">
            <w14:solidFill>
              <w14:srgbClr w14:val="000000"/>
            </w14:solidFill>
            <w14:prstDash w14:val="solid"/>
            <w14:bevel/>
          </w14:textOutline>
        </w:rPr>
      </w:pPr>
      <w:bookmarkStart w:id="214" w:name="_bookmark29"/>
      <w:bookmarkEnd w:id="214"/>
      <w:bookmarkStart w:id="215" w:name="_bookmark28"/>
      <w:bookmarkEnd w:id="215"/>
      <w:bookmarkStart w:id="216" w:name="_Toc15302"/>
      <w:r>
        <w:rPr>
          <w:rFonts w:ascii="宋体" w:hAnsi="宋体" w:eastAsia="宋体" w:cs="宋体"/>
          <w:spacing w:val="-2"/>
          <w:sz w:val="28"/>
          <w:szCs w:val="28"/>
          <w14:textOutline w14:w="5103" w14:cap="sq" w14:cmpd="sng">
            <w14:solidFill>
              <w14:srgbClr w14:val="000000"/>
            </w14:solidFill>
            <w14:prstDash w14:val="solid"/>
            <w14:bevel/>
          </w14:textOutline>
        </w:rPr>
        <w:t>5.1 运行维护内容</w:t>
      </w:r>
      <w:bookmarkEnd w:id="216"/>
    </w:p>
    <w:p>
      <w:pPr>
        <w:spacing w:before="286" w:line="185" w:lineRule="auto"/>
        <w:ind w:firstLine="27"/>
        <w:outlineLvl w:val="1"/>
        <w:rPr>
          <w:rFonts w:ascii="宋体" w:hAnsi="宋体" w:eastAsia="宋体" w:cs="宋体"/>
          <w:sz w:val="28"/>
          <w:szCs w:val="28"/>
        </w:rPr>
      </w:pPr>
      <w:bookmarkStart w:id="217" w:name="_Toc1278"/>
      <w:r>
        <w:rPr>
          <w:rFonts w:ascii="Calibri" w:hAnsi="Calibri" w:eastAsia="Calibri" w:cs="Calibri"/>
          <w:b/>
          <w:bCs/>
          <w:spacing w:val="-2"/>
          <w:sz w:val="28"/>
          <w:szCs w:val="28"/>
        </w:rPr>
        <w:t>5.1.1</w:t>
      </w:r>
      <w:r>
        <w:rPr>
          <w:rFonts w:ascii="Calibri" w:hAnsi="Calibri" w:eastAsia="Calibri" w:cs="Calibri"/>
          <w:spacing w:val="23"/>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质量保证要求</w:t>
      </w:r>
      <w:bookmarkEnd w:id="217"/>
    </w:p>
    <w:p>
      <w:pPr>
        <w:spacing w:before="208" w:line="239" w:lineRule="auto"/>
        <w:ind w:left="25" w:right="186" w:firstLine="479"/>
        <w:rPr>
          <w:rFonts w:ascii="宋体" w:hAnsi="宋体" w:eastAsia="宋体" w:cs="宋体"/>
          <w:sz w:val="24"/>
          <w:szCs w:val="24"/>
        </w:rPr>
      </w:pPr>
      <w:r>
        <w:rPr>
          <w:rFonts w:ascii="宋体" w:hAnsi="宋体" w:eastAsia="宋体" w:cs="宋体"/>
          <w:sz w:val="24"/>
          <w:szCs w:val="24"/>
        </w:rPr>
        <w:t>本项目的所有产品要求</w:t>
      </w:r>
      <w:r>
        <w:rPr>
          <w:rFonts w:hint="eastAsia" w:ascii="宋体" w:hAnsi="宋体" w:eastAsia="宋体" w:cs="宋体"/>
          <w:sz w:val="24"/>
          <w:szCs w:val="24"/>
          <w:lang w:eastAsia="zh-CN"/>
        </w:rPr>
        <w:t>项目验收合格后</w:t>
      </w:r>
      <w:r>
        <w:rPr>
          <w:rFonts w:ascii="宋体" w:hAnsi="宋体" w:eastAsia="宋体" w:cs="宋体"/>
          <w:sz w:val="24"/>
          <w:szCs w:val="24"/>
        </w:rPr>
        <w:t>质保</w:t>
      </w:r>
      <w:r>
        <w:rPr>
          <w:rFonts w:ascii="宋体" w:hAnsi="宋体" w:eastAsia="宋体" w:cs="宋体"/>
          <w:spacing w:val="-17"/>
          <w:sz w:val="24"/>
          <w:szCs w:val="24"/>
        </w:rPr>
        <w:t xml:space="preserve"> </w:t>
      </w:r>
      <w:r>
        <w:rPr>
          <w:rFonts w:ascii="宋体" w:hAnsi="宋体" w:eastAsia="宋体" w:cs="宋体"/>
          <w:sz w:val="24"/>
          <w:szCs w:val="24"/>
        </w:rPr>
        <w:t>3</w:t>
      </w:r>
      <w:r>
        <w:rPr>
          <w:rFonts w:ascii="宋体" w:hAnsi="宋体" w:eastAsia="宋体" w:cs="宋体"/>
          <w:spacing w:val="-47"/>
          <w:sz w:val="24"/>
          <w:szCs w:val="24"/>
        </w:rPr>
        <w:t xml:space="preserve"> </w:t>
      </w:r>
      <w:r>
        <w:rPr>
          <w:rFonts w:ascii="宋体" w:hAnsi="宋体" w:eastAsia="宋体" w:cs="宋体"/>
          <w:sz w:val="24"/>
          <w:szCs w:val="24"/>
        </w:rPr>
        <w:t>年，质保期内因产品质量问题，需提供</w:t>
      </w:r>
      <w:r>
        <w:rPr>
          <w:rFonts w:ascii="宋体" w:hAnsi="宋体" w:eastAsia="宋体" w:cs="宋体"/>
          <w:spacing w:val="-43"/>
          <w:sz w:val="24"/>
          <w:szCs w:val="24"/>
        </w:rPr>
        <w:t xml:space="preserve"> </w:t>
      </w:r>
      <w:r>
        <w:rPr>
          <w:rFonts w:ascii="宋体" w:hAnsi="宋体" w:eastAsia="宋体" w:cs="宋体"/>
          <w:sz w:val="24"/>
          <w:szCs w:val="24"/>
        </w:rPr>
        <w:t>7x24</w:t>
      </w:r>
      <w:r>
        <w:rPr>
          <w:rFonts w:ascii="宋体" w:hAnsi="宋体" w:eastAsia="宋体" w:cs="宋体"/>
          <w:spacing w:val="-3"/>
          <w:sz w:val="24"/>
          <w:szCs w:val="24"/>
        </w:rPr>
        <w:t>免费上门保修服务。需要提供技术支持的能力，具有电话咨询服务、远程技术服</w:t>
      </w:r>
      <w:r>
        <w:rPr>
          <w:rFonts w:ascii="宋体" w:hAnsi="宋体" w:eastAsia="宋体" w:cs="宋体"/>
          <w:spacing w:val="-2"/>
          <w:sz w:val="24"/>
          <w:szCs w:val="24"/>
        </w:rPr>
        <w:t>务、现场技术支持等。</w:t>
      </w:r>
    </w:p>
    <w:p>
      <w:pPr>
        <w:spacing w:before="136" w:line="185" w:lineRule="auto"/>
        <w:ind w:firstLine="27"/>
        <w:outlineLvl w:val="1"/>
        <w:rPr>
          <w:rFonts w:ascii="宋体" w:hAnsi="宋体" w:eastAsia="宋体" w:cs="宋体"/>
          <w:sz w:val="28"/>
          <w:szCs w:val="28"/>
        </w:rPr>
      </w:pPr>
      <w:bookmarkStart w:id="218" w:name="_bookmark30"/>
      <w:bookmarkEnd w:id="218"/>
      <w:bookmarkStart w:id="219" w:name="_Toc3913"/>
      <w:r>
        <w:rPr>
          <w:rFonts w:ascii="Calibri" w:hAnsi="Calibri" w:eastAsia="Calibri" w:cs="Calibri"/>
          <w:b/>
          <w:bCs/>
          <w:spacing w:val="-2"/>
          <w:sz w:val="28"/>
          <w:szCs w:val="28"/>
        </w:rPr>
        <w:t>5.1.2</w:t>
      </w:r>
      <w:r>
        <w:rPr>
          <w:rFonts w:ascii="Calibri" w:hAnsi="Calibri" w:eastAsia="Calibri" w:cs="Calibri"/>
          <w:spacing w:val="23"/>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运行维护要求</w:t>
      </w:r>
      <w:bookmarkEnd w:id="219"/>
    </w:p>
    <w:p>
      <w:pPr>
        <w:spacing w:before="206" w:line="184" w:lineRule="auto"/>
        <w:ind w:firstLine="521"/>
        <w:rPr>
          <w:rFonts w:ascii="宋体" w:hAnsi="宋体" w:eastAsia="宋体" w:cs="宋体"/>
          <w:sz w:val="24"/>
          <w:szCs w:val="24"/>
        </w:rPr>
      </w:pPr>
      <w:r>
        <w:rPr>
          <w:rFonts w:ascii="宋体" w:hAnsi="宋体" w:eastAsia="宋体" w:cs="宋体"/>
          <w:spacing w:val="-1"/>
          <w:sz w:val="24"/>
          <w:szCs w:val="24"/>
        </w:rPr>
        <w:t>1、有完善独立的售后服务机构，一旦在设备使用过程中出现问题，需要更</w:t>
      </w:r>
    </w:p>
    <w:p>
      <w:pPr>
        <w:spacing w:before="73" w:line="184" w:lineRule="auto"/>
        <w:ind w:firstLine="25"/>
        <w:rPr>
          <w:rFonts w:ascii="宋体" w:hAnsi="宋体" w:eastAsia="宋体" w:cs="宋体"/>
          <w:sz w:val="24"/>
          <w:szCs w:val="24"/>
        </w:rPr>
      </w:pPr>
      <w:r>
        <w:rPr>
          <w:rFonts w:ascii="宋体" w:hAnsi="宋体" w:eastAsia="宋体" w:cs="宋体"/>
          <w:spacing w:val="-1"/>
          <w:sz w:val="24"/>
          <w:szCs w:val="24"/>
        </w:rPr>
        <w:t>换，或者维修，都将在第一时间处理响应。</w:t>
      </w:r>
    </w:p>
    <w:p>
      <w:pPr>
        <w:spacing w:before="73" w:line="238" w:lineRule="auto"/>
        <w:ind w:left="36" w:right="188" w:firstLine="469"/>
        <w:rPr>
          <w:rFonts w:ascii="宋体" w:hAnsi="宋体" w:eastAsia="宋体" w:cs="宋体"/>
          <w:sz w:val="24"/>
          <w:szCs w:val="24"/>
        </w:rPr>
      </w:pPr>
      <w:r>
        <w:rPr>
          <w:rFonts w:ascii="宋体" w:hAnsi="宋体" w:eastAsia="宋体" w:cs="宋体"/>
          <w:sz w:val="24"/>
          <w:szCs w:val="24"/>
        </w:rPr>
        <w:t>2、在质保期内硬件维修、更换和软件故障排除、系统恢复、软件升级等所</w:t>
      </w:r>
      <w:r>
        <w:rPr>
          <w:rFonts w:ascii="宋体" w:hAnsi="宋体" w:eastAsia="宋体" w:cs="宋体"/>
          <w:spacing w:val="-1"/>
          <w:sz w:val="24"/>
          <w:szCs w:val="24"/>
        </w:rPr>
        <w:t>需的一切免费，提供本地化的系统软件升级支持与一定数量的备品备件。</w:t>
      </w:r>
    </w:p>
    <w:p>
      <w:pPr>
        <w:spacing w:before="2" w:line="202" w:lineRule="auto"/>
        <w:ind w:firstLine="508"/>
        <w:rPr>
          <w:rFonts w:ascii="宋体" w:hAnsi="宋体" w:eastAsia="宋体" w:cs="宋体"/>
          <w:sz w:val="24"/>
          <w:szCs w:val="24"/>
        </w:rPr>
      </w:pPr>
      <w:r>
        <w:rPr>
          <w:rFonts w:ascii="宋体" w:hAnsi="宋体" w:eastAsia="宋体" w:cs="宋体"/>
          <w:spacing w:val="-2"/>
          <w:sz w:val="24"/>
          <w:szCs w:val="24"/>
        </w:rPr>
        <w:t>3、维修维护响应时间</w:t>
      </w:r>
      <w:r>
        <w:rPr>
          <w:rFonts w:hint="eastAsia" w:ascii="宋体" w:hAnsi="宋体" w:eastAsia="宋体" w:cs="宋体"/>
          <w:spacing w:val="-2"/>
          <w:sz w:val="24"/>
          <w:szCs w:val="24"/>
          <w:lang w:eastAsia="zh-CN"/>
        </w:rPr>
        <w:t>：</w:t>
      </w:r>
      <w:r>
        <w:rPr>
          <w:rFonts w:ascii="宋体" w:hAnsi="宋体" w:eastAsia="宋体" w:cs="宋体"/>
          <w:spacing w:val="5"/>
          <w:sz w:val="24"/>
          <w:szCs w:val="24"/>
        </w:rPr>
        <w:t>接到报障通知，维护电话响应不能解决的非硬件故障公司方面将在</w:t>
      </w:r>
      <w:r>
        <w:rPr>
          <w:rFonts w:ascii="宋体" w:hAnsi="宋体" w:eastAsia="宋体" w:cs="宋体"/>
          <w:spacing w:val="-29"/>
          <w:sz w:val="24"/>
          <w:szCs w:val="24"/>
        </w:rPr>
        <w:t xml:space="preserve"> </w:t>
      </w:r>
      <w:r>
        <w:rPr>
          <w:rFonts w:ascii="宋体" w:hAnsi="宋体" w:eastAsia="宋体" w:cs="宋体"/>
          <w:spacing w:val="5"/>
          <w:sz w:val="24"/>
          <w:szCs w:val="24"/>
        </w:rPr>
        <w:t>2</w:t>
      </w:r>
      <w:r>
        <w:rPr>
          <w:rFonts w:ascii="宋体" w:hAnsi="宋体" w:eastAsia="宋体" w:cs="宋体"/>
          <w:sz w:val="24"/>
          <w:szCs w:val="24"/>
        </w:rPr>
        <w:t xml:space="preserve"> 小时内到达现场，并在到达现场后</w:t>
      </w:r>
      <w:r>
        <w:rPr>
          <w:rFonts w:ascii="宋体" w:hAnsi="宋体" w:eastAsia="宋体" w:cs="宋体"/>
          <w:spacing w:val="-35"/>
          <w:sz w:val="24"/>
          <w:szCs w:val="24"/>
        </w:rPr>
        <w:t xml:space="preserve"> </w:t>
      </w:r>
      <w:r>
        <w:rPr>
          <w:rFonts w:ascii="宋体" w:hAnsi="宋体" w:eastAsia="宋体" w:cs="宋体"/>
          <w:sz w:val="24"/>
          <w:szCs w:val="24"/>
        </w:rPr>
        <w:t>4</w:t>
      </w:r>
      <w:r>
        <w:rPr>
          <w:rFonts w:ascii="宋体" w:hAnsi="宋体" w:eastAsia="宋体" w:cs="宋体"/>
          <w:spacing w:val="-44"/>
          <w:sz w:val="24"/>
          <w:szCs w:val="24"/>
        </w:rPr>
        <w:t xml:space="preserve"> </w:t>
      </w:r>
      <w:r>
        <w:rPr>
          <w:rFonts w:ascii="宋体" w:hAnsi="宋体" w:eastAsia="宋体" w:cs="宋体"/>
          <w:sz w:val="24"/>
          <w:szCs w:val="24"/>
        </w:rPr>
        <w:t xml:space="preserve">小时内修复故障。                 </w:t>
      </w:r>
    </w:p>
    <w:p>
      <w:pPr>
        <w:spacing w:before="50" w:line="239" w:lineRule="auto"/>
        <w:ind w:right="186" w:firstLine="476" w:firstLineChars="200"/>
        <w:rPr>
          <w:rFonts w:ascii="宋体" w:hAnsi="宋体" w:eastAsia="宋体" w:cs="宋体"/>
          <w:sz w:val="24"/>
          <w:szCs w:val="24"/>
        </w:rPr>
      </w:pPr>
      <w:r>
        <w:rPr>
          <w:rFonts w:ascii="宋体" w:hAnsi="宋体" w:eastAsia="宋体" w:cs="宋体"/>
          <w:spacing w:val="-1"/>
          <w:sz w:val="24"/>
          <w:szCs w:val="24"/>
        </w:rPr>
        <w:t>4、软、硬件升级及故障</w:t>
      </w:r>
      <w:r>
        <w:rPr>
          <w:rFonts w:hint="eastAsia" w:ascii="宋体" w:hAnsi="宋体" w:eastAsia="宋体" w:cs="宋体"/>
          <w:spacing w:val="-1"/>
          <w:sz w:val="24"/>
          <w:szCs w:val="24"/>
          <w:lang w:eastAsia="zh-CN"/>
        </w:rPr>
        <w:t>：</w:t>
      </w:r>
      <w:r>
        <w:rPr>
          <w:rFonts w:ascii="宋体" w:hAnsi="宋体" w:eastAsia="宋体" w:cs="宋体"/>
          <w:spacing w:val="-11"/>
          <w:sz w:val="24"/>
          <w:szCs w:val="24"/>
        </w:rPr>
        <w:t>软件升级情况：免费提供软件升级服务。</w:t>
      </w:r>
    </w:p>
    <w:p>
      <w:pPr>
        <w:spacing w:before="50" w:line="184" w:lineRule="auto"/>
        <w:ind w:firstLine="508"/>
        <w:rPr>
          <w:rFonts w:ascii="宋体" w:hAnsi="宋体" w:eastAsia="宋体" w:cs="宋体"/>
          <w:sz w:val="24"/>
          <w:szCs w:val="24"/>
        </w:rPr>
      </w:pPr>
      <w:r>
        <w:rPr>
          <w:rFonts w:ascii="宋体" w:hAnsi="宋体" w:eastAsia="宋体" w:cs="宋体"/>
          <w:spacing w:val="-3"/>
          <w:sz w:val="24"/>
          <w:szCs w:val="24"/>
        </w:rPr>
        <w:t>5、巡检服务</w:t>
      </w:r>
      <w:r>
        <w:rPr>
          <w:rFonts w:hint="eastAsia" w:ascii="宋体" w:hAnsi="宋体" w:eastAsia="宋体" w:cs="宋体"/>
          <w:spacing w:val="-3"/>
          <w:sz w:val="24"/>
          <w:szCs w:val="24"/>
          <w:lang w:eastAsia="zh-CN"/>
        </w:rPr>
        <w:t>：</w:t>
      </w:r>
      <w:r>
        <w:rPr>
          <w:rFonts w:ascii="宋体" w:hAnsi="宋体" w:eastAsia="宋体" w:cs="宋体"/>
          <w:spacing w:val="-5"/>
          <w:sz w:val="24"/>
          <w:szCs w:val="24"/>
        </w:rPr>
        <w:t>质保期内，公司方面技术人员每三个月定期对所供的设备进行上门巡检服务，</w:t>
      </w:r>
      <w:r>
        <w:rPr>
          <w:rFonts w:ascii="宋体" w:hAnsi="宋体" w:eastAsia="宋体" w:cs="宋体"/>
          <w:spacing w:val="-7"/>
          <w:sz w:val="24"/>
          <w:szCs w:val="24"/>
        </w:rPr>
        <w:t>确保系统设备的正常运行。如果设备过质保期，要求厂家只是收取配件成本费用。</w:t>
      </w:r>
    </w:p>
    <w:p>
      <w:pPr>
        <w:sectPr>
          <w:headerReference r:id="rId47" w:type="default"/>
          <w:footerReference r:id="rId48" w:type="default"/>
          <w:pgSz w:w="11906" w:h="16839"/>
          <w:pgMar w:top="1192" w:right="1613" w:bottom="1104" w:left="1785" w:header="1178" w:footer="987" w:gutter="0"/>
          <w:cols w:space="720" w:num="1"/>
        </w:sectPr>
      </w:pPr>
    </w:p>
    <w:p>
      <w:pPr>
        <w:spacing w:line="244" w:lineRule="auto"/>
        <w:rPr>
          <w:rFonts w:ascii="Calibri"/>
          <w:sz w:val="21"/>
        </w:rPr>
      </w:pPr>
    </w:p>
    <w:p>
      <w:pPr>
        <w:spacing w:line="244" w:lineRule="auto"/>
        <w:rPr>
          <w:rFonts w:ascii="Calibri"/>
          <w:sz w:val="21"/>
        </w:rPr>
      </w:pPr>
    </w:p>
    <w:p>
      <w:pPr>
        <w:spacing w:before="97" w:line="184" w:lineRule="auto"/>
        <w:ind w:firstLine="3049"/>
        <w:outlineLvl w:val="0"/>
        <w:rPr>
          <w:rFonts w:ascii="宋体" w:hAnsi="宋体" w:eastAsia="宋体" w:cs="宋体"/>
          <w:sz w:val="30"/>
          <w:szCs w:val="30"/>
        </w:rPr>
      </w:pPr>
      <w:bookmarkStart w:id="220" w:name="_bookmark31"/>
      <w:bookmarkEnd w:id="220"/>
      <w:bookmarkStart w:id="221" w:name="_Toc18430"/>
      <w:r>
        <w:rPr>
          <w:rFonts w:ascii="宋体" w:hAnsi="宋体" w:eastAsia="宋体" w:cs="宋体"/>
          <w:spacing w:val="-30"/>
          <w:sz w:val="30"/>
          <w:szCs w:val="30"/>
          <w14:textOutline w14:w="5448" w14:cap="sq" w14:cmpd="sng">
            <w14:solidFill>
              <w14:srgbClr w14:val="000000"/>
            </w14:solidFill>
            <w14:prstDash w14:val="solid"/>
            <w14:bevel/>
          </w14:textOutline>
        </w:rPr>
        <w:t>第六章其他要求</w:t>
      </w:r>
      <w:bookmarkEnd w:id="221"/>
    </w:p>
    <w:p>
      <w:pPr>
        <w:spacing w:line="423" w:lineRule="auto"/>
        <w:rPr>
          <w:rFonts w:ascii="Calibri"/>
          <w:sz w:val="21"/>
        </w:rPr>
      </w:pPr>
    </w:p>
    <w:p>
      <w:pPr>
        <w:spacing w:before="78" w:line="184" w:lineRule="auto"/>
        <w:outlineLvl w:val="1"/>
        <w:rPr>
          <w:rFonts w:ascii="Calibri"/>
          <w:sz w:val="21"/>
        </w:rPr>
      </w:pPr>
      <w:bookmarkStart w:id="222" w:name="_bookmark32"/>
      <w:bookmarkEnd w:id="222"/>
      <w:bookmarkStart w:id="223" w:name="_Toc15055"/>
      <w:r>
        <w:rPr>
          <w:rFonts w:ascii="宋体" w:hAnsi="宋体" w:eastAsia="宋体" w:cs="宋体"/>
          <w:spacing w:val="-3"/>
          <w:sz w:val="24"/>
          <w:szCs w:val="24"/>
          <w14:textOutline w14:w="4358" w14:cap="sq" w14:cmpd="sng">
            <w14:solidFill>
              <w14:srgbClr w14:val="000000"/>
            </w14:solidFill>
            <w14:prstDash w14:val="solid"/>
            <w14:bevel/>
          </w14:textOutline>
        </w:rPr>
        <w:t>6.1</w:t>
      </w:r>
      <w:r>
        <w:rPr>
          <w:rFonts w:ascii="宋体" w:hAnsi="宋体" w:eastAsia="宋体" w:cs="宋体"/>
          <w:spacing w:val="-46"/>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质量要求</w:t>
      </w:r>
      <w:bookmarkEnd w:id="223"/>
    </w:p>
    <w:p>
      <w:pPr>
        <w:spacing w:before="78" w:line="184" w:lineRule="auto"/>
        <w:ind w:firstLine="50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确保施工质量</w:t>
      </w:r>
    </w:p>
    <w:p>
      <w:pPr>
        <w:spacing w:before="72" w:line="212" w:lineRule="auto"/>
        <w:ind w:left="25" w:right="58" w:firstLine="477"/>
        <w:rPr>
          <w:rFonts w:ascii="宋体" w:hAnsi="宋体" w:eastAsia="宋体" w:cs="宋体"/>
          <w:sz w:val="24"/>
          <w:szCs w:val="24"/>
        </w:rPr>
      </w:pPr>
      <w:r>
        <w:rPr>
          <w:rFonts w:ascii="宋体" w:hAnsi="宋体" w:eastAsia="宋体" w:cs="宋体"/>
          <w:spacing w:val="-4"/>
          <w:sz w:val="24"/>
          <w:szCs w:val="24"/>
        </w:rPr>
        <w:t>对安装、服务过程制定质量措施，确保工程项目、产品质量满足合同规定要</w:t>
      </w:r>
      <w:r>
        <w:rPr>
          <w:rFonts w:ascii="宋体" w:hAnsi="宋体" w:eastAsia="宋体" w:cs="宋体"/>
          <w:spacing w:val="-1"/>
          <w:sz w:val="24"/>
          <w:szCs w:val="24"/>
        </w:rPr>
        <w:t>求。该质量体系将适用于项目实施的全过程。</w:t>
      </w:r>
    </w:p>
    <w:p>
      <w:pPr>
        <w:spacing w:before="70" w:line="184" w:lineRule="auto"/>
        <w:ind w:firstLine="506"/>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工程质量控制</w:t>
      </w:r>
    </w:p>
    <w:p>
      <w:pPr>
        <w:spacing w:before="70"/>
        <w:ind w:left="22" w:right="58" w:firstLine="482"/>
        <w:rPr>
          <w:rFonts w:ascii="宋体" w:hAnsi="宋体" w:eastAsia="宋体" w:cs="宋体"/>
          <w:sz w:val="24"/>
          <w:szCs w:val="24"/>
        </w:rPr>
      </w:pPr>
      <w:r>
        <w:rPr>
          <w:rFonts w:ascii="宋体" w:hAnsi="宋体" w:eastAsia="宋体" w:cs="宋体"/>
          <w:spacing w:val="-4"/>
          <w:sz w:val="24"/>
          <w:szCs w:val="24"/>
        </w:rPr>
        <w:t>依据设计的材料清单审核进场材料材质、规格、数量。按照图纸的设计进行</w:t>
      </w:r>
      <w:r>
        <w:rPr>
          <w:rFonts w:ascii="宋体" w:hAnsi="宋体" w:eastAsia="宋体" w:cs="宋体"/>
          <w:spacing w:val="-3"/>
          <w:sz w:val="24"/>
          <w:szCs w:val="24"/>
        </w:rPr>
        <w:t>材料、设备的安装。项目辅材要有产品的产地、合格证及相关能证明该产品的资料。现场设备、材料的合格证书，产品说明书以及工程中发生的往来文件均以文档资料的形式妥善保管，便于追溯。对于安装的设备、数量进行校对确认并做好记录。</w:t>
      </w:r>
    </w:p>
    <w:p>
      <w:pPr>
        <w:spacing w:before="260" w:line="184" w:lineRule="auto"/>
        <w:outlineLvl w:val="1"/>
        <w:rPr>
          <w:rFonts w:ascii="宋体" w:hAnsi="宋体" w:eastAsia="宋体" w:cs="宋体"/>
          <w:spacing w:val="-3"/>
          <w:sz w:val="24"/>
          <w:szCs w:val="24"/>
          <w14:textOutline w14:w="4358" w14:cap="sq" w14:cmpd="sng">
            <w14:solidFill>
              <w14:srgbClr w14:val="000000"/>
            </w14:solidFill>
            <w14:prstDash w14:val="solid"/>
            <w14:bevel/>
          </w14:textOutline>
        </w:rPr>
      </w:pPr>
      <w:bookmarkStart w:id="224" w:name="_bookmark33"/>
      <w:bookmarkEnd w:id="224"/>
      <w:bookmarkStart w:id="225" w:name="_Toc24699"/>
      <w:r>
        <w:rPr>
          <w:rFonts w:ascii="宋体" w:hAnsi="宋体" w:eastAsia="宋体" w:cs="宋体"/>
          <w:spacing w:val="-3"/>
          <w:sz w:val="24"/>
          <w:szCs w:val="24"/>
          <w14:textOutline w14:w="4358" w14:cap="sq" w14:cmpd="sng">
            <w14:solidFill>
              <w14:srgbClr w14:val="000000"/>
            </w14:solidFill>
            <w14:prstDash w14:val="solid"/>
            <w14:bevel/>
          </w14:textOutline>
        </w:rPr>
        <w:t>6.2</w:t>
      </w:r>
      <w:r>
        <w:rPr>
          <w:rFonts w:ascii="宋体" w:hAnsi="宋体" w:eastAsia="宋体" w:cs="宋体"/>
          <w:spacing w:val="-46"/>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验收要求</w:t>
      </w:r>
      <w:bookmarkEnd w:id="225"/>
    </w:p>
    <w:p>
      <w:pPr>
        <w:spacing w:before="79" w:line="184" w:lineRule="auto"/>
        <w:ind w:firstLine="503"/>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设备安装完成后，对甲方进行操作培训。学校初验、试运行正常，未发现任何问题，甲方按照《关于进一步加强政府采购需求和履约验收管理的指导意见》（财库〔2016〕205号）的要求进行最终验收。</w:t>
      </w:r>
    </w:p>
    <w:p>
      <w:pPr>
        <w:spacing w:before="79" w:line="184" w:lineRule="auto"/>
        <w:ind w:firstLine="50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产品到货验收</w:t>
      </w:r>
    </w:p>
    <w:p>
      <w:pPr>
        <w:spacing w:before="72" w:line="221" w:lineRule="auto"/>
        <w:ind w:left="25" w:right="58" w:firstLine="478"/>
        <w:rPr>
          <w:rFonts w:ascii="宋体" w:hAnsi="宋体" w:eastAsia="宋体" w:cs="宋体"/>
          <w:sz w:val="24"/>
          <w:szCs w:val="24"/>
        </w:rPr>
      </w:pPr>
      <w:r>
        <w:rPr>
          <w:rFonts w:ascii="宋体" w:hAnsi="宋体" w:eastAsia="宋体" w:cs="宋体"/>
          <w:spacing w:val="-4"/>
          <w:sz w:val="24"/>
          <w:szCs w:val="24"/>
        </w:rPr>
        <w:t>双方共同检查设备的完整性，保证各种设备处于正常运行状态。检查系统设</w:t>
      </w:r>
      <w:r>
        <w:rPr>
          <w:rFonts w:ascii="宋体" w:hAnsi="宋体" w:eastAsia="宋体" w:cs="宋体"/>
          <w:spacing w:val="29"/>
          <w:sz w:val="24"/>
          <w:szCs w:val="24"/>
        </w:rPr>
        <w:t xml:space="preserve"> </w:t>
      </w:r>
      <w:r>
        <w:rPr>
          <w:rFonts w:ascii="宋体" w:hAnsi="宋体" w:eastAsia="宋体" w:cs="宋体"/>
          <w:spacing w:val="-3"/>
          <w:sz w:val="24"/>
          <w:szCs w:val="24"/>
        </w:rPr>
        <w:t>备的品牌、规格、型号、数量、技术参数等是否与合同一致，并共同依据方案要</w:t>
      </w:r>
      <w:r>
        <w:rPr>
          <w:rFonts w:ascii="宋体" w:hAnsi="宋体" w:eastAsia="宋体" w:cs="宋体"/>
          <w:spacing w:val="-2"/>
          <w:sz w:val="24"/>
          <w:szCs w:val="24"/>
        </w:rPr>
        <w:t>求进行验收。</w:t>
      </w:r>
    </w:p>
    <w:p>
      <w:pPr>
        <w:spacing w:before="71" w:line="221" w:lineRule="auto"/>
        <w:ind w:left="23" w:right="58" w:firstLine="485"/>
        <w:rPr>
          <w:rFonts w:ascii="宋体" w:hAnsi="宋体" w:eastAsia="宋体" w:cs="宋体"/>
          <w:sz w:val="24"/>
          <w:szCs w:val="24"/>
        </w:rPr>
      </w:pPr>
      <w:r>
        <w:rPr>
          <w:rFonts w:ascii="宋体" w:hAnsi="宋体" w:eastAsia="宋体" w:cs="宋体"/>
          <w:spacing w:val="-4"/>
          <w:sz w:val="24"/>
          <w:szCs w:val="24"/>
        </w:rPr>
        <w:t>实施方将对硬件及软件全部安装完成且连接完毕进行系统测试，严格按测试</w:t>
      </w:r>
      <w:r>
        <w:rPr>
          <w:rFonts w:ascii="宋体" w:hAnsi="宋体" w:eastAsia="宋体" w:cs="宋体"/>
          <w:spacing w:val="23"/>
          <w:sz w:val="24"/>
          <w:szCs w:val="24"/>
        </w:rPr>
        <w:t xml:space="preserve"> </w:t>
      </w:r>
      <w:r>
        <w:rPr>
          <w:rFonts w:ascii="宋体" w:hAnsi="宋体" w:eastAsia="宋体" w:cs="宋体"/>
          <w:spacing w:val="-3"/>
          <w:sz w:val="24"/>
          <w:szCs w:val="24"/>
        </w:rPr>
        <w:t>计划进行，做好各项原始记录，并对系统测试给出具体的测试计划、测试的内容</w:t>
      </w:r>
      <w:r>
        <w:rPr>
          <w:rFonts w:ascii="宋体" w:hAnsi="宋体" w:eastAsia="宋体" w:cs="宋体"/>
          <w:spacing w:val="2"/>
          <w:sz w:val="24"/>
          <w:szCs w:val="24"/>
        </w:rPr>
        <w:t xml:space="preserve"> </w:t>
      </w:r>
      <w:r>
        <w:rPr>
          <w:rFonts w:ascii="宋体" w:hAnsi="宋体" w:eastAsia="宋体" w:cs="宋体"/>
          <w:spacing w:val="-3"/>
          <w:sz w:val="24"/>
          <w:szCs w:val="24"/>
        </w:rPr>
        <w:t>和方法。</w:t>
      </w:r>
    </w:p>
    <w:p>
      <w:pPr>
        <w:spacing w:before="71" w:line="184" w:lineRule="auto"/>
        <w:ind w:firstLine="507"/>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项目初验</w:t>
      </w:r>
    </w:p>
    <w:p>
      <w:pPr>
        <w:spacing w:before="72" w:line="184" w:lineRule="auto"/>
        <w:ind w:firstLine="507"/>
        <w:rPr>
          <w:rFonts w:ascii="宋体" w:hAnsi="宋体" w:eastAsia="宋体" w:cs="宋体"/>
          <w:sz w:val="24"/>
          <w:szCs w:val="24"/>
        </w:rPr>
      </w:pPr>
      <w:r>
        <w:rPr>
          <w:rFonts w:ascii="宋体" w:hAnsi="宋体" w:eastAsia="宋体" w:cs="宋体"/>
          <w:spacing w:val="-1"/>
          <w:sz w:val="24"/>
          <w:szCs w:val="24"/>
        </w:rPr>
        <w:t>项目实施完成后，在国标的基础上明确几点系统性指标要求：</w:t>
      </w:r>
    </w:p>
    <w:p>
      <w:pPr>
        <w:spacing w:before="73" w:line="238" w:lineRule="auto"/>
        <w:ind w:left="24" w:right="58" w:firstLine="480"/>
        <w:rPr>
          <w:rFonts w:ascii="宋体" w:hAnsi="宋体" w:eastAsia="宋体" w:cs="宋体"/>
          <w:sz w:val="24"/>
          <w:szCs w:val="24"/>
        </w:rPr>
      </w:pPr>
      <w:r>
        <w:rPr>
          <w:rFonts w:ascii="宋体" w:hAnsi="宋体" w:eastAsia="宋体" w:cs="宋体"/>
          <w:spacing w:val="-4"/>
          <w:sz w:val="24"/>
          <w:szCs w:val="24"/>
        </w:rPr>
        <w:t>按照指标由双方共同拟定测试结果说明报告给项目负责人审查通过，并为用</w:t>
      </w:r>
      <w:r>
        <w:rPr>
          <w:rFonts w:ascii="宋体" w:hAnsi="宋体" w:eastAsia="宋体" w:cs="宋体"/>
          <w:spacing w:val="27"/>
          <w:sz w:val="24"/>
          <w:szCs w:val="24"/>
        </w:rPr>
        <w:t xml:space="preserve"> </w:t>
      </w:r>
      <w:r>
        <w:rPr>
          <w:rFonts w:ascii="宋体" w:hAnsi="宋体" w:eastAsia="宋体" w:cs="宋体"/>
          <w:spacing w:val="-2"/>
          <w:sz w:val="24"/>
          <w:szCs w:val="24"/>
        </w:rPr>
        <w:t>户提供初验报告。</w:t>
      </w:r>
    </w:p>
    <w:p>
      <w:pPr>
        <w:spacing w:before="4" w:line="221" w:lineRule="auto"/>
        <w:ind w:left="22" w:right="58" w:firstLine="480"/>
        <w:rPr>
          <w:rFonts w:ascii="宋体" w:hAnsi="宋体" w:eastAsia="宋体" w:cs="宋体"/>
          <w:sz w:val="24"/>
          <w:szCs w:val="24"/>
        </w:rPr>
      </w:pPr>
      <w:r>
        <w:rPr>
          <w:rFonts w:ascii="宋体" w:hAnsi="宋体" w:eastAsia="宋体" w:cs="宋体"/>
          <w:spacing w:val="-4"/>
          <w:sz w:val="24"/>
          <w:szCs w:val="24"/>
        </w:rPr>
        <w:t>初验通过后系统将进入试运行阶段，在试运行期间，实施方工程人员将观察</w:t>
      </w:r>
      <w:r>
        <w:rPr>
          <w:rFonts w:ascii="宋体" w:hAnsi="宋体" w:eastAsia="宋体" w:cs="宋体"/>
          <w:spacing w:val="29"/>
          <w:sz w:val="24"/>
          <w:szCs w:val="24"/>
        </w:rPr>
        <w:t xml:space="preserve"> </w:t>
      </w:r>
      <w:r>
        <w:rPr>
          <w:rFonts w:ascii="宋体" w:hAnsi="宋体" w:eastAsia="宋体" w:cs="宋体"/>
          <w:spacing w:val="-3"/>
          <w:sz w:val="24"/>
          <w:szCs w:val="24"/>
        </w:rPr>
        <w:t>记录产品的各项功能实施情况，试运行期间实施方还要根据用户需求完善该系统</w:t>
      </w:r>
      <w:r>
        <w:rPr>
          <w:rFonts w:ascii="宋体" w:hAnsi="宋体" w:eastAsia="宋体" w:cs="宋体"/>
          <w:spacing w:val="3"/>
          <w:sz w:val="24"/>
          <w:szCs w:val="24"/>
        </w:rPr>
        <w:t xml:space="preserve"> </w:t>
      </w:r>
      <w:r>
        <w:rPr>
          <w:rFonts w:ascii="宋体" w:hAnsi="宋体" w:eastAsia="宋体" w:cs="宋体"/>
          <w:spacing w:val="-1"/>
          <w:sz w:val="24"/>
          <w:szCs w:val="24"/>
        </w:rPr>
        <w:t>的功能，并解决相关问题。</w:t>
      </w:r>
    </w:p>
    <w:p>
      <w:pPr>
        <w:spacing w:before="71" w:line="184" w:lineRule="auto"/>
        <w:ind w:firstLine="503"/>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试运行</w:t>
      </w:r>
    </w:p>
    <w:p>
      <w:pPr>
        <w:spacing w:before="72" w:line="212" w:lineRule="auto"/>
        <w:ind w:left="25" w:right="58" w:firstLine="477"/>
        <w:rPr>
          <w:rFonts w:ascii="宋体" w:hAnsi="宋体" w:eastAsia="宋体" w:cs="宋体"/>
          <w:sz w:val="24"/>
          <w:szCs w:val="24"/>
        </w:rPr>
      </w:pPr>
      <w:r>
        <w:rPr>
          <w:rFonts w:ascii="宋体" w:hAnsi="宋体" w:eastAsia="宋体" w:cs="宋体"/>
          <w:spacing w:val="-4"/>
          <w:sz w:val="24"/>
          <w:szCs w:val="24"/>
        </w:rPr>
        <w:t>在试运行期间，实施方工程人员将观察记录产品的各项功能实施情况，若发</w:t>
      </w:r>
      <w:r>
        <w:rPr>
          <w:rFonts w:ascii="宋体" w:hAnsi="宋体" w:eastAsia="宋体" w:cs="宋体"/>
          <w:spacing w:val="29"/>
          <w:sz w:val="24"/>
          <w:szCs w:val="24"/>
        </w:rPr>
        <w:t xml:space="preserve"> </w:t>
      </w:r>
      <w:r>
        <w:rPr>
          <w:rFonts w:ascii="宋体" w:hAnsi="宋体" w:eastAsia="宋体" w:cs="宋体"/>
          <w:spacing w:val="-2"/>
          <w:sz w:val="24"/>
          <w:szCs w:val="24"/>
        </w:rPr>
        <w:t>现问题，及时解决。</w:t>
      </w:r>
    </w:p>
    <w:p>
      <w:pPr>
        <w:spacing w:before="71" w:line="184" w:lineRule="auto"/>
        <w:ind w:firstLine="507"/>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项目最终验收</w:t>
      </w:r>
    </w:p>
    <w:p>
      <w:pPr>
        <w:spacing w:before="72"/>
        <w:ind w:left="24" w:firstLine="478"/>
        <w:rPr>
          <w:rFonts w:ascii="宋体" w:hAnsi="宋体" w:eastAsia="宋体" w:cs="宋体"/>
          <w:sz w:val="24"/>
          <w:szCs w:val="24"/>
        </w:rPr>
      </w:pPr>
      <w:r>
        <w:rPr>
          <w:rFonts w:ascii="宋体" w:hAnsi="宋体" w:eastAsia="宋体" w:cs="宋体"/>
          <w:spacing w:val="-4"/>
          <w:sz w:val="24"/>
          <w:szCs w:val="24"/>
        </w:rPr>
        <w:t>遵照合同要求，经过试运行后，进行最终验收，检验使用是否达到总体设计</w:t>
      </w:r>
      <w:r>
        <w:rPr>
          <w:rFonts w:ascii="宋体" w:hAnsi="宋体" w:eastAsia="宋体" w:cs="宋体"/>
          <w:spacing w:val="-2"/>
          <w:sz w:val="24"/>
          <w:szCs w:val="24"/>
        </w:rPr>
        <w:t>和方案设计说明书的设计要求，验收合格后双方代表签字，进入系统正式运行。</w:t>
      </w:r>
    </w:p>
    <w:p>
      <w:pPr>
        <w:sectPr>
          <w:headerReference r:id="rId49" w:type="default"/>
          <w:footerReference r:id="rId50" w:type="default"/>
          <w:pgSz w:w="11906" w:h="16839"/>
          <w:pgMar w:top="1323" w:right="1740" w:bottom="1378" w:left="1785" w:header="1309" w:footer="1259" w:gutter="0"/>
          <w:cols w:space="720" w:num="1"/>
        </w:sectPr>
      </w:pPr>
    </w:p>
    <w:p>
      <w:pPr>
        <w:spacing w:before="78" w:line="184" w:lineRule="auto"/>
        <w:outlineLvl w:val="1"/>
        <w:rPr>
          <w:rFonts w:ascii="Calibri"/>
          <w:sz w:val="21"/>
        </w:rPr>
      </w:pPr>
      <w:bookmarkStart w:id="226" w:name="_bookmark34"/>
      <w:bookmarkEnd w:id="226"/>
      <w:bookmarkStart w:id="227" w:name="_Toc13901"/>
      <w:r>
        <w:rPr>
          <w:rFonts w:ascii="宋体" w:hAnsi="宋体" w:eastAsia="宋体" w:cs="宋体"/>
          <w:spacing w:val="-3"/>
          <w:sz w:val="24"/>
          <w:szCs w:val="24"/>
          <w14:textOutline w14:w="4358" w14:cap="sq" w14:cmpd="sng">
            <w14:solidFill>
              <w14:srgbClr w14:val="000000"/>
            </w14:solidFill>
            <w14:prstDash w14:val="solid"/>
            <w14:bevel/>
          </w14:textOutline>
        </w:rPr>
        <w:t>6.3</w:t>
      </w:r>
      <w:r>
        <w:rPr>
          <w:rFonts w:ascii="宋体" w:hAnsi="宋体" w:eastAsia="宋体" w:cs="宋体"/>
          <w:spacing w:val="-46"/>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验收文档</w:t>
      </w:r>
      <w:bookmarkEnd w:id="227"/>
    </w:p>
    <w:p>
      <w:pPr>
        <w:spacing w:before="78"/>
        <w:ind w:left="21" w:firstLine="480"/>
        <w:rPr>
          <w:rFonts w:ascii="Calibri"/>
          <w:sz w:val="21"/>
        </w:rPr>
      </w:pPr>
      <w:r>
        <w:rPr>
          <w:rFonts w:ascii="宋体" w:hAnsi="宋体" w:eastAsia="宋体" w:cs="宋体"/>
          <w:spacing w:val="-12"/>
          <w:w w:val="98"/>
          <w:sz w:val="24"/>
          <w:szCs w:val="24"/>
        </w:rPr>
        <w:t>在正式验收前向相关文档。包括：</w:t>
      </w:r>
      <w:r>
        <w:rPr>
          <w:rFonts w:ascii="Calibri" w:hAnsi="Calibri" w:eastAsia="Calibri" w:cs="Calibri"/>
          <w:spacing w:val="-12"/>
          <w:w w:val="98"/>
          <w:sz w:val="24"/>
          <w:szCs w:val="24"/>
        </w:rPr>
        <w:t>1</w:t>
      </w:r>
      <w:r>
        <w:rPr>
          <w:rFonts w:ascii="宋体" w:hAnsi="宋体" w:eastAsia="宋体" w:cs="宋体"/>
          <w:spacing w:val="-12"/>
          <w:w w:val="98"/>
          <w:sz w:val="24"/>
          <w:szCs w:val="24"/>
        </w:rPr>
        <w:t>、项目验收申请报告；</w:t>
      </w:r>
      <w:r>
        <w:rPr>
          <w:rFonts w:ascii="Calibri" w:hAnsi="Calibri" w:eastAsia="Calibri" w:cs="Calibri"/>
          <w:spacing w:val="-12"/>
          <w:w w:val="98"/>
          <w:sz w:val="24"/>
          <w:szCs w:val="24"/>
        </w:rPr>
        <w:t>2</w:t>
      </w:r>
      <w:r>
        <w:rPr>
          <w:rFonts w:ascii="宋体" w:hAnsi="宋体" w:eastAsia="宋体" w:cs="宋体"/>
          <w:spacing w:val="-12"/>
          <w:w w:val="98"/>
          <w:sz w:val="24"/>
          <w:szCs w:val="24"/>
        </w:rPr>
        <w:t>、项目招投标书；</w:t>
      </w:r>
      <w:r>
        <w:rPr>
          <w:rFonts w:ascii="Calibri" w:hAnsi="Calibri" w:eastAsia="Calibri" w:cs="Calibri"/>
          <w:spacing w:val="-11"/>
          <w:w w:val="96"/>
          <w:sz w:val="24"/>
          <w:szCs w:val="24"/>
        </w:rPr>
        <w:t>3</w:t>
      </w:r>
      <w:r>
        <w:rPr>
          <w:rFonts w:ascii="宋体" w:hAnsi="宋体" w:eastAsia="宋体" w:cs="宋体"/>
          <w:spacing w:val="-11"/>
          <w:w w:val="96"/>
          <w:sz w:val="24"/>
          <w:szCs w:val="24"/>
        </w:rPr>
        <w:t>、项目中标通知书；</w:t>
      </w:r>
      <w:r>
        <w:rPr>
          <w:rFonts w:ascii="Calibri" w:hAnsi="Calibri" w:eastAsia="Calibri" w:cs="Calibri"/>
          <w:spacing w:val="-11"/>
          <w:w w:val="96"/>
          <w:sz w:val="24"/>
          <w:szCs w:val="24"/>
        </w:rPr>
        <w:t>4</w:t>
      </w:r>
      <w:r>
        <w:rPr>
          <w:rFonts w:ascii="宋体" w:hAnsi="宋体" w:eastAsia="宋体" w:cs="宋体"/>
          <w:spacing w:val="-11"/>
          <w:w w:val="96"/>
          <w:sz w:val="24"/>
          <w:szCs w:val="24"/>
        </w:rPr>
        <w:t>、项目合同；</w:t>
      </w:r>
      <w:r>
        <w:rPr>
          <w:rFonts w:ascii="Calibri" w:hAnsi="Calibri" w:eastAsia="Calibri" w:cs="Calibri"/>
          <w:spacing w:val="-11"/>
          <w:w w:val="96"/>
          <w:sz w:val="24"/>
          <w:szCs w:val="24"/>
        </w:rPr>
        <w:t>5</w:t>
      </w:r>
      <w:r>
        <w:rPr>
          <w:rFonts w:ascii="宋体" w:hAnsi="宋体" w:eastAsia="宋体" w:cs="宋体"/>
          <w:spacing w:val="-11"/>
          <w:w w:val="96"/>
          <w:sz w:val="24"/>
          <w:szCs w:val="24"/>
        </w:rPr>
        <w:t>、项目实施相关方案；</w:t>
      </w:r>
      <w:r>
        <w:rPr>
          <w:rFonts w:ascii="Calibri" w:hAnsi="Calibri" w:eastAsia="Calibri" w:cs="Calibri"/>
          <w:spacing w:val="-11"/>
          <w:w w:val="96"/>
          <w:sz w:val="24"/>
          <w:szCs w:val="24"/>
        </w:rPr>
        <w:t>6</w:t>
      </w:r>
      <w:r>
        <w:rPr>
          <w:rFonts w:ascii="宋体" w:hAnsi="宋体" w:eastAsia="宋体" w:cs="宋体"/>
          <w:spacing w:val="-11"/>
          <w:w w:val="96"/>
          <w:sz w:val="24"/>
          <w:szCs w:val="24"/>
        </w:rPr>
        <w:t>、项目设备签收单、</w:t>
      </w:r>
      <w:r>
        <w:rPr>
          <w:rFonts w:ascii="宋体" w:hAnsi="宋体" w:eastAsia="宋体" w:cs="宋体"/>
          <w:spacing w:val="-12"/>
          <w:w w:val="99"/>
          <w:sz w:val="24"/>
          <w:szCs w:val="24"/>
        </w:rPr>
        <w:t>学校初验单；</w:t>
      </w:r>
      <w:r>
        <w:rPr>
          <w:rFonts w:ascii="Calibri" w:hAnsi="Calibri" w:eastAsia="Calibri" w:cs="Calibri"/>
          <w:spacing w:val="-12"/>
          <w:w w:val="99"/>
          <w:sz w:val="24"/>
          <w:szCs w:val="24"/>
        </w:rPr>
        <w:t>7</w:t>
      </w:r>
      <w:r>
        <w:rPr>
          <w:rFonts w:ascii="Calibri" w:hAnsi="Calibri" w:eastAsia="Calibri" w:cs="Calibri"/>
          <w:spacing w:val="-30"/>
          <w:sz w:val="24"/>
          <w:szCs w:val="24"/>
        </w:rPr>
        <w:t xml:space="preserve"> </w:t>
      </w:r>
      <w:r>
        <w:rPr>
          <w:rFonts w:ascii="宋体" w:hAnsi="宋体" w:eastAsia="宋体" w:cs="宋体"/>
          <w:spacing w:val="-12"/>
          <w:w w:val="99"/>
          <w:sz w:val="24"/>
          <w:szCs w:val="24"/>
        </w:rPr>
        <w:t>、项目实施变更资料；</w:t>
      </w:r>
      <w:r>
        <w:rPr>
          <w:rFonts w:ascii="Calibri" w:hAnsi="Calibri" w:eastAsia="Calibri" w:cs="Calibri"/>
          <w:spacing w:val="-12"/>
          <w:w w:val="99"/>
          <w:sz w:val="24"/>
          <w:szCs w:val="24"/>
        </w:rPr>
        <w:t>8</w:t>
      </w:r>
      <w:r>
        <w:rPr>
          <w:rFonts w:ascii="Calibri" w:hAnsi="Calibri" w:eastAsia="Calibri" w:cs="Calibri"/>
          <w:spacing w:val="-30"/>
          <w:sz w:val="24"/>
          <w:szCs w:val="24"/>
        </w:rPr>
        <w:t xml:space="preserve"> </w:t>
      </w:r>
      <w:r>
        <w:rPr>
          <w:rFonts w:ascii="宋体" w:hAnsi="宋体" w:eastAsia="宋体" w:cs="宋体"/>
          <w:spacing w:val="-12"/>
          <w:w w:val="99"/>
          <w:sz w:val="24"/>
          <w:szCs w:val="24"/>
        </w:rPr>
        <w:t>、项目有关的测试检查报告、系统试运行</w:t>
      </w:r>
      <w:r>
        <w:rPr>
          <w:rFonts w:ascii="宋体" w:hAnsi="宋体" w:eastAsia="宋体" w:cs="宋体"/>
          <w:sz w:val="24"/>
          <w:szCs w:val="24"/>
        </w:rPr>
        <w:t xml:space="preserve"> </w:t>
      </w:r>
      <w:r>
        <w:rPr>
          <w:rFonts w:ascii="宋体" w:hAnsi="宋体" w:eastAsia="宋体" w:cs="宋体"/>
          <w:spacing w:val="-12"/>
          <w:sz w:val="24"/>
          <w:szCs w:val="24"/>
        </w:rPr>
        <w:t>报告；</w:t>
      </w:r>
      <w:r>
        <w:rPr>
          <w:rFonts w:ascii="Calibri" w:hAnsi="Calibri" w:eastAsia="Calibri" w:cs="Calibri"/>
          <w:spacing w:val="-12"/>
          <w:sz w:val="24"/>
          <w:szCs w:val="24"/>
        </w:rPr>
        <w:t>9</w:t>
      </w:r>
      <w:r>
        <w:rPr>
          <w:rFonts w:ascii="Calibri" w:hAnsi="Calibri" w:eastAsia="Calibri" w:cs="Calibri"/>
          <w:spacing w:val="-27"/>
          <w:sz w:val="24"/>
          <w:szCs w:val="24"/>
        </w:rPr>
        <w:t xml:space="preserve"> </w:t>
      </w:r>
      <w:r>
        <w:rPr>
          <w:rFonts w:ascii="宋体" w:hAnsi="宋体" w:eastAsia="宋体" w:cs="宋体"/>
          <w:spacing w:val="-12"/>
          <w:sz w:val="24"/>
          <w:szCs w:val="24"/>
        </w:rPr>
        <w:t>、项目培训文档及培训签字表、系统运维手册；</w:t>
      </w:r>
      <w:r>
        <w:rPr>
          <w:rFonts w:ascii="Calibri" w:hAnsi="Calibri" w:eastAsia="Calibri" w:cs="Calibri"/>
          <w:spacing w:val="-12"/>
          <w:sz w:val="24"/>
          <w:szCs w:val="24"/>
        </w:rPr>
        <w:t>10</w:t>
      </w:r>
      <w:r>
        <w:rPr>
          <w:rFonts w:ascii="Calibri" w:hAnsi="Calibri" w:eastAsia="Calibri" w:cs="Calibri"/>
          <w:spacing w:val="-27"/>
          <w:sz w:val="24"/>
          <w:szCs w:val="24"/>
        </w:rPr>
        <w:t xml:space="preserve"> </w:t>
      </w:r>
      <w:r>
        <w:rPr>
          <w:rFonts w:ascii="宋体" w:hAnsi="宋体" w:eastAsia="宋体" w:cs="宋体"/>
          <w:spacing w:val="-12"/>
          <w:sz w:val="24"/>
          <w:szCs w:val="24"/>
        </w:rPr>
        <w:t>、各设备的使用说明</w:t>
      </w:r>
      <w:r>
        <w:rPr>
          <w:rFonts w:ascii="宋体" w:hAnsi="宋体" w:eastAsia="宋体" w:cs="宋体"/>
          <w:spacing w:val="-1"/>
          <w:sz w:val="24"/>
          <w:szCs w:val="24"/>
        </w:rPr>
        <w:t>书、保修卡（纸质和电子</w:t>
      </w:r>
      <w:r>
        <w:rPr>
          <w:rFonts w:ascii="宋体" w:hAnsi="宋体" w:eastAsia="宋体" w:cs="宋体"/>
          <w:spacing w:val="-72"/>
          <w:sz w:val="24"/>
          <w:szCs w:val="24"/>
        </w:rPr>
        <w:t>）</w:t>
      </w:r>
      <w:r>
        <w:rPr>
          <w:rFonts w:ascii="宋体" w:hAnsi="宋体" w:eastAsia="宋体" w:cs="宋体"/>
          <w:spacing w:val="12"/>
          <w:sz w:val="24"/>
          <w:szCs w:val="24"/>
        </w:rPr>
        <w:t xml:space="preserve"> </w:t>
      </w:r>
      <w:r>
        <w:rPr>
          <w:rFonts w:ascii="宋体" w:hAnsi="宋体" w:eastAsia="宋体" w:cs="宋体"/>
          <w:spacing w:val="-72"/>
          <w:sz w:val="24"/>
          <w:szCs w:val="24"/>
        </w:rPr>
        <w:t>；</w:t>
      </w:r>
      <w:r>
        <w:rPr>
          <w:rFonts w:ascii="Calibri" w:hAnsi="Calibri" w:eastAsia="Calibri" w:cs="Calibri"/>
          <w:spacing w:val="-1"/>
          <w:sz w:val="24"/>
          <w:szCs w:val="24"/>
        </w:rPr>
        <w:t>11</w:t>
      </w:r>
      <w:r>
        <w:rPr>
          <w:rFonts w:ascii="Calibri" w:hAnsi="Calibri" w:eastAsia="Calibri" w:cs="Calibri"/>
          <w:spacing w:val="-29"/>
          <w:sz w:val="24"/>
          <w:szCs w:val="24"/>
        </w:rPr>
        <w:t xml:space="preserve"> </w:t>
      </w:r>
      <w:r>
        <w:rPr>
          <w:rFonts w:ascii="宋体" w:hAnsi="宋体" w:eastAsia="宋体" w:cs="宋体"/>
          <w:spacing w:val="-1"/>
          <w:sz w:val="24"/>
          <w:szCs w:val="24"/>
        </w:rPr>
        <w:t>、售后服务保证文件</w:t>
      </w:r>
    </w:p>
    <w:p>
      <w:pPr>
        <w:rPr>
          <w:rFonts w:hint="eastAsia"/>
          <w:color w:val="000000"/>
        </w:rPr>
      </w:pPr>
    </w:p>
    <w:p>
      <w:pPr>
        <w:pStyle w:val="3"/>
        <w:rPr>
          <w:rFonts w:hint="eastAsia"/>
          <w:color w:val="000000"/>
          <w:shd w:val="clear" w:color="auto" w:fill="FFFFFF"/>
        </w:rPr>
      </w:pPr>
      <w:bookmarkStart w:id="228" w:name="_Toc23754"/>
      <w:r>
        <w:rPr>
          <w:rFonts w:hint="eastAsia"/>
          <w:color w:val="000000"/>
          <w:shd w:val="clear" w:color="auto" w:fill="FFFFFF"/>
        </w:rPr>
        <w:t>第5章 磋商办法</w:t>
      </w:r>
      <w:bookmarkEnd w:id="228"/>
    </w:p>
    <w:p>
      <w:pPr>
        <w:rPr>
          <w:color w:val="000000"/>
          <w:shd w:val="clear" w:color="auto" w:fill="FFFFFF"/>
        </w:rPr>
      </w:pPr>
      <w:bookmarkStart w:id="229" w:name="EB80352aaf483c41059977fe84431aa5f8"/>
      <w:r>
        <w:rPr>
          <w:rFonts w:hint="eastAsia"/>
          <w:color w:val="000000"/>
          <w:sz w:val="20"/>
          <w:shd w:val="clear" w:color="auto" w:fill="FFFFFF"/>
        </w:rPr>
        <w:t xml:space="preserve"> </w:t>
      </w:r>
      <w:bookmarkEnd w:id="229"/>
      <w:bookmarkStart w:id="230" w:name="EB2517064192614bef9c5415b5a0a44e0b"/>
      <w:r>
        <w:rPr>
          <w:rFonts w:hint="eastAsia"/>
          <w:color w:val="000000"/>
          <w:sz w:val="20"/>
          <w:shd w:val="clear" w:color="auto" w:fill="FFFFFF"/>
        </w:rPr>
        <w:t xml:space="preserve"> </w:t>
      </w:r>
      <w:bookmarkEnd w:id="230"/>
    </w:p>
    <w:p>
      <w:pPr>
        <w:pStyle w:val="4"/>
        <w:spacing w:before="156" w:after="156"/>
        <w:ind w:left="0" w:firstLine="0"/>
        <w:rPr>
          <w:color w:val="000000"/>
          <w:shd w:val="clear" w:color="auto" w:fill="FFFFFF"/>
        </w:rPr>
      </w:pPr>
      <w:bookmarkStart w:id="231" w:name="_Toc15400"/>
      <w:r>
        <w:rPr>
          <w:rFonts w:hint="eastAsia"/>
          <w:color w:val="000000"/>
          <w:shd w:val="clear" w:color="auto" w:fill="FFFFFF"/>
        </w:rPr>
        <w:t>5.1总则</w:t>
      </w:r>
      <w:bookmarkEnd w:id="231"/>
    </w:p>
    <w:p>
      <w:pPr>
        <w:numPr>
          <w:ilvl w:val="0"/>
          <w:numId w:val="16"/>
        </w:numPr>
        <w:tabs>
          <w:tab w:val="left" w:pos="1134"/>
        </w:tabs>
        <w:spacing w:after="200" w:line="360" w:lineRule="auto"/>
        <w:ind w:left="0" w:firstLine="484" w:firstLineChars="202"/>
        <w:rPr>
          <w:rFonts w:ascii="宋体" w:hAnsi="宋体"/>
          <w:color w:val="auto"/>
          <w:sz w:val="24"/>
          <w:szCs w:val="24"/>
          <w:highlight w:val="none"/>
        </w:rPr>
      </w:pPr>
      <w:r>
        <w:rPr>
          <w:rFonts w:hint="eastAsia" w:ascii="宋体" w:hAnsi="宋体"/>
          <w:color w:val="auto"/>
          <w:sz w:val="24"/>
          <w:szCs w:val="24"/>
          <w:highlight w:val="none"/>
        </w:rPr>
        <w:t>根据《中华人民共和国政府采购法》、《中华人民共和国政府采购法实施条例》和《政府采购竞争性磋商采购方式管理暂行办法》等法律及规范性文件，结合采购项目特点制定本办法。</w:t>
      </w:r>
    </w:p>
    <w:p>
      <w:pPr>
        <w:numPr>
          <w:ilvl w:val="0"/>
          <w:numId w:val="16"/>
        </w:numPr>
        <w:tabs>
          <w:tab w:val="left" w:pos="1134"/>
        </w:tabs>
        <w:spacing w:after="200" w:line="360" w:lineRule="auto"/>
        <w:ind w:left="0" w:firstLine="484" w:firstLineChars="202"/>
        <w:rPr>
          <w:rFonts w:ascii="宋体" w:hAnsi="宋体"/>
          <w:color w:val="auto"/>
          <w:sz w:val="24"/>
          <w:szCs w:val="24"/>
          <w:highlight w:val="none"/>
        </w:rPr>
      </w:pPr>
      <w:r>
        <w:rPr>
          <w:rFonts w:hint="eastAsia" w:ascii="宋体" w:hAnsi="宋体"/>
          <w:color w:val="auto"/>
          <w:sz w:val="24"/>
          <w:szCs w:val="24"/>
          <w:highlight w:val="none"/>
        </w:rPr>
        <w:t>评审工作由</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公资交易中心负责组织，具体评审事务由采购人和</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公资交易中心依法组建的磋商小组负责。磋商小组由采购人代表和评审专家组成。</w:t>
      </w:r>
    </w:p>
    <w:p>
      <w:pPr>
        <w:numPr>
          <w:ilvl w:val="0"/>
          <w:numId w:val="16"/>
        </w:numPr>
        <w:tabs>
          <w:tab w:val="left" w:pos="1134"/>
        </w:tabs>
        <w:spacing w:after="200" w:line="360" w:lineRule="auto"/>
        <w:ind w:left="0" w:firstLine="484" w:firstLineChars="202"/>
        <w:rPr>
          <w:rFonts w:ascii="宋体" w:hAnsi="宋体"/>
          <w:color w:val="auto"/>
          <w:sz w:val="24"/>
          <w:szCs w:val="24"/>
          <w:highlight w:val="none"/>
        </w:rPr>
      </w:pPr>
      <w:r>
        <w:rPr>
          <w:rFonts w:hint="eastAsia" w:ascii="宋体" w:hAnsi="宋体"/>
          <w:color w:val="auto"/>
          <w:sz w:val="24"/>
          <w:szCs w:val="24"/>
          <w:highlight w:val="none"/>
        </w:rPr>
        <w:t>评审工作应遵循公平、公正、科学及择优的原则，并以相同的评审程序和标准对待所有供应商。</w:t>
      </w:r>
    </w:p>
    <w:p>
      <w:pPr>
        <w:numPr>
          <w:ilvl w:val="0"/>
          <w:numId w:val="16"/>
        </w:numPr>
        <w:tabs>
          <w:tab w:val="left" w:pos="1134"/>
        </w:tabs>
        <w:spacing w:after="200" w:line="360" w:lineRule="auto"/>
        <w:ind w:left="0" w:firstLine="484" w:firstLineChars="202"/>
        <w:rPr>
          <w:rFonts w:ascii="宋体" w:hAnsi="宋体"/>
          <w:color w:val="auto"/>
          <w:sz w:val="24"/>
          <w:szCs w:val="24"/>
          <w:highlight w:val="none"/>
        </w:rPr>
      </w:pPr>
      <w:r>
        <w:rPr>
          <w:rFonts w:hint="eastAsia" w:ascii="宋体" w:hAnsi="宋体"/>
          <w:color w:val="auto"/>
          <w:sz w:val="24"/>
          <w:szCs w:val="24"/>
          <w:highlight w:val="none"/>
        </w:rPr>
        <w:t>磋商小组按照磋商文件规定的磋商程序、评审方法和标准进行独立评审，并独立履行下列职责：</w:t>
      </w:r>
    </w:p>
    <w:p>
      <w:pPr>
        <w:keepNext w:val="0"/>
        <w:keepLines w:val="0"/>
        <w:pageBreakBefore w:val="0"/>
        <w:widowControl w:val="0"/>
        <w:numPr>
          <w:ilvl w:val="1"/>
          <w:numId w:val="17"/>
        </w:numPr>
        <w:kinsoku/>
        <w:wordWrap/>
        <w:overflowPunct/>
        <w:topLinePunct w:val="0"/>
        <w:autoSpaceDE/>
        <w:autoSpaceDN/>
        <w:bidi w:val="0"/>
        <w:adjustRightInd/>
        <w:snapToGrid/>
        <w:spacing w:line="240" w:lineRule="auto"/>
        <w:ind w:left="0" w:firstLine="567"/>
        <w:textAlignment w:val="auto"/>
        <w:rPr>
          <w:rFonts w:ascii="宋体" w:hAnsi="宋体"/>
          <w:color w:val="auto"/>
          <w:sz w:val="24"/>
          <w:szCs w:val="24"/>
          <w:highlight w:val="none"/>
        </w:rPr>
      </w:pPr>
      <w:r>
        <w:rPr>
          <w:rFonts w:hint="eastAsia" w:ascii="宋体" w:hAnsi="宋体"/>
          <w:color w:val="auto"/>
          <w:sz w:val="24"/>
          <w:szCs w:val="24"/>
          <w:highlight w:val="none"/>
        </w:rPr>
        <w:t>从符合相应资格条件并通过符合性审查的供应商名单中确定不少于三家的供应商参加磋商；</w:t>
      </w:r>
    </w:p>
    <w:p>
      <w:pPr>
        <w:keepNext w:val="0"/>
        <w:keepLines w:val="0"/>
        <w:pageBreakBefore w:val="0"/>
        <w:widowControl w:val="0"/>
        <w:numPr>
          <w:ilvl w:val="1"/>
          <w:numId w:val="17"/>
        </w:numPr>
        <w:kinsoku/>
        <w:wordWrap/>
        <w:overflowPunct/>
        <w:topLinePunct w:val="0"/>
        <w:autoSpaceDE/>
        <w:autoSpaceDN/>
        <w:bidi w:val="0"/>
        <w:adjustRightInd/>
        <w:snapToGrid/>
        <w:spacing w:line="240" w:lineRule="auto"/>
        <w:ind w:left="0" w:firstLine="567"/>
        <w:textAlignment w:val="auto"/>
        <w:rPr>
          <w:rFonts w:ascii="宋体" w:hAnsi="宋体"/>
          <w:color w:val="auto"/>
          <w:sz w:val="24"/>
          <w:szCs w:val="24"/>
          <w:highlight w:val="none"/>
        </w:rPr>
      </w:pPr>
      <w:r>
        <w:rPr>
          <w:rFonts w:hint="eastAsia" w:ascii="宋体" w:hAnsi="宋体" w:cs="宋体"/>
          <w:color w:val="auto"/>
          <w:sz w:val="24"/>
          <w:szCs w:val="24"/>
          <w:highlight w:val="none"/>
        </w:rPr>
        <w:t>审查供应商的响应文件并作出评价</w:t>
      </w:r>
      <w:r>
        <w:rPr>
          <w:rFonts w:hint="eastAsia" w:ascii="宋体" w:hAnsi="宋体"/>
          <w:color w:val="auto"/>
          <w:sz w:val="24"/>
          <w:szCs w:val="24"/>
          <w:highlight w:val="none"/>
        </w:rPr>
        <w:t>；</w:t>
      </w:r>
    </w:p>
    <w:p>
      <w:pPr>
        <w:keepNext w:val="0"/>
        <w:keepLines w:val="0"/>
        <w:pageBreakBefore w:val="0"/>
        <w:widowControl w:val="0"/>
        <w:numPr>
          <w:ilvl w:val="1"/>
          <w:numId w:val="17"/>
        </w:numPr>
        <w:kinsoku/>
        <w:wordWrap/>
        <w:overflowPunct/>
        <w:topLinePunct w:val="0"/>
        <w:autoSpaceDE/>
        <w:autoSpaceDN/>
        <w:bidi w:val="0"/>
        <w:adjustRightInd/>
        <w:snapToGrid/>
        <w:spacing w:line="240" w:lineRule="auto"/>
        <w:ind w:left="0" w:firstLine="567"/>
        <w:textAlignment w:val="auto"/>
        <w:rPr>
          <w:rFonts w:ascii="宋体" w:hAnsi="宋体"/>
          <w:color w:val="auto"/>
          <w:sz w:val="24"/>
          <w:szCs w:val="24"/>
          <w:highlight w:val="none"/>
        </w:rPr>
      </w:pPr>
      <w:r>
        <w:rPr>
          <w:rFonts w:hint="eastAsia" w:ascii="宋体" w:hAnsi="宋体" w:cs="宋体"/>
          <w:color w:val="auto"/>
          <w:sz w:val="24"/>
          <w:szCs w:val="24"/>
          <w:highlight w:val="none"/>
        </w:rPr>
        <w:t>要求供应商解释或者澄清其响应文件</w:t>
      </w:r>
      <w:r>
        <w:rPr>
          <w:rFonts w:hint="eastAsia" w:ascii="宋体" w:hAnsi="宋体"/>
          <w:color w:val="auto"/>
          <w:sz w:val="24"/>
          <w:szCs w:val="24"/>
          <w:highlight w:val="none"/>
        </w:rPr>
        <w:t>；</w:t>
      </w:r>
    </w:p>
    <w:p>
      <w:pPr>
        <w:keepNext w:val="0"/>
        <w:keepLines w:val="0"/>
        <w:pageBreakBefore w:val="0"/>
        <w:widowControl w:val="0"/>
        <w:numPr>
          <w:ilvl w:val="1"/>
          <w:numId w:val="17"/>
        </w:numPr>
        <w:kinsoku/>
        <w:wordWrap/>
        <w:overflowPunct/>
        <w:topLinePunct w:val="0"/>
        <w:autoSpaceDE/>
        <w:autoSpaceDN/>
        <w:bidi w:val="0"/>
        <w:adjustRightInd/>
        <w:snapToGrid/>
        <w:spacing w:line="240" w:lineRule="auto"/>
        <w:ind w:left="0" w:firstLine="567"/>
        <w:textAlignment w:val="auto"/>
        <w:rPr>
          <w:rFonts w:ascii="宋体" w:hAnsi="宋体"/>
          <w:color w:val="auto"/>
          <w:sz w:val="24"/>
          <w:szCs w:val="24"/>
          <w:highlight w:val="none"/>
        </w:rPr>
      </w:pPr>
      <w:r>
        <w:rPr>
          <w:rFonts w:hint="eastAsia" w:ascii="宋体" w:hAnsi="宋体" w:cs="宋体"/>
          <w:color w:val="auto"/>
          <w:sz w:val="24"/>
          <w:szCs w:val="24"/>
          <w:highlight w:val="none"/>
        </w:rPr>
        <w:t>依法、客观、公平、公正开展供应商资格性审查、符合性审查、磋商和推荐成交候选供应商</w:t>
      </w:r>
      <w:r>
        <w:rPr>
          <w:rFonts w:hint="eastAsia" w:ascii="宋体" w:hAnsi="宋体"/>
          <w:color w:val="auto"/>
          <w:sz w:val="24"/>
          <w:szCs w:val="24"/>
          <w:highlight w:val="none"/>
        </w:rPr>
        <w:t>；</w:t>
      </w:r>
    </w:p>
    <w:p>
      <w:pPr>
        <w:keepNext w:val="0"/>
        <w:keepLines w:val="0"/>
        <w:pageBreakBefore w:val="0"/>
        <w:widowControl w:val="0"/>
        <w:numPr>
          <w:ilvl w:val="1"/>
          <w:numId w:val="17"/>
        </w:numPr>
        <w:kinsoku/>
        <w:wordWrap/>
        <w:overflowPunct/>
        <w:topLinePunct w:val="0"/>
        <w:autoSpaceDE/>
        <w:autoSpaceDN/>
        <w:bidi w:val="0"/>
        <w:adjustRightInd/>
        <w:snapToGrid/>
        <w:spacing w:line="240" w:lineRule="auto"/>
        <w:ind w:left="0" w:firstLine="567"/>
        <w:textAlignment w:val="auto"/>
        <w:rPr>
          <w:rFonts w:ascii="宋体" w:hAnsi="宋体"/>
          <w:color w:val="auto"/>
          <w:sz w:val="24"/>
          <w:szCs w:val="24"/>
          <w:highlight w:val="none"/>
        </w:rPr>
      </w:pPr>
      <w:r>
        <w:rPr>
          <w:rFonts w:hint="eastAsia" w:ascii="宋体" w:hAnsi="宋体" w:cs="宋体"/>
          <w:color w:val="auto"/>
          <w:sz w:val="24"/>
          <w:szCs w:val="24"/>
          <w:highlight w:val="none"/>
        </w:rPr>
        <w:t>编写评审报告</w:t>
      </w:r>
      <w:r>
        <w:rPr>
          <w:rFonts w:hint="eastAsia" w:ascii="宋体" w:hAnsi="宋体"/>
          <w:color w:val="auto"/>
          <w:sz w:val="24"/>
          <w:szCs w:val="24"/>
          <w:highlight w:val="none"/>
        </w:rPr>
        <w:t>；</w:t>
      </w:r>
    </w:p>
    <w:p>
      <w:pPr>
        <w:keepNext w:val="0"/>
        <w:keepLines w:val="0"/>
        <w:pageBreakBefore w:val="0"/>
        <w:widowControl w:val="0"/>
        <w:numPr>
          <w:ilvl w:val="1"/>
          <w:numId w:val="17"/>
        </w:numPr>
        <w:kinsoku/>
        <w:wordWrap/>
        <w:overflowPunct/>
        <w:topLinePunct w:val="0"/>
        <w:autoSpaceDE/>
        <w:autoSpaceDN/>
        <w:bidi w:val="0"/>
        <w:adjustRightInd/>
        <w:snapToGrid/>
        <w:spacing w:line="240" w:lineRule="auto"/>
        <w:ind w:left="0" w:firstLine="567"/>
        <w:textAlignment w:val="auto"/>
        <w:rPr>
          <w:rFonts w:ascii="宋体" w:hAnsi="宋体"/>
          <w:color w:val="auto"/>
          <w:sz w:val="24"/>
          <w:szCs w:val="24"/>
          <w:highlight w:val="none"/>
        </w:rPr>
      </w:pPr>
      <w:r>
        <w:rPr>
          <w:rFonts w:hint="eastAsia" w:ascii="宋体" w:hAnsi="宋体" w:cs="宋体"/>
          <w:color w:val="auto"/>
          <w:sz w:val="24"/>
          <w:szCs w:val="24"/>
          <w:highlight w:val="none"/>
        </w:rPr>
        <w:t>告知采购人、采购代理机构在评审过程中发现的供应商的违法违规行为</w:t>
      </w:r>
      <w:r>
        <w:rPr>
          <w:rFonts w:hint="eastAsia" w:ascii="宋体" w:hAnsi="宋体"/>
          <w:color w:val="auto"/>
          <w:sz w:val="24"/>
          <w:szCs w:val="24"/>
          <w:highlight w:val="none"/>
        </w:rPr>
        <w:t>；</w:t>
      </w:r>
    </w:p>
    <w:p>
      <w:pPr>
        <w:keepNext w:val="0"/>
        <w:keepLines w:val="0"/>
        <w:pageBreakBefore w:val="0"/>
        <w:widowControl w:val="0"/>
        <w:numPr>
          <w:ilvl w:val="1"/>
          <w:numId w:val="17"/>
        </w:numPr>
        <w:kinsoku/>
        <w:wordWrap/>
        <w:overflowPunct/>
        <w:topLinePunct w:val="0"/>
        <w:autoSpaceDE/>
        <w:autoSpaceDN/>
        <w:bidi w:val="0"/>
        <w:adjustRightInd/>
        <w:snapToGrid/>
        <w:spacing w:line="240" w:lineRule="auto"/>
        <w:ind w:left="0" w:firstLine="567"/>
        <w:textAlignment w:val="auto"/>
        <w:rPr>
          <w:rFonts w:ascii="宋体" w:hAnsi="宋体"/>
          <w:color w:val="auto"/>
          <w:sz w:val="24"/>
          <w:szCs w:val="24"/>
          <w:highlight w:val="none"/>
        </w:rPr>
      </w:pPr>
      <w:r>
        <w:rPr>
          <w:rFonts w:hint="eastAsia" w:ascii="宋体" w:hAnsi="宋体"/>
          <w:color w:val="auto"/>
          <w:sz w:val="24"/>
          <w:szCs w:val="24"/>
          <w:highlight w:val="none"/>
        </w:rPr>
        <w:t>保守供应商的商业秘密；</w:t>
      </w:r>
    </w:p>
    <w:p>
      <w:pPr>
        <w:keepNext w:val="0"/>
        <w:keepLines w:val="0"/>
        <w:pageBreakBefore w:val="0"/>
        <w:widowControl w:val="0"/>
        <w:numPr>
          <w:ilvl w:val="1"/>
          <w:numId w:val="17"/>
        </w:numPr>
        <w:kinsoku/>
        <w:wordWrap/>
        <w:overflowPunct/>
        <w:topLinePunct w:val="0"/>
        <w:autoSpaceDE/>
        <w:autoSpaceDN/>
        <w:bidi w:val="0"/>
        <w:adjustRightInd/>
        <w:snapToGrid/>
        <w:spacing w:line="240" w:lineRule="auto"/>
        <w:ind w:left="0" w:firstLine="567"/>
        <w:textAlignment w:val="auto"/>
        <w:rPr>
          <w:rFonts w:ascii="宋体" w:hAnsi="宋体"/>
          <w:color w:val="auto"/>
          <w:sz w:val="24"/>
          <w:szCs w:val="24"/>
          <w:highlight w:val="none"/>
        </w:rPr>
      </w:pPr>
      <w:r>
        <w:rPr>
          <w:rFonts w:hint="eastAsia" w:ascii="宋体" w:hAnsi="宋体"/>
          <w:color w:val="auto"/>
          <w:sz w:val="24"/>
          <w:szCs w:val="24"/>
          <w:highlight w:val="none"/>
        </w:rPr>
        <w:t>配合处理供应商质疑；</w:t>
      </w:r>
    </w:p>
    <w:p>
      <w:pPr>
        <w:keepNext w:val="0"/>
        <w:keepLines w:val="0"/>
        <w:pageBreakBefore w:val="0"/>
        <w:widowControl w:val="0"/>
        <w:numPr>
          <w:ilvl w:val="1"/>
          <w:numId w:val="17"/>
        </w:numPr>
        <w:kinsoku/>
        <w:wordWrap/>
        <w:overflowPunct/>
        <w:topLinePunct w:val="0"/>
        <w:autoSpaceDE/>
        <w:autoSpaceDN/>
        <w:bidi w:val="0"/>
        <w:adjustRightInd/>
        <w:snapToGrid/>
        <w:spacing w:line="240" w:lineRule="auto"/>
        <w:ind w:left="0" w:firstLine="567"/>
        <w:textAlignment w:val="auto"/>
        <w:rPr>
          <w:rFonts w:ascii="宋体" w:hAnsi="宋体"/>
          <w:color w:val="auto"/>
          <w:sz w:val="24"/>
          <w:szCs w:val="24"/>
          <w:highlight w:val="none"/>
        </w:rPr>
      </w:pPr>
      <w:r>
        <w:rPr>
          <w:rFonts w:hint="eastAsia" w:ascii="宋体" w:hAnsi="宋体"/>
          <w:color w:val="auto"/>
          <w:sz w:val="24"/>
          <w:szCs w:val="24"/>
          <w:highlight w:val="none"/>
        </w:rPr>
        <w:t>配合处理供应商投诉；</w:t>
      </w:r>
    </w:p>
    <w:p>
      <w:pPr>
        <w:keepNext w:val="0"/>
        <w:keepLines w:val="0"/>
        <w:pageBreakBefore w:val="0"/>
        <w:widowControl w:val="0"/>
        <w:numPr>
          <w:ilvl w:val="1"/>
          <w:numId w:val="17"/>
        </w:numPr>
        <w:tabs>
          <w:tab w:val="left" w:pos="1418"/>
        </w:tabs>
        <w:kinsoku/>
        <w:wordWrap/>
        <w:overflowPunct/>
        <w:topLinePunct w:val="0"/>
        <w:autoSpaceDE/>
        <w:autoSpaceDN/>
        <w:bidi w:val="0"/>
        <w:adjustRightInd/>
        <w:snapToGrid/>
        <w:spacing w:line="240" w:lineRule="auto"/>
        <w:ind w:left="0" w:firstLine="567"/>
        <w:textAlignment w:val="auto"/>
        <w:rPr>
          <w:rFonts w:ascii="宋体" w:hAnsi="宋体"/>
          <w:color w:val="auto"/>
          <w:sz w:val="24"/>
          <w:szCs w:val="24"/>
          <w:highlight w:val="none"/>
        </w:rPr>
      </w:pPr>
      <w:r>
        <w:rPr>
          <w:rFonts w:hint="eastAsia" w:ascii="宋体" w:hAnsi="宋体" w:cs="宋体"/>
          <w:color w:val="auto"/>
          <w:sz w:val="24"/>
          <w:szCs w:val="24"/>
          <w:highlight w:val="none"/>
        </w:rPr>
        <w:t>其他需要履行的工作职责</w:t>
      </w:r>
      <w:r>
        <w:rPr>
          <w:rFonts w:hint="eastAsia" w:ascii="宋体" w:hAnsi="宋体"/>
          <w:color w:val="auto"/>
          <w:sz w:val="24"/>
          <w:szCs w:val="24"/>
          <w:highlight w:val="none"/>
        </w:rPr>
        <w:t>。</w:t>
      </w:r>
    </w:p>
    <w:p>
      <w:pPr>
        <w:numPr>
          <w:ilvl w:val="0"/>
          <w:numId w:val="16"/>
        </w:numPr>
        <w:tabs>
          <w:tab w:val="left" w:pos="1134"/>
        </w:tabs>
        <w:spacing w:after="200" w:line="360" w:lineRule="auto"/>
        <w:ind w:left="0" w:firstLine="484" w:firstLineChars="202"/>
        <w:rPr>
          <w:rFonts w:ascii="宋体" w:hAnsi="宋体"/>
          <w:color w:val="auto"/>
          <w:sz w:val="24"/>
          <w:szCs w:val="24"/>
          <w:highlight w:val="none"/>
        </w:rPr>
      </w:pPr>
      <w:r>
        <w:rPr>
          <w:rFonts w:hint="eastAsia" w:ascii="宋体" w:hAnsi="宋体"/>
          <w:color w:val="auto"/>
          <w:sz w:val="24"/>
          <w:szCs w:val="24"/>
          <w:highlight w:val="none"/>
        </w:rPr>
        <w:t>评审过程独立、保密。供应商非法干预评审过程的行为将导致其响应文件作无效处理。</w:t>
      </w:r>
    </w:p>
    <w:p>
      <w:pPr>
        <w:numPr>
          <w:ilvl w:val="0"/>
          <w:numId w:val="16"/>
        </w:numPr>
        <w:tabs>
          <w:tab w:val="left" w:pos="1134"/>
        </w:tabs>
        <w:spacing w:after="200" w:line="360" w:lineRule="auto"/>
        <w:ind w:left="0" w:firstLine="484" w:firstLineChars="202"/>
        <w:rPr>
          <w:rFonts w:ascii="宋体" w:hAnsi="宋体"/>
          <w:color w:val="auto"/>
          <w:sz w:val="24"/>
          <w:szCs w:val="24"/>
          <w:highlight w:val="none"/>
        </w:rPr>
      </w:pPr>
      <w:r>
        <w:rPr>
          <w:rFonts w:hint="eastAsia" w:ascii="宋体" w:hAnsi="宋体"/>
          <w:color w:val="auto"/>
          <w:sz w:val="24"/>
          <w:szCs w:val="24"/>
          <w:highlight w:val="none"/>
        </w:rPr>
        <w:t>磋商小组审查响应文件的响应性依据响应文件本身的内容，而不寻求外部的证据，磋商文件有明确约定的除外。</w:t>
      </w:r>
    </w:p>
    <w:p>
      <w:pPr>
        <w:numPr>
          <w:ilvl w:val="0"/>
          <w:numId w:val="16"/>
        </w:numPr>
        <w:tabs>
          <w:tab w:val="left" w:pos="1134"/>
        </w:tabs>
        <w:spacing w:after="200" w:line="360" w:lineRule="auto"/>
        <w:ind w:left="0" w:firstLine="484" w:firstLineChars="202"/>
        <w:rPr>
          <w:rFonts w:ascii="宋体" w:hAnsi="宋体"/>
          <w:color w:val="auto"/>
          <w:sz w:val="24"/>
          <w:szCs w:val="24"/>
          <w:highlight w:val="none"/>
        </w:rPr>
      </w:pPr>
      <w:r>
        <w:rPr>
          <w:rFonts w:hint="eastAsia" w:ascii="宋体" w:hAnsi="宋体"/>
          <w:color w:val="auto"/>
          <w:sz w:val="24"/>
          <w:szCs w:val="24"/>
          <w:highlight w:val="none"/>
        </w:rPr>
        <w:t>磋商小组发现磋商文件表述不明确或需要说明的事项，可提请采购人和</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公资交易中心书面解释说明。</w:t>
      </w:r>
    </w:p>
    <w:p>
      <w:pPr>
        <w:pStyle w:val="4"/>
        <w:spacing w:before="156" w:after="156"/>
        <w:ind w:left="0" w:firstLine="0"/>
        <w:rPr>
          <w:color w:val="000000"/>
          <w:shd w:val="clear" w:color="auto" w:fill="FFFFFF"/>
        </w:rPr>
      </w:pPr>
      <w:bookmarkStart w:id="232" w:name="_Toc1402"/>
      <w:r>
        <w:rPr>
          <w:rFonts w:hint="eastAsia"/>
          <w:color w:val="000000"/>
          <w:shd w:val="clear" w:color="auto" w:fill="FFFFFF"/>
        </w:rPr>
        <w:t>5.2磋商程序</w:t>
      </w:r>
      <w:bookmarkEnd w:id="232"/>
    </w:p>
    <w:p>
      <w:pPr>
        <w:pStyle w:val="24"/>
        <w:spacing w:line="360" w:lineRule="auto"/>
        <w:rPr>
          <w:rFonts w:hint="default" w:ascii="宋体" w:hAnsi="宋体" w:eastAsia="宋体" w:cs="Times New Roman"/>
          <w:b/>
          <w:bCs/>
          <w:color w:val="auto"/>
          <w:kern w:val="2"/>
          <w:sz w:val="24"/>
          <w:szCs w:val="28"/>
          <w:highlight w:val="none"/>
          <w:lang w:val="en-US" w:eastAsia="zh-CN" w:bidi="ar-SA"/>
        </w:rPr>
      </w:pPr>
      <w:r>
        <w:rPr>
          <w:rFonts w:hint="eastAsia" w:ascii="宋体" w:hAnsi="宋体" w:eastAsia="宋体" w:cs="Times New Roman"/>
          <w:b/>
          <w:bCs/>
          <w:color w:val="auto"/>
          <w:kern w:val="2"/>
          <w:sz w:val="24"/>
          <w:szCs w:val="28"/>
          <w:highlight w:val="none"/>
          <w:lang w:val="en-US" w:eastAsia="zh-CN" w:bidi="ar-SA"/>
        </w:rPr>
        <w:t>5.2.1磋商小组</w:t>
      </w:r>
    </w:p>
    <w:p>
      <w:pPr>
        <w:pStyle w:val="24"/>
        <w:spacing w:line="360" w:lineRule="auto"/>
        <w:ind w:firstLine="480" w:firstLineChars="200"/>
        <w:rPr>
          <w:rFonts w:hint="eastAsia"/>
          <w:color w:val="auto"/>
          <w:highlight w:val="none"/>
          <w:lang w:val="en-US" w:eastAsia="zh-CN"/>
        </w:rPr>
      </w:pPr>
      <w:r>
        <w:rPr>
          <w:rFonts w:hint="eastAsia" w:ascii="宋体" w:hAnsi="宋体" w:eastAsia="宋体" w:cs="宋体"/>
          <w:color w:val="auto"/>
          <w:kern w:val="2"/>
          <w:sz w:val="24"/>
          <w:szCs w:val="24"/>
          <w:highlight w:val="none"/>
          <w:lang w:val="en-US" w:eastAsia="zh-CN" w:bidi="ar-SA"/>
        </w:rPr>
        <w:t>磋商小组由采购人代表和根据采购项目情况确定的技术或经济或法律等有关专家3人以上的单数组成。磋商小组负责本项目的磋商和评审工作。</w:t>
      </w:r>
    </w:p>
    <w:p>
      <w:pPr>
        <w:pStyle w:val="5"/>
        <w:numPr>
          <w:ilvl w:val="0"/>
          <w:numId w:val="0"/>
        </w:numPr>
        <w:rPr>
          <w:color w:val="auto"/>
          <w:highlight w:val="none"/>
        </w:rPr>
      </w:pPr>
      <w:bookmarkStart w:id="233" w:name="_Toc20444"/>
      <w:bookmarkStart w:id="234" w:name="_Toc4981"/>
      <w:r>
        <w:rPr>
          <w:rFonts w:hint="eastAsia"/>
          <w:color w:val="auto"/>
          <w:highlight w:val="none"/>
        </w:rPr>
        <w:t>5.2.</w:t>
      </w:r>
      <w:r>
        <w:rPr>
          <w:rFonts w:hint="eastAsia"/>
          <w:color w:val="auto"/>
          <w:highlight w:val="none"/>
          <w:lang w:val="en-US" w:eastAsia="zh-CN"/>
        </w:rPr>
        <w:t>2</w:t>
      </w:r>
      <w:r>
        <w:rPr>
          <w:rFonts w:hint="eastAsia"/>
          <w:color w:val="auto"/>
          <w:highlight w:val="none"/>
        </w:rPr>
        <w:t>资格性审查</w:t>
      </w:r>
      <w:bookmarkEnd w:id="233"/>
      <w:bookmarkEnd w:id="234"/>
    </w:p>
    <w:p>
      <w:pPr>
        <w:spacing w:line="360" w:lineRule="auto"/>
        <w:ind w:firstLine="513" w:firstLineChars="214"/>
        <w:rPr>
          <w:rFonts w:ascii="宋体" w:hAnsi="宋体"/>
          <w:color w:val="auto"/>
          <w:sz w:val="24"/>
          <w:szCs w:val="24"/>
          <w:highlight w:val="none"/>
        </w:rPr>
      </w:pPr>
      <w:r>
        <w:rPr>
          <w:rFonts w:hint="eastAsia" w:ascii="宋体" w:hAnsi="宋体"/>
          <w:color w:val="auto"/>
          <w:sz w:val="24"/>
          <w:szCs w:val="24"/>
          <w:highlight w:val="none"/>
        </w:rPr>
        <w:t>首次递交响应文件截止时间结束后，由磋商小组对递交响应文件的供应商进行资格性审查。磋商小组在资格性审查过程中，磋商小组成员对供应商资格是否符合规定存在争议的，应当以少数服从多数的原则处理，但不得违反政府采购法和磋商文件规定。</w:t>
      </w:r>
    </w:p>
    <w:p>
      <w:pPr>
        <w:pStyle w:val="113"/>
        <w:ind w:firstLine="480"/>
        <w:rPr>
          <w:rFonts w:hint="eastAsia"/>
          <w:color w:val="auto"/>
          <w:highlight w:val="none"/>
          <w:lang w:eastAsia="zh-CN"/>
        </w:rPr>
      </w:pPr>
      <w:r>
        <w:rPr>
          <w:rFonts w:hint="eastAsia"/>
          <w:color w:val="auto"/>
          <w:highlight w:val="none"/>
        </w:rPr>
        <w:t>供应商资格审查的标准：</w:t>
      </w:r>
    </w:p>
    <w:tbl>
      <w:tblPr>
        <w:tblStyle w:val="4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4"/>
        <w:gridCol w:w="1318"/>
        <w:gridCol w:w="5253"/>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9" w:type="dxa"/>
            <w:noWrap w:val="0"/>
            <w:vAlign w:val="center"/>
          </w:tcPr>
          <w:p>
            <w:pPr>
              <w:snapToGrid w:val="0"/>
              <w:spacing w:line="240" w:lineRule="atLeast"/>
              <w:jc w:val="center"/>
              <w:rPr>
                <w:rFonts w:ascii="宋体" w:hAnsi="宋体"/>
                <w:b/>
                <w:color w:val="auto"/>
                <w:sz w:val="20"/>
                <w:szCs w:val="28"/>
                <w:highlight w:val="none"/>
              </w:rPr>
            </w:pPr>
            <w:r>
              <w:rPr>
                <w:rFonts w:hint="eastAsia" w:ascii="宋体" w:hAnsi="宋体"/>
                <w:b/>
                <w:color w:val="auto"/>
                <w:sz w:val="20"/>
                <w:szCs w:val="28"/>
                <w:highlight w:val="none"/>
              </w:rPr>
              <w:t>序号</w:t>
            </w:r>
          </w:p>
        </w:tc>
        <w:tc>
          <w:tcPr>
            <w:tcW w:w="2552" w:type="dxa"/>
            <w:gridSpan w:val="2"/>
            <w:noWrap w:val="0"/>
            <w:vAlign w:val="center"/>
          </w:tcPr>
          <w:p>
            <w:pPr>
              <w:snapToGrid w:val="0"/>
              <w:spacing w:line="240" w:lineRule="atLeast"/>
              <w:jc w:val="center"/>
              <w:rPr>
                <w:rFonts w:ascii="宋体" w:hAnsi="宋体"/>
                <w:b/>
                <w:color w:val="auto"/>
                <w:sz w:val="20"/>
                <w:szCs w:val="28"/>
                <w:highlight w:val="none"/>
              </w:rPr>
            </w:pPr>
            <w:r>
              <w:rPr>
                <w:rFonts w:hint="eastAsia" w:ascii="宋体" w:hAnsi="宋体"/>
                <w:b/>
                <w:color w:val="auto"/>
                <w:sz w:val="20"/>
                <w:szCs w:val="28"/>
                <w:highlight w:val="none"/>
              </w:rPr>
              <w:t>项     目</w:t>
            </w:r>
          </w:p>
        </w:tc>
        <w:tc>
          <w:tcPr>
            <w:tcW w:w="5253" w:type="dxa"/>
            <w:noWrap w:val="0"/>
            <w:vAlign w:val="center"/>
          </w:tcPr>
          <w:p>
            <w:pPr>
              <w:snapToGrid w:val="0"/>
              <w:spacing w:line="240" w:lineRule="atLeast"/>
              <w:jc w:val="center"/>
              <w:rPr>
                <w:rFonts w:ascii="宋体" w:hAnsi="宋体"/>
                <w:b/>
                <w:color w:val="auto"/>
                <w:sz w:val="20"/>
                <w:szCs w:val="28"/>
                <w:highlight w:val="none"/>
              </w:rPr>
            </w:pPr>
            <w:r>
              <w:rPr>
                <w:rFonts w:hint="eastAsia" w:ascii="宋体" w:hAnsi="宋体"/>
                <w:b/>
                <w:color w:val="auto"/>
                <w:sz w:val="20"/>
                <w:szCs w:val="28"/>
                <w:highlight w:val="none"/>
              </w:rPr>
              <w:t>通过条件</w:t>
            </w:r>
          </w:p>
        </w:tc>
        <w:tc>
          <w:tcPr>
            <w:tcW w:w="842" w:type="dxa"/>
            <w:noWrap w:val="0"/>
            <w:vAlign w:val="center"/>
          </w:tcPr>
          <w:p>
            <w:pPr>
              <w:snapToGrid w:val="0"/>
              <w:spacing w:line="240" w:lineRule="atLeast"/>
              <w:jc w:val="center"/>
              <w:rPr>
                <w:rFonts w:ascii="宋体" w:hAnsi="宋体"/>
                <w:b/>
                <w:color w:val="auto"/>
                <w:sz w:val="20"/>
                <w:szCs w:val="28"/>
                <w:highlight w:val="none"/>
              </w:rPr>
            </w:pPr>
            <w:r>
              <w:rPr>
                <w:rFonts w:hint="eastAsia" w:ascii="宋体" w:hAnsi="宋体"/>
                <w:b/>
                <w:color w:val="auto"/>
                <w:sz w:val="20"/>
                <w:szCs w:val="28"/>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709" w:type="dxa"/>
            <w:noWrap w:val="0"/>
            <w:vAlign w:val="center"/>
          </w:tcPr>
          <w:p>
            <w:pPr>
              <w:pStyle w:val="161"/>
              <w:numPr>
                <w:ilvl w:val="0"/>
                <w:numId w:val="18"/>
              </w:numPr>
              <w:tabs>
                <w:tab w:val="left" w:pos="275"/>
              </w:tabs>
              <w:snapToGrid w:val="0"/>
              <w:spacing w:line="240" w:lineRule="atLeast"/>
              <w:ind w:left="0" w:firstLine="0" w:firstLineChars="0"/>
              <w:jc w:val="both"/>
              <w:rPr>
                <w:rFonts w:ascii="宋体" w:hAnsi="宋体" w:eastAsia="宋体"/>
                <w:color w:val="auto"/>
                <w:sz w:val="20"/>
                <w:szCs w:val="28"/>
                <w:highlight w:val="none"/>
              </w:rPr>
            </w:pPr>
          </w:p>
        </w:tc>
        <w:tc>
          <w:tcPr>
            <w:tcW w:w="2552" w:type="dxa"/>
            <w:gridSpan w:val="2"/>
            <w:noWrap w:val="0"/>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在中华人民共和国境内注册，并有效存续具有独立法人资格的供应商</w:t>
            </w:r>
          </w:p>
        </w:tc>
        <w:tc>
          <w:tcPr>
            <w:tcW w:w="5253" w:type="dxa"/>
            <w:noWrap w:val="0"/>
            <w:vAlign w:val="center"/>
          </w:tcPr>
          <w:p>
            <w:pPr>
              <w:spacing w:line="240" w:lineRule="atLeast"/>
              <w:rPr>
                <w:rFonts w:ascii="宋体" w:hAnsi="宋体"/>
                <w:color w:val="auto"/>
                <w:sz w:val="20"/>
                <w:szCs w:val="28"/>
                <w:highlight w:val="none"/>
              </w:rPr>
            </w:pPr>
            <w:r>
              <w:rPr>
                <w:rFonts w:ascii="宋体" w:hAnsi="宋体"/>
                <w:color w:val="auto"/>
                <w:sz w:val="20"/>
                <w:szCs w:val="28"/>
                <w:highlight w:val="none"/>
              </w:rPr>
              <w:t>营业执照（正本或副本）复印件或法人证书（正本或副本）复印件</w:t>
            </w:r>
            <w:r>
              <w:rPr>
                <w:rFonts w:hint="eastAsia" w:ascii="宋体" w:hAnsi="宋体"/>
                <w:color w:val="auto"/>
                <w:sz w:val="20"/>
                <w:szCs w:val="28"/>
                <w:highlight w:val="none"/>
              </w:rPr>
              <w:t>【说明：①营业执照或法人证书载明有期限的，应在有效期限内；②在中华人民共和国境内注册，具有独立法人资格。】。</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09" w:type="dxa"/>
            <w:vMerge w:val="restart"/>
            <w:noWrap w:val="0"/>
            <w:vAlign w:val="center"/>
          </w:tcPr>
          <w:p>
            <w:pPr>
              <w:pStyle w:val="161"/>
              <w:numPr>
                <w:ilvl w:val="0"/>
                <w:numId w:val="18"/>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restart"/>
            <w:noWrap w:val="0"/>
            <w:vAlign w:val="center"/>
          </w:tcPr>
          <w:p>
            <w:pPr>
              <w:tabs>
                <w:tab w:val="left" w:pos="851"/>
              </w:tabs>
              <w:spacing w:after="0" w:line="360" w:lineRule="auto"/>
              <w:rPr>
                <w:rFonts w:ascii="宋体" w:hAnsi="宋体"/>
                <w:color w:val="auto"/>
                <w:sz w:val="20"/>
                <w:szCs w:val="28"/>
                <w:highlight w:val="none"/>
              </w:rPr>
            </w:pPr>
            <w:r>
              <w:rPr>
                <w:rFonts w:hint="eastAsia"/>
                <w:color w:val="auto"/>
                <w:sz w:val="20"/>
                <w:highlight w:val="none"/>
              </w:rPr>
              <w:t>书面声明材料</w:t>
            </w:r>
          </w:p>
        </w:tc>
        <w:tc>
          <w:tcPr>
            <w:tcW w:w="1318" w:type="dxa"/>
            <w:noWrap w:val="0"/>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具有良好的商业信誉</w:t>
            </w:r>
          </w:p>
        </w:tc>
        <w:tc>
          <w:tcPr>
            <w:tcW w:w="5253" w:type="dxa"/>
            <w:noWrap w:val="0"/>
            <w:vAlign w:val="center"/>
          </w:tcPr>
          <w:p>
            <w:pPr>
              <w:shd w:val="clear" w:color="auto" w:fill="FFFFFF"/>
              <w:spacing w:line="240" w:lineRule="atLeast"/>
              <w:rPr>
                <w:rFonts w:ascii="宋体" w:hAnsi="宋体"/>
                <w:color w:val="auto"/>
                <w:sz w:val="20"/>
                <w:szCs w:val="20"/>
                <w:highlight w:val="none"/>
              </w:rPr>
            </w:pPr>
            <w:r>
              <w:rPr>
                <w:rFonts w:ascii="宋体" w:hAnsi="宋体"/>
                <w:color w:val="auto"/>
                <w:sz w:val="20"/>
                <w:szCs w:val="20"/>
                <w:highlight w:val="none"/>
              </w:rPr>
              <w:t>供应商具有良好的商业信誉的书面声明材料</w:t>
            </w:r>
            <w:r>
              <w:rPr>
                <w:rFonts w:hint="eastAsia" w:ascii="宋体" w:hAnsi="宋体"/>
                <w:color w:val="auto"/>
                <w:sz w:val="20"/>
                <w:szCs w:val="20"/>
                <w:highlight w:val="none"/>
              </w:rPr>
              <w:t>【说明：按</w:t>
            </w:r>
            <w:r>
              <w:rPr>
                <w:rFonts w:hint="eastAsia"/>
                <w:color w:val="auto"/>
                <w:sz w:val="20"/>
                <w:szCs w:val="20"/>
                <w:highlight w:val="none"/>
                <w:lang w:eastAsia="zh-CN"/>
              </w:rPr>
              <w:t>磋商文件</w:t>
            </w:r>
            <w:r>
              <w:rPr>
                <w:rFonts w:hint="eastAsia" w:ascii="宋体" w:hAnsi="宋体"/>
                <w:color w:val="auto"/>
                <w:sz w:val="20"/>
                <w:szCs w:val="20"/>
                <w:highlight w:val="none"/>
              </w:rPr>
              <w:t>3.</w:t>
            </w:r>
            <w:r>
              <w:rPr>
                <w:rFonts w:hint="eastAsia"/>
                <w:color w:val="auto"/>
                <w:sz w:val="20"/>
                <w:szCs w:val="20"/>
                <w:highlight w:val="none"/>
                <w:lang w:val="en-US" w:eastAsia="zh-CN"/>
              </w:rPr>
              <w:t>1</w:t>
            </w:r>
            <w:r>
              <w:rPr>
                <w:rFonts w:hint="eastAsia" w:ascii="宋体" w:hAnsi="宋体"/>
                <w:color w:val="auto"/>
                <w:sz w:val="20"/>
                <w:szCs w:val="20"/>
                <w:highlight w:val="none"/>
              </w:rPr>
              <w:t>.</w:t>
            </w:r>
            <w:r>
              <w:rPr>
                <w:rFonts w:hint="eastAsia"/>
                <w:color w:val="auto"/>
                <w:sz w:val="20"/>
                <w:szCs w:val="20"/>
                <w:highlight w:val="none"/>
                <w:lang w:val="en-US" w:eastAsia="zh-CN"/>
              </w:rPr>
              <w:t>3</w:t>
            </w:r>
            <w:r>
              <w:rPr>
                <w:rFonts w:hint="eastAsia" w:ascii="宋体" w:hAnsi="宋体"/>
                <w:color w:val="auto"/>
                <w:sz w:val="20"/>
                <w:szCs w:val="20"/>
                <w:highlight w:val="none"/>
              </w:rPr>
              <w:t>声明</w:t>
            </w:r>
            <w:r>
              <w:rPr>
                <w:rFonts w:ascii="宋体" w:hAnsi="宋体"/>
                <w:color w:val="auto"/>
                <w:sz w:val="20"/>
                <w:szCs w:val="20"/>
                <w:highlight w:val="none"/>
              </w:rPr>
              <w:t>的内容提供书面声明材料</w:t>
            </w:r>
            <w:r>
              <w:rPr>
                <w:rFonts w:hint="eastAsia" w:ascii="宋体" w:hAnsi="宋体"/>
                <w:color w:val="auto"/>
                <w:sz w:val="20"/>
                <w:szCs w:val="20"/>
                <w:highlight w:val="none"/>
              </w:rPr>
              <w:t>；②供应商</w:t>
            </w:r>
            <w:r>
              <w:rPr>
                <w:rFonts w:ascii="宋体" w:hAnsi="宋体"/>
                <w:color w:val="auto"/>
                <w:sz w:val="20"/>
                <w:szCs w:val="20"/>
                <w:highlight w:val="none"/>
              </w:rPr>
              <w:t>具有良好的商业信誉</w:t>
            </w:r>
            <w:r>
              <w:rPr>
                <w:rFonts w:hint="eastAsia" w:ascii="宋体" w:hAnsi="宋体"/>
                <w:color w:val="auto"/>
                <w:sz w:val="20"/>
                <w:szCs w:val="20"/>
                <w:highlight w:val="none"/>
              </w:rPr>
              <w:t>。】。</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09" w:type="dxa"/>
            <w:vMerge w:val="continue"/>
            <w:noWrap w:val="0"/>
            <w:vAlign w:val="center"/>
          </w:tcPr>
          <w:p>
            <w:pPr>
              <w:snapToGrid w:val="0"/>
              <w:spacing w:line="240" w:lineRule="atLeast"/>
              <w:jc w:val="center"/>
              <w:rPr>
                <w:rFonts w:ascii="宋体" w:hAnsi="宋体"/>
                <w:color w:val="auto"/>
                <w:sz w:val="20"/>
                <w:szCs w:val="28"/>
                <w:highlight w:val="none"/>
              </w:rPr>
            </w:pPr>
          </w:p>
        </w:tc>
        <w:tc>
          <w:tcPr>
            <w:tcW w:w="1234" w:type="dxa"/>
            <w:vMerge w:val="continue"/>
            <w:noWrap w:val="0"/>
            <w:vAlign w:val="center"/>
          </w:tcPr>
          <w:p>
            <w:pPr>
              <w:snapToGrid w:val="0"/>
              <w:spacing w:line="240" w:lineRule="atLeast"/>
              <w:rPr>
                <w:rFonts w:ascii="宋体" w:hAnsi="宋体"/>
                <w:color w:val="auto"/>
                <w:sz w:val="20"/>
                <w:szCs w:val="28"/>
                <w:highlight w:val="none"/>
              </w:rPr>
            </w:pPr>
          </w:p>
        </w:tc>
        <w:tc>
          <w:tcPr>
            <w:tcW w:w="1318" w:type="dxa"/>
            <w:noWrap w:val="0"/>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参加政府采购活动前三年内，在经营活动中没有重大违法记录</w:t>
            </w:r>
          </w:p>
        </w:tc>
        <w:tc>
          <w:tcPr>
            <w:tcW w:w="5253" w:type="dxa"/>
            <w:noWrap w:val="0"/>
            <w:vAlign w:val="center"/>
          </w:tcPr>
          <w:p>
            <w:pPr>
              <w:snapToGrid w:val="0"/>
              <w:spacing w:line="240" w:lineRule="atLeast"/>
              <w:rPr>
                <w:rFonts w:ascii="宋体" w:hAnsi="宋体"/>
                <w:color w:val="auto"/>
                <w:sz w:val="20"/>
                <w:szCs w:val="20"/>
                <w:highlight w:val="none"/>
              </w:rPr>
            </w:pPr>
            <w:r>
              <w:rPr>
                <w:rFonts w:hint="eastAsia"/>
                <w:color w:val="auto"/>
                <w:sz w:val="20"/>
                <w:szCs w:val="28"/>
                <w:highlight w:val="none"/>
                <w:lang w:val="en-US" w:eastAsia="zh-CN"/>
              </w:rPr>
              <w:t>1.</w:t>
            </w:r>
            <w:r>
              <w:rPr>
                <w:rFonts w:ascii="宋体" w:hAnsi="宋体"/>
                <w:color w:val="auto"/>
                <w:sz w:val="20"/>
                <w:szCs w:val="28"/>
                <w:highlight w:val="none"/>
              </w:rPr>
              <w:t>供应商参加政府采购活动前三年内，在经营活动中没有重大违法记录的书面声</w:t>
            </w:r>
            <w:r>
              <w:rPr>
                <w:rFonts w:ascii="宋体" w:hAnsi="宋体"/>
                <w:color w:val="auto"/>
                <w:sz w:val="20"/>
                <w:szCs w:val="20"/>
                <w:highlight w:val="none"/>
              </w:rPr>
              <w:t>明材料</w:t>
            </w:r>
            <w:r>
              <w:rPr>
                <w:rFonts w:hint="eastAsia" w:ascii="宋体" w:hAnsi="宋体"/>
                <w:color w:val="auto"/>
                <w:sz w:val="20"/>
                <w:szCs w:val="20"/>
                <w:highlight w:val="none"/>
              </w:rPr>
              <w:t>【说明：①按</w:t>
            </w:r>
            <w:r>
              <w:rPr>
                <w:rFonts w:hint="eastAsia"/>
                <w:color w:val="auto"/>
                <w:sz w:val="20"/>
                <w:szCs w:val="20"/>
                <w:highlight w:val="none"/>
                <w:lang w:eastAsia="zh-CN"/>
              </w:rPr>
              <w:t>磋商文件</w:t>
            </w:r>
            <w:r>
              <w:rPr>
                <w:rFonts w:hint="eastAsia" w:ascii="宋体" w:hAnsi="宋体"/>
                <w:color w:val="auto"/>
                <w:sz w:val="20"/>
                <w:szCs w:val="20"/>
                <w:highlight w:val="none"/>
              </w:rPr>
              <w:t>3.</w:t>
            </w:r>
            <w:r>
              <w:rPr>
                <w:rFonts w:hint="eastAsia"/>
                <w:color w:val="auto"/>
                <w:sz w:val="20"/>
                <w:szCs w:val="20"/>
                <w:highlight w:val="none"/>
                <w:lang w:val="en-US" w:eastAsia="zh-CN"/>
              </w:rPr>
              <w:t>1</w:t>
            </w:r>
            <w:r>
              <w:rPr>
                <w:rFonts w:hint="eastAsia" w:ascii="宋体" w:hAnsi="宋体"/>
                <w:color w:val="auto"/>
                <w:sz w:val="20"/>
                <w:szCs w:val="20"/>
                <w:highlight w:val="none"/>
              </w:rPr>
              <w:t>.</w:t>
            </w:r>
            <w:r>
              <w:rPr>
                <w:rFonts w:hint="eastAsia"/>
                <w:color w:val="auto"/>
                <w:sz w:val="20"/>
                <w:szCs w:val="20"/>
                <w:highlight w:val="none"/>
                <w:lang w:val="en-US" w:eastAsia="zh-CN"/>
              </w:rPr>
              <w:t>3</w:t>
            </w:r>
            <w:r>
              <w:rPr>
                <w:rFonts w:hint="eastAsia" w:ascii="宋体" w:hAnsi="宋体"/>
                <w:color w:val="auto"/>
                <w:sz w:val="20"/>
                <w:szCs w:val="20"/>
                <w:highlight w:val="none"/>
              </w:rPr>
              <w:t>声明</w:t>
            </w:r>
            <w:r>
              <w:rPr>
                <w:rFonts w:ascii="宋体" w:hAnsi="宋体"/>
                <w:color w:val="auto"/>
                <w:sz w:val="20"/>
                <w:szCs w:val="20"/>
                <w:highlight w:val="none"/>
              </w:rPr>
              <w:t>的内容提供书面声明材料</w:t>
            </w:r>
            <w:r>
              <w:rPr>
                <w:rFonts w:hint="eastAsia" w:ascii="宋体" w:hAnsi="宋体"/>
                <w:color w:val="auto"/>
                <w:sz w:val="20"/>
                <w:szCs w:val="20"/>
                <w:highlight w:val="none"/>
              </w:rPr>
              <w:t>；②供应商参加政府采购活动前三年内，在经营活动中没有重大违法记录。】。</w:t>
            </w:r>
          </w:p>
          <w:p>
            <w:pPr>
              <w:snapToGrid w:val="0"/>
              <w:spacing w:line="240" w:lineRule="atLeast"/>
              <w:rPr>
                <w:rFonts w:ascii="宋体" w:hAnsi="宋体"/>
                <w:color w:val="auto"/>
                <w:sz w:val="20"/>
                <w:szCs w:val="20"/>
                <w:highlight w:val="none"/>
              </w:rPr>
            </w:pPr>
            <w:r>
              <w:rPr>
                <w:rFonts w:hint="eastAsia"/>
                <w:color w:val="auto"/>
                <w:sz w:val="20"/>
                <w:szCs w:val="20"/>
                <w:highlight w:val="none"/>
                <w:lang w:val="en-US" w:eastAsia="zh-CN"/>
              </w:rPr>
              <w:t>2.</w:t>
            </w:r>
            <w:r>
              <w:rPr>
                <w:rFonts w:hint="eastAsia"/>
                <w:color w:val="auto"/>
                <w:sz w:val="20"/>
                <w:szCs w:val="20"/>
                <w:highlight w:val="none"/>
                <w:lang w:eastAsia="zh-CN"/>
              </w:rPr>
              <w:t>磋商</w:t>
            </w:r>
            <w:r>
              <w:rPr>
                <w:rFonts w:hint="eastAsia" w:ascii="宋体" w:hAnsi="宋体"/>
                <w:color w:val="auto"/>
                <w:sz w:val="20"/>
                <w:szCs w:val="20"/>
                <w:highlight w:val="none"/>
              </w:rPr>
              <w:t>小组根据“信用中国”网站、“中国政府采购网”的查询结果，对供应商在参加政府采购活动前三年内，在经营活动中是否有重大违法记录进行审查【说明：供</w:t>
            </w:r>
            <w:r>
              <w:rPr>
                <w:rFonts w:hint="eastAsia" w:ascii="宋体" w:hAnsi="宋体"/>
                <w:color w:val="auto"/>
                <w:sz w:val="20"/>
                <w:szCs w:val="28"/>
                <w:highlight w:val="none"/>
              </w:rPr>
              <w:t>应商参加政府采购活动前三年内，在经营活动中没有重大违法记录】。</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709" w:type="dxa"/>
            <w:vMerge w:val="continue"/>
            <w:noWrap w:val="0"/>
            <w:vAlign w:val="center"/>
          </w:tcPr>
          <w:p>
            <w:pPr>
              <w:pStyle w:val="161"/>
              <w:numPr>
                <w:ilvl w:val="0"/>
                <w:numId w:val="18"/>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noWrap w:val="0"/>
            <w:vAlign w:val="center"/>
          </w:tcPr>
          <w:p>
            <w:pPr>
              <w:snapToGrid w:val="0"/>
              <w:spacing w:line="240" w:lineRule="atLeast"/>
              <w:rPr>
                <w:rFonts w:ascii="宋体" w:hAnsi="宋体"/>
                <w:color w:val="auto"/>
                <w:sz w:val="20"/>
                <w:szCs w:val="28"/>
                <w:highlight w:val="none"/>
              </w:rPr>
            </w:pPr>
          </w:p>
        </w:tc>
        <w:tc>
          <w:tcPr>
            <w:tcW w:w="1318" w:type="dxa"/>
            <w:noWrap w:val="0"/>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未被列入失信被执行人、重大税收违法案件当事人名单、政府采购严重违法失信行为记录名单</w:t>
            </w:r>
          </w:p>
        </w:tc>
        <w:tc>
          <w:tcPr>
            <w:tcW w:w="5253" w:type="dxa"/>
            <w:noWrap w:val="0"/>
            <w:vAlign w:val="center"/>
          </w:tcPr>
          <w:p>
            <w:pPr>
              <w:spacing w:line="240" w:lineRule="atLeast"/>
              <w:rPr>
                <w:rFonts w:ascii="宋体" w:hAnsi="宋体"/>
                <w:color w:val="auto"/>
                <w:sz w:val="20"/>
                <w:szCs w:val="28"/>
                <w:highlight w:val="none"/>
              </w:rPr>
            </w:pPr>
            <w:r>
              <w:rPr>
                <w:rFonts w:hint="eastAsia"/>
                <w:color w:val="auto"/>
                <w:sz w:val="20"/>
                <w:szCs w:val="28"/>
                <w:highlight w:val="none"/>
                <w:lang w:val="en-US" w:eastAsia="zh-CN"/>
              </w:rPr>
              <w:t>1.</w:t>
            </w:r>
            <w:r>
              <w:rPr>
                <w:rFonts w:ascii="宋体" w:hAnsi="宋体"/>
                <w:color w:val="auto"/>
                <w:sz w:val="20"/>
                <w:szCs w:val="28"/>
                <w:highlight w:val="none"/>
              </w:rPr>
              <w:t>供应商未被列入失信被执行人、重大税收违法案件当事人</w:t>
            </w:r>
            <w:r>
              <w:rPr>
                <w:rFonts w:ascii="宋体" w:hAnsi="宋体"/>
                <w:color w:val="auto"/>
                <w:sz w:val="20"/>
                <w:szCs w:val="20"/>
                <w:highlight w:val="none"/>
              </w:rPr>
              <w:t>名单、政府采购严重违法失信行为记录名单的书面声明材料【说明：</w:t>
            </w:r>
            <w:r>
              <w:rPr>
                <w:rFonts w:hint="eastAsia" w:ascii="宋体" w:hAnsi="宋体"/>
                <w:color w:val="auto"/>
                <w:sz w:val="20"/>
                <w:szCs w:val="20"/>
                <w:highlight w:val="none"/>
              </w:rPr>
              <w:t>①按</w:t>
            </w:r>
            <w:r>
              <w:rPr>
                <w:rFonts w:hint="eastAsia"/>
                <w:color w:val="auto"/>
                <w:sz w:val="20"/>
                <w:szCs w:val="20"/>
                <w:highlight w:val="none"/>
                <w:lang w:eastAsia="zh-CN"/>
              </w:rPr>
              <w:t>磋商文件</w:t>
            </w:r>
            <w:r>
              <w:rPr>
                <w:rFonts w:hint="eastAsia" w:ascii="宋体" w:hAnsi="宋体"/>
                <w:color w:val="auto"/>
                <w:sz w:val="20"/>
                <w:szCs w:val="20"/>
                <w:highlight w:val="none"/>
              </w:rPr>
              <w:t>3.</w:t>
            </w:r>
            <w:r>
              <w:rPr>
                <w:rFonts w:hint="eastAsia"/>
                <w:color w:val="auto"/>
                <w:sz w:val="20"/>
                <w:szCs w:val="20"/>
                <w:highlight w:val="none"/>
                <w:lang w:val="en-US" w:eastAsia="zh-CN"/>
              </w:rPr>
              <w:t>1</w:t>
            </w:r>
            <w:r>
              <w:rPr>
                <w:rFonts w:hint="eastAsia" w:ascii="宋体" w:hAnsi="宋体"/>
                <w:color w:val="auto"/>
                <w:sz w:val="20"/>
                <w:szCs w:val="20"/>
                <w:highlight w:val="none"/>
              </w:rPr>
              <w:t>.</w:t>
            </w:r>
            <w:r>
              <w:rPr>
                <w:rFonts w:hint="eastAsia"/>
                <w:color w:val="auto"/>
                <w:sz w:val="20"/>
                <w:szCs w:val="20"/>
                <w:highlight w:val="none"/>
                <w:lang w:val="en-US" w:eastAsia="zh-CN"/>
              </w:rPr>
              <w:t>3</w:t>
            </w:r>
            <w:r>
              <w:rPr>
                <w:rFonts w:hint="eastAsia" w:ascii="宋体" w:hAnsi="宋体"/>
                <w:color w:val="auto"/>
                <w:sz w:val="20"/>
                <w:szCs w:val="20"/>
                <w:highlight w:val="none"/>
              </w:rPr>
              <w:t>声明</w:t>
            </w:r>
            <w:r>
              <w:rPr>
                <w:rFonts w:ascii="宋体" w:hAnsi="宋体"/>
                <w:color w:val="auto"/>
                <w:sz w:val="20"/>
                <w:szCs w:val="20"/>
                <w:highlight w:val="none"/>
              </w:rPr>
              <w:t>的内容提供书面声明材料</w:t>
            </w:r>
            <w:r>
              <w:rPr>
                <w:rFonts w:hint="eastAsia" w:ascii="宋体" w:hAnsi="宋体"/>
                <w:color w:val="auto"/>
                <w:sz w:val="20"/>
                <w:szCs w:val="20"/>
                <w:highlight w:val="none"/>
              </w:rPr>
              <w:t>；②供应商未被列入失信被执行人、重大税收违法案件当事人名单</w:t>
            </w:r>
            <w:r>
              <w:rPr>
                <w:rFonts w:hint="eastAsia" w:ascii="宋体" w:hAnsi="宋体"/>
                <w:color w:val="auto"/>
                <w:sz w:val="20"/>
                <w:szCs w:val="28"/>
                <w:highlight w:val="none"/>
              </w:rPr>
              <w:t>、政府采购严重违法失信行为记录名单</w:t>
            </w:r>
            <w:r>
              <w:rPr>
                <w:rFonts w:ascii="宋体" w:hAnsi="宋体"/>
                <w:color w:val="auto"/>
                <w:sz w:val="20"/>
                <w:szCs w:val="28"/>
                <w:highlight w:val="none"/>
              </w:rPr>
              <w:t>。】</w:t>
            </w:r>
            <w:r>
              <w:rPr>
                <w:rFonts w:hint="eastAsia" w:ascii="宋体" w:hAnsi="宋体"/>
                <w:color w:val="auto"/>
                <w:sz w:val="20"/>
                <w:szCs w:val="28"/>
                <w:highlight w:val="none"/>
              </w:rPr>
              <w:t>。</w:t>
            </w:r>
          </w:p>
          <w:p>
            <w:pPr>
              <w:spacing w:line="240" w:lineRule="atLeast"/>
              <w:rPr>
                <w:rFonts w:ascii="宋体" w:hAnsi="宋体"/>
                <w:color w:val="auto"/>
                <w:sz w:val="20"/>
                <w:szCs w:val="28"/>
                <w:highlight w:val="none"/>
              </w:rPr>
            </w:pPr>
            <w:r>
              <w:rPr>
                <w:rFonts w:hint="eastAsia"/>
                <w:color w:val="auto"/>
                <w:sz w:val="20"/>
                <w:szCs w:val="20"/>
                <w:highlight w:val="none"/>
                <w:lang w:val="en-US" w:eastAsia="zh-CN"/>
              </w:rPr>
              <w:t>2.</w:t>
            </w:r>
            <w:r>
              <w:rPr>
                <w:rFonts w:hint="eastAsia"/>
                <w:color w:val="auto"/>
                <w:sz w:val="20"/>
                <w:szCs w:val="20"/>
                <w:highlight w:val="none"/>
                <w:lang w:eastAsia="zh-CN"/>
              </w:rPr>
              <w:t>磋商</w:t>
            </w:r>
            <w:r>
              <w:rPr>
                <w:rFonts w:hint="eastAsia" w:ascii="宋体" w:hAnsi="宋体"/>
                <w:color w:val="auto"/>
                <w:sz w:val="20"/>
                <w:szCs w:val="20"/>
                <w:highlight w:val="none"/>
              </w:rPr>
              <w:t>小组</w:t>
            </w:r>
            <w:r>
              <w:rPr>
                <w:rFonts w:hint="eastAsia" w:ascii="宋体" w:hAnsi="宋体"/>
                <w:color w:val="auto"/>
                <w:sz w:val="20"/>
                <w:szCs w:val="28"/>
                <w:highlight w:val="none"/>
              </w:rPr>
              <w:t>根据“信用中国”网站、“中国政府采购网”的查询结果，对供应商在参加政府采购活动前三年内，在经营活动中是否被列入失信被执行人、重大税收违法案件当事人名单、政府采购严重违法失信行为记录名单进行审查【说明：供应商未被列入失信被执行人、重大税收违法案件当事人名单、政府采购严重违法失信行为记录名单。</w:t>
            </w:r>
            <w:r>
              <w:rPr>
                <w:rFonts w:ascii="宋体" w:hAnsi="宋体"/>
                <w:color w:val="auto"/>
                <w:sz w:val="20"/>
                <w:szCs w:val="28"/>
                <w:highlight w:val="none"/>
              </w:rPr>
              <w:t>】</w:t>
            </w:r>
            <w:r>
              <w:rPr>
                <w:rFonts w:hint="eastAsia" w:ascii="宋体" w:hAnsi="宋体"/>
                <w:color w:val="auto"/>
                <w:sz w:val="20"/>
                <w:szCs w:val="28"/>
                <w:highlight w:val="none"/>
              </w:rPr>
              <w:t>。</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noWrap w:val="0"/>
            <w:vAlign w:val="center"/>
          </w:tcPr>
          <w:p>
            <w:pPr>
              <w:pStyle w:val="161"/>
              <w:numPr>
                <w:ilvl w:val="0"/>
                <w:numId w:val="18"/>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noWrap w:val="0"/>
            <w:vAlign w:val="center"/>
          </w:tcPr>
          <w:p>
            <w:pPr>
              <w:spacing w:line="240" w:lineRule="atLeast"/>
              <w:rPr>
                <w:rFonts w:ascii="宋体" w:hAnsi="宋体"/>
                <w:color w:val="auto"/>
                <w:sz w:val="20"/>
                <w:szCs w:val="28"/>
                <w:highlight w:val="none"/>
              </w:rPr>
            </w:pPr>
          </w:p>
        </w:tc>
        <w:tc>
          <w:tcPr>
            <w:tcW w:w="1318" w:type="dxa"/>
            <w:noWrap w:val="0"/>
            <w:vAlign w:val="center"/>
          </w:tcPr>
          <w:p>
            <w:pPr>
              <w:spacing w:line="240" w:lineRule="atLeast"/>
              <w:jc w:val="center"/>
              <w:rPr>
                <w:rFonts w:ascii="宋体" w:hAnsi="宋体"/>
                <w:color w:val="auto"/>
                <w:sz w:val="20"/>
                <w:szCs w:val="28"/>
                <w:highlight w:val="none"/>
              </w:rPr>
            </w:pPr>
            <w:r>
              <w:rPr>
                <w:rFonts w:hint="eastAsia" w:ascii="宋体" w:hAnsi="宋体"/>
                <w:color w:val="auto"/>
                <w:sz w:val="20"/>
                <w:szCs w:val="28"/>
                <w:highlight w:val="none"/>
              </w:rPr>
              <w:t>未处于被行政部门禁止参与政府采购活动的期限内</w:t>
            </w:r>
          </w:p>
        </w:tc>
        <w:tc>
          <w:tcPr>
            <w:tcW w:w="5253" w:type="dxa"/>
            <w:noWrap w:val="0"/>
            <w:vAlign w:val="top"/>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供应商未处于被行政部门禁止参与政府采购活动的期限内</w:t>
            </w:r>
            <w:r>
              <w:rPr>
                <w:rFonts w:ascii="宋体" w:hAnsi="宋体"/>
                <w:color w:val="auto"/>
                <w:sz w:val="20"/>
                <w:szCs w:val="28"/>
                <w:highlight w:val="none"/>
              </w:rPr>
              <w:t>的</w:t>
            </w:r>
            <w:r>
              <w:rPr>
                <w:rFonts w:ascii="宋体" w:hAnsi="宋体"/>
                <w:color w:val="auto"/>
                <w:sz w:val="20"/>
                <w:szCs w:val="20"/>
                <w:highlight w:val="none"/>
              </w:rPr>
              <w:t>书面声明材料</w:t>
            </w:r>
            <w:r>
              <w:rPr>
                <w:rFonts w:hint="eastAsia" w:ascii="宋体" w:hAnsi="宋体"/>
                <w:color w:val="auto"/>
                <w:sz w:val="20"/>
                <w:szCs w:val="20"/>
                <w:highlight w:val="none"/>
              </w:rPr>
              <w:t>【说明：①按</w:t>
            </w:r>
            <w:r>
              <w:rPr>
                <w:rFonts w:hint="eastAsia"/>
                <w:color w:val="auto"/>
                <w:sz w:val="20"/>
                <w:szCs w:val="20"/>
                <w:highlight w:val="none"/>
                <w:lang w:eastAsia="zh-CN"/>
              </w:rPr>
              <w:t>磋商文件</w:t>
            </w:r>
            <w:r>
              <w:rPr>
                <w:rFonts w:hint="eastAsia" w:ascii="宋体" w:hAnsi="宋体"/>
                <w:color w:val="auto"/>
                <w:sz w:val="20"/>
                <w:szCs w:val="20"/>
                <w:highlight w:val="none"/>
              </w:rPr>
              <w:t>3.</w:t>
            </w:r>
            <w:r>
              <w:rPr>
                <w:rFonts w:hint="eastAsia"/>
                <w:color w:val="auto"/>
                <w:sz w:val="20"/>
                <w:szCs w:val="20"/>
                <w:highlight w:val="none"/>
                <w:lang w:val="en-US" w:eastAsia="zh-CN"/>
              </w:rPr>
              <w:t>1</w:t>
            </w:r>
            <w:r>
              <w:rPr>
                <w:rFonts w:hint="eastAsia" w:ascii="宋体" w:hAnsi="宋体"/>
                <w:color w:val="auto"/>
                <w:sz w:val="20"/>
                <w:szCs w:val="20"/>
                <w:highlight w:val="none"/>
              </w:rPr>
              <w:t>.</w:t>
            </w:r>
            <w:r>
              <w:rPr>
                <w:rFonts w:hint="eastAsia"/>
                <w:color w:val="auto"/>
                <w:sz w:val="20"/>
                <w:szCs w:val="20"/>
                <w:highlight w:val="none"/>
                <w:lang w:val="en-US" w:eastAsia="zh-CN"/>
              </w:rPr>
              <w:t>3</w:t>
            </w:r>
            <w:r>
              <w:rPr>
                <w:rFonts w:hint="eastAsia" w:ascii="宋体" w:hAnsi="宋体"/>
                <w:color w:val="auto"/>
                <w:sz w:val="20"/>
                <w:szCs w:val="20"/>
                <w:highlight w:val="none"/>
              </w:rPr>
              <w:t>声明</w:t>
            </w:r>
            <w:r>
              <w:rPr>
                <w:rFonts w:ascii="宋体" w:hAnsi="宋体"/>
                <w:color w:val="auto"/>
                <w:sz w:val="20"/>
                <w:szCs w:val="20"/>
                <w:highlight w:val="none"/>
              </w:rPr>
              <w:t>的内容提供书面声明材料</w:t>
            </w:r>
            <w:r>
              <w:rPr>
                <w:rFonts w:hint="eastAsia" w:ascii="宋体" w:hAnsi="宋体"/>
                <w:color w:val="auto"/>
                <w:sz w:val="20"/>
                <w:szCs w:val="20"/>
                <w:highlight w:val="none"/>
              </w:rPr>
              <w:t>；②供应商未处于被行政部门禁止参与政府采购活动的期限内。】</w:t>
            </w:r>
            <w:r>
              <w:rPr>
                <w:rFonts w:hint="eastAsia" w:ascii="宋体" w:hAnsi="宋体"/>
                <w:color w:val="auto"/>
                <w:sz w:val="20"/>
                <w:szCs w:val="28"/>
                <w:highlight w:val="none"/>
              </w:rPr>
              <w:t>。</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noWrap w:val="0"/>
            <w:vAlign w:val="center"/>
          </w:tcPr>
          <w:p>
            <w:pPr>
              <w:pStyle w:val="161"/>
              <w:numPr>
                <w:ilvl w:val="0"/>
                <w:numId w:val="18"/>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noWrap w:val="0"/>
            <w:vAlign w:val="center"/>
          </w:tcPr>
          <w:p>
            <w:pPr>
              <w:spacing w:line="240" w:lineRule="atLeast"/>
              <w:jc w:val="center"/>
              <w:rPr>
                <w:rFonts w:ascii="宋体" w:hAnsi="宋体"/>
                <w:color w:val="auto"/>
                <w:sz w:val="20"/>
                <w:szCs w:val="28"/>
                <w:highlight w:val="none"/>
              </w:rPr>
            </w:pPr>
          </w:p>
        </w:tc>
        <w:tc>
          <w:tcPr>
            <w:tcW w:w="1318" w:type="dxa"/>
            <w:noWrap w:val="0"/>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行贿犯罪记录</w:t>
            </w:r>
          </w:p>
        </w:tc>
        <w:tc>
          <w:tcPr>
            <w:tcW w:w="5253" w:type="dxa"/>
            <w:noWrap w:val="0"/>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在行贿犯罪信息查询期限内，供应商及其现任法定代表人、主要负责人没有行贿犯罪记录的书面声明材料【注：</w:t>
            </w:r>
            <w:r>
              <w:rPr>
                <w:rFonts w:hint="eastAsia" w:ascii="宋体" w:hAnsi="宋体"/>
                <w:color w:val="auto"/>
                <w:sz w:val="20"/>
                <w:szCs w:val="20"/>
                <w:highlight w:val="none"/>
              </w:rPr>
              <w:t>①按</w:t>
            </w:r>
            <w:r>
              <w:rPr>
                <w:rFonts w:hint="eastAsia"/>
                <w:color w:val="auto"/>
                <w:sz w:val="20"/>
                <w:szCs w:val="20"/>
                <w:highlight w:val="none"/>
                <w:lang w:eastAsia="zh-CN"/>
              </w:rPr>
              <w:t>磋商文件</w:t>
            </w:r>
            <w:r>
              <w:rPr>
                <w:rFonts w:hint="eastAsia" w:ascii="宋体" w:hAnsi="宋体"/>
                <w:color w:val="auto"/>
                <w:sz w:val="20"/>
                <w:szCs w:val="20"/>
                <w:highlight w:val="none"/>
              </w:rPr>
              <w:t>3.</w:t>
            </w:r>
            <w:r>
              <w:rPr>
                <w:rFonts w:hint="eastAsia"/>
                <w:color w:val="auto"/>
                <w:sz w:val="20"/>
                <w:szCs w:val="20"/>
                <w:highlight w:val="none"/>
                <w:lang w:val="en-US" w:eastAsia="zh-CN"/>
              </w:rPr>
              <w:t>1</w:t>
            </w:r>
            <w:r>
              <w:rPr>
                <w:rFonts w:hint="eastAsia" w:ascii="宋体" w:hAnsi="宋体"/>
                <w:color w:val="auto"/>
                <w:sz w:val="20"/>
                <w:szCs w:val="20"/>
                <w:highlight w:val="none"/>
              </w:rPr>
              <w:t>.</w:t>
            </w:r>
            <w:r>
              <w:rPr>
                <w:rFonts w:hint="eastAsia"/>
                <w:color w:val="auto"/>
                <w:sz w:val="20"/>
                <w:szCs w:val="20"/>
                <w:highlight w:val="none"/>
                <w:lang w:val="en-US" w:eastAsia="zh-CN"/>
              </w:rPr>
              <w:t>3</w:t>
            </w:r>
            <w:r>
              <w:rPr>
                <w:rFonts w:hint="eastAsia" w:ascii="宋体" w:hAnsi="宋体"/>
                <w:color w:val="auto"/>
                <w:sz w:val="20"/>
                <w:szCs w:val="20"/>
                <w:highlight w:val="none"/>
              </w:rPr>
              <w:t>声明</w:t>
            </w:r>
            <w:r>
              <w:rPr>
                <w:rFonts w:ascii="宋体" w:hAnsi="宋体"/>
                <w:color w:val="auto"/>
                <w:sz w:val="20"/>
                <w:szCs w:val="20"/>
                <w:highlight w:val="none"/>
              </w:rPr>
              <w:t>的内容提供书面声明材料</w:t>
            </w:r>
            <w:r>
              <w:rPr>
                <w:rFonts w:hint="eastAsia" w:ascii="宋体" w:hAnsi="宋体"/>
                <w:color w:val="auto"/>
                <w:sz w:val="20"/>
                <w:szCs w:val="20"/>
                <w:highlight w:val="none"/>
              </w:rPr>
              <w:t>，</w:t>
            </w:r>
            <w:r>
              <w:rPr>
                <w:rFonts w:hint="eastAsia"/>
                <w:color w:val="auto"/>
                <w:sz w:val="20"/>
                <w:szCs w:val="20"/>
                <w:highlight w:val="none"/>
                <w:lang w:eastAsia="zh-CN"/>
              </w:rPr>
              <w:t>响应</w:t>
            </w:r>
            <w:r>
              <w:rPr>
                <w:rFonts w:hint="eastAsia" w:ascii="宋体" w:hAnsi="宋体"/>
                <w:color w:val="auto"/>
                <w:sz w:val="20"/>
                <w:szCs w:val="20"/>
                <w:highlight w:val="none"/>
              </w:rPr>
              <w:t>文件中不需提供中国裁判文书网（</w:t>
            </w:r>
            <w:r>
              <w:rPr>
                <w:rFonts w:ascii="宋体" w:hAnsi="宋体"/>
                <w:color w:val="auto"/>
                <w:sz w:val="20"/>
                <w:szCs w:val="20"/>
                <w:highlight w:val="none"/>
              </w:rPr>
              <w:t>http://wenshu.court.gov.cn</w:t>
            </w:r>
            <w:r>
              <w:rPr>
                <w:rFonts w:hint="eastAsia" w:ascii="宋体" w:hAnsi="宋体"/>
                <w:color w:val="auto"/>
                <w:sz w:val="20"/>
                <w:szCs w:val="20"/>
                <w:highlight w:val="none"/>
              </w:rPr>
              <w:t>）</w:t>
            </w:r>
            <w:r>
              <w:rPr>
                <w:rFonts w:hint="eastAsia" w:ascii="宋体" w:hAnsi="宋体"/>
                <w:color w:val="auto"/>
                <w:sz w:val="20"/>
                <w:szCs w:val="28"/>
                <w:highlight w:val="none"/>
              </w:rPr>
              <w:t>查询结果的证明材料；②在行贿犯罪信息查询期限内，供应商及其现任法定代表人、主要负责人没有行贿犯罪记录。】。</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noWrap w:val="0"/>
            <w:vAlign w:val="center"/>
          </w:tcPr>
          <w:p>
            <w:pPr>
              <w:pStyle w:val="161"/>
              <w:numPr>
                <w:ilvl w:val="0"/>
                <w:numId w:val="18"/>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noWrap w:val="0"/>
            <w:vAlign w:val="center"/>
          </w:tcPr>
          <w:p>
            <w:pPr>
              <w:spacing w:line="240" w:lineRule="atLeast"/>
              <w:rPr>
                <w:rFonts w:ascii="宋体" w:hAnsi="宋体"/>
                <w:color w:val="auto"/>
                <w:sz w:val="20"/>
                <w:szCs w:val="28"/>
                <w:highlight w:val="none"/>
              </w:rPr>
            </w:pPr>
          </w:p>
        </w:tc>
        <w:tc>
          <w:tcPr>
            <w:tcW w:w="1318" w:type="dxa"/>
            <w:noWrap w:val="0"/>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单位负责人为同一人或者存在直接控股、管理关系的不同供应商，不得参加同一项目的</w:t>
            </w:r>
            <w:r>
              <w:rPr>
                <w:rFonts w:hint="eastAsia"/>
                <w:color w:val="auto"/>
                <w:sz w:val="20"/>
                <w:szCs w:val="28"/>
                <w:highlight w:val="none"/>
                <w:lang w:eastAsia="zh-CN"/>
              </w:rPr>
              <w:t>磋商</w:t>
            </w:r>
          </w:p>
        </w:tc>
        <w:tc>
          <w:tcPr>
            <w:tcW w:w="5253" w:type="dxa"/>
            <w:noWrap w:val="0"/>
            <w:vAlign w:val="center"/>
          </w:tcPr>
          <w:p>
            <w:pPr>
              <w:spacing w:line="240" w:lineRule="atLeast"/>
              <w:rPr>
                <w:rFonts w:ascii="宋体" w:hAnsi="宋体"/>
                <w:color w:val="auto"/>
                <w:sz w:val="20"/>
                <w:szCs w:val="20"/>
                <w:highlight w:val="none"/>
              </w:rPr>
            </w:pPr>
            <w:r>
              <w:rPr>
                <w:rFonts w:hint="eastAsia" w:ascii="宋体" w:hAnsi="宋体"/>
                <w:color w:val="auto"/>
                <w:sz w:val="20"/>
                <w:szCs w:val="20"/>
                <w:highlight w:val="none"/>
              </w:rPr>
              <w:t>负责人为同一人或者存在直接控股、管理关系的相关供应商未同时参加本项目书面声明材料【说明：①按</w:t>
            </w:r>
            <w:r>
              <w:rPr>
                <w:rFonts w:hint="eastAsia"/>
                <w:color w:val="auto"/>
                <w:sz w:val="20"/>
                <w:szCs w:val="20"/>
                <w:highlight w:val="none"/>
                <w:lang w:eastAsia="zh-CN"/>
              </w:rPr>
              <w:t>磋商文件</w:t>
            </w:r>
            <w:r>
              <w:rPr>
                <w:rFonts w:hint="eastAsia" w:ascii="宋体" w:hAnsi="宋体"/>
                <w:color w:val="auto"/>
                <w:sz w:val="20"/>
                <w:szCs w:val="20"/>
                <w:highlight w:val="none"/>
              </w:rPr>
              <w:t>3.</w:t>
            </w:r>
            <w:r>
              <w:rPr>
                <w:rFonts w:hint="eastAsia"/>
                <w:color w:val="auto"/>
                <w:sz w:val="20"/>
                <w:szCs w:val="20"/>
                <w:highlight w:val="none"/>
                <w:lang w:val="en-US" w:eastAsia="zh-CN"/>
              </w:rPr>
              <w:t>1</w:t>
            </w:r>
            <w:r>
              <w:rPr>
                <w:rFonts w:hint="eastAsia" w:ascii="宋体" w:hAnsi="宋体"/>
                <w:color w:val="auto"/>
                <w:sz w:val="20"/>
                <w:szCs w:val="20"/>
                <w:highlight w:val="none"/>
              </w:rPr>
              <w:t>.</w:t>
            </w:r>
            <w:r>
              <w:rPr>
                <w:rFonts w:hint="eastAsia"/>
                <w:color w:val="auto"/>
                <w:sz w:val="20"/>
                <w:szCs w:val="20"/>
                <w:highlight w:val="none"/>
                <w:lang w:val="en-US" w:eastAsia="zh-CN"/>
              </w:rPr>
              <w:t>3</w:t>
            </w:r>
            <w:r>
              <w:rPr>
                <w:rFonts w:hint="eastAsia" w:ascii="宋体" w:hAnsi="宋体"/>
                <w:color w:val="auto"/>
                <w:sz w:val="20"/>
                <w:szCs w:val="20"/>
                <w:highlight w:val="none"/>
              </w:rPr>
              <w:t>声明</w:t>
            </w:r>
            <w:r>
              <w:rPr>
                <w:rFonts w:ascii="宋体" w:hAnsi="宋体"/>
                <w:color w:val="auto"/>
                <w:sz w:val="20"/>
                <w:szCs w:val="20"/>
                <w:highlight w:val="none"/>
              </w:rPr>
              <w:t>的内容提供书面声明材料</w:t>
            </w:r>
            <w:r>
              <w:rPr>
                <w:rFonts w:hint="eastAsia" w:ascii="宋体" w:hAnsi="宋体"/>
                <w:color w:val="auto"/>
                <w:sz w:val="20"/>
                <w:szCs w:val="20"/>
                <w:highlight w:val="none"/>
              </w:rPr>
              <w:t>；②参加</w:t>
            </w:r>
            <w:r>
              <w:rPr>
                <w:rFonts w:hint="eastAsia"/>
                <w:color w:val="auto"/>
                <w:sz w:val="20"/>
                <w:szCs w:val="20"/>
                <w:highlight w:val="none"/>
                <w:lang w:eastAsia="zh-CN"/>
              </w:rPr>
              <w:t>磋商</w:t>
            </w:r>
            <w:r>
              <w:rPr>
                <w:rFonts w:hint="eastAsia" w:ascii="宋体" w:hAnsi="宋体"/>
                <w:color w:val="auto"/>
                <w:sz w:val="20"/>
                <w:szCs w:val="20"/>
                <w:highlight w:val="none"/>
              </w:rPr>
              <w:t>的供应商中无与供应商的负责人为同一人或者存在直接控股、管理关系的供应商</w:t>
            </w:r>
            <w:r>
              <w:rPr>
                <w:rFonts w:hint="eastAsia" w:ascii="宋体" w:hAnsi="宋体"/>
                <w:color w:val="auto"/>
                <w:sz w:val="20"/>
                <w:szCs w:val="28"/>
                <w:highlight w:val="none"/>
              </w:rPr>
              <w:t>。</w:t>
            </w:r>
            <w:r>
              <w:rPr>
                <w:rFonts w:hint="eastAsia" w:ascii="宋体" w:hAnsi="宋体"/>
                <w:color w:val="auto"/>
                <w:sz w:val="20"/>
                <w:szCs w:val="20"/>
                <w:highlight w:val="none"/>
              </w:rPr>
              <w:t>】。</w:t>
            </w:r>
          </w:p>
          <w:p>
            <w:pPr>
              <w:spacing w:line="240" w:lineRule="atLeast"/>
              <w:rPr>
                <w:rFonts w:ascii="宋体" w:hAnsi="宋体"/>
                <w:color w:val="auto"/>
                <w:sz w:val="20"/>
                <w:szCs w:val="28"/>
                <w:highlight w:val="none"/>
              </w:rPr>
            </w:pP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restart"/>
            <w:noWrap w:val="0"/>
            <w:vAlign w:val="center"/>
          </w:tcPr>
          <w:p>
            <w:pPr>
              <w:pStyle w:val="161"/>
              <w:numPr>
                <w:ilvl w:val="0"/>
                <w:numId w:val="18"/>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restart"/>
            <w:noWrap w:val="0"/>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其他</w:t>
            </w:r>
          </w:p>
        </w:tc>
        <w:tc>
          <w:tcPr>
            <w:tcW w:w="1318" w:type="dxa"/>
            <w:noWrap w:val="0"/>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具有履行合同所必须的设备和专业技术能力</w:t>
            </w:r>
          </w:p>
        </w:tc>
        <w:tc>
          <w:tcPr>
            <w:tcW w:w="5253" w:type="dxa"/>
            <w:noWrap w:val="0"/>
            <w:vAlign w:val="center"/>
          </w:tcPr>
          <w:p>
            <w:pPr>
              <w:snapToGrid w:val="0"/>
              <w:spacing w:line="240" w:lineRule="atLeast"/>
              <w:rPr>
                <w:rFonts w:ascii="宋体" w:hAnsi="宋体"/>
                <w:color w:val="auto"/>
                <w:sz w:val="20"/>
                <w:szCs w:val="20"/>
                <w:highlight w:val="none"/>
              </w:rPr>
            </w:pPr>
            <w:r>
              <w:rPr>
                <w:rFonts w:hint="eastAsia" w:ascii="宋体" w:hAnsi="宋体"/>
                <w:color w:val="auto"/>
                <w:sz w:val="20"/>
                <w:szCs w:val="20"/>
                <w:highlight w:val="none"/>
              </w:rPr>
              <w:t>采购人对供应商履行合同所必须的设备和专业技术能力无特殊要求，供应商具有有效的营业执照或法人证书即可，可不提供其他证明材料。</w:t>
            </w:r>
            <w:r>
              <w:rPr>
                <w:rFonts w:hint="eastAsia"/>
                <w:color w:val="auto"/>
                <w:sz w:val="20"/>
                <w:highlight w:val="none"/>
              </w:rPr>
              <w:t>【说明：无须提供证明材料，上传空白页即可，不对本项上传的材料作资格审查】。</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continue"/>
            <w:noWrap w:val="0"/>
            <w:vAlign w:val="center"/>
          </w:tcPr>
          <w:p>
            <w:pPr>
              <w:pStyle w:val="161"/>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noWrap w:val="0"/>
            <w:vAlign w:val="center"/>
          </w:tcPr>
          <w:p>
            <w:pPr>
              <w:snapToGrid w:val="0"/>
              <w:spacing w:line="240" w:lineRule="atLeast"/>
              <w:rPr>
                <w:rFonts w:ascii="宋体" w:hAnsi="宋体"/>
                <w:color w:val="auto"/>
                <w:sz w:val="20"/>
                <w:szCs w:val="28"/>
                <w:highlight w:val="none"/>
              </w:rPr>
            </w:pPr>
          </w:p>
        </w:tc>
        <w:tc>
          <w:tcPr>
            <w:tcW w:w="1318" w:type="dxa"/>
            <w:noWrap w:val="0"/>
            <w:vAlign w:val="center"/>
          </w:tcPr>
          <w:p>
            <w:pPr>
              <w:snapToGrid w:val="0"/>
              <w:spacing w:line="240" w:lineRule="atLeast"/>
              <w:rPr>
                <w:rFonts w:ascii="宋体" w:hAnsi="宋体"/>
                <w:color w:val="auto"/>
                <w:sz w:val="20"/>
                <w:szCs w:val="28"/>
                <w:highlight w:val="none"/>
              </w:rPr>
            </w:pPr>
            <w:r>
              <w:rPr>
                <w:rFonts w:hint="eastAsia"/>
                <w:color w:val="auto"/>
                <w:sz w:val="20"/>
                <w:szCs w:val="28"/>
                <w:highlight w:val="none"/>
                <w:lang w:val="en-US" w:eastAsia="zh-CN"/>
              </w:rPr>
              <w:t>非</w:t>
            </w:r>
            <w:r>
              <w:rPr>
                <w:rFonts w:hint="eastAsia" w:ascii="宋体" w:hAnsi="宋体"/>
                <w:color w:val="auto"/>
                <w:sz w:val="20"/>
                <w:szCs w:val="28"/>
                <w:highlight w:val="none"/>
              </w:rPr>
              <w:t>联合体</w:t>
            </w:r>
          </w:p>
        </w:tc>
        <w:tc>
          <w:tcPr>
            <w:tcW w:w="5253" w:type="dxa"/>
            <w:noWrap w:val="0"/>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非联合体形式参加</w:t>
            </w:r>
            <w:r>
              <w:rPr>
                <w:rFonts w:hint="eastAsia" w:ascii="宋体" w:hAnsi="宋体"/>
                <w:color w:val="auto"/>
                <w:sz w:val="20"/>
                <w:szCs w:val="28"/>
                <w:highlight w:val="none"/>
                <w:lang w:eastAsia="zh-CN"/>
              </w:rPr>
              <w:t>磋商</w:t>
            </w:r>
            <w:r>
              <w:rPr>
                <w:rFonts w:hint="eastAsia" w:ascii="宋体" w:hAnsi="宋体"/>
                <w:color w:val="auto"/>
                <w:sz w:val="20"/>
                <w:szCs w:val="28"/>
                <w:highlight w:val="none"/>
              </w:rPr>
              <w:t>。</w:t>
            </w:r>
            <w:r>
              <w:rPr>
                <w:rFonts w:hint="eastAsia"/>
                <w:color w:val="auto"/>
                <w:sz w:val="20"/>
                <w:highlight w:val="none"/>
              </w:rPr>
              <w:t>【说明：无须提供证明材料，上传空白页即可，不对本项上传的材料作资格审查】。</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continue"/>
            <w:noWrap w:val="0"/>
            <w:vAlign w:val="center"/>
          </w:tcPr>
          <w:p>
            <w:pPr>
              <w:pStyle w:val="161"/>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noWrap w:val="0"/>
            <w:vAlign w:val="center"/>
          </w:tcPr>
          <w:p>
            <w:pPr>
              <w:snapToGrid w:val="0"/>
              <w:spacing w:line="240" w:lineRule="atLeast"/>
              <w:rPr>
                <w:rFonts w:ascii="宋体" w:hAnsi="宋体"/>
                <w:color w:val="auto"/>
                <w:sz w:val="20"/>
                <w:szCs w:val="28"/>
                <w:highlight w:val="none"/>
              </w:rPr>
            </w:pPr>
          </w:p>
        </w:tc>
        <w:tc>
          <w:tcPr>
            <w:tcW w:w="1318" w:type="dxa"/>
            <w:noWrap w:val="0"/>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lang w:eastAsia="zh-CN"/>
              </w:rPr>
              <w:t>资质要求</w:t>
            </w:r>
          </w:p>
        </w:tc>
        <w:tc>
          <w:tcPr>
            <w:tcW w:w="5253" w:type="dxa"/>
            <w:noWrap w:val="0"/>
            <w:vAlign w:val="center"/>
          </w:tcPr>
          <w:p>
            <w:pPr>
              <w:tabs>
                <w:tab w:val="left" w:pos="851"/>
              </w:tabs>
              <w:spacing w:line="360" w:lineRule="auto"/>
              <w:rPr>
                <w:rFonts w:ascii="宋体" w:hAnsi="宋体"/>
                <w:color w:val="auto"/>
                <w:sz w:val="20"/>
                <w:szCs w:val="20"/>
                <w:highlight w:val="none"/>
              </w:rPr>
            </w:pPr>
            <w:r>
              <w:rPr>
                <w:rFonts w:hint="eastAsia"/>
                <w:color w:val="auto"/>
                <w:sz w:val="20"/>
                <w:highlight w:val="none"/>
              </w:rPr>
              <w:t>无【说明：无须提供证明材料，上传空白页即可，不对本项上传的材料作资格审查】</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09" w:type="dxa"/>
            <w:vMerge w:val="continue"/>
            <w:noWrap w:val="0"/>
            <w:vAlign w:val="center"/>
          </w:tcPr>
          <w:p>
            <w:pPr>
              <w:pStyle w:val="161"/>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noWrap w:val="0"/>
            <w:vAlign w:val="center"/>
          </w:tcPr>
          <w:p>
            <w:pPr>
              <w:snapToGrid w:val="0"/>
              <w:spacing w:line="240" w:lineRule="atLeast"/>
              <w:rPr>
                <w:rFonts w:ascii="宋体" w:hAnsi="宋体"/>
                <w:color w:val="auto"/>
                <w:sz w:val="20"/>
                <w:szCs w:val="28"/>
                <w:highlight w:val="none"/>
              </w:rPr>
            </w:pPr>
          </w:p>
        </w:tc>
        <w:tc>
          <w:tcPr>
            <w:tcW w:w="1318" w:type="dxa"/>
            <w:noWrap w:val="0"/>
            <w:vAlign w:val="center"/>
          </w:tcPr>
          <w:p>
            <w:pPr>
              <w:snapToGrid w:val="0"/>
              <w:spacing w:line="240" w:lineRule="atLeast"/>
              <w:rPr>
                <w:rFonts w:hint="eastAsia" w:ascii="宋体" w:hAnsi="宋体"/>
                <w:color w:val="auto"/>
                <w:sz w:val="20"/>
                <w:szCs w:val="28"/>
                <w:highlight w:val="none"/>
                <w:lang w:eastAsia="zh-CN"/>
              </w:rPr>
            </w:pPr>
            <w:r>
              <w:rPr>
                <w:rFonts w:hint="eastAsia" w:ascii="宋体" w:hAnsi="宋体"/>
                <w:color w:val="auto"/>
                <w:sz w:val="20"/>
                <w:szCs w:val="28"/>
                <w:highlight w:val="none"/>
                <w:lang w:eastAsia="zh-CN"/>
              </w:rPr>
              <w:t>磋商保证金</w:t>
            </w:r>
          </w:p>
        </w:tc>
        <w:tc>
          <w:tcPr>
            <w:tcW w:w="5253" w:type="dxa"/>
            <w:noWrap w:val="0"/>
            <w:vAlign w:val="center"/>
          </w:tcPr>
          <w:p>
            <w:pPr>
              <w:tabs>
                <w:tab w:val="left" w:pos="851"/>
              </w:tabs>
              <w:spacing w:line="360" w:lineRule="auto"/>
              <w:rPr>
                <w:rFonts w:hint="eastAsia" w:ascii="宋体" w:hAnsi="宋体" w:cs="宋体"/>
                <w:color w:val="auto"/>
                <w:kern w:val="2"/>
                <w:sz w:val="20"/>
                <w:szCs w:val="22"/>
                <w:highlight w:val="none"/>
                <w:lang w:val="en-US" w:eastAsia="zh-CN" w:bidi="ar-SA"/>
              </w:rPr>
            </w:pPr>
            <w:r>
              <w:rPr>
                <w:rFonts w:hint="eastAsia"/>
                <w:color w:val="auto"/>
                <w:sz w:val="20"/>
                <w:highlight w:val="none"/>
              </w:rPr>
              <w:t>无【说明：无须提供证明材料，上传空白页即可，不对本项上传的材料作资格审查】</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09" w:type="dxa"/>
            <w:vMerge w:val="continue"/>
            <w:noWrap w:val="0"/>
            <w:vAlign w:val="center"/>
          </w:tcPr>
          <w:p>
            <w:pPr>
              <w:pStyle w:val="161"/>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noWrap w:val="0"/>
            <w:vAlign w:val="center"/>
          </w:tcPr>
          <w:p>
            <w:pPr>
              <w:snapToGrid w:val="0"/>
              <w:spacing w:line="240" w:lineRule="atLeast"/>
              <w:rPr>
                <w:rFonts w:ascii="宋体" w:hAnsi="宋体"/>
                <w:color w:val="auto"/>
                <w:sz w:val="20"/>
                <w:szCs w:val="28"/>
                <w:highlight w:val="none"/>
              </w:rPr>
            </w:pPr>
          </w:p>
        </w:tc>
        <w:tc>
          <w:tcPr>
            <w:tcW w:w="1318" w:type="dxa"/>
            <w:noWrap w:val="0"/>
            <w:vAlign w:val="center"/>
          </w:tcPr>
          <w:p>
            <w:pPr>
              <w:snapToGrid w:val="0"/>
              <w:spacing w:line="240" w:lineRule="atLeast"/>
              <w:rPr>
                <w:rFonts w:hint="eastAsia" w:ascii="宋体" w:hAnsi="宋体"/>
                <w:color w:val="auto"/>
                <w:sz w:val="20"/>
                <w:szCs w:val="28"/>
                <w:highlight w:val="none"/>
                <w:lang w:eastAsia="zh-CN"/>
              </w:rPr>
            </w:pPr>
            <w:r>
              <w:rPr>
                <w:rFonts w:hint="eastAsia" w:ascii="宋体" w:hAnsi="宋体"/>
                <w:color w:val="auto"/>
                <w:sz w:val="20"/>
                <w:szCs w:val="28"/>
                <w:highlight w:val="none"/>
                <w:lang w:eastAsia="zh-CN"/>
              </w:rPr>
              <w:t>响应文件</w:t>
            </w:r>
            <w:r>
              <w:rPr>
                <w:rFonts w:hint="eastAsia" w:ascii="宋体" w:hAnsi="宋体"/>
                <w:color w:val="auto"/>
                <w:sz w:val="20"/>
                <w:szCs w:val="28"/>
                <w:highlight w:val="none"/>
              </w:rPr>
              <w:t>签章</w:t>
            </w:r>
          </w:p>
        </w:tc>
        <w:tc>
          <w:tcPr>
            <w:tcW w:w="5253" w:type="dxa"/>
            <w:noWrap w:val="0"/>
            <w:vAlign w:val="center"/>
          </w:tcPr>
          <w:p>
            <w:pPr>
              <w:snapToGrid w:val="0"/>
              <w:spacing w:line="240" w:lineRule="atLeast"/>
              <w:rPr>
                <w:rFonts w:hint="eastAsia" w:ascii="宋体" w:hAnsi="宋体" w:cs="宋体"/>
                <w:color w:val="auto"/>
                <w:kern w:val="2"/>
                <w:sz w:val="20"/>
                <w:szCs w:val="22"/>
                <w:highlight w:val="none"/>
                <w:lang w:val="en-US" w:eastAsia="zh-CN" w:bidi="ar-SA"/>
              </w:rPr>
            </w:pPr>
            <w:r>
              <w:rPr>
                <w:rFonts w:hint="eastAsia"/>
                <w:color w:val="auto"/>
                <w:sz w:val="20"/>
                <w:highlight w:val="none"/>
                <w:lang w:eastAsia="zh-CN"/>
              </w:rPr>
              <w:t>响应</w:t>
            </w:r>
            <w:r>
              <w:rPr>
                <w:rFonts w:hint="eastAsia"/>
                <w:color w:val="auto"/>
                <w:sz w:val="20"/>
                <w:highlight w:val="none"/>
              </w:rPr>
              <w:t>文件加盖有</w:t>
            </w:r>
            <w:r>
              <w:rPr>
                <w:rFonts w:hint="eastAsia"/>
                <w:color w:val="auto"/>
                <w:sz w:val="20"/>
                <w:highlight w:val="none"/>
                <w:lang w:eastAsia="zh-CN"/>
              </w:rPr>
              <w:t>供应商</w:t>
            </w:r>
            <w:r>
              <w:rPr>
                <w:rFonts w:hint="eastAsia"/>
                <w:color w:val="auto"/>
                <w:sz w:val="20"/>
                <w:highlight w:val="none"/>
              </w:rPr>
              <w:t>（法定名称）电子签章。【说明：无须提供证明材料，上传空白页即可，不对本项上传的材料作资格审查】</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09" w:type="dxa"/>
            <w:vMerge w:val="continue"/>
            <w:noWrap w:val="0"/>
            <w:vAlign w:val="center"/>
          </w:tcPr>
          <w:p>
            <w:pPr>
              <w:pStyle w:val="161"/>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noWrap w:val="0"/>
            <w:vAlign w:val="center"/>
          </w:tcPr>
          <w:p>
            <w:pPr>
              <w:snapToGrid w:val="0"/>
              <w:spacing w:line="240" w:lineRule="atLeast"/>
              <w:rPr>
                <w:rFonts w:ascii="宋体" w:hAnsi="宋体"/>
                <w:color w:val="auto"/>
                <w:sz w:val="20"/>
                <w:szCs w:val="28"/>
                <w:highlight w:val="none"/>
              </w:rPr>
            </w:pPr>
          </w:p>
        </w:tc>
        <w:tc>
          <w:tcPr>
            <w:tcW w:w="1318" w:type="dxa"/>
            <w:noWrap w:val="0"/>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lang w:eastAsia="zh-CN"/>
              </w:rPr>
              <w:t>响应文件</w:t>
            </w:r>
            <w:r>
              <w:rPr>
                <w:rFonts w:ascii="宋体" w:hAnsi="宋体"/>
                <w:color w:val="auto"/>
                <w:sz w:val="20"/>
                <w:szCs w:val="28"/>
                <w:highlight w:val="none"/>
              </w:rPr>
              <w:t>解密情况</w:t>
            </w:r>
          </w:p>
        </w:tc>
        <w:tc>
          <w:tcPr>
            <w:tcW w:w="5253" w:type="dxa"/>
            <w:noWrap w:val="0"/>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除因断电、断网、系统故障或其他不可抗力等因素，导致系统无法使用外，</w:t>
            </w:r>
            <w:r>
              <w:rPr>
                <w:rFonts w:hint="eastAsia" w:ascii="宋体" w:hAnsi="宋体"/>
                <w:color w:val="auto"/>
                <w:sz w:val="20"/>
                <w:szCs w:val="28"/>
                <w:highlight w:val="none"/>
                <w:lang w:eastAsia="zh-CN"/>
              </w:rPr>
              <w:t>响应</w:t>
            </w:r>
            <w:r>
              <w:rPr>
                <w:rFonts w:hint="eastAsia" w:ascii="宋体" w:hAnsi="宋体"/>
                <w:color w:val="auto"/>
                <w:sz w:val="20"/>
                <w:szCs w:val="28"/>
                <w:highlight w:val="none"/>
              </w:rPr>
              <w:t>文件已成功解密。</w:t>
            </w:r>
            <w:r>
              <w:rPr>
                <w:rFonts w:hint="eastAsia"/>
                <w:color w:val="auto"/>
                <w:sz w:val="20"/>
                <w:highlight w:val="none"/>
              </w:rPr>
              <w:t>【说明：无须提供证明材料，上传空白页即可，不对本项上传的材料作资格审查】</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9" w:type="dxa"/>
            <w:vMerge w:val="continue"/>
            <w:noWrap w:val="0"/>
            <w:vAlign w:val="center"/>
          </w:tcPr>
          <w:p>
            <w:pPr>
              <w:pStyle w:val="161"/>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noWrap w:val="0"/>
            <w:vAlign w:val="center"/>
          </w:tcPr>
          <w:p>
            <w:pPr>
              <w:snapToGrid w:val="0"/>
              <w:spacing w:line="240" w:lineRule="atLeast"/>
              <w:rPr>
                <w:rFonts w:ascii="宋体" w:hAnsi="宋体"/>
                <w:color w:val="auto"/>
                <w:sz w:val="20"/>
                <w:szCs w:val="28"/>
                <w:highlight w:val="none"/>
              </w:rPr>
            </w:pPr>
          </w:p>
        </w:tc>
        <w:tc>
          <w:tcPr>
            <w:tcW w:w="1318" w:type="dxa"/>
            <w:noWrap w:val="0"/>
            <w:vAlign w:val="center"/>
          </w:tcPr>
          <w:p>
            <w:pPr>
              <w:tabs>
                <w:tab w:val="left" w:pos="851"/>
              </w:tabs>
              <w:spacing w:line="360" w:lineRule="auto"/>
              <w:rPr>
                <w:rFonts w:ascii="宋体" w:hAnsi="宋体"/>
                <w:color w:val="auto"/>
                <w:sz w:val="20"/>
                <w:szCs w:val="28"/>
                <w:highlight w:val="none"/>
              </w:rPr>
            </w:pPr>
            <w:r>
              <w:rPr>
                <w:rFonts w:hint="eastAsia" w:ascii="宋体" w:hAnsi="宋体"/>
                <w:color w:val="auto"/>
                <w:sz w:val="20"/>
                <w:szCs w:val="28"/>
                <w:highlight w:val="none"/>
              </w:rPr>
              <w:t>响应文件的语言、有效期</w:t>
            </w:r>
          </w:p>
        </w:tc>
        <w:tc>
          <w:tcPr>
            <w:tcW w:w="5253" w:type="dxa"/>
            <w:noWrap w:val="0"/>
            <w:vAlign w:val="center"/>
          </w:tcPr>
          <w:p>
            <w:pPr>
              <w:tabs>
                <w:tab w:val="left" w:pos="851"/>
              </w:tabs>
              <w:spacing w:line="360" w:lineRule="auto"/>
              <w:rPr>
                <w:rFonts w:ascii="宋体" w:hAnsi="宋体"/>
                <w:color w:val="auto"/>
                <w:sz w:val="20"/>
                <w:szCs w:val="28"/>
                <w:highlight w:val="none"/>
              </w:rPr>
            </w:pPr>
            <w:r>
              <w:rPr>
                <w:rFonts w:hint="eastAsia"/>
                <w:color w:val="auto"/>
                <w:sz w:val="20"/>
                <w:highlight w:val="none"/>
              </w:rPr>
              <w:t>语言符合</w:t>
            </w:r>
            <w:r>
              <w:rPr>
                <w:rFonts w:hint="eastAsia"/>
                <w:color w:val="auto"/>
                <w:sz w:val="20"/>
                <w:highlight w:val="none"/>
                <w:lang w:eastAsia="zh-CN"/>
              </w:rPr>
              <w:t>磋商</w:t>
            </w:r>
            <w:r>
              <w:rPr>
                <w:rFonts w:hint="eastAsia"/>
                <w:color w:val="auto"/>
                <w:sz w:val="20"/>
                <w:highlight w:val="none"/>
              </w:rPr>
              <w:t>文件的要求。【说明：无须提供证明材料，上传空白页即可，不对本项上传的材料作资格审查】</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09" w:type="dxa"/>
            <w:vMerge w:val="continue"/>
            <w:noWrap w:val="0"/>
            <w:vAlign w:val="center"/>
          </w:tcPr>
          <w:p>
            <w:pPr>
              <w:pStyle w:val="161"/>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noWrap w:val="0"/>
            <w:vAlign w:val="center"/>
          </w:tcPr>
          <w:p>
            <w:pPr>
              <w:spacing w:line="240" w:lineRule="atLeast"/>
              <w:rPr>
                <w:rFonts w:ascii="宋体" w:hAnsi="宋体"/>
                <w:color w:val="auto"/>
                <w:sz w:val="20"/>
                <w:szCs w:val="28"/>
                <w:highlight w:val="none"/>
              </w:rPr>
            </w:pPr>
          </w:p>
        </w:tc>
        <w:tc>
          <w:tcPr>
            <w:tcW w:w="1318" w:type="dxa"/>
            <w:noWrap w:val="0"/>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不属于其他国家相关法律法规规定的禁止参加</w:t>
            </w:r>
            <w:r>
              <w:rPr>
                <w:rFonts w:hint="eastAsia"/>
                <w:color w:val="auto"/>
                <w:sz w:val="20"/>
                <w:szCs w:val="28"/>
                <w:highlight w:val="none"/>
                <w:lang w:eastAsia="zh-CN"/>
              </w:rPr>
              <w:t>磋商</w:t>
            </w:r>
            <w:r>
              <w:rPr>
                <w:rFonts w:hint="eastAsia" w:ascii="宋体" w:hAnsi="宋体"/>
                <w:color w:val="auto"/>
                <w:sz w:val="20"/>
                <w:szCs w:val="28"/>
                <w:highlight w:val="none"/>
              </w:rPr>
              <w:t>的供应商</w:t>
            </w:r>
          </w:p>
        </w:tc>
        <w:tc>
          <w:tcPr>
            <w:tcW w:w="5253" w:type="dxa"/>
            <w:noWrap w:val="0"/>
            <w:vAlign w:val="center"/>
          </w:tcPr>
          <w:p>
            <w:pPr>
              <w:spacing w:line="240" w:lineRule="atLeast"/>
              <w:rPr>
                <w:rFonts w:ascii="宋体" w:hAnsi="宋体"/>
                <w:color w:val="auto"/>
                <w:sz w:val="20"/>
                <w:szCs w:val="28"/>
                <w:highlight w:val="none"/>
              </w:rPr>
            </w:pPr>
            <w:r>
              <w:rPr>
                <w:rFonts w:hint="eastAsia"/>
                <w:color w:val="auto"/>
                <w:sz w:val="20"/>
                <w:szCs w:val="28"/>
                <w:highlight w:val="none"/>
                <w:lang w:val="en-US" w:eastAsia="zh-CN"/>
              </w:rPr>
              <w:t>1.</w:t>
            </w:r>
            <w:r>
              <w:rPr>
                <w:rFonts w:ascii="宋体" w:hAnsi="宋体"/>
                <w:color w:val="auto"/>
                <w:sz w:val="20"/>
                <w:szCs w:val="28"/>
                <w:highlight w:val="none"/>
              </w:rPr>
              <w:t>根据</w:t>
            </w:r>
            <w:r>
              <w:rPr>
                <w:rFonts w:hint="eastAsia"/>
                <w:color w:val="auto"/>
                <w:sz w:val="20"/>
                <w:szCs w:val="28"/>
                <w:highlight w:val="none"/>
                <w:lang w:eastAsia="zh-CN"/>
              </w:rPr>
              <w:t>磋商</w:t>
            </w:r>
            <w:r>
              <w:rPr>
                <w:rFonts w:hint="eastAsia" w:ascii="宋体" w:hAnsi="宋体"/>
                <w:color w:val="auto"/>
                <w:sz w:val="20"/>
                <w:szCs w:val="28"/>
                <w:highlight w:val="none"/>
              </w:rPr>
              <w:t>文件的要求不属于禁止参加</w:t>
            </w:r>
            <w:r>
              <w:rPr>
                <w:rFonts w:hint="eastAsia"/>
                <w:color w:val="auto"/>
                <w:sz w:val="20"/>
                <w:szCs w:val="28"/>
                <w:highlight w:val="none"/>
                <w:lang w:eastAsia="zh-CN"/>
              </w:rPr>
              <w:t>磋商</w:t>
            </w:r>
            <w:r>
              <w:rPr>
                <w:rFonts w:hint="eastAsia" w:ascii="宋体" w:hAnsi="宋体"/>
                <w:color w:val="auto"/>
                <w:sz w:val="20"/>
                <w:szCs w:val="28"/>
                <w:highlight w:val="none"/>
              </w:rPr>
              <w:t>的供应商；</w:t>
            </w:r>
          </w:p>
          <w:p>
            <w:pPr>
              <w:spacing w:line="240" w:lineRule="atLeast"/>
              <w:rPr>
                <w:rFonts w:ascii="宋体" w:hAnsi="宋体"/>
                <w:color w:val="auto"/>
                <w:sz w:val="20"/>
                <w:szCs w:val="28"/>
                <w:highlight w:val="none"/>
              </w:rPr>
            </w:pPr>
            <w:r>
              <w:rPr>
                <w:rFonts w:hint="eastAsia"/>
                <w:color w:val="auto"/>
                <w:sz w:val="20"/>
                <w:szCs w:val="28"/>
                <w:highlight w:val="none"/>
                <w:lang w:val="en-US" w:eastAsia="zh-CN"/>
              </w:rPr>
              <w:t>2.</w:t>
            </w:r>
            <w:r>
              <w:rPr>
                <w:rFonts w:hint="eastAsia"/>
                <w:color w:val="auto"/>
                <w:sz w:val="20"/>
                <w:szCs w:val="28"/>
                <w:highlight w:val="none"/>
                <w:lang w:eastAsia="zh-CN"/>
              </w:rPr>
              <w:t>磋商</w:t>
            </w:r>
            <w:r>
              <w:rPr>
                <w:rFonts w:hint="eastAsia" w:ascii="宋体" w:hAnsi="宋体"/>
                <w:color w:val="auto"/>
                <w:sz w:val="20"/>
                <w:szCs w:val="28"/>
                <w:highlight w:val="none"/>
              </w:rPr>
              <w:t>小组未发现或者未知晓供应商存在属于国家相关法律法规规定的禁止参加</w:t>
            </w:r>
            <w:r>
              <w:rPr>
                <w:rFonts w:hint="eastAsia"/>
                <w:color w:val="auto"/>
                <w:sz w:val="20"/>
                <w:szCs w:val="28"/>
                <w:highlight w:val="none"/>
                <w:lang w:eastAsia="zh-CN"/>
              </w:rPr>
              <w:t>磋商</w:t>
            </w:r>
            <w:r>
              <w:rPr>
                <w:rFonts w:hint="eastAsia" w:ascii="宋体" w:hAnsi="宋体"/>
                <w:color w:val="auto"/>
                <w:sz w:val="20"/>
                <w:szCs w:val="28"/>
                <w:highlight w:val="none"/>
              </w:rPr>
              <w:t>的供应商。</w:t>
            </w:r>
            <w:r>
              <w:rPr>
                <w:rFonts w:hint="eastAsia"/>
                <w:color w:val="auto"/>
                <w:sz w:val="20"/>
                <w:highlight w:val="none"/>
              </w:rPr>
              <w:t>【说明：无须提供证明材料，上传空白页即可，不对本项上传的材料作资格审查】。</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09" w:type="dxa"/>
            <w:vMerge w:val="continue"/>
            <w:noWrap w:val="0"/>
            <w:vAlign w:val="center"/>
          </w:tcPr>
          <w:p>
            <w:pPr>
              <w:pStyle w:val="161"/>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noWrap w:val="0"/>
            <w:vAlign w:val="center"/>
          </w:tcPr>
          <w:p>
            <w:pPr>
              <w:spacing w:line="240" w:lineRule="atLeast"/>
              <w:rPr>
                <w:rFonts w:ascii="宋体" w:hAnsi="宋体"/>
                <w:color w:val="auto"/>
                <w:sz w:val="20"/>
                <w:szCs w:val="28"/>
                <w:highlight w:val="none"/>
              </w:rPr>
            </w:pPr>
          </w:p>
        </w:tc>
        <w:tc>
          <w:tcPr>
            <w:tcW w:w="1318" w:type="dxa"/>
            <w:noWrap w:val="0"/>
            <w:vAlign w:val="center"/>
          </w:tcPr>
          <w:p>
            <w:pPr>
              <w:snapToGrid w:val="0"/>
              <w:spacing w:line="240" w:lineRule="atLeast"/>
              <w:rPr>
                <w:rFonts w:hint="eastAsia" w:ascii="宋体" w:hAnsi="宋体" w:eastAsia="宋体" w:cs="宋体"/>
                <w:color w:val="auto"/>
                <w:kern w:val="2"/>
                <w:sz w:val="20"/>
                <w:szCs w:val="28"/>
                <w:highlight w:val="none"/>
                <w:lang w:val="en-US" w:eastAsia="zh-CN" w:bidi="ar-SA"/>
              </w:rPr>
            </w:pPr>
            <w:r>
              <w:rPr>
                <w:rFonts w:hint="eastAsia" w:ascii="宋体" w:hAnsi="宋体"/>
                <w:color w:val="auto"/>
                <w:sz w:val="20"/>
                <w:szCs w:val="28"/>
                <w:highlight w:val="none"/>
              </w:rPr>
              <w:t>法律、行政法规规定的其他条件</w:t>
            </w:r>
          </w:p>
        </w:tc>
        <w:tc>
          <w:tcPr>
            <w:tcW w:w="5253" w:type="dxa"/>
            <w:noWrap w:val="0"/>
            <w:vAlign w:val="center"/>
          </w:tcPr>
          <w:p>
            <w:pPr>
              <w:snapToGrid w:val="0"/>
              <w:spacing w:line="240" w:lineRule="atLeast"/>
              <w:rPr>
                <w:rFonts w:hint="eastAsia" w:ascii="宋体" w:hAnsi="宋体" w:cs="宋体"/>
                <w:color w:val="auto"/>
                <w:kern w:val="2"/>
                <w:sz w:val="20"/>
                <w:szCs w:val="28"/>
                <w:highlight w:val="none"/>
                <w:lang w:val="en-US" w:eastAsia="zh-CN" w:bidi="ar-SA"/>
              </w:rPr>
            </w:pPr>
            <w:r>
              <w:rPr>
                <w:rFonts w:hint="eastAsia" w:ascii="宋体" w:hAnsi="宋体"/>
                <w:color w:val="auto"/>
                <w:sz w:val="20"/>
                <w:szCs w:val="28"/>
                <w:highlight w:val="none"/>
              </w:rPr>
              <w:t>采购人对法律、行政法规规定的其他条件无特殊要求，供应商具有有效的营业执照或法人证书即可，可不提供其他证明材料。</w:t>
            </w:r>
            <w:r>
              <w:rPr>
                <w:rFonts w:hint="eastAsia"/>
                <w:color w:val="auto"/>
                <w:sz w:val="20"/>
                <w:highlight w:val="none"/>
              </w:rPr>
              <w:t>【说明：无须提供证明材料，上传空白页即可，不对本项上传的材料作资格审查】。</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9" w:type="dxa"/>
            <w:noWrap w:val="0"/>
            <w:vAlign w:val="center"/>
          </w:tcPr>
          <w:p>
            <w:pPr>
              <w:pStyle w:val="161"/>
              <w:numPr>
                <w:ilvl w:val="0"/>
                <w:numId w:val="18"/>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2552" w:type="dxa"/>
            <w:gridSpan w:val="2"/>
            <w:noWrap w:val="0"/>
            <w:vAlign w:val="center"/>
          </w:tcPr>
          <w:p>
            <w:pPr>
              <w:tabs>
                <w:tab w:val="left" w:pos="851"/>
              </w:tabs>
              <w:spacing w:line="360" w:lineRule="auto"/>
              <w:rPr>
                <w:rFonts w:hint="eastAsia" w:ascii="宋体" w:hAnsi="宋体" w:cs="宋体"/>
                <w:color w:val="auto"/>
                <w:kern w:val="2"/>
                <w:sz w:val="20"/>
                <w:szCs w:val="22"/>
                <w:highlight w:val="none"/>
                <w:lang w:val="en-US" w:eastAsia="zh-CN" w:bidi="ar-SA"/>
              </w:rPr>
            </w:pPr>
            <w:r>
              <w:rPr>
                <w:rFonts w:hint="eastAsia"/>
                <w:color w:val="auto"/>
                <w:sz w:val="20"/>
                <w:highlight w:val="none"/>
                <w:lang w:eastAsia="zh-CN"/>
              </w:rPr>
              <w:t>响应</w:t>
            </w:r>
            <w:r>
              <w:rPr>
                <w:rFonts w:hint="eastAsia"/>
                <w:color w:val="auto"/>
                <w:sz w:val="20"/>
                <w:highlight w:val="none"/>
              </w:rPr>
              <w:t>文件资格性审查部分组成</w:t>
            </w:r>
          </w:p>
        </w:tc>
        <w:tc>
          <w:tcPr>
            <w:tcW w:w="5253" w:type="dxa"/>
            <w:noWrap w:val="0"/>
            <w:vAlign w:val="center"/>
          </w:tcPr>
          <w:p>
            <w:pPr>
              <w:tabs>
                <w:tab w:val="left" w:pos="851"/>
              </w:tabs>
              <w:spacing w:line="360" w:lineRule="auto"/>
              <w:rPr>
                <w:rFonts w:hint="eastAsia" w:ascii="宋体" w:hAnsi="宋体" w:cs="宋体"/>
                <w:color w:val="auto"/>
                <w:kern w:val="2"/>
                <w:sz w:val="20"/>
                <w:szCs w:val="22"/>
                <w:highlight w:val="none"/>
                <w:lang w:val="en-US" w:eastAsia="zh-CN" w:bidi="ar-SA"/>
              </w:rPr>
            </w:pPr>
            <w:r>
              <w:rPr>
                <w:rFonts w:hint="eastAsia"/>
                <w:color w:val="auto"/>
                <w:sz w:val="20"/>
                <w:highlight w:val="none"/>
              </w:rPr>
              <w:t>符合</w:t>
            </w:r>
            <w:r>
              <w:rPr>
                <w:rFonts w:hint="eastAsia"/>
                <w:color w:val="auto"/>
                <w:sz w:val="20"/>
                <w:highlight w:val="none"/>
                <w:lang w:eastAsia="zh-CN"/>
              </w:rPr>
              <w:t>磋商</w:t>
            </w:r>
            <w:r>
              <w:rPr>
                <w:rFonts w:hint="eastAsia"/>
                <w:color w:val="auto"/>
                <w:sz w:val="20"/>
                <w:highlight w:val="none"/>
              </w:rPr>
              <w:t>文件“2.4.</w:t>
            </w:r>
            <w:r>
              <w:rPr>
                <w:rFonts w:hint="eastAsia"/>
                <w:color w:val="auto"/>
                <w:sz w:val="20"/>
                <w:highlight w:val="none"/>
                <w:lang w:val="en-US" w:eastAsia="zh-CN"/>
              </w:rPr>
              <w:t>5</w:t>
            </w:r>
            <w:r>
              <w:rPr>
                <w:rFonts w:hint="eastAsia"/>
                <w:color w:val="auto"/>
                <w:sz w:val="20"/>
                <w:highlight w:val="none"/>
                <w:lang w:eastAsia="zh-CN"/>
              </w:rPr>
              <w:t>响应</w:t>
            </w:r>
            <w:r>
              <w:rPr>
                <w:rFonts w:hint="eastAsia"/>
                <w:color w:val="auto"/>
                <w:sz w:val="20"/>
                <w:highlight w:val="none"/>
              </w:rPr>
              <w:t>文件的组成”规定要求。【说明①供应商按磋商文件3.1.2关于供应商申明的内容提供供应商申明函；②供应商按磋商文件3.1.</w:t>
            </w:r>
            <w:r>
              <w:rPr>
                <w:rFonts w:hint="eastAsia"/>
                <w:color w:val="auto"/>
                <w:sz w:val="20"/>
                <w:highlight w:val="none"/>
                <w:lang w:val="en-US" w:eastAsia="zh-CN"/>
              </w:rPr>
              <w:t>5</w:t>
            </w:r>
            <w:r>
              <w:rPr>
                <w:rFonts w:hint="eastAsia"/>
                <w:color w:val="auto"/>
                <w:sz w:val="20"/>
                <w:highlight w:val="none"/>
              </w:rPr>
              <w:t>供应商基本情况表的内容提供供应商基本情况表。】</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9" w:type="dxa"/>
            <w:noWrap w:val="0"/>
            <w:vAlign w:val="center"/>
          </w:tcPr>
          <w:p>
            <w:pPr>
              <w:pStyle w:val="161"/>
              <w:numPr>
                <w:ilvl w:val="0"/>
                <w:numId w:val="18"/>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2552" w:type="dxa"/>
            <w:gridSpan w:val="2"/>
            <w:noWrap w:val="0"/>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具有健全的财务会计制度的证明材料</w:t>
            </w:r>
          </w:p>
        </w:tc>
        <w:tc>
          <w:tcPr>
            <w:tcW w:w="5253" w:type="dxa"/>
            <w:noWrap w:val="0"/>
            <w:vAlign w:val="center"/>
          </w:tcPr>
          <w:p>
            <w:pPr>
              <w:tabs>
                <w:tab w:val="left" w:pos="851"/>
              </w:tabs>
              <w:spacing w:line="360" w:lineRule="auto"/>
              <w:rPr>
                <w:rFonts w:ascii="宋体" w:hAnsi="宋体"/>
                <w:color w:val="auto"/>
                <w:sz w:val="20"/>
                <w:szCs w:val="28"/>
                <w:highlight w:val="none"/>
              </w:rPr>
            </w:pPr>
            <w:r>
              <w:rPr>
                <w:color w:val="auto"/>
                <w:sz w:val="20"/>
                <w:highlight w:val="none"/>
              </w:rPr>
              <w:t>2019</w:t>
            </w:r>
            <w:r>
              <w:rPr>
                <w:rFonts w:hint="eastAsia"/>
                <w:color w:val="auto"/>
                <w:sz w:val="20"/>
                <w:highlight w:val="none"/>
              </w:rPr>
              <w:t>或</w:t>
            </w:r>
            <w:r>
              <w:rPr>
                <w:color w:val="auto"/>
                <w:sz w:val="20"/>
                <w:highlight w:val="none"/>
              </w:rPr>
              <w:t>2020</w:t>
            </w:r>
            <w:r>
              <w:rPr>
                <w:rFonts w:hint="eastAsia"/>
                <w:color w:val="auto"/>
                <w:sz w:val="20"/>
                <w:highlight w:val="none"/>
              </w:rPr>
              <w:t>会计年度资产负债表复印件。【说明：</w:t>
            </w:r>
            <w:r>
              <w:rPr>
                <w:rFonts w:hint="eastAsia" w:ascii="宋体" w:hAnsi="宋体"/>
                <w:color w:val="auto"/>
                <w:sz w:val="20"/>
                <w:szCs w:val="28"/>
                <w:highlight w:val="none"/>
              </w:rPr>
              <w:t>供应商</w:t>
            </w:r>
            <w:r>
              <w:rPr>
                <w:rFonts w:hint="eastAsia"/>
                <w:color w:val="auto"/>
                <w:sz w:val="20"/>
                <w:highlight w:val="none"/>
              </w:rPr>
              <w:t>成立时间至</w:t>
            </w:r>
            <w:r>
              <w:rPr>
                <w:rFonts w:hint="eastAsia"/>
                <w:color w:val="auto"/>
                <w:sz w:val="20"/>
                <w:highlight w:val="none"/>
                <w:lang w:eastAsia="zh-CN"/>
              </w:rPr>
              <w:t>递交响应文件</w:t>
            </w:r>
            <w:r>
              <w:rPr>
                <w:rFonts w:hint="eastAsia"/>
                <w:color w:val="auto"/>
                <w:sz w:val="20"/>
                <w:highlight w:val="none"/>
              </w:rPr>
              <w:t>截止时间止不足一年的，提供成立后任意时段的资产负债表复印件。】</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09" w:type="dxa"/>
            <w:noWrap w:val="0"/>
            <w:vAlign w:val="center"/>
          </w:tcPr>
          <w:p>
            <w:pPr>
              <w:tabs>
                <w:tab w:val="left" w:pos="851"/>
              </w:tabs>
              <w:spacing w:line="360" w:lineRule="auto"/>
              <w:jc w:val="center"/>
              <w:rPr>
                <w:rFonts w:hint="eastAsia" w:ascii="宋体" w:hAnsi="宋体" w:eastAsia="宋体" w:cs="宋体"/>
                <w:color w:val="auto"/>
                <w:kern w:val="2"/>
                <w:sz w:val="20"/>
                <w:szCs w:val="22"/>
                <w:highlight w:val="none"/>
                <w:lang w:val="en-US" w:eastAsia="zh-CN" w:bidi="ar-SA"/>
              </w:rPr>
            </w:pPr>
            <w:r>
              <w:rPr>
                <w:rFonts w:hint="eastAsia"/>
                <w:color w:val="auto"/>
                <w:sz w:val="20"/>
                <w:highlight w:val="none"/>
                <w:lang w:val="en-US" w:eastAsia="zh-CN"/>
              </w:rPr>
              <w:t>6.</w:t>
            </w:r>
          </w:p>
        </w:tc>
        <w:tc>
          <w:tcPr>
            <w:tcW w:w="2552" w:type="dxa"/>
            <w:gridSpan w:val="2"/>
            <w:noWrap w:val="0"/>
            <w:vAlign w:val="center"/>
          </w:tcPr>
          <w:p>
            <w:pPr>
              <w:tabs>
                <w:tab w:val="left" w:pos="851"/>
              </w:tabs>
              <w:spacing w:line="360" w:lineRule="auto"/>
              <w:rPr>
                <w:rFonts w:ascii="宋体" w:hAnsi="宋体" w:cs="宋体"/>
                <w:color w:val="auto"/>
                <w:kern w:val="2"/>
                <w:sz w:val="20"/>
                <w:szCs w:val="22"/>
                <w:highlight w:val="none"/>
                <w:lang w:val="en-US" w:eastAsia="zh-CN" w:bidi="ar-SA"/>
              </w:rPr>
            </w:pPr>
            <w:r>
              <w:rPr>
                <w:rFonts w:hint="eastAsia" w:ascii="宋体" w:hAnsi="宋体" w:cs="宋体"/>
                <w:color w:val="auto"/>
                <w:kern w:val="2"/>
                <w:sz w:val="20"/>
                <w:szCs w:val="22"/>
                <w:highlight w:val="none"/>
                <w:lang w:val="en-US" w:eastAsia="zh-CN" w:bidi="ar-SA"/>
              </w:rPr>
              <w:t>缴纳社会保障资金的证明材料</w:t>
            </w:r>
          </w:p>
        </w:tc>
        <w:tc>
          <w:tcPr>
            <w:tcW w:w="5253" w:type="dxa"/>
            <w:noWrap w:val="0"/>
            <w:vAlign w:val="center"/>
          </w:tcPr>
          <w:p>
            <w:pPr>
              <w:tabs>
                <w:tab w:val="left" w:pos="851"/>
              </w:tabs>
              <w:spacing w:line="360" w:lineRule="auto"/>
              <w:rPr>
                <w:rFonts w:hint="eastAsia" w:ascii="宋体" w:hAnsi="宋体" w:cs="宋体"/>
                <w:color w:val="auto"/>
                <w:kern w:val="2"/>
                <w:sz w:val="20"/>
                <w:szCs w:val="22"/>
                <w:highlight w:val="none"/>
                <w:lang w:val="en-US" w:eastAsia="zh-CN" w:bidi="ar-SA"/>
              </w:rPr>
            </w:pPr>
            <w:r>
              <w:rPr>
                <w:rFonts w:hint="eastAsia" w:ascii="宋体" w:hAnsi="宋体"/>
                <w:color w:val="auto"/>
                <w:sz w:val="20"/>
                <w:szCs w:val="28"/>
                <w:highlight w:val="none"/>
              </w:rPr>
              <w:t>供应商</w:t>
            </w:r>
            <w:r>
              <w:rPr>
                <w:rFonts w:hint="eastAsia"/>
                <w:color w:val="auto"/>
                <w:sz w:val="20"/>
                <w:highlight w:val="none"/>
              </w:rPr>
              <w:t>缴纳</w:t>
            </w:r>
            <w:r>
              <w:rPr>
                <w:color w:val="auto"/>
                <w:sz w:val="20"/>
                <w:highlight w:val="none"/>
              </w:rPr>
              <w:t>2020</w:t>
            </w:r>
            <w:r>
              <w:rPr>
                <w:rFonts w:hint="eastAsia"/>
                <w:color w:val="auto"/>
                <w:sz w:val="20"/>
                <w:highlight w:val="none"/>
              </w:rPr>
              <w:t>或</w:t>
            </w:r>
            <w:r>
              <w:rPr>
                <w:color w:val="auto"/>
                <w:sz w:val="20"/>
                <w:highlight w:val="none"/>
              </w:rPr>
              <w:t>2021</w:t>
            </w:r>
            <w:r>
              <w:rPr>
                <w:rFonts w:hint="eastAsia"/>
                <w:color w:val="auto"/>
                <w:sz w:val="20"/>
                <w:highlight w:val="none"/>
              </w:rPr>
              <w:t>年任意时段的社保的银行电子回单或行政部门出具的社保缴纳证明材料复印件。</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09" w:type="dxa"/>
            <w:noWrap w:val="0"/>
            <w:vAlign w:val="center"/>
          </w:tcPr>
          <w:p>
            <w:pPr>
              <w:tabs>
                <w:tab w:val="left" w:pos="851"/>
              </w:tabs>
              <w:spacing w:line="360" w:lineRule="auto"/>
              <w:jc w:val="center"/>
              <w:rPr>
                <w:rFonts w:hint="eastAsia" w:ascii="宋体" w:hAnsi="宋体" w:eastAsia="宋体" w:cs="宋体"/>
                <w:color w:val="auto"/>
                <w:kern w:val="2"/>
                <w:sz w:val="20"/>
                <w:szCs w:val="22"/>
                <w:highlight w:val="none"/>
                <w:lang w:val="en-US" w:eastAsia="zh-CN" w:bidi="ar-SA"/>
              </w:rPr>
            </w:pPr>
            <w:r>
              <w:rPr>
                <w:rFonts w:hint="eastAsia"/>
                <w:color w:val="auto"/>
                <w:sz w:val="20"/>
                <w:highlight w:val="none"/>
                <w:lang w:val="en-US" w:eastAsia="zh-CN"/>
              </w:rPr>
              <w:t>7.</w:t>
            </w:r>
          </w:p>
        </w:tc>
        <w:tc>
          <w:tcPr>
            <w:tcW w:w="2552" w:type="dxa"/>
            <w:gridSpan w:val="2"/>
            <w:noWrap w:val="0"/>
            <w:vAlign w:val="center"/>
          </w:tcPr>
          <w:p>
            <w:pPr>
              <w:tabs>
                <w:tab w:val="left" w:pos="851"/>
              </w:tabs>
              <w:spacing w:line="360" w:lineRule="auto"/>
              <w:rPr>
                <w:rFonts w:ascii="宋体" w:hAnsi="宋体" w:cs="宋体"/>
                <w:color w:val="auto"/>
                <w:kern w:val="2"/>
                <w:sz w:val="20"/>
                <w:szCs w:val="22"/>
                <w:highlight w:val="none"/>
                <w:lang w:val="en-US" w:eastAsia="zh-CN" w:bidi="ar-SA"/>
              </w:rPr>
            </w:pPr>
            <w:r>
              <w:rPr>
                <w:rFonts w:hint="eastAsia" w:ascii="宋体" w:hAnsi="宋体" w:cs="宋体"/>
                <w:color w:val="auto"/>
                <w:kern w:val="2"/>
                <w:sz w:val="20"/>
                <w:szCs w:val="22"/>
                <w:highlight w:val="none"/>
                <w:lang w:val="en-US" w:eastAsia="zh-CN" w:bidi="ar-SA"/>
              </w:rPr>
              <w:t>缴纳税收的证明材料</w:t>
            </w:r>
          </w:p>
        </w:tc>
        <w:tc>
          <w:tcPr>
            <w:tcW w:w="5253" w:type="dxa"/>
            <w:noWrap w:val="0"/>
            <w:vAlign w:val="center"/>
          </w:tcPr>
          <w:p>
            <w:pPr>
              <w:tabs>
                <w:tab w:val="left" w:pos="851"/>
              </w:tabs>
              <w:spacing w:line="360" w:lineRule="auto"/>
              <w:rPr>
                <w:rFonts w:hint="eastAsia" w:ascii="宋体" w:hAnsi="宋体" w:cs="宋体"/>
                <w:color w:val="auto"/>
                <w:kern w:val="2"/>
                <w:sz w:val="20"/>
                <w:szCs w:val="22"/>
                <w:highlight w:val="none"/>
                <w:lang w:val="en-US" w:eastAsia="zh-CN" w:bidi="ar-SA"/>
              </w:rPr>
            </w:pPr>
            <w:r>
              <w:rPr>
                <w:rFonts w:hint="eastAsia" w:ascii="宋体" w:hAnsi="宋体"/>
                <w:color w:val="auto"/>
                <w:sz w:val="20"/>
                <w:szCs w:val="28"/>
                <w:highlight w:val="none"/>
              </w:rPr>
              <w:t>供应商</w:t>
            </w:r>
            <w:r>
              <w:rPr>
                <w:rFonts w:hint="eastAsia"/>
                <w:color w:val="auto"/>
                <w:sz w:val="20"/>
                <w:highlight w:val="none"/>
              </w:rPr>
              <w:t>缴纳</w:t>
            </w:r>
            <w:r>
              <w:rPr>
                <w:color w:val="auto"/>
                <w:sz w:val="20"/>
                <w:highlight w:val="none"/>
              </w:rPr>
              <w:t>2020</w:t>
            </w:r>
            <w:r>
              <w:rPr>
                <w:rFonts w:hint="eastAsia"/>
                <w:color w:val="auto"/>
                <w:sz w:val="20"/>
                <w:highlight w:val="none"/>
              </w:rPr>
              <w:t>或</w:t>
            </w:r>
            <w:r>
              <w:rPr>
                <w:color w:val="auto"/>
                <w:sz w:val="20"/>
                <w:highlight w:val="none"/>
              </w:rPr>
              <w:t>2021</w:t>
            </w:r>
            <w:r>
              <w:rPr>
                <w:rFonts w:hint="eastAsia"/>
                <w:color w:val="auto"/>
                <w:sz w:val="20"/>
                <w:highlight w:val="none"/>
              </w:rPr>
              <w:t>年任意时段的税收的银行电子回单或者行政部门出具的纳税证明或完税证明的复印件。</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09" w:type="dxa"/>
            <w:noWrap w:val="0"/>
            <w:vAlign w:val="center"/>
          </w:tcPr>
          <w:p>
            <w:pPr>
              <w:tabs>
                <w:tab w:val="left" w:pos="851"/>
              </w:tabs>
              <w:spacing w:line="360" w:lineRule="auto"/>
              <w:jc w:val="center"/>
              <w:rPr>
                <w:rFonts w:hint="default"/>
                <w:color w:val="auto"/>
                <w:sz w:val="20"/>
                <w:highlight w:val="none"/>
                <w:lang w:val="en-US" w:eastAsia="zh-CN"/>
              </w:rPr>
            </w:pPr>
            <w:r>
              <w:rPr>
                <w:rFonts w:hint="eastAsia"/>
                <w:color w:val="auto"/>
                <w:sz w:val="20"/>
                <w:highlight w:val="none"/>
                <w:lang w:val="en-US" w:eastAsia="zh-CN"/>
              </w:rPr>
              <w:t>8.</w:t>
            </w:r>
          </w:p>
        </w:tc>
        <w:tc>
          <w:tcPr>
            <w:tcW w:w="2552" w:type="dxa"/>
            <w:gridSpan w:val="2"/>
            <w:noWrap w:val="0"/>
            <w:vAlign w:val="center"/>
          </w:tcPr>
          <w:p>
            <w:pPr>
              <w:tabs>
                <w:tab w:val="left" w:pos="851"/>
              </w:tabs>
              <w:spacing w:line="360" w:lineRule="auto"/>
              <w:rPr>
                <w:rFonts w:hint="eastAsia" w:ascii="宋体" w:hAnsi="宋体"/>
                <w:color w:val="auto"/>
                <w:sz w:val="20"/>
                <w:szCs w:val="28"/>
                <w:highlight w:val="none"/>
                <w:lang w:val="en-US" w:eastAsia="zh-CN"/>
              </w:rPr>
            </w:pPr>
            <w:r>
              <w:rPr>
                <w:rFonts w:hint="eastAsia" w:ascii="宋体" w:hAnsi="宋体"/>
                <w:color w:val="auto"/>
                <w:sz w:val="20"/>
                <w:szCs w:val="28"/>
                <w:highlight w:val="none"/>
              </w:rPr>
              <w:t>法定代表人身份证明书及法定代表人身份证复印件或护照复印件</w:t>
            </w:r>
          </w:p>
        </w:tc>
        <w:tc>
          <w:tcPr>
            <w:tcW w:w="5253" w:type="dxa"/>
            <w:noWrap w:val="0"/>
            <w:vAlign w:val="center"/>
          </w:tcPr>
          <w:p>
            <w:pPr>
              <w:tabs>
                <w:tab w:val="left" w:pos="851"/>
              </w:tabs>
              <w:spacing w:line="360" w:lineRule="auto"/>
              <w:rPr>
                <w:rFonts w:hint="eastAsia" w:ascii="宋体" w:hAnsi="宋体"/>
                <w:color w:val="auto"/>
                <w:sz w:val="20"/>
                <w:szCs w:val="28"/>
                <w:highlight w:val="none"/>
                <w:lang w:val="en-US" w:eastAsia="zh-CN"/>
              </w:rPr>
            </w:pPr>
            <w:r>
              <w:rPr>
                <w:rFonts w:hint="eastAsia" w:ascii="宋体" w:hAnsi="宋体"/>
                <w:color w:val="auto"/>
                <w:sz w:val="20"/>
                <w:szCs w:val="28"/>
                <w:highlight w:val="none"/>
              </w:rPr>
              <w:t>1、供应商按磋商文件3.1.</w:t>
            </w:r>
            <w:r>
              <w:rPr>
                <w:rFonts w:hint="eastAsia"/>
                <w:color w:val="auto"/>
                <w:sz w:val="20"/>
                <w:szCs w:val="28"/>
                <w:highlight w:val="none"/>
                <w:lang w:val="en-US" w:eastAsia="zh-CN"/>
              </w:rPr>
              <w:t>4</w:t>
            </w:r>
            <w:r>
              <w:rPr>
                <w:rFonts w:hint="eastAsia" w:ascii="宋体" w:hAnsi="宋体"/>
                <w:color w:val="auto"/>
                <w:sz w:val="20"/>
                <w:szCs w:val="28"/>
                <w:highlight w:val="none"/>
              </w:rPr>
              <w:t>关于法定代表人身份证明书的内容提供法定代表人身份证明书；2、身份证复印件或护照复印件【注：法定代表人身份证复印件（身份证两面均应复印，在有效期内）或护照复印件（法定代表人为外籍人士的，按此提供）】。</w:t>
            </w:r>
          </w:p>
        </w:tc>
        <w:tc>
          <w:tcPr>
            <w:tcW w:w="842" w:type="dxa"/>
            <w:noWrap w:val="0"/>
            <w:vAlign w:val="center"/>
          </w:tcPr>
          <w:p>
            <w:pPr>
              <w:snapToGrid w:val="0"/>
              <w:spacing w:line="240" w:lineRule="atLeast"/>
              <w:rPr>
                <w:rFonts w:ascii="宋体" w:hAnsi="宋体"/>
                <w:color w:val="auto"/>
                <w:sz w:val="20"/>
                <w:szCs w:val="28"/>
                <w:highlight w:val="none"/>
              </w:rPr>
            </w:pPr>
          </w:p>
        </w:tc>
      </w:tr>
    </w:tbl>
    <w:p>
      <w:pPr>
        <w:rPr>
          <w:color w:val="auto"/>
          <w:highlight w:val="none"/>
        </w:rPr>
      </w:pPr>
    </w:p>
    <w:p>
      <w:pPr>
        <w:tabs>
          <w:tab w:val="left" w:pos="851"/>
        </w:tabs>
        <w:spacing w:line="360" w:lineRule="auto"/>
        <w:ind w:firstLine="404" w:firstLineChars="202"/>
        <w:rPr>
          <w:rFonts w:ascii="宋体" w:hAnsi="宋体"/>
          <w:color w:val="auto"/>
          <w:sz w:val="28"/>
          <w:szCs w:val="28"/>
          <w:highlight w:val="none"/>
        </w:rPr>
      </w:pPr>
      <w:r>
        <w:rPr>
          <w:rFonts w:hint="eastAsia"/>
          <w:color w:val="auto"/>
          <w:sz w:val="20"/>
          <w:highlight w:val="none"/>
        </w:rPr>
        <w:t xml:space="preserve"> </w:t>
      </w:r>
      <w:r>
        <w:rPr>
          <w:rFonts w:hint="eastAsia"/>
          <w:color w:val="auto"/>
          <w:sz w:val="20"/>
          <w:highlight w:val="none"/>
          <w:lang w:val="en-US" w:eastAsia="zh-CN"/>
        </w:rPr>
        <w:t xml:space="preserve">  </w:t>
      </w:r>
      <w:r>
        <w:rPr>
          <w:rFonts w:hint="eastAsia" w:ascii="宋体" w:hAnsi="宋体"/>
          <w:color w:val="auto"/>
          <w:sz w:val="28"/>
          <w:szCs w:val="28"/>
          <w:highlight w:val="none"/>
        </w:rPr>
        <w:t>一、以上每一项结论均为“合格”的，则供应商的响应文件通过资格审查，如有任意一项结论为“不合格”的，则供应商的响应文件按无效响应文件处理。如果磋商小组认为供应商有任意一项不合格的，应在评审报告中载明不合格的具体原因。</w:t>
      </w:r>
    </w:p>
    <w:p>
      <w:pPr>
        <w:spacing w:line="360" w:lineRule="auto"/>
        <w:ind w:firstLine="599" w:firstLineChars="214"/>
        <w:rPr>
          <w:rFonts w:ascii="宋体" w:hAnsi="宋体"/>
          <w:color w:val="auto"/>
          <w:sz w:val="28"/>
          <w:szCs w:val="28"/>
          <w:highlight w:val="none"/>
        </w:rPr>
      </w:pPr>
      <w:r>
        <w:rPr>
          <w:rFonts w:hint="eastAsia" w:ascii="宋体" w:hAnsi="宋体"/>
          <w:color w:val="auto"/>
          <w:sz w:val="28"/>
          <w:szCs w:val="28"/>
          <w:highlight w:val="none"/>
        </w:rPr>
        <w:t>二、“信用中国” “中国政府采购网”网站的查询结果，将以电子介质的形式留存。</w:t>
      </w:r>
    </w:p>
    <w:p>
      <w:pPr>
        <w:spacing w:line="360" w:lineRule="auto"/>
        <w:ind w:firstLine="599" w:firstLineChars="214"/>
        <w:rPr>
          <w:rFonts w:ascii="宋体" w:hAnsi="宋体"/>
          <w:color w:val="auto"/>
          <w:sz w:val="28"/>
          <w:szCs w:val="28"/>
          <w:highlight w:val="none"/>
        </w:rPr>
      </w:pPr>
      <w:r>
        <w:rPr>
          <w:rFonts w:hint="eastAsia" w:ascii="宋体" w:hAnsi="宋体"/>
          <w:color w:val="auto"/>
          <w:sz w:val="28"/>
          <w:szCs w:val="28"/>
          <w:highlight w:val="none"/>
        </w:rPr>
        <w:t>三、磋商小组资格审查结束后，应当出具资格审查报告。没有通过资格审查的供应商，磋商小组应当在资格审查报告中说明原因。</w:t>
      </w:r>
    </w:p>
    <w:p>
      <w:pPr>
        <w:spacing w:line="360" w:lineRule="auto"/>
        <w:ind w:firstLine="599" w:firstLineChars="214"/>
        <w:rPr>
          <w:rFonts w:ascii="宋体" w:hAnsi="宋体"/>
          <w:color w:val="auto"/>
          <w:sz w:val="28"/>
          <w:szCs w:val="28"/>
          <w:highlight w:val="none"/>
        </w:rPr>
      </w:pPr>
      <w:r>
        <w:rPr>
          <w:rFonts w:hint="eastAsia" w:ascii="宋体" w:hAnsi="宋体"/>
          <w:color w:val="auto"/>
          <w:sz w:val="28"/>
          <w:szCs w:val="28"/>
          <w:highlight w:val="none"/>
          <w:lang w:eastAsia="zh-CN"/>
        </w:rPr>
        <w:t>四、</w:t>
      </w:r>
      <w:r>
        <w:rPr>
          <w:rFonts w:hint="eastAsia" w:ascii="宋体" w:hAnsi="宋体"/>
          <w:color w:val="auto"/>
          <w:sz w:val="28"/>
          <w:szCs w:val="28"/>
          <w:highlight w:val="none"/>
        </w:rPr>
        <w:t>通过资格审查的供应商不足三家的，采购失败。</w:t>
      </w:r>
    </w:p>
    <w:p>
      <w:pPr>
        <w:pStyle w:val="5"/>
        <w:ind w:left="0" w:firstLine="0"/>
        <w:rPr>
          <w:rFonts w:hint="eastAsia" w:ascii="宋体" w:hAnsi="宋体"/>
          <w:b/>
          <w:color w:val="auto"/>
          <w:sz w:val="28"/>
          <w:szCs w:val="28"/>
          <w:highlight w:val="none"/>
        </w:rPr>
      </w:pPr>
      <w:bookmarkStart w:id="235" w:name="_Toc2850"/>
      <w:r>
        <w:rPr>
          <w:rFonts w:hint="eastAsia" w:ascii="宋体" w:hAnsi="宋体"/>
          <w:b/>
          <w:color w:val="auto"/>
          <w:sz w:val="28"/>
          <w:szCs w:val="28"/>
          <w:highlight w:val="none"/>
        </w:rPr>
        <w:t>特别说明：磋商文件中要求提供复印件的证明材料的，包含原件的影印件或复印件。</w:t>
      </w:r>
      <w:bookmarkEnd w:id="235"/>
    </w:p>
    <w:p>
      <w:pPr>
        <w:pStyle w:val="5"/>
        <w:numPr>
          <w:ilvl w:val="2"/>
          <w:numId w:val="0"/>
        </w:numPr>
        <w:spacing w:after="200"/>
        <w:ind w:leftChars="0"/>
        <w:rPr>
          <w:rFonts w:hint="default"/>
          <w:color w:val="auto"/>
          <w:highlight w:val="none"/>
          <w:lang w:val="en-US" w:eastAsia="zh-CN"/>
        </w:rPr>
      </w:pPr>
      <w:bookmarkStart w:id="236" w:name="_Toc29190"/>
      <w:bookmarkStart w:id="237" w:name="_Toc24820"/>
      <w:r>
        <w:rPr>
          <w:rFonts w:hint="eastAsia"/>
          <w:color w:val="auto"/>
          <w:highlight w:val="none"/>
          <w:lang w:val="en-US" w:eastAsia="zh-CN"/>
        </w:rPr>
        <w:t>5.2.3符合性</w:t>
      </w:r>
      <w:bookmarkEnd w:id="236"/>
      <w:r>
        <w:rPr>
          <w:rFonts w:hint="eastAsia"/>
          <w:color w:val="auto"/>
          <w:highlight w:val="none"/>
          <w:lang w:val="en-US" w:eastAsia="zh-CN"/>
        </w:rPr>
        <w:t>审查</w:t>
      </w:r>
      <w:bookmarkEnd w:id="237"/>
    </w:p>
    <w:p>
      <w:pPr>
        <w:pStyle w:val="237"/>
        <w:numPr>
          <w:ilvl w:val="0"/>
          <w:numId w:val="19"/>
        </w:numPr>
        <w:tabs>
          <w:tab w:val="left" w:pos="1134"/>
          <w:tab w:val="left" w:pos="1276"/>
          <w:tab w:val="left" w:pos="1418"/>
        </w:tabs>
        <w:spacing w:after="200" w:line="360" w:lineRule="auto"/>
        <w:ind w:left="0" w:firstLine="567"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资格</w:t>
      </w:r>
      <w:r>
        <w:rPr>
          <w:rFonts w:ascii="宋体" w:hAnsi="宋体" w:eastAsia="宋体"/>
          <w:color w:val="auto"/>
          <w:sz w:val="24"/>
          <w:szCs w:val="24"/>
          <w:highlight w:val="none"/>
        </w:rPr>
        <w:t>审查</w:t>
      </w:r>
      <w:r>
        <w:rPr>
          <w:rFonts w:hint="eastAsia" w:ascii="宋体" w:hAnsi="宋体" w:eastAsia="宋体"/>
          <w:color w:val="auto"/>
          <w:sz w:val="24"/>
          <w:szCs w:val="24"/>
          <w:highlight w:val="none"/>
        </w:rPr>
        <w:t>结束后，由磋商小组对供应商响应文件进行符合性审查。</w:t>
      </w:r>
    </w:p>
    <w:p>
      <w:pPr>
        <w:pStyle w:val="237"/>
        <w:numPr>
          <w:ilvl w:val="0"/>
          <w:numId w:val="19"/>
        </w:numPr>
        <w:tabs>
          <w:tab w:val="left" w:pos="1134"/>
          <w:tab w:val="left" w:pos="1276"/>
          <w:tab w:val="left" w:pos="1418"/>
        </w:tabs>
        <w:spacing w:after="200" w:line="360" w:lineRule="auto"/>
        <w:ind w:left="0" w:firstLine="567"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磋商小组在符合性审查过程中，磋商小组成员对供应商是否符合规定存在争议的，应当以少数服从多数的原则处理，但不得违背政府采购法和磋商文件规定。</w:t>
      </w:r>
    </w:p>
    <w:p>
      <w:pPr>
        <w:pStyle w:val="237"/>
        <w:numPr>
          <w:ilvl w:val="0"/>
          <w:numId w:val="19"/>
        </w:numPr>
        <w:tabs>
          <w:tab w:val="left" w:pos="1134"/>
          <w:tab w:val="left" w:pos="1276"/>
          <w:tab w:val="left" w:pos="1418"/>
        </w:tabs>
        <w:spacing w:after="200" w:line="360" w:lineRule="auto"/>
        <w:ind w:left="0" w:firstLine="567"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供应商符合性审查标准（按以下顺序审查）： </w:t>
      </w:r>
    </w:p>
    <w:p>
      <w:pPr>
        <w:pStyle w:val="237"/>
        <w:numPr>
          <w:ilvl w:val="0"/>
          <w:numId w:val="19"/>
        </w:numPr>
        <w:tabs>
          <w:tab w:val="left" w:pos="1134"/>
          <w:tab w:val="left" w:pos="1276"/>
          <w:tab w:val="left" w:pos="1418"/>
        </w:tabs>
        <w:spacing w:after="200" w:line="360" w:lineRule="auto"/>
        <w:ind w:left="0" w:firstLine="567"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资格</w:t>
      </w:r>
      <w:r>
        <w:rPr>
          <w:rFonts w:ascii="宋体" w:hAnsi="宋体" w:eastAsia="宋体"/>
          <w:color w:val="auto"/>
          <w:sz w:val="24"/>
          <w:szCs w:val="24"/>
          <w:highlight w:val="none"/>
        </w:rPr>
        <w:t>审查</w:t>
      </w:r>
      <w:r>
        <w:rPr>
          <w:rFonts w:hint="eastAsia" w:ascii="宋体" w:hAnsi="宋体" w:eastAsia="宋体"/>
          <w:color w:val="auto"/>
          <w:sz w:val="24"/>
          <w:szCs w:val="24"/>
          <w:highlight w:val="none"/>
        </w:rPr>
        <w:t>结束后，由磋商小组对供应商响应文件进行符合性审查。</w:t>
      </w:r>
    </w:p>
    <w:p>
      <w:pPr>
        <w:pStyle w:val="237"/>
        <w:numPr>
          <w:ilvl w:val="0"/>
          <w:numId w:val="19"/>
        </w:numPr>
        <w:tabs>
          <w:tab w:val="left" w:pos="1134"/>
          <w:tab w:val="left" w:pos="1276"/>
          <w:tab w:val="left" w:pos="1418"/>
        </w:tabs>
        <w:spacing w:after="200" w:line="360" w:lineRule="auto"/>
        <w:ind w:left="0" w:firstLine="567"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磋商小组在符合性审查过程中，磋商小组成员对供应商是否符合规定存在争议的，应当以少数服从多数的原则处理，但不得违背政府采购法和磋商文件规定。</w:t>
      </w:r>
    </w:p>
    <w:p>
      <w:pPr>
        <w:pStyle w:val="237"/>
        <w:numPr>
          <w:ilvl w:val="0"/>
          <w:numId w:val="19"/>
        </w:numPr>
        <w:tabs>
          <w:tab w:val="left" w:pos="1134"/>
          <w:tab w:val="left" w:pos="1276"/>
          <w:tab w:val="left" w:pos="1418"/>
        </w:tabs>
        <w:spacing w:after="200" w:line="360" w:lineRule="auto"/>
        <w:ind w:left="0" w:firstLine="567"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供应商符合性审查标准（按以下顺序审查）： </w:t>
      </w:r>
    </w:p>
    <w:tbl>
      <w:tblPr>
        <w:tblStyle w:val="42"/>
        <w:tblW w:w="964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218"/>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color w:val="auto"/>
                <w:sz w:val="24"/>
                <w:szCs w:val="28"/>
                <w:highlight w:val="none"/>
              </w:rPr>
            </w:pPr>
            <w:r>
              <w:rPr>
                <w:rFonts w:hint="eastAsia" w:ascii="宋体" w:hAnsi="宋体"/>
                <w:b/>
                <w:color w:val="auto"/>
                <w:sz w:val="24"/>
                <w:szCs w:val="28"/>
                <w:highlight w:val="none"/>
              </w:rPr>
              <w:t>序号</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color w:val="auto"/>
                <w:sz w:val="24"/>
                <w:szCs w:val="28"/>
                <w:highlight w:val="none"/>
              </w:rPr>
            </w:pPr>
            <w:r>
              <w:rPr>
                <w:rFonts w:hint="eastAsia" w:ascii="宋体" w:hAnsi="宋体"/>
                <w:b/>
                <w:color w:val="auto"/>
                <w:sz w:val="24"/>
                <w:szCs w:val="28"/>
                <w:highlight w:val="none"/>
              </w:rPr>
              <w:t>符合性审查项</w:t>
            </w:r>
          </w:p>
        </w:tc>
        <w:tc>
          <w:tcPr>
            <w:tcW w:w="465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jc w:val="center"/>
              <w:rPr>
                <w:rFonts w:ascii="宋体" w:hAnsi="宋体"/>
                <w:color w:val="auto"/>
                <w:sz w:val="24"/>
                <w:szCs w:val="28"/>
                <w:highlight w:val="none"/>
              </w:rPr>
            </w:pPr>
            <w:r>
              <w:rPr>
                <w:rFonts w:hint="eastAsia" w:ascii="宋体" w:hAnsi="宋体"/>
                <w:b/>
                <w:color w:val="auto"/>
                <w:sz w:val="24"/>
                <w:szCs w:val="28"/>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rPr>
                <w:rFonts w:hint="eastAsia" w:ascii="宋体" w:hAnsi="宋体"/>
              </w:rPr>
            </w:pPr>
            <w:r>
              <w:rPr>
                <w:rFonts w:hint="eastAsia" w:ascii="宋体" w:hAnsi="宋体"/>
              </w:rPr>
              <w:t>1</w:t>
            </w:r>
          </w:p>
        </w:tc>
        <w:tc>
          <w:tcPr>
            <w:tcW w:w="4218"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rPr>
                <w:rFonts w:hint="eastAsia" w:ascii="宋体" w:hAnsi="宋体"/>
              </w:rPr>
            </w:pPr>
            <w:r>
              <w:rPr>
                <w:rFonts w:hint="eastAsia" w:ascii="宋体" w:hAnsi="宋体"/>
              </w:rPr>
              <w:t>技术、服务性响应文件的组成</w:t>
            </w:r>
          </w:p>
        </w:tc>
        <w:tc>
          <w:tcPr>
            <w:tcW w:w="4651"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rPr>
                <w:rFonts w:hint="eastAsia" w:ascii="宋体" w:hAnsi="宋体"/>
              </w:rPr>
            </w:pPr>
            <w:r>
              <w:rPr>
                <w:rFonts w:hint="eastAsia" w:ascii="宋体" w:hAnsi="宋体"/>
              </w:rPr>
              <w:t>符合磋商文件“2.4.5响应文件的组成”规定要求（最后报价文件除外）。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rPr>
                <w:rFonts w:hint="eastAsia" w:ascii="宋体" w:hAnsi="宋体"/>
              </w:rPr>
            </w:pPr>
            <w:r>
              <w:rPr>
                <w:rFonts w:hint="eastAsia" w:ascii="宋体" w:hAnsi="宋体"/>
              </w:rPr>
              <w:t>2</w:t>
            </w:r>
          </w:p>
        </w:tc>
        <w:tc>
          <w:tcPr>
            <w:tcW w:w="4218"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rPr>
                <w:rFonts w:hint="eastAsia" w:ascii="宋体" w:hAnsi="宋体"/>
                <w:lang w:eastAsia="zh-CN"/>
              </w:rPr>
            </w:pPr>
            <w:r>
              <w:rPr>
                <w:rFonts w:hint="eastAsia" w:ascii="宋体" w:hAnsi="宋体"/>
              </w:rPr>
              <w:t>技术、服务性响应文件计量单位、语言</w:t>
            </w:r>
            <w:r>
              <w:rPr>
                <w:rFonts w:hint="eastAsia" w:ascii="宋体" w:hAnsi="宋体"/>
                <w:lang w:eastAsia="zh-CN"/>
              </w:rPr>
              <w:t>、报价货币</w:t>
            </w:r>
          </w:p>
        </w:tc>
        <w:tc>
          <w:tcPr>
            <w:tcW w:w="4651"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rPr>
                <w:rFonts w:hint="eastAsia" w:ascii="宋体" w:hAnsi="宋体"/>
              </w:rPr>
            </w:pPr>
            <w:r>
              <w:rPr>
                <w:rFonts w:hint="eastAsia" w:ascii="宋体" w:hAnsi="宋体"/>
              </w:rPr>
              <w:t>计量单位、语言</w:t>
            </w:r>
            <w:r>
              <w:rPr>
                <w:rFonts w:hint="eastAsia" w:ascii="宋体" w:hAnsi="宋体"/>
                <w:lang w:eastAsia="zh-CN"/>
              </w:rPr>
              <w:t>、报价货币均</w:t>
            </w:r>
            <w:r>
              <w:rPr>
                <w:rFonts w:hint="eastAsia" w:ascii="宋体" w:hAnsi="宋体"/>
              </w:rPr>
              <w:t>满足磋商文件要求。【说明：无须提供证明材料，上传空白页即可，不对本项上传的材料作</w:t>
            </w:r>
            <w:r>
              <w:rPr>
                <w:rFonts w:hint="eastAsia" w:ascii="宋体" w:hAnsi="宋体"/>
                <w:lang w:eastAsia="zh-CN"/>
              </w:rPr>
              <w:t>符合性</w:t>
            </w:r>
            <w:r>
              <w:rPr>
                <w:rFonts w:hint="eastAsia" w:ascii="宋体" w:hAnsi="宋体"/>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rPr>
                <w:rFonts w:hint="eastAsia" w:ascii="宋体" w:hAnsi="宋体"/>
              </w:rPr>
            </w:pPr>
            <w:r>
              <w:rPr>
                <w:rFonts w:hint="eastAsia" w:ascii="宋体" w:hAnsi="宋体"/>
              </w:rPr>
              <w:t>3</w:t>
            </w:r>
          </w:p>
        </w:tc>
        <w:tc>
          <w:tcPr>
            <w:tcW w:w="4218"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rPr>
                <w:rFonts w:hint="eastAsia" w:ascii="宋体" w:hAnsi="宋体"/>
              </w:rPr>
            </w:pPr>
            <w:r>
              <w:rPr>
                <w:rFonts w:hint="eastAsia" w:ascii="宋体" w:hAnsi="宋体"/>
              </w:rPr>
              <w:t>技术、服务性响应文件对磋商文件规定的采购项目实质性响应要求的响应情况</w:t>
            </w:r>
          </w:p>
        </w:tc>
        <w:tc>
          <w:tcPr>
            <w:tcW w:w="4651"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rPr>
                <w:rFonts w:hint="eastAsia" w:ascii="宋体" w:hAnsi="宋体"/>
              </w:rPr>
            </w:pPr>
            <w:r>
              <w:rPr>
                <w:rFonts w:hint="eastAsia" w:ascii="宋体" w:hAnsi="宋体"/>
              </w:rPr>
              <w:t>符合磋商文件规定的采购项目实质性响应要求。【说明：无须提供证明材料，上传空白页即可，不对本项上传的材料作</w:t>
            </w:r>
            <w:r>
              <w:rPr>
                <w:rFonts w:hint="eastAsia" w:ascii="宋体" w:hAnsi="宋体"/>
                <w:lang w:eastAsia="zh-CN"/>
              </w:rPr>
              <w:t>符合性</w:t>
            </w:r>
            <w:r>
              <w:rPr>
                <w:rFonts w:hint="eastAsia" w:ascii="宋体" w:hAnsi="宋体"/>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rPr>
                <w:rFonts w:hint="eastAsia" w:ascii="宋体" w:hAnsi="宋体"/>
                <w:lang w:val="en-US" w:eastAsia="zh-CN"/>
              </w:rPr>
            </w:pPr>
            <w:r>
              <w:rPr>
                <w:rFonts w:hint="eastAsia" w:ascii="宋体" w:hAnsi="宋体"/>
              </w:rPr>
              <w:t>4</w:t>
            </w:r>
          </w:p>
        </w:tc>
        <w:tc>
          <w:tcPr>
            <w:tcW w:w="4218"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rPr>
                <w:rFonts w:hint="eastAsia" w:ascii="宋体" w:hAnsi="宋体"/>
                <w:lang w:val="en-US" w:eastAsia="zh-CN"/>
              </w:rPr>
            </w:pPr>
            <w:r>
              <w:rPr>
                <w:rFonts w:hint="eastAsia" w:ascii="宋体" w:hAnsi="宋体"/>
              </w:rPr>
              <w:t>进口产品</w:t>
            </w:r>
          </w:p>
        </w:tc>
        <w:tc>
          <w:tcPr>
            <w:tcW w:w="4651"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rPr>
                <w:rFonts w:hint="eastAsia" w:ascii="宋体" w:hAnsi="宋体"/>
                <w:lang w:val="en-US" w:eastAsia="zh-CN"/>
              </w:rPr>
            </w:pPr>
            <w:r>
              <w:rPr>
                <w:rFonts w:hint="eastAsia" w:ascii="宋体" w:hAnsi="宋体"/>
              </w:rPr>
              <w:t>磋商文件中未载明“允许采购进口产品”的产品，拒绝进口产品的报价。磋商文件中载明“允许采购进口产品”的产品，允许国产产品参与竞争。【说明：无须提供证明材料，上传空白页即可，不对本项上传的材料作</w:t>
            </w:r>
            <w:r>
              <w:rPr>
                <w:rFonts w:hint="eastAsia" w:ascii="宋体" w:hAnsi="宋体"/>
                <w:lang w:eastAsia="zh-CN"/>
              </w:rPr>
              <w:t>符合性</w:t>
            </w:r>
            <w:r>
              <w:rPr>
                <w:rFonts w:hint="eastAsia" w:ascii="宋体" w:hAnsi="宋体"/>
              </w:rPr>
              <w:t>审查】</w:t>
            </w:r>
          </w:p>
        </w:tc>
      </w:tr>
    </w:tbl>
    <w:p>
      <w:pPr>
        <w:snapToGrid w:val="0"/>
        <w:spacing w:line="360" w:lineRule="auto"/>
        <w:rPr>
          <w:rFonts w:hint="eastAsia" w:ascii="宋体" w:hAnsi="宋体"/>
        </w:rPr>
      </w:pPr>
    </w:p>
    <w:p>
      <w:pPr>
        <w:tabs>
          <w:tab w:val="left" w:pos="851"/>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一、以上每一项结论均为“通过”的，则供应商的响应文件通过符合性审查，才能允许其参加磋商；如有任意一项结论为“不通过”的，则供应商的响应文件按无效响应文件处理，不允许其参加磋商。如果磋商小组认为供应商有任意一项不通过的，应在评审报告中载明不通过的具体原因。</w:t>
      </w:r>
    </w:p>
    <w:p>
      <w:pPr>
        <w:pStyle w:val="237"/>
        <w:numPr>
          <w:ilvl w:val="0"/>
          <w:numId w:val="20"/>
        </w:numPr>
        <w:ind w:left="0" w:firstLine="560"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磋商小组符合性审查结束后，应当出具符合性审查报告，确定参加磋商的供应商名单。</w:t>
      </w:r>
    </w:p>
    <w:p>
      <w:pPr>
        <w:pStyle w:val="237"/>
        <w:numPr>
          <w:ilvl w:val="0"/>
          <w:numId w:val="20"/>
        </w:numPr>
        <w:tabs>
          <w:tab w:val="left" w:pos="1134"/>
          <w:tab w:val="left" w:pos="1418"/>
        </w:tabs>
        <w:spacing w:after="200" w:line="360" w:lineRule="auto"/>
        <w:ind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通过符合性审查的供应商不足三家的，采购失败。</w:t>
      </w:r>
    </w:p>
    <w:p>
      <w:pPr>
        <w:spacing w:line="360" w:lineRule="auto"/>
        <w:ind w:firstLine="602" w:firstLineChars="214"/>
        <w:rPr>
          <w:rFonts w:ascii="宋体" w:hAnsi="宋体"/>
          <w:b/>
          <w:color w:val="auto"/>
          <w:sz w:val="28"/>
          <w:szCs w:val="28"/>
          <w:highlight w:val="none"/>
        </w:rPr>
      </w:pPr>
      <w:r>
        <w:rPr>
          <w:rFonts w:hint="eastAsia" w:ascii="宋体" w:hAnsi="宋体"/>
          <w:b/>
          <w:color w:val="auto"/>
          <w:sz w:val="28"/>
          <w:szCs w:val="28"/>
          <w:highlight w:val="none"/>
        </w:rPr>
        <w:t>特别说明：磋商文件中要求提供复印件的证明材料的，包含原件的影印件或复印件。</w:t>
      </w:r>
    </w:p>
    <w:p>
      <w:pPr>
        <w:pStyle w:val="5"/>
        <w:numPr>
          <w:ilvl w:val="0"/>
          <w:numId w:val="0"/>
        </w:numPr>
        <w:rPr>
          <w:color w:val="auto"/>
          <w:highlight w:val="none"/>
        </w:rPr>
      </w:pPr>
      <w:bookmarkStart w:id="238" w:name="_Toc990"/>
      <w:bookmarkStart w:id="239" w:name="_Toc7031"/>
      <w:r>
        <w:rPr>
          <w:rFonts w:hint="eastAsia"/>
          <w:color w:val="auto"/>
          <w:highlight w:val="none"/>
        </w:rPr>
        <w:t>5.2.</w:t>
      </w:r>
      <w:r>
        <w:rPr>
          <w:rFonts w:hint="eastAsia"/>
          <w:color w:val="auto"/>
          <w:highlight w:val="none"/>
          <w:lang w:val="en-US" w:eastAsia="zh-CN"/>
        </w:rPr>
        <w:t>4</w:t>
      </w:r>
      <w:r>
        <w:rPr>
          <w:rFonts w:hint="eastAsia"/>
          <w:color w:val="auto"/>
          <w:highlight w:val="none"/>
        </w:rPr>
        <w:t>磋商</w:t>
      </w:r>
      <w:bookmarkEnd w:id="238"/>
      <w:bookmarkEnd w:id="239"/>
    </w:p>
    <w:p>
      <w:pPr>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磋商会议在成都市公共资源交易服务中心“政府采购云平台”进行。磋商会议由</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公资交易中心在线主持，供应商代表在线参加。</w:t>
      </w:r>
    </w:p>
    <w:p>
      <w:pPr>
        <w:numPr>
          <w:ilvl w:val="1"/>
          <w:numId w:val="21"/>
        </w:numPr>
        <w:tabs>
          <w:tab w:val="left" w:pos="1134"/>
        </w:tabs>
        <w:spacing w:after="20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磋商小组按照磋商文件的规定与邀请参加磋商的供应商分别进行磋商，磋商顺序由磋商小组确定，磋商通过“政府采购云平台”在线进行。供应商应</w:t>
      </w:r>
      <w:r>
        <w:rPr>
          <w:rFonts w:ascii="宋体" w:hAnsi="宋体"/>
          <w:color w:val="auto"/>
          <w:sz w:val="24"/>
          <w:szCs w:val="24"/>
          <w:highlight w:val="none"/>
        </w:rPr>
        <w:t>随时关注“</w:t>
      </w:r>
      <w:r>
        <w:rPr>
          <w:rFonts w:hint="eastAsia" w:ascii="宋体" w:hAnsi="宋体"/>
          <w:color w:val="auto"/>
          <w:sz w:val="24"/>
          <w:szCs w:val="24"/>
          <w:highlight w:val="none"/>
        </w:rPr>
        <w:t>政府</w:t>
      </w:r>
      <w:r>
        <w:rPr>
          <w:rFonts w:ascii="宋体" w:hAnsi="宋体"/>
          <w:color w:val="auto"/>
          <w:sz w:val="24"/>
          <w:szCs w:val="24"/>
          <w:highlight w:val="none"/>
        </w:rPr>
        <w:t>采购</w:t>
      </w:r>
      <w:r>
        <w:rPr>
          <w:rFonts w:hint="eastAsia" w:ascii="宋体" w:hAnsi="宋体"/>
          <w:color w:val="auto"/>
          <w:sz w:val="24"/>
          <w:szCs w:val="24"/>
          <w:highlight w:val="none"/>
        </w:rPr>
        <w:t>云</w:t>
      </w:r>
      <w:r>
        <w:rPr>
          <w:rFonts w:ascii="宋体" w:hAnsi="宋体"/>
          <w:color w:val="auto"/>
          <w:sz w:val="24"/>
          <w:szCs w:val="24"/>
          <w:highlight w:val="none"/>
        </w:rPr>
        <w:t>平台”</w:t>
      </w:r>
      <w:r>
        <w:rPr>
          <w:rFonts w:hint="eastAsia" w:ascii="宋体" w:hAnsi="宋体"/>
          <w:color w:val="auto"/>
          <w:sz w:val="24"/>
          <w:szCs w:val="24"/>
          <w:highlight w:val="none"/>
        </w:rPr>
        <w:t>站内信息或</w:t>
      </w:r>
      <w:r>
        <w:rPr>
          <w:rFonts w:ascii="宋体" w:hAnsi="宋体"/>
          <w:color w:val="auto"/>
          <w:sz w:val="24"/>
          <w:szCs w:val="24"/>
          <w:highlight w:val="none"/>
        </w:rPr>
        <w:t>短信提醒，</w:t>
      </w:r>
      <w:r>
        <w:rPr>
          <w:rFonts w:hint="eastAsia" w:ascii="宋体" w:hAnsi="宋体"/>
          <w:color w:val="auto"/>
          <w:sz w:val="24"/>
          <w:szCs w:val="24"/>
          <w:highlight w:val="none"/>
        </w:rPr>
        <w:t>及时参与</w:t>
      </w:r>
      <w:r>
        <w:rPr>
          <w:rFonts w:ascii="宋体" w:hAnsi="宋体"/>
          <w:color w:val="auto"/>
          <w:sz w:val="24"/>
          <w:szCs w:val="24"/>
          <w:highlight w:val="none"/>
        </w:rPr>
        <w:t>在线</w:t>
      </w:r>
      <w:r>
        <w:rPr>
          <w:rFonts w:hint="eastAsia" w:ascii="宋体" w:hAnsi="宋体"/>
          <w:color w:val="auto"/>
          <w:sz w:val="24"/>
          <w:szCs w:val="24"/>
          <w:highlight w:val="none"/>
        </w:rPr>
        <w:t>磋商。登录成都市公共资源交易服务中心门户网站（https://www.cdggzy.com/）—政府采购云平台—项目采购—开标评标—进入开标大厅（找到对应项目）。磋商小组可通过“发起视频评审”“询标”功能，向供应商发起在线磋商邀请，供应商可使用“视频评审”“澄清”功能，与专家进行在线磋商、递交磋商承诺函，承诺函应加盖供应商（法定名称）电子签章</w:t>
      </w:r>
      <w:r>
        <w:rPr>
          <w:rFonts w:ascii="宋体" w:hAnsi="宋体"/>
          <w:color w:val="auto"/>
          <w:sz w:val="24"/>
          <w:szCs w:val="24"/>
          <w:highlight w:val="none"/>
        </w:rPr>
        <w:t>。</w:t>
      </w:r>
    </w:p>
    <w:p>
      <w:pPr>
        <w:numPr>
          <w:ilvl w:val="1"/>
          <w:numId w:val="21"/>
        </w:numPr>
        <w:tabs>
          <w:tab w:val="left" w:pos="1134"/>
        </w:tabs>
        <w:spacing w:after="20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磋商小组所有成员集中与单一供应商分别进行一轮或多轮的磋商。在磋商中，磋商的任何一方不得透露与磋商有关的其他供应商的技术资料、价格和其他信息。</w:t>
      </w:r>
    </w:p>
    <w:p>
      <w:pPr>
        <w:numPr>
          <w:ilvl w:val="1"/>
          <w:numId w:val="21"/>
        </w:numPr>
        <w:tabs>
          <w:tab w:val="left" w:pos="1134"/>
        </w:tabs>
        <w:spacing w:after="20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磋商内容为第4章中“技术、服务、商务及其他要求”、第6章“合同草案条款”。其中第4章中加★号的条款为采购项目的</w:t>
      </w:r>
      <w:r>
        <w:rPr>
          <w:rFonts w:hint="eastAsia" w:ascii="宋体" w:hAnsi="宋体" w:cs="宋体"/>
          <w:color w:val="auto"/>
          <w:sz w:val="24"/>
          <w:szCs w:val="24"/>
          <w:highlight w:val="none"/>
        </w:rPr>
        <w:t>实质性</w:t>
      </w:r>
      <w:r>
        <w:rPr>
          <w:rFonts w:ascii="宋体" w:hAnsi="宋体" w:cs="宋体"/>
          <w:color w:val="auto"/>
          <w:sz w:val="24"/>
          <w:szCs w:val="24"/>
          <w:highlight w:val="none"/>
        </w:rPr>
        <w:t>响应</w:t>
      </w:r>
      <w:r>
        <w:rPr>
          <w:rFonts w:hint="eastAsia" w:ascii="宋体" w:hAnsi="宋体" w:cs="宋体"/>
          <w:color w:val="auto"/>
          <w:sz w:val="24"/>
          <w:szCs w:val="24"/>
          <w:highlight w:val="none"/>
        </w:rPr>
        <w:t>要求</w:t>
      </w:r>
      <w:r>
        <w:rPr>
          <w:rFonts w:hint="eastAsia" w:ascii="宋体" w:hAnsi="宋体"/>
          <w:color w:val="auto"/>
          <w:sz w:val="24"/>
          <w:szCs w:val="24"/>
          <w:highlight w:val="none"/>
        </w:rPr>
        <w:t>，不允许实质性</w:t>
      </w:r>
      <w:r>
        <w:rPr>
          <w:rFonts w:ascii="宋体" w:hAnsi="宋体"/>
          <w:color w:val="auto"/>
          <w:sz w:val="24"/>
          <w:szCs w:val="24"/>
          <w:highlight w:val="none"/>
        </w:rPr>
        <w:t>变动。</w:t>
      </w:r>
    </w:p>
    <w:p>
      <w:pPr>
        <w:numPr>
          <w:ilvl w:val="1"/>
          <w:numId w:val="21"/>
        </w:numPr>
        <w:tabs>
          <w:tab w:val="left" w:pos="1134"/>
        </w:tabs>
        <w:spacing w:after="20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磋商过程中，磋商小组获得采购人同意（由采购人代表签字确认）后，可以根据磋商文件和磋商情况实质性变动磋商文件中的第4章技术、服务、商务及其他要求、第6章合同草案条款可</w:t>
      </w:r>
      <w:r>
        <w:rPr>
          <w:rFonts w:ascii="宋体" w:hAnsi="宋体"/>
          <w:color w:val="auto"/>
          <w:sz w:val="24"/>
          <w:szCs w:val="24"/>
          <w:highlight w:val="none"/>
        </w:rPr>
        <w:t>实质性变动的内容</w:t>
      </w:r>
      <w:r>
        <w:rPr>
          <w:rFonts w:hint="eastAsia" w:ascii="宋体" w:hAnsi="宋体"/>
          <w:color w:val="auto"/>
          <w:sz w:val="24"/>
          <w:szCs w:val="24"/>
          <w:highlight w:val="none"/>
        </w:rPr>
        <w:t>，但不得变动磋商文件中的其他内容。对磋商文件作出的实质性变动是磋商文件的有效组成部分，磋商小组应通过“询标”功能，将变动情况通知所有参加磋商的供应商。磋商过程中，磋商小组可以根据磋商情况调整磋商轮次。</w:t>
      </w:r>
    </w:p>
    <w:p>
      <w:pPr>
        <w:numPr>
          <w:ilvl w:val="1"/>
          <w:numId w:val="21"/>
        </w:numPr>
        <w:tabs>
          <w:tab w:val="left" w:pos="1134"/>
        </w:tabs>
        <w:spacing w:after="20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磋商过程中，供应商可以根据磋商情况变更其响应文件，并将变更内容通过“澄清”功能送磋商小组。变更内容作为响应文件的一部分。供应商书面材料应加盖供应商（法定名称）电子签章，否则无效。</w:t>
      </w:r>
    </w:p>
    <w:p>
      <w:pPr>
        <w:numPr>
          <w:ilvl w:val="1"/>
          <w:numId w:val="21"/>
        </w:numPr>
        <w:tabs>
          <w:tab w:val="left" w:pos="1134"/>
        </w:tabs>
        <w:spacing w:after="200" w:line="360" w:lineRule="auto"/>
        <w:ind w:left="0" w:firstLine="480" w:firstLineChars="200"/>
        <w:rPr>
          <w:rFonts w:ascii="宋体" w:hAnsi="宋体"/>
          <w:b/>
          <w:bCs/>
          <w:color w:val="auto"/>
          <w:sz w:val="24"/>
          <w:szCs w:val="24"/>
          <w:highlight w:val="none"/>
        </w:rPr>
      </w:pPr>
      <w:r>
        <w:rPr>
          <w:rFonts w:hint="eastAsia" w:ascii="宋体" w:hAnsi="宋体"/>
          <w:color w:val="auto"/>
          <w:sz w:val="24"/>
          <w:szCs w:val="24"/>
          <w:highlight w:val="none"/>
        </w:rPr>
        <w:t>磋商过程中，磋商的任何一方不得透露与磋商有关的其他供应商的技术资料、价格和其他信息。</w:t>
      </w:r>
    </w:p>
    <w:p>
      <w:pPr>
        <w:numPr>
          <w:ilvl w:val="1"/>
          <w:numId w:val="21"/>
        </w:numPr>
        <w:tabs>
          <w:tab w:val="left" w:pos="1134"/>
        </w:tabs>
        <w:spacing w:after="20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磋商过程中，磋商小组发现或者知晓供应商存在违法行为的，应当在评审报告中予以记录，并向财政部门报告，依法应将该供应商响应文件作无效处理的，应当作无效处理。</w:t>
      </w:r>
    </w:p>
    <w:p>
      <w:pPr>
        <w:pStyle w:val="5"/>
        <w:numPr>
          <w:ilvl w:val="0"/>
          <w:numId w:val="0"/>
        </w:numPr>
        <w:rPr>
          <w:color w:val="auto"/>
          <w:highlight w:val="none"/>
        </w:rPr>
      </w:pPr>
      <w:bookmarkStart w:id="240" w:name="_Toc23850"/>
      <w:bookmarkStart w:id="241" w:name="_Toc15432"/>
      <w:r>
        <w:rPr>
          <w:rFonts w:hint="eastAsia"/>
          <w:color w:val="auto"/>
          <w:highlight w:val="none"/>
        </w:rPr>
        <w:t>5.2.</w:t>
      </w:r>
      <w:r>
        <w:rPr>
          <w:rFonts w:hint="eastAsia"/>
          <w:color w:val="auto"/>
          <w:highlight w:val="none"/>
          <w:lang w:val="en-US" w:eastAsia="zh-CN"/>
        </w:rPr>
        <w:t>5</w:t>
      </w:r>
      <w:r>
        <w:rPr>
          <w:rFonts w:hint="eastAsia"/>
          <w:color w:val="auto"/>
          <w:highlight w:val="none"/>
        </w:rPr>
        <w:t>最后报价审查</w:t>
      </w:r>
      <w:bookmarkEnd w:id="240"/>
      <w:bookmarkEnd w:id="241"/>
    </w:p>
    <w:p>
      <w:pPr>
        <w:widowControl/>
        <w:numPr>
          <w:ilvl w:val="0"/>
          <w:numId w:val="22"/>
        </w:numPr>
        <w:tabs>
          <w:tab w:val="left" w:pos="1134"/>
        </w:tabs>
        <w:snapToGrid w:val="0"/>
        <w:spacing w:after="200" w:line="360" w:lineRule="auto"/>
        <w:ind w:left="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磋商结束</w:t>
      </w:r>
      <w:r>
        <w:rPr>
          <w:rFonts w:ascii="宋体" w:hAnsi="宋体"/>
          <w:color w:val="auto"/>
          <w:sz w:val="24"/>
          <w:szCs w:val="24"/>
          <w:highlight w:val="none"/>
        </w:rPr>
        <w:t>后，</w:t>
      </w:r>
      <w:r>
        <w:rPr>
          <w:rFonts w:hint="eastAsia" w:ascii="宋体" w:hAnsi="宋体"/>
          <w:color w:val="auto"/>
          <w:sz w:val="24"/>
          <w:szCs w:val="24"/>
          <w:highlight w:val="none"/>
        </w:rPr>
        <w:t>磋商小组应当要求所有实质性响应的供应商在规定时间内进行最后报价。磋商小组</w:t>
      </w:r>
      <w:r>
        <w:rPr>
          <w:rFonts w:ascii="宋体" w:hAnsi="宋体"/>
          <w:color w:val="auto"/>
          <w:sz w:val="24"/>
          <w:szCs w:val="24"/>
          <w:highlight w:val="none"/>
        </w:rPr>
        <w:t>开启报价后，供应商应随时关注“</w:t>
      </w:r>
      <w:r>
        <w:rPr>
          <w:rFonts w:hint="eastAsia" w:ascii="宋体" w:hAnsi="宋体"/>
          <w:color w:val="auto"/>
          <w:sz w:val="24"/>
          <w:szCs w:val="24"/>
          <w:highlight w:val="none"/>
        </w:rPr>
        <w:t>政府</w:t>
      </w:r>
      <w:r>
        <w:rPr>
          <w:rFonts w:ascii="宋体" w:hAnsi="宋体"/>
          <w:color w:val="auto"/>
          <w:sz w:val="24"/>
          <w:szCs w:val="24"/>
          <w:highlight w:val="none"/>
        </w:rPr>
        <w:t>采购</w:t>
      </w:r>
      <w:r>
        <w:rPr>
          <w:rFonts w:hint="eastAsia" w:ascii="宋体" w:hAnsi="宋体"/>
          <w:color w:val="auto"/>
          <w:sz w:val="24"/>
          <w:szCs w:val="24"/>
          <w:highlight w:val="none"/>
        </w:rPr>
        <w:t>云</w:t>
      </w:r>
      <w:r>
        <w:rPr>
          <w:rFonts w:ascii="宋体" w:hAnsi="宋体"/>
          <w:color w:val="auto"/>
          <w:sz w:val="24"/>
          <w:szCs w:val="24"/>
          <w:highlight w:val="none"/>
        </w:rPr>
        <w:t>平台”</w:t>
      </w:r>
      <w:r>
        <w:rPr>
          <w:rFonts w:hint="eastAsia" w:ascii="宋体" w:hAnsi="宋体"/>
          <w:color w:val="auto"/>
          <w:sz w:val="24"/>
          <w:szCs w:val="24"/>
          <w:highlight w:val="none"/>
        </w:rPr>
        <w:t>站内信息或</w:t>
      </w:r>
      <w:r>
        <w:rPr>
          <w:rFonts w:ascii="宋体" w:hAnsi="宋体"/>
          <w:color w:val="auto"/>
          <w:sz w:val="24"/>
          <w:szCs w:val="24"/>
          <w:highlight w:val="none"/>
        </w:rPr>
        <w:t>短信提醒，</w:t>
      </w:r>
      <w:r>
        <w:rPr>
          <w:rFonts w:hint="eastAsia" w:ascii="宋体" w:hAnsi="宋体"/>
          <w:color w:val="auto"/>
          <w:sz w:val="24"/>
          <w:szCs w:val="24"/>
          <w:highlight w:val="none"/>
        </w:rPr>
        <w:t>登录“政府采购云平台”，通过“开标大厅”进行报价。登录成都市公共资源交易服务中心门户网站（https://www.cdggzy.com/）—政府采购云平台—项目采购—开标评标—开标大厅（找到对应项目）—报价，进行报价</w:t>
      </w:r>
      <w:r>
        <w:rPr>
          <w:rFonts w:ascii="宋体" w:hAnsi="宋体"/>
          <w:color w:val="auto"/>
          <w:sz w:val="24"/>
          <w:szCs w:val="24"/>
          <w:highlight w:val="none"/>
        </w:rPr>
        <w:t>并</w:t>
      </w:r>
      <w:r>
        <w:rPr>
          <w:rFonts w:hint="eastAsia" w:ascii="宋体" w:hAnsi="宋体"/>
          <w:color w:val="auto"/>
          <w:sz w:val="24"/>
          <w:szCs w:val="24"/>
          <w:highlight w:val="none"/>
        </w:rPr>
        <w:t>签章</w:t>
      </w:r>
      <w:r>
        <w:rPr>
          <w:rFonts w:ascii="宋体" w:hAnsi="宋体"/>
          <w:color w:val="auto"/>
          <w:sz w:val="24"/>
          <w:szCs w:val="24"/>
          <w:highlight w:val="none"/>
        </w:rPr>
        <w:t>后</w:t>
      </w:r>
      <w:r>
        <w:rPr>
          <w:rFonts w:hint="eastAsia" w:ascii="宋体" w:hAnsi="宋体"/>
          <w:color w:val="auto"/>
          <w:sz w:val="24"/>
          <w:szCs w:val="24"/>
          <w:highlight w:val="none"/>
        </w:rPr>
        <w:t>递交。报价</w:t>
      </w:r>
      <w:r>
        <w:rPr>
          <w:rFonts w:ascii="宋体" w:hAnsi="宋体"/>
          <w:color w:val="auto"/>
          <w:sz w:val="24"/>
          <w:szCs w:val="24"/>
          <w:highlight w:val="none"/>
        </w:rPr>
        <w:t>时间截止后，系统</w:t>
      </w:r>
      <w:r>
        <w:rPr>
          <w:rFonts w:hint="eastAsia" w:ascii="宋体" w:hAnsi="宋体"/>
          <w:color w:val="auto"/>
          <w:sz w:val="24"/>
          <w:szCs w:val="24"/>
          <w:highlight w:val="none"/>
        </w:rPr>
        <w:t>统一</w:t>
      </w:r>
      <w:r>
        <w:rPr>
          <w:rFonts w:ascii="宋体" w:hAnsi="宋体"/>
          <w:color w:val="auto"/>
          <w:sz w:val="24"/>
          <w:szCs w:val="24"/>
          <w:highlight w:val="none"/>
        </w:rPr>
        <w:t>公布报价。</w:t>
      </w:r>
      <w:r>
        <w:rPr>
          <w:rFonts w:hint="eastAsia" w:ascii="宋体" w:hAnsi="宋体"/>
          <w:color w:val="auto"/>
          <w:sz w:val="24"/>
          <w:szCs w:val="24"/>
          <w:highlight w:val="none"/>
        </w:rPr>
        <w:t>提示：供应商未按时登录不见面开标系统，未在报价</w:t>
      </w:r>
      <w:r>
        <w:rPr>
          <w:rFonts w:ascii="宋体" w:hAnsi="宋体"/>
          <w:color w:val="auto"/>
          <w:sz w:val="24"/>
          <w:szCs w:val="24"/>
          <w:highlight w:val="none"/>
        </w:rPr>
        <w:t>截止时间内</w:t>
      </w:r>
      <w:r>
        <w:rPr>
          <w:rFonts w:hint="eastAsia" w:ascii="宋体" w:hAnsi="宋体"/>
          <w:color w:val="auto"/>
          <w:sz w:val="24"/>
          <w:szCs w:val="24"/>
          <w:highlight w:val="none"/>
        </w:rPr>
        <w:t>递交</w:t>
      </w:r>
      <w:r>
        <w:rPr>
          <w:rFonts w:ascii="宋体" w:hAnsi="宋体"/>
          <w:color w:val="auto"/>
          <w:sz w:val="24"/>
          <w:szCs w:val="24"/>
          <w:highlight w:val="none"/>
        </w:rPr>
        <w:t>报价</w:t>
      </w:r>
      <w:r>
        <w:rPr>
          <w:rFonts w:hint="eastAsia" w:ascii="宋体" w:hAnsi="宋体"/>
          <w:color w:val="auto"/>
          <w:sz w:val="24"/>
          <w:szCs w:val="24"/>
          <w:highlight w:val="none"/>
        </w:rPr>
        <w:t>或未按要求进行报价的，</w:t>
      </w:r>
      <w:r>
        <w:rPr>
          <w:rFonts w:ascii="宋体" w:hAnsi="宋体"/>
          <w:color w:val="auto"/>
          <w:sz w:val="24"/>
          <w:szCs w:val="24"/>
          <w:highlight w:val="none"/>
        </w:rPr>
        <w:t>视为供应商</w:t>
      </w:r>
      <w:r>
        <w:rPr>
          <w:rFonts w:hint="eastAsia" w:ascii="宋体" w:hAnsi="宋体"/>
          <w:color w:val="auto"/>
          <w:sz w:val="24"/>
          <w:szCs w:val="24"/>
          <w:highlight w:val="none"/>
        </w:rPr>
        <w:t>响应文件无效，由供应商自行承担不利后果。</w:t>
      </w:r>
    </w:p>
    <w:p>
      <w:pPr>
        <w:widowControl/>
        <w:numPr>
          <w:ilvl w:val="0"/>
          <w:numId w:val="22"/>
        </w:numPr>
        <w:tabs>
          <w:tab w:val="left" w:pos="1134"/>
        </w:tabs>
        <w:snapToGrid w:val="0"/>
        <w:spacing w:after="200" w:line="360" w:lineRule="auto"/>
        <w:ind w:left="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已提交响应文件的供应商，在提交最后报价之前，可以根据磋商情况退出磋商。</w:t>
      </w:r>
    </w:p>
    <w:p>
      <w:pPr>
        <w:widowControl/>
        <w:numPr>
          <w:ilvl w:val="0"/>
          <w:numId w:val="22"/>
        </w:numPr>
        <w:tabs>
          <w:tab w:val="left" w:pos="1134"/>
        </w:tabs>
        <w:snapToGrid w:val="0"/>
        <w:spacing w:after="200" w:line="360" w:lineRule="auto"/>
        <w:ind w:left="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供应商未按磋商小组要求在规定时间内提交最后报价的，视为其退出磋商。</w:t>
      </w:r>
    </w:p>
    <w:p>
      <w:pPr>
        <w:widowControl/>
        <w:numPr>
          <w:ilvl w:val="0"/>
          <w:numId w:val="22"/>
        </w:numPr>
        <w:tabs>
          <w:tab w:val="left" w:pos="1134"/>
        </w:tabs>
        <w:snapToGrid w:val="0"/>
        <w:spacing w:after="200" w:line="360" w:lineRule="auto"/>
        <w:ind w:left="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最后报价一旦递交后，供应商不得以任何理由撤回。</w:t>
      </w:r>
    </w:p>
    <w:p>
      <w:pPr>
        <w:widowControl/>
        <w:numPr>
          <w:ilvl w:val="0"/>
          <w:numId w:val="22"/>
        </w:numPr>
        <w:tabs>
          <w:tab w:val="left" w:pos="1134"/>
        </w:tabs>
        <w:snapToGrid w:val="0"/>
        <w:spacing w:after="200" w:line="360" w:lineRule="auto"/>
        <w:ind w:left="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最后报价为有效报价应符合下列条件：</w:t>
      </w:r>
    </w:p>
    <w:p>
      <w:pPr>
        <w:widowControl/>
        <w:numPr>
          <w:ilvl w:val="0"/>
          <w:numId w:val="23"/>
        </w:numPr>
        <w:tabs>
          <w:tab w:val="left" w:pos="-2127"/>
          <w:tab w:val="left" w:pos="1134"/>
        </w:tabs>
        <w:snapToGrid w:val="0"/>
        <w:spacing w:after="200" w:line="360" w:lineRule="auto"/>
        <w:ind w:left="0" w:firstLine="557"/>
        <w:rPr>
          <w:rFonts w:ascii="宋体" w:hAnsi="宋体" w:cs="宋体"/>
          <w:color w:val="auto"/>
          <w:sz w:val="24"/>
          <w:szCs w:val="24"/>
          <w:highlight w:val="none"/>
        </w:rPr>
      </w:pPr>
      <w:r>
        <w:rPr>
          <w:rFonts w:hint="eastAsia" w:ascii="宋体" w:hAnsi="宋体" w:cs="宋体"/>
          <w:color w:val="auto"/>
          <w:sz w:val="24"/>
          <w:szCs w:val="24"/>
          <w:highlight w:val="none"/>
        </w:rPr>
        <w:t>供应商所提供的最后报价是在规定的时间内提交。</w:t>
      </w:r>
    </w:p>
    <w:p>
      <w:pPr>
        <w:widowControl/>
        <w:numPr>
          <w:ilvl w:val="0"/>
          <w:numId w:val="23"/>
        </w:numPr>
        <w:tabs>
          <w:tab w:val="left" w:pos="-2127"/>
          <w:tab w:val="left" w:pos="1134"/>
        </w:tabs>
        <w:snapToGrid w:val="0"/>
        <w:spacing w:after="200" w:line="360" w:lineRule="auto"/>
        <w:ind w:left="0" w:firstLine="557"/>
        <w:rPr>
          <w:rFonts w:ascii="宋体" w:hAnsi="宋体" w:cs="宋体"/>
          <w:color w:val="auto"/>
          <w:sz w:val="24"/>
          <w:szCs w:val="24"/>
          <w:highlight w:val="none"/>
        </w:rPr>
      </w:pPr>
      <w:r>
        <w:rPr>
          <w:rFonts w:hint="eastAsia" w:ascii="宋体" w:hAnsi="宋体" w:cs="宋体"/>
          <w:color w:val="auto"/>
          <w:sz w:val="24"/>
          <w:szCs w:val="24"/>
          <w:highlight w:val="none"/>
        </w:rPr>
        <w:t>供应商的最后报价应加盖供应商（法定名称）电子签章。</w:t>
      </w:r>
    </w:p>
    <w:p>
      <w:pPr>
        <w:widowControl/>
        <w:numPr>
          <w:ilvl w:val="0"/>
          <w:numId w:val="23"/>
        </w:numPr>
        <w:tabs>
          <w:tab w:val="left" w:pos="-2127"/>
          <w:tab w:val="left" w:pos="1134"/>
        </w:tabs>
        <w:snapToGrid w:val="0"/>
        <w:spacing w:after="200" w:line="360" w:lineRule="auto"/>
        <w:ind w:left="0" w:firstLine="557"/>
        <w:rPr>
          <w:rFonts w:ascii="宋体" w:hAnsi="宋体" w:cs="宋体"/>
          <w:color w:val="auto"/>
          <w:sz w:val="24"/>
          <w:szCs w:val="24"/>
          <w:highlight w:val="none"/>
        </w:rPr>
      </w:pPr>
      <w:r>
        <w:rPr>
          <w:rFonts w:hint="eastAsia" w:ascii="宋体" w:hAnsi="宋体" w:cs="宋体"/>
          <w:color w:val="auto"/>
          <w:sz w:val="24"/>
          <w:szCs w:val="24"/>
          <w:highlight w:val="none"/>
        </w:rPr>
        <w:t>供应商的最后报价符合磋商文件的要求。</w:t>
      </w:r>
    </w:p>
    <w:p>
      <w:pPr>
        <w:widowControl/>
        <w:numPr>
          <w:ilvl w:val="0"/>
          <w:numId w:val="23"/>
        </w:numPr>
        <w:tabs>
          <w:tab w:val="left" w:pos="-2127"/>
          <w:tab w:val="left" w:pos="1134"/>
        </w:tabs>
        <w:snapToGrid w:val="0"/>
        <w:spacing w:after="200" w:line="360" w:lineRule="auto"/>
        <w:ind w:left="0" w:firstLine="557"/>
        <w:rPr>
          <w:rFonts w:ascii="宋体" w:hAnsi="宋体" w:cs="宋体"/>
          <w:color w:val="auto"/>
          <w:sz w:val="24"/>
          <w:szCs w:val="24"/>
          <w:highlight w:val="none"/>
        </w:rPr>
      </w:pPr>
      <w:r>
        <w:rPr>
          <w:rFonts w:hint="eastAsia" w:ascii="宋体" w:hAnsi="宋体" w:cs="宋体"/>
          <w:color w:val="auto"/>
          <w:sz w:val="24"/>
          <w:szCs w:val="24"/>
          <w:highlight w:val="none"/>
        </w:rPr>
        <w:t>最后报价唯一，且不高于最高限价。</w:t>
      </w:r>
    </w:p>
    <w:p>
      <w:pPr>
        <w:pStyle w:val="237"/>
        <w:numPr>
          <w:ilvl w:val="0"/>
          <w:numId w:val="22"/>
        </w:numPr>
        <w:ind w:left="0" w:firstLine="568"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在未提高响应文件中承诺的服务质量的情况下，最后报价不高于技术、服务性响应文件中的报价，否则，磋商小组应当对其响应文件按无效处理。</w:t>
      </w:r>
    </w:p>
    <w:p>
      <w:pPr>
        <w:widowControl/>
        <w:numPr>
          <w:ilvl w:val="0"/>
          <w:numId w:val="22"/>
        </w:numPr>
        <w:tabs>
          <w:tab w:val="left" w:pos="-2127"/>
          <w:tab w:val="left" w:pos="1134"/>
        </w:tabs>
        <w:snapToGrid w:val="0"/>
        <w:spacing w:line="620" w:lineRule="exact"/>
        <w:ind w:left="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最后报价出现下列情况的，不需要供应商澄清，按以下原则处理：</w:t>
      </w:r>
    </w:p>
    <w:p>
      <w:pPr>
        <w:pStyle w:val="319"/>
        <w:numPr>
          <w:ilvl w:val="0"/>
          <w:numId w:val="24"/>
        </w:numPr>
        <w:tabs>
          <w:tab w:val="left" w:pos="1134"/>
          <w:tab w:val="clear" w:pos="846"/>
        </w:tabs>
        <w:snapToGrid w:val="0"/>
        <w:spacing w:line="620" w:lineRule="exact"/>
        <w:ind w:left="0" w:firstLine="567"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最后报价中的大写金额和小写金额不一致的，以大写金额为准，但大写金额出现文字错误，导致金额无法判断的除外；</w:t>
      </w:r>
    </w:p>
    <w:p>
      <w:pPr>
        <w:pStyle w:val="319"/>
        <w:numPr>
          <w:ilvl w:val="0"/>
          <w:numId w:val="24"/>
        </w:numPr>
        <w:tabs>
          <w:tab w:val="left" w:pos="1134"/>
          <w:tab w:val="clear" w:pos="846"/>
        </w:tabs>
        <w:snapToGrid w:val="0"/>
        <w:spacing w:line="620" w:lineRule="exact"/>
        <w:ind w:left="0" w:firstLine="525"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单价金额小数点或者百分比有明显错位的，应以总价为准，并修改单价；</w:t>
      </w:r>
    </w:p>
    <w:p>
      <w:pPr>
        <w:pStyle w:val="319"/>
        <w:numPr>
          <w:ilvl w:val="0"/>
          <w:numId w:val="24"/>
        </w:numPr>
        <w:tabs>
          <w:tab w:val="left" w:pos="1134"/>
          <w:tab w:val="clear" w:pos="846"/>
        </w:tabs>
        <w:snapToGrid w:val="0"/>
        <w:spacing w:line="620" w:lineRule="exact"/>
        <w:ind w:left="0" w:firstLine="525"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总价金额与按单价汇总金额不一致的，以单价汇总金额计算结果为准；</w:t>
      </w:r>
    </w:p>
    <w:p>
      <w:pPr>
        <w:snapToGrid w:val="0"/>
        <w:spacing w:line="620" w:lineRule="exact"/>
        <w:ind w:firstLine="480" w:firstLineChars="200"/>
        <w:rPr>
          <w:color w:val="auto"/>
          <w:sz w:val="24"/>
          <w:szCs w:val="24"/>
          <w:highlight w:val="none"/>
        </w:rPr>
      </w:pPr>
      <w:r>
        <w:rPr>
          <w:rFonts w:hint="eastAsia" w:cs="Arial"/>
          <w:color w:val="auto"/>
          <w:sz w:val="24"/>
          <w:szCs w:val="24"/>
          <w:highlight w:val="none"/>
        </w:rPr>
        <w:t>同时出现两种以上不一致的，按照前款规定的顺序修正。修正后的</w:t>
      </w:r>
      <w:r>
        <w:rPr>
          <w:rFonts w:hint="eastAsia" w:ascii="宋体" w:hAnsi="宋体"/>
          <w:color w:val="auto"/>
          <w:sz w:val="24"/>
          <w:szCs w:val="24"/>
          <w:highlight w:val="none"/>
        </w:rPr>
        <w:t>最后</w:t>
      </w:r>
      <w:r>
        <w:rPr>
          <w:rFonts w:hint="eastAsia" w:cs="Arial"/>
          <w:color w:val="auto"/>
          <w:sz w:val="24"/>
          <w:szCs w:val="24"/>
          <w:highlight w:val="none"/>
        </w:rPr>
        <w:t>报价经加盖供应商（法定名称）电子签章后产生约束力，供应商不确认的，其</w:t>
      </w:r>
      <w:r>
        <w:rPr>
          <w:rFonts w:hint="eastAsia" w:ascii="宋体" w:hAnsi="宋体"/>
          <w:color w:val="auto"/>
          <w:sz w:val="24"/>
          <w:szCs w:val="24"/>
          <w:highlight w:val="none"/>
        </w:rPr>
        <w:t>最后</w:t>
      </w:r>
      <w:r>
        <w:rPr>
          <w:rFonts w:hint="eastAsia" w:cs="Arial"/>
          <w:color w:val="auto"/>
          <w:sz w:val="24"/>
          <w:szCs w:val="24"/>
          <w:highlight w:val="none"/>
        </w:rPr>
        <w:t>报价无效。</w:t>
      </w:r>
    </w:p>
    <w:p>
      <w:pPr>
        <w:pStyle w:val="2"/>
        <w:ind w:firstLine="484" w:firstLineChars="202"/>
        <w:rPr>
          <w:rFonts w:ascii="宋体" w:hAnsi="宋体"/>
          <w:color w:val="auto"/>
          <w:sz w:val="24"/>
          <w:szCs w:val="24"/>
          <w:highlight w:val="none"/>
        </w:rPr>
      </w:pPr>
      <w:r>
        <w:rPr>
          <w:rFonts w:hint="eastAsia" w:ascii="宋体" w:hAnsi="宋体"/>
          <w:color w:val="auto"/>
          <w:sz w:val="24"/>
          <w:szCs w:val="24"/>
          <w:highlight w:val="none"/>
        </w:rPr>
        <w:t>对不同语言文本响应文件的解释发生异议的，以中文文本为准。</w:t>
      </w:r>
    </w:p>
    <w:p>
      <w:pPr>
        <w:widowControl/>
        <w:numPr>
          <w:ilvl w:val="0"/>
          <w:numId w:val="22"/>
        </w:numPr>
        <w:tabs>
          <w:tab w:val="left" w:pos="-2127"/>
          <w:tab w:val="left" w:pos="1134"/>
        </w:tabs>
        <w:snapToGrid w:val="0"/>
        <w:spacing w:line="620" w:lineRule="exact"/>
        <w:ind w:left="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有效最后报价的供应商不足</w:t>
      </w:r>
      <w:r>
        <w:rPr>
          <w:rFonts w:hint="eastAsia"/>
          <w:color w:val="auto"/>
          <w:sz w:val="24"/>
          <w:szCs w:val="24"/>
          <w:highlight w:val="none"/>
          <w:lang w:eastAsia="zh-CN"/>
        </w:rPr>
        <w:t>三</w:t>
      </w:r>
      <w:r>
        <w:rPr>
          <w:rFonts w:hint="eastAsia" w:ascii="宋体" w:hAnsi="宋体"/>
          <w:color w:val="auto"/>
          <w:sz w:val="24"/>
          <w:szCs w:val="24"/>
          <w:highlight w:val="none"/>
        </w:rPr>
        <w:t>家的，采购失败。</w:t>
      </w:r>
    </w:p>
    <w:p>
      <w:pPr>
        <w:pStyle w:val="5"/>
        <w:numPr>
          <w:ilvl w:val="0"/>
          <w:numId w:val="0"/>
        </w:numPr>
        <w:rPr>
          <w:color w:val="auto"/>
          <w:highlight w:val="none"/>
        </w:rPr>
      </w:pPr>
      <w:bookmarkStart w:id="242" w:name="_Toc23446"/>
      <w:bookmarkStart w:id="243" w:name="_Toc15768"/>
      <w:r>
        <w:rPr>
          <w:rFonts w:hint="eastAsia"/>
          <w:color w:val="auto"/>
          <w:highlight w:val="none"/>
        </w:rPr>
        <w:t>5.2.</w:t>
      </w:r>
      <w:r>
        <w:rPr>
          <w:rFonts w:hint="eastAsia"/>
          <w:color w:val="auto"/>
          <w:highlight w:val="none"/>
          <w:lang w:val="en-US" w:eastAsia="zh-CN"/>
        </w:rPr>
        <w:t>6</w:t>
      </w:r>
      <w:r>
        <w:rPr>
          <w:rFonts w:hint="eastAsia"/>
          <w:color w:val="auto"/>
          <w:highlight w:val="none"/>
        </w:rPr>
        <w:t>解释、澄清、说明的有关问题</w:t>
      </w:r>
      <w:bookmarkEnd w:id="242"/>
      <w:bookmarkEnd w:id="243"/>
    </w:p>
    <w:p>
      <w:pPr>
        <w:numPr>
          <w:ilvl w:val="0"/>
          <w:numId w:val="25"/>
        </w:numPr>
        <w:tabs>
          <w:tab w:val="left" w:pos="1134"/>
        </w:tabs>
        <w:spacing w:after="200" w:line="360" w:lineRule="auto"/>
        <w:ind w:left="0" w:firstLine="567"/>
        <w:rPr>
          <w:rFonts w:ascii="宋体" w:hAnsi="宋体"/>
          <w:color w:val="auto"/>
          <w:sz w:val="24"/>
          <w:szCs w:val="24"/>
          <w:highlight w:val="none"/>
        </w:rPr>
      </w:pPr>
      <w:r>
        <w:rPr>
          <w:rFonts w:hint="eastAsia" w:ascii="宋体" w:hAnsi="宋体"/>
          <w:color w:val="auto"/>
          <w:sz w:val="24"/>
          <w:szCs w:val="24"/>
          <w:highlight w:val="none"/>
        </w:rPr>
        <w:t>评审过程中，磋商小组认为磋商文件有关事项表述不明确或需要说明的，可以提请</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公资交易中心书面解释。</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公资交易中心的解释不得改变磋商文件的原义或者影响公平、公正，解释事项如果涉及供应商权益的以有利于供应商的原则进行解释。</w:t>
      </w:r>
    </w:p>
    <w:p>
      <w:pPr>
        <w:numPr>
          <w:ilvl w:val="0"/>
          <w:numId w:val="25"/>
        </w:numPr>
        <w:tabs>
          <w:tab w:val="left" w:pos="1134"/>
        </w:tabs>
        <w:spacing w:after="200" w:line="360" w:lineRule="auto"/>
        <w:ind w:left="0" w:firstLine="567"/>
        <w:rPr>
          <w:rFonts w:ascii="宋体" w:hAnsi="宋体"/>
          <w:color w:val="auto"/>
          <w:sz w:val="24"/>
          <w:szCs w:val="24"/>
          <w:highlight w:val="none"/>
        </w:rPr>
      </w:pPr>
      <w:r>
        <w:rPr>
          <w:rFonts w:hint="eastAsia" w:ascii="宋体" w:hAnsi="宋体"/>
          <w:color w:val="auto"/>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三、评审结束前，供应商应随时关注系统提示，及时通过“政府采购云平台”在线响应磋商小组发出的澄清、说明或补正要求，签章并确认提交成功。逾时回复将不能提交，视为供应商自行放弃，其损失由供应商承担。</w:t>
      </w:r>
    </w:p>
    <w:p>
      <w:pPr>
        <w:spacing w:line="360" w:lineRule="auto"/>
        <w:ind w:firstLine="482" w:firstLineChars="200"/>
        <w:rPr>
          <w:rFonts w:ascii="宋体" w:hAnsi="宋体"/>
          <w:b/>
          <w:color w:val="auto"/>
          <w:sz w:val="28"/>
          <w:szCs w:val="28"/>
          <w:highlight w:val="none"/>
        </w:rPr>
      </w:pPr>
      <w:r>
        <w:rPr>
          <w:rFonts w:hint="eastAsia" w:ascii="宋体" w:hAnsi="宋体"/>
          <w:b/>
          <w:color w:val="auto"/>
          <w:sz w:val="24"/>
          <w:szCs w:val="24"/>
          <w:highlight w:val="none"/>
        </w:rPr>
        <w:t>磋商小组应当积极履行澄清、说明或者更正的职责，不得滥用权力。</w:t>
      </w:r>
    </w:p>
    <w:p>
      <w:pPr>
        <w:pStyle w:val="5"/>
        <w:numPr>
          <w:ilvl w:val="0"/>
          <w:numId w:val="0"/>
        </w:numPr>
        <w:rPr>
          <w:color w:val="auto"/>
          <w:highlight w:val="none"/>
        </w:rPr>
      </w:pPr>
      <w:bookmarkStart w:id="244" w:name="_Toc8"/>
      <w:bookmarkStart w:id="245" w:name="_Toc11477"/>
      <w:r>
        <w:rPr>
          <w:rFonts w:hint="eastAsia"/>
          <w:color w:val="auto"/>
          <w:highlight w:val="none"/>
        </w:rPr>
        <w:t>5.2.</w:t>
      </w:r>
      <w:r>
        <w:rPr>
          <w:rFonts w:hint="eastAsia"/>
          <w:color w:val="auto"/>
          <w:highlight w:val="none"/>
          <w:lang w:val="en-US" w:eastAsia="zh-CN"/>
        </w:rPr>
        <w:t>7</w:t>
      </w:r>
      <w:r>
        <w:rPr>
          <w:color w:val="auto"/>
          <w:highlight w:val="none"/>
        </w:rPr>
        <w:t>复核</w:t>
      </w:r>
      <w:bookmarkEnd w:id="244"/>
      <w:bookmarkEnd w:id="245"/>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评审结束后，磋商小组应当进行复核，特别要对拟推荐为成交候选供应商的、报价最低的、响应文件被认定为无效的进行重点复核。</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评审结果汇总完成后，磋商小组拟出具评审报告前，</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公资交易中心应当组织2名以上的工作人员，在采购现场监督人员的监督之下，依据有关的法律制度和采购文件对评审结果进行复核，出具复核报告。</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评审结果汇总完成后，除下列情形外，任何人不得修改评审结果：</w:t>
      </w:r>
    </w:p>
    <w:p>
      <w:pPr>
        <w:pStyle w:val="237"/>
        <w:widowControl/>
        <w:numPr>
          <w:ilvl w:val="0"/>
          <w:numId w:val="26"/>
        </w:numPr>
        <w:tabs>
          <w:tab w:val="left" w:pos="1418"/>
        </w:tabs>
        <w:spacing w:after="200" w:line="360" w:lineRule="auto"/>
        <w:ind w:left="0" w:firstLine="480" w:firstLineChars="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资格性认定错误；</w:t>
      </w:r>
    </w:p>
    <w:p>
      <w:pPr>
        <w:pStyle w:val="237"/>
        <w:widowControl/>
        <w:numPr>
          <w:ilvl w:val="0"/>
          <w:numId w:val="26"/>
        </w:numPr>
        <w:tabs>
          <w:tab w:val="left" w:pos="1418"/>
        </w:tabs>
        <w:spacing w:after="200" w:line="360" w:lineRule="auto"/>
        <w:ind w:left="0" w:firstLine="480" w:firstLineChars="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分值汇总计算错误的；</w:t>
      </w:r>
    </w:p>
    <w:p>
      <w:pPr>
        <w:pStyle w:val="237"/>
        <w:widowControl/>
        <w:numPr>
          <w:ilvl w:val="0"/>
          <w:numId w:val="26"/>
        </w:numPr>
        <w:tabs>
          <w:tab w:val="left" w:pos="1418"/>
        </w:tabs>
        <w:spacing w:after="200" w:line="360" w:lineRule="auto"/>
        <w:ind w:left="0" w:firstLine="480" w:firstLineChars="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分项评分超出评分标准范围的；</w:t>
      </w:r>
    </w:p>
    <w:p>
      <w:pPr>
        <w:pStyle w:val="237"/>
        <w:widowControl/>
        <w:numPr>
          <w:ilvl w:val="0"/>
          <w:numId w:val="26"/>
        </w:numPr>
        <w:tabs>
          <w:tab w:val="left" w:pos="1418"/>
        </w:tabs>
        <w:spacing w:after="200" w:line="360" w:lineRule="auto"/>
        <w:ind w:left="0" w:firstLine="480" w:firstLineChars="0"/>
        <w:jc w:val="left"/>
        <w:rPr>
          <w:rFonts w:ascii="宋体" w:hAnsi="宋体" w:eastAsia="宋体"/>
          <w:color w:val="auto"/>
          <w:sz w:val="24"/>
          <w:szCs w:val="24"/>
          <w:highlight w:val="none"/>
        </w:rPr>
      </w:pPr>
      <w:r>
        <w:rPr>
          <w:rFonts w:hint="eastAsia" w:ascii="宋体" w:hAnsi="宋体" w:eastAsia="宋体"/>
          <w:color w:val="auto"/>
          <w:sz w:val="24"/>
          <w:szCs w:val="24"/>
          <w:highlight w:val="none"/>
        </w:rPr>
        <w:t>磋商小组成员对客观评审因素评分不一致的；</w:t>
      </w:r>
    </w:p>
    <w:p>
      <w:pPr>
        <w:pStyle w:val="237"/>
        <w:widowControl/>
        <w:numPr>
          <w:ilvl w:val="0"/>
          <w:numId w:val="26"/>
        </w:numPr>
        <w:tabs>
          <w:tab w:val="left" w:pos="1418"/>
        </w:tabs>
        <w:spacing w:after="200" w:line="360" w:lineRule="auto"/>
        <w:ind w:left="0" w:firstLine="480" w:firstLineChars="0"/>
        <w:jc w:val="left"/>
        <w:rPr>
          <w:rFonts w:ascii="宋体" w:hAnsi="宋体" w:eastAsia="宋体"/>
          <w:color w:val="auto"/>
          <w:sz w:val="24"/>
          <w:szCs w:val="24"/>
          <w:highlight w:val="none"/>
        </w:rPr>
      </w:pPr>
      <w:r>
        <w:rPr>
          <w:rFonts w:hint="eastAsia" w:ascii="宋体" w:hAnsi="宋体" w:eastAsia="宋体"/>
          <w:color w:val="auto"/>
          <w:sz w:val="24"/>
          <w:szCs w:val="24"/>
          <w:highlight w:val="none"/>
        </w:rPr>
        <w:t>经磋商小组认定评分畸高、畸低的。</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存在本条上述情形的，由磋商小组自主决定是否采纳</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公资交易中心的书面建议，并承担独立评审责任。磋商小组采纳</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公资交易中心书面建议的，应当按照规定现场修改评审结果或者重新评审，并在磋商报告中详细记载有关事宜；不采纳</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公资交易中心书面建议的，应当书面说明理由。</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公资交易中心书面建议未被磋商小组采纳的，应当按照规定程序要求继续组织实施采购活动，不得擅自中止采购活动。</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公资交易中心认为磋商小组评审结果不合法的，应当书面报告采购项目同级财政部门。</w:t>
      </w:r>
    </w:p>
    <w:p>
      <w:pPr>
        <w:tabs>
          <w:tab w:val="left" w:pos="851"/>
        </w:tabs>
        <w:spacing w:line="360" w:lineRule="auto"/>
        <w:ind w:firstLine="480" w:firstLineChars="200"/>
        <w:rPr>
          <w:rFonts w:ascii="宋体" w:hAnsi="宋体"/>
          <w:color w:val="auto"/>
          <w:sz w:val="28"/>
          <w:szCs w:val="28"/>
          <w:highlight w:val="none"/>
        </w:rPr>
      </w:pP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公资交易中心复核过程中，磋商小组成员不得离开评审现场。</w:t>
      </w:r>
    </w:p>
    <w:p>
      <w:pPr>
        <w:pStyle w:val="5"/>
        <w:numPr>
          <w:ilvl w:val="0"/>
          <w:numId w:val="0"/>
        </w:numPr>
        <w:rPr>
          <w:rFonts w:hint="eastAsia"/>
          <w:color w:val="auto"/>
          <w:highlight w:val="none"/>
        </w:rPr>
      </w:pPr>
      <w:bookmarkStart w:id="246" w:name="_Toc21375"/>
      <w:bookmarkStart w:id="247" w:name="_Toc20046"/>
      <w:r>
        <w:rPr>
          <w:rFonts w:hint="eastAsia"/>
          <w:color w:val="auto"/>
          <w:highlight w:val="none"/>
        </w:rPr>
        <w:t>5.2.</w:t>
      </w:r>
      <w:bookmarkStart w:id="248" w:name="_Toc63437916"/>
      <w:bookmarkStart w:id="249" w:name="_Toc63084330"/>
      <w:bookmarkStart w:id="250" w:name="_Toc73622795"/>
      <w:r>
        <w:rPr>
          <w:rFonts w:hint="eastAsia"/>
          <w:color w:val="auto"/>
          <w:highlight w:val="none"/>
          <w:lang w:val="en-US" w:eastAsia="zh-CN"/>
        </w:rPr>
        <w:t>8</w:t>
      </w:r>
      <w:r>
        <w:rPr>
          <w:rFonts w:hint="eastAsia"/>
          <w:color w:val="auto"/>
          <w:highlight w:val="none"/>
        </w:rPr>
        <w:t>推荐成交候选供应商</w:t>
      </w:r>
      <w:bookmarkEnd w:id="246"/>
      <w:bookmarkEnd w:id="247"/>
      <w:bookmarkEnd w:id="248"/>
      <w:bookmarkEnd w:id="249"/>
      <w:bookmarkEnd w:id="250"/>
    </w:p>
    <w:p>
      <w:pPr>
        <w:spacing w:line="360" w:lineRule="auto"/>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磋商小组应当根据综合评分情况，按照评审得分由高到低顺序推荐</w:t>
      </w:r>
      <w:r>
        <w:rPr>
          <w:rFonts w:hint="eastAsia"/>
          <w:color w:val="auto"/>
          <w:sz w:val="24"/>
          <w:szCs w:val="24"/>
          <w:highlight w:val="none"/>
          <w:lang w:val="en-US" w:eastAsia="zh-CN"/>
        </w:rPr>
        <w:t>1-3</w:t>
      </w:r>
      <w:r>
        <w:rPr>
          <w:rFonts w:hint="eastAsia" w:ascii="宋体" w:hAnsi="宋体"/>
          <w:color w:val="auto"/>
          <w:sz w:val="24"/>
          <w:szCs w:val="24"/>
          <w:highlight w:val="none"/>
        </w:rPr>
        <w:t>名成交候选供应商，并编写评审报告。评审得分相同的，按照最后报价由低到高的顺序推荐。评审得分且最后报价相同的，按照技术指标优劣（技术类分项得分高低）顺序推荐。评审得分且最后报价且技术指标得分均相同的，成交候选供应商并列，由采购人随机抽签确定成交供应商。</w:t>
      </w:r>
    </w:p>
    <w:p>
      <w:pPr>
        <w:pStyle w:val="5"/>
        <w:numPr>
          <w:ilvl w:val="0"/>
          <w:numId w:val="0"/>
        </w:numPr>
        <w:ind w:firstLine="480" w:firstLineChars="200"/>
        <w:rPr>
          <w:rFonts w:hint="eastAsia" w:ascii="宋体" w:hAnsi="宋体" w:eastAsia="宋体" w:cs="宋体"/>
          <w:b w:val="0"/>
          <w:bCs w:val="0"/>
          <w:color w:val="auto"/>
          <w:kern w:val="2"/>
          <w:sz w:val="24"/>
          <w:szCs w:val="24"/>
          <w:highlight w:val="none"/>
          <w:lang w:val="en-US" w:eastAsia="zh-CN" w:bidi="ar-SA"/>
        </w:rPr>
      </w:pPr>
      <w:bookmarkStart w:id="251" w:name="_Toc565"/>
      <w:bookmarkStart w:id="252" w:name="_Toc26218"/>
      <w:bookmarkStart w:id="253" w:name="_Toc23585"/>
      <w:bookmarkStart w:id="254" w:name="_Toc30456"/>
      <w:bookmarkStart w:id="255" w:name="_Toc8990"/>
      <w:r>
        <w:rPr>
          <w:rFonts w:hint="eastAsia" w:ascii="宋体" w:hAnsi="宋体" w:eastAsia="宋体" w:cs="宋体"/>
          <w:b w:val="0"/>
          <w:bCs w:val="0"/>
          <w:color w:val="auto"/>
          <w:kern w:val="2"/>
          <w:sz w:val="24"/>
          <w:szCs w:val="24"/>
          <w:highlight w:val="none"/>
          <w:lang w:val="en-US" w:eastAsia="zh-CN" w:bidi="ar-SA"/>
        </w:rPr>
        <w:t>提供核心产品品牌相同且通过资格检查和符合性检查的不同供应商参加同一项目磋商的，按一家供应商计算，评审后得分最高的供应商获得成交候选人推荐资格；评审得分相同的，报价最低的供应商获得成交候选人推荐资格；评审得分相同且报价相同的，由磋商小组采取随机抽取的方式确定一名供应商获得成交候选人推荐资格。</w:t>
      </w:r>
      <w:bookmarkEnd w:id="251"/>
      <w:bookmarkEnd w:id="252"/>
      <w:bookmarkEnd w:id="253"/>
      <w:bookmarkEnd w:id="254"/>
      <w:bookmarkEnd w:id="255"/>
    </w:p>
    <w:p>
      <w:pPr>
        <w:pStyle w:val="5"/>
        <w:numPr>
          <w:ilvl w:val="0"/>
          <w:numId w:val="0"/>
        </w:numPr>
        <w:rPr>
          <w:rFonts w:hint="eastAsia"/>
          <w:color w:val="auto"/>
          <w:highlight w:val="none"/>
          <w:lang w:val="en-US" w:eastAsia="zh-CN"/>
        </w:rPr>
      </w:pPr>
      <w:bookmarkStart w:id="256" w:name="_Toc21950"/>
      <w:bookmarkStart w:id="257" w:name="_Toc10338"/>
      <w:r>
        <w:rPr>
          <w:rFonts w:hint="eastAsia"/>
          <w:color w:val="auto"/>
          <w:highlight w:val="none"/>
          <w:lang w:val="en-US" w:eastAsia="zh-CN"/>
        </w:rPr>
        <w:t>5.2.9编写评审报告</w:t>
      </w:r>
      <w:bookmarkEnd w:id="256"/>
      <w:bookmarkEnd w:id="257"/>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评审报告是磋商小组根据全体成员签字的原始评审记录和评审结果编写的报告，其主要内容包括：</w:t>
      </w:r>
    </w:p>
    <w:p>
      <w:pPr>
        <w:pStyle w:val="237"/>
        <w:widowControl/>
        <w:numPr>
          <w:ilvl w:val="0"/>
          <w:numId w:val="27"/>
        </w:numPr>
        <w:tabs>
          <w:tab w:val="left" w:pos="1134"/>
        </w:tabs>
        <w:spacing w:after="200" w:line="360" w:lineRule="auto"/>
        <w:ind w:firstLineChars="0"/>
        <w:jc w:val="left"/>
        <w:rPr>
          <w:rFonts w:ascii="宋体" w:hAnsi="宋体" w:eastAsia="宋体"/>
          <w:color w:val="auto"/>
          <w:sz w:val="24"/>
          <w:szCs w:val="24"/>
          <w:highlight w:val="none"/>
        </w:rPr>
      </w:pPr>
      <w:r>
        <w:rPr>
          <w:rFonts w:hint="eastAsia" w:ascii="宋体" w:hAnsi="宋体" w:eastAsia="宋体"/>
          <w:color w:val="auto"/>
          <w:sz w:val="24"/>
          <w:szCs w:val="24"/>
          <w:highlight w:val="none"/>
        </w:rPr>
        <w:t>邀请供应商参加采购活动的具体方式和相关情况；</w:t>
      </w:r>
    </w:p>
    <w:p>
      <w:pPr>
        <w:pStyle w:val="237"/>
        <w:widowControl/>
        <w:numPr>
          <w:ilvl w:val="0"/>
          <w:numId w:val="27"/>
        </w:numPr>
        <w:tabs>
          <w:tab w:val="left" w:pos="1134"/>
        </w:tabs>
        <w:spacing w:after="200" w:line="360" w:lineRule="auto"/>
        <w:ind w:firstLineChars="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响应文件开启日期和地点；</w:t>
      </w:r>
    </w:p>
    <w:p>
      <w:pPr>
        <w:pStyle w:val="237"/>
        <w:widowControl/>
        <w:numPr>
          <w:ilvl w:val="0"/>
          <w:numId w:val="27"/>
        </w:numPr>
        <w:tabs>
          <w:tab w:val="left" w:pos="1134"/>
        </w:tabs>
        <w:spacing w:after="200" w:line="360" w:lineRule="auto"/>
        <w:ind w:left="0" w:firstLine="560" w:firstLineChars="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获取磋商文件的供应商名单和磋商小组成员名单；</w:t>
      </w:r>
    </w:p>
    <w:p>
      <w:pPr>
        <w:pStyle w:val="237"/>
        <w:widowControl/>
        <w:numPr>
          <w:ilvl w:val="0"/>
          <w:numId w:val="27"/>
        </w:numPr>
        <w:tabs>
          <w:tab w:val="left" w:pos="1134"/>
        </w:tabs>
        <w:spacing w:after="200" w:line="360" w:lineRule="auto"/>
        <w:ind w:left="0" w:firstLine="560" w:firstLineChars="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评审情况记录和说明，包括对供应商的资格审查情况、供应商响应文件评审情况、磋商情况、报价情况等；</w:t>
      </w:r>
    </w:p>
    <w:p>
      <w:pPr>
        <w:pStyle w:val="237"/>
        <w:widowControl/>
        <w:numPr>
          <w:ilvl w:val="0"/>
          <w:numId w:val="27"/>
        </w:numPr>
        <w:tabs>
          <w:tab w:val="left" w:pos="1134"/>
        </w:tabs>
        <w:spacing w:after="200" w:line="360" w:lineRule="auto"/>
        <w:ind w:left="0" w:firstLine="560" w:firstLineChars="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提出的成交候选供应商的排序名单及理由。</w:t>
      </w:r>
    </w:p>
    <w:p>
      <w:pPr>
        <w:tabs>
          <w:tab w:val="left" w:pos="1155"/>
        </w:tabs>
        <w:spacing w:line="360" w:lineRule="auto"/>
        <w:ind w:firstLine="448" w:firstLineChars="187"/>
        <w:rPr>
          <w:rFonts w:ascii="宋体" w:hAnsi="宋体"/>
          <w:color w:val="auto"/>
          <w:sz w:val="24"/>
          <w:szCs w:val="24"/>
          <w:highlight w:val="none"/>
        </w:rPr>
      </w:pPr>
      <w:r>
        <w:rPr>
          <w:rFonts w:hint="eastAsia" w:ascii="宋体" w:hAnsi="宋体"/>
          <w:color w:val="auto"/>
          <w:sz w:val="24"/>
          <w:szCs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评审报告上签字又不书面说明其不同意见和理由的，视为同意评审报告。</w:t>
      </w:r>
    </w:p>
    <w:p>
      <w:pPr>
        <w:pStyle w:val="4"/>
        <w:numPr>
          <w:ilvl w:val="1"/>
          <w:numId w:val="0"/>
        </w:numPr>
        <w:spacing w:before="0" w:after="200"/>
        <w:ind w:leftChars="0"/>
        <w:rPr>
          <w:color w:val="auto"/>
          <w:highlight w:val="none"/>
        </w:rPr>
      </w:pPr>
      <w:bookmarkStart w:id="258" w:name="_Toc8279"/>
      <w:bookmarkStart w:id="259" w:name="_Toc9428"/>
      <w:r>
        <w:rPr>
          <w:rFonts w:hint="eastAsia"/>
          <w:color w:val="auto"/>
          <w:highlight w:val="none"/>
        </w:rPr>
        <w:t>5.3</w:t>
      </w:r>
      <w:bookmarkStart w:id="260" w:name="_Toc77688497"/>
      <w:bookmarkStart w:id="261" w:name="_Toc58943347"/>
      <w:r>
        <w:rPr>
          <w:rFonts w:hint="eastAsia"/>
          <w:color w:val="auto"/>
          <w:highlight w:val="none"/>
        </w:rPr>
        <w:t>磋商</w:t>
      </w:r>
      <w:r>
        <w:rPr>
          <w:color w:val="auto"/>
          <w:highlight w:val="none"/>
        </w:rPr>
        <w:t>异议</w:t>
      </w:r>
      <w:r>
        <w:rPr>
          <w:rFonts w:hint="eastAsia"/>
          <w:color w:val="auto"/>
          <w:highlight w:val="none"/>
        </w:rPr>
        <w:t>处理</w:t>
      </w:r>
      <w:bookmarkEnd w:id="258"/>
      <w:bookmarkEnd w:id="259"/>
      <w:bookmarkEnd w:id="260"/>
      <w:bookmarkEnd w:id="261"/>
    </w:p>
    <w:p>
      <w:pPr>
        <w:tabs>
          <w:tab w:val="left" w:pos="1155"/>
        </w:tabs>
        <w:spacing w:line="360" w:lineRule="auto"/>
        <w:ind w:firstLine="484" w:firstLineChars="202"/>
        <w:rPr>
          <w:rFonts w:ascii="宋体" w:hAnsi="宋体"/>
          <w:color w:val="auto"/>
          <w:kern w:val="0"/>
          <w:sz w:val="24"/>
          <w:szCs w:val="24"/>
          <w:highlight w:val="none"/>
        </w:rPr>
      </w:pPr>
      <w:r>
        <w:rPr>
          <w:rFonts w:hint="eastAsia" w:ascii="宋体" w:hAnsi="宋体"/>
          <w:color w:val="auto"/>
          <w:kern w:val="0"/>
          <w:sz w:val="24"/>
          <w:szCs w:val="24"/>
          <w:highlight w:val="none"/>
        </w:rPr>
        <w:t>在磋商过程中，磋商小组成员对响应文件是否符合磋商文件规定存在争议的，应当以少数服从多数的原则处理，但不得违背磋商文件规定。有不同意见的磋商小组成员认为认定过程和结果不符合法律法规或者磋商文件规定的，应当在磋商报告中予以反映。</w:t>
      </w:r>
    </w:p>
    <w:p>
      <w:pPr>
        <w:pStyle w:val="4"/>
        <w:numPr>
          <w:ilvl w:val="0"/>
          <w:numId w:val="0"/>
        </w:numPr>
        <w:spacing w:before="156" w:after="156"/>
        <w:rPr>
          <w:rFonts w:hint="eastAsia" w:ascii="宋体" w:hAnsi="宋体" w:cs="Times New Roman"/>
          <w:b/>
          <w:bCs/>
          <w:color w:val="auto"/>
          <w:highlight w:val="none"/>
        </w:rPr>
      </w:pPr>
      <w:bookmarkStart w:id="262" w:name="_Toc13517"/>
      <w:bookmarkStart w:id="263" w:name="_Toc21547"/>
      <w:r>
        <w:rPr>
          <w:rFonts w:hint="eastAsia" w:ascii="宋体" w:hAnsi="宋体" w:cs="Times New Roman"/>
          <w:b/>
          <w:bCs/>
          <w:color w:val="auto"/>
          <w:highlight w:val="none"/>
          <w:lang w:val="en-US" w:eastAsia="zh-CN"/>
        </w:rPr>
        <w:t>5.</w:t>
      </w:r>
      <w:r>
        <w:rPr>
          <w:rFonts w:hint="eastAsia" w:cs="Times New Roman"/>
          <w:b/>
          <w:bCs/>
          <w:color w:val="auto"/>
          <w:highlight w:val="none"/>
          <w:lang w:val="en-US" w:eastAsia="zh-CN"/>
        </w:rPr>
        <w:t>4</w:t>
      </w:r>
      <w:r>
        <w:rPr>
          <w:rFonts w:hint="eastAsia" w:ascii="宋体" w:hAnsi="宋体" w:cs="Times New Roman"/>
          <w:b/>
          <w:bCs/>
          <w:color w:val="auto"/>
          <w:highlight w:val="none"/>
        </w:rPr>
        <w:t>评审办法和标准</w:t>
      </w:r>
      <w:bookmarkEnd w:id="262"/>
      <w:bookmarkEnd w:id="263"/>
    </w:p>
    <w:p>
      <w:pPr>
        <w:pStyle w:val="24"/>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一、由磋商小组根据磋商文件的要求采用相同的评审程序、评分办法及标准对提交最后报价的供应商的响应文件和最后报价进行综合评分；</w:t>
      </w:r>
    </w:p>
    <w:p>
      <w:pPr>
        <w:tabs>
          <w:tab w:val="left" w:pos="1155"/>
        </w:tabs>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二、本次综合评分的因素是：价格、技术、服务等；</w:t>
      </w:r>
    </w:p>
    <w:p>
      <w:pPr>
        <w:tabs>
          <w:tab w:val="left" w:pos="1155"/>
        </w:tabs>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三、评审时，磋商小组各成员应当独立对每个有效响应的文件进行评价、打分，然后汇总每个供应商每项评分因素的得分。</w:t>
      </w:r>
    </w:p>
    <w:p>
      <w:pPr>
        <w:pStyle w:val="4"/>
        <w:numPr>
          <w:ilvl w:val="0"/>
          <w:numId w:val="0"/>
        </w:numPr>
        <w:spacing w:before="156" w:after="156"/>
        <w:rPr>
          <w:rFonts w:hint="eastAsia" w:ascii="宋体" w:hAnsi="宋体" w:cs="Times New Roman"/>
          <w:b/>
          <w:bCs/>
          <w:color w:val="auto"/>
          <w:highlight w:val="none"/>
          <w:lang w:val="en-US" w:eastAsia="zh-CN"/>
        </w:rPr>
      </w:pPr>
      <w:bookmarkStart w:id="264" w:name="_Toc17232"/>
      <w:bookmarkStart w:id="265" w:name="_Toc24474"/>
      <w:r>
        <w:rPr>
          <w:rFonts w:hint="eastAsia" w:ascii="宋体" w:hAnsi="宋体" w:cs="Times New Roman"/>
          <w:b/>
          <w:bCs/>
          <w:color w:val="auto"/>
          <w:highlight w:val="none"/>
          <w:lang w:val="en-US" w:eastAsia="zh-CN"/>
        </w:rPr>
        <w:t>5.</w:t>
      </w:r>
      <w:r>
        <w:rPr>
          <w:rFonts w:hint="eastAsia" w:cs="Times New Roman"/>
          <w:b/>
          <w:bCs/>
          <w:color w:val="auto"/>
          <w:highlight w:val="none"/>
          <w:lang w:val="en-US" w:eastAsia="zh-CN"/>
        </w:rPr>
        <w:t>4.1</w:t>
      </w:r>
      <w:r>
        <w:rPr>
          <w:rFonts w:hint="eastAsia" w:ascii="宋体" w:hAnsi="宋体" w:cs="Times New Roman"/>
          <w:b/>
          <w:bCs/>
          <w:color w:val="auto"/>
          <w:highlight w:val="none"/>
          <w:lang w:val="en-US" w:eastAsia="zh-CN"/>
        </w:rPr>
        <w:t>评分办法</w:t>
      </w:r>
      <w:bookmarkEnd w:id="264"/>
      <w:bookmarkEnd w:id="265"/>
    </w:p>
    <w:p>
      <w:pPr>
        <w:pStyle w:val="24"/>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spacing w:line="360" w:lineRule="auto"/>
        <w:ind w:firstLine="540" w:firstLineChars="225"/>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评审得分＝（A1＋A2＋……＋An）/n1</w:t>
      </w:r>
    </w:p>
    <w:p>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A1、A2……An分别为磋商小组每个成员的打分，n1为磋商小组人数。 </w:t>
      </w:r>
    </w:p>
    <w:p>
      <w:pPr>
        <w:pStyle w:val="5"/>
        <w:ind w:left="0" w:firstLine="0"/>
        <w:rPr>
          <w:rFonts w:hint="eastAsia"/>
          <w:shd w:val="clear" w:color="auto" w:fill="FFFFFF"/>
        </w:rPr>
      </w:pPr>
      <w:bookmarkStart w:id="266" w:name="_Toc20245"/>
      <w:r>
        <w:rPr>
          <w:rFonts w:hint="eastAsia"/>
          <w:shd w:val="clear" w:color="auto" w:fill="FFFFFF"/>
        </w:rPr>
        <w:t>5.</w:t>
      </w:r>
      <w:r>
        <w:rPr>
          <w:rFonts w:hint="eastAsia"/>
          <w:shd w:val="clear" w:color="auto" w:fill="FFFFFF"/>
          <w:lang w:val="en-US" w:eastAsia="zh-CN"/>
        </w:rPr>
        <w:t>4</w:t>
      </w:r>
      <w:r>
        <w:rPr>
          <w:rFonts w:hint="eastAsia"/>
          <w:shd w:val="clear" w:color="auto" w:fill="FFFFFF"/>
        </w:rPr>
        <w:t>.2评分标准</w:t>
      </w:r>
      <w:bookmarkEnd w:id="266"/>
    </w:p>
    <w:p>
      <w:pPr>
        <w:rPr>
          <w:b/>
          <w:vanish/>
          <w:color w:val="000000"/>
          <w:shd w:val="clear" w:color="auto" w:fill="FFFFFF"/>
        </w:rPr>
      </w:pPr>
    </w:p>
    <w:tbl>
      <w:tblPr>
        <w:tblStyle w:val="42"/>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125"/>
        <w:gridCol w:w="1095"/>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pPr>
              <w:jc w:val="center"/>
              <w:rPr>
                <w:rFonts w:asciiTheme="minorEastAsia" w:hAnsiTheme="minorEastAsia" w:cstheme="minorEastAsia"/>
                <w:b/>
                <w:bCs/>
                <w:szCs w:val="21"/>
                <w:shd w:val="clear" w:color="auto" w:fill="FFFFFF"/>
              </w:rPr>
            </w:pPr>
            <w:r>
              <w:rPr>
                <w:rFonts w:hint="eastAsia" w:asciiTheme="minorEastAsia" w:hAnsiTheme="minorEastAsia" w:cstheme="minorEastAsia"/>
                <w:b/>
                <w:bCs/>
                <w:szCs w:val="21"/>
                <w:shd w:val="clear" w:color="auto" w:fill="FFFFFF"/>
              </w:rPr>
              <w:t>评委类别</w:t>
            </w:r>
          </w:p>
        </w:tc>
        <w:tc>
          <w:tcPr>
            <w:tcW w:w="1125" w:type="dxa"/>
            <w:vAlign w:val="center"/>
          </w:tcPr>
          <w:p>
            <w:pPr>
              <w:jc w:val="center"/>
              <w:rPr>
                <w:rFonts w:asciiTheme="minorEastAsia" w:hAnsiTheme="minorEastAsia" w:cstheme="minorEastAsia"/>
                <w:b/>
                <w:bCs/>
                <w:szCs w:val="21"/>
                <w:shd w:val="clear" w:color="auto" w:fill="FFFFFF"/>
              </w:rPr>
            </w:pPr>
            <w:r>
              <w:rPr>
                <w:rFonts w:hint="eastAsia" w:asciiTheme="minorEastAsia" w:hAnsiTheme="minorEastAsia" w:cstheme="minorEastAsia"/>
                <w:b/>
                <w:bCs/>
                <w:szCs w:val="21"/>
                <w:shd w:val="clear" w:color="auto" w:fill="FFFFFF"/>
              </w:rPr>
              <w:t>评审项目</w:t>
            </w:r>
          </w:p>
        </w:tc>
        <w:tc>
          <w:tcPr>
            <w:tcW w:w="1095" w:type="dxa"/>
            <w:vAlign w:val="center"/>
          </w:tcPr>
          <w:p>
            <w:pPr>
              <w:jc w:val="center"/>
              <w:rPr>
                <w:rFonts w:asciiTheme="minorEastAsia" w:hAnsiTheme="minorEastAsia" w:cstheme="minorEastAsia"/>
                <w:b/>
                <w:bCs/>
                <w:szCs w:val="21"/>
                <w:shd w:val="clear" w:color="auto" w:fill="FFFFFF"/>
              </w:rPr>
            </w:pPr>
            <w:r>
              <w:rPr>
                <w:rFonts w:hint="eastAsia" w:asciiTheme="minorEastAsia" w:hAnsiTheme="minorEastAsia" w:cstheme="minorEastAsia"/>
                <w:b/>
                <w:bCs/>
                <w:szCs w:val="21"/>
                <w:shd w:val="clear" w:color="auto" w:fill="FFFFFF"/>
              </w:rPr>
              <w:t>分值</w:t>
            </w:r>
          </w:p>
        </w:tc>
        <w:tc>
          <w:tcPr>
            <w:tcW w:w="6049" w:type="dxa"/>
            <w:vAlign w:val="center"/>
          </w:tcPr>
          <w:p>
            <w:pPr>
              <w:jc w:val="center"/>
              <w:rPr>
                <w:rFonts w:asciiTheme="minorEastAsia" w:hAnsiTheme="minorEastAsia" w:cstheme="minorEastAsia"/>
                <w:b/>
                <w:bCs/>
                <w:szCs w:val="21"/>
                <w:shd w:val="clear" w:color="auto" w:fill="FFFFFF"/>
              </w:rPr>
            </w:pPr>
            <w:r>
              <w:rPr>
                <w:rFonts w:hint="eastAsia" w:asciiTheme="minorEastAsia" w:hAnsiTheme="minorEastAsia" w:cstheme="minorEastAsia"/>
                <w:b/>
                <w:bCs/>
                <w:szCs w:val="21"/>
                <w:shd w:val="clear" w:color="auto" w:fill="FFFFFF"/>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74" w:type="dxa"/>
            <w:shd w:val="clear" w:color="auto" w:fill="auto"/>
            <w:vAlign w:val="center"/>
          </w:tcPr>
          <w:p>
            <w:pPr>
              <w:jc w:val="left"/>
              <w:rPr>
                <w:rFonts w:asciiTheme="minorEastAsia" w:hAnsiTheme="minorEastAsia" w:cstheme="minorEastAsia"/>
                <w:szCs w:val="21"/>
                <w:shd w:val="clear" w:color="auto" w:fill="FFFFFF"/>
              </w:rPr>
            </w:pPr>
            <w:r>
              <w:rPr>
                <w:rFonts w:hint="eastAsia" w:asciiTheme="minorEastAsia" w:hAnsiTheme="minorEastAsia" w:cstheme="minorEastAsia"/>
                <w:b/>
                <w:bCs/>
                <w:szCs w:val="21"/>
                <w:shd w:val="clear" w:color="auto" w:fill="FFFFFF"/>
              </w:rPr>
              <w:t>经济类评委</w:t>
            </w:r>
          </w:p>
        </w:tc>
        <w:tc>
          <w:tcPr>
            <w:tcW w:w="1125" w:type="dxa"/>
            <w:shd w:val="clear" w:color="auto" w:fill="FFFFFF"/>
            <w:vAlign w:val="center"/>
          </w:tcPr>
          <w:p>
            <w:pPr>
              <w:jc w:val="left"/>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报价</w:t>
            </w:r>
          </w:p>
        </w:tc>
        <w:tc>
          <w:tcPr>
            <w:tcW w:w="1095" w:type="dxa"/>
            <w:vAlign w:val="center"/>
          </w:tcPr>
          <w:p>
            <w:pPr>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40.00分</w:t>
            </w:r>
          </w:p>
        </w:tc>
        <w:tc>
          <w:tcPr>
            <w:tcW w:w="6049" w:type="dxa"/>
            <w:vAlign w:val="center"/>
          </w:tcPr>
          <w:p>
            <w:pPr>
              <w:keepNext w:val="0"/>
              <w:keepLines w:val="0"/>
              <w:widowControl/>
              <w:numPr>
                <w:ilvl w:val="0"/>
                <w:numId w:val="28"/>
              </w:numPr>
              <w:suppressLineNumbers w:val="0"/>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对小型企业、微型企业、监狱企业、残疾人福利性单位制造的货物的价格（如涉及）给予 10%的价格扣除，用扣除后的价格参与评审；[说明：所投产品中为监狱企业生产的产品应提供由省级以上监狱管理局、戒毒管理局（含新疆生产建设兵团）出具的生产厂商属于监狱企业的证明文件复印件。]</w:t>
            </w:r>
          </w:p>
          <w:p>
            <w:pPr>
              <w:keepNext w:val="0"/>
              <w:keepLines w:val="0"/>
              <w:widowControl/>
              <w:numPr>
                <w:ilvl w:val="0"/>
                <w:numId w:val="28"/>
              </w:numPr>
              <w:suppressLineNumbers w:val="0"/>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 xml:space="preserve">经磋商小组评审，响应文件满足磋商文件最低要求，且最后报价最低的供应商的最后报价作为磋商基准价； </w:t>
            </w:r>
          </w:p>
          <w:p>
            <w:pPr>
              <w:jc w:val="left"/>
              <w:rPr>
                <w:rFonts w:asciiTheme="minorEastAsia" w:hAnsiTheme="minorEastAsia" w:cstheme="minorEastAsia"/>
                <w:szCs w:val="21"/>
                <w:shd w:val="clear" w:color="auto" w:fill="FFFFFF"/>
              </w:rPr>
            </w:pPr>
            <w:r>
              <w:rPr>
                <w:rFonts w:hint="eastAsia" w:asciiTheme="minorEastAsia" w:hAnsiTheme="minorEastAsia" w:eastAsiaTheme="minorEastAsia" w:cstheme="minorEastAsia"/>
                <w:color w:val="auto"/>
                <w:kern w:val="0"/>
                <w:sz w:val="21"/>
                <w:szCs w:val="21"/>
                <w:lang w:val="en-US" w:eastAsia="zh-CN" w:bidi="ar-SA"/>
              </w:rPr>
              <w:t>3、报价得分=(磋商基准价／最后报价)×40。（说明：①同一货物仅作一次价格扣除。②提供的货物既有中小企业制造货物，也有大型企业制造货物的，不享受价格扣除。）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pPr>
              <w:jc w:val="left"/>
              <w:rPr>
                <w:rFonts w:asciiTheme="minorEastAsia" w:hAnsiTheme="minorEastAsia" w:cstheme="minorEastAsia"/>
                <w:b/>
                <w:bCs/>
                <w:szCs w:val="21"/>
                <w:shd w:val="clear" w:color="auto" w:fill="FFFFFF"/>
              </w:rPr>
            </w:pPr>
            <w:r>
              <w:rPr>
                <w:rFonts w:hint="eastAsia" w:asciiTheme="minorEastAsia" w:hAnsiTheme="minorEastAsia" w:cstheme="minorEastAsia"/>
                <w:b/>
                <w:bCs/>
                <w:szCs w:val="21"/>
                <w:shd w:val="clear" w:color="auto" w:fill="FFFFFF"/>
              </w:rPr>
              <w:t>技术类评委评审</w:t>
            </w:r>
          </w:p>
          <w:p>
            <w:pPr>
              <w:jc w:val="left"/>
              <w:rPr>
                <w:rFonts w:asciiTheme="minorEastAsia" w:hAnsiTheme="minorEastAsia" w:cstheme="minorEastAsia"/>
                <w:szCs w:val="21"/>
                <w:shd w:val="clear" w:color="auto" w:fill="FFFFFF"/>
              </w:rPr>
            </w:pPr>
          </w:p>
        </w:tc>
        <w:tc>
          <w:tcPr>
            <w:tcW w:w="1125" w:type="dxa"/>
            <w:vAlign w:val="center"/>
          </w:tcPr>
          <w:p>
            <w:pPr>
              <w:jc w:val="left"/>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技术参数</w:t>
            </w:r>
          </w:p>
          <w:p>
            <w:pPr>
              <w:jc w:val="left"/>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及要求</w:t>
            </w:r>
          </w:p>
        </w:tc>
        <w:tc>
          <w:tcPr>
            <w:tcW w:w="1095" w:type="dxa"/>
            <w:vAlign w:val="center"/>
          </w:tcPr>
          <w:p>
            <w:pPr>
              <w:jc w:val="left"/>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22.00分</w:t>
            </w:r>
          </w:p>
        </w:tc>
        <w:tc>
          <w:tcPr>
            <w:tcW w:w="6049" w:type="dxa"/>
            <w:vAlign w:val="center"/>
          </w:tcPr>
          <w:p>
            <w:pPr>
              <w:numPr>
                <w:ilvl w:val="0"/>
                <w:numId w:val="29"/>
              </w:numPr>
              <w:jc w:val="left"/>
              <w:rPr>
                <w:rFonts w:asciiTheme="minorEastAsia" w:hAnsiTheme="minorEastAsia" w:cstheme="minorEastAsia"/>
                <w:b/>
                <w:bCs/>
                <w:szCs w:val="21"/>
                <w:shd w:val="clear" w:color="auto" w:fill="FFFFFF"/>
              </w:rPr>
            </w:pPr>
            <w:r>
              <w:rPr>
                <w:rFonts w:hint="eastAsia" w:asciiTheme="minorEastAsia" w:hAnsiTheme="minorEastAsia" w:cstheme="minorEastAsia"/>
                <w:szCs w:val="21"/>
                <w:shd w:val="clear" w:color="auto" w:fill="FFFFFF"/>
              </w:rPr>
              <w:t>供应商所投产品的技术参数完全满足磋商文件中加▲号的技术参数及要求的得12分；供应商所投产品的技术参数不满足磋商文件中加▲号的技术参数及要求的，则在12分的基础上，按以下原则扣分，扣完为止：每有一项不满足磋商文件中加▲号的技术参数及要求</w:t>
            </w:r>
            <w:r>
              <w:rPr>
                <w:rFonts w:hint="eastAsia" w:asciiTheme="minorEastAsia" w:hAnsiTheme="minorEastAsia" w:cstheme="minorEastAsia"/>
                <w:szCs w:val="21"/>
              </w:rPr>
              <w:t>的，扣1分。</w:t>
            </w:r>
            <w:r>
              <w:rPr>
                <w:rFonts w:hint="eastAsia" w:asciiTheme="minorEastAsia" w:hAnsiTheme="minorEastAsia" w:cstheme="minorEastAsia"/>
                <w:b/>
                <w:bCs/>
                <w:szCs w:val="21"/>
              </w:rPr>
              <w:t>（说明：1、</w:t>
            </w:r>
            <w:r>
              <w:rPr>
                <w:rFonts w:hint="eastAsia" w:asciiTheme="minorEastAsia" w:hAnsiTheme="minorEastAsia" w:cstheme="minorEastAsia"/>
                <w:b/>
                <w:bCs/>
                <w:szCs w:val="21"/>
                <w:shd w:val="clear" w:color="auto" w:fill="FFFFFF"/>
              </w:rPr>
              <w:t>以设备清单中技术参数及要求阿拉伯数字标注为一项。</w:t>
            </w:r>
            <w:r>
              <w:rPr>
                <w:rFonts w:hint="eastAsia" w:asciiTheme="minorEastAsia" w:hAnsiTheme="minorEastAsia" w:cstheme="minorEastAsia"/>
                <w:b/>
                <w:bCs/>
                <w:szCs w:val="21"/>
              </w:rPr>
              <w:t>2、带▲的产品技术参数须提供厂家相关参数证明材料加盖供应商公章是装入</w:t>
            </w:r>
            <w:r>
              <w:rPr>
                <w:rFonts w:hint="eastAsia" w:asciiTheme="minorEastAsia" w:hAnsiTheme="minorEastAsia" w:cstheme="minorEastAsia"/>
                <w:b/>
                <w:bCs/>
                <w:szCs w:val="21"/>
                <w:lang w:eastAsia="zh-CN"/>
              </w:rPr>
              <w:t>响应文件</w:t>
            </w:r>
            <w:r>
              <w:rPr>
                <w:rFonts w:hint="eastAsia" w:asciiTheme="minorEastAsia" w:hAnsiTheme="minorEastAsia" w:cstheme="minorEastAsia"/>
                <w:b/>
                <w:bCs/>
                <w:szCs w:val="21"/>
              </w:rPr>
              <w:t>，未提供厂家相关参数证明材料的该项为不满足，做扣分处理。</w:t>
            </w:r>
            <w:r>
              <w:rPr>
                <w:rFonts w:hint="eastAsia" w:asciiTheme="minorEastAsia" w:hAnsiTheme="minorEastAsia" w:cstheme="minorEastAsia"/>
                <w:b/>
                <w:bCs/>
                <w:szCs w:val="21"/>
                <w:shd w:val="clear" w:color="auto" w:fill="FFFFFF"/>
              </w:rPr>
              <w:t>）</w:t>
            </w:r>
          </w:p>
          <w:p>
            <w:pPr>
              <w:jc w:val="left"/>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2.供应商所投产品的技术参数完全满足磋商文件中未加</w:t>
            </w:r>
            <w:r>
              <w:rPr>
                <w:rFonts w:hint="eastAsia" w:asciiTheme="minorEastAsia" w:hAnsiTheme="minorEastAsia" w:cstheme="minorEastAsia"/>
                <w:szCs w:val="21"/>
              </w:rPr>
              <w:t>★、</w:t>
            </w:r>
            <w:r>
              <w:rPr>
                <w:rFonts w:hint="eastAsia" w:asciiTheme="minorEastAsia" w:hAnsiTheme="minorEastAsia" w:cstheme="minorEastAsia"/>
                <w:szCs w:val="21"/>
                <w:shd w:val="clear" w:color="auto" w:fill="FFFFFF"/>
              </w:rPr>
              <w:t>▲号的技术参数及要求的得10分；供应商所投产品的技术参数不满足磋商文件中未加</w:t>
            </w:r>
            <w:r>
              <w:rPr>
                <w:rFonts w:hint="eastAsia" w:asciiTheme="minorEastAsia" w:hAnsiTheme="minorEastAsia" w:cstheme="minorEastAsia"/>
                <w:szCs w:val="21"/>
              </w:rPr>
              <w:t>★、</w:t>
            </w:r>
            <w:r>
              <w:rPr>
                <w:rFonts w:hint="eastAsia" w:asciiTheme="minorEastAsia" w:hAnsiTheme="minorEastAsia" w:cstheme="minorEastAsia"/>
                <w:szCs w:val="21"/>
                <w:shd w:val="clear" w:color="auto" w:fill="FFFFFF"/>
              </w:rPr>
              <w:t>▲号的技术参数及要求的，则在10分的基础上，按以下原则扣分，扣完为止：每有一项不满足磋商文件中未加★、▲号的技术参数及要求的，扣0.2分。</w:t>
            </w:r>
            <w:r>
              <w:rPr>
                <w:rFonts w:hint="eastAsia" w:asciiTheme="minorEastAsia" w:hAnsiTheme="minorEastAsia" w:cstheme="minorEastAsia"/>
                <w:b/>
                <w:bCs/>
                <w:szCs w:val="21"/>
                <w:shd w:val="clear" w:color="auto" w:fill="FFFFFF"/>
              </w:rPr>
              <w:t>（说明</w:t>
            </w:r>
            <w:r>
              <w:rPr>
                <w:rFonts w:hint="eastAsia" w:asciiTheme="minorEastAsia" w:hAnsiTheme="minorEastAsia" w:cstheme="minorEastAsia"/>
                <w:b/>
                <w:bCs/>
                <w:szCs w:val="21"/>
                <w:shd w:val="clear" w:color="auto" w:fill="FFFFFF"/>
                <w:lang w:eastAsia="zh-CN"/>
              </w:rPr>
              <w:t>：</w:t>
            </w:r>
            <w:r>
              <w:rPr>
                <w:rFonts w:hint="eastAsia" w:asciiTheme="minorEastAsia" w:hAnsiTheme="minorEastAsia" w:cstheme="minorEastAsia"/>
                <w:b/>
                <w:bCs/>
                <w:szCs w:val="21"/>
                <w:shd w:val="clear" w:color="auto" w:fill="FFFFFF"/>
                <w:lang w:val="en-US" w:eastAsia="zh-CN"/>
              </w:rPr>
              <w:t>以</w:t>
            </w:r>
            <w:r>
              <w:rPr>
                <w:rFonts w:hint="eastAsia" w:asciiTheme="minorEastAsia" w:hAnsiTheme="minorEastAsia" w:cstheme="minorEastAsia"/>
                <w:b/>
                <w:bCs/>
                <w:szCs w:val="21"/>
                <w:shd w:val="clear" w:color="auto" w:fill="FFFFFF"/>
              </w:rPr>
              <w:t>设备清单中技术参数及要求阿拉伯数字标注为一项）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pPr>
              <w:jc w:val="left"/>
              <w:rPr>
                <w:rFonts w:asciiTheme="minorEastAsia" w:hAnsiTheme="minorEastAsia" w:cstheme="minorEastAsia"/>
                <w:b/>
                <w:bCs/>
                <w:szCs w:val="21"/>
                <w:shd w:val="clear" w:color="auto" w:fill="FFFFFF"/>
              </w:rPr>
            </w:pPr>
            <w:r>
              <w:rPr>
                <w:rFonts w:hint="eastAsia" w:asciiTheme="minorEastAsia" w:hAnsiTheme="minorEastAsia" w:cstheme="minorEastAsia"/>
                <w:b/>
                <w:bCs/>
                <w:szCs w:val="21"/>
                <w:shd w:val="clear" w:color="auto" w:fill="FFFFFF"/>
              </w:rPr>
              <w:t>技术类评委评审</w:t>
            </w:r>
          </w:p>
          <w:p>
            <w:pPr>
              <w:jc w:val="left"/>
              <w:rPr>
                <w:rFonts w:asciiTheme="minorEastAsia" w:hAnsiTheme="minorEastAsia" w:cstheme="minorEastAsia"/>
                <w:szCs w:val="21"/>
                <w:shd w:val="clear" w:color="auto" w:fill="FFFFFF"/>
              </w:rPr>
            </w:pPr>
          </w:p>
        </w:tc>
        <w:tc>
          <w:tcPr>
            <w:tcW w:w="1125" w:type="dxa"/>
            <w:vAlign w:val="center"/>
          </w:tcPr>
          <w:p>
            <w:pPr>
              <w:jc w:val="left"/>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项目实施方案</w:t>
            </w:r>
          </w:p>
        </w:tc>
        <w:tc>
          <w:tcPr>
            <w:tcW w:w="1095" w:type="dxa"/>
            <w:vAlign w:val="center"/>
          </w:tcPr>
          <w:p>
            <w:pPr>
              <w:jc w:val="left"/>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lang w:val="en-US" w:eastAsia="zh-CN"/>
              </w:rPr>
              <w:t>6</w:t>
            </w:r>
            <w:r>
              <w:rPr>
                <w:rFonts w:hint="eastAsia" w:asciiTheme="minorEastAsia" w:hAnsiTheme="minorEastAsia" w:cstheme="minorEastAsia"/>
                <w:szCs w:val="21"/>
                <w:shd w:val="clear" w:color="auto" w:fill="FFFFFF"/>
              </w:rPr>
              <w:t>.00分</w:t>
            </w:r>
          </w:p>
        </w:tc>
        <w:tc>
          <w:tcPr>
            <w:tcW w:w="6049" w:type="dxa"/>
            <w:vAlign w:val="center"/>
          </w:tcPr>
          <w:p>
            <w:pPr>
              <w:jc w:val="left"/>
              <w:rPr>
                <w:rFonts w:hint="eastAsia" w:eastAsia="宋体"/>
                <w:lang w:eastAsia="zh-CN"/>
              </w:rPr>
            </w:pPr>
            <w:r>
              <w:rPr>
                <w:rFonts w:hint="eastAsia"/>
              </w:rPr>
              <w:t>根据供应商针对本项目的项目实施方案进行评分</w:t>
            </w:r>
            <w:r>
              <w:rPr>
                <w:rFonts w:hint="eastAsia"/>
                <w:lang w:eastAsia="zh-CN"/>
              </w:rPr>
              <w:t>：</w:t>
            </w:r>
            <w:r>
              <w:rPr>
                <w:rFonts w:hint="eastAsia"/>
              </w:rPr>
              <w:t>方案中包括</w:t>
            </w:r>
            <w:r>
              <w:rPr>
                <w:rFonts w:hint="eastAsia"/>
                <w:lang w:eastAsia="zh-CN"/>
              </w:rPr>
              <w:t>（</w:t>
            </w:r>
            <w:r>
              <w:rPr>
                <w:rFonts w:hint="eastAsia"/>
                <w:lang w:val="en-US" w:eastAsia="zh-CN"/>
              </w:rPr>
              <w:t>1</w:t>
            </w:r>
            <w:r>
              <w:rPr>
                <w:rFonts w:hint="eastAsia"/>
                <w:lang w:eastAsia="zh-CN"/>
              </w:rPr>
              <w:t>）</w:t>
            </w:r>
            <w:r>
              <w:rPr>
                <w:rFonts w:hint="eastAsia"/>
              </w:rPr>
              <w:t>进度计划、</w:t>
            </w:r>
            <w:r>
              <w:rPr>
                <w:rFonts w:hint="eastAsia"/>
                <w:lang w:eastAsia="zh-CN"/>
              </w:rPr>
              <w:t>（</w:t>
            </w:r>
            <w:r>
              <w:rPr>
                <w:rFonts w:hint="eastAsia"/>
                <w:lang w:val="en-US" w:eastAsia="zh-CN"/>
              </w:rPr>
              <w:t>2</w:t>
            </w:r>
            <w:r>
              <w:rPr>
                <w:rFonts w:hint="eastAsia"/>
                <w:lang w:eastAsia="zh-CN"/>
              </w:rPr>
              <w:t>）</w:t>
            </w:r>
            <w:r>
              <w:rPr>
                <w:rFonts w:hint="eastAsia"/>
              </w:rPr>
              <w:t>人员安排、</w:t>
            </w:r>
            <w:r>
              <w:rPr>
                <w:rFonts w:hint="eastAsia"/>
                <w:lang w:eastAsia="zh-CN"/>
              </w:rPr>
              <w:t>（</w:t>
            </w:r>
            <w:r>
              <w:rPr>
                <w:rFonts w:hint="eastAsia"/>
                <w:lang w:val="en-US" w:eastAsia="zh-CN"/>
              </w:rPr>
              <w:t>3</w:t>
            </w:r>
            <w:r>
              <w:rPr>
                <w:rFonts w:hint="eastAsia"/>
                <w:lang w:eastAsia="zh-CN"/>
              </w:rPr>
              <w:t>）</w:t>
            </w:r>
            <w:r>
              <w:rPr>
                <w:rFonts w:hint="eastAsia"/>
              </w:rPr>
              <w:t>质量保证措施、</w:t>
            </w:r>
            <w:r>
              <w:rPr>
                <w:rFonts w:hint="eastAsia"/>
                <w:lang w:eastAsia="zh-CN"/>
              </w:rPr>
              <w:t>（</w:t>
            </w:r>
            <w:r>
              <w:rPr>
                <w:rFonts w:hint="eastAsia"/>
                <w:lang w:val="en-US" w:eastAsia="zh-CN"/>
              </w:rPr>
              <w:t>4</w:t>
            </w:r>
            <w:r>
              <w:rPr>
                <w:rFonts w:hint="eastAsia"/>
                <w:lang w:eastAsia="zh-CN"/>
              </w:rPr>
              <w:t>）</w:t>
            </w:r>
            <w:r>
              <w:rPr>
                <w:rFonts w:hint="eastAsia"/>
              </w:rPr>
              <w:t>验收方案等</w:t>
            </w:r>
            <w:r>
              <w:rPr>
                <w:rFonts w:hint="eastAsia"/>
                <w:lang w:eastAsia="zh-CN"/>
              </w:rPr>
              <w:t>，</w:t>
            </w:r>
            <w:r>
              <w:rPr>
                <w:rFonts w:hint="eastAsia" w:asciiTheme="minorEastAsia" w:hAnsiTheme="minorEastAsia" w:eastAsiaTheme="minorEastAsia" w:cstheme="minorEastAsia"/>
                <w:sz w:val="21"/>
                <w:szCs w:val="21"/>
              </w:rPr>
              <w:t>每具备以上一个要素的得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分，最多得</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分；在具备以上四个要素的基础上，每有一个要素完全符合采购需求的各加0.5分，最多加2分，本项最多得</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分。（说明：不符合或不完全符合釆购需求是指存在不适用项目实际情况、凭空编造、逻辑漏洞、原理错误、内容阐述不清晰的情形。）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pPr>
              <w:jc w:val="left"/>
              <w:rPr>
                <w:rFonts w:asciiTheme="minorEastAsia" w:hAnsiTheme="minorEastAsia" w:cstheme="minorEastAsia"/>
                <w:b/>
                <w:bCs/>
                <w:szCs w:val="21"/>
                <w:shd w:val="clear" w:color="auto" w:fill="FFFFFF"/>
              </w:rPr>
            </w:pPr>
            <w:r>
              <w:rPr>
                <w:rFonts w:hint="eastAsia" w:asciiTheme="minorEastAsia" w:hAnsiTheme="minorEastAsia" w:cstheme="minorEastAsia"/>
                <w:b/>
                <w:bCs/>
                <w:szCs w:val="21"/>
                <w:shd w:val="clear" w:color="auto" w:fill="FFFFFF"/>
              </w:rPr>
              <w:t>技术类评委评审</w:t>
            </w:r>
          </w:p>
          <w:p>
            <w:pPr>
              <w:jc w:val="left"/>
              <w:rPr>
                <w:rFonts w:asciiTheme="minorEastAsia" w:hAnsiTheme="minorEastAsia" w:cstheme="minorEastAsia"/>
                <w:szCs w:val="21"/>
                <w:shd w:val="clear" w:color="auto" w:fill="FFFFFF"/>
              </w:rPr>
            </w:pPr>
          </w:p>
        </w:tc>
        <w:tc>
          <w:tcPr>
            <w:tcW w:w="1125" w:type="dxa"/>
            <w:vAlign w:val="center"/>
          </w:tcPr>
          <w:p>
            <w:pPr>
              <w:jc w:val="left"/>
              <w:rPr>
                <w:rFonts w:eastAsia="宋体" w:asciiTheme="minorEastAsia" w:hAnsiTheme="minorEastAsia" w:cstheme="minorEastAsia"/>
                <w:kern w:val="2"/>
                <w:sz w:val="21"/>
                <w:szCs w:val="21"/>
                <w:shd w:val="clear" w:color="auto" w:fill="FFFFFF"/>
                <w:lang w:val="en-US" w:eastAsia="zh-CN" w:bidi="ar-SA"/>
              </w:rPr>
            </w:pPr>
            <w:r>
              <w:rPr>
                <w:rFonts w:hint="eastAsia" w:asciiTheme="minorEastAsia" w:hAnsiTheme="minorEastAsia" w:cstheme="minorEastAsia"/>
                <w:szCs w:val="21"/>
                <w:shd w:val="clear" w:color="auto" w:fill="FFFFFF"/>
              </w:rPr>
              <w:t>售后服务</w:t>
            </w:r>
          </w:p>
        </w:tc>
        <w:tc>
          <w:tcPr>
            <w:tcW w:w="1095" w:type="dxa"/>
            <w:vAlign w:val="center"/>
          </w:tcPr>
          <w:p>
            <w:pPr>
              <w:jc w:val="left"/>
              <w:rPr>
                <w:rFonts w:eastAsia="宋体" w:asciiTheme="minorEastAsia" w:hAnsiTheme="minorEastAsia" w:cstheme="minorEastAsia"/>
                <w:kern w:val="2"/>
                <w:sz w:val="21"/>
                <w:szCs w:val="21"/>
                <w:shd w:val="clear" w:color="auto" w:fill="FFFFFF"/>
                <w:lang w:val="en-US" w:eastAsia="zh-CN" w:bidi="ar-SA"/>
              </w:rPr>
            </w:pPr>
            <w:r>
              <w:rPr>
                <w:rFonts w:hint="eastAsia" w:asciiTheme="minorEastAsia" w:hAnsiTheme="minorEastAsia" w:cstheme="minorEastAsia"/>
                <w:szCs w:val="21"/>
                <w:shd w:val="clear" w:color="auto" w:fill="FFFFFF"/>
                <w:lang w:val="en-US" w:eastAsia="zh-CN"/>
              </w:rPr>
              <w:t>6</w:t>
            </w:r>
            <w:r>
              <w:rPr>
                <w:rFonts w:hint="eastAsia" w:asciiTheme="minorEastAsia" w:hAnsiTheme="minorEastAsia" w:cstheme="minorEastAsia"/>
                <w:szCs w:val="21"/>
                <w:shd w:val="clear" w:color="auto" w:fill="FFFFFF"/>
              </w:rPr>
              <w:t>.00分</w:t>
            </w:r>
          </w:p>
        </w:tc>
        <w:tc>
          <w:tcPr>
            <w:tcW w:w="6049" w:type="dxa"/>
            <w:vAlign w:val="center"/>
          </w:tcPr>
          <w:p>
            <w:pPr>
              <w:numPr>
                <w:ilvl w:val="0"/>
                <w:numId w:val="30"/>
              </w:numPr>
              <w:jc w:val="left"/>
              <w:rPr>
                <w:rFonts w:eastAsia="宋体" w:asciiTheme="minorEastAsia" w:hAnsiTheme="minorEastAsia" w:cstheme="minorEastAsia"/>
                <w:kern w:val="2"/>
                <w:sz w:val="21"/>
                <w:szCs w:val="21"/>
                <w:lang w:val="en-US" w:eastAsia="zh-CN" w:bidi="ar-SA"/>
              </w:rPr>
            </w:pPr>
            <w:r>
              <w:rPr>
                <w:rFonts w:hint="eastAsia"/>
              </w:rPr>
              <w:t>根据供应商</w:t>
            </w:r>
            <w:r>
              <w:t>提供的售后服务方案</w:t>
            </w:r>
            <w:r>
              <w:rPr>
                <w:rFonts w:hint="eastAsia"/>
              </w:rPr>
              <w:t>进行评分；包括</w:t>
            </w:r>
            <w:r>
              <w:rPr>
                <w:rFonts w:hint="eastAsia"/>
                <w:lang w:eastAsia="zh-CN"/>
              </w:rPr>
              <w:t>（</w:t>
            </w:r>
            <w:r>
              <w:rPr>
                <w:rFonts w:hint="eastAsia"/>
                <w:lang w:val="en-US" w:eastAsia="zh-CN"/>
              </w:rPr>
              <w:t>1</w:t>
            </w:r>
            <w:r>
              <w:rPr>
                <w:rFonts w:hint="eastAsia"/>
                <w:lang w:eastAsia="zh-CN"/>
              </w:rPr>
              <w:t>）</w:t>
            </w:r>
            <w:r>
              <w:t>本地化服务</w:t>
            </w:r>
            <w:r>
              <w:rPr>
                <w:rFonts w:hint="eastAsia"/>
              </w:rPr>
              <w:t>（</w:t>
            </w:r>
            <w:r>
              <w:rPr>
                <w:rFonts w:hint="eastAsia"/>
                <w:lang w:val="en-US" w:eastAsia="zh-CN"/>
              </w:rPr>
              <w:t>承诺</w:t>
            </w:r>
            <w:r>
              <w:rPr>
                <w:rFonts w:hint="eastAsia"/>
              </w:rPr>
              <w:t>中标后提供）</w:t>
            </w:r>
            <w:r>
              <w:t>、</w:t>
            </w:r>
            <w:r>
              <w:rPr>
                <w:rFonts w:hint="eastAsia"/>
                <w:lang w:eastAsia="zh-CN"/>
              </w:rPr>
              <w:t>（</w:t>
            </w:r>
            <w:r>
              <w:rPr>
                <w:rFonts w:hint="eastAsia"/>
                <w:lang w:val="en-US" w:eastAsia="zh-CN"/>
              </w:rPr>
              <w:t>2</w:t>
            </w:r>
            <w:r>
              <w:rPr>
                <w:rFonts w:hint="eastAsia"/>
                <w:lang w:eastAsia="zh-CN"/>
              </w:rPr>
              <w:t>）</w:t>
            </w:r>
            <w:r>
              <w:t>故障处理方案、</w:t>
            </w:r>
            <w:r>
              <w:rPr>
                <w:rFonts w:hint="eastAsia"/>
                <w:lang w:eastAsia="zh-CN"/>
              </w:rPr>
              <w:t>（</w:t>
            </w:r>
            <w:r>
              <w:rPr>
                <w:rFonts w:hint="eastAsia"/>
                <w:lang w:val="en-US" w:eastAsia="zh-CN"/>
              </w:rPr>
              <w:t>3</w:t>
            </w:r>
            <w:r>
              <w:rPr>
                <w:rFonts w:hint="eastAsia"/>
                <w:lang w:eastAsia="zh-CN"/>
              </w:rPr>
              <w:t>）</w:t>
            </w:r>
            <w:r>
              <w:t>解决故障承诺时间、</w:t>
            </w:r>
            <w:r>
              <w:rPr>
                <w:rFonts w:hint="eastAsia"/>
                <w:lang w:eastAsia="zh-CN"/>
              </w:rPr>
              <w:t>（</w:t>
            </w:r>
            <w:r>
              <w:rPr>
                <w:rFonts w:hint="eastAsia"/>
                <w:lang w:val="en-US" w:eastAsia="zh-CN"/>
              </w:rPr>
              <w:t>4</w:t>
            </w:r>
            <w:r>
              <w:rPr>
                <w:rFonts w:hint="eastAsia"/>
                <w:lang w:eastAsia="zh-CN"/>
              </w:rPr>
              <w:t>）</w:t>
            </w:r>
            <w:r>
              <w:rPr>
                <w:rFonts w:hint="eastAsia"/>
                <w:lang w:val="en-US" w:eastAsia="zh-CN"/>
              </w:rPr>
              <w:t>售后服务范围</w:t>
            </w:r>
            <w:r>
              <w:t>等</w:t>
            </w:r>
            <w:r>
              <w:rPr>
                <w:rFonts w:hint="eastAsia"/>
                <w:lang w:eastAsia="zh-CN"/>
              </w:rPr>
              <w:t>，</w:t>
            </w:r>
            <w:r>
              <w:rPr>
                <w:rFonts w:hint="eastAsia" w:asciiTheme="minorEastAsia" w:hAnsiTheme="minorEastAsia" w:eastAsiaTheme="minorEastAsia" w:cstheme="minorEastAsia"/>
                <w:sz w:val="21"/>
                <w:szCs w:val="21"/>
              </w:rPr>
              <w:t>每具备以上一个要素的得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分，最多得</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分；在具备以上四个要素的基础上，每有一个要素完全符合采购需求的各加0.5分，最多加2分，本项最多得</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分。（说明：不符合或不完全符合釆购需求是指存在不适用项目实际情况、凭空编造、逻辑漏洞、原理错误、内容阐述不清晰的情形。）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pPr>
              <w:jc w:val="left"/>
              <w:rPr>
                <w:rFonts w:asciiTheme="minorEastAsia" w:hAnsiTheme="minorEastAsia" w:cstheme="minorEastAsia"/>
                <w:b/>
                <w:bCs/>
                <w:szCs w:val="21"/>
                <w:shd w:val="clear" w:color="auto" w:fill="FFFFFF"/>
              </w:rPr>
            </w:pPr>
            <w:r>
              <w:rPr>
                <w:rFonts w:hint="eastAsia" w:asciiTheme="minorEastAsia" w:hAnsiTheme="minorEastAsia" w:cstheme="minorEastAsia"/>
                <w:b/>
                <w:bCs/>
                <w:szCs w:val="21"/>
                <w:shd w:val="clear" w:color="auto" w:fill="FFFFFF"/>
              </w:rPr>
              <w:t>技术类评委评审</w:t>
            </w:r>
          </w:p>
          <w:p>
            <w:pPr>
              <w:jc w:val="left"/>
              <w:rPr>
                <w:rFonts w:asciiTheme="minorEastAsia" w:hAnsiTheme="minorEastAsia" w:cstheme="minorEastAsia"/>
                <w:szCs w:val="21"/>
                <w:shd w:val="clear" w:color="auto" w:fill="FFFFFF"/>
              </w:rPr>
            </w:pPr>
          </w:p>
        </w:tc>
        <w:tc>
          <w:tcPr>
            <w:tcW w:w="1125" w:type="dxa"/>
            <w:vAlign w:val="center"/>
          </w:tcPr>
          <w:p>
            <w:pPr>
              <w:jc w:val="left"/>
              <w:rPr>
                <w:rFonts w:hint="default" w:eastAsia="宋体" w:asciiTheme="minorEastAsia" w:hAnsiTheme="minorEastAsia" w:cstheme="minorEastAsia"/>
                <w:kern w:val="2"/>
                <w:sz w:val="21"/>
                <w:szCs w:val="21"/>
                <w:highlight w:val="none"/>
                <w:shd w:val="clear" w:color="auto" w:fill="FFFFFF"/>
                <w:lang w:val="en-US" w:eastAsia="zh-CN" w:bidi="ar-SA"/>
              </w:rPr>
            </w:pPr>
            <w:r>
              <w:rPr>
                <w:rFonts w:hint="eastAsia" w:asciiTheme="minorEastAsia" w:hAnsiTheme="minorEastAsia" w:cstheme="minorEastAsia"/>
                <w:szCs w:val="21"/>
                <w:highlight w:val="none"/>
                <w:shd w:val="clear" w:color="auto" w:fill="FFFFFF"/>
                <w:lang w:val="en-US" w:eastAsia="zh-CN"/>
              </w:rPr>
              <w:t>培训方案</w:t>
            </w:r>
          </w:p>
        </w:tc>
        <w:tc>
          <w:tcPr>
            <w:tcW w:w="1095" w:type="dxa"/>
            <w:vAlign w:val="center"/>
          </w:tcPr>
          <w:p>
            <w:pPr>
              <w:jc w:val="left"/>
              <w:rPr>
                <w:rFonts w:hint="default" w:eastAsia="宋体" w:asciiTheme="minorEastAsia" w:hAnsiTheme="minorEastAsia" w:cstheme="minorEastAsia"/>
                <w:kern w:val="2"/>
                <w:sz w:val="21"/>
                <w:szCs w:val="21"/>
                <w:highlight w:val="none"/>
                <w:shd w:val="clear" w:color="auto" w:fill="FFFFFF"/>
                <w:lang w:val="en-US" w:eastAsia="zh-CN" w:bidi="ar-SA"/>
              </w:rPr>
            </w:pPr>
            <w:r>
              <w:rPr>
                <w:rFonts w:hint="eastAsia" w:asciiTheme="minorEastAsia" w:hAnsiTheme="minorEastAsia" w:cstheme="minorEastAsia"/>
                <w:szCs w:val="21"/>
                <w:highlight w:val="none"/>
                <w:shd w:val="clear" w:color="auto" w:fill="FFFFFF"/>
                <w:lang w:val="en-US" w:eastAsia="zh-CN"/>
              </w:rPr>
              <w:t>4.00分</w:t>
            </w:r>
          </w:p>
        </w:tc>
        <w:tc>
          <w:tcPr>
            <w:tcW w:w="6049" w:type="dxa"/>
            <w:vAlign w:val="center"/>
          </w:tcPr>
          <w:p>
            <w:pPr>
              <w:jc w:val="left"/>
              <w:rPr>
                <w:rFonts w:eastAsia="宋体" w:asciiTheme="minorEastAsia" w:hAnsiTheme="minorEastAsia" w:cstheme="minorEastAsia"/>
                <w:b/>
                <w:bCs/>
                <w:kern w:val="2"/>
                <w:sz w:val="21"/>
                <w:szCs w:val="21"/>
                <w:highlight w:val="none"/>
                <w:shd w:val="clear" w:color="auto" w:fill="FFFFFF"/>
                <w:lang w:val="en-US" w:eastAsia="zh-CN" w:bidi="ar-SA"/>
              </w:rPr>
            </w:pPr>
            <w:r>
              <w:rPr>
                <w:rFonts w:hint="eastAsia" w:asciiTheme="minorEastAsia" w:hAnsiTheme="minorEastAsia" w:eastAsiaTheme="minorEastAsia" w:cstheme="minorEastAsia"/>
                <w:sz w:val="21"/>
                <w:szCs w:val="21"/>
                <w:highlight w:val="none"/>
              </w:rPr>
              <w:t>据供应商针对本项目提供的培训方案进行评分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内容</w:t>
            </w:r>
            <w:r>
              <w:rPr>
                <w:rFonts w:hint="eastAsia" w:asciiTheme="minorEastAsia" w:hAnsiTheme="minorEastAsia" w:eastAsiaTheme="minorEastAsia" w:cstheme="minorEastAsia"/>
                <w:sz w:val="21"/>
                <w:szCs w:val="21"/>
                <w:highlight w:val="none"/>
              </w:rPr>
              <w:t>包含①培训内容、②培训师资配备、③培训计划</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④培训目标</w:t>
            </w:r>
            <w:r>
              <w:rPr>
                <w:rFonts w:hint="eastAsia" w:asciiTheme="minorEastAsia" w:hAnsiTheme="minorEastAsia" w:eastAsiaTheme="minorEastAsia" w:cstheme="minorEastAsia"/>
                <w:sz w:val="21"/>
                <w:szCs w:val="21"/>
                <w:highlight w:val="none"/>
              </w:rPr>
              <w:t>等，方案符合采购需求的，每具备以上一个要素的得</w:t>
            </w:r>
            <w:r>
              <w:rPr>
                <w:rFonts w:hint="eastAsia" w:asciiTheme="minorEastAsia" w:hAnsiTheme="minorEastAsia" w:eastAsiaTheme="minorEastAsia" w:cstheme="minorEastAsia"/>
                <w:sz w:val="21"/>
                <w:szCs w:val="21"/>
                <w:highlight w:val="none"/>
                <w:lang w:val="en-US" w:eastAsia="zh-CN"/>
              </w:rPr>
              <w:t>0.5</w:t>
            </w:r>
            <w:r>
              <w:rPr>
                <w:rFonts w:hint="eastAsia" w:asciiTheme="minorEastAsia" w:hAnsiTheme="minorEastAsia" w:eastAsiaTheme="minorEastAsia" w:cstheme="minorEastAsia"/>
                <w:sz w:val="21"/>
                <w:szCs w:val="21"/>
                <w:highlight w:val="none"/>
              </w:rPr>
              <w:t>分，最多得</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分，在具备以上四个要素的基础上，每有一个要素完全符合采购需求的各加</w:t>
            </w:r>
            <w:r>
              <w:rPr>
                <w:rFonts w:hint="eastAsia" w:asciiTheme="minorEastAsia" w:hAnsiTheme="minorEastAsia" w:eastAsiaTheme="minorEastAsia" w:cstheme="minorEastAsia"/>
                <w:sz w:val="21"/>
                <w:szCs w:val="21"/>
                <w:highlight w:val="none"/>
                <w:lang w:val="en-US" w:eastAsia="zh-CN"/>
              </w:rPr>
              <w:t>0.5</w:t>
            </w:r>
            <w:r>
              <w:rPr>
                <w:rFonts w:hint="eastAsia" w:asciiTheme="minorEastAsia" w:hAnsiTheme="minorEastAsia" w:eastAsiaTheme="minorEastAsia" w:cstheme="minorEastAsia"/>
                <w:sz w:val="21"/>
                <w:szCs w:val="21"/>
                <w:highlight w:val="none"/>
              </w:rPr>
              <w:t>分，最多加</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分，不符合或不完全符合釆购需求不得分；本项最多得</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分。（说明：不符合或不完全符合釆购需求是指存在不适用项目实际情况、凭空编造、逻辑漏洞、原理错误、内容阐述不清晰的情形。）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pPr>
              <w:jc w:val="left"/>
              <w:rPr>
                <w:rFonts w:hint="default" w:eastAsia="宋体" w:asciiTheme="minorEastAsia" w:hAnsiTheme="minorEastAsia" w:cstheme="minorEastAsia"/>
                <w:szCs w:val="21"/>
                <w:shd w:val="clear" w:color="auto" w:fill="FFFFFF"/>
                <w:lang w:val="en-US" w:eastAsia="zh-CN"/>
              </w:rPr>
            </w:pPr>
            <w:r>
              <w:rPr>
                <w:rFonts w:hint="eastAsia" w:asciiTheme="minorEastAsia" w:hAnsiTheme="minorEastAsia" w:cstheme="minorEastAsia"/>
                <w:b/>
                <w:bCs/>
                <w:szCs w:val="21"/>
                <w:shd w:val="clear" w:color="auto" w:fill="FFFFFF"/>
                <w:lang w:val="en-US" w:eastAsia="zh-CN"/>
              </w:rPr>
              <w:t>评审委员会评审</w:t>
            </w:r>
          </w:p>
        </w:tc>
        <w:tc>
          <w:tcPr>
            <w:tcW w:w="1125" w:type="dxa"/>
            <w:vAlign w:val="center"/>
          </w:tcPr>
          <w:p>
            <w:pPr>
              <w:jc w:val="left"/>
              <w:rPr>
                <w:rFonts w:hint="eastAsia" w:eastAsia="宋体" w:asciiTheme="minorEastAsia" w:hAnsiTheme="minorEastAsia" w:cstheme="minorEastAsia"/>
                <w:kern w:val="2"/>
                <w:sz w:val="21"/>
                <w:szCs w:val="21"/>
                <w:shd w:val="clear" w:color="auto" w:fill="FFFFFF"/>
                <w:lang w:val="en-US" w:eastAsia="zh-CN" w:bidi="ar-SA"/>
              </w:rPr>
            </w:pPr>
            <w:r>
              <w:rPr>
                <w:rFonts w:hint="eastAsia" w:asciiTheme="minorEastAsia" w:hAnsiTheme="minorEastAsia" w:cstheme="minorEastAsia"/>
                <w:szCs w:val="21"/>
                <w:shd w:val="clear" w:color="auto" w:fill="FFFFFF"/>
              </w:rPr>
              <w:t>履约能力</w:t>
            </w:r>
          </w:p>
        </w:tc>
        <w:tc>
          <w:tcPr>
            <w:tcW w:w="1095" w:type="dxa"/>
            <w:vAlign w:val="center"/>
          </w:tcPr>
          <w:p>
            <w:pPr>
              <w:jc w:val="left"/>
              <w:rPr>
                <w:rFonts w:hint="eastAsia" w:eastAsia="宋体" w:asciiTheme="minorEastAsia" w:hAnsiTheme="minorEastAsia" w:cstheme="minorEastAsia"/>
                <w:kern w:val="2"/>
                <w:sz w:val="21"/>
                <w:szCs w:val="21"/>
                <w:shd w:val="clear" w:color="auto" w:fill="FFFFFF"/>
                <w:lang w:val="en-US" w:eastAsia="zh-CN" w:bidi="ar-SA"/>
              </w:rPr>
            </w:pPr>
            <w:r>
              <w:rPr>
                <w:rFonts w:hint="eastAsia" w:asciiTheme="minorEastAsia" w:hAnsiTheme="minorEastAsia" w:cstheme="minorEastAsia"/>
                <w:szCs w:val="21"/>
                <w:shd w:val="clear" w:color="auto" w:fill="FFFFFF"/>
              </w:rPr>
              <w:t>4.00分</w:t>
            </w:r>
          </w:p>
        </w:tc>
        <w:tc>
          <w:tcPr>
            <w:tcW w:w="6049"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1、供应商具有质量管理体系认证证书、职业健康安全管理体系认证证书、环境管理体系认证证书每提供一个得1分，最高得3分。</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说明：1.提供证书复印件并加盖公章；2.提供证书在国家认证认可监督管理委员会官方网站上查询的截图，</w:t>
            </w:r>
            <w:r>
              <w:rPr>
                <w:rFonts w:hint="eastAsia" w:asciiTheme="minorEastAsia" w:hAnsiTheme="minorEastAsia" w:eastAsiaTheme="minorEastAsia" w:cstheme="minorEastAsia"/>
                <w:b/>
                <w:bCs/>
                <w:color w:val="auto"/>
                <w:sz w:val="21"/>
                <w:szCs w:val="21"/>
              </w:rPr>
              <w:t>并加盖公章</w:t>
            </w:r>
            <w:r>
              <w:rPr>
                <w:rFonts w:hint="eastAsia" w:asciiTheme="minorEastAsia" w:hAnsiTheme="minorEastAsia" w:eastAsiaTheme="minorEastAsia" w:cstheme="minorEastAsia"/>
                <w:b/>
                <w:bCs/>
                <w:color w:val="auto"/>
                <w:sz w:val="21"/>
                <w:szCs w:val="21"/>
                <w:lang w:eastAsia="zh-CN"/>
              </w:rPr>
              <w:t>）</w:t>
            </w:r>
          </w:p>
          <w:p>
            <w:pPr>
              <w:jc w:val="left"/>
              <w:rPr>
                <w:rFonts w:hint="eastAsia" w:eastAsia="宋体" w:asciiTheme="minorEastAsia" w:hAnsiTheme="minorEastAsia" w:cstheme="minorEastAsia"/>
                <w:bCs/>
                <w:kern w:val="2"/>
                <w:sz w:val="21"/>
                <w:szCs w:val="21"/>
                <w:lang w:val="en-US" w:eastAsia="zh-CN" w:bidi="ar-SA"/>
              </w:rPr>
            </w:pPr>
            <w:r>
              <w:rPr>
                <w:rFonts w:hint="eastAsia" w:asciiTheme="minorEastAsia" w:hAnsiTheme="minorEastAsia" w:cstheme="minorEastAsia"/>
                <w:szCs w:val="21"/>
              </w:rPr>
              <w:t>2、供应商2018年1月1日以来（含1日）具有类似本项目业绩的得1分。</w:t>
            </w:r>
            <w:r>
              <w:rPr>
                <w:rFonts w:hint="eastAsia" w:asciiTheme="minorEastAsia" w:hAnsiTheme="minorEastAsia" w:cstheme="minorEastAsia"/>
                <w:b/>
                <w:bCs/>
                <w:szCs w:val="21"/>
              </w:rPr>
              <w:t>（说明：提供合同复印件加盖供应商公章装入</w:t>
            </w:r>
            <w:r>
              <w:rPr>
                <w:rFonts w:hint="eastAsia" w:asciiTheme="minorEastAsia" w:hAnsiTheme="minorEastAsia" w:cstheme="minorEastAsia"/>
                <w:b/>
                <w:bCs/>
                <w:szCs w:val="21"/>
                <w:lang w:val="en-US" w:eastAsia="zh-CN"/>
              </w:rPr>
              <w:t>响应</w:t>
            </w:r>
            <w:r>
              <w:rPr>
                <w:rFonts w:hint="eastAsia" w:asciiTheme="minorEastAsia" w:hAnsiTheme="minorEastAsia" w:cstheme="minorEastAsia"/>
                <w:b/>
                <w:bCs/>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pPr>
              <w:jc w:val="left"/>
              <w:rPr>
                <w:rFonts w:asciiTheme="minorEastAsia" w:hAnsiTheme="minorEastAsia" w:cstheme="minorEastAsia"/>
                <w:szCs w:val="21"/>
                <w:shd w:val="clear" w:color="auto" w:fill="FFFFFF"/>
              </w:rPr>
            </w:pPr>
            <w:r>
              <w:rPr>
                <w:rFonts w:hint="eastAsia" w:asciiTheme="minorEastAsia" w:hAnsiTheme="minorEastAsia" w:cstheme="minorEastAsia"/>
                <w:b/>
                <w:bCs/>
                <w:szCs w:val="21"/>
                <w:shd w:val="clear" w:color="auto" w:fill="FFFFFF"/>
                <w:lang w:val="en-US" w:eastAsia="zh-CN"/>
              </w:rPr>
              <w:t>评审委员会评审</w:t>
            </w:r>
          </w:p>
        </w:tc>
        <w:tc>
          <w:tcPr>
            <w:tcW w:w="1125" w:type="dxa"/>
            <w:vAlign w:val="center"/>
          </w:tcPr>
          <w:p>
            <w:pPr>
              <w:jc w:val="center"/>
              <w:rPr>
                <w:rFonts w:hint="eastAsia" w:eastAsia="宋体" w:asciiTheme="minorEastAsia" w:hAnsiTheme="minorEastAsia" w:cstheme="minorEastAsia"/>
                <w:kern w:val="2"/>
                <w:sz w:val="21"/>
                <w:szCs w:val="21"/>
                <w:shd w:val="clear" w:color="auto" w:fill="FFFFFF"/>
                <w:lang w:val="en-US" w:eastAsia="zh-CN" w:bidi="ar-SA"/>
              </w:rPr>
            </w:pPr>
            <w:r>
              <w:rPr>
                <w:rFonts w:hint="eastAsia" w:asciiTheme="minorEastAsia" w:hAnsiTheme="minorEastAsia" w:cstheme="minorEastAsia"/>
                <w:szCs w:val="21"/>
                <w:shd w:val="clear" w:color="auto" w:fill="FFFFFF"/>
              </w:rPr>
              <w:t>综合实力</w:t>
            </w:r>
          </w:p>
        </w:tc>
        <w:tc>
          <w:tcPr>
            <w:tcW w:w="1095" w:type="dxa"/>
            <w:vAlign w:val="center"/>
          </w:tcPr>
          <w:p>
            <w:pPr>
              <w:jc w:val="left"/>
              <w:rPr>
                <w:rFonts w:hint="eastAsia" w:eastAsia="宋体" w:asciiTheme="minorEastAsia" w:hAnsiTheme="minorEastAsia" w:cstheme="minorEastAsia"/>
                <w:kern w:val="2"/>
                <w:sz w:val="21"/>
                <w:szCs w:val="21"/>
                <w:shd w:val="clear" w:color="auto" w:fill="FFFFFF"/>
                <w:lang w:val="en-US" w:eastAsia="zh-CN" w:bidi="ar-SA"/>
              </w:rPr>
            </w:pPr>
            <w:r>
              <w:rPr>
                <w:rFonts w:hint="eastAsia" w:asciiTheme="minorEastAsia" w:hAnsiTheme="minorEastAsia" w:cstheme="minorEastAsia"/>
                <w:szCs w:val="21"/>
                <w:shd w:val="clear" w:color="auto" w:fill="FFFFFF"/>
              </w:rPr>
              <w:t>1</w:t>
            </w:r>
            <w:r>
              <w:rPr>
                <w:rFonts w:hint="eastAsia" w:asciiTheme="minorEastAsia" w:hAnsiTheme="minorEastAsia" w:cstheme="minorEastAsia"/>
                <w:szCs w:val="21"/>
                <w:shd w:val="clear" w:color="auto" w:fill="FFFFFF"/>
                <w:lang w:val="en-US" w:eastAsia="zh-CN"/>
              </w:rPr>
              <w:t>7</w:t>
            </w:r>
            <w:r>
              <w:rPr>
                <w:rFonts w:hint="eastAsia" w:asciiTheme="minorEastAsia" w:hAnsiTheme="minorEastAsia" w:cstheme="minorEastAsia"/>
                <w:szCs w:val="21"/>
                <w:shd w:val="clear" w:color="auto" w:fill="FFFFFF"/>
              </w:rPr>
              <w:t>.00分</w:t>
            </w:r>
          </w:p>
        </w:tc>
        <w:tc>
          <w:tcPr>
            <w:tcW w:w="6049" w:type="dxa"/>
            <w:vAlign w:val="center"/>
          </w:tcPr>
          <w:p>
            <w:pPr>
              <w:keepNext w:val="0"/>
              <w:keepLines w:val="0"/>
              <w:widowControl/>
              <w:suppressLineNumbers w:val="0"/>
              <w:jc w:val="left"/>
            </w:pPr>
            <w:r>
              <w:rPr>
                <w:rFonts w:hint="eastAsia"/>
                <w:lang w:val="en-US" w:eastAsia="zh-CN"/>
              </w:rPr>
              <w:t>1、所投智慧黑板生产厂商通过软件能力成熟度CMMI-5级等级认证得3分，CMMI-4级等级认证得2分.CMMI-3级及以下等级认证得1分。</w:t>
            </w:r>
            <w:r>
              <w:rPr>
                <w:rFonts w:hint="eastAsia"/>
                <w:b/>
                <w:bCs/>
                <w:lang w:val="en-US" w:eastAsia="zh-CN"/>
              </w:rPr>
              <w:t>（说明：提供相关证明材料加盖供应商公章装入响应文件）</w:t>
            </w:r>
            <w:r>
              <w:rPr>
                <w:rFonts w:hint="eastAsia"/>
                <w:lang w:val="en-US" w:eastAsia="zh-CN"/>
              </w:rPr>
              <w:t xml:space="preserve"> </w:t>
            </w:r>
          </w:p>
          <w:p>
            <w:pPr>
              <w:keepNext w:val="0"/>
              <w:keepLines w:val="0"/>
              <w:widowControl/>
              <w:suppressLineNumbers w:val="0"/>
              <w:jc w:val="left"/>
            </w:pPr>
            <w:r>
              <w:rPr>
                <w:rFonts w:hint="eastAsia"/>
                <w:lang w:val="en-US" w:eastAsia="zh-CN"/>
              </w:rPr>
              <w:t>2、所投智慧教室系统支持手机相机功能，可选择手机相簿里面保存的图片或通过智能手机拍照学生上课情况、图片以及学生讨论现场上传至教师端，支持 1-9 副画面同时上传，画面排列方式为 1、2、4、6、9，具有此功能得2.5分，其余不得分。（</w:t>
            </w:r>
            <w:r>
              <w:rPr>
                <w:rFonts w:hint="eastAsia"/>
                <w:b/>
                <w:bCs/>
                <w:lang w:val="en-US" w:eastAsia="zh-CN"/>
              </w:rPr>
              <w:t xml:space="preserve">说明：提供功能截图或其他相关证明材料加盖供应商公章装入响应文件） </w:t>
            </w:r>
          </w:p>
          <w:p>
            <w:pPr>
              <w:keepNext w:val="0"/>
              <w:keepLines w:val="0"/>
              <w:widowControl/>
              <w:suppressLineNumbers w:val="0"/>
              <w:jc w:val="left"/>
            </w:pPr>
            <w:r>
              <w:rPr>
                <w:rFonts w:hint="eastAsia"/>
                <w:lang w:val="en-US" w:eastAsia="zh-CN"/>
              </w:rPr>
              <w:t>3、所投智慧黑板、数字书法</w:t>
            </w:r>
            <w:r>
              <w:rPr>
                <w:rFonts w:hint="eastAsia"/>
                <w:highlight w:val="none"/>
                <w:lang w:val="en-US" w:eastAsia="zh-CN"/>
              </w:rPr>
              <w:t>教学系统生产厂商具有信息技术服务体系认证证书的每提供一份得2.5分，最多得5分，未提供不得分。</w:t>
            </w:r>
            <w:r>
              <w:rPr>
                <w:b/>
                <w:szCs w:val="21"/>
                <w:highlight w:val="none"/>
              </w:rPr>
              <w:t>（说明：</w:t>
            </w:r>
            <w:r>
              <w:rPr>
                <w:rFonts w:hint="eastAsia"/>
                <w:b/>
                <w:szCs w:val="21"/>
                <w:highlight w:val="none"/>
                <w:lang w:val="en-US" w:eastAsia="zh-CN"/>
              </w:rPr>
              <w:t>提供</w:t>
            </w:r>
            <w:r>
              <w:rPr>
                <w:rFonts w:hint="eastAsia" w:ascii="Times New Roman" w:hAnsi="Times New Roman" w:eastAsia="宋体" w:cs="Times New Roman"/>
                <w:b/>
                <w:bCs/>
                <w:kern w:val="2"/>
                <w:sz w:val="21"/>
                <w:szCs w:val="21"/>
                <w:highlight w:val="none"/>
                <w:lang w:val="en-US" w:eastAsia="zh-CN" w:bidi="ar-SA"/>
              </w:rPr>
              <w:t>证书复印件</w:t>
            </w:r>
            <w:r>
              <w:rPr>
                <w:rFonts w:hint="eastAsia"/>
                <w:b/>
                <w:szCs w:val="21"/>
                <w:highlight w:val="none"/>
                <w:lang w:val="en-US" w:eastAsia="zh-CN"/>
              </w:rPr>
              <w:t>加盖供应商公章</w:t>
            </w:r>
            <w:r>
              <w:rPr>
                <w:b/>
                <w:szCs w:val="21"/>
                <w:highlight w:val="none"/>
              </w:rPr>
              <w:t>装入</w:t>
            </w:r>
            <w:r>
              <w:rPr>
                <w:rFonts w:hint="eastAsia"/>
                <w:b/>
                <w:szCs w:val="21"/>
                <w:highlight w:val="none"/>
                <w:lang w:val="en-US" w:eastAsia="zh-CN"/>
              </w:rPr>
              <w:t>响应</w:t>
            </w:r>
            <w:r>
              <w:rPr>
                <w:b/>
                <w:szCs w:val="21"/>
                <w:highlight w:val="none"/>
              </w:rPr>
              <w:t>文件</w:t>
            </w:r>
            <w:r>
              <w:rPr>
                <w:rFonts w:hint="eastAsia"/>
                <w:b/>
                <w:szCs w:val="21"/>
                <w:highlight w:val="none"/>
                <w:lang w:eastAsia="zh-CN"/>
              </w:rPr>
              <w:t>。</w:t>
            </w:r>
            <w:r>
              <w:rPr>
                <w:b/>
                <w:szCs w:val="21"/>
                <w:highlight w:val="none"/>
              </w:rPr>
              <w:t>）</w:t>
            </w:r>
            <w:r>
              <w:rPr>
                <w:rFonts w:hint="eastAsia"/>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pPr>
            <w:r>
              <w:rPr>
                <w:rFonts w:hint="eastAsia" w:ascii="宋体" w:hAnsi="宋体" w:eastAsia="宋体" w:cs="宋体"/>
                <w:kern w:val="2"/>
                <w:sz w:val="21"/>
                <w:szCs w:val="22"/>
                <w:lang w:val="en-US" w:eastAsia="zh-CN" w:bidi="ar-SA"/>
              </w:rPr>
              <w:t>4、所投“书法教学直播系统”的功能测试满足：“软件界面同时显示正面、侧面、特写三个画面，并在画面上进行标识，画面上清楚标识正面、侧面、特写。支持单镜头画面、双镜头画面、三镜头画面、画中画四种录播模式功能，四种显示模式都直接双击切换。支持三台摄像机的视频语音录制功能；支持三个画面同步回放功能；支持播放文件时间显示数字走表功能；支持在软件内直接修改视频、图片文件名，支持拍摄的视频文件自带拍摄年、月、日、时、分、秒信息”，且测试结果均为 P（表示符合GB/T25000.51-2016 标准），承诺中满足全部指标得1.5分，承诺中缺少任一项指标的不得分。</w:t>
            </w:r>
            <w:r>
              <w:rPr>
                <w:rFonts w:hint="eastAsia" w:ascii="宋体" w:hAnsi="宋体" w:eastAsia="宋体" w:cs="宋体"/>
                <w:b/>
                <w:bCs/>
                <w:kern w:val="2"/>
                <w:sz w:val="21"/>
                <w:szCs w:val="22"/>
                <w:highlight w:val="none"/>
                <w:lang w:val="en-US" w:eastAsia="zh-CN" w:bidi="ar-SA"/>
              </w:rPr>
              <w:t>（说明：提供承诺函，承诺成交后签订合同前提供第三方法定检测机构出具的具有CMA或CNAS标志的合格检测报告原件）</w:t>
            </w:r>
          </w:p>
          <w:p>
            <w:pPr>
              <w:keepNext w:val="0"/>
              <w:keepLines w:val="0"/>
              <w:widowControl/>
              <w:suppressLineNumbers w:val="0"/>
              <w:jc w:val="left"/>
              <w:rPr>
                <w:rFonts w:hint="eastAsia"/>
                <w:lang w:val="en-US" w:eastAsia="zh-CN"/>
              </w:rPr>
            </w:pPr>
            <w:r>
              <w:rPr>
                <w:rFonts w:hint="eastAsia"/>
                <w:lang w:val="en-US" w:eastAsia="zh-CN"/>
              </w:rPr>
              <w:t>5、所投“书法教学查询系统”的功能测试满足：“具备输入文字、拼音搜索功能，支持教育部推荐临摹、教育部推荐欣赏选项按钮；支持黑白反向功能，原贴是白底黑字的可以直接转换成黑底白字，原贴是黑底白字的可以直接转换成白底黑字”，且测试结果均为 P（表示符合 GB/T25000.51-2016 标准），承诺中满足全部指标得1.5分，承诺中缺少任一项指标的不得分。</w:t>
            </w:r>
            <w:r>
              <w:rPr>
                <w:rFonts w:hint="eastAsia"/>
                <w:b/>
                <w:bCs/>
                <w:lang w:val="en-US" w:eastAsia="zh-CN"/>
              </w:rPr>
              <w:t>（说明：提供承诺函，承诺成交后签订合同前提供第三方法定检测机构出具的具有CMA或CNAS标志的合格检测报告原件）</w:t>
            </w:r>
          </w:p>
          <w:p>
            <w:pPr>
              <w:keepNext w:val="0"/>
              <w:keepLines w:val="0"/>
              <w:widowControl/>
              <w:suppressLineNumbers w:val="0"/>
              <w:jc w:val="left"/>
              <w:rPr>
                <w:rFonts w:hint="eastAsia"/>
                <w:b/>
                <w:bCs/>
                <w:lang w:val="en-US" w:eastAsia="zh-CN"/>
              </w:rPr>
            </w:pPr>
            <w:r>
              <w:rPr>
                <w:rFonts w:hint="eastAsia"/>
                <w:lang w:val="en-US" w:eastAsia="zh-CN"/>
              </w:rPr>
              <w:t>6、所投“三笔字板书示范书写软件”的功能测试满足：“具备在字体排版软件界面、视频资源库软件界面、视频直播软件界面、碑帖查询软件界面、课程讲义软件界面进行批注、点评功能”，且测试结果均为 P（表示符合 GB/T25000.51-2016 标准），承诺中满足全部指标得1.5分，承诺中缺少任一项指标的不得分。</w:t>
            </w:r>
            <w:r>
              <w:rPr>
                <w:rFonts w:hint="eastAsia"/>
                <w:b/>
                <w:bCs/>
                <w:lang w:val="en-US" w:eastAsia="zh-CN"/>
              </w:rPr>
              <w:t>（说明：提供承诺函，承诺成交后签订合同前提供第三方法定检测机构出具的具有CMA或CNAS标志的合格检测报告原件）</w:t>
            </w:r>
          </w:p>
          <w:p>
            <w:pPr>
              <w:pStyle w:val="41"/>
              <w:ind w:left="0" w:leftChars="0" w:firstLine="0" w:firstLineChars="0"/>
              <w:rPr>
                <w:rFonts w:hint="eastAsia"/>
                <w:lang w:val="en-US" w:eastAsia="zh-CN"/>
              </w:rPr>
            </w:pPr>
            <w:r>
              <w:rPr>
                <w:rFonts w:hint="eastAsia"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供应商承诺中标后提供主要设备（中控系统、智慧黑板）生产厂商的三年售后服务承诺</w:t>
            </w:r>
            <w:r>
              <w:rPr>
                <w:rFonts w:hint="eastAsia"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每</w:t>
            </w:r>
            <w:r>
              <w:rPr>
                <w:rFonts w:hint="eastAsia" w:cs="宋体"/>
                <w:color w:val="000000"/>
                <w:kern w:val="0"/>
                <w:sz w:val="21"/>
                <w:szCs w:val="21"/>
                <w:lang w:val="en-US" w:eastAsia="zh-CN" w:bidi="ar"/>
              </w:rPr>
              <w:t>提供以上</w:t>
            </w:r>
            <w:r>
              <w:rPr>
                <w:rFonts w:hint="eastAsia" w:ascii="宋体" w:hAnsi="宋体" w:eastAsia="宋体" w:cs="宋体"/>
                <w:color w:val="000000"/>
                <w:kern w:val="0"/>
                <w:sz w:val="21"/>
                <w:szCs w:val="21"/>
                <w:lang w:val="en-US" w:eastAsia="zh-CN" w:bidi="ar"/>
              </w:rPr>
              <w:t>一个</w:t>
            </w:r>
            <w:r>
              <w:rPr>
                <w:rFonts w:hint="eastAsia" w:cs="宋体"/>
                <w:color w:val="000000"/>
                <w:kern w:val="0"/>
                <w:sz w:val="21"/>
                <w:szCs w:val="21"/>
                <w:lang w:val="en-US" w:eastAsia="zh-CN" w:bidi="ar"/>
              </w:rPr>
              <w:t>主要设备</w:t>
            </w:r>
            <w:r>
              <w:rPr>
                <w:rFonts w:hint="eastAsia" w:ascii="宋体" w:hAnsi="宋体" w:eastAsia="宋体" w:cs="宋体"/>
                <w:color w:val="000000"/>
                <w:kern w:val="0"/>
                <w:sz w:val="21"/>
                <w:szCs w:val="21"/>
                <w:lang w:val="en-US" w:eastAsia="zh-CN" w:bidi="ar"/>
              </w:rPr>
              <w:t>承诺的，得1分，最多得</w:t>
            </w:r>
            <w:r>
              <w:rPr>
                <w:rFonts w:hint="eastAsia"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分。</w:t>
            </w:r>
            <w:r>
              <w:rPr>
                <w:rFonts w:hint="eastAsia" w:ascii="宋体" w:hAnsi="宋体" w:eastAsia="宋体" w:cs="宋体"/>
                <w:b/>
                <w:bCs/>
                <w:color w:val="000000"/>
                <w:kern w:val="0"/>
                <w:sz w:val="21"/>
                <w:szCs w:val="21"/>
                <w:lang w:val="en-US" w:eastAsia="zh-CN" w:bidi="ar"/>
              </w:rPr>
              <w:t>（说明：提供承诺</w:t>
            </w:r>
            <w:r>
              <w:rPr>
                <w:rFonts w:hint="eastAsia" w:cs="宋体"/>
                <w:b/>
                <w:bCs/>
                <w:color w:val="000000"/>
                <w:kern w:val="0"/>
                <w:sz w:val="21"/>
                <w:szCs w:val="21"/>
                <w:lang w:val="en-US" w:eastAsia="zh-CN" w:bidi="ar"/>
              </w:rPr>
              <w:t>函</w:t>
            </w:r>
            <w:r>
              <w:rPr>
                <w:rFonts w:hint="eastAsia" w:ascii="宋体" w:hAnsi="宋体" w:eastAsia="宋体" w:cs="宋体"/>
                <w:b/>
                <w:bCs/>
                <w:color w:val="000000"/>
                <w:kern w:val="0"/>
                <w:sz w:val="21"/>
                <w:szCs w:val="21"/>
                <w:lang w:val="en-US" w:eastAsia="zh-CN" w:bidi="ar"/>
              </w:rPr>
              <w:t>加盖供应商公章装入响应文件）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4" w:type="dxa"/>
            <w:vAlign w:val="center"/>
          </w:tcPr>
          <w:p>
            <w:pPr>
              <w:jc w:val="left"/>
              <w:rPr>
                <w:rFonts w:asciiTheme="minorEastAsia" w:hAnsiTheme="minorEastAsia" w:cstheme="minorEastAsia"/>
                <w:szCs w:val="21"/>
                <w:shd w:val="clear" w:color="auto" w:fill="FFFFFF"/>
              </w:rPr>
            </w:pPr>
            <w:r>
              <w:rPr>
                <w:rFonts w:hint="eastAsia" w:asciiTheme="minorEastAsia" w:hAnsiTheme="minorEastAsia" w:cstheme="minorEastAsia"/>
                <w:b/>
                <w:bCs/>
                <w:szCs w:val="21"/>
                <w:shd w:val="clear" w:color="auto" w:fill="FFFFFF"/>
                <w:lang w:val="en-US" w:eastAsia="zh-CN"/>
              </w:rPr>
              <w:t>评审委员会评审</w:t>
            </w:r>
          </w:p>
        </w:tc>
        <w:tc>
          <w:tcPr>
            <w:tcW w:w="1125" w:type="dxa"/>
            <w:vAlign w:val="center"/>
          </w:tcPr>
          <w:p>
            <w:pPr>
              <w:jc w:val="left"/>
              <w:rPr>
                <w:rFonts w:hint="eastAsia" w:eastAsia="宋体" w:asciiTheme="minorEastAsia" w:hAnsiTheme="minorEastAsia" w:cstheme="minorEastAsia"/>
                <w:kern w:val="2"/>
                <w:sz w:val="21"/>
                <w:szCs w:val="21"/>
                <w:shd w:val="clear" w:color="auto" w:fill="FFFFFF"/>
                <w:lang w:val="en-US" w:eastAsia="zh-CN" w:bidi="ar-SA"/>
              </w:rPr>
            </w:pPr>
            <w:r>
              <w:rPr>
                <w:rFonts w:hint="eastAsia" w:asciiTheme="minorEastAsia" w:hAnsiTheme="minorEastAsia" w:cstheme="minorEastAsia"/>
                <w:szCs w:val="21"/>
                <w:shd w:val="clear" w:color="auto" w:fill="FFFFFF"/>
              </w:rPr>
              <w:t>节能、环保，无线局域网认证产品</w:t>
            </w:r>
          </w:p>
        </w:tc>
        <w:tc>
          <w:tcPr>
            <w:tcW w:w="1095" w:type="dxa"/>
            <w:vAlign w:val="center"/>
          </w:tcPr>
          <w:p>
            <w:pPr>
              <w:jc w:val="left"/>
              <w:rPr>
                <w:rFonts w:hint="eastAsia" w:eastAsia="宋体" w:asciiTheme="minorEastAsia" w:hAnsiTheme="minorEastAsia" w:cstheme="minorEastAsia"/>
                <w:kern w:val="2"/>
                <w:sz w:val="21"/>
                <w:szCs w:val="21"/>
                <w:shd w:val="clear" w:color="auto" w:fill="FFFFFF"/>
                <w:lang w:val="en-US" w:eastAsia="zh-CN" w:bidi="ar-SA"/>
              </w:rPr>
            </w:pPr>
            <w:r>
              <w:rPr>
                <w:rFonts w:hint="eastAsia" w:asciiTheme="minorEastAsia" w:hAnsiTheme="minorEastAsia" w:cstheme="minorEastAsia"/>
                <w:szCs w:val="21"/>
                <w:shd w:val="clear" w:color="auto" w:fill="FFFFFF"/>
              </w:rPr>
              <w:t>1.00分</w:t>
            </w:r>
          </w:p>
        </w:tc>
        <w:tc>
          <w:tcPr>
            <w:tcW w:w="6049" w:type="dxa"/>
            <w:vAlign w:val="center"/>
          </w:tcPr>
          <w:p>
            <w:pPr>
              <w:jc w:val="left"/>
              <w:rPr>
                <w:rFonts w:hint="eastAsia" w:eastAsia="宋体" w:asciiTheme="minorEastAsia" w:hAnsiTheme="minorEastAsia" w:cstheme="minorEastAsia"/>
                <w:kern w:val="2"/>
                <w:sz w:val="21"/>
                <w:szCs w:val="21"/>
                <w:shd w:val="clear" w:color="auto" w:fill="FFFFFF"/>
                <w:lang w:val="en-US" w:eastAsia="zh-CN" w:bidi="ar-SA"/>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所投产品中每有一项产品（除节能产品政府采购品目清单中的政府强制采购产品外）具有国家确定的认证机构出具的节能产品认证证书的得0.5分；</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所投产品中每有一项产品具有国家确定的认证机构出具的环境标志产品认证证书的得0.5分；</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所投产品中如果有属于无线局域网认证产品政府采购清单（最新一期）中采购目录范围的得0.5分</w:t>
            </w:r>
            <w:r>
              <w:rPr>
                <w:rFonts w:hint="eastAsia" w:ascii="宋体" w:hAnsi="宋体" w:eastAsia="宋体" w:cs="宋体"/>
                <w:color w:val="auto"/>
                <w:highlight w:val="none"/>
                <w:lang w:eastAsia="zh-CN"/>
              </w:rPr>
              <w:t>，本项最多得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分。</w:t>
            </w:r>
            <w:r>
              <w:rPr>
                <w:rFonts w:hint="eastAsia" w:ascii="宋体" w:hAnsi="宋体" w:eastAsia="宋体" w:cs="宋体"/>
                <w:b/>
                <w:bCs/>
                <w:color w:val="auto"/>
                <w:highlight w:val="none"/>
              </w:rPr>
              <w:t>（</w:t>
            </w:r>
            <w:r>
              <w:rPr>
                <w:rFonts w:hint="eastAsia" w:ascii="宋体" w:hAnsi="宋体" w:eastAsia="宋体" w:cs="宋体"/>
                <w:b/>
                <w:bCs/>
                <w:color w:val="000000"/>
                <w:kern w:val="0"/>
                <w:sz w:val="20"/>
                <w:szCs w:val="20"/>
                <w:lang w:val="en-US" w:eastAsia="zh-CN" w:bidi="ar"/>
              </w:rPr>
              <w:t>说明</w:t>
            </w:r>
            <w:r>
              <w:rPr>
                <w:rFonts w:hint="eastAsia" w:ascii="宋体" w:hAnsi="宋体" w:eastAsia="宋体" w:cs="宋体"/>
                <w:b/>
                <w:bCs/>
                <w:color w:val="auto"/>
                <w:highlight w:val="none"/>
              </w:rPr>
              <w:t>：无线局域网认证产品提供清单复印件，节能产品、环境标志产品提供有效的证书复印件</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w:t>
            </w:r>
          </w:p>
        </w:tc>
      </w:tr>
    </w:tbl>
    <w:p>
      <w:pPr>
        <w:pStyle w:val="41"/>
        <w:ind w:left="0" w:leftChars="0" w:firstLine="0" w:firstLineChars="0"/>
      </w:pPr>
    </w:p>
    <w:p>
      <w:pPr>
        <w:pStyle w:val="113"/>
        <w:ind w:firstLine="482"/>
        <w:rPr>
          <w:b/>
          <w:color w:val="000000"/>
          <w:shd w:val="clear" w:color="auto" w:fill="FFFFFF"/>
        </w:rPr>
      </w:pPr>
      <w:r>
        <w:rPr>
          <w:rFonts w:hint="eastAsia"/>
          <w:b/>
          <w:color w:val="000000"/>
          <w:shd w:val="clear" w:color="auto" w:fill="FFFFFF"/>
        </w:rPr>
        <w:t>说明：</w:t>
      </w:r>
    </w:p>
    <w:p>
      <w:pPr>
        <w:pStyle w:val="113"/>
        <w:ind w:firstLine="480"/>
        <w:rPr>
          <w:color w:val="000000"/>
          <w:shd w:val="clear" w:color="auto" w:fill="FFFFFF"/>
        </w:rPr>
      </w:pPr>
      <w:r>
        <w:rPr>
          <w:rFonts w:hint="eastAsia"/>
          <w:color w:val="000000"/>
          <w:shd w:val="clear" w:color="auto" w:fill="FFFFFF"/>
        </w:rPr>
        <w:t>1、评分的取值按四舍五入法，保留小数点后两位；</w:t>
      </w:r>
    </w:p>
    <w:p>
      <w:pPr>
        <w:pStyle w:val="4"/>
        <w:spacing w:before="156" w:after="156"/>
        <w:ind w:left="0" w:firstLine="480" w:firstLineChars="200"/>
        <w:rPr>
          <w:rFonts w:hint="eastAsia" w:ascii="宋体" w:hAnsi="宋体" w:eastAsiaTheme="minorEastAsia" w:cstheme="minorBidi"/>
          <w:b w:val="0"/>
          <w:bCs w:val="0"/>
          <w:iCs w:val="0"/>
          <w:color w:val="000000"/>
          <w:kern w:val="10"/>
          <w:sz w:val="24"/>
          <w:szCs w:val="22"/>
          <w:shd w:val="clear" w:color="auto" w:fill="FFFFFF"/>
          <w:lang w:val="en-US" w:eastAsia="zh-CN" w:bidi="ar-SA"/>
        </w:rPr>
      </w:pPr>
      <w:bookmarkStart w:id="267" w:name="_Toc30637"/>
      <w:r>
        <w:rPr>
          <w:rFonts w:hint="eastAsia" w:ascii="宋体" w:hAnsi="宋体" w:eastAsiaTheme="minorEastAsia" w:cstheme="minorBidi"/>
          <w:b w:val="0"/>
          <w:bCs w:val="0"/>
          <w:iCs w:val="0"/>
          <w:color w:val="000000"/>
          <w:kern w:val="10"/>
          <w:sz w:val="24"/>
          <w:szCs w:val="22"/>
          <w:shd w:val="clear" w:color="auto" w:fill="FFFFFF"/>
          <w:lang w:val="en-US" w:eastAsia="zh-CN" w:bidi="ar-SA"/>
        </w:rPr>
        <w:t>2、评分标准中要求提供复印件的证明材料须清晰可辨。</w:t>
      </w:r>
      <w:bookmarkEnd w:id="267"/>
      <w:r>
        <w:rPr>
          <w:rFonts w:hint="eastAsia" w:ascii="宋体" w:hAnsi="宋体" w:eastAsiaTheme="minorEastAsia" w:cstheme="minorBidi"/>
          <w:b w:val="0"/>
          <w:bCs w:val="0"/>
          <w:iCs w:val="0"/>
          <w:color w:val="000000"/>
          <w:kern w:val="10"/>
          <w:sz w:val="24"/>
          <w:szCs w:val="22"/>
          <w:shd w:val="clear" w:color="auto" w:fill="FFFFFF"/>
          <w:lang w:val="en-US" w:eastAsia="zh-CN" w:bidi="ar-SA"/>
        </w:rPr>
        <w:t xml:space="preserve"> </w:t>
      </w:r>
    </w:p>
    <w:p>
      <w:pPr>
        <w:pStyle w:val="4"/>
        <w:numPr>
          <w:ilvl w:val="0"/>
          <w:numId w:val="0"/>
        </w:numPr>
        <w:spacing w:before="156" w:after="156"/>
        <w:ind w:left="567" w:hanging="567"/>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 xml:space="preserve"> </w:t>
      </w:r>
      <w:bookmarkStart w:id="268" w:name="_Toc1207"/>
      <w:r>
        <w:rPr>
          <w:rFonts w:hint="eastAsia" w:ascii="宋体" w:hAnsi="宋体" w:eastAsia="宋体" w:cs="Times New Roman"/>
          <w:color w:val="auto"/>
          <w:highlight w:val="none"/>
          <w:lang w:val="en-US" w:eastAsia="zh-CN"/>
        </w:rPr>
        <w:t>5.5采购失败情形</w:t>
      </w:r>
      <w:bookmarkEnd w:id="268"/>
    </w:p>
    <w:p>
      <w:pPr>
        <w:pStyle w:val="113"/>
        <w:ind w:firstLine="480"/>
        <w:rPr>
          <w:color w:val="000000"/>
          <w:shd w:val="clear" w:color="auto" w:fill="FFFFFF"/>
        </w:rPr>
      </w:pPr>
      <w:r>
        <w:rPr>
          <w:rFonts w:hint="eastAsia"/>
          <w:color w:val="000000"/>
          <w:shd w:val="clear" w:color="auto" w:fill="FFFFFF"/>
        </w:rPr>
        <w:t>有下列情形之一的，本项目采购失败：</w:t>
      </w:r>
    </w:p>
    <w:p>
      <w:pPr>
        <w:pStyle w:val="113"/>
        <w:ind w:firstLine="480"/>
        <w:rPr>
          <w:color w:val="000000"/>
          <w:shd w:val="clear" w:color="auto" w:fill="FFFFFF"/>
        </w:rPr>
      </w:pPr>
      <w:r>
        <w:rPr>
          <w:rFonts w:hint="eastAsia"/>
          <w:color w:val="000000"/>
          <w:shd w:val="clear" w:color="auto" w:fill="FFFFFF"/>
        </w:rPr>
        <w:t>一、因情况变化，不再符合规定的竞争性磋商采购方式适用情形的；</w:t>
      </w:r>
    </w:p>
    <w:p>
      <w:pPr>
        <w:pStyle w:val="113"/>
        <w:ind w:firstLine="480"/>
        <w:rPr>
          <w:color w:val="000000"/>
          <w:shd w:val="clear" w:color="auto" w:fill="FFFFFF"/>
        </w:rPr>
      </w:pPr>
      <w:r>
        <w:rPr>
          <w:rFonts w:hint="eastAsia"/>
          <w:color w:val="000000"/>
          <w:shd w:val="clear" w:color="auto" w:fill="FFFFFF"/>
        </w:rPr>
        <w:t>二、出现影响采购公正的违法、违规行为的；</w:t>
      </w:r>
    </w:p>
    <w:p>
      <w:pPr>
        <w:pStyle w:val="113"/>
        <w:ind w:firstLine="480"/>
        <w:rPr>
          <w:color w:val="000000"/>
          <w:shd w:val="clear" w:color="auto" w:fill="FFFFFF"/>
        </w:rPr>
      </w:pPr>
      <w:r>
        <w:rPr>
          <w:rFonts w:hint="eastAsia"/>
          <w:color w:val="000000"/>
          <w:shd w:val="clear" w:color="auto" w:fill="FFFFFF"/>
        </w:rPr>
        <w:t>三、递交响应文件的供应商不足三家的；</w:t>
      </w:r>
    </w:p>
    <w:p>
      <w:pPr>
        <w:pStyle w:val="113"/>
        <w:ind w:firstLine="480"/>
        <w:rPr>
          <w:color w:val="000000"/>
          <w:shd w:val="clear" w:color="auto" w:fill="FFFFFF"/>
        </w:rPr>
      </w:pPr>
      <w:r>
        <w:rPr>
          <w:rFonts w:hint="eastAsia"/>
          <w:color w:val="000000"/>
          <w:shd w:val="clear" w:color="auto" w:fill="FFFFFF"/>
        </w:rPr>
        <w:t>四、通过资格性审查的供应商不足三家的；</w:t>
      </w:r>
    </w:p>
    <w:p>
      <w:pPr>
        <w:pStyle w:val="113"/>
        <w:ind w:firstLine="480"/>
        <w:rPr>
          <w:color w:val="000000"/>
          <w:shd w:val="clear" w:color="auto" w:fill="FFFFFF"/>
        </w:rPr>
      </w:pPr>
      <w:r>
        <w:rPr>
          <w:rFonts w:hint="eastAsia"/>
          <w:color w:val="000000"/>
          <w:shd w:val="clear" w:color="auto" w:fill="FFFFFF"/>
        </w:rPr>
        <w:t>五、通过符合性审查的供应商不足三家的；</w:t>
      </w:r>
    </w:p>
    <w:p>
      <w:pPr>
        <w:pStyle w:val="113"/>
        <w:ind w:firstLine="480"/>
        <w:rPr>
          <w:color w:val="000000"/>
          <w:shd w:val="clear" w:color="auto" w:fill="FFFFFF"/>
        </w:rPr>
      </w:pPr>
      <w:r>
        <w:rPr>
          <w:rFonts w:hint="eastAsia"/>
          <w:color w:val="000000"/>
          <w:shd w:val="clear" w:color="auto" w:fill="FFFFFF"/>
        </w:rPr>
        <w:t>六、提交最后报价的供应商不足三家的；</w:t>
      </w:r>
    </w:p>
    <w:p>
      <w:pPr>
        <w:pStyle w:val="113"/>
        <w:ind w:firstLine="480"/>
        <w:rPr>
          <w:color w:val="000000"/>
          <w:shd w:val="clear" w:color="auto" w:fill="FFFFFF"/>
        </w:rPr>
      </w:pPr>
      <w:r>
        <w:rPr>
          <w:rFonts w:hint="eastAsia"/>
          <w:color w:val="000000"/>
          <w:shd w:val="clear" w:color="auto" w:fill="FFFFFF"/>
        </w:rPr>
        <w:t>七、通过最后报价审查的供应商不足三家的。</w:t>
      </w:r>
    </w:p>
    <w:p>
      <w:pPr>
        <w:pStyle w:val="4"/>
        <w:spacing w:before="156" w:after="156"/>
        <w:ind w:left="0" w:firstLine="0"/>
        <w:rPr>
          <w:color w:val="000000"/>
          <w:shd w:val="clear" w:color="auto" w:fill="FFFFFF"/>
        </w:rPr>
      </w:pPr>
      <w:bookmarkStart w:id="269" w:name="_Toc17751"/>
      <w:r>
        <w:rPr>
          <w:rFonts w:hint="eastAsia"/>
          <w:color w:val="000000"/>
          <w:shd w:val="clear" w:color="auto" w:fill="FFFFFF"/>
        </w:rPr>
        <w:t>5.</w:t>
      </w:r>
      <w:r>
        <w:rPr>
          <w:rFonts w:hint="eastAsia"/>
          <w:color w:val="000000"/>
          <w:shd w:val="clear" w:color="auto" w:fill="FFFFFF"/>
          <w:lang w:val="en-US" w:eastAsia="zh-CN"/>
        </w:rPr>
        <w:t>6</w:t>
      </w:r>
      <w:r>
        <w:rPr>
          <w:rFonts w:hint="eastAsia"/>
          <w:color w:val="000000"/>
          <w:shd w:val="clear" w:color="auto" w:fill="FFFFFF"/>
        </w:rPr>
        <w:t>确定成交供应商</w:t>
      </w:r>
      <w:bookmarkEnd w:id="269"/>
    </w:p>
    <w:p>
      <w:pPr>
        <w:widowControl/>
        <w:numPr>
          <w:ilvl w:val="0"/>
          <w:numId w:val="31"/>
        </w:numPr>
        <w:tabs>
          <w:tab w:val="left" w:pos="1134"/>
        </w:tabs>
        <w:snapToGrid w:val="0"/>
        <w:spacing w:after="200" w:line="360" w:lineRule="auto"/>
        <w:ind w:left="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采购人根据磋商小组推荐的成交候选供应商名单，按顺序确定1名成交供应商。成交候选供应商并列的，采购人采取随机抽取的方式确定。</w:t>
      </w:r>
    </w:p>
    <w:p>
      <w:pPr>
        <w:widowControl/>
        <w:numPr>
          <w:ilvl w:val="0"/>
          <w:numId w:val="31"/>
        </w:numPr>
        <w:tabs>
          <w:tab w:val="left" w:pos="1134"/>
        </w:tabs>
        <w:snapToGrid w:val="0"/>
        <w:spacing w:after="200" w:line="620" w:lineRule="exact"/>
        <w:ind w:left="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评审结束后，</w:t>
      </w:r>
      <w:r>
        <w:rPr>
          <w:rFonts w:hint="eastAsia" w:ascii="宋体" w:hAnsi="宋体" w:cs="宋体"/>
          <w:color w:val="auto"/>
          <w:sz w:val="24"/>
          <w:szCs w:val="24"/>
          <w:highlight w:val="none"/>
          <w:lang w:eastAsia="zh-CN"/>
        </w:rPr>
        <w:t>区</w:t>
      </w:r>
      <w:r>
        <w:rPr>
          <w:rFonts w:hint="eastAsia" w:ascii="宋体" w:hAnsi="宋体" w:cs="宋体"/>
          <w:color w:val="auto"/>
          <w:sz w:val="24"/>
          <w:szCs w:val="24"/>
          <w:highlight w:val="none"/>
        </w:rPr>
        <w:t>公资交易中心在评审结束之日起2个工作日内将评审报告及有关资料送交采购人确定1名成交供应商。</w:t>
      </w:r>
    </w:p>
    <w:p>
      <w:pPr>
        <w:widowControl/>
        <w:numPr>
          <w:ilvl w:val="0"/>
          <w:numId w:val="31"/>
        </w:numPr>
        <w:tabs>
          <w:tab w:val="left" w:pos="1134"/>
        </w:tabs>
        <w:snapToGrid w:val="0"/>
        <w:spacing w:after="200" w:line="360" w:lineRule="auto"/>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采购人在收到评审报告后</w:t>
      </w:r>
      <w:r>
        <w:rPr>
          <w:rFonts w:hint="eastAsia" w:cs="宋体"/>
          <w:color w:val="auto"/>
          <w:sz w:val="24"/>
          <w:szCs w:val="24"/>
          <w:highlight w:val="none"/>
          <w:lang w:val="en-US" w:eastAsia="zh-CN"/>
        </w:rPr>
        <w:t>5</w:t>
      </w:r>
      <w:r>
        <w:rPr>
          <w:rFonts w:hint="eastAsia" w:ascii="宋体" w:hAnsi="宋体" w:cs="宋体"/>
          <w:color w:val="auto"/>
          <w:sz w:val="24"/>
          <w:szCs w:val="24"/>
          <w:highlight w:val="none"/>
        </w:rPr>
        <w:t>个工作日内，按照评审报告中推荐的成交候选供应商顺序确定成交</w:t>
      </w:r>
      <w:r>
        <w:rPr>
          <w:rFonts w:ascii="宋体" w:hAnsi="宋体" w:cs="宋体"/>
          <w:color w:val="auto"/>
          <w:sz w:val="24"/>
          <w:szCs w:val="24"/>
          <w:highlight w:val="none"/>
        </w:rPr>
        <w:t>供应商</w:t>
      </w:r>
      <w:r>
        <w:rPr>
          <w:rFonts w:hint="eastAsia" w:ascii="宋体" w:hAnsi="宋体" w:cs="宋体"/>
          <w:color w:val="auto"/>
          <w:sz w:val="24"/>
          <w:szCs w:val="24"/>
          <w:highlight w:val="none"/>
        </w:rPr>
        <w:t>。若成交候选供应商及其现任法定代表人、主要负责人存在行贿犯罪记录，采购人将不确定其为成交</w:t>
      </w:r>
      <w:r>
        <w:rPr>
          <w:rFonts w:ascii="宋体" w:hAnsi="宋体" w:cs="宋体"/>
          <w:color w:val="auto"/>
          <w:sz w:val="24"/>
          <w:szCs w:val="24"/>
          <w:highlight w:val="none"/>
        </w:rPr>
        <w:t>供应商</w:t>
      </w:r>
      <w:r>
        <w:rPr>
          <w:rFonts w:hint="eastAsia" w:ascii="宋体" w:hAnsi="宋体" w:cs="宋体"/>
          <w:color w:val="auto"/>
          <w:sz w:val="24"/>
          <w:szCs w:val="24"/>
          <w:highlight w:val="none"/>
        </w:rPr>
        <w:t>。</w:t>
      </w:r>
    </w:p>
    <w:p>
      <w:pPr>
        <w:widowControl/>
        <w:numPr>
          <w:ilvl w:val="0"/>
          <w:numId w:val="31"/>
        </w:numPr>
        <w:tabs>
          <w:tab w:val="left" w:pos="1134"/>
        </w:tabs>
        <w:snapToGrid w:val="0"/>
        <w:spacing w:after="200" w:line="360" w:lineRule="auto"/>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采购人逾期未确定成交供应商且不提出异议的，视为确定评审报告提出的排序第一的供应商为成交供应商。</w:t>
      </w:r>
    </w:p>
    <w:p>
      <w:pPr>
        <w:pStyle w:val="4"/>
        <w:spacing w:before="156" w:after="156"/>
        <w:ind w:left="0" w:firstLine="0"/>
        <w:rPr>
          <w:color w:val="000000"/>
          <w:shd w:val="clear" w:color="auto" w:fill="FFFFFF"/>
        </w:rPr>
      </w:pPr>
      <w:bookmarkStart w:id="270" w:name="_Toc6065"/>
      <w:r>
        <w:rPr>
          <w:rFonts w:hint="eastAsia"/>
          <w:color w:val="000000"/>
          <w:shd w:val="clear" w:color="auto" w:fill="FFFFFF"/>
        </w:rPr>
        <w:t>5.</w:t>
      </w:r>
      <w:r>
        <w:rPr>
          <w:rFonts w:hint="eastAsia"/>
          <w:color w:val="000000"/>
          <w:shd w:val="clear" w:color="auto" w:fill="FFFFFF"/>
          <w:lang w:val="en-US" w:eastAsia="zh-CN"/>
        </w:rPr>
        <w:t>7</w:t>
      </w:r>
      <w:r>
        <w:rPr>
          <w:rFonts w:hint="eastAsia"/>
          <w:color w:val="000000"/>
          <w:shd w:val="clear" w:color="auto" w:fill="FFFFFF"/>
        </w:rPr>
        <w:t>磋商小组成员义务</w:t>
      </w:r>
      <w:bookmarkEnd w:id="270"/>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auto"/>
          <w:sz w:val="24"/>
          <w:szCs w:val="24"/>
          <w:highlight w:val="none"/>
        </w:rPr>
      </w:pPr>
      <w:r>
        <w:rPr>
          <w:rFonts w:hint="eastAsia"/>
          <w:color w:val="auto"/>
          <w:sz w:val="24"/>
          <w:szCs w:val="24"/>
          <w:highlight w:val="none"/>
        </w:rPr>
        <w:t>磋商小组成员在政府采购活动中承担以下义务：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szCs w:val="24"/>
          <w:highlight w:val="none"/>
        </w:rPr>
      </w:pPr>
      <w:r>
        <w:rPr>
          <w:rFonts w:hint="eastAsia"/>
          <w:color w:val="auto"/>
          <w:sz w:val="24"/>
          <w:szCs w:val="24"/>
          <w:highlight w:val="none"/>
        </w:rPr>
        <w:t>一、遵守评审工作纪律；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szCs w:val="24"/>
          <w:highlight w:val="none"/>
        </w:rPr>
      </w:pPr>
      <w:r>
        <w:rPr>
          <w:rFonts w:hint="eastAsia"/>
          <w:color w:val="auto"/>
          <w:sz w:val="24"/>
          <w:szCs w:val="24"/>
          <w:highlight w:val="none"/>
        </w:rPr>
        <w:t>二、按照客观、公正、审慎的原则，根据磋商文件规定的评审程序、评审方法和评审标准进行独立评审；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szCs w:val="24"/>
          <w:highlight w:val="none"/>
        </w:rPr>
      </w:pPr>
      <w:r>
        <w:rPr>
          <w:rFonts w:hint="eastAsia"/>
          <w:color w:val="auto"/>
          <w:sz w:val="24"/>
          <w:szCs w:val="24"/>
          <w:highlight w:val="none"/>
        </w:rPr>
        <w:t>三、不得泄露评审文件、评审情况和在评审过程中获悉的商业秘密；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szCs w:val="24"/>
          <w:highlight w:val="none"/>
        </w:rPr>
      </w:pPr>
      <w:r>
        <w:rPr>
          <w:rFonts w:hint="eastAsia"/>
          <w:color w:val="auto"/>
          <w:sz w:val="24"/>
          <w:szCs w:val="24"/>
          <w:highlight w:val="none"/>
        </w:rPr>
        <w:t>四、及时向财政部门报告评审过程中发现的采购人、采购代理机构向评审专家做倾向性、误导性的解释或者说明，以及供应商行贿、提供虚假材料或者串通等违法行为；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szCs w:val="24"/>
          <w:highlight w:val="none"/>
        </w:rPr>
      </w:pPr>
      <w:r>
        <w:rPr>
          <w:rFonts w:hint="eastAsia"/>
          <w:color w:val="auto"/>
          <w:sz w:val="24"/>
          <w:szCs w:val="24"/>
          <w:highlight w:val="none"/>
        </w:rPr>
        <w:t>五、发现磋商文件内容违反国家有关强制性规定或者磋商文件存在歧义、重大缺陷导致评审工作无法进行时，停止评审并向采购人或者采购代理机构书面说明情况；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szCs w:val="24"/>
          <w:highlight w:val="none"/>
        </w:rPr>
      </w:pPr>
      <w:r>
        <w:rPr>
          <w:rFonts w:hint="eastAsia"/>
          <w:color w:val="auto"/>
          <w:sz w:val="24"/>
          <w:szCs w:val="24"/>
          <w:highlight w:val="none"/>
        </w:rPr>
        <w:t>六、及时向财政、监察等部门举报在评审过程中受到非法干预的情况；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szCs w:val="24"/>
          <w:highlight w:val="none"/>
        </w:rPr>
      </w:pPr>
      <w:r>
        <w:rPr>
          <w:rFonts w:hint="eastAsia"/>
          <w:color w:val="auto"/>
          <w:sz w:val="24"/>
          <w:szCs w:val="24"/>
          <w:highlight w:val="none"/>
        </w:rPr>
        <w:t>七、配合答复处理供应商的询问、质疑和投诉等事项；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color w:val="000000"/>
          <w:shd w:val="clear" w:color="auto" w:fill="FFFFFF"/>
        </w:rPr>
      </w:pPr>
      <w:r>
        <w:rPr>
          <w:rFonts w:hint="eastAsia"/>
          <w:color w:val="auto"/>
          <w:sz w:val="24"/>
          <w:szCs w:val="24"/>
          <w:highlight w:val="none"/>
        </w:rPr>
        <w:t>八、法律、法规和规章规定的其他义务。</w:t>
      </w:r>
    </w:p>
    <w:p>
      <w:pPr>
        <w:pStyle w:val="4"/>
        <w:numPr>
          <w:ilvl w:val="1"/>
          <w:numId w:val="0"/>
        </w:numPr>
        <w:spacing w:before="0" w:after="200"/>
        <w:ind w:leftChars="0"/>
        <w:rPr>
          <w:color w:val="auto"/>
          <w:highlight w:val="none"/>
        </w:rPr>
      </w:pPr>
      <w:bookmarkStart w:id="271" w:name="_Toc77688521"/>
      <w:bookmarkStart w:id="272" w:name="_Toc58943353"/>
      <w:bookmarkStart w:id="273" w:name="_Toc16801"/>
      <w:bookmarkStart w:id="274" w:name="_Toc17317"/>
      <w:r>
        <w:rPr>
          <w:rFonts w:hint="eastAsia"/>
          <w:color w:val="auto"/>
          <w:highlight w:val="none"/>
          <w:lang w:val="en-US" w:eastAsia="zh-CN"/>
        </w:rPr>
        <w:t>5.8</w:t>
      </w:r>
      <w:r>
        <w:rPr>
          <w:rFonts w:hint="eastAsia"/>
          <w:color w:val="auto"/>
          <w:highlight w:val="none"/>
        </w:rPr>
        <w:t>磋商纪律</w:t>
      </w:r>
      <w:bookmarkEnd w:id="271"/>
      <w:bookmarkEnd w:id="272"/>
      <w:bookmarkEnd w:id="273"/>
      <w:bookmarkEnd w:id="274"/>
    </w:p>
    <w:p>
      <w:pPr>
        <w:snapToGrid w:val="0"/>
        <w:spacing w:line="360" w:lineRule="auto"/>
        <w:ind w:firstLine="480" w:firstLineChars="200"/>
        <w:rPr>
          <w:color w:val="auto"/>
          <w:sz w:val="24"/>
          <w:szCs w:val="24"/>
          <w:highlight w:val="none"/>
        </w:rPr>
      </w:pPr>
      <w:r>
        <w:rPr>
          <w:rFonts w:hint="eastAsia"/>
          <w:color w:val="auto"/>
          <w:sz w:val="24"/>
          <w:szCs w:val="24"/>
          <w:highlight w:val="none"/>
        </w:rPr>
        <w:t>磋商小组成员在政府采购活动中应当遵守以下工作纪律：</w:t>
      </w:r>
    </w:p>
    <w:p>
      <w:pPr>
        <w:tabs>
          <w:tab w:val="left" w:pos="766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二、评审前，应当将通讯工具或者相关电子设备交由采购代理机构统一保管。进入评标区之前应将所有的通信设备存入</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公资交易中心指定的存放处。评审专家不得以任何方式将通信设备带入评标区，否则将被取消本项目的评审资格。遇特殊情况不能出席或途中遇阻不能按时参加评审或咨询的，应及时告知财政部门或者采购人或者</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公资交易中心，不得私自转托他人；</w:t>
      </w:r>
    </w:p>
    <w:p>
      <w:pPr>
        <w:tabs>
          <w:tab w:val="left" w:pos="766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w:t>
      </w:r>
      <w:r>
        <w:rPr>
          <w:rFonts w:hint="eastAsia" w:ascii="宋体" w:hAnsi="宋体"/>
          <w:color w:val="auto"/>
          <w:sz w:val="24"/>
          <w:szCs w:val="24"/>
          <w:highlight w:val="none"/>
        </w:rPr>
        <w:t>对需要专业</w:t>
      </w:r>
      <w:r>
        <w:rPr>
          <w:rFonts w:ascii="宋体" w:hAnsi="宋体"/>
          <w:color w:val="auto"/>
          <w:sz w:val="24"/>
          <w:szCs w:val="24"/>
          <w:highlight w:val="none"/>
        </w:rPr>
        <w:t>判断的主管评审因素不得协商评分；</w:t>
      </w:r>
    </w:p>
    <w:p>
      <w:pPr>
        <w:tabs>
          <w:tab w:val="left" w:pos="766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w:t>
      </w:r>
      <w:r>
        <w:rPr>
          <w:rFonts w:ascii="宋体" w:hAnsi="宋体"/>
          <w:color w:val="auto"/>
          <w:sz w:val="24"/>
          <w:szCs w:val="24"/>
          <w:highlight w:val="none"/>
        </w:rPr>
        <w:t>、</w:t>
      </w:r>
      <w:r>
        <w:rPr>
          <w:rFonts w:hint="eastAsia" w:ascii="宋体" w:hAnsi="宋体"/>
          <w:color w:val="auto"/>
          <w:sz w:val="24"/>
          <w:szCs w:val="24"/>
          <w:highlight w:val="none"/>
        </w:rPr>
        <w:t>在</w:t>
      </w:r>
      <w:r>
        <w:rPr>
          <w:rFonts w:ascii="宋体" w:hAnsi="宋体"/>
          <w:color w:val="auto"/>
          <w:sz w:val="24"/>
          <w:szCs w:val="24"/>
          <w:highlight w:val="none"/>
        </w:rPr>
        <w:t>评审过程中不得擅离职守，影响磋商程序</w:t>
      </w:r>
      <w:r>
        <w:rPr>
          <w:rFonts w:hint="eastAsia" w:ascii="宋体" w:hAnsi="宋体"/>
          <w:color w:val="auto"/>
          <w:sz w:val="24"/>
          <w:szCs w:val="24"/>
          <w:highlight w:val="none"/>
        </w:rPr>
        <w:t>正常进行；</w:t>
      </w:r>
    </w:p>
    <w:p>
      <w:pPr>
        <w:tabs>
          <w:tab w:val="left" w:pos="766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w:t>
      </w:r>
      <w:r>
        <w:rPr>
          <w:rFonts w:hint="eastAsia" w:ascii="宋体" w:hAnsi="宋体"/>
          <w:color w:val="auto"/>
          <w:sz w:val="24"/>
          <w:szCs w:val="24"/>
          <w:highlight w:val="none"/>
        </w:rPr>
        <w:t>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w:t>
      </w:r>
      <w:r>
        <w:rPr>
          <w:rFonts w:ascii="宋体" w:hAnsi="宋体"/>
          <w:color w:val="auto"/>
          <w:sz w:val="24"/>
          <w:szCs w:val="24"/>
          <w:highlight w:val="none"/>
        </w:rPr>
        <w:t>、</w:t>
      </w:r>
      <w:r>
        <w:rPr>
          <w:rFonts w:hint="eastAsia" w:ascii="宋体" w:hAnsi="宋体"/>
          <w:color w:val="auto"/>
          <w:sz w:val="24"/>
          <w:szCs w:val="24"/>
          <w:highlight w:val="none"/>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w:t>
      </w:r>
      <w:r>
        <w:rPr>
          <w:rFonts w:hint="eastAsia" w:ascii="宋体" w:hAnsi="宋体"/>
          <w:color w:val="auto"/>
          <w:sz w:val="24"/>
          <w:szCs w:val="24"/>
          <w:highlight w:val="none"/>
        </w:rPr>
        <w:t>在评审过程中和评审结束后，不得记录、复制或带走任何评审资料，不得向外界透露评审内容；</w:t>
      </w:r>
    </w:p>
    <w:p>
      <w:pPr>
        <w:tabs>
          <w:tab w:val="left" w:pos="766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w:t>
      </w:r>
      <w:r>
        <w:rPr>
          <w:rFonts w:ascii="宋体" w:hAnsi="宋体"/>
          <w:color w:val="auto"/>
          <w:sz w:val="24"/>
          <w:szCs w:val="24"/>
          <w:highlight w:val="none"/>
        </w:rPr>
        <w:t>、</w:t>
      </w:r>
      <w:r>
        <w:rPr>
          <w:rFonts w:hint="eastAsia" w:ascii="宋体" w:hAnsi="宋体"/>
          <w:color w:val="auto"/>
          <w:sz w:val="24"/>
          <w:szCs w:val="24"/>
          <w:highlight w:val="none"/>
        </w:rPr>
        <w:t>评审现场服从采购代理机构工作人员的管理，接受现场监督人员的合法监督；</w:t>
      </w:r>
    </w:p>
    <w:p>
      <w:pPr>
        <w:tabs>
          <w:tab w:val="left" w:pos="766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w:t>
      </w:r>
      <w:r>
        <w:rPr>
          <w:rFonts w:ascii="宋体" w:hAnsi="宋体"/>
          <w:color w:val="auto"/>
          <w:sz w:val="24"/>
          <w:szCs w:val="24"/>
          <w:highlight w:val="none"/>
        </w:rPr>
        <w:t>、</w:t>
      </w:r>
      <w:r>
        <w:rPr>
          <w:rFonts w:hint="eastAsia" w:ascii="宋体" w:hAnsi="宋体"/>
          <w:color w:val="auto"/>
          <w:sz w:val="24"/>
          <w:szCs w:val="24"/>
          <w:highlight w:val="none"/>
        </w:rPr>
        <w:t>遵守有关廉洁自律规定，不得私下接触供应商，不得收受供应商及有关业务单位和个人的财物或好处，不得接受采购代理机构的请托。</w:t>
      </w:r>
    </w:p>
    <w:p>
      <w:pPr>
        <w:pStyle w:val="3"/>
        <w:jc w:val="both"/>
        <w:rPr>
          <w:rFonts w:hint="eastAsia"/>
          <w:color w:val="000000"/>
          <w:shd w:val="clear" w:color="auto" w:fill="FFFFFF"/>
        </w:rPr>
      </w:pPr>
    </w:p>
    <w:p>
      <w:pPr>
        <w:pStyle w:val="3"/>
        <w:rPr>
          <w:color w:val="000000"/>
          <w:shd w:val="clear" w:color="auto" w:fill="FFFFFF"/>
        </w:rPr>
      </w:pPr>
      <w:bookmarkStart w:id="275" w:name="_Toc1995"/>
      <w:r>
        <w:rPr>
          <w:rFonts w:hint="eastAsia"/>
          <w:color w:val="000000"/>
          <w:shd w:val="clear" w:color="auto" w:fill="FFFFFF"/>
        </w:rPr>
        <w:t>第6章 合同主要条款</w:t>
      </w:r>
      <w:bookmarkEnd w:id="275"/>
    </w:p>
    <w:p>
      <w:pPr>
        <w:rPr>
          <w:color w:val="000000"/>
          <w:shd w:val="clear" w:color="auto" w:fill="FFFFFF"/>
        </w:rPr>
      </w:pPr>
      <w:bookmarkStart w:id="276" w:name="EB1f0aafc679f74a3b911babc8d3654e3f"/>
    </w:p>
    <w:bookmarkEnd w:id="276"/>
    <w:p>
      <w:pPr>
        <w:keepNext/>
        <w:keepLines/>
        <w:spacing w:line="360" w:lineRule="auto"/>
        <w:ind w:firstLine="2813" w:firstLineChars="1000"/>
        <w:outlineLvl w:val="0"/>
        <w:rPr>
          <w:rFonts w:ascii="宋体" w:hAnsi="宋体"/>
          <w:b/>
          <w:bCs/>
          <w:spacing w:val="-20"/>
          <w:kern w:val="44"/>
          <w:sz w:val="32"/>
          <w:szCs w:val="32"/>
        </w:rPr>
      </w:pPr>
      <w:r>
        <w:rPr>
          <w:rFonts w:hint="eastAsia" w:ascii="宋体" w:hAnsi="宋体"/>
          <w:b/>
          <w:bCs/>
          <w:spacing w:val="-20"/>
          <w:kern w:val="44"/>
          <w:sz w:val="32"/>
          <w:szCs w:val="32"/>
        </w:rPr>
        <w:t>拟定签订合同文本</w:t>
      </w:r>
    </w:p>
    <w:p>
      <w:pPr>
        <w:spacing w:line="360" w:lineRule="auto"/>
        <w:rPr>
          <w:rFonts w:ascii="Times New Roman" w:hAnsi="Times New Roman" w:eastAsia="仿宋_GB2312"/>
          <w:szCs w:val="21"/>
        </w:rPr>
      </w:pPr>
    </w:p>
    <w:p>
      <w:pPr>
        <w:spacing w:line="360" w:lineRule="auto"/>
        <w:rPr>
          <w:rFonts w:ascii="Times New Roman" w:hAnsi="Times New Roman" w:eastAsia="仿宋_GB2312"/>
          <w:szCs w:val="21"/>
        </w:rPr>
      </w:pPr>
      <w:r>
        <w:rPr>
          <w:rFonts w:hint="eastAsia" w:ascii="Times New Roman" w:hAnsi="Times New Roman" w:eastAsia="仿宋_GB2312"/>
          <w:szCs w:val="21"/>
        </w:rPr>
        <w:t>合同编号：</w:t>
      </w:r>
    </w:p>
    <w:p>
      <w:pPr>
        <w:spacing w:line="360" w:lineRule="auto"/>
        <w:rPr>
          <w:rFonts w:ascii="Times New Roman" w:hAnsi="Times New Roman" w:eastAsia="仿宋_GB2312"/>
          <w:szCs w:val="21"/>
        </w:rPr>
      </w:pPr>
      <w:r>
        <w:rPr>
          <w:rFonts w:hint="eastAsia" w:ascii="Times New Roman" w:hAnsi="Times New Roman" w:eastAsia="仿宋_GB2312"/>
          <w:szCs w:val="21"/>
        </w:rPr>
        <w:t>签订地点：</w:t>
      </w:r>
    </w:p>
    <w:p>
      <w:pPr>
        <w:spacing w:line="360" w:lineRule="auto"/>
        <w:rPr>
          <w:rFonts w:ascii="Times New Roman" w:hAnsi="Times New Roman" w:eastAsia="仿宋_GB2312"/>
          <w:szCs w:val="21"/>
        </w:rPr>
      </w:pPr>
      <w:r>
        <w:rPr>
          <w:rFonts w:hint="eastAsia" w:ascii="Times New Roman" w:hAnsi="Times New Roman" w:eastAsia="仿宋_GB2312"/>
          <w:szCs w:val="21"/>
        </w:rPr>
        <w:t>签订时间：XXXX年XX月XX日。</w:t>
      </w:r>
    </w:p>
    <w:p>
      <w:pPr>
        <w:spacing w:line="360" w:lineRule="auto"/>
        <w:rPr>
          <w:rFonts w:ascii="Times New Roman" w:hAnsi="Times New Roman" w:eastAsia="仿宋_GB2312"/>
          <w:szCs w:val="21"/>
        </w:rPr>
      </w:pPr>
      <w:r>
        <w:rPr>
          <w:rFonts w:hint="eastAsia" w:ascii="Times New Roman" w:hAnsi="Times New Roman" w:eastAsia="仿宋_GB2312"/>
          <w:szCs w:val="21"/>
        </w:rPr>
        <w:t xml:space="preserve">采购人（甲方）：                              </w:t>
      </w:r>
    </w:p>
    <w:p>
      <w:pPr>
        <w:spacing w:line="360" w:lineRule="auto"/>
        <w:rPr>
          <w:rFonts w:ascii="Times New Roman" w:hAnsi="Times New Roman" w:eastAsia="仿宋_GB2312"/>
          <w:szCs w:val="21"/>
        </w:rPr>
      </w:pPr>
      <w:r>
        <w:rPr>
          <w:rFonts w:hint="eastAsia" w:ascii="Times New Roman" w:hAnsi="Times New Roman" w:eastAsia="仿宋_GB2312"/>
          <w:szCs w:val="21"/>
        </w:rPr>
        <w:t xml:space="preserve">供应商（乙方）：                                                                     </w:t>
      </w:r>
    </w:p>
    <w:p>
      <w:pPr>
        <w:spacing w:line="360" w:lineRule="auto"/>
        <w:rPr>
          <w:rFonts w:ascii="Times New Roman" w:hAnsi="Times New Roman" w:eastAsia="仿宋_GB2312"/>
          <w:szCs w:val="21"/>
        </w:rPr>
      </w:pPr>
    </w:p>
    <w:p>
      <w:pPr>
        <w:spacing w:line="360" w:lineRule="auto"/>
        <w:rPr>
          <w:rFonts w:ascii="Times New Roman" w:hAnsi="Times New Roman" w:eastAsia="仿宋_GB2312"/>
          <w:szCs w:val="21"/>
        </w:rPr>
      </w:pPr>
      <w:r>
        <w:rPr>
          <w:rFonts w:hint="eastAsia" w:ascii="Times New Roman" w:hAnsi="Times New Roman" w:eastAsia="仿宋_GB2312"/>
          <w:szCs w:val="21"/>
        </w:rPr>
        <w:t>根据《中华人民共和国政府采购法》、《中华人民共和国合同法》及 XXXXXXXXX （项目编号：XXXXX）的《招标文件》、乙方的《</w:t>
      </w:r>
      <w:r>
        <w:rPr>
          <w:rFonts w:hint="eastAsia" w:ascii="Times New Roman" w:hAnsi="Times New Roman" w:eastAsia="仿宋_GB2312"/>
          <w:szCs w:val="21"/>
          <w:lang w:eastAsia="zh-CN"/>
        </w:rPr>
        <w:t>响应文件</w:t>
      </w:r>
      <w:r>
        <w:rPr>
          <w:rFonts w:hint="eastAsia" w:ascii="Times New Roman" w:hAnsi="Times New Roman" w:eastAsia="仿宋_GB2312"/>
          <w:szCs w:val="21"/>
        </w:rPr>
        <w:t>》及《中标通知书》，甲、乙双方同意签订本合同。详细技术说明及其他有关合同项目的特定信息由合同附件予以说明，合同附件及本项目的招标文件、</w:t>
      </w:r>
      <w:r>
        <w:rPr>
          <w:rFonts w:hint="eastAsia" w:ascii="Times New Roman" w:hAnsi="Times New Roman" w:eastAsia="仿宋_GB2312"/>
          <w:szCs w:val="21"/>
          <w:lang w:eastAsia="zh-CN"/>
        </w:rPr>
        <w:t>响应文件</w:t>
      </w:r>
      <w:r>
        <w:rPr>
          <w:rFonts w:hint="eastAsia" w:ascii="Times New Roman" w:hAnsi="Times New Roman" w:eastAsia="仿宋_GB2312"/>
          <w:szCs w:val="21"/>
        </w:rPr>
        <w:t>、《中标通知书》等均为本合同不可分割的部分。双方同意共同遵守如下条款：</w:t>
      </w:r>
    </w:p>
    <w:p>
      <w:pPr>
        <w:spacing w:line="360" w:lineRule="auto"/>
        <w:rPr>
          <w:rFonts w:ascii="Times New Roman" w:hAnsi="Times New Roman" w:eastAsia="仿宋_GB2312"/>
          <w:szCs w:val="21"/>
        </w:rPr>
      </w:pPr>
      <w:r>
        <w:rPr>
          <w:rFonts w:hint="eastAsia" w:ascii="Times New Roman" w:hAnsi="Times New Roman" w:eastAsia="仿宋_GB2312"/>
          <w:szCs w:val="21"/>
        </w:rPr>
        <w:t>一、标的物</w:t>
      </w:r>
    </w:p>
    <w:tbl>
      <w:tblPr>
        <w:tblStyle w:val="42"/>
        <w:tblW w:w="94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4"/>
        <w:gridCol w:w="1098"/>
        <w:gridCol w:w="753"/>
        <w:gridCol w:w="939"/>
        <w:gridCol w:w="1128"/>
        <w:gridCol w:w="1237"/>
        <w:gridCol w:w="1316"/>
        <w:gridCol w:w="13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16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仿宋_GB2312"/>
                <w:szCs w:val="21"/>
              </w:rPr>
            </w:pPr>
            <w:r>
              <w:rPr>
                <w:rFonts w:hint="eastAsia" w:ascii="Times New Roman" w:hAnsi="Times New Roman" w:eastAsia="仿宋_GB2312"/>
                <w:szCs w:val="21"/>
              </w:rPr>
              <w:t>货物品名</w:t>
            </w:r>
          </w:p>
        </w:tc>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auto"/>
              <w:ind w:left="-8" w:leftChars="-34" w:hanging="63" w:hangingChars="30"/>
              <w:jc w:val="center"/>
              <w:rPr>
                <w:rFonts w:ascii="Times New Roman" w:hAnsi="Times New Roman" w:eastAsia="仿宋_GB2312"/>
                <w:szCs w:val="21"/>
              </w:rPr>
            </w:pPr>
            <w:r>
              <w:rPr>
                <w:rFonts w:hint="eastAsia" w:ascii="Times New Roman" w:hAnsi="Times New Roman" w:eastAsia="仿宋_GB2312"/>
                <w:szCs w:val="21"/>
              </w:rPr>
              <w:t>规格</w:t>
            </w:r>
          </w:p>
          <w:p>
            <w:pPr>
              <w:spacing w:line="360" w:lineRule="auto"/>
              <w:ind w:left="-8" w:leftChars="-34" w:hanging="63" w:hangingChars="30"/>
              <w:jc w:val="center"/>
              <w:rPr>
                <w:rFonts w:ascii="Times New Roman" w:hAnsi="Times New Roman" w:eastAsia="仿宋_GB2312"/>
                <w:szCs w:val="21"/>
              </w:rPr>
            </w:pPr>
            <w:r>
              <w:rPr>
                <w:rFonts w:hint="eastAsia" w:ascii="Times New Roman" w:hAnsi="Times New Roman" w:eastAsia="仿宋_GB2312"/>
                <w:szCs w:val="21"/>
              </w:rPr>
              <w:t>型号</w:t>
            </w:r>
          </w:p>
        </w:tc>
        <w:tc>
          <w:tcPr>
            <w:tcW w:w="753" w:type="dxa"/>
            <w:tcBorders>
              <w:top w:val="single" w:color="auto" w:sz="4" w:space="0"/>
              <w:left w:val="single" w:color="auto" w:sz="4" w:space="0"/>
              <w:bottom w:val="single" w:color="auto" w:sz="4" w:space="0"/>
              <w:right w:val="single" w:color="auto" w:sz="4" w:space="0"/>
            </w:tcBorders>
            <w:vAlign w:val="center"/>
          </w:tcPr>
          <w:p>
            <w:pPr>
              <w:spacing w:line="360" w:lineRule="auto"/>
              <w:ind w:left="-8" w:leftChars="-34" w:hanging="63" w:hangingChars="30"/>
              <w:rPr>
                <w:rFonts w:ascii="Times New Roman" w:hAnsi="Times New Roman" w:eastAsia="仿宋_GB2312"/>
                <w:szCs w:val="21"/>
              </w:rPr>
            </w:pPr>
            <w:r>
              <w:rPr>
                <w:rFonts w:hint="eastAsia" w:ascii="Times New Roman" w:hAnsi="Times New Roman" w:eastAsia="仿宋_GB2312"/>
                <w:szCs w:val="21"/>
              </w:rPr>
              <w:t>单位</w:t>
            </w:r>
          </w:p>
        </w:tc>
        <w:tc>
          <w:tcPr>
            <w:tcW w:w="939" w:type="dxa"/>
            <w:tcBorders>
              <w:top w:val="single" w:color="auto" w:sz="4" w:space="0"/>
              <w:left w:val="single" w:color="auto" w:sz="4" w:space="0"/>
              <w:bottom w:val="single" w:color="auto" w:sz="4" w:space="0"/>
              <w:right w:val="single" w:color="auto" w:sz="4" w:space="0"/>
            </w:tcBorders>
            <w:vAlign w:val="center"/>
          </w:tcPr>
          <w:p>
            <w:pPr>
              <w:spacing w:line="360" w:lineRule="auto"/>
              <w:ind w:left="-8" w:leftChars="-34" w:hanging="63" w:hangingChars="30"/>
              <w:rPr>
                <w:rFonts w:ascii="Times New Roman" w:hAnsi="Times New Roman" w:eastAsia="仿宋_GB2312"/>
                <w:szCs w:val="21"/>
              </w:rPr>
            </w:pPr>
            <w:r>
              <w:rPr>
                <w:rFonts w:hint="eastAsia" w:ascii="Times New Roman" w:hAnsi="Times New Roman" w:eastAsia="仿宋_GB2312"/>
                <w:szCs w:val="21"/>
              </w:rPr>
              <w:t>数量</w:t>
            </w:r>
          </w:p>
        </w:tc>
        <w:tc>
          <w:tcPr>
            <w:tcW w:w="1128" w:type="dxa"/>
            <w:tcBorders>
              <w:top w:val="single" w:color="auto" w:sz="4" w:space="0"/>
              <w:left w:val="single" w:color="auto" w:sz="4" w:space="0"/>
              <w:bottom w:val="single" w:color="auto" w:sz="4" w:space="0"/>
              <w:right w:val="single" w:color="auto" w:sz="4" w:space="0"/>
            </w:tcBorders>
            <w:vAlign w:val="center"/>
          </w:tcPr>
          <w:p>
            <w:pPr>
              <w:spacing w:line="360" w:lineRule="auto"/>
              <w:ind w:left="-8" w:leftChars="-34" w:hanging="63" w:hangingChars="30"/>
              <w:jc w:val="center"/>
              <w:rPr>
                <w:rFonts w:ascii="Times New Roman" w:hAnsi="Times New Roman" w:eastAsia="仿宋_GB2312"/>
                <w:szCs w:val="21"/>
              </w:rPr>
            </w:pPr>
            <w:r>
              <w:rPr>
                <w:rFonts w:hint="eastAsia" w:ascii="Times New Roman" w:hAnsi="Times New Roman" w:eastAsia="仿宋_GB2312"/>
                <w:szCs w:val="21"/>
              </w:rPr>
              <w:t>单价</w:t>
            </w:r>
          </w:p>
          <w:p>
            <w:pPr>
              <w:spacing w:line="360" w:lineRule="auto"/>
              <w:ind w:left="-8" w:leftChars="-34" w:hanging="63" w:hangingChars="30"/>
              <w:jc w:val="center"/>
              <w:rPr>
                <w:rFonts w:ascii="Times New Roman" w:hAnsi="Times New Roman" w:eastAsia="仿宋_GB2312"/>
                <w:szCs w:val="21"/>
              </w:rPr>
            </w:pPr>
            <w:r>
              <w:rPr>
                <w:rFonts w:hint="eastAsia" w:ascii="Times New Roman" w:hAnsi="Times New Roman" w:eastAsia="仿宋_GB2312"/>
                <w:szCs w:val="21"/>
              </w:rPr>
              <w:t>（万元）</w:t>
            </w:r>
          </w:p>
        </w:tc>
        <w:tc>
          <w:tcPr>
            <w:tcW w:w="1237" w:type="dxa"/>
            <w:tcBorders>
              <w:top w:val="single" w:color="auto" w:sz="4" w:space="0"/>
              <w:left w:val="single" w:color="auto" w:sz="4" w:space="0"/>
              <w:bottom w:val="single" w:color="auto" w:sz="4" w:space="0"/>
              <w:right w:val="single" w:color="auto" w:sz="4" w:space="0"/>
            </w:tcBorders>
            <w:vAlign w:val="center"/>
          </w:tcPr>
          <w:p>
            <w:pPr>
              <w:spacing w:line="360" w:lineRule="auto"/>
              <w:ind w:left="-8" w:leftChars="-34" w:hanging="63" w:hangingChars="30"/>
              <w:rPr>
                <w:rFonts w:ascii="Times New Roman" w:hAnsi="Times New Roman" w:eastAsia="仿宋_GB2312"/>
                <w:szCs w:val="21"/>
              </w:rPr>
            </w:pPr>
            <w:r>
              <w:rPr>
                <w:rFonts w:hint="eastAsia" w:ascii="Times New Roman" w:hAnsi="Times New Roman" w:eastAsia="仿宋_GB2312"/>
                <w:szCs w:val="21"/>
              </w:rPr>
              <w:t>总价</w:t>
            </w:r>
          </w:p>
          <w:p>
            <w:pPr>
              <w:spacing w:line="360" w:lineRule="auto"/>
              <w:ind w:left="-8" w:leftChars="-34" w:hanging="63" w:hangingChars="30"/>
              <w:rPr>
                <w:rFonts w:ascii="Times New Roman" w:hAnsi="Times New Roman" w:eastAsia="仿宋_GB2312"/>
                <w:szCs w:val="21"/>
              </w:rPr>
            </w:pPr>
            <w:r>
              <w:rPr>
                <w:rFonts w:hint="eastAsia" w:ascii="Times New Roman" w:hAnsi="Times New Roman" w:eastAsia="仿宋_GB2312"/>
                <w:szCs w:val="21"/>
              </w:rPr>
              <w:t>（万元）</w:t>
            </w:r>
          </w:p>
        </w:tc>
        <w:tc>
          <w:tcPr>
            <w:tcW w:w="1316" w:type="dxa"/>
            <w:tcBorders>
              <w:top w:val="single" w:color="auto" w:sz="4" w:space="0"/>
              <w:left w:val="single" w:color="auto" w:sz="4" w:space="0"/>
              <w:bottom w:val="single" w:color="auto" w:sz="4" w:space="0"/>
              <w:right w:val="single" w:color="auto" w:sz="4" w:space="0"/>
            </w:tcBorders>
            <w:vAlign w:val="center"/>
          </w:tcPr>
          <w:p>
            <w:pPr>
              <w:spacing w:line="360" w:lineRule="auto"/>
              <w:ind w:left="-8" w:leftChars="-34" w:hanging="63" w:hangingChars="30"/>
              <w:jc w:val="center"/>
              <w:rPr>
                <w:rFonts w:ascii="Times New Roman" w:hAnsi="Times New Roman" w:eastAsia="仿宋_GB2312"/>
                <w:szCs w:val="21"/>
              </w:rPr>
            </w:pPr>
            <w:r>
              <w:rPr>
                <w:rFonts w:hint="eastAsia" w:ascii="Times New Roman" w:hAnsi="Times New Roman" w:eastAsia="仿宋_GB2312"/>
                <w:szCs w:val="21"/>
              </w:rPr>
              <w:t>随机</w:t>
            </w:r>
          </w:p>
          <w:p>
            <w:pPr>
              <w:spacing w:line="360" w:lineRule="auto"/>
              <w:ind w:left="-8" w:leftChars="-34" w:hanging="63" w:hangingChars="30"/>
              <w:jc w:val="center"/>
              <w:rPr>
                <w:rFonts w:ascii="Times New Roman" w:hAnsi="Times New Roman" w:eastAsia="仿宋_GB2312"/>
                <w:szCs w:val="21"/>
              </w:rPr>
            </w:pPr>
            <w:r>
              <w:rPr>
                <w:rFonts w:hint="eastAsia" w:ascii="Times New Roman" w:hAnsi="Times New Roman" w:eastAsia="仿宋_GB2312"/>
                <w:szCs w:val="21"/>
              </w:rPr>
              <w:t>配件</w:t>
            </w: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ind w:left="-8" w:leftChars="-34" w:hanging="63" w:hangingChars="30"/>
              <w:rPr>
                <w:rFonts w:ascii="Times New Roman" w:hAnsi="Times New Roman" w:eastAsia="仿宋_GB2312"/>
                <w:szCs w:val="21"/>
              </w:rPr>
            </w:pPr>
            <w:r>
              <w:rPr>
                <w:rFonts w:hint="eastAsia" w:ascii="Times New Roman" w:hAnsi="Times New Roman" w:eastAsia="仿宋_GB2312"/>
                <w:szCs w:val="21"/>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644" w:type="dxa"/>
            <w:tcBorders>
              <w:top w:val="single" w:color="auto" w:sz="4" w:space="0"/>
              <w:left w:val="single" w:color="auto" w:sz="4" w:space="0"/>
              <w:bottom w:val="single" w:color="auto" w:sz="4" w:space="0"/>
              <w:right w:val="single" w:color="auto" w:sz="4" w:space="0"/>
            </w:tcBorders>
            <w:vAlign w:val="center"/>
          </w:tcPr>
          <w:p>
            <w:pPr>
              <w:spacing w:line="400" w:lineRule="exact"/>
              <w:ind w:left="240"/>
              <w:jc w:val="center"/>
              <w:rPr>
                <w:rFonts w:ascii="宋体" w:hAnsi="宋体" w:cs="宋体"/>
                <w:sz w:val="24"/>
              </w:rPr>
            </w:pPr>
            <w:r>
              <w:rPr>
                <w:rFonts w:hint="eastAsia" w:ascii="宋体" w:hAnsi="宋体" w:cs="宋体"/>
                <w:sz w:val="24"/>
              </w:rPr>
              <w:t> </w:t>
            </w:r>
          </w:p>
        </w:tc>
        <w:tc>
          <w:tcPr>
            <w:tcW w:w="1098"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4" w:hanging="72" w:hangingChars="30"/>
              <w:jc w:val="center"/>
              <w:rPr>
                <w:rFonts w:ascii="宋体" w:hAnsi="宋体" w:cs="宋体"/>
                <w:sz w:val="24"/>
              </w:rPr>
            </w:pPr>
            <w:r>
              <w:rPr>
                <w:rFonts w:hint="eastAsia" w:ascii="宋体" w:hAnsi="宋体" w:cs="宋体"/>
                <w:sz w:val="24"/>
              </w:rPr>
              <w:t> </w:t>
            </w:r>
          </w:p>
        </w:tc>
        <w:tc>
          <w:tcPr>
            <w:tcW w:w="753"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4" w:hanging="72" w:hangingChars="30"/>
              <w:jc w:val="center"/>
              <w:rPr>
                <w:rFonts w:ascii="宋体" w:hAnsi="宋体" w:cs="宋体"/>
                <w:sz w:val="24"/>
              </w:rPr>
            </w:pPr>
            <w:r>
              <w:rPr>
                <w:rFonts w:hint="eastAsia" w:ascii="宋体" w:hAnsi="宋体" w:cs="宋体"/>
                <w:sz w:val="24"/>
              </w:rPr>
              <w:t> </w:t>
            </w:r>
          </w:p>
        </w:tc>
        <w:tc>
          <w:tcPr>
            <w:tcW w:w="939"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4" w:hanging="72" w:hangingChars="30"/>
              <w:jc w:val="center"/>
              <w:rPr>
                <w:rFonts w:ascii="宋体" w:hAnsi="宋体" w:cs="宋体"/>
                <w:sz w:val="24"/>
              </w:rPr>
            </w:pPr>
            <w:r>
              <w:rPr>
                <w:rFonts w:hint="eastAsia" w:ascii="宋体" w:hAnsi="宋体" w:cs="宋体"/>
                <w:sz w:val="24"/>
              </w:rPr>
              <w:t> </w:t>
            </w:r>
          </w:p>
        </w:tc>
        <w:tc>
          <w:tcPr>
            <w:tcW w:w="1128"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4" w:hanging="72" w:hangingChars="30"/>
              <w:jc w:val="center"/>
              <w:rPr>
                <w:rFonts w:ascii="宋体" w:hAnsi="宋体" w:cs="宋体"/>
                <w:sz w:val="24"/>
              </w:rPr>
            </w:pPr>
            <w:r>
              <w:rPr>
                <w:rFonts w:hint="eastAsia" w:ascii="宋体" w:hAnsi="宋体" w:cs="宋体"/>
                <w:sz w:val="24"/>
              </w:rPr>
              <w:t> </w:t>
            </w:r>
          </w:p>
        </w:tc>
        <w:tc>
          <w:tcPr>
            <w:tcW w:w="1237"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4" w:hanging="72" w:hangingChars="30"/>
              <w:jc w:val="center"/>
              <w:rPr>
                <w:rFonts w:ascii="宋体" w:hAnsi="宋体" w:cs="宋体"/>
                <w:sz w:val="24"/>
              </w:rPr>
            </w:pPr>
            <w:r>
              <w:rPr>
                <w:rFonts w:hint="eastAsia" w:ascii="宋体" w:hAnsi="宋体" w:cs="宋体"/>
                <w:sz w:val="24"/>
              </w:rPr>
              <w:t> </w:t>
            </w:r>
          </w:p>
        </w:tc>
        <w:tc>
          <w:tcPr>
            <w:tcW w:w="1316"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4" w:hanging="72" w:hangingChars="30"/>
              <w:jc w:val="center"/>
              <w:rPr>
                <w:rFonts w:ascii="宋体" w:hAnsi="宋体" w:cs="宋体"/>
                <w:sz w:val="24"/>
              </w:rPr>
            </w:pPr>
            <w:r>
              <w:rPr>
                <w:rFonts w:hint="eastAsia" w:ascii="宋体" w:hAnsi="宋体" w:cs="宋体"/>
                <w:sz w:val="24"/>
              </w:rPr>
              <w:t> </w:t>
            </w:r>
          </w:p>
        </w:tc>
        <w:tc>
          <w:tcPr>
            <w:tcW w:w="1315"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4" w:hanging="72" w:hangingChars="30"/>
              <w:jc w:val="center"/>
              <w:rPr>
                <w:rFonts w:ascii="宋体" w:hAnsi="宋体" w:cs="宋体"/>
                <w:sz w:val="24"/>
              </w:rPr>
            </w:pPr>
            <w:r>
              <w:rPr>
                <w:rFonts w:hint="eastAsia" w:ascii="宋体" w:hAnsi="宋体" w:cs="宋体"/>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644" w:type="dxa"/>
            <w:tcBorders>
              <w:top w:val="single" w:color="auto" w:sz="4" w:space="0"/>
              <w:left w:val="single" w:color="auto" w:sz="4" w:space="0"/>
              <w:bottom w:val="single" w:color="auto" w:sz="4" w:space="0"/>
              <w:right w:val="single" w:color="auto" w:sz="4" w:space="0"/>
            </w:tcBorders>
            <w:vAlign w:val="center"/>
          </w:tcPr>
          <w:p>
            <w:pPr>
              <w:spacing w:line="400" w:lineRule="exact"/>
              <w:ind w:left="240"/>
              <w:jc w:val="center"/>
              <w:rPr>
                <w:rFonts w:ascii="宋体" w:hAnsi="宋体" w:cs="宋体"/>
                <w:sz w:val="24"/>
              </w:rPr>
            </w:pPr>
            <w:r>
              <w:rPr>
                <w:rFonts w:hint="eastAsia" w:ascii="宋体" w:hAnsi="宋体" w:cs="宋体"/>
                <w:sz w:val="24"/>
              </w:rPr>
              <w:t> </w:t>
            </w:r>
          </w:p>
        </w:tc>
        <w:tc>
          <w:tcPr>
            <w:tcW w:w="1098"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4" w:hanging="72" w:hangingChars="30"/>
              <w:jc w:val="center"/>
              <w:rPr>
                <w:rFonts w:ascii="宋体" w:hAnsi="宋体" w:cs="宋体"/>
                <w:sz w:val="24"/>
              </w:rPr>
            </w:pPr>
            <w:r>
              <w:rPr>
                <w:rFonts w:hint="eastAsia" w:ascii="宋体" w:hAnsi="宋体" w:cs="宋体"/>
                <w:sz w:val="24"/>
              </w:rPr>
              <w:t> </w:t>
            </w:r>
          </w:p>
        </w:tc>
        <w:tc>
          <w:tcPr>
            <w:tcW w:w="753"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4" w:hanging="72" w:hangingChars="30"/>
              <w:jc w:val="center"/>
              <w:rPr>
                <w:rFonts w:ascii="宋体" w:hAnsi="宋体" w:cs="宋体"/>
                <w:sz w:val="24"/>
              </w:rPr>
            </w:pPr>
            <w:r>
              <w:rPr>
                <w:rFonts w:hint="eastAsia" w:ascii="宋体" w:hAnsi="宋体" w:cs="宋体"/>
                <w:sz w:val="24"/>
              </w:rPr>
              <w:t> </w:t>
            </w:r>
          </w:p>
        </w:tc>
        <w:tc>
          <w:tcPr>
            <w:tcW w:w="939"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4" w:hanging="72" w:hangingChars="30"/>
              <w:jc w:val="center"/>
              <w:rPr>
                <w:rFonts w:ascii="宋体" w:hAnsi="宋体" w:cs="宋体"/>
                <w:sz w:val="24"/>
              </w:rPr>
            </w:pPr>
            <w:r>
              <w:rPr>
                <w:rFonts w:hint="eastAsia" w:ascii="宋体" w:hAnsi="宋体" w:cs="宋体"/>
                <w:sz w:val="24"/>
              </w:rPr>
              <w:t> </w:t>
            </w:r>
          </w:p>
        </w:tc>
        <w:tc>
          <w:tcPr>
            <w:tcW w:w="1128"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4" w:hanging="72" w:hangingChars="30"/>
              <w:jc w:val="center"/>
              <w:rPr>
                <w:rFonts w:ascii="宋体" w:hAnsi="宋体" w:cs="宋体"/>
                <w:sz w:val="24"/>
              </w:rPr>
            </w:pPr>
            <w:r>
              <w:rPr>
                <w:rFonts w:hint="eastAsia" w:ascii="宋体" w:hAnsi="宋体" w:cs="宋体"/>
                <w:sz w:val="24"/>
              </w:rPr>
              <w:t> </w:t>
            </w:r>
          </w:p>
        </w:tc>
        <w:tc>
          <w:tcPr>
            <w:tcW w:w="1237"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4" w:hanging="72" w:hangingChars="30"/>
              <w:jc w:val="center"/>
              <w:rPr>
                <w:rFonts w:ascii="宋体" w:hAnsi="宋体" w:cs="宋体"/>
                <w:sz w:val="24"/>
              </w:rPr>
            </w:pPr>
            <w:r>
              <w:rPr>
                <w:rFonts w:hint="eastAsia" w:ascii="宋体" w:hAnsi="宋体" w:cs="宋体"/>
                <w:sz w:val="24"/>
              </w:rPr>
              <w:t> </w:t>
            </w:r>
          </w:p>
        </w:tc>
        <w:tc>
          <w:tcPr>
            <w:tcW w:w="1316"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4" w:hanging="72" w:hangingChars="30"/>
              <w:jc w:val="center"/>
              <w:rPr>
                <w:rFonts w:ascii="宋体" w:hAnsi="宋体" w:cs="宋体"/>
                <w:sz w:val="24"/>
              </w:rPr>
            </w:pPr>
            <w:r>
              <w:rPr>
                <w:rFonts w:hint="eastAsia" w:ascii="宋体" w:hAnsi="宋体" w:cs="宋体"/>
                <w:sz w:val="24"/>
              </w:rPr>
              <w:t> </w:t>
            </w:r>
          </w:p>
        </w:tc>
        <w:tc>
          <w:tcPr>
            <w:tcW w:w="1315"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34" w:hanging="72" w:hangingChars="30"/>
              <w:jc w:val="center"/>
              <w:rPr>
                <w:rFonts w:ascii="宋体" w:hAnsi="宋体" w:cs="宋体"/>
                <w:sz w:val="24"/>
              </w:rPr>
            </w:pPr>
            <w:r>
              <w:rPr>
                <w:rFonts w:hint="eastAsia" w:ascii="宋体" w:hAnsi="宋体" w:cs="宋体"/>
                <w:sz w:val="24"/>
              </w:rPr>
              <w:t> </w:t>
            </w:r>
          </w:p>
        </w:tc>
      </w:tr>
    </w:tbl>
    <w:p>
      <w:pPr>
        <w:spacing w:line="360" w:lineRule="auto"/>
        <w:rPr>
          <w:rFonts w:ascii="Times New Roman" w:hAnsi="Times New Roman" w:eastAsia="仿宋_GB2312"/>
          <w:szCs w:val="21"/>
        </w:rPr>
      </w:pPr>
      <w:r>
        <w:rPr>
          <w:rFonts w:ascii="Times New Roman" w:hAnsi="Times New Roman" w:eastAsia="仿宋_GB2312"/>
          <w:szCs w:val="21"/>
        </w:rPr>
        <w:tab/>
      </w:r>
      <w:r>
        <w:rPr>
          <w:rFonts w:ascii="Times New Roman" w:hAnsi="Times New Roman" w:eastAsia="仿宋_GB2312"/>
          <w:szCs w:val="21"/>
        </w:rPr>
        <w:t xml:space="preserve"> </w:t>
      </w:r>
      <w:r>
        <w:rPr>
          <w:rFonts w:ascii="Times New Roman" w:hAnsi="Times New Roman" w:eastAsia="仿宋_GB2312"/>
          <w:szCs w:val="21"/>
        </w:rPr>
        <w:tab/>
      </w:r>
      <w:r>
        <w:rPr>
          <w:rFonts w:ascii="Times New Roman" w:hAnsi="Times New Roman" w:eastAsia="仿宋_GB2312"/>
          <w:szCs w:val="21"/>
        </w:rPr>
        <w:t xml:space="preserve"> </w:t>
      </w:r>
      <w:r>
        <w:rPr>
          <w:rFonts w:ascii="Times New Roman" w:hAnsi="Times New Roman" w:eastAsia="仿宋_GB2312"/>
          <w:szCs w:val="21"/>
        </w:rPr>
        <w:tab/>
      </w:r>
      <w:r>
        <w:rPr>
          <w:rFonts w:ascii="Times New Roman" w:hAnsi="Times New Roman" w:eastAsia="仿宋_GB2312"/>
          <w:szCs w:val="21"/>
        </w:rPr>
        <w:t xml:space="preserve"> </w:t>
      </w:r>
      <w:r>
        <w:rPr>
          <w:rFonts w:ascii="Times New Roman" w:hAnsi="Times New Roman" w:eastAsia="仿宋_GB2312"/>
          <w:szCs w:val="21"/>
        </w:rPr>
        <w:tab/>
      </w:r>
      <w:r>
        <w:rPr>
          <w:rFonts w:ascii="Times New Roman" w:hAnsi="Times New Roman" w:eastAsia="仿宋_GB2312"/>
          <w:szCs w:val="21"/>
        </w:rPr>
        <w:t xml:space="preserve"> </w:t>
      </w:r>
      <w:r>
        <w:rPr>
          <w:rFonts w:ascii="Times New Roman" w:hAnsi="Times New Roman" w:eastAsia="仿宋_GB2312"/>
          <w:szCs w:val="21"/>
        </w:rPr>
        <w:tab/>
      </w:r>
      <w:r>
        <w:rPr>
          <w:rFonts w:ascii="Times New Roman" w:hAnsi="Times New Roman" w:eastAsia="仿宋_GB2312"/>
          <w:szCs w:val="21"/>
        </w:rPr>
        <w:t xml:space="preserve"> </w:t>
      </w:r>
      <w:r>
        <w:rPr>
          <w:rFonts w:ascii="Times New Roman" w:hAnsi="Times New Roman" w:eastAsia="仿宋_GB2312"/>
          <w:szCs w:val="21"/>
        </w:rPr>
        <w:tab/>
      </w:r>
      <w:r>
        <w:rPr>
          <w:rFonts w:ascii="Times New Roman" w:hAnsi="Times New Roman" w:eastAsia="仿宋_GB2312"/>
          <w:szCs w:val="21"/>
        </w:rPr>
        <w:t xml:space="preserve"> </w:t>
      </w:r>
      <w:r>
        <w:rPr>
          <w:rFonts w:ascii="Times New Roman" w:hAnsi="Times New Roman" w:eastAsia="仿宋_GB2312"/>
          <w:szCs w:val="21"/>
        </w:rPr>
        <w:tab/>
      </w:r>
      <w:r>
        <w:rPr>
          <w:rFonts w:ascii="Times New Roman" w:hAnsi="Times New Roman" w:eastAsia="仿宋_GB2312"/>
          <w:szCs w:val="21"/>
        </w:rPr>
        <w:t xml:space="preserve"> </w:t>
      </w:r>
    </w:p>
    <w:p>
      <w:pPr>
        <w:spacing w:line="360" w:lineRule="auto"/>
        <w:rPr>
          <w:rFonts w:ascii="Times New Roman" w:hAnsi="Times New Roman" w:eastAsia="仿宋_GB2312"/>
          <w:szCs w:val="21"/>
        </w:rPr>
      </w:pPr>
      <w:r>
        <w:rPr>
          <w:rFonts w:hint="eastAsia" w:ascii="Times New Roman" w:hAnsi="Times New Roman" w:eastAsia="仿宋_GB2312"/>
          <w:szCs w:val="21"/>
        </w:rPr>
        <w:t>二、合同价款</w:t>
      </w:r>
    </w:p>
    <w:p>
      <w:pPr>
        <w:spacing w:line="360" w:lineRule="auto"/>
        <w:rPr>
          <w:rFonts w:ascii="Times New Roman" w:hAnsi="Times New Roman" w:eastAsia="仿宋_GB2312"/>
          <w:szCs w:val="21"/>
        </w:rPr>
      </w:pPr>
      <w:r>
        <w:rPr>
          <w:rFonts w:hint="eastAsia" w:ascii="Times New Roman" w:hAnsi="Times New Roman" w:eastAsia="仿宋_GB2312"/>
          <w:szCs w:val="21"/>
        </w:rPr>
        <w:t>合同总价为人民币大写：                元，即RMB￥        元；该合同总价已包括货物设计、材料、制造、包装、运输、安装、调试、验收合格交付使用之前及三年保修服务与备用物件等等所有其他有关各项的含税费用。本合同执行期间合同总价不变，甲方无须另向乙方支付本合同规定之外的其他任何费用。</w:t>
      </w:r>
    </w:p>
    <w:p>
      <w:pPr>
        <w:spacing w:line="360" w:lineRule="auto"/>
        <w:rPr>
          <w:rFonts w:ascii="Times New Roman" w:hAnsi="Times New Roman" w:eastAsia="仿宋_GB2312"/>
          <w:szCs w:val="21"/>
        </w:rPr>
      </w:pPr>
      <w:r>
        <w:rPr>
          <w:rFonts w:hint="eastAsia" w:ascii="Times New Roman" w:hAnsi="Times New Roman" w:eastAsia="仿宋_GB2312"/>
          <w:szCs w:val="21"/>
        </w:rPr>
        <w:t>三、质量要求</w:t>
      </w:r>
    </w:p>
    <w:p>
      <w:pPr>
        <w:spacing w:line="360" w:lineRule="auto"/>
        <w:rPr>
          <w:rFonts w:ascii="Times New Roman" w:hAnsi="Times New Roman" w:eastAsia="仿宋_GB2312"/>
          <w:szCs w:val="21"/>
        </w:rPr>
      </w:pPr>
      <w:r>
        <w:rPr>
          <w:rFonts w:hint="eastAsia" w:ascii="Times New Roman" w:hAnsi="Times New Roman" w:eastAsia="仿宋_GB2312"/>
          <w:szCs w:val="21"/>
        </w:rPr>
        <w:t>1、乙方须提供全新的货物（含零部件、配件等），表面无划伤、无碰撞痕迹，且权属清楚，不得侵害他人的知识产权。</w:t>
      </w:r>
    </w:p>
    <w:p>
      <w:pPr>
        <w:spacing w:line="360" w:lineRule="auto"/>
        <w:rPr>
          <w:rFonts w:ascii="Times New Roman" w:hAnsi="Times New Roman" w:eastAsia="仿宋_GB2312"/>
          <w:szCs w:val="21"/>
        </w:rPr>
      </w:pPr>
      <w:r>
        <w:rPr>
          <w:rFonts w:hint="eastAsia" w:ascii="Times New Roman" w:hAnsi="Times New Roman" w:eastAsia="仿宋_GB2312"/>
          <w:szCs w:val="21"/>
        </w:rPr>
        <w:t>2、货物必须符合或优于国家（行业）          标准，以及本项目招标文件的质量要求和技术指标与出厂标准。</w:t>
      </w:r>
    </w:p>
    <w:p>
      <w:pPr>
        <w:spacing w:line="360" w:lineRule="auto"/>
        <w:rPr>
          <w:rFonts w:ascii="Times New Roman" w:hAnsi="Times New Roman" w:eastAsia="仿宋_GB2312"/>
          <w:szCs w:val="21"/>
        </w:rPr>
      </w:pPr>
      <w:r>
        <w:rPr>
          <w:rFonts w:hint="eastAsia" w:ascii="Times New Roman" w:hAnsi="Times New Roman" w:eastAsia="仿宋_GB2312"/>
          <w:szCs w:val="21"/>
        </w:rPr>
        <w:t>3、货物制造质量出现问题，乙方应负责三包（包修、包换、包退），费用由乙方负担，甲方有权到乙方生产场地检查货物质量和生产进度。</w:t>
      </w:r>
    </w:p>
    <w:p>
      <w:pPr>
        <w:spacing w:line="360" w:lineRule="auto"/>
        <w:rPr>
          <w:rFonts w:ascii="Times New Roman" w:hAnsi="Times New Roman" w:eastAsia="仿宋_GB2312"/>
          <w:szCs w:val="21"/>
        </w:rPr>
      </w:pPr>
      <w:r>
        <w:rPr>
          <w:rFonts w:hint="eastAsia" w:ascii="Times New Roman" w:hAnsi="Times New Roman" w:eastAsia="仿宋_GB2312"/>
          <w:szCs w:val="21"/>
        </w:rPr>
        <w:t>4、货到现场后由于甲方保管不当造成的质量问题，乙方亦应负责修理，但费用由甲方负担。</w:t>
      </w:r>
    </w:p>
    <w:p>
      <w:pPr>
        <w:spacing w:line="300" w:lineRule="exact"/>
        <w:rPr>
          <w:rFonts w:ascii="Times New Roman" w:hAnsi="Times New Roman" w:eastAsia="仿宋_GB2312"/>
          <w:szCs w:val="21"/>
        </w:rPr>
      </w:pPr>
      <w:r>
        <w:rPr>
          <w:rFonts w:hint="eastAsia" w:ascii="Times New Roman" w:hAnsi="Times New Roman" w:eastAsia="仿宋_GB2312"/>
          <w:szCs w:val="21"/>
        </w:rPr>
        <w:t>四、交货时间、地点、验收标准和要求</w:t>
      </w:r>
    </w:p>
    <w:p>
      <w:pPr>
        <w:pStyle w:val="2"/>
        <w:tabs>
          <w:tab w:val="left" w:pos="420"/>
        </w:tabs>
        <w:autoSpaceDE/>
        <w:autoSpaceDN/>
        <w:spacing w:line="300" w:lineRule="exact"/>
      </w:pPr>
    </w:p>
    <w:p>
      <w:pPr>
        <w:numPr>
          <w:ilvl w:val="0"/>
          <w:numId w:val="32"/>
        </w:numPr>
        <w:spacing w:line="300" w:lineRule="exact"/>
      </w:pPr>
      <w:r>
        <w:rPr>
          <w:rFonts w:hint="eastAsia" w:ascii="Times New Roman" w:hAnsi="Times New Roman" w:eastAsia="仿宋_GB2312"/>
          <w:szCs w:val="21"/>
        </w:rPr>
        <w:t>履约保证金</w:t>
      </w:r>
    </w:p>
    <w:p>
      <w:pPr>
        <w:pStyle w:val="2"/>
        <w:widowControl/>
        <w:tabs>
          <w:tab w:val="left" w:pos="420"/>
        </w:tabs>
        <w:autoSpaceDE/>
        <w:autoSpaceDN/>
        <w:spacing w:line="300" w:lineRule="exact"/>
        <w:ind w:left="420" w:hanging="420"/>
      </w:pPr>
    </w:p>
    <w:p>
      <w:pPr>
        <w:numPr>
          <w:ilvl w:val="0"/>
          <w:numId w:val="32"/>
        </w:numPr>
        <w:spacing w:line="300" w:lineRule="exact"/>
        <w:rPr>
          <w:rFonts w:ascii="Times New Roman" w:hAnsi="Times New Roman" w:eastAsia="仿宋_GB2312"/>
          <w:szCs w:val="21"/>
        </w:rPr>
      </w:pPr>
      <w:r>
        <w:rPr>
          <w:rFonts w:hint="eastAsia" w:ascii="Times New Roman" w:hAnsi="Times New Roman" w:eastAsia="仿宋_GB2312"/>
          <w:szCs w:val="21"/>
        </w:rPr>
        <w:t>付款方式</w:t>
      </w:r>
    </w:p>
    <w:p>
      <w:pPr>
        <w:pStyle w:val="2"/>
        <w:tabs>
          <w:tab w:val="left" w:pos="420"/>
        </w:tabs>
        <w:autoSpaceDE/>
        <w:autoSpaceDN/>
        <w:spacing w:line="300" w:lineRule="exact"/>
      </w:pPr>
    </w:p>
    <w:p>
      <w:pPr>
        <w:spacing w:line="300" w:lineRule="exact"/>
        <w:rPr>
          <w:rFonts w:ascii="Times New Roman" w:hAnsi="Times New Roman" w:eastAsia="仿宋_GB2312"/>
          <w:szCs w:val="21"/>
        </w:rPr>
      </w:pPr>
      <w:r>
        <w:rPr>
          <w:rFonts w:hint="eastAsia" w:ascii="Times New Roman" w:hAnsi="Times New Roman" w:eastAsia="仿宋_GB2312"/>
          <w:szCs w:val="21"/>
        </w:rPr>
        <w:t>七、售后服务</w:t>
      </w:r>
    </w:p>
    <w:p>
      <w:pPr>
        <w:spacing w:line="360" w:lineRule="auto"/>
        <w:rPr>
          <w:rFonts w:ascii="Times New Roman" w:hAnsi="Times New Roman" w:eastAsia="仿宋_GB2312"/>
          <w:szCs w:val="21"/>
        </w:rPr>
      </w:pPr>
      <w:r>
        <w:rPr>
          <w:rFonts w:hint="eastAsia" w:ascii="Times New Roman" w:hAnsi="Times New Roman" w:eastAsia="仿宋_GB2312"/>
          <w:szCs w:val="21"/>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spacing w:line="360" w:lineRule="auto"/>
        <w:rPr>
          <w:rFonts w:ascii="Times New Roman" w:hAnsi="Times New Roman" w:eastAsia="仿宋_GB2312"/>
          <w:szCs w:val="21"/>
        </w:rPr>
      </w:pPr>
      <w:r>
        <w:rPr>
          <w:rFonts w:hint="eastAsia" w:ascii="Times New Roman" w:hAnsi="Times New Roman" w:eastAsia="仿宋_GB2312"/>
          <w:szCs w:val="21"/>
        </w:rPr>
        <w:t xml:space="preserve">2、乙方须指派专人负责与甲方联系售后服务事宜。 </w:t>
      </w:r>
    </w:p>
    <w:p>
      <w:pPr>
        <w:spacing w:line="360" w:lineRule="auto"/>
        <w:rPr>
          <w:rFonts w:ascii="Times New Roman" w:hAnsi="Times New Roman" w:eastAsia="仿宋_GB2312"/>
          <w:szCs w:val="21"/>
        </w:rPr>
      </w:pPr>
      <w:r>
        <w:rPr>
          <w:rFonts w:hint="eastAsia" w:ascii="Times New Roman" w:hAnsi="Times New Roman" w:eastAsia="仿宋_GB2312"/>
          <w:szCs w:val="21"/>
        </w:rPr>
        <w:t>八、违约责任</w:t>
      </w:r>
    </w:p>
    <w:p>
      <w:pPr>
        <w:spacing w:line="360" w:lineRule="auto"/>
        <w:rPr>
          <w:rFonts w:ascii="Times New Roman" w:hAnsi="Times New Roman" w:eastAsia="仿宋_GB2312"/>
          <w:szCs w:val="21"/>
        </w:rPr>
      </w:pPr>
      <w:r>
        <w:rPr>
          <w:rFonts w:hint="eastAsia" w:ascii="Times New Roman" w:hAnsi="Times New Roman" w:eastAsia="仿宋_GB2312"/>
          <w:szCs w:val="21"/>
        </w:rPr>
        <w:t>1、甲方违约责任</w:t>
      </w:r>
    </w:p>
    <w:p>
      <w:pPr>
        <w:spacing w:line="360" w:lineRule="auto"/>
        <w:rPr>
          <w:rFonts w:ascii="Times New Roman" w:hAnsi="Times New Roman" w:eastAsia="仿宋_GB2312"/>
          <w:szCs w:val="21"/>
        </w:rPr>
      </w:pPr>
      <w:r>
        <w:rPr>
          <w:rFonts w:hint="eastAsia" w:ascii="Times New Roman" w:hAnsi="Times New Roman" w:eastAsia="仿宋_GB2312"/>
          <w:szCs w:val="21"/>
        </w:rPr>
        <w:t>（1） 甲方无正当理由拒收货物的，甲方应偿付合同总价百分之  的违约金；</w:t>
      </w:r>
    </w:p>
    <w:p>
      <w:pPr>
        <w:spacing w:line="360" w:lineRule="auto"/>
        <w:rPr>
          <w:rFonts w:ascii="Times New Roman" w:hAnsi="Times New Roman" w:eastAsia="仿宋_GB2312"/>
          <w:szCs w:val="21"/>
        </w:rPr>
      </w:pPr>
      <w:r>
        <w:rPr>
          <w:rFonts w:hint="eastAsia" w:ascii="Times New Roman" w:hAnsi="Times New Roman" w:eastAsia="仿宋_GB2312"/>
          <w:szCs w:val="21"/>
        </w:rPr>
        <w:t>（2） 甲方逾期支付货款的，除应及时付足货款外，应向乙方偿付欠款总额万分之   /天的违约金；逾期付款超过  天的，乙方有权终止合同；</w:t>
      </w:r>
    </w:p>
    <w:p>
      <w:pPr>
        <w:spacing w:line="360" w:lineRule="auto"/>
        <w:rPr>
          <w:rFonts w:ascii="Times New Roman" w:hAnsi="Times New Roman" w:eastAsia="仿宋_GB2312"/>
          <w:szCs w:val="21"/>
        </w:rPr>
      </w:pPr>
      <w:r>
        <w:rPr>
          <w:rFonts w:hint="eastAsia" w:ascii="Times New Roman" w:hAnsi="Times New Roman" w:eastAsia="仿宋_GB2312"/>
          <w:szCs w:val="21"/>
        </w:rPr>
        <w:t>（3） 甲方偿付的违约金不足以弥补乙方损失的，还应按乙方损失尚未弥补的部分，支付赔偿金给乙方。</w:t>
      </w:r>
    </w:p>
    <w:p>
      <w:pPr>
        <w:spacing w:line="360" w:lineRule="auto"/>
        <w:rPr>
          <w:rFonts w:ascii="Times New Roman" w:hAnsi="Times New Roman" w:eastAsia="仿宋_GB2312"/>
          <w:szCs w:val="21"/>
        </w:rPr>
      </w:pPr>
      <w:r>
        <w:rPr>
          <w:rFonts w:hint="eastAsia" w:ascii="Times New Roman" w:hAnsi="Times New Roman" w:eastAsia="仿宋_GB2312"/>
          <w:szCs w:val="21"/>
        </w:rPr>
        <w:t>2、乙方违约责任</w:t>
      </w:r>
    </w:p>
    <w:p>
      <w:pPr>
        <w:spacing w:line="360" w:lineRule="auto"/>
        <w:rPr>
          <w:rFonts w:ascii="Times New Roman" w:hAnsi="Times New Roman" w:eastAsia="仿宋_GB2312"/>
          <w:szCs w:val="21"/>
        </w:rPr>
      </w:pPr>
      <w:r>
        <w:rPr>
          <w:rFonts w:hint="eastAsia" w:ascii="Times New Roman" w:hAnsi="Times New Roman" w:eastAsia="仿宋_GB2312"/>
          <w:szCs w:val="21"/>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pPr>
        <w:spacing w:line="360" w:lineRule="auto"/>
        <w:rPr>
          <w:rFonts w:ascii="Times New Roman" w:hAnsi="Times New Roman" w:eastAsia="仿宋_GB2312"/>
          <w:szCs w:val="21"/>
        </w:rPr>
      </w:pPr>
      <w:r>
        <w:rPr>
          <w:rFonts w:hint="eastAsia" w:ascii="Times New Roman" w:hAnsi="Times New Roman" w:eastAsia="仿宋_GB2312"/>
          <w:szCs w:val="21"/>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pPr>
        <w:spacing w:line="360" w:lineRule="auto"/>
        <w:rPr>
          <w:rFonts w:ascii="Times New Roman" w:hAnsi="Times New Roman" w:eastAsia="仿宋_GB2312"/>
          <w:szCs w:val="21"/>
        </w:rPr>
      </w:pPr>
      <w:r>
        <w:rPr>
          <w:rFonts w:hint="eastAsia" w:ascii="Times New Roman" w:hAnsi="Times New Roman" w:eastAsia="仿宋_GB2312"/>
          <w:szCs w:val="21"/>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pPr>
        <w:spacing w:line="360" w:lineRule="auto"/>
        <w:rPr>
          <w:rFonts w:ascii="Times New Roman" w:hAnsi="Times New Roman" w:eastAsia="仿宋_GB2312"/>
          <w:szCs w:val="21"/>
        </w:rPr>
      </w:pPr>
      <w:r>
        <w:rPr>
          <w:rFonts w:hint="eastAsia" w:ascii="Times New Roman" w:hAnsi="Times New Roman" w:eastAsia="仿宋_GB2312"/>
          <w:szCs w:val="21"/>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pPr>
        <w:spacing w:line="360" w:lineRule="auto"/>
        <w:rPr>
          <w:rFonts w:ascii="Times New Roman" w:hAnsi="Times New Roman" w:eastAsia="仿宋_GB2312"/>
          <w:szCs w:val="21"/>
        </w:rPr>
      </w:pPr>
      <w:r>
        <w:rPr>
          <w:rFonts w:hint="eastAsia" w:ascii="Times New Roman" w:hAnsi="Times New Roman" w:eastAsia="仿宋_GB2312"/>
          <w:szCs w:val="21"/>
        </w:rPr>
        <w:t>（5）乙方偿付的违约金不足以弥补甲方损失的，还应按甲方损失尚未弥补的部分，支付赔偿金给甲方。</w:t>
      </w:r>
    </w:p>
    <w:p>
      <w:pPr>
        <w:spacing w:line="360" w:lineRule="auto"/>
        <w:rPr>
          <w:rFonts w:ascii="Times New Roman" w:hAnsi="Times New Roman" w:eastAsia="仿宋_GB2312"/>
          <w:szCs w:val="21"/>
        </w:rPr>
      </w:pPr>
      <w:r>
        <w:rPr>
          <w:rFonts w:hint="eastAsia" w:ascii="Times New Roman" w:hAnsi="Times New Roman" w:eastAsia="仿宋_GB2312"/>
          <w:szCs w:val="21"/>
        </w:rPr>
        <w:t>九、解决合同纠纷的方式</w:t>
      </w:r>
    </w:p>
    <w:p>
      <w:pPr>
        <w:spacing w:line="360" w:lineRule="auto"/>
        <w:rPr>
          <w:rFonts w:ascii="Times New Roman" w:hAnsi="Times New Roman" w:eastAsia="仿宋_GB2312"/>
          <w:szCs w:val="21"/>
        </w:rPr>
      </w:pPr>
      <w:r>
        <w:rPr>
          <w:rFonts w:hint="eastAsia" w:ascii="Times New Roman" w:hAnsi="Times New Roman" w:eastAsia="仿宋_GB2312"/>
          <w:szCs w:val="21"/>
        </w:rPr>
        <w:t>1、在执行本合同中发生的或与本合同有关的争端，双方应通过友好协商解决，经协商在XX天内不能达成协议时，由甲方所在地人民法院诉讼管辖。</w:t>
      </w:r>
    </w:p>
    <w:p>
      <w:pPr>
        <w:spacing w:line="360" w:lineRule="auto"/>
        <w:rPr>
          <w:rFonts w:ascii="Times New Roman" w:hAnsi="Times New Roman" w:eastAsia="仿宋_GB2312"/>
          <w:szCs w:val="21"/>
        </w:rPr>
      </w:pPr>
      <w:r>
        <w:rPr>
          <w:rFonts w:hint="eastAsia" w:ascii="Times New Roman" w:hAnsi="Times New Roman" w:eastAsia="仿宋_GB2312"/>
          <w:szCs w:val="21"/>
        </w:rPr>
        <w:t xml:space="preserve">2、诉讼费、律师费、保全费等应由败诉方负担。 </w:t>
      </w:r>
    </w:p>
    <w:p>
      <w:pPr>
        <w:spacing w:line="360" w:lineRule="auto"/>
        <w:rPr>
          <w:rFonts w:ascii="Times New Roman" w:hAnsi="Times New Roman" w:eastAsia="仿宋_GB2312"/>
          <w:szCs w:val="21"/>
        </w:rPr>
      </w:pPr>
      <w:r>
        <w:rPr>
          <w:rFonts w:hint="eastAsia" w:ascii="Times New Roman" w:hAnsi="Times New Roman" w:eastAsia="仿宋_GB2312"/>
          <w:szCs w:val="21"/>
        </w:rPr>
        <w:t>3、在诉讼期间，除正在进行诉讼部分外，合同其他部分继续执行。</w:t>
      </w:r>
    </w:p>
    <w:p>
      <w:pPr>
        <w:spacing w:line="360" w:lineRule="auto"/>
        <w:rPr>
          <w:rFonts w:ascii="Times New Roman" w:hAnsi="Times New Roman" w:eastAsia="仿宋_GB2312"/>
          <w:szCs w:val="21"/>
        </w:rPr>
      </w:pPr>
      <w:r>
        <w:rPr>
          <w:rFonts w:hint="eastAsia" w:ascii="Times New Roman" w:hAnsi="Times New Roman" w:eastAsia="仿宋_GB2312"/>
          <w:szCs w:val="21"/>
        </w:rPr>
        <w:t>十、其他</w:t>
      </w:r>
    </w:p>
    <w:p>
      <w:pPr>
        <w:spacing w:line="360" w:lineRule="auto"/>
        <w:rPr>
          <w:rFonts w:ascii="Times New Roman" w:hAnsi="Times New Roman" w:eastAsia="仿宋_GB2312"/>
          <w:szCs w:val="21"/>
        </w:rPr>
      </w:pPr>
      <w:r>
        <w:rPr>
          <w:rFonts w:hint="eastAsia" w:ascii="Times New Roman" w:hAnsi="Times New Roman" w:eastAsia="仿宋_GB2312"/>
          <w:szCs w:val="21"/>
        </w:rPr>
        <w:t>1、如有未尽事宜，由双方依法订立补充合同。</w:t>
      </w:r>
    </w:p>
    <w:p>
      <w:pPr>
        <w:spacing w:line="360" w:lineRule="auto"/>
        <w:rPr>
          <w:rFonts w:ascii="Times New Roman" w:hAnsi="Times New Roman" w:eastAsia="仿宋_GB2312"/>
          <w:szCs w:val="21"/>
        </w:rPr>
      </w:pPr>
      <w:r>
        <w:rPr>
          <w:rFonts w:hint="eastAsia" w:ascii="Times New Roman" w:hAnsi="Times New Roman" w:eastAsia="仿宋_GB2312"/>
          <w:szCs w:val="21"/>
        </w:rPr>
        <w:t>2、本合同一式七份，自双方签章之日起生效。甲方三份，乙方、政府采购管理部门、采购代理机构各一份。</w:t>
      </w:r>
    </w:p>
    <w:p>
      <w:pPr>
        <w:spacing w:line="360" w:lineRule="auto"/>
        <w:rPr>
          <w:rFonts w:ascii="Times New Roman" w:hAnsi="Times New Roman" w:eastAsia="仿宋_GB2312"/>
          <w:szCs w:val="21"/>
        </w:rPr>
      </w:pPr>
      <w:r>
        <w:rPr>
          <w:rFonts w:hint="eastAsia" w:ascii="Times New Roman" w:hAnsi="Times New Roman" w:eastAsia="仿宋_GB2312"/>
          <w:szCs w:val="21"/>
        </w:rPr>
        <w:t xml:space="preserve">甲方：   （盖章）   </w:t>
      </w:r>
      <w:r>
        <w:rPr>
          <w:rFonts w:hint="eastAsia" w:ascii="Times New Roman" w:hAnsi="Times New Roman" w:eastAsia="仿宋_GB2312"/>
          <w:szCs w:val="21"/>
        </w:rPr>
        <w:tab/>
      </w:r>
      <w:r>
        <w:rPr>
          <w:rFonts w:hint="eastAsia" w:ascii="Times New Roman" w:hAnsi="Times New Roman" w:eastAsia="仿宋_GB2312"/>
          <w:szCs w:val="21"/>
        </w:rPr>
        <w:tab/>
      </w:r>
      <w:r>
        <w:rPr>
          <w:rFonts w:hint="eastAsia" w:ascii="Times New Roman" w:hAnsi="Times New Roman" w:eastAsia="仿宋_GB2312"/>
          <w:szCs w:val="21"/>
        </w:rPr>
        <w:tab/>
      </w:r>
      <w:r>
        <w:rPr>
          <w:rFonts w:hint="eastAsia" w:ascii="Times New Roman" w:hAnsi="Times New Roman" w:eastAsia="仿宋_GB2312"/>
          <w:szCs w:val="21"/>
        </w:rPr>
        <w:t xml:space="preserve">       乙方：   （盖章）</w:t>
      </w:r>
    </w:p>
    <w:p>
      <w:pPr>
        <w:spacing w:line="360" w:lineRule="auto"/>
        <w:rPr>
          <w:rFonts w:ascii="Times New Roman" w:hAnsi="Times New Roman" w:eastAsia="仿宋_GB2312"/>
          <w:szCs w:val="21"/>
        </w:rPr>
      </w:pPr>
      <w:r>
        <w:rPr>
          <w:rFonts w:hint="eastAsia" w:ascii="Times New Roman" w:hAnsi="Times New Roman" w:eastAsia="仿宋_GB2312"/>
          <w:szCs w:val="21"/>
        </w:rPr>
        <w:t>法定代表人（授权代表）：            法定代表人（授权代表）：</w:t>
      </w:r>
    </w:p>
    <w:p>
      <w:pPr>
        <w:spacing w:line="360" w:lineRule="auto"/>
        <w:rPr>
          <w:rFonts w:ascii="Times New Roman" w:hAnsi="Times New Roman" w:eastAsia="仿宋_GB2312"/>
          <w:szCs w:val="21"/>
        </w:rPr>
      </w:pPr>
      <w:r>
        <w:rPr>
          <w:rFonts w:hint="eastAsia" w:ascii="Times New Roman" w:hAnsi="Times New Roman" w:eastAsia="仿宋_GB2312"/>
          <w:szCs w:val="21"/>
        </w:rPr>
        <w:t>地    址：                         地    址：</w:t>
      </w:r>
    </w:p>
    <w:p>
      <w:pPr>
        <w:spacing w:line="360" w:lineRule="auto"/>
        <w:rPr>
          <w:rFonts w:ascii="Times New Roman" w:hAnsi="Times New Roman" w:eastAsia="仿宋_GB2312"/>
          <w:szCs w:val="21"/>
        </w:rPr>
      </w:pPr>
      <w:r>
        <w:rPr>
          <w:rFonts w:hint="eastAsia" w:ascii="Times New Roman" w:hAnsi="Times New Roman" w:eastAsia="仿宋_GB2312"/>
          <w:szCs w:val="21"/>
        </w:rPr>
        <w:t>开户银行：                         开户银行：</w:t>
      </w:r>
    </w:p>
    <w:p>
      <w:pPr>
        <w:spacing w:line="360" w:lineRule="auto"/>
        <w:rPr>
          <w:rFonts w:ascii="Times New Roman" w:hAnsi="Times New Roman" w:eastAsia="仿宋_GB2312"/>
          <w:szCs w:val="21"/>
        </w:rPr>
      </w:pPr>
      <w:r>
        <w:rPr>
          <w:rFonts w:hint="eastAsia" w:ascii="Times New Roman" w:hAnsi="Times New Roman" w:eastAsia="仿宋_GB2312"/>
          <w:szCs w:val="21"/>
        </w:rPr>
        <w:t>账号：                             账号：</w:t>
      </w:r>
    </w:p>
    <w:p>
      <w:pPr>
        <w:spacing w:line="360" w:lineRule="auto"/>
        <w:rPr>
          <w:rFonts w:ascii="Times New Roman" w:hAnsi="Times New Roman" w:eastAsia="仿宋_GB2312"/>
          <w:szCs w:val="21"/>
        </w:rPr>
      </w:pPr>
      <w:r>
        <w:rPr>
          <w:rFonts w:hint="eastAsia" w:ascii="Times New Roman" w:hAnsi="Times New Roman" w:eastAsia="仿宋_GB2312"/>
          <w:szCs w:val="21"/>
        </w:rPr>
        <w:t>电    话：                         电    话：</w:t>
      </w:r>
    </w:p>
    <w:p>
      <w:pPr>
        <w:spacing w:line="360" w:lineRule="auto"/>
        <w:rPr>
          <w:rFonts w:ascii="Times New Roman" w:hAnsi="Times New Roman" w:eastAsia="仿宋_GB2312"/>
          <w:szCs w:val="21"/>
        </w:rPr>
      </w:pPr>
      <w:r>
        <w:rPr>
          <w:rFonts w:hint="eastAsia" w:ascii="Times New Roman" w:hAnsi="Times New Roman" w:eastAsia="仿宋_GB2312"/>
          <w:szCs w:val="21"/>
        </w:rPr>
        <w:t>传    真：                         传    真：</w:t>
      </w:r>
    </w:p>
    <w:p>
      <w:pPr>
        <w:spacing w:line="360" w:lineRule="auto"/>
        <w:rPr>
          <w:rFonts w:ascii="Times New Roman" w:hAnsi="Times New Roman" w:eastAsia="仿宋_GB2312"/>
          <w:szCs w:val="21"/>
        </w:rPr>
      </w:pPr>
      <w:r>
        <w:rPr>
          <w:rFonts w:hint="eastAsia" w:ascii="Times New Roman" w:hAnsi="Times New Roman" w:eastAsia="仿宋_GB2312"/>
          <w:szCs w:val="21"/>
        </w:rPr>
        <w:t xml:space="preserve">签约日期：XX年XX月XX日 </w:t>
      </w:r>
      <w:r>
        <w:rPr>
          <w:rFonts w:hint="eastAsia" w:ascii="Times New Roman" w:hAnsi="Times New Roman" w:eastAsia="仿宋_GB2312"/>
          <w:szCs w:val="21"/>
        </w:rPr>
        <w:tab/>
      </w:r>
      <w:r>
        <w:rPr>
          <w:rFonts w:hint="eastAsia" w:ascii="Times New Roman" w:hAnsi="Times New Roman" w:eastAsia="仿宋_GB2312"/>
          <w:szCs w:val="21"/>
        </w:rPr>
        <w:tab/>
      </w:r>
      <w:r>
        <w:rPr>
          <w:rFonts w:hint="eastAsia" w:ascii="Times New Roman" w:hAnsi="Times New Roman" w:eastAsia="仿宋_GB2312"/>
          <w:szCs w:val="21"/>
        </w:rPr>
        <w:tab/>
      </w:r>
      <w:r>
        <w:rPr>
          <w:rFonts w:hint="eastAsia" w:ascii="Times New Roman" w:hAnsi="Times New Roman" w:eastAsia="仿宋_GB2312"/>
          <w:szCs w:val="21"/>
        </w:rPr>
        <w:t>签约日期：XX年XX月XX日</w:t>
      </w:r>
    </w:p>
    <w:p>
      <w:pPr>
        <w:spacing w:line="360" w:lineRule="auto"/>
      </w:pPr>
      <w:r>
        <w:rPr>
          <w:rFonts w:hint="eastAsia" w:ascii="Times New Roman" w:hAnsi="Times New Roman" w:eastAsia="仿宋_GB2312"/>
          <w:szCs w:val="21"/>
        </w:rPr>
        <w:t>注：1、以上合同条款采购人与中标人签订合同时可根据实际情况进行调整、修改或重新起草合同条款</w:t>
      </w:r>
    </w:p>
    <w:p>
      <w:pPr>
        <w:pStyle w:val="131"/>
        <w:widowControl/>
        <w:spacing w:line="360" w:lineRule="auto"/>
        <w:ind w:firstLine="420" w:firstLineChars="200"/>
        <w:jc w:val="left"/>
      </w:pPr>
    </w:p>
    <w:sectPr>
      <w:headerReference r:id="rId51" w:type="default"/>
      <w:footerReference r:id="rId5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imes New (W1)">
    <w:altName w:val="Segoe Print"/>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highlight w:val="white"/>
      </w:rPr>
      <w:instrText xml:space="preserve">PAGE  </w:instrText>
    </w:r>
    <w:r>
      <w:fldChar w:fldCharType="separate"/>
    </w:r>
    <w:r>
      <w:rPr>
        <w:rStyle w:val="47"/>
        <w:highlight w:val="white"/>
      </w:rPr>
      <w:t>92</w:t>
    </w:r>
    <w:r>
      <w:fldChar w:fldCharType="end"/>
    </w:r>
  </w:p>
  <w:p>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127"/>
      <w:rPr>
        <w:rFonts w:ascii="Calibri" w:hAnsi="Calibri" w:eastAsia="Calibri" w:cs="Calibri"/>
        <w:sz w:val="18"/>
        <w:szCs w:val="18"/>
      </w:rPr>
    </w:pPr>
    <w:r>
      <w:rPr>
        <w:rFonts w:ascii="Calibri" w:hAnsi="Calibri" w:eastAsia="Calibri" w:cs="Calibri"/>
        <w:position w:val="-2"/>
        <w:sz w:val="18"/>
        <w:szCs w:val="18"/>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90"/>
      <w:rPr>
        <w:rFonts w:ascii="Calibri" w:hAnsi="Calibri" w:eastAsia="Calibri" w:cs="Calibri"/>
        <w:sz w:val="18"/>
        <w:szCs w:val="18"/>
      </w:rPr>
    </w:pPr>
    <w:r>
      <w:rPr>
        <w:rFonts w:ascii="Calibri" w:hAnsi="Calibri" w:eastAsia="Calibri" w:cs="Calibri"/>
        <w:spacing w:val="-8"/>
        <w:position w:val="-2"/>
        <w:sz w:val="18"/>
        <w:szCs w:val="18"/>
      </w:rPr>
      <w:t>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90"/>
      <w:rPr>
        <w:rFonts w:ascii="Calibri" w:hAnsi="Calibri" w:eastAsia="Calibri" w:cs="Calibri"/>
        <w:sz w:val="18"/>
        <w:szCs w:val="18"/>
      </w:rPr>
    </w:pPr>
    <w:r>
      <w:rPr>
        <w:rFonts w:ascii="Calibri" w:hAnsi="Calibri" w:eastAsia="Calibri" w:cs="Calibri"/>
        <w:spacing w:val="-8"/>
        <w:position w:val="-2"/>
        <w:sz w:val="18"/>
        <w:szCs w:val="18"/>
      </w:rPr>
      <w:t>11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6923"/>
      <w:rPr>
        <w:rFonts w:ascii="Calibri" w:hAnsi="Calibri" w:eastAsia="Calibri" w:cs="Calibri"/>
        <w:sz w:val="18"/>
        <w:szCs w:val="18"/>
      </w:rPr>
    </w:pPr>
    <w:r>
      <w:rPr>
        <w:rFonts w:ascii="Calibri" w:hAnsi="Calibri" w:eastAsia="Calibri" w:cs="Calibri"/>
        <w:spacing w:val="-4"/>
        <w:position w:val="-2"/>
        <w:sz w:val="18"/>
        <w:szCs w:val="18"/>
      </w:rPr>
      <w:t>12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6938"/>
      <w:rPr>
        <w:rFonts w:ascii="Calibri" w:hAnsi="Calibri" w:eastAsia="Calibri" w:cs="Calibri"/>
        <w:sz w:val="18"/>
        <w:szCs w:val="18"/>
      </w:rPr>
    </w:pPr>
    <w:r>
      <w:rPr>
        <w:rFonts w:ascii="Calibri" w:hAnsi="Calibri" w:eastAsia="Calibri" w:cs="Calibri"/>
        <w:spacing w:val="-6"/>
        <w:position w:val="-2"/>
        <w:sz w:val="18"/>
        <w:szCs w:val="18"/>
      </w:rPr>
      <w:t>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6938"/>
      <w:rPr>
        <w:rFonts w:ascii="Calibri" w:hAnsi="Calibri" w:eastAsia="Calibri" w:cs="Calibri"/>
        <w:sz w:val="18"/>
        <w:szCs w:val="18"/>
      </w:rPr>
    </w:pPr>
    <w:r>
      <w:rPr>
        <w:rFonts w:ascii="Calibri" w:hAnsi="Calibri" w:eastAsia="Calibri" w:cs="Calibri"/>
        <w:spacing w:val="-6"/>
        <w:position w:val="-2"/>
        <w:sz w:val="18"/>
        <w:szCs w:val="18"/>
      </w:rPr>
      <w:t>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6923"/>
      <w:rPr>
        <w:rFonts w:ascii="Calibri" w:hAnsi="Calibri" w:eastAsia="Calibri" w:cs="Calibri"/>
        <w:sz w:val="18"/>
        <w:szCs w:val="18"/>
      </w:rPr>
    </w:pPr>
    <w:r>
      <w:rPr>
        <w:rFonts w:ascii="Calibri" w:hAnsi="Calibri" w:eastAsia="Calibri" w:cs="Calibri"/>
        <w:spacing w:val="-8"/>
        <w:position w:val="-2"/>
        <w:sz w:val="18"/>
        <w:szCs w:val="18"/>
      </w:rPr>
      <w:t>15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90"/>
      <w:rPr>
        <w:rFonts w:ascii="Calibri" w:hAnsi="Calibri" w:eastAsia="Calibri" w:cs="Calibri"/>
        <w:sz w:val="18"/>
        <w:szCs w:val="18"/>
      </w:rPr>
    </w:pPr>
    <w:r>
      <w:rPr>
        <w:rFonts w:ascii="Calibri" w:hAnsi="Calibri" w:eastAsia="Calibri" w:cs="Calibri"/>
        <w:spacing w:val="-8"/>
        <w:position w:val="-2"/>
        <w:sz w:val="18"/>
        <w:szCs w:val="18"/>
      </w:rPr>
      <w:t>16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90"/>
      <w:rPr>
        <w:rFonts w:ascii="Calibri" w:hAnsi="Calibri" w:eastAsia="Calibri" w:cs="Calibri"/>
        <w:sz w:val="18"/>
        <w:szCs w:val="18"/>
      </w:rPr>
    </w:pPr>
    <w:r>
      <w:rPr>
        <w:rFonts w:ascii="Calibri" w:hAnsi="Calibri" w:eastAsia="Calibri" w:cs="Calibri"/>
        <w:spacing w:val="-8"/>
        <w:position w:val="-2"/>
        <w:sz w:val="18"/>
        <w:szCs w:val="18"/>
      </w:rPr>
      <w:t>17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7016"/>
      <w:rPr>
        <w:rFonts w:ascii="Calibri" w:hAnsi="Calibri" w:eastAsia="Calibri" w:cs="Calibri"/>
        <w:sz w:val="18"/>
        <w:szCs w:val="18"/>
      </w:rPr>
    </w:pPr>
    <w:r>
      <w:rPr>
        <w:rFonts w:ascii="Calibri" w:hAnsi="Calibri" w:eastAsia="Calibri" w:cs="Calibri"/>
        <w:spacing w:val="-4"/>
        <w:position w:val="-2"/>
        <w:sz w:val="18"/>
        <w:szCs w:val="1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highlight w:val="white"/>
      </w:rPr>
      <w:instrText xml:space="preserve">PAGE  </w:instrText>
    </w:r>
    <w:r>
      <w:fldChar w:fldCharType="separate"/>
    </w:r>
    <w:r>
      <w:fldChar w:fldCharType="end"/>
    </w:r>
  </w:p>
  <w:p>
    <w:pPr>
      <w:pStyle w:val="29"/>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7031"/>
      <w:rPr>
        <w:rFonts w:ascii="Calibri" w:hAnsi="Calibri" w:eastAsia="Calibri" w:cs="Calibri"/>
        <w:sz w:val="18"/>
        <w:szCs w:val="18"/>
      </w:rPr>
    </w:pPr>
    <w:r>
      <w:rPr>
        <w:rFonts w:ascii="Calibri" w:hAnsi="Calibri" w:eastAsia="Calibri" w:cs="Calibri"/>
        <w:spacing w:val="-5"/>
        <w:position w:val="-2"/>
        <w:sz w:val="18"/>
        <w:szCs w:val="18"/>
      </w:rPr>
      <w:t>18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7031"/>
      <w:rPr>
        <w:rFonts w:ascii="Calibri" w:hAnsi="Calibri" w:eastAsia="Calibri" w:cs="Calibri"/>
        <w:sz w:val="18"/>
        <w:szCs w:val="18"/>
      </w:rPr>
    </w:pPr>
    <w:r>
      <w:rPr>
        <w:rFonts w:ascii="Calibri" w:hAnsi="Calibri" w:eastAsia="Calibri" w:cs="Calibri"/>
        <w:spacing w:val="-8"/>
        <w:position w:val="-2"/>
        <w:sz w:val="18"/>
        <w:szCs w:val="18"/>
      </w:rPr>
      <w:t>19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7010"/>
      <w:rPr>
        <w:rFonts w:ascii="Calibri" w:hAnsi="Calibri" w:eastAsia="Calibri" w:cs="Calibri"/>
        <w:sz w:val="18"/>
        <w:szCs w:val="18"/>
      </w:rPr>
    </w:pPr>
    <w:r>
      <w:rPr>
        <w:rFonts w:ascii="Calibri" w:hAnsi="Calibri" w:eastAsia="Calibri" w:cs="Calibri"/>
        <w:spacing w:val="-6"/>
        <w:position w:val="-2"/>
        <w:sz w:val="18"/>
        <w:szCs w:val="18"/>
      </w:rPr>
      <w:t>20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4084"/>
      <w:rPr>
        <w:rFonts w:ascii="Calibri" w:hAnsi="Calibri" w:eastAsia="Calibri" w:cs="Calibri"/>
        <w:sz w:val="18"/>
        <w:szCs w:val="18"/>
      </w:rPr>
    </w:pPr>
    <w:r>
      <w:rPr>
        <w:rFonts w:ascii="Calibri" w:hAnsi="Calibri" w:eastAsia="Calibri" w:cs="Calibri"/>
        <w:spacing w:val="-6"/>
        <w:position w:val="-2"/>
        <w:sz w:val="18"/>
        <w:szCs w:val="18"/>
      </w:rPr>
      <w:t>21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4084"/>
      <w:rPr>
        <w:rFonts w:ascii="Calibri" w:hAnsi="Calibri" w:eastAsia="Calibri" w:cs="Calibri"/>
        <w:sz w:val="18"/>
        <w:szCs w:val="18"/>
      </w:rPr>
    </w:pPr>
    <w:r>
      <w:rPr>
        <w:rFonts w:ascii="Calibri" w:hAnsi="Calibri" w:eastAsia="Calibri" w:cs="Calibri"/>
        <w:spacing w:val="-6"/>
        <w:position w:val="-2"/>
        <w:sz w:val="18"/>
        <w:szCs w:val="18"/>
      </w:rPr>
      <w:t>22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84"/>
      <w:rPr>
        <w:rFonts w:ascii="Calibri" w:hAnsi="Calibri" w:eastAsia="Calibri" w:cs="Calibri"/>
        <w:sz w:val="18"/>
        <w:szCs w:val="18"/>
      </w:rPr>
    </w:pPr>
    <w:r>
      <w:rPr>
        <w:rFonts w:ascii="Calibri" w:hAnsi="Calibri" w:eastAsia="Calibri" w:cs="Calibri"/>
        <w:spacing w:val="-6"/>
        <w:position w:val="-2"/>
        <w:sz w:val="18"/>
        <w:szCs w:val="18"/>
      </w:rPr>
      <w:t>23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highlight w:val="white"/>
      </w:rPr>
      <w:instrText xml:space="preserve">PAGE  </w:instrText>
    </w:r>
    <w:r>
      <w:fldChar w:fldCharType="separate"/>
    </w:r>
    <w:r>
      <w:rPr>
        <w:rStyle w:val="47"/>
      </w:rPr>
      <w:t>58</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rPr>
        <w:highlight w:val="white"/>
      </w:rPr>
      <w:instrText xml:space="preserve"> PAGE   \* MERGEFORMAT </w:instrText>
    </w:r>
    <w:r>
      <w:fldChar w:fldCharType="separate"/>
    </w:r>
    <w:r>
      <w:rPr>
        <w:highlight w:val="white"/>
        <w:lang w:val="zh-CN"/>
      </w:rPr>
      <w:t>1</w:t>
    </w:r>
    <w:r>
      <w:rPr>
        <w:lang w:val="zh-CN"/>
      </w:rP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129"/>
      <w:rPr>
        <w:rFonts w:ascii="Calibri" w:hAnsi="Calibri" w:eastAsia="Calibri" w:cs="Calibri"/>
        <w:sz w:val="18"/>
        <w:szCs w:val="18"/>
      </w:rPr>
    </w:pPr>
    <w:r>
      <w:rPr>
        <w:rFonts w:ascii="Calibri" w:hAnsi="Calibri" w:eastAsia="Calibri" w:cs="Calibri"/>
        <w:position w:val="-2"/>
        <w:sz w:val="18"/>
        <w:szCs w:val="18"/>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24"/>
      <w:rPr>
        <w:rFonts w:ascii="Calibri" w:hAnsi="Calibri" w:eastAsia="Calibri" w:cs="Calibri"/>
        <w:sz w:val="18"/>
        <w:szCs w:val="18"/>
      </w:rPr>
    </w:pPr>
    <w:r>
      <w:rPr>
        <w:rFonts w:ascii="Calibri" w:hAnsi="Calibri" w:eastAsia="Calibri" w:cs="Calibri"/>
        <w:position w:val="-2"/>
        <w:sz w:val="18"/>
        <w:szCs w:val="18"/>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456"/>
      <w:rPr>
        <w:rFonts w:ascii="Calibri" w:hAnsi="Calibri" w:eastAsia="Calibri" w:cs="Calibri"/>
        <w:sz w:val="18"/>
        <w:szCs w:val="18"/>
      </w:rPr>
    </w:pPr>
    <w:r>
      <w:rPr>
        <w:rFonts w:ascii="Calibri" w:hAnsi="Calibri" w:eastAsia="Calibri" w:cs="Calibri"/>
        <w:position w:val="-2"/>
        <w:sz w:val="18"/>
        <w:szCs w:val="18"/>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456"/>
      <w:rPr>
        <w:rFonts w:ascii="Calibri" w:hAnsi="Calibri" w:eastAsia="Calibri" w:cs="Calibri"/>
        <w:sz w:val="18"/>
        <w:szCs w:val="18"/>
      </w:rPr>
    </w:pPr>
    <w:r>
      <w:rPr>
        <w:rFonts w:ascii="Calibri" w:hAnsi="Calibri" w:eastAsia="Calibri" w:cs="Calibri"/>
        <w:position w:val="-2"/>
        <w:sz w:val="18"/>
        <w:szCs w:val="18"/>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129"/>
      <w:rPr>
        <w:rFonts w:ascii="Calibri" w:hAnsi="Calibri" w:eastAsia="Calibri" w:cs="Calibri"/>
        <w:sz w:val="18"/>
        <w:szCs w:val="18"/>
      </w:rPr>
    </w:pPr>
    <w:r>
      <w:rPr>
        <w:rFonts w:ascii="Calibri" w:hAnsi="Calibri" w:eastAsia="Calibri" w:cs="Calibri"/>
        <w:position w:val="-2"/>
        <w:sz w:val="18"/>
        <w:szCs w:val="18"/>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127"/>
      <w:rPr>
        <w:rFonts w:ascii="Calibri" w:hAnsi="Calibri" w:eastAsia="Calibri" w:cs="Calibri"/>
        <w:sz w:val="18"/>
        <w:szCs w:val="18"/>
      </w:rPr>
    </w:pPr>
    <w:r>
      <w:rPr>
        <w:rFonts w:ascii="Calibri" w:hAnsi="Calibri" w:eastAsia="Calibri" w:cs="Calibri"/>
        <w:position w:val="-2"/>
        <w:sz w:val="18"/>
        <w:szCs w:val="18"/>
      </w:rPr>
      <w:t>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Calibri"/>
        <w:sz w:val="2"/>
      </w:rPr>
    </w:pPr>
    <w:r>
      <mc:AlternateContent>
        <mc:Choice Requires="wps">
          <w:drawing>
            <wp:anchor distT="0" distB="0" distL="114300" distR="114300" simplePos="0" relativeHeight="251665408" behindDoc="0" locked="0" layoutInCell="0" allowOverlap="1">
              <wp:simplePos x="0" y="0"/>
              <wp:positionH relativeFrom="page">
                <wp:posOffset>1143000</wp:posOffset>
              </wp:positionH>
              <wp:positionV relativeFrom="page">
                <wp:posOffset>748030</wp:posOffset>
              </wp:positionV>
              <wp:extent cx="5274310" cy="9525"/>
              <wp:effectExtent l="0" t="0" r="0" b="0"/>
              <wp:wrapNone/>
              <wp:docPr id="33" name="矩形 33"/>
              <wp:cNvGraphicFramePr/>
              <a:graphic xmlns:a="http://schemas.openxmlformats.org/drawingml/2006/main">
                <a:graphicData uri="http://schemas.microsoft.com/office/word/2010/wordprocessingShape">
                  <wps:wsp>
                    <wps:cNvSpPr/>
                    <wps:spPr>
                      <a:xfrm>
                        <a:off x="0" y="0"/>
                        <a:ext cx="527431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58.9pt;height:0.75pt;width:415.3pt;mso-position-horizontal-relative:page;mso-position-vertical-relative:page;z-index:251665408;mso-width-relative:page;mso-height-relative:page;" fillcolor="#000000" filled="t" stroked="f" coordsize="21600,21600" o:allowincell="f" o:gfxdata="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B+m&#10;otkAAAAMAQAADwAAAAAAAAABACAAAAAiAAAAZHJzL2Rvd25yZXYueG1sUEsBAhQAFAAAAAgAh07i&#10;QNFCAM+vAQAAXwMAAA4AAAAAAAAAAQAgAAAAKAEAAGRycy9lMm9Eb2MueG1sUEsFBgAAAAAGAAYA&#10;WQEAAEkFAAAAAA==&#10;">
              <v:fill on="t" focussize="0,0"/>
              <v:stroke on="f"/>
              <v:imagedata o:title=""/>
              <o:lock v:ext="edit" aspectratio="f"/>
            </v:rect>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Calibri"/>
        <w:sz w:val="2"/>
      </w:rPr>
    </w:pPr>
    <w:r>
      <w:drawing>
        <wp:anchor distT="0" distB="0" distL="0" distR="0" simplePos="0" relativeHeight="251666432" behindDoc="0" locked="0" layoutInCell="0" allowOverlap="1">
          <wp:simplePos x="0" y="0"/>
          <wp:positionH relativeFrom="page">
            <wp:posOffset>8232775</wp:posOffset>
          </wp:positionH>
          <wp:positionV relativeFrom="page">
            <wp:posOffset>189230</wp:posOffset>
          </wp:positionV>
          <wp:extent cx="209550" cy="209550"/>
          <wp:effectExtent l="0" t="0" r="6350" b="635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209678" cy="209677"/>
                  </a:xfrm>
                  <a:prstGeom prst="rect">
                    <a:avLst/>
                  </a:prstGeom>
                </pic:spPr>
              </pic:pic>
            </a:graphicData>
          </a:graphic>
        </wp:anchor>
      </w:drawing>
    </w:r>
    <w:r>
      <w:drawing>
        <wp:anchor distT="0" distB="0" distL="0" distR="0" simplePos="0" relativeHeight="251667456" behindDoc="0" locked="0" layoutInCell="0" allowOverlap="1">
          <wp:simplePos x="0" y="0"/>
          <wp:positionH relativeFrom="page">
            <wp:posOffset>914400</wp:posOffset>
          </wp:positionH>
          <wp:positionV relativeFrom="page">
            <wp:posOffset>747395</wp:posOffset>
          </wp:positionV>
          <wp:extent cx="8863330" cy="889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2"/>
                  <a:stretch>
                    <a:fillRect/>
                  </a:stretch>
                </pic:blipFill>
                <pic:spPr>
                  <a:xfrm>
                    <a:off x="0" y="0"/>
                    <a:ext cx="8863330" cy="9144"/>
                  </a:xfrm>
                  <a:prstGeom prst="rect">
                    <a:avLst/>
                  </a:prstGeom>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Times New Roman"/>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Times New Roman"/>
        <w:sz w:val="2"/>
      </w:rPr>
    </w:pPr>
    <w:r>
      <w:drawing>
        <wp:anchor distT="0" distB="0" distL="0" distR="0" simplePos="0" relativeHeight="251677696" behindDoc="0" locked="0" layoutInCell="0" allowOverlap="1">
          <wp:simplePos x="0" y="0"/>
          <wp:positionH relativeFrom="page">
            <wp:posOffset>8498840</wp:posOffset>
          </wp:positionH>
          <wp:positionV relativeFrom="page">
            <wp:posOffset>86995</wp:posOffset>
          </wp:positionV>
          <wp:extent cx="62865" cy="768985"/>
          <wp:effectExtent l="0" t="0" r="635" b="5715"/>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62894" cy="769232"/>
                  </a:xfrm>
                  <a:prstGeom prst="rect">
                    <a:avLst/>
                  </a:prstGeom>
                </pic:spPr>
              </pic:pic>
            </a:graphicData>
          </a:graphic>
        </wp:anchor>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Calibri"/>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Calibri"/>
        <w:sz w:val="2"/>
      </w:rPr>
    </w:pPr>
    <w:r>
      <mc:AlternateContent>
        <mc:Choice Requires="wps">
          <w:drawing>
            <wp:anchor distT="0" distB="0" distL="114300" distR="114300" simplePos="0" relativeHeight="251668480" behindDoc="0" locked="0" layoutInCell="0" allowOverlap="1">
              <wp:simplePos x="0" y="0"/>
              <wp:positionH relativeFrom="page">
                <wp:posOffset>1143000</wp:posOffset>
              </wp:positionH>
              <wp:positionV relativeFrom="page">
                <wp:posOffset>748030</wp:posOffset>
              </wp:positionV>
              <wp:extent cx="5274310" cy="9525"/>
              <wp:effectExtent l="0" t="0" r="0" b="0"/>
              <wp:wrapNone/>
              <wp:docPr id="14" name="矩形 14"/>
              <wp:cNvGraphicFramePr/>
              <a:graphic xmlns:a="http://schemas.openxmlformats.org/drawingml/2006/main">
                <a:graphicData uri="http://schemas.microsoft.com/office/word/2010/wordprocessingShape">
                  <wps:wsp>
                    <wps:cNvSpPr/>
                    <wps:spPr>
                      <a:xfrm>
                        <a:off x="0" y="0"/>
                        <a:ext cx="527431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58.9pt;height:0.75pt;width:415.3pt;mso-position-horizontal-relative:page;mso-position-vertical-relative:page;z-index:251668480;mso-width-relative:page;mso-height-relative:page;" fillcolor="#000000" filled="t" stroked="f" coordsize="21600,21600" o:allowincell="f" o:gfxdata="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B+m&#10;otkAAAAMAQAADwAAAAAAAAABACAAAAAiAAAAZHJzL2Rvd25yZXYueG1sUEsBAhQAFAAAAAgAh07i&#10;QLvvFmCvAQAAXwMAAA4AAAAAAAAAAQAgAAAAKAEAAGRycy9lMm9Eb2MueG1sUEsFBgAAAAAGAAYA&#10;WQEAAEkFAAAAAA==&#10;">
              <v:fill on="t" focussize="0,0"/>
              <v:stroke on="f"/>
              <v:imagedata o:title=""/>
              <o:lock v:ext="edit" aspectratio="f"/>
            </v:rect>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Calibri"/>
        <w:sz w:val="2"/>
      </w:rPr>
    </w:pPr>
    <w:r>
      <mc:AlternateContent>
        <mc:Choice Requires="wps">
          <w:drawing>
            <wp:anchor distT="0" distB="0" distL="114300" distR="114300" simplePos="0" relativeHeight="251669504" behindDoc="0" locked="0" layoutInCell="0" allowOverlap="1">
              <wp:simplePos x="0" y="0"/>
              <wp:positionH relativeFrom="page">
                <wp:posOffset>1143000</wp:posOffset>
              </wp:positionH>
              <wp:positionV relativeFrom="page">
                <wp:posOffset>748030</wp:posOffset>
              </wp:positionV>
              <wp:extent cx="5274310" cy="9525"/>
              <wp:effectExtent l="0" t="0" r="0" b="0"/>
              <wp:wrapNone/>
              <wp:docPr id="39" name="矩形 39"/>
              <wp:cNvGraphicFramePr/>
              <a:graphic xmlns:a="http://schemas.openxmlformats.org/drawingml/2006/main">
                <a:graphicData uri="http://schemas.microsoft.com/office/word/2010/wordprocessingShape">
                  <wps:wsp>
                    <wps:cNvSpPr/>
                    <wps:spPr>
                      <a:xfrm>
                        <a:off x="0" y="0"/>
                        <a:ext cx="527431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58.9pt;height:0.75pt;width:415.3pt;mso-position-horizontal-relative:page;mso-position-vertical-relative:page;z-index:251669504;mso-width-relative:page;mso-height-relative:page;" fillcolor="#000000" filled="t" stroked="f" coordsize="21600,21600" o:allowincell="f" o:gfxdata="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B+m&#10;otkAAAAMAQAADwAAAAAAAAABACAAAAAiAAAAZHJzL2Rvd25yZXYueG1sUEsBAhQAFAAAAAgAh07i&#10;QKomIX2vAQAAXwMAAA4AAAAAAAAAAQAgAAAAKAEAAGRycy9lMm9Eb2MueG1sUEsFBgAAAAAGAAYA&#10;WQEAAEkFAAAAAA==&#10;">
              <v:fill on="t" focussize="0,0"/>
              <v:stroke on="f"/>
              <v:imagedata o:title=""/>
              <o:lock v:ext="edit" aspectratio="f"/>
            </v:rect>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Calibri"/>
        <w:sz w:val="2"/>
      </w:rPr>
    </w:pPr>
    <w:r>
      <w:drawing>
        <wp:anchor distT="0" distB="0" distL="0" distR="0" simplePos="0" relativeHeight="251670528" behindDoc="0" locked="0" layoutInCell="0" allowOverlap="1">
          <wp:simplePos x="0" y="0"/>
          <wp:positionH relativeFrom="page">
            <wp:posOffset>8232775</wp:posOffset>
          </wp:positionH>
          <wp:positionV relativeFrom="page">
            <wp:posOffset>189230</wp:posOffset>
          </wp:positionV>
          <wp:extent cx="209550" cy="209550"/>
          <wp:effectExtent l="0" t="0" r="6350" b="635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
                  <a:stretch>
                    <a:fillRect/>
                  </a:stretch>
                </pic:blipFill>
                <pic:spPr>
                  <a:xfrm>
                    <a:off x="0" y="0"/>
                    <a:ext cx="209678" cy="209677"/>
                  </a:xfrm>
                  <a:prstGeom prst="rect">
                    <a:avLst/>
                  </a:prstGeom>
                </pic:spPr>
              </pic:pic>
            </a:graphicData>
          </a:graphic>
        </wp:anchor>
      </w:drawing>
    </w:r>
    <w:r>
      <w:drawing>
        <wp:anchor distT="0" distB="0" distL="0" distR="0" simplePos="0" relativeHeight="251671552" behindDoc="0" locked="0" layoutInCell="0" allowOverlap="1">
          <wp:simplePos x="0" y="0"/>
          <wp:positionH relativeFrom="page">
            <wp:posOffset>914400</wp:posOffset>
          </wp:positionH>
          <wp:positionV relativeFrom="page">
            <wp:posOffset>747395</wp:posOffset>
          </wp:positionV>
          <wp:extent cx="8863330" cy="889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
                  <a:stretch>
                    <a:fillRect/>
                  </a:stretch>
                </pic:blipFill>
                <pic:spPr>
                  <a:xfrm>
                    <a:off x="0" y="0"/>
                    <a:ext cx="8863330" cy="9144"/>
                  </a:xfrm>
                  <a:prstGeom prst="rect">
                    <a:avLst/>
                  </a:prstGeom>
                </pic:spPr>
              </pic:pic>
            </a:graphicData>
          </a:graphic>
        </wp:anchor>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Times New Roman"/>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Times New Roman"/>
        <w:sz w:val="2"/>
      </w:rPr>
    </w:pPr>
    <w:r>
      <w:drawing>
        <wp:anchor distT="0" distB="0" distL="0" distR="0" simplePos="0" relativeHeight="251682816" behindDoc="0" locked="0" layoutInCell="0" allowOverlap="1">
          <wp:simplePos x="0" y="0"/>
          <wp:positionH relativeFrom="page">
            <wp:posOffset>8498840</wp:posOffset>
          </wp:positionH>
          <wp:positionV relativeFrom="page">
            <wp:posOffset>86995</wp:posOffset>
          </wp:positionV>
          <wp:extent cx="62865" cy="768985"/>
          <wp:effectExtent l="0" t="0" r="635" b="5715"/>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
                  <a:stretch>
                    <a:fillRect/>
                  </a:stretch>
                </pic:blipFill>
                <pic:spPr>
                  <a:xfrm>
                    <a:off x="0" y="0"/>
                    <a:ext cx="62894" cy="769232"/>
                  </a:xfrm>
                  <a:prstGeom prst="rect">
                    <a:avLst/>
                  </a:prstGeom>
                </pic:spPr>
              </pic:pic>
            </a:graphicData>
          </a:graphic>
        </wp:anchor>
      </w:drawing>
    </w:r>
    <w:r>
      <w:drawing>
        <wp:anchor distT="0" distB="0" distL="0" distR="0" simplePos="0" relativeHeight="251683840" behindDoc="0" locked="0" layoutInCell="0" allowOverlap="1">
          <wp:simplePos x="0" y="0"/>
          <wp:positionH relativeFrom="page">
            <wp:posOffset>8233410</wp:posOffset>
          </wp:positionH>
          <wp:positionV relativeFrom="page">
            <wp:posOffset>189230</wp:posOffset>
          </wp:positionV>
          <wp:extent cx="209550" cy="209550"/>
          <wp:effectExtent l="0" t="0" r="6350" b="6350"/>
          <wp:wrapNone/>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2"/>
                  <a:stretch>
                    <a:fillRect/>
                  </a:stretch>
                </pic:blipFill>
                <pic:spPr>
                  <a:xfrm>
                    <a:off x="0" y="0"/>
                    <a:ext cx="209678" cy="209677"/>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Calibri"/>
        <w:sz w:val="2"/>
      </w:rPr>
    </w:pPr>
    <w:r>
      <w:drawing>
        <wp:anchor distT="0" distB="0" distL="0" distR="0" simplePos="0" relativeHeight="251672576" behindDoc="0" locked="0" layoutInCell="0" allowOverlap="1">
          <wp:simplePos x="0" y="0"/>
          <wp:positionH relativeFrom="page">
            <wp:posOffset>8232775</wp:posOffset>
          </wp:positionH>
          <wp:positionV relativeFrom="page">
            <wp:posOffset>189230</wp:posOffset>
          </wp:positionV>
          <wp:extent cx="209550" cy="209550"/>
          <wp:effectExtent l="0" t="0" r="6350" b="635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209678" cy="209677"/>
                  </a:xfrm>
                  <a:prstGeom prst="rect">
                    <a:avLst/>
                  </a:prstGeom>
                </pic:spPr>
              </pic:pic>
            </a:graphicData>
          </a:graphic>
        </wp:anchor>
      </w:drawing>
    </w:r>
    <w:r>
      <w:drawing>
        <wp:anchor distT="0" distB="0" distL="0" distR="0" simplePos="0" relativeHeight="251673600" behindDoc="0" locked="0" layoutInCell="0" allowOverlap="1">
          <wp:simplePos x="0" y="0"/>
          <wp:positionH relativeFrom="page">
            <wp:posOffset>914400</wp:posOffset>
          </wp:positionH>
          <wp:positionV relativeFrom="page">
            <wp:posOffset>747395</wp:posOffset>
          </wp:positionV>
          <wp:extent cx="8863330" cy="8890"/>
          <wp:effectExtent l="0" t="0" r="0" b="0"/>
          <wp:wrapNone/>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2"/>
                  <a:stretch>
                    <a:fillRect/>
                  </a:stretch>
                </pic:blipFill>
                <pic:spPr>
                  <a:xfrm>
                    <a:off x="0" y="0"/>
                    <a:ext cx="8863330" cy="9144"/>
                  </a:xfrm>
                  <a:prstGeom prst="rect">
                    <a:avLst/>
                  </a:prstGeom>
                </pic:spPr>
              </pic:pic>
            </a:graphicData>
          </a:graphic>
        </wp:anchor>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Calibri"/>
        <w:sz w:val="2"/>
      </w:rPr>
    </w:pPr>
    <w:r>
      <mc:AlternateContent>
        <mc:Choice Requires="wps">
          <w:drawing>
            <wp:anchor distT="0" distB="0" distL="114300" distR="114300" simplePos="0" relativeHeight="251674624" behindDoc="0" locked="0" layoutInCell="0" allowOverlap="1">
              <wp:simplePos x="0" y="0"/>
              <wp:positionH relativeFrom="page">
                <wp:posOffset>1143000</wp:posOffset>
              </wp:positionH>
              <wp:positionV relativeFrom="page">
                <wp:posOffset>748030</wp:posOffset>
              </wp:positionV>
              <wp:extent cx="5274310" cy="9525"/>
              <wp:effectExtent l="0" t="0" r="0" b="0"/>
              <wp:wrapNone/>
              <wp:docPr id="6" name="矩形 6"/>
              <wp:cNvGraphicFramePr/>
              <a:graphic xmlns:a="http://schemas.openxmlformats.org/drawingml/2006/main">
                <a:graphicData uri="http://schemas.microsoft.com/office/word/2010/wordprocessingShape">
                  <wps:wsp>
                    <wps:cNvSpPr/>
                    <wps:spPr>
                      <a:xfrm>
                        <a:off x="0" y="0"/>
                        <a:ext cx="527431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58.9pt;height:0.75pt;width:415.3pt;mso-position-horizontal-relative:page;mso-position-vertical-relative:page;z-index:251674624;mso-width-relative:page;mso-height-relative:page;" fillcolor="#000000" filled="t" stroked="f" coordsize="21600,21600" o:allowincell="f" o:gfxdata="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MH6ai&#10;2QAAAAwBAAAPAAAAAAAAAAEAIAAAACIAAABkcnMvZG93bnJldi54bWxQSwECFAAUAAAACACHTuJA&#10;9ETJTa4BAABdAwAADgAAAAAAAAABACAAAAAoAQAAZHJzL2Uyb0RvYy54bWxQSwUGAAAAAAYABgBZ&#10;AQAASAUAAAAA&#10;">
              <v:fill on="t" focussize="0,0"/>
              <v:stroke on="f"/>
              <v:imagedata o:title=""/>
              <o:lock v:ext="edit" aspectratio="f"/>
            </v:rect>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Calibri"/>
        <w:sz w:val="2"/>
      </w:rPr>
    </w:pPr>
    <w:r>
      <mc:AlternateContent>
        <mc:Choice Requires="wps">
          <w:drawing>
            <wp:anchor distT="0" distB="0" distL="114300" distR="114300" simplePos="0" relativeHeight="251675648" behindDoc="0" locked="0" layoutInCell="0" allowOverlap="1">
              <wp:simplePos x="0" y="0"/>
              <wp:positionH relativeFrom="page">
                <wp:posOffset>1143000</wp:posOffset>
              </wp:positionH>
              <wp:positionV relativeFrom="page">
                <wp:posOffset>748030</wp:posOffset>
              </wp:positionV>
              <wp:extent cx="5274310" cy="9525"/>
              <wp:effectExtent l="0" t="0" r="0" b="0"/>
              <wp:wrapNone/>
              <wp:docPr id="10" name="矩形 10"/>
              <wp:cNvGraphicFramePr/>
              <a:graphic xmlns:a="http://schemas.openxmlformats.org/drawingml/2006/main">
                <a:graphicData uri="http://schemas.microsoft.com/office/word/2010/wordprocessingShape">
                  <wps:wsp>
                    <wps:cNvSpPr/>
                    <wps:spPr>
                      <a:xfrm>
                        <a:off x="0" y="0"/>
                        <a:ext cx="527431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58.9pt;height:0.75pt;width:415.3pt;mso-position-horizontal-relative:page;mso-position-vertical-relative:page;z-index:251675648;mso-width-relative:page;mso-height-relative:page;" fillcolor="#000000" filled="t" stroked="f" coordsize="21600,21600" o:allowincell="f" o:gfxdata="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wfpqLZ&#10;AAAADAEAAA8AAAAAAAAAAQAgAAAAIgAAAGRycy9kb3ducmV2LnhtbFBLAQIUABQAAAAIAIdO4kBg&#10;hkxGrQEAAF8DAAAOAAAAAAAAAAEAIAAAACgBAABkcnMvZTJvRG9jLnhtbFBLBQYAAAAABgAGAFkB&#10;AABHBQAAAAA=&#10;">
              <v:fill on="t" focussize="0,0"/>
              <v:stroke on="f"/>
              <v:imagedata o:title=""/>
              <o:lock v:ext="edit" aspectratio="f"/>
            </v:rect>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Calibri"/>
        <w:sz w:val="2"/>
      </w:rPr>
    </w:pPr>
    <w:r>
      <w:drawing>
        <wp:anchor distT="0" distB="0" distL="0" distR="0" simplePos="0" relativeHeight="251676672" behindDoc="0" locked="0" layoutInCell="0" allowOverlap="1">
          <wp:simplePos x="0" y="0"/>
          <wp:positionH relativeFrom="page">
            <wp:posOffset>1143000</wp:posOffset>
          </wp:positionH>
          <wp:positionV relativeFrom="page">
            <wp:posOffset>831215</wp:posOffset>
          </wp:positionV>
          <wp:extent cx="5274310" cy="889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5274309" cy="9143"/>
                  </a:xfrm>
                  <a:prstGeom prst="rect">
                    <a:avLst/>
                  </a:prstGeom>
                </pic:spPr>
              </pic:pic>
            </a:graphicData>
          </a:graphic>
        </wp:anchor>
      </w:drawing>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Calibri"/>
        <w:sz w:val="2"/>
      </w:rPr>
    </w:pPr>
    <w:r>
      <mc:AlternateContent>
        <mc:Choice Requires="wps">
          <w:drawing>
            <wp:anchor distT="0" distB="0" distL="114300" distR="114300" simplePos="0" relativeHeight="251659264" behindDoc="0" locked="0" layoutInCell="0" allowOverlap="1">
              <wp:simplePos x="0" y="0"/>
              <wp:positionH relativeFrom="page">
                <wp:posOffset>1143000</wp:posOffset>
              </wp:positionH>
              <wp:positionV relativeFrom="page">
                <wp:posOffset>748030</wp:posOffset>
              </wp:positionV>
              <wp:extent cx="5274310" cy="9525"/>
              <wp:effectExtent l="0" t="0" r="0" b="0"/>
              <wp:wrapNone/>
              <wp:docPr id="38" name="矩形 38"/>
              <wp:cNvGraphicFramePr/>
              <a:graphic xmlns:a="http://schemas.openxmlformats.org/drawingml/2006/main">
                <a:graphicData uri="http://schemas.microsoft.com/office/word/2010/wordprocessingShape">
                  <wps:wsp>
                    <wps:cNvSpPr/>
                    <wps:spPr>
                      <a:xfrm>
                        <a:off x="0" y="0"/>
                        <a:ext cx="527431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58.9pt;height:0.75pt;width:415.3pt;mso-position-horizontal-relative:page;mso-position-vertical-relative:page;z-index:251659264;mso-width-relative:page;mso-height-relative:page;" fillcolor="#000000" filled="t" stroked="f" coordsize="21600,21600" o:allowincell="f" o:gfxdata="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B+m&#10;otkAAAAMAQAADwAAAAAAAAABACAAAAAiAAAAZHJzL2Rvd25yZXYueG1sUEsBAhQAFAAAAAgAh07i&#10;QGx+0++vAQAAXwMAAA4AAAAAAAAAAQAgAAAAKAEAAGRycy9lMm9Eb2MueG1sUEsFBgAAAAAGAAYA&#10;WQEAAEkFAAAAAA==&#10;">
              <v:fill on="t" focussize="0,0"/>
              <v:stroke on="f"/>
              <v:imagedata o:title=""/>
              <o:lock v:ext="edit" aspectratio="f"/>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Calibri"/>
        <w:sz w:val="2"/>
      </w:rPr>
    </w:pPr>
    <w:r>
      <mc:AlternateContent>
        <mc:Choice Requires="wps">
          <w:drawing>
            <wp:anchor distT="0" distB="0" distL="114300" distR="114300" simplePos="0" relativeHeight="251660288" behindDoc="0" locked="0" layoutInCell="0" allowOverlap="1">
              <wp:simplePos x="0" y="0"/>
              <wp:positionH relativeFrom="page">
                <wp:posOffset>1143000</wp:posOffset>
              </wp:positionH>
              <wp:positionV relativeFrom="page">
                <wp:posOffset>748030</wp:posOffset>
              </wp:positionV>
              <wp:extent cx="5274310" cy="9525"/>
              <wp:effectExtent l="0" t="0" r="0" b="0"/>
              <wp:wrapNone/>
              <wp:docPr id="21" name="矩形 21"/>
              <wp:cNvGraphicFramePr/>
              <a:graphic xmlns:a="http://schemas.openxmlformats.org/drawingml/2006/main">
                <a:graphicData uri="http://schemas.microsoft.com/office/word/2010/wordprocessingShape">
                  <wps:wsp>
                    <wps:cNvSpPr/>
                    <wps:spPr>
                      <a:xfrm>
                        <a:off x="0" y="0"/>
                        <a:ext cx="527431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58.9pt;height:0.75pt;width:415.3pt;mso-position-horizontal-relative:page;mso-position-vertical-relative:page;z-index:251660288;mso-width-relative:page;mso-height-relative:page;" fillcolor="#000000" filled="t" stroked="f" coordsize="21600,21600" o:allowincell="f" o:gfxdata="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MH6ai&#10;2QAAAAwBAAAPAAAAAAAAAAEAIAAAACIAAABkcnMvZG93bnJldi54bWxQSwECFAAUAAAACACHTuJA&#10;wWAAQ64BAABfAwAADgAAAAAAAAABACAAAAAoAQAAZHJzL2Uyb0RvYy54bWxQSwUGAAAAAAYABgBZ&#10;AQAASAUAAAAA&#10;">
              <v:fill on="t" focussize="0,0"/>
              <v:stroke on="f"/>
              <v:imagedata o:title=""/>
              <o:lock v:ext="edit" aspectratio="f"/>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Calibri"/>
        <w:sz w:val="2"/>
      </w:rPr>
    </w:pPr>
    <w:r>
      <mc:AlternateContent>
        <mc:Choice Requires="wps">
          <w:drawing>
            <wp:anchor distT="0" distB="0" distL="114300" distR="114300" simplePos="0" relativeHeight="251661312" behindDoc="0" locked="0" layoutInCell="0" allowOverlap="1">
              <wp:simplePos x="0" y="0"/>
              <wp:positionH relativeFrom="page">
                <wp:posOffset>1143000</wp:posOffset>
              </wp:positionH>
              <wp:positionV relativeFrom="page">
                <wp:posOffset>748030</wp:posOffset>
              </wp:positionV>
              <wp:extent cx="5274310" cy="9525"/>
              <wp:effectExtent l="0" t="0" r="0" b="0"/>
              <wp:wrapNone/>
              <wp:docPr id="24" name="矩形 24"/>
              <wp:cNvGraphicFramePr/>
              <a:graphic xmlns:a="http://schemas.openxmlformats.org/drawingml/2006/main">
                <a:graphicData uri="http://schemas.microsoft.com/office/word/2010/wordprocessingShape">
                  <wps:wsp>
                    <wps:cNvSpPr/>
                    <wps:spPr>
                      <a:xfrm>
                        <a:off x="0" y="0"/>
                        <a:ext cx="527431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58.9pt;height:0.75pt;width:415.3pt;mso-position-horizontal-relative:page;mso-position-vertical-relative:page;z-index:251661312;mso-width-relative:page;mso-height-relative:page;" fillcolor="#000000" filled="t" stroked="f" coordsize="21600,21600" o:allowincell="f" o:gfxdata="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B+m&#10;otkAAAAMAQAADwAAAAAAAAABACAAAAAiAAAAZHJzL2Rvd25yZXYueG1sUEsBAhQAFAAAAAgAh07i&#10;QNxRqPevAQAAXwMAAA4AAAAAAAAAAQAgAAAAKAEAAGRycy9lMm9Eb2MueG1sUEsFBgAAAAAGAAYA&#10;WQEAAEkFAAAAAA==&#10;">
              <v:fill on="t" focussize="0,0"/>
              <v:stroke on="f"/>
              <v:imagedata o:title=""/>
              <o:lock v:ext="edit" aspectratio="f"/>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Calibri"/>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Calibri"/>
        <w:sz w:val="2"/>
      </w:rPr>
    </w:pPr>
    <w:r>
      <mc:AlternateContent>
        <mc:Choice Requires="wps">
          <w:drawing>
            <wp:anchor distT="0" distB="0" distL="114300" distR="114300" simplePos="0" relativeHeight="251662336" behindDoc="0" locked="0" layoutInCell="0" allowOverlap="1">
              <wp:simplePos x="0" y="0"/>
              <wp:positionH relativeFrom="page">
                <wp:posOffset>1143000</wp:posOffset>
              </wp:positionH>
              <wp:positionV relativeFrom="page">
                <wp:posOffset>748030</wp:posOffset>
              </wp:positionV>
              <wp:extent cx="5274310" cy="9525"/>
              <wp:effectExtent l="0" t="0" r="0" b="0"/>
              <wp:wrapNone/>
              <wp:docPr id="25" name="矩形 25"/>
              <wp:cNvGraphicFramePr/>
              <a:graphic xmlns:a="http://schemas.openxmlformats.org/drawingml/2006/main">
                <a:graphicData uri="http://schemas.microsoft.com/office/word/2010/wordprocessingShape">
                  <wps:wsp>
                    <wps:cNvSpPr/>
                    <wps:spPr>
                      <a:xfrm>
                        <a:off x="0" y="0"/>
                        <a:ext cx="527431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58.9pt;height:0.75pt;width:415.3pt;mso-position-horizontal-relative:page;mso-position-vertical-relative:page;z-index:251662336;mso-width-relative:page;mso-height-relative:page;" fillcolor="#000000" filled="t" stroked="f" coordsize="21600,21600" o:allowincell="f" o:gfxdata="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wf&#10;pqLZAAAADAEAAA8AAAAAAAAAAQAgAAAAIgAAAGRycy9kb3ducmV2LnhtbFBLAQIUABQAAAAIAIdO&#10;4kAaCVplsAEAAF8DAAAOAAAAAAAAAAEAIAAAACgBAABkcnMvZTJvRG9jLnhtbFBLBQYAAAAABgAG&#10;AFkBAABKBQAAAAA=&#10;">
              <v:fill on="t" focussize="0,0"/>
              <v:stroke on="f"/>
              <v:imagedata o:title=""/>
              <o:lock v:ext="edit" aspectratio="f"/>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Calibri"/>
        <w:sz w:val="2"/>
      </w:rPr>
    </w:pPr>
    <w:r>
      <mc:AlternateContent>
        <mc:Choice Requires="wps">
          <w:drawing>
            <wp:anchor distT="0" distB="0" distL="114300" distR="114300" simplePos="0" relativeHeight="251663360" behindDoc="0" locked="0" layoutInCell="0" allowOverlap="1">
              <wp:simplePos x="0" y="0"/>
              <wp:positionH relativeFrom="page">
                <wp:posOffset>1143000</wp:posOffset>
              </wp:positionH>
              <wp:positionV relativeFrom="page">
                <wp:posOffset>748030</wp:posOffset>
              </wp:positionV>
              <wp:extent cx="5274310" cy="9525"/>
              <wp:effectExtent l="0" t="0" r="0" b="0"/>
              <wp:wrapNone/>
              <wp:docPr id="34" name="矩形 34"/>
              <wp:cNvGraphicFramePr/>
              <a:graphic xmlns:a="http://schemas.openxmlformats.org/drawingml/2006/main">
                <a:graphicData uri="http://schemas.microsoft.com/office/word/2010/wordprocessingShape">
                  <wps:wsp>
                    <wps:cNvSpPr/>
                    <wps:spPr>
                      <a:xfrm>
                        <a:off x="0" y="0"/>
                        <a:ext cx="527431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58.9pt;height:0.75pt;width:415.3pt;mso-position-horizontal-relative:page;mso-position-vertical-relative:page;z-index:251663360;mso-width-relative:page;mso-height-relative:page;" fillcolor="#000000" filled="t" stroked="f" coordsize="21600,21600" o:allowincell="f" o:gfxdata="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B+m&#10;otkAAAAMAQAADwAAAAAAAAABACAAAAAiAAAAZHJzL2Rvd25yZXYueG1sUEsBAhQAFAAAAAgAh07i&#10;QAHEPYWvAQAAXwMAAA4AAAAAAAAAAQAgAAAAKAEAAGRycy9lMm9Eb2MueG1sUEsFBgAAAAAGAAYA&#10;WQEAAEkFAAAAAA==&#10;">
              <v:fill on="t" focussize="0,0"/>
              <v:stroke on="f"/>
              <v:imagedata o:title=""/>
              <o:lock v:ext="edit" aspectratio="f"/>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Calibri"/>
        <w:sz w:val="2"/>
      </w:rPr>
    </w:pPr>
    <w:r>
      <mc:AlternateContent>
        <mc:Choice Requires="wps">
          <w:drawing>
            <wp:anchor distT="0" distB="0" distL="114300" distR="114300" simplePos="0" relativeHeight="251664384" behindDoc="0" locked="0" layoutInCell="0" allowOverlap="1">
              <wp:simplePos x="0" y="0"/>
              <wp:positionH relativeFrom="page">
                <wp:posOffset>1143000</wp:posOffset>
              </wp:positionH>
              <wp:positionV relativeFrom="page">
                <wp:posOffset>748030</wp:posOffset>
              </wp:positionV>
              <wp:extent cx="5274310" cy="9525"/>
              <wp:effectExtent l="0" t="0" r="0" b="0"/>
              <wp:wrapNone/>
              <wp:docPr id="35" name="矩形 35"/>
              <wp:cNvGraphicFramePr/>
              <a:graphic xmlns:a="http://schemas.openxmlformats.org/drawingml/2006/main">
                <a:graphicData uri="http://schemas.microsoft.com/office/word/2010/wordprocessingShape">
                  <wps:wsp>
                    <wps:cNvSpPr/>
                    <wps:spPr>
                      <a:xfrm>
                        <a:off x="0" y="0"/>
                        <a:ext cx="527431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58.9pt;height:0.75pt;width:415.3pt;mso-position-horizontal-relative:page;mso-position-vertical-relative:page;z-index:251664384;mso-width-relative:page;mso-height-relative:page;" fillcolor="#000000" filled="t" stroked="f" coordsize="21600,21600" o:allowincell="f" o:gfxdata="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wf&#10;pqLZAAAADAEAAA8AAAAAAAAAAQAgAAAAIgAAAGRycy9kb3ducmV2LnhtbFBLAQIUABQAAAAIAIdO&#10;4kDHnM8XsAEAAF8DAAAOAAAAAAAAAAEAIAAAACgBAABkcnMvZTJvRG9jLnhtbFBLBQYAAAAABgAG&#10;AFkBAABKBQ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1BE38"/>
    <w:multiLevelType w:val="singleLevel"/>
    <w:tmpl w:val="87B1BE38"/>
    <w:lvl w:ilvl="0" w:tentative="0">
      <w:start w:val="54"/>
      <w:numFmt w:val="decimal"/>
      <w:suff w:val="nothing"/>
      <w:lvlText w:val="%1、"/>
      <w:lvlJc w:val="left"/>
    </w:lvl>
  </w:abstractNum>
  <w:abstractNum w:abstractNumId="1">
    <w:nsid w:val="8BC265B1"/>
    <w:multiLevelType w:val="singleLevel"/>
    <w:tmpl w:val="8BC265B1"/>
    <w:lvl w:ilvl="0" w:tentative="0">
      <w:start w:val="11"/>
      <w:numFmt w:val="chineseCounting"/>
      <w:suff w:val="nothing"/>
      <w:lvlText w:val="%1、"/>
      <w:lvlJc w:val="left"/>
      <w:rPr>
        <w:rFonts w:hint="eastAsia"/>
      </w:rPr>
    </w:lvl>
  </w:abstractNum>
  <w:abstractNum w:abstractNumId="2">
    <w:nsid w:val="C8A2B976"/>
    <w:multiLevelType w:val="singleLevel"/>
    <w:tmpl w:val="C8A2B976"/>
    <w:lvl w:ilvl="0" w:tentative="0">
      <w:start w:val="2"/>
      <w:numFmt w:val="decimal"/>
      <w:lvlText w:val="%1."/>
      <w:lvlJc w:val="left"/>
      <w:pPr>
        <w:tabs>
          <w:tab w:val="left" w:pos="312"/>
        </w:tabs>
      </w:pPr>
    </w:lvl>
  </w:abstractNum>
  <w:abstractNum w:abstractNumId="3">
    <w:nsid w:val="CE205C2D"/>
    <w:multiLevelType w:val="singleLevel"/>
    <w:tmpl w:val="CE205C2D"/>
    <w:lvl w:ilvl="0" w:tentative="0">
      <w:start w:val="62"/>
      <w:numFmt w:val="decimal"/>
      <w:suff w:val="nothing"/>
      <w:lvlText w:val="%1、"/>
      <w:lvlJc w:val="left"/>
    </w:lvl>
  </w:abstractNum>
  <w:abstractNum w:abstractNumId="4">
    <w:nsid w:val="D6D6624F"/>
    <w:multiLevelType w:val="singleLevel"/>
    <w:tmpl w:val="D6D6624F"/>
    <w:lvl w:ilvl="0" w:tentative="0">
      <w:start w:val="1"/>
      <w:numFmt w:val="chineseCounting"/>
      <w:suff w:val="nothing"/>
      <w:lvlText w:val="%1、"/>
      <w:lvlJc w:val="left"/>
      <w:rPr>
        <w:rFonts w:hint="eastAsia"/>
      </w:rPr>
    </w:lvl>
  </w:abstractNum>
  <w:abstractNum w:abstractNumId="5">
    <w:nsid w:val="E6D0450D"/>
    <w:multiLevelType w:val="singleLevel"/>
    <w:tmpl w:val="E6D0450D"/>
    <w:lvl w:ilvl="0" w:tentative="0">
      <w:start w:val="1"/>
      <w:numFmt w:val="decimal"/>
      <w:suff w:val="nothing"/>
      <w:lvlText w:val="%1、"/>
      <w:lvlJc w:val="left"/>
    </w:lvl>
  </w:abstractNum>
  <w:abstractNum w:abstractNumId="6">
    <w:nsid w:val="EB776FE9"/>
    <w:multiLevelType w:val="singleLevel"/>
    <w:tmpl w:val="EB776FE9"/>
    <w:lvl w:ilvl="0" w:tentative="0">
      <w:start w:val="2"/>
      <w:numFmt w:val="chineseCounting"/>
      <w:suff w:val="nothing"/>
      <w:lvlText w:val="%1、"/>
      <w:lvlJc w:val="left"/>
      <w:rPr>
        <w:rFonts w:hint="eastAsia"/>
      </w:rPr>
    </w:lvl>
  </w:abstractNum>
  <w:abstractNum w:abstractNumId="7">
    <w:nsid w:val="FBBC9188"/>
    <w:multiLevelType w:val="singleLevel"/>
    <w:tmpl w:val="FBBC9188"/>
    <w:lvl w:ilvl="0" w:tentative="0">
      <w:start w:val="1"/>
      <w:numFmt w:val="decimal"/>
      <w:suff w:val="nothing"/>
      <w:lvlText w:val="%1、"/>
      <w:lvlJc w:val="left"/>
    </w:lvl>
  </w:abstractNum>
  <w:abstractNum w:abstractNumId="8">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A807349"/>
    <w:multiLevelType w:val="multilevel"/>
    <w:tmpl w:val="0A80734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130E8C9C"/>
    <w:multiLevelType w:val="singleLevel"/>
    <w:tmpl w:val="130E8C9C"/>
    <w:lvl w:ilvl="0" w:tentative="0">
      <w:start w:val="25"/>
      <w:numFmt w:val="decimal"/>
      <w:suff w:val="nothing"/>
      <w:lvlText w:val="%1、"/>
      <w:lvlJc w:val="left"/>
    </w:lvl>
  </w:abstractNum>
  <w:abstractNum w:abstractNumId="12">
    <w:nsid w:val="17BB4742"/>
    <w:multiLevelType w:val="singleLevel"/>
    <w:tmpl w:val="17BB4742"/>
    <w:lvl w:ilvl="0" w:tentative="0">
      <w:start w:val="1"/>
      <w:numFmt w:val="decimal"/>
      <w:lvlText w:val="%1."/>
      <w:lvlJc w:val="left"/>
      <w:pPr>
        <w:tabs>
          <w:tab w:val="left" w:pos="312"/>
        </w:tabs>
      </w:pPr>
    </w:lvl>
  </w:abstractNum>
  <w:abstractNum w:abstractNumId="13">
    <w:nsid w:val="1B246E06"/>
    <w:multiLevelType w:val="multilevel"/>
    <w:tmpl w:val="1B246E06"/>
    <w:lvl w:ilvl="0" w:tentative="0">
      <w:start w:val="1"/>
      <w:numFmt w:val="japaneseCounting"/>
      <w:lvlText w:val="%1、"/>
      <w:lvlJc w:val="left"/>
      <w:pPr>
        <w:ind w:left="1206" w:hanging="720"/>
      </w:pPr>
      <w:rPr>
        <w:rFonts w:hint="default"/>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4">
    <w:nsid w:val="1C5C2941"/>
    <w:multiLevelType w:val="multilevel"/>
    <w:tmpl w:val="1C5C2941"/>
    <w:lvl w:ilvl="0" w:tentative="0">
      <w:start w:val="1"/>
      <w:numFmt w:val="japaneseCounting"/>
      <w:lvlText w:val="%1、"/>
      <w:lvlJc w:val="left"/>
      <w:pPr>
        <w:ind w:left="2000" w:hanging="72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5">
    <w:nsid w:val="248F8166"/>
    <w:multiLevelType w:val="singleLevel"/>
    <w:tmpl w:val="248F8166"/>
    <w:lvl w:ilvl="0" w:tentative="0">
      <w:start w:val="5"/>
      <w:numFmt w:val="chineseCounting"/>
      <w:suff w:val="nothing"/>
      <w:lvlText w:val="%1、"/>
      <w:lvlJc w:val="left"/>
      <w:rPr>
        <w:rFonts w:hint="eastAsia"/>
      </w:rPr>
    </w:lvl>
  </w:abstractNum>
  <w:abstractNum w:abstractNumId="16">
    <w:nsid w:val="26567281"/>
    <w:multiLevelType w:val="multilevel"/>
    <w:tmpl w:val="26567281"/>
    <w:lvl w:ilvl="0" w:tentative="0">
      <w:start w:val="1"/>
      <w:numFmt w:val="decimal"/>
      <w:lvlText w:val="%1."/>
      <w:lvlJc w:val="left"/>
      <w:pPr>
        <w:ind w:left="958" w:hanging="420"/>
      </w:pPr>
    </w:lvl>
    <w:lvl w:ilvl="1" w:tentative="0">
      <w:start w:val="1"/>
      <w:numFmt w:val="chineseCountingThousand"/>
      <w:lvlText w:val="%2、"/>
      <w:lvlJc w:val="left"/>
      <w:pPr>
        <w:ind w:left="988" w:hanging="420"/>
      </w:pPr>
      <w:rPr>
        <w:rFonts w:hint="eastAsia"/>
        <w:lang w:val="en-US"/>
      </w:rPr>
    </w:lvl>
    <w:lvl w:ilvl="2" w:tentative="0">
      <w:start w:val="1"/>
      <w:numFmt w:val="decimal"/>
      <w:lvlText w:val="%3．"/>
      <w:lvlJc w:val="left"/>
      <w:pPr>
        <w:ind w:left="2098" w:hanging="720"/>
      </w:pPr>
    </w:lvl>
    <w:lvl w:ilvl="3" w:tentative="0">
      <w:start w:val="1"/>
      <w:numFmt w:val="decimal"/>
      <w:lvlText w:val="%4、"/>
      <w:lvlJc w:val="left"/>
      <w:pPr>
        <w:ind w:left="2158" w:hanging="360"/>
      </w:pPr>
      <w:rPr>
        <w:rFonts w:hint="default"/>
      </w:r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7">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8">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19">
    <w:nsid w:val="394E3612"/>
    <w:multiLevelType w:val="multilevel"/>
    <w:tmpl w:val="394E3612"/>
    <w:lvl w:ilvl="0" w:tentative="0">
      <w:start w:val="1"/>
      <w:numFmt w:val="chineseCountingThousand"/>
      <w:lvlText w:val="%1、"/>
      <w:lvlJc w:val="left"/>
      <w:pPr>
        <w:ind w:left="1555" w:hanging="420"/>
      </w:pPr>
      <w:rPr>
        <w:rFonts w:hint="eastAsia"/>
        <w:color w:val="auto"/>
        <w:sz w:val="28"/>
        <w:szCs w:val="28"/>
        <w:lang w:val="en-US"/>
      </w:rPr>
    </w:lvl>
    <w:lvl w:ilvl="1" w:tentative="0">
      <w:start w:val="1"/>
      <w:numFmt w:val="decimal"/>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20">
    <w:nsid w:val="3A7F4B0B"/>
    <w:multiLevelType w:val="multilevel"/>
    <w:tmpl w:val="3A7F4B0B"/>
    <w:lvl w:ilvl="0" w:tentative="0">
      <w:start w:val="1"/>
      <w:numFmt w:val="chineseCountingThousand"/>
      <w:lvlText w:val="%1、"/>
      <w:lvlJc w:val="left"/>
      <w:pPr>
        <w:ind w:left="960" w:hanging="420"/>
      </w:pPr>
      <w:rPr>
        <w:color w:val="auto"/>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21">
    <w:nsid w:val="443D2B39"/>
    <w:multiLevelType w:val="multilevel"/>
    <w:tmpl w:val="443D2B39"/>
    <w:lvl w:ilvl="0" w:tentative="0">
      <w:start w:val="1"/>
      <w:numFmt w:val="chineseCountingThousand"/>
      <w:lvlText w:val="%1、"/>
      <w:lvlJc w:val="left"/>
      <w:pPr>
        <w:ind w:left="988" w:hanging="420"/>
      </w:pPr>
      <w:rPr>
        <w:rFonts w:hint="eastAsia" w:ascii="宋体" w:hAnsi="宋体" w:eastAsia="宋体"/>
        <w:i w:val="0"/>
        <w:sz w:val="28"/>
        <w:szCs w:val="28"/>
      </w:rPr>
    </w:lvl>
    <w:lvl w:ilvl="1" w:tentative="0">
      <w:start w:val="1"/>
      <w:numFmt w:val="lowerLetter"/>
      <w:lvlText w:val="%2)"/>
      <w:lvlJc w:val="left"/>
      <w:pPr>
        <w:ind w:left="482" w:hanging="420"/>
      </w:pPr>
    </w:lvl>
    <w:lvl w:ilvl="2" w:tentative="0">
      <w:start w:val="1"/>
      <w:numFmt w:val="lowerRoman"/>
      <w:lvlText w:val="%3."/>
      <w:lvlJc w:val="right"/>
      <w:pPr>
        <w:ind w:left="902" w:hanging="420"/>
      </w:pPr>
    </w:lvl>
    <w:lvl w:ilvl="3" w:tentative="0">
      <w:start w:val="1"/>
      <w:numFmt w:val="decimal"/>
      <w:lvlText w:val="%4."/>
      <w:lvlJc w:val="left"/>
      <w:pPr>
        <w:ind w:left="1322" w:hanging="420"/>
      </w:pPr>
    </w:lvl>
    <w:lvl w:ilvl="4" w:tentative="0">
      <w:start w:val="1"/>
      <w:numFmt w:val="lowerLetter"/>
      <w:lvlText w:val="%5)"/>
      <w:lvlJc w:val="left"/>
      <w:pPr>
        <w:ind w:left="1742" w:hanging="420"/>
      </w:pPr>
    </w:lvl>
    <w:lvl w:ilvl="5" w:tentative="0">
      <w:start w:val="1"/>
      <w:numFmt w:val="lowerRoman"/>
      <w:lvlText w:val="%6."/>
      <w:lvlJc w:val="right"/>
      <w:pPr>
        <w:ind w:left="2162" w:hanging="420"/>
      </w:pPr>
    </w:lvl>
    <w:lvl w:ilvl="6" w:tentative="0">
      <w:start w:val="1"/>
      <w:numFmt w:val="decimal"/>
      <w:lvlText w:val="%7."/>
      <w:lvlJc w:val="left"/>
      <w:pPr>
        <w:ind w:left="2582" w:hanging="420"/>
      </w:pPr>
    </w:lvl>
    <w:lvl w:ilvl="7" w:tentative="0">
      <w:start w:val="1"/>
      <w:numFmt w:val="lowerLetter"/>
      <w:lvlText w:val="%8)"/>
      <w:lvlJc w:val="left"/>
      <w:pPr>
        <w:ind w:left="3002" w:hanging="420"/>
      </w:pPr>
    </w:lvl>
    <w:lvl w:ilvl="8" w:tentative="0">
      <w:start w:val="1"/>
      <w:numFmt w:val="lowerRoman"/>
      <w:lvlText w:val="%9."/>
      <w:lvlJc w:val="right"/>
      <w:pPr>
        <w:ind w:left="3422" w:hanging="420"/>
      </w:pPr>
    </w:lvl>
  </w:abstractNum>
  <w:abstractNum w:abstractNumId="22">
    <w:nsid w:val="4C72071B"/>
    <w:multiLevelType w:val="multilevel"/>
    <w:tmpl w:val="4C72071B"/>
    <w:lvl w:ilvl="0" w:tentative="0">
      <w:start w:val="1"/>
      <w:numFmt w:val="chineseCountingThousand"/>
      <w:lvlText w:val="%1、"/>
      <w:lvlJc w:val="left"/>
      <w:pPr>
        <w:ind w:left="986"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3">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4">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5C1C6488"/>
    <w:multiLevelType w:val="multilevel"/>
    <w:tmpl w:val="5C1C6488"/>
    <w:lvl w:ilvl="0" w:tentative="0">
      <w:start w:val="1"/>
      <w:numFmt w:val="chineseCountingThousand"/>
      <w:lvlText w:val="(%1)"/>
      <w:lvlJc w:val="left"/>
      <w:pPr>
        <w:ind w:left="986" w:hanging="420"/>
      </w:pPr>
    </w:lvl>
    <w:lvl w:ilvl="1" w:tentative="0">
      <w:start w:val="1"/>
      <w:numFmt w:val="chineseCountingThousand"/>
      <w:lvlText w:val="(%2)"/>
      <w:lvlJc w:val="left"/>
      <w:pPr>
        <w:ind w:left="2547" w:hanging="420"/>
      </w:pPr>
      <w:rPr>
        <w:rFonts w:ascii="宋体" w:hAnsi="宋体" w:eastAsia="宋体"/>
        <w:color w:val="auto"/>
      </w:rPr>
    </w:lvl>
    <w:lvl w:ilvl="2" w:tentative="0">
      <w:start w:val="1"/>
      <w:numFmt w:val="decimalEnclosedFullstop"/>
      <w:lvlText w:val="%3"/>
      <w:lvlJc w:val="left"/>
      <w:pPr>
        <w:ind w:left="1766" w:hanging="360"/>
      </w:pPr>
      <w:rPr>
        <w:rFonts w:hint="default"/>
      </w:r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6">
    <w:nsid w:val="63993E75"/>
    <w:multiLevelType w:val="multilevel"/>
    <w:tmpl w:val="63993E75"/>
    <w:lvl w:ilvl="0" w:tentative="0">
      <w:start w:val="1"/>
      <w:numFmt w:val="japaneseCounting"/>
      <w:lvlText w:val="（%1）"/>
      <w:lvlJc w:val="left"/>
      <w:pPr>
        <w:ind w:left="1415" w:hanging="855"/>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7">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28">
    <w:nsid w:val="69842B3E"/>
    <w:multiLevelType w:val="multilevel"/>
    <w:tmpl w:val="69842B3E"/>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A47046A"/>
    <w:multiLevelType w:val="multilevel"/>
    <w:tmpl w:val="6A47046A"/>
    <w:lvl w:ilvl="0" w:tentative="0">
      <w:start w:val="1"/>
      <w:numFmt w:val="chineseCountingThousand"/>
      <w:lvlText w:val="%1、"/>
      <w:lvlJc w:val="left"/>
      <w:pPr>
        <w:ind w:left="1271" w:hanging="420"/>
      </w:pPr>
      <w:rPr>
        <w:rFonts w:hint="eastAsia"/>
        <w:i w:val="0"/>
        <w:sz w:val="28"/>
        <w:szCs w:val="28"/>
      </w:rPr>
    </w:lvl>
    <w:lvl w:ilvl="1" w:tentative="0">
      <w:start w:val="1"/>
      <w:numFmt w:val="lowerLetter"/>
      <w:lvlText w:val="%2)"/>
      <w:lvlJc w:val="left"/>
      <w:pPr>
        <w:ind w:left="1049" w:hanging="420"/>
      </w:pPr>
    </w:lvl>
    <w:lvl w:ilvl="2" w:tentative="0">
      <w:start w:val="1"/>
      <w:numFmt w:val="lowerRoman"/>
      <w:lvlText w:val="%3."/>
      <w:lvlJc w:val="right"/>
      <w:pPr>
        <w:ind w:left="1469" w:hanging="420"/>
      </w:pPr>
    </w:lvl>
    <w:lvl w:ilvl="3" w:tentative="0">
      <w:start w:val="1"/>
      <w:numFmt w:val="decimal"/>
      <w:lvlText w:val="%4."/>
      <w:lvlJc w:val="left"/>
      <w:pPr>
        <w:ind w:left="1889" w:hanging="420"/>
      </w:pPr>
    </w:lvl>
    <w:lvl w:ilvl="4" w:tentative="0">
      <w:start w:val="1"/>
      <w:numFmt w:val="lowerLetter"/>
      <w:lvlText w:val="%5)"/>
      <w:lvlJc w:val="left"/>
      <w:pPr>
        <w:ind w:left="2309" w:hanging="420"/>
      </w:pPr>
    </w:lvl>
    <w:lvl w:ilvl="5" w:tentative="0">
      <w:start w:val="1"/>
      <w:numFmt w:val="lowerRoman"/>
      <w:lvlText w:val="%6."/>
      <w:lvlJc w:val="right"/>
      <w:pPr>
        <w:ind w:left="2729" w:hanging="420"/>
      </w:pPr>
    </w:lvl>
    <w:lvl w:ilvl="6" w:tentative="0">
      <w:start w:val="1"/>
      <w:numFmt w:val="decimal"/>
      <w:lvlText w:val="%7."/>
      <w:lvlJc w:val="left"/>
      <w:pPr>
        <w:ind w:left="3149" w:hanging="420"/>
      </w:pPr>
    </w:lvl>
    <w:lvl w:ilvl="7" w:tentative="0">
      <w:start w:val="1"/>
      <w:numFmt w:val="lowerLetter"/>
      <w:lvlText w:val="%8)"/>
      <w:lvlJc w:val="left"/>
      <w:pPr>
        <w:ind w:left="3569" w:hanging="420"/>
      </w:pPr>
    </w:lvl>
    <w:lvl w:ilvl="8" w:tentative="0">
      <w:start w:val="1"/>
      <w:numFmt w:val="lowerRoman"/>
      <w:lvlText w:val="%9."/>
      <w:lvlJc w:val="right"/>
      <w:pPr>
        <w:ind w:left="3989" w:hanging="420"/>
      </w:pPr>
    </w:lvl>
  </w:abstractNum>
  <w:abstractNum w:abstractNumId="30">
    <w:nsid w:val="78645AC5"/>
    <w:multiLevelType w:val="multilevel"/>
    <w:tmpl w:val="78645AC5"/>
    <w:lvl w:ilvl="0" w:tentative="0">
      <w:start w:val="2"/>
      <w:numFmt w:val="japaneseCounting"/>
      <w:lvlText w:val="%1、"/>
      <w:lvlJc w:val="left"/>
      <w:pPr>
        <w:ind w:left="1280" w:hanging="720"/>
      </w:pPr>
    </w:lvl>
    <w:lvl w:ilvl="1" w:tentative="0">
      <w:start w:val="1"/>
      <w:numFmt w:val="japaneseCounting"/>
      <w:lvlText w:val="（%2）"/>
      <w:lvlJc w:val="left"/>
      <w:pPr>
        <w:ind w:left="1820" w:hanging="84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1">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6"/>
  </w:num>
  <w:num w:numId="2">
    <w:abstractNumId w:val="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7"/>
  </w:num>
  <w:num w:numId="11">
    <w:abstractNumId w:val="2"/>
  </w:num>
  <w:num w:numId="12">
    <w:abstractNumId w:val="13"/>
  </w:num>
  <w:num w:numId="13">
    <w:abstractNumId w:val="11"/>
  </w:num>
  <w:num w:numId="14">
    <w:abstractNumId w:val="0"/>
  </w:num>
  <w:num w:numId="15">
    <w:abstractNumId w:val="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2"/>
  </w:num>
  <w:num w:numId="30">
    <w:abstractNumId w:val="5"/>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BA"/>
    <w:rsid w:val="00013EAD"/>
    <w:rsid w:val="000456E4"/>
    <w:rsid w:val="00046050"/>
    <w:rsid w:val="000544A0"/>
    <w:rsid w:val="00061F3D"/>
    <w:rsid w:val="000704FC"/>
    <w:rsid w:val="00074024"/>
    <w:rsid w:val="0008623B"/>
    <w:rsid w:val="00092C63"/>
    <w:rsid w:val="000939EC"/>
    <w:rsid w:val="000A0760"/>
    <w:rsid w:val="000D47AE"/>
    <w:rsid w:val="000E05F9"/>
    <w:rsid w:val="000E0CF0"/>
    <w:rsid w:val="000E4902"/>
    <w:rsid w:val="000F449A"/>
    <w:rsid w:val="00100034"/>
    <w:rsid w:val="00106148"/>
    <w:rsid w:val="00106EED"/>
    <w:rsid w:val="00112C79"/>
    <w:rsid w:val="00114571"/>
    <w:rsid w:val="00115101"/>
    <w:rsid w:val="00132E3E"/>
    <w:rsid w:val="00142630"/>
    <w:rsid w:val="00157CF8"/>
    <w:rsid w:val="00165D94"/>
    <w:rsid w:val="00180C55"/>
    <w:rsid w:val="00182149"/>
    <w:rsid w:val="00195A27"/>
    <w:rsid w:val="001A1990"/>
    <w:rsid w:val="001B2D72"/>
    <w:rsid w:val="001B6BC9"/>
    <w:rsid w:val="001C3734"/>
    <w:rsid w:val="001E4BC6"/>
    <w:rsid w:val="002048DE"/>
    <w:rsid w:val="00237DA5"/>
    <w:rsid w:val="00247E2F"/>
    <w:rsid w:val="00263438"/>
    <w:rsid w:val="0026550C"/>
    <w:rsid w:val="00272D80"/>
    <w:rsid w:val="002743E5"/>
    <w:rsid w:val="00281320"/>
    <w:rsid w:val="00294ABB"/>
    <w:rsid w:val="002A0702"/>
    <w:rsid w:val="002B11BC"/>
    <w:rsid w:val="002C4D48"/>
    <w:rsid w:val="002D1AC7"/>
    <w:rsid w:val="002D48EF"/>
    <w:rsid w:val="002E62A1"/>
    <w:rsid w:val="002F2D73"/>
    <w:rsid w:val="002F2ED1"/>
    <w:rsid w:val="002F39C5"/>
    <w:rsid w:val="002F4470"/>
    <w:rsid w:val="00300F79"/>
    <w:rsid w:val="00306793"/>
    <w:rsid w:val="003207EE"/>
    <w:rsid w:val="00343DAA"/>
    <w:rsid w:val="003458E7"/>
    <w:rsid w:val="003506F6"/>
    <w:rsid w:val="00361336"/>
    <w:rsid w:val="003729B1"/>
    <w:rsid w:val="00373FB8"/>
    <w:rsid w:val="003A4610"/>
    <w:rsid w:val="003A5BEA"/>
    <w:rsid w:val="003A67BD"/>
    <w:rsid w:val="003C03AC"/>
    <w:rsid w:val="003C4545"/>
    <w:rsid w:val="003C6BD8"/>
    <w:rsid w:val="003E11D7"/>
    <w:rsid w:val="004304A9"/>
    <w:rsid w:val="004437C4"/>
    <w:rsid w:val="0044565D"/>
    <w:rsid w:val="0046057A"/>
    <w:rsid w:val="0047391E"/>
    <w:rsid w:val="0047633C"/>
    <w:rsid w:val="00481883"/>
    <w:rsid w:val="00495FD0"/>
    <w:rsid w:val="004970AD"/>
    <w:rsid w:val="004974ED"/>
    <w:rsid w:val="004A5069"/>
    <w:rsid w:val="004B4C87"/>
    <w:rsid w:val="004C2DBD"/>
    <w:rsid w:val="004C5DAE"/>
    <w:rsid w:val="004C5DDC"/>
    <w:rsid w:val="004D0601"/>
    <w:rsid w:val="004E1E22"/>
    <w:rsid w:val="004F425A"/>
    <w:rsid w:val="004F5ECA"/>
    <w:rsid w:val="0050275D"/>
    <w:rsid w:val="005249D7"/>
    <w:rsid w:val="00525C76"/>
    <w:rsid w:val="00545899"/>
    <w:rsid w:val="00550316"/>
    <w:rsid w:val="00576359"/>
    <w:rsid w:val="005A4CF1"/>
    <w:rsid w:val="005B20EF"/>
    <w:rsid w:val="005B6EF6"/>
    <w:rsid w:val="005E122B"/>
    <w:rsid w:val="00634763"/>
    <w:rsid w:val="00681658"/>
    <w:rsid w:val="00687930"/>
    <w:rsid w:val="00693ACF"/>
    <w:rsid w:val="00697688"/>
    <w:rsid w:val="006A1325"/>
    <w:rsid w:val="006D7BE1"/>
    <w:rsid w:val="006E7D22"/>
    <w:rsid w:val="007209F9"/>
    <w:rsid w:val="0072343B"/>
    <w:rsid w:val="007266A1"/>
    <w:rsid w:val="00766849"/>
    <w:rsid w:val="00770BC1"/>
    <w:rsid w:val="0077556A"/>
    <w:rsid w:val="00781F88"/>
    <w:rsid w:val="0078388D"/>
    <w:rsid w:val="007A56F7"/>
    <w:rsid w:val="007C7749"/>
    <w:rsid w:val="007D775D"/>
    <w:rsid w:val="007E6973"/>
    <w:rsid w:val="007F28FD"/>
    <w:rsid w:val="0080199C"/>
    <w:rsid w:val="008035DC"/>
    <w:rsid w:val="008105A0"/>
    <w:rsid w:val="00813DA3"/>
    <w:rsid w:val="00827094"/>
    <w:rsid w:val="00827AFC"/>
    <w:rsid w:val="008366F2"/>
    <w:rsid w:val="00855086"/>
    <w:rsid w:val="0086660F"/>
    <w:rsid w:val="0087035F"/>
    <w:rsid w:val="00872063"/>
    <w:rsid w:val="00880FA4"/>
    <w:rsid w:val="008841B0"/>
    <w:rsid w:val="00892FC0"/>
    <w:rsid w:val="008B176B"/>
    <w:rsid w:val="008B1EDE"/>
    <w:rsid w:val="008B1FD4"/>
    <w:rsid w:val="00914B58"/>
    <w:rsid w:val="009307CA"/>
    <w:rsid w:val="00943F1B"/>
    <w:rsid w:val="00953782"/>
    <w:rsid w:val="00980A53"/>
    <w:rsid w:val="009A6B94"/>
    <w:rsid w:val="009C59DD"/>
    <w:rsid w:val="009D3368"/>
    <w:rsid w:val="009E1F8B"/>
    <w:rsid w:val="009F22B7"/>
    <w:rsid w:val="00A0336C"/>
    <w:rsid w:val="00A04394"/>
    <w:rsid w:val="00A06E89"/>
    <w:rsid w:val="00A15D57"/>
    <w:rsid w:val="00A25BA5"/>
    <w:rsid w:val="00A26175"/>
    <w:rsid w:val="00A302D4"/>
    <w:rsid w:val="00A4524B"/>
    <w:rsid w:val="00A64A8C"/>
    <w:rsid w:val="00A66EAD"/>
    <w:rsid w:val="00A719E7"/>
    <w:rsid w:val="00A8467E"/>
    <w:rsid w:val="00AC0E05"/>
    <w:rsid w:val="00AC2793"/>
    <w:rsid w:val="00AC5879"/>
    <w:rsid w:val="00AC70CC"/>
    <w:rsid w:val="00AD27F4"/>
    <w:rsid w:val="00AD6EDE"/>
    <w:rsid w:val="00AF3AC8"/>
    <w:rsid w:val="00B00E89"/>
    <w:rsid w:val="00B04460"/>
    <w:rsid w:val="00B112CF"/>
    <w:rsid w:val="00B13DE5"/>
    <w:rsid w:val="00B2001E"/>
    <w:rsid w:val="00B21D05"/>
    <w:rsid w:val="00B25342"/>
    <w:rsid w:val="00B35C66"/>
    <w:rsid w:val="00B5378E"/>
    <w:rsid w:val="00B7059B"/>
    <w:rsid w:val="00B73D4C"/>
    <w:rsid w:val="00B969BA"/>
    <w:rsid w:val="00BE2681"/>
    <w:rsid w:val="00BF021C"/>
    <w:rsid w:val="00C0100E"/>
    <w:rsid w:val="00C11E2B"/>
    <w:rsid w:val="00C17FEE"/>
    <w:rsid w:val="00C2727F"/>
    <w:rsid w:val="00C30B2A"/>
    <w:rsid w:val="00C4704B"/>
    <w:rsid w:val="00C778E5"/>
    <w:rsid w:val="00C927FA"/>
    <w:rsid w:val="00CB0C9E"/>
    <w:rsid w:val="00CC70DB"/>
    <w:rsid w:val="00CD69C9"/>
    <w:rsid w:val="00CE0F85"/>
    <w:rsid w:val="00D02B87"/>
    <w:rsid w:val="00D03142"/>
    <w:rsid w:val="00D05DB4"/>
    <w:rsid w:val="00D17D3D"/>
    <w:rsid w:val="00D25DCA"/>
    <w:rsid w:val="00D47055"/>
    <w:rsid w:val="00D47071"/>
    <w:rsid w:val="00D526CE"/>
    <w:rsid w:val="00D62998"/>
    <w:rsid w:val="00D87E23"/>
    <w:rsid w:val="00DA45A8"/>
    <w:rsid w:val="00DA7254"/>
    <w:rsid w:val="00DC239F"/>
    <w:rsid w:val="00DE23EA"/>
    <w:rsid w:val="00DE4EBA"/>
    <w:rsid w:val="00E00991"/>
    <w:rsid w:val="00E00AD6"/>
    <w:rsid w:val="00E051AD"/>
    <w:rsid w:val="00E0584D"/>
    <w:rsid w:val="00E12192"/>
    <w:rsid w:val="00E218AA"/>
    <w:rsid w:val="00E33BE3"/>
    <w:rsid w:val="00E33DF9"/>
    <w:rsid w:val="00E42F89"/>
    <w:rsid w:val="00E557FE"/>
    <w:rsid w:val="00E80159"/>
    <w:rsid w:val="00E84BCE"/>
    <w:rsid w:val="00E86293"/>
    <w:rsid w:val="00E91569"/>
    <w:rsid w:val="00EA385E"/>
    <w:rsid w:val="00EA5883"/>
    <w:rsid w:val="00EB7723"/>
    <w:rsid w:val="00ED6621"/>
    <w:rsid w:val="00EE1312"/>
    <w:rsid w:val="00EE1356"/>
    <w:rsid w:val="00EE4D31"/>
    <w:rsid w:val="00EF5CBE"/>
    <w:rsid w:val="00EF5FDA"/>
    <w:rsid w:val="00F043DB"/>
    <w:rsid w:val="00F25822"/>
    <w:rsid w:val="00F274DB"/>
    <w:rsid w:val="00F348CD"/>
    <w:rsid w:val="00F5063F"/>
    <w:rsid w:val="00F50CCE"/>
    <w:rsid w:val="00F913F3"/>
    <w:rsid w:val="00F91EE7"/>
    <w:rsid w:val="00FB3021"/>
    <w:rsid w:val="00FC51B9"/>
    <w:rsid w:val="00FD2E79"/>
    <w:rsid w:val="00FD52A1"/>
    <w:rsid w:val="00FD573E"/>
    <w:rsid w:val="00FF37C7"/>
    <w:rsid w:val="00FF4C15"/>
    <w:rsid w:val="01BF34B2"/>
    <w:rsid w:val="01D35131"/>
    <w:rsid w:val="02457F27"/>
    <w:rsid w:val="02C50EDE"/>
    <w:rsid w:val="030B39B7"/>
    <w:rsid w:val="03102154"/>
    <w:rsid w:val="03444C64"/>
    <w:rsid w:val="03521DBF"/>
    <w:rsid w:val="03A529F8"/>
    <w:rsid w:val="03D9563C"/>
    <w:rsid w:val="03FB2BD1"/>
    <w:rsid w:val="048B6C97"/>
    <w:rsid w:val="04A37FF5"/>
    <w:rsid w:val="05855309"/>
    <w:rsid w:val="06681CBB"/>
    <w:rsid w:val="07CE6015"/>
    <w:rsid w:val="07E30179"/>
    <w:rsid w:val="080E6F15"/>
    <w:rsid w:val="08350491"/>
    <w:rsid w:val="08F8593B"/>
    <w:rsid w:val="098C5EBA"/>
    <w:rsid w:val="09DF492A"/>
    <w:rsid w:val="09E11AE2"/>
    <w:rsid w:val="0B7A220B"/>
    <w:rsid w:val="0BE8237F"/>
    <w:rsid w:val="0C645A57"/>
    <w:rsid w:val="0C7E0E94"/>
    <w:rsid w:val="0C8A7DD2"/>
    <w:rsid w:val="0CD71A0F"/>
    <w:rsid w:val="0D2569E4"/>
    <w:rsid w:val="0D480B01"/>
    <w:rsid w:val="0D5910DE"/>
    <w:rsid w:val="0DBA5523"/>
    <w:rsid w:val="0DDD5C46"/>
    <w:rsid w:val="0DFB20AA"/>
    <w:rsid w:val="0E35425C"/>
    <w:rsid w:val="0E682C64"/>
    <w:rsid w:val="0E741CD0"/>
    <w:rsid w:val="0F61738A"/>
    <w:rsid w:val="0F6D6189"/>
    <w:rsid w:val="0FE54120"/>
    <w:rsid w:val="0FEA4520"/>
    <w:rsid w:val="10103044"/>
    <w:rsid w:val="1049519C"/>
    <w:rsid w:val="10577410"/>
    <w:rsid w:val="10A1301B"/>
    <w:rsid w:val="10B826FA"/>
    <w:rsid w:val="11440F55"/>
    <w:rsid w:val="11842F5F"/>
    <w:rsid w:val="11B05E8B"/>
    <w:rsid w:val="11D37A5E"/>
    <w:rsid w:val="124950C8"/>
    <w:rsid w:val="126029B1"/>
    <w:rsid w:val="12607B17"/>
    <w:rsid w:val="12C058B4"/>
    <w:rsid w:val="131B51FB"/>
    <w:rsid w:val="13337971"/>
    <w:rsid w:val="13835DA3"/>
    <w:rsid w:val="14C52CEB"/>
    <w:rsid w:val="15845A6F"/>
    <w:rsid w:val="16822153"/>
    <w:rsid w:val="16E61167"/>
    <w:rsid w:val="17101F77"/>
    <w:rsid w:val="1743546C"/>
    <w:rsid w:val="176C2832"/>
    <w:rsid w:val="179C4083"/>
    <w:rsid w:val="18015CCB"/>
    <w:rsid w:val="1858568A"/>
    <w:rsid w:val="189F3318"/>
    <w:rsid w:val="18D7222B"/>
    <w:rsid w:val="191A1B70"/>
    <w:rsid w:val="19693313"/>
    <w:rsid w:val="1A296A41"/>
    <w:rsid w:val="1A4F78E6"/>
    <w:rsid w:val="1A5F3B02"/>
    <w:rsid w:val="1A6B4F14"/>
    <w:rsid w:val="1B6B1E6E"/>
    <w:rsid w:val="1C953C42"/>
    <w:rsid w:val="1D172F01"/>
    <w:rsid w:val="1DA92DB3"/>
    <w:rsid w:val="1DE06EE7"/>
    <w:rsid w:val="1DEA2587"/>
    <w:rsid w:val="1E867E23"/>
    <w:rsid w:val="1ED8758A"/>
    <w:rsid w:val="1F460EFC"/>
    <w:rsid w:val="1F6E384D"/>
    <w:rsid w:val="1F762D1C"/>
    <w:rsid w:val="1FE85338"/>
    <w:rsid w:val="202B2C6E"/>
    <w:rsid w:val="20770624"/>
    <w:rsid w:val="20995672"/>
    <w:rsid w:val="209A7378"/>
    <w:rsid w:val="20B10053"/>
    <w:rsid w:val="20F31379"/>
    <w:rsid w:val="211D3F6E"/>
    <w:rsid w:val="212E1B5E"/>
    <w:rsid w:val="21576EE5"/>
    <w:rsid w:val="228B5349"/>
    <w:rsid w:val="22ED218F"/>
    <w:rsid w:val="235E415F"/>
    <w:rsid w:val="23832395"/>
    <w:rsid w:val="238B19F3"/>
    <w:rsid w:val="23B9651E"/>
    <w:rsid w:val="23D96CFA"/>
    <w:rsid w:val="2463140E"/>
    <w:rsid w:val="24681D8C"/>
    <w:rsid w:val="24AF00C1"/>
    <w:rsid w:val="25310B18"/>
    <w:rsid w:val="25B2247A"/>
    <w:rsid w:val="25D10086"/>
    <w:rsid w:val="25E05250"/>
    <w:rsid w:val="27367042"/>
    <w:rsid w:val="27A452E4"/>
    <w:rsid w:val="27FC2F7D"/>
    <w:rsid w:val="28D930D3"/>
    <w:rsid w:val="28F117CD"/>
    <w:rsid w:val="299A59FA"/>
    <w:rsid w:val="29A77281"/>
    <w:rsid w:val="2A7C34CE"/>
    <w:rsid w:val="2A95442A"/>
    <w:rsid w:val="2A965922"/>
    <w:rsid w:val="2B240F6F"/>
    <w:rsid w:val="2BAC25E6"/>
    <w:rsid w:val="2BB8032C"/>
    <w:rsid w:val="2BC92AEB"/>
    <w:rsid w:val="2BE05AB5"/>
    <w:rsid w:val="2BFF682A"/>
    <w:rsid w:val="2C204410"/>
    <w:rsid w:val="2C92349A"/>
    <w:rsid w:val="2D0325EB"/>
    <w:rsid w:val="2D2D47E5"/>
    <w:rsid w:val="2E076C07"/>
    <w:rsid w:val="2E521658"/>
    <w:rsid w:val="2E5C0B4D"/>
    <w:rsid w:val="2EB7338A"/>
    <w:rsid w:val="300A0211"/>
    <w:rsid w:val="30173ADC"/>
    <w:rsid w:val="307D7E73"/>
    <w:rsid w:val="30815DF1"/>
    <w:rsid w:val="311E25EC"/>
    <w:rsid w:val="314809D6"/>
    <w:rsid w:val="31A55870"/>
    <w:rsid w:val="31BE51B8"/>
    <w:rsid w:val="31E73F35"/>
    <w:rsid w:val="31EF2445"/>
    <w:rsid w:val="321C2F8F"/>
    <w:rsid w:val="32514C35"/>
    <w:rsid w:val="3299752B"/>
    <w:rsid w:val="32A94A2C"/>
    <w:rsid w:val="32E807C2"/>
    <w:rsid w:val="32EF2D96"/>
    <w:rsid w:val="335D29F3"/>
    <w:rsid w:val="34136A82"/>
    <w:rsid w:val="34DC189D"/>
    <w:rsid w:val="34EC6F7C"/>
    <w:rsid w:val="3517258F"/>
    <w:rsid w:val="36614F5A"/>
    <w:rsid w:val="373374AF"/>
    <w:rsid w:val="375B6371"/>
    <w:rsid w:val="38257D55"/>
    <w:rsid w:val="38941A00"/>
    <w:rsid w:val="38EE07CC"/>
    <w:rsid w:val="3AB32010"/>
    <w:rsid w:val="3B72264E"/>
    <w:rsid w:val="3B74484F"/>
    <w:rsid w:val="3CFE6D7F"/>
    <w:rsid w:val="3D195582"/>
    <w:rsid w:val="3DB64991"/>
    <w:rsid w:val="3E54685C"/>
    <w:rsid w:val="3EEA58A1"/>
    <w:rsid w:val="3F527EFD"/>
    <w:rsid w:val="3FA31917"/>
    <w:rsid w:val="3FE37346"/>
    <w:rsid w:val="40164280"/>
    <w:rsid w:val="40DE4596"/>
    <w:rsid w:val="412F6E3B"/>
    <w:rsid w:val="414370B7"/>
    <w:rsid w:val="41441E6D"/>
    <w:rsid w:val="41865B62"/>
    <w:rsid w:val="42047688"/>
    <w:rsid w:val="423107B1"/>
    <w:rsid w:val="426C17ED"/>
    <w:rsid w:val="428950FF"/>
    <w:rsid w:val="428B0E78"/>
    <w:rsid w:val="42BB78D5"/>
    <w:rsid w:val="42F5688B"/>
    <w:rsid w:val="435F418F"/>
    <w:rsid w:val="4446096F"/>
    <w:rsid w:val="44AF7B6C"/>
    <w:rsid w:val="44F57226"/>
    <w:rsid w:val="4509195B"/>
    <w:rsid w:val="45CB26F4"/>
    <w:rsid w:val="45D10C28"/>
    <w:rsid w:val="45F975B0"/>
    <w:rsid w:val="461A7309"/>
    <w:rsid w:val="46255D96"/>
    <w:rsid w:val="463F615A"/>
    <w:rsid w:val="464E0672"/>
    <w:rsid w:val="46B11318"/>
    <w:rsid w:val="46DE096A"/>
    <w:rsid w:val="46E77832"/>
    <w:rsid w:val="46EC18CA"/>
    <w:rsid w:val="47C20D7E"/>
    <w:rsid w:val="47F303BB"/>
    <w:rsid w:val="481173AB"/>
    <w:rsid w:val="485721F0"/>
    <w:rsid w:val="48937526"/>
    <w:rsid w:val="48F413B8"/>
    <w:rsid w:val="497A69F0"/>
    <w:rsid w:val="49C51F17"/>
    <w:rsid w:val="4A162997"/>
    <w:rsid w:val="4A9473CE"/>
    <w:rsid w:val="4AC63DAE"/>
    <w:rsid w:val="4B107578"/>
    <w:rsid w:val="4BC20A87"/>
    <w:rsid w:val="4CD7172F"/>
    <w:rsid w:val="4D5000C5"/>
    <w:rsid w:val="4DD874DE"/>
    <w:rsid w:val="4E5C293F"/>
    <w:rsid w:val="4E6E0DE4"/>
    <w:rsid w:val="4EA249F9"/>
    <w:rsid w:val="4EEF2B51"/>
    <w:rsid w:val="4EF43167"/>
    <w:rsid w:val="4F6033CD"/>
    <w:rsid w:val="4F735C39"/>
    <w:rsid w:val="50510342"/>
    <w:rsid w:val="50F842AD"/>
    <w:rsid w:val="5147009D"/>
    <w:rsid w:val="51842EFE"/>
    <w:rsid w:val="51977C1F"/>
    <w:rsid w:val="51F93325"/>
    <w:rsid w:val="52CC5EDC"/>
    <w:rsid w:val="531930B3"/>
    <w:rsid w:val="547B0B62"/>
    <w:rsid w:val="565F3191"/>
    <w:rsid w:val="56C46824"/>
    <w:rsid w:val="573055F3"/>
    <w:rsid w:val="58B605C8"/>
    <w:rsid w:val="591D6139"/>
    <w:rsid w:val="598C15F5"/>
    <w:rsid w:val="59D73ABE"/>
    <w:rsid w:val="5A2F5047"/>
    <w:rsid w:val="5A553756"/>
    <w:rsid w:val="5A693346"/>
    <w:rsid w:val="5AEA4B98"/>
    <w:rsid w:val="5BBA6D8C"/>
    <w:rsid w:val="5CFE578F"/>
    <w:rsid w:val="5D72028E"/>
    <w:rsid w:val="5D9C0656"/>
    <w:rsid w:val="5E28448F"/>
    <w:rsid w:val="5E697F45"/>
    <w:rsid w:val="5EBD3CCB"/>
    <w:rsid w:val="5EDC19D3"/>
    <w:rsid w:val="5FAB1B60"/>
    <w:rsid w:val="606C525C"/>
    <w:rsid w:val="60CD3765"/>
    <w:rsid w:val="60F43515"/>
    <w:rsid w:val="6243486C"/>
    <w:rsid w:val="63945534"/>
    <w:rsid w:val="646602CF"/>
    <w:rsid w:val="649458A8"/>
    <w:rsid w:val="65B730C3"/>
    <w:rsid w:val="663427A1"/>
    <w:rsid w:val="669030BA"/>
    <w:rsid w:val="66A43539"/>
    <w:rsid w:val="67893DDB"/>
    <w:rsid w:val="67A7771E"/>
    <w:rsid w:val="67D0700F"/>
    <w:rsid w:val="681378DF"/>
    <w:rsid w:val="68140388"/>
    <w:rsid w:val="685E3DBC"/>
    <w:rsid w:val="6914451F"/>
    <w:rsid w:val="6970493D"/>
    <w:rsid w:val="69985205"/>
    <w:rsid w:val="69CA2D7D"/>
    <w:rsid w:val="6A7A0018"/>
    <w:rsid w:val="6AB74519"/>
    <w:rsid w:val="6AB92B76"/>
    <w:rsid w:val="6B7B1AB7"/>
    <w:rsid w:val="6BCA3420"/>
    <w:rsid w:val="6CC9571F"/>
    <w:rsid w:val="6D643BAB"/>
    <w:rsid w:val="6DB65956"/>
    <w:rsid w:val="6E4C67AA"/>
    <w:rsid w:val="6ECF65D2"/>
    <w:rsid w:val="6F007C36"/>
    <w:rsid w:val="6F2D1905"/>
    <w:rsid w:val="6FBE704E"/>
    <w:rsid w:val="6FC0297B"/>
    <w:rsid w:val="700316AE"/>
    <w:rsid w:val="717F6598"/>
    <w:rsid w:val="71C71B70"/>
    <w:rsid w:val="71E61AA1"/>
    <w:rsid w:val="71EB657A"/>
    <w:rsid w:val="72C21CF8"/>
    <w:rsid w:val="72E77906"/>
    <w:rsid w:val="733A0E38"/>
    <w:rsid w:val="735F6062"/>
    <w:rsid w:val="73B52221"/>
    <w:rsid w:val="74926401"/>
    <w:rsid w:val="74FA60B8"/>
    <w:rsid w:val="75FB1217"/>
    <w:rsid w:val="76086620"/>
    <w:rsid w:val="760C3585"/>
    <w:rsid w:val="763C2984"/>
    <w:rsid w:val="763F6203"/>
    <w:rsid w:val="766C53D0"/>
    <w:rsid w:val="767B0422"/>
    <w:rsid w:val="77D022F2"/>
    <w:rsid w:val="78052084"/>
    <w:rsid w:val="7820592E"/>
    <w:rsid w:val="785113DB"/>
    <w:rsid w:val="794762A8"/>
    <w:rsid w:val="797F032F"/>
    <w:rsid w:val="79835725"/>
    <w:rsid w:val="7A43685C"/>
    <w:rsid w:val="7A952E5F"/>
    <w:rsid w:val="7AD915EC"/>
    <w:rsid w:val="7B357360"/>
    <w:rsid w:val="7BCC5FFC"/>
    <w:rsid w:val="7C291516"/>
    <w:rsid w:val="7D654F4E"/>
    <w:rsid w:val="7D8D43FA"/>
    <w:rsid w:val="7DF7334A"/>
    <w:rsid w:val="7E0D38B9"/>
    <w:rsid w:val="7E0F6E31"/>
    <w:rsid w:val="7EA65D61"/>
    <w:rsid w:val="7EFE7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szCs w:val="22"/>
      <w:lang w:val="en-US" w:eastAsia="zh-CN" w:bidi="ar-SA"/>
    </w:rPr>
  </w:style>
  <w:style w:type="paragraph" w:styleId="3">
    <w:name w:val="heading 1"/>
    <w:basedOn w:val="1"/>
    <w:next w:val="1"/>
    <w:link w:val="56"/>
    <w:qFormat/>
    <w:uiPriority w:val="0"/>
    <w:pPr>
      <w:keepNext/>
      <w:keepLines/>
      <w:spacing w:before="340" w:after="330" w:line="360" w:lineRule="auto"/>
      <w:jc w:val="center"/>
      <w:outlineLvl w:val="0"/>
    </w:pPr>
    <w:rPr>
      <w:rFonts w:cs="Times New Roman"/>
      <w:b/>
      <w:bCs/>
      <w:kern w:val="44"/>
      <w:sz w:val="30"/>
      <w:szCs w:val="32"/>
    </w:rPr>
  </w:style>
  <w:style w:type="paragraph" w:styleId="4">
    <w:name w:val="heading 2"/>
    <w:basedOn w:val="1"/>
    <w:next w:val="1"/>
    <w:link w:val="57"/>
    <w:qFormat/>
    <w:uiPriority w:val="0"/>
    <w:pPr>
      <w:keepNext/>
      <w:keepLines/>
      <w:tabs>
        <w:tab w:val="left" w:pos="426"/>
        <w:tab w:val="left" w:pos="567"/>
      </w:tabs>
      <w:spacing w:beforeLines="50" w:afterLines="50" w:line="360" w:lineRule="auto"/>
      <w:ind w:left="567" w:hanging="567"/>
      <w:outlineLvl w:val="1"/>
    </w:pPr>
    <w:rPr>
      <w:rFonts w:cs="Times New Roman"/>
      <w:b/>
      <w:bCs/>
      <w:iCs/>
      <w:kern w:val="0"/>
      <w:sz w:val="28"/>
      <w:szCs w:val="28"/>
    </w:rPr>
  </w:style>
  <w:style w:type="paragraph" w:styleId="5">
    <w:name w:val="heading 3"/>
    <w:basedOn w:val="1"/>
    <w:next w:val="1"/>
    <w:link w:val="58"/>
    <w:qFormat/>
    <w:uiPriority w:val="0"/>
    <w:pPr>
      <w:keepNext/>
      <w:keepLines/>
      <w:spacing w:line="360" w:lineRule="auto"/>
      <w:ind w:left="567" w:hanging="567"/>
      <w:outlineLvl w:val="2"/>
    </w:pPr>
    <w:rPr>
      <w:rFonts w:cs="Times New Roman"/>
      <w:b/>
      <w:bCs/>
      <w:color w:val="000000"/>
      <w:sz w:val="24"/>
      <w:szCs w:val="28"/>
    </w:rPr>
  </w:style>
  <w:style w:type="paragraph" w:styleId="6">
    <w:name w:val="heading 4"/>
    <w:basedOn w:val="1"/>
    <w:next w:val="1"/>
    <w:link w:val="59"/>
    <w:qFormat/>
    <w:uiPriority w:val="0"/>
    <w:pPr>
      <w:keepNext/>
      <w:keepLines/>
      <w:tabs>
        <w:tab w:val="left" w:pos="851"/>
      </w:tabs>
      <w:spacing w:line="360" w:lineRule="auto"/>
      <w:ind w:firstLine="198"/>
      <w:outlineLvl w:val="3"/>
    </w:pPr>
    <w:rPr>
      <w:rFonts w:cs="Times New Roman"/>
      <w:b/>
      <w:bCs/>
      <w:kern w:val="0"/>
      <w:sz w:val="24"/>
      <w:szCs w:val="28"/>
    </w:rPr>
  </w:style>
  <w:style w:type="paragraph" w:styleId="7">
    <w:name w:val="heading 5"/>
    <w:basedOn w:val="1"/>
    <w:next w:val="1"/>
    <w:link w:val="60"/>
    <w:qFormat/>
    <w:uiPriority w:val="0"/>
    <w:pPr>
      <w:keepNext/>
      <w:keepLines/>
      <w:tabs>
        <w:tab w:val="left" w:pos="709"/>
      </w:tabs>
      <w:autoSpaceDE w:val="0"/>
      <w:autoSpaceDN w:val="0"/>
      <w:adjustRightInd w:val="0"/>
      <w:spacing w:before="280" w:after="290" w:line="376" w:lineRule="auto"/>
      <w:outlineLvl w:val="4"/>
    </w:pPr>
    <w:rPr>
      <w:rFonts w:ascii="Times New Roman" w:hAnsi="Times New Roman" w:cs="Times New Roman"/>
      <w:b/>
      <w:bCs/>
      <w:kern w:val="0"/>
      <w:sz w:val="28"/>
      <w:szCs w:val="28"/>
    </w:rPr>
  </w:style>
  <w:style w:type="paragraph" w:styleId="8">
    <w:name w:val="heading 6"/>
    <w:basedOn w:val="1"/>
    <w:next w:val="1"/>
    <w:link w:val="61"/>
    <w:qFormat/>
    <w:uiPriority w:val="0"/>
    <w:pPr>
      <w:keepNext/>
      <w:keepLines/>
      <w:tabs>
        <w:tab w:val="left" w:pos="1134"/>
      </w:tabs>
      <w:spacing w:before="240" w:after="64" w:line="320" w:lineRule="auto"/>
      <w:ind w:left="1134" w:hanging="1134"/>
      <w:outlineLvl w:val="5"/>
    </w:pPr>
    <w:rPr>
      <w:rFonts w:ascii="Arial" w:hAnsi="Arial" w:eastAsia="黑体" w:cs="Times New Roman"/>
      <w:b/>
      <w:bCs/>
      <w:sz w:val="24"/>
      <w:szCs w:val="24"/>
    </w:rPr>
  </w:style>
  <w:style w:type="paragraph" w:styleId="9">
    <w:name w:val="heading 7"/>
    <w:basedOn w:val="1"/>
    <w:next w:val="1"/>
    <w:link w:val="62"/>
    <w:qFormat/>
    <w:uiPriority w:val="0"/>
    <w:pPr>
      <w:keepNext/>
      <w:tabs>
        <w:tab w:val="left" w:pos="3600"/>
      </w:tabs>
      <w:spacing w:after="120"/>
      <w:outlineLvl w:val="6"/>
    </w:pPr>
    <w:rPr>
      <w:rFonts w:ascii="Arial Narrow" w:hAnsi="Arial Narrow" w:cs="Times New Roman"/>
      <w:b/>
      <w:kern w:val="0"/>
      <w:sz w:val="20"/>
      <w:szCs w:val="20"/>
      <w:lang w:eastAsia="en-US"/>
    </w:rPr>
  </w:style>
  <w:style w:type="paragraph" w:styleId="10">
    <w:name w:val="heading 8"/>
    <w:basedOn w:val="1"/>
    <w:next w:val="1"/>
    <w:link w:val="63"/>
    <w:qFormat/>
    <w:uiPriority w:val="0"/>
    <w:pPr>
      <w:keepNext/>
      <w:keepLines/>
      <w:spacing w:before="240" w:after="64" w:line="317" w:lineRule="auto"/>
      <w:outlineLvl w:val="7"/>
    </w:pPr>
    <w:rPr>
      <w:rFonts w:ascii="Arial" w:hAnsi="Arial" w:eastAsia="黑体" w:cs="Times New Roman"/>
      <w:sz w:val="24"/>
      <w:szCs w:val="20"/>
    </w:rPr>
  </w:style>
  <w:style w:type="paragraph" w:styleId="11">
    <w:name w:val="heading 9"/>
    <w:basedOn w:val="1"/>
    <w:next w:val="1"/>
    <w:link w:val="64"/>
    <w:qFormat/>
    <w:uiPriority w:val="0"/>
    <w:pPr>
      <w:keepNext/>
      <w:keepLines/>
      <w:spacing w:before="240" w:after="64" w:line="317" w:lineRule="auto"/>
      <w:outlineLvl w:val="8"/>
    </w:pPr>
    <w:rPr>
      <w:rFonts w:ascii="Arial" w:hAnsi="Arial" w:eastAsia="黑体" w:cs="Times New Roman"/>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5"/>
    <w:qFormat/>
    <w:uiPriority w:val="0"/>
    <w:pPr>
      <w:spacing w:after="120"/>
    </w:pPr>
    <w:rPr>
      <w:rFonts w:ascii="Times New Roman" w:hAnsi="Times New Roman" w:cs="Times New Roman"/>
      <w:kern w:val="0"/>
      <w:sz w:val="24"/>
      <w:szCs w:val="24"/>
    </w:rPr>
  </w:style>
  <w:style w:type="paragraph" w:styleId="12">
    <w:name w:val="toc 7"/>
    <w:basedOn w:val="1"/>
    <w:next w:val="1"/>
    <w:qFormat/>
    <w:uiPriority w:val="39"/>
    <w:pPr>
      <w:ind w:left="1080"/>
    </w:pPr>
    <w:rPr>
      <w:sz w:val="18"/>
      <w:szCs w:val="20"/>
    </w:rPr>
  </w:style>
  <w:style w:type="paragraph" w:styleId="13">
    <w:name w:val="Normal Indent"/>
    <w:basedOn w:val="1"/>
    <w:link w:val="66"/>
    <w:qFormat/>
    <w:uiPriority w:val="0"/>
    <w:pPr>
      <w:spacing w:line="360" w:lineRule="auto"/>
      <w:ind w:firstLine="420" w:firstLineChars="200"/>
    </w:pPr>
    <w:rPr>
      <w:rFonts w:ascii="Times New Roman" w:hAnsi="Times New Roman" w:cs="Times New Roman"/>
      <w:szCs w:val="24"/>
    </w:rPr>
  </w:style>
  <w:style w:type="paragraph" w:styleId="14">
    <w:name w:val="caption"/>
    <w:basedOn w:val="1"/>
    <w:next w:val="1"/>
    <w:qFormat/>
    <w:uiPriority w:val="0"/>
    <w:pPr>
      <w:spacing w:before="152" w:after="160" w:line="360" w:lineRule="auto"/>
    </w:pPr>
    <w:rPr>
      <w:rFonts w:ascii="Arial" w:hAnsi="Arial" w:eastAsia="黑体"/>
      <w:sz w:val="20"/>
      <w:szCs w:val="20"/>
    </w:rPr>
  </w:style>
  <w:style w:type="paragraph" w:styleId="15">
    <w:name w:val="List Bullet"/>
    <w:basedOn w:val="1"/>
    <w:qFormat/>
    <w:uiPriority w:val="0"/>
    <w:pPr>
      <w:tabs>
        <w:tab w:val="left" w:pos="360"/>
      </w:tabs>
      <w:ind w:left="283" w:hanging="425"/>
    </w:pPr>
    <w:rPr>
      <w:rFonts w:ascii="Calibri" w:hAnsi="Calibri" w:cs="Times New Roman"/>
      <w:szCs w:val="24"/>
    </w:rPr>
  </w:style>
  <w:style w:type="paragraph" w:styleId="16">
    <w:name w:val="Document Map"/>
    <w:basedOn w:val="1"/>
    <w:link w:val="67"/>
    <w:unhideWhenUsed/>
    <w:qFormat/>
    <w:uiPriority w:val="99"/>
    <w:rPr>
      <w:rFonts w:hAnsi="Times New Roman" w:cs="Times New Roman"/>
      <w:kern w:val="0"/>
      <w:sz w:val="18"/>
      <w:szCs w:val="18"/>
    </w:rPr>
  </w:style>
  <w:style w:type="paragraph" w:styleId="17">
    <w:name w:val="annotation text"/>
    <w:basedOn w:val="1"/>
    <w:link w:val="68"/>
    <w:qFormat/>
    <w:uiPriority w:val="0"/>
    <w:rPr>
      <w:rFonts w:ascii="Times New Roman" w:hAnsi="Times New Roman" w:cs="Times New Roman"/>
      <w:sz w:val="18"/>
      <w:szCs w:val="20"/>
    </w:rPr>
  </w:style>
  <w:style w:type="paragraph" w:styleId="18">
    <w:name w:val="Salutation"/>
    <w:basedOn w:val="1"/>
    <w:next w:val="1"/>
    <w:link w:val="69"/>
    <w:qFormat/>
    <w:uiPriority w:val="0"/>
    <w:rPr>
      <w:rFonts w:ascii="Times New Roman" w:hAnsi="Times New Roman" w:eastAsia="黑体" w:cs="Times New Roman"/>
      <w:sz w:val="24"/>
      <w:szCs w:val="20"/>
    </w:rPr>
  </w:style>
  <w:style w:type="paragraph" w:styleId="19">
    <w:name w:val="Body Text 3"/>
    <w:basedOn w:val="1"/>
    <w:link w:val="70"/>
    <w:qFormat/>
    <w:uiPriority w:val="0"/>
    <w:pPr>
      <w:spacing w:after="120"/>
    </w:pPr>
    <w:rPr>
      <w:rFonts w:ascii="Times New Roman" w:hAnsi="Times New Roman" w:cs="Times New Roman"/>
      <w:kern w:val="0"/>
      <w:sz w:val="16"/>
      <w:szCs w:val="16"/>
    </w:rPr>
  </w:style>
  <w:style w:type="paragraph" w:styleId="20">
    <w:name w:val="Body Text Indent"/>
    <w:basedOn w:val="1"/>
    <w:link w:val="71"/>
    <w:qFormat/>
    <w:uiPriority w:val="0"/>
    <w:pPr>
      <w:autoSpaceDE w:val="0"/>
      <w:autoSpaceDN w:val="0"/>
      <w:adjustRightInd w:val="0"/>
      <w:spacing w:line="360" w:lineRule="auto"/>
      <w:ind w:firstLine="540" w:firstLineChars="180"/>
    </w:pPr>
    <w:rPr>
      <w:rFonts w:hAnsi="Times New Roman" w:cs="Times New Roman"/>
      <w:kern w:val="0"/>
      <w:sz w:val="30"/>
      <w:szCs w:val="24"/>
    </w:rPr>
  </w:style>
  <w:style w:type="paragraph" w:styleId="21">
    <w:name w:val="Block Text"/>
    <w:basedOn w:val="1"/>
    <w:qFormat/>
    <w:uiPriority w:val="0"/>
    <w:pPr>
      <w:ind w:left="-540" w:leftChars="-257" w:right="-334" w:rightChars="-159" w:firstLine="540" w:firstLineChars="180"/>
    </w:pPr>
    <w:rPr>
      <w:sz w:val="30"/>
    </w:rPr>
  </w:style>
  <w:style w:type="paragraph" w:styleId="22">
    <w:name w:val="toc 5"/>
    <w:basedOn w:val="1"/>
    <w:next w:val="1"/>
    <w:qFormat/>
    <w:uiPriority w:val="39"/>
    <w:pPr>
      <w:ind w:left="720"/>
    </w:pPr>
    <w:rPr>
      <w:sz w:val="18"/>
      <w:szCs w:val="20"/>
    </w:rPr>
  </w:style>
  <w:style w:type="paragraph" w:styleId="23">
    <w:name w:val="toc 3"/>
    <w:basedOn w:val="1"/>
    <w:next w:val="1"/>
    <w:qFormat/>
    <w:uiPriority w:val="39"/>
    <w:pPr>
      <w:ind w:left="200" w:leftChars="200"/>
    </w:pPr>
    <w:rPr>
      <w:sz w:val="20"/>
      <w:szCs w:val="20"/>
    </w:rPr>
  </w:style>
  <w:style w:type="paragraph" w:styleId="24">
    <w:name w:val="Plain Text"/>
    <w:basedOn w:val="1"/>
    <w:link w:val="72"/>
    <w:qFormat/>
    <w:uiPriority w:val="0"/>
    <w:pPr>
      <w:autoSpaceDE w:val="0"/>
      <w:autoSpaceDN w:val="0"/>
      <w:adjustRightInd w:val="0"/>
    </w:pPr>
    <w:rPr>
      <w:rFonts w:hAnsi="Tms Rmn" w:cs="Times New Roman"/>
      <w:kern w:val="0"/>
      <w:szCs w:val="21"/>
    </w:rPr>
  </w:style>
  <w:style w:type="paragraph" w:styleId="25">
    <w:name w:val="toc 8"/>
    <w:basedOn w:val="1"/>
    <w:next w:val="1"/>
    <w:qFormat/>
    <w:uiPriority w:val="39"/>
    <w:pPr>
      <w:ind w:left="1260"/>
    </w:pPr>
    <w:rPr>
      <w:sz w:val="18"/>
      <w:szCs w:val="20"/>
    </w:rPr>
  </w:style>
  <w:style w:type="paragraph" w:styleId="26">
    <w:name w:val="Date"/>
    <w:basedOn w:val="1"/>
    <w:next w:val="1"/>
    <w:link w:val="73"/>
    <w:qFormat/>
    <w:uiPriority w:val="0"/>
    <w:pPr>
      <w:ind w:left="100" w:leftChars="2500"/>
    </w:pPr>
    <w:rPr>
      <w:rFonts w:ascii="Times New Roman" w:hAnsi="Times New Roman" w:cs="Times New Roman"/>
      <w:kern w:val="0"/>
      <w:sz w:val="24"/>
      <w:szCs w:val="24"/>
    </w:rPr>
  </w:style>
  <w:style w:type="paragraph" w:styleId="27">
    <w:name w:val="Body Text Indent 2"/>
    <w:basedOn w:val="1"/>
    <w:link w:val="74"/>
    <w:qFormat/>
    <w:uiPriority w:val="0"/>
    <w:pPr>
      <w:ind w:firstLine="540" w:firstLineChars="257"/>
    </w:pPr>
    <w:rPr>
      <w:rFonts w:ascii="Times New Roman" w:hAnsi="Times New Roman" w:cs="Times New Roman"/>
      <w:szCs w:val="24"/>
    </w:rPr>
  </w:style>
  <w:style w:type="paragraph" w:styleId="28">
    <w:name w:val="Balloon Text"/>
    <w:basedOn w:val="1"/>
    <w:link w:val="75"/>
    <w:qFormat/>
    <w:uiPriority w:val="0"/>
    <w:rPr>
      <w:rFonts w:ascii="Times New Roman" w:hAnsi="Times New Roman" w:cs="Times New Roman"/>
      <w:kern w:val="0"/>
      <w:sz w:val="18"/>
      <w:szCs w:val="18"/>
    </w:rPr>
  </w:style>
  <w:style w:type="paragraph" w:styleId="29">
    <w:name w:val="footer"/>
    <w:basedOn w:val="1"/>
    <w:link w:val="76"/>
    <w:qFormat/>
    <w:uiPriority w:val="99"/>
    <w:pPr>
      <w:tabs>
        <w:tab w:val="center" w:pos="4153"/>
        <w:tab w:val="right" w:pos="8306"/>
      </w:tabs>
      <w:snapToGrid w:val="0"/>
    </w:pPr>
    <w:rPr>
      <w:rFonts w:ascii="Times New Roman" w:hAnsi="Times New Roman" w:cs="Times New Roman"/>
      <w:kern w:val="0"/>
      <w:sz w:val="18"/>
      <w:szCs w:val="18"/>
    </w:rPr>
  </w:style>
  <w:style w:type="paragraph" w:styleId="30">
    <w:name w:val="header"/>
    <w:basedOn w:val="1"/>
    <w:link w:val="77"/>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31">
    <w:name w:val="toc 1"/>
    <w:basedOn w:val="1"/>
    <w:next w:val="1"/>
    <w:qFormat/>
    <w:uiPriority w:val="39"/>
    <w:pPr>
      <w:tabs>
        <w:tab w:val="left" w:pos="840"/>
        <w:tab w:val="right" w:leader="dot" w:pos="9204"/>
      </w:tabs>
      <w:spacing w:before="120" w:after="120"/>
    </w:pPr>
    <w:rPr>
      <w:bCs/>
      <w:caps/>
      <w:sz w:val="20"/>
      <w:szCs w:val="20"/>
    </w:rPr>
  </w:style>
  <w:style w:type="paragraph" w:styleId="32">
    <w:name w:val="toc 4"/>
    <w:basedOn w:val="1"/>
    <w:next w:val="1"/>
    <w:qFormat/>
    <w:uiPriority w:val="39"/>
    <w:pPr>
      <w:ind w:left="540"/>
    </w:pPr>
    <w:rPr>
      <w:sz w:val="18"/>
      <w:szCs w:val="20"/>
    </w:rPr>
  </w:style>
  <w:style w:type="paragraph" w:styleId="33">
    <w:name w:val="toc 6"/>
    <w:basedOn w:val="1"/>
    <w:next w:val="1"/>
    <w:qFormat/>
    <w:uiPriority w:val="39"/>
    <w:pPr>
      <w:ind w:left="1200"/>
    </w:pPr>
    <w:rPr>
      <w:sz w:val="18"/>
      <w:szCs w:val="18"/>
    </w:rPr>
  </w:style>
  <w:style w:type="paragraph" w:styleId="34">
    <w:name w:val="Body Text Indent 3"/>
    <w:basedOn w:val="1"/>
    <w:link w:val="78"/>
    <w:qFormat/>
    <w:uiPriority w:val="0"/>
    <w:pPr>
      <w:spacing w:after="120"/>
      <w:ind w:left="420" w:leftChars="200"/>
    </w:pPr>
    <w:rPr>
      <w:rFonts w:ascii="Times New Roman" w:hAnsi="Times New Roman" w:cs="Times New Roman"/>
      <w:sz w:val="16"/>
      <w:szCs w:val="16"/>
    </w:rPr>
  </w:style>
  <w:style w:type="paragraph" w:styleId="35">
    <w:name w:val="toc 2"/>
    <w:basedOn w:val="1"/>
    <w:next w:val="1"/>
    <w:qFormat/>
    <w:uiPriority w:val="39"/>
    <w:pPr>
      <w:ind w:left="100" w:leftChars="100"/>
    </w:pPr>
    <w:rPr>
      <w:smallCaps/>
      <w:sz w:val="20"/>
      <w:szCs w:val="20"/>
    </w:rPr>
  </w:style>
  <w:style w:type="paragraph" w:styleId="36">
    <w:name w:val="toc 9"/>
    <w:basedOn w:val="1"/>
    <w:next w:val="1"/>
    <w:qFormat/>
    <w:uiPriority w:val="39"/>
    <w:pPr>
      <w:ind w:left="1440"/>
    </w:pPr>
    <w:rPr>
      <w:sz w:val="18"/>
      <w:szCs w:val="20"/>
    </w:rPr>
  </w:style>
  <w:style w:type="paragraph" w:styleId="37">
    <w:name w:val="Body Text 2"/>
    <w:basedOn w:val="1"/>
    <w:link w:val="79"/>
    <w:qFormat/>
    <w:uiPriority w:val="0"/>
    <w:pPr>
      <w:autoSpaceDE w:val="0"/>
      <w:autoSpaceDN w:val="0"/>
      <w:adjustRightInd w:val="0"/>
      <w:spacing w:after="120" w:line="480" w:lineRule="auto"/>
    </w:pPr>
    <w:rPr>
      <w:rFonts w:ascii="Times New Roman" w:hAnsi="Times New Roman" w:cs="Times New Roman"/>
      <w:kern w:val="0"/>
      <w:szCs w:val="21"/>
    </w:rPr>
  </w:style>
  <w:style w:type="paragraph" w:styleId="38">
    <w:name w:val="Normal (Web)"/>
    <w:basedOn w:val="1"/>
    <w:qFormat/>
    <w:uiPriority w:val="99"/>
    <w:pPr>
      <w:spacing w:before="100" w:beforeAutospacing="1" w:after="100" w:afterAutospacing="1"/>
    </w:pPr>
  </w:style>
  <w:style w:type="paragraph" w:styleId="39">
    <w:name w:val="Title"/>
    <w:basedOn w:val="1"/>
    <w:next w:val="1"/>
    <w:link w:val="80"/>
    <w:qFormat/>
    <w:uiPriority w:val="0"/>
    <w:pPr>
      <w:spacing w:line="360" w:lineRule="auto"/>
      <w:ind w:firstLine="200" w:firstLineChars="200"/>
    </w:pPr>
    <w:rPr>
      <w:rFonts w:hAnsi="Cambria" w:cs="Times New Roman"/>
      <w:b/>
      <w:bCs/>
      <w:sz w:val="24"/>
      <w:szCs w:val="32"/>
    </w:rPr>
  </w:style>
  <w:style w:type="paragraph" w:styleId="40">
    <w:name w:val="annotation subject"/>
    <w:basedOn w:val="17"/>
    <w:next w:val="17"/>
    <w:link w:val="81"/>
    <w:qFormat/>
    <w:uiPriority w:val="0"/>
    <w:rPr>
      <w:b/>
    </w:rPr>
  </w:style>
  <w:style w:type="paragraph" w:styleId="41">
    <w:name w:val="Body Text First Indent"/>
    <w:basedOn w:val="2"/>
    <w:link w:val="82"/>
    <w:qFormat/>
    <w:uiPriority w:val="0"/>
    <w:pPr>
      <w:ind w:firstLine="420" w:firstLineChars="100"/>
    </w:pPr>
    <w:rPr>
      <w:rFonts w:ascii="宋体" w:hAnsi="宋体"/>
      <w:kern w:val="2"/>
      <w:sz w:val="21"/>
    </w:rPr>
  </w:style>
  <w:style w:type="table" w:styleId="43">
    <w:name w:val="Table Grid"/>
    <w:basedOn w:val="4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4">
    <w:name w:val="Table Elegant"/>
    <w:basedOn w:val="42"/>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blStylePr>
  </w:style>
  <w:style w:type="character" w:styleId="46">
    <w:name w:val="Strong"/>
    <w:basedOn w:val="45"/>
    <w:qFormat/>
    <w:uiPriority w:val="0"/>
    <w:rPr>
      <w:b/>
      <w:bCs/>
    </w:rPr>
  </w:style>
  <w:style w:type="character" w:styleId="47">
    <w:name w:val="page number"/>
    <w:basedOn w:val="45"/>
    <w:qFormat/>
    <w:uiPriority w:val="0"/>
  </w:style>
  <w:style w:type="character" w:styleId="48">
    <w:name w:val="FollowedHyperlink"/>
    <w:basedOn w:val="45"/>
    <w:unhideWhenUsed/>
    <w:qFormat/>
    <w:uiPriority w:val="0"/>
    <w:rPr>
      <w:color w:val="3177FD"/>
      <w:u w:val="none"/>
    </w:rPr>
  </w:style>
  <w:style w:type="character" w:styleId="49">
    <w:name w:val="Emphasis"/>
    <w:qFormat/>
    <w:uiPriority w:val="0"/>
    <w:rPr>
      <w:i/>
    </w:rPr>
  </w:style>
  <w:style w:type="character" w:styleId="50">
    <w:name w:val="HTML Definition"/>
    <w:basedOn w:val="45"/>
    <w:unhideWhenUsed/>
    <w:qFormat/>
    <w:uiPriority w:val="99"/>
    <w:rPr>
      <w:i/>
      <w:iCs/>
      <w:sz w:val="16"/>
      <w:szCs w:val="16"/>
    </w:rPr>
  </w:style>
  <w:style w:type="character" w:styleId="51">
    <w:name w:val="Hyperlink"/>
    <w:basedOn w:val="45"/>
    <w:qFormat/>
    <w:uiPriority w:val="99"/>
    <w:rPr>
      <w:color w:val="3177FD"/>
      <w:u w:val="none"/>
    </w:rPr>
  </w:style>
  <w:style w:type="character" w:styleId="52">
    <w:name w:val="HTML Code"/>
    <w:basedOn w:val="45"/>
    <w:unhideWhenUsed/>
    <w:qFormat/>
    <w:uiPriority w:val="99"/>
    <w:rPr>
      <w:rFonts w:hint="default" w:ascii="Consolas" w:hAnsi="Consolas" w:eastAsia="Consolas" w:cs="Consolas"/>
      <w:sz w:val="21"/>
      <w:szCs w:val="21"/>
    </w:rPr>
  </w:style>
  <w:style w:type="character" w:styleId="53">
    <w:name w:val="annotation reference"/>
    <w:basedOn w:val="45"/>
    <w:qFormat/>
    <w:uiPriority w:val="0"/>
    <w:rPr>
      <w:sz w:val="21"/>
    </w:rPr>
  </w:style>
  <w:style w:type="character" w:styleId="54">
    <w:name w:val="HTML Keyboard"/>
    <w:basedOn w:val="45"/>
    <w:unhideWhenUsed/>
    <w:qFormat/>
    <w:uiPriority w:val="99"/>
    <w:rPr>
      <w:rFonts w:ascii="Consolas" w:hAnsi="Consolas" w:eastAsia="Consolas" w:cs="Consolas"/>
      <w:sz w:val="21"/>
      <w:szCs w:val="21"/>
    </w:rPr>
  </w:style>
  <w:style w:type="character" w:styleId="55">
    <w:name w:val="HTML Sample"/>
    <w:basedOn w:val="45"/>
    <w:unhideWhenUsed/>
    <w:qFormat/>
    <w:uiPriority w:val="99"/>
    <w:rPr>
      <w:rFonts w:hint="default" w:ascii="Consolas" w:hAnsi="Consolas" w:eastAsia="Consolas" w:cs="Consolas"/>
      <w:sz w:val="21"/>
      <w:szCs w:val="21"/>
    </w:rPr>
  </w:style>
  <w:style w:type="character" w:customStyle="1" w:styleId="56">
    <w:name w:val="标题 1 Char"/>
    <w:basedOn w:val="45"/>
    <w:link w:val="3"/>
    <w:qFormat/>
    <w:uiPriority w:val="0"/>
    <w:rPr>
      <w:rFonts w:ascii="宋体" w:hAnsi="宋体" w:eastAsia="宋体" w:cs="Times New Roman"/>
      <w:b/>
      <w:bCs/>
      <w:kern w:val="44"/>
      <w:sz w:val="30"/>
      <w:szCs w:val="32"/>
    </w:rPr>
  </w:style>
  <w:style w:type="character" w:customStyle="1" w:styleId="57">
    <w:name w:val="标题 2 Char"/>
    <w:basedOn w:val="45"/>
    <w:link w:val="4"/>
    <w:qFormat/>
    <w:uiPriority w:val="0"/>
    <w:rPr>
      <w:rFonts w:ascii="宋体" w:hAnsi="宋体" w:eastAsia="宋体" w:cs="Times New Roman"/>
      <w:b/>
      <w:bCs/>
      <w:iCs/>
      <w:kern w:val="0"/>
      <w:sz w:val="28"/>
      <w:szCs w:val="28"/>
    </w:rPr>
  </w:style>
  <w:style w:type="character" w:customStyle="1" w:styleId="58">
    <w:name w:val="标题 3 Char"/>
    <w:basedOn w:val="45"/>
    <w:link w:val="5"/>
    <w:qFormat/>
    <w:uiPriority w:val="0"/>
    <w:rPr>
      <w:rFonts w:ascii="宋体" w:hAnsi="宋体" w:eastAsia="宋体" w:cs="Times New Roman"/>
      <w:b/>
      <w:bCs/>
      <w:color w:val="000000"/>
      <w:sz w:val="24"/>
      <w:szCs w:val="28"/>
    </w:rPr>
  </w:style>
  <w:style w:type="character" w:customStyle="1" w:styleId="59">
    <w:name w:val="标题 4 Char"/>
    <w:basedOn w:val="45"/>
    <w:link w:val="6"/>
    <w:qFormat/>
    <w:uiPriority w:val="0"/>
    <w:rPr>
      <w:rFonts w:ascii="宋体" w:hAnsi="宋体" w:eastAsia="宋体" w:cs="Times New Roman"/>
      <w:b/>
      <w:bCs/>
      <w:kern w:val="0"/>
      <w:sz w:val="24"/>
      <w:szCs w:val="28"/>
    </w:rPr>
  </w:style>
  <w:style w:type="character" w:customStyle="1" w:styleId="60">
    <w:name w:val="标题 5 Char"/>
    <w:basedOn w:val="45"/>
    <w:link w:val="7"/>
    <w:qFormat/>
    <w:uiPriority w:val="0"/>
    <w:rPr>
      <w:rFonts w:ascii="Times New Roman" w:hAnsi="Times New Roman" w:eastAsia="宋体" w:cs="Times New Roman"/>
      <w:b/>
      <w:bCs/>
      <w:kern w:val="0"/>
      <w:sz w:val="28"/>
      <w:szCs w:val="28"/>
    </w:rPr>
  </w:style>
  <w:style w:type="character" w:customStyle="1" w:styleId="61">
    <w:name w:val="标题 6 Char"/>
    <w:basedOn w:val="45"/>
    <w:link w:val="8"/>
    <w:qFormat/>
    <w:uiPriority w:val="0"/>
    <w:rPr>
      <w:rFonts w:ascii="Arial" w:hAnsi="Arial" w:eastAsia="黑体" w:cs="Times New Roman"/>
      <w:b/>
      <w:bCs/>
      <w:sz w:val="24"/>
      <w:szCs w:val="24"/>
    </w:rPr>
  </w:style>
  <w:style w:type="character" w:customStyle="1" w:styleId="62">
    <w:name w:val="标题 7 Char"/>
    <w:basedOn w:val="45"/>
    <w:link w:val="9"/>
    <w:qFormat/>
    <w:uiPriority w:val="0"/>
    <w:rPr>
      <w:rFonts w:ascii="Arial Narrow" w:hAnsi="Arial Narrow" w:eastAsia="宋体" w:cs="Times New Roman"/>
      <w:b/>
      <w:kern w:val="0"/>
      <w:sz w:val="20"/>
      <w:szCs w:val="20"/>
      <w:lang w:eastAsia="en-US"/>
    </w:rPr>
  </w:style>
  <w:style w:type="character" w:customStyle="1" w:styleId="63">
    <w:name w:val="标题 8 Char"/>
    <w:basedOn w:val="45"/>
    <w:link w:val="10"/>
    <w:qFormat/>
    <w:uiPriority w:val="0"/>
    <w:rPr>
      <w:rFonts w:ascii="Arial" w:hAnsi="Arial" w:eastAsia="黑体" w:cs="Times New Roman"/>
      <w:sz w:val="24"/>
      <w:szCs w:val="20"/>
    </w:rPr>
  </w:style>
  <w:style w:type="character" w:customStyle="1" w:styleId="64">
    <w:name w:val="标题 9 Char"/>
    <w:basedOn w:val="45"/>
    <w:link w:val="11"/>
    <w:qFormat/>
    <w:uiPriority w:val="0"/>
    <w:rPr>
      <w:rFonts w:ascii="Arial" w:hAnsi="Arial" w:eastAsia="黑体" w:cs="Times New Roman"/>
      <w:szCs w:val="20"/>
    </w:rPr>
  </w:style>
  <w:style w:type="character" w:customStyle="1" w:styleId="65">
    <w:name w:val="正文文本 Char"/>
    <w:basedOn w:val="45"/>
    <w:link w:val="2"/>
    <w:qFormat/>
    <w:uiPriority w:val="0"/>
    <w:rPr>
      <w:rFonts w:ascii="Times New Roman" w:hAnsi="Times New Roman" w:eastAsia="宋体" w:cs="Times New Roman"/>
      <w:kern w:val="0"/>
      <w:sz w:val="24"/>
      <w:szCs w:val="24"/>
    </w:rPr>
  </w:style>
  <w:style w:type="character" w:customStyle="1" w:styleId="66">
    <w:name w:val="正文缩进 Char"/>
    <w:link w:val="13"/>
    <w:qFormat/>
    <w:uiPriority w:val="0"/>
    <w:rPr>
      <w:rFonts w:ascii="Times New Roman" w:hAnsi="Times New Roman" w:eastAsia="宋体" w:cs="Times New Roman"/>
      <w:szCs w:val="24"/>
    </w:rPr>
  </w:style>
  <w:style w:type="character" w:customStyle="1" w:styleId="67">
    <w:name w:val="文档结构图 Char"/>
    <w:basedOn w:val="45"/>
    <w:link w:val="16"/>
    <w:qFormat/>
    <w:uiPriority w:val="99"/>
    <w:rPr>
      <w:rFonts w:ascii="宋体" w:hAnsi="Times New Roman" w:eastAsia="宋体" w:cs="Times New Roman"/>
      <w:kern w:val="0"/>
      <w:sz w:val="18"/>
      <w:szCs w:val="18"/>
    </w:rPr>
  </w:style>
  <w:style w:type="character" w:customStyle="1" w:styleId="68">
    <w:name w:val="批注文字 Char"/>
    <w:basedOn w:val="45"/>
    <w:link w:val="17"/>
    <w:qFormat/>
    <w:uiPriority w:val="0"/>
    <w:rPr>
      <w:rFonts w:ascii="Times New Roman" w:hAnsi="Times New Roman" w:eastAsia="宋体" w:cs="Times New Roman"/>
      <w:sz w:val="18"/>
      <w:szCs w:val="20"/>
    </w:rPr>
  </w:style>
  <w:style w:type="character" w:customStyle="1" w:styleId="69">
    <w:name w:val="称呼 Char"/>
    <w:basedOn w:val="45"/>
    <w:link w:val="18"/>
    <w:qFormat/>
    <w:uiPriority w:val="0"/>
    <w:rPr>
      <w:rFonts w:ascii="Times New Roman" w:hAnsi="Times New Roman" w:eastAsia="黑体" w:cs="Times New Roman"/>
      <w:sz w:val="24"/>
      <w:szCs w:val="20"/>
    </w:rPr>
  </w:style>
  <w:style w:type="character" w:customStyle="1" w:styleId="70">
    <w:name w:val="正文文本 3 Char"/>
    <w:basedOn w:val="45"/>
    <w:link w:val="19"/>
    <w:qFormat/>
    <w:uiPriority w:val="0"/>
    <w:rPr>
      <w:rFonts w:ascii="Times New Roman" w:hAnsi="Times New Roman" w:eastAsia="宋体" w:cs="Times New Roman"/>
      <w:kern w:val="0"/>
      <w:sz w:val="16"/>
      <w:szCs w:val="16"/>
    </w:rPr>
  </w:style>
  <w:style w:type="character" w:customStyle="1" w:styleId="71">
    <w:name w:val="正文文本缩进 Char"/>
    <w:basedOn w:val="45"/>
    <w:link w:val="20"/>
    <w:qFormat/>
    <w:uiPriority w:val="0"/>
    <w:rPr>
      <w:rFonts w:ascii="宋体" w:hAnsi="Times New Roman" w:eastAsia="宋体" w:cs="Times New Roman"/>
      <w:kern w:val="0"/>
      <w:sz w:val="30"/>
      <w:szCs w:val="24"/>
    </w:rPr>
  </w:style>
  <w:style w:type="character" w:customStyle="1" w:styleId="72">
    <w:name w:val="纯文本 Char"/>
    <w:basedOn w:val="45"/>
    <w:link w:val="24"/>
    <w:qFormat/>
    <w:uiPriority w:val="0"/>
    <w:rPr>
      <w:rFonts w:ascii="宋体" w:hAnsi="Tms Rmn" w:eastAsia="宋体" w:cs="Times New Roman"/>
      <w:kern w:val="0"/>
      <w:szCs w:val="21"/>
    </w:rPr>
  </w:style>
  <w:style w:type="character" w:customStyle="1" w:styleId="73">
    <w:name w:val="日期 Char"/>
    <w:basedOn w:val="45"/>
    <w:link w:val="26"/>
    <w:qFormat/>
    <w:uiPriority w:val="0"/>
    <w:rPr>
      <w:rFonts w:ascii="Times New Roman" w:hAnsi="Times New Roman" w:eastAsia="宋体" w:cs="Times New Roman"/>
      <w:kern w:val="0"/>
      <w:sz w:val="24"/>
      <w:szCs w:val="24"/>
    </w:rPr>
  </w:style>
  <w:style w:type="character" w:customStyle="1" w:styleId="74">
    <w:name w:val="正文文本缩进 2 Char"/>
    <w:basedOn w:val="45"/>
    <w:link w:val="27"/>
    <w:qFormat/>
    <w:uiPriority w:val="0"/>
    <w:rPr>
      <w:rFonts w:ascii="Times New Roman" w:hAnsi="Times New Roman" w:eastAsia="宋体" w:cs="Times New Roman"/>
      <w:szCs w:val="24"/>
    </w:rPr>
  </w:style>
  <w:style w:type="character" w:customStyle="1" w:styleId="75">
    <w:name w:val="批注框文本 Char"/>
    <w:basedOn w:val="45"/>
    <w:link w:val="28"/>
    <w:qFormat/>
    <w:uiPriority w:val="0"/>
    <w:rPr>
      <w:rFonts w:ascii="Times New Roman" w:hAnsi="Times New Roman" w:eastAsia="宋体" w:cs="Times New Roman"/>
      <w:kern w:val="0"/>
      <w:sz w:val="18"/>
      <w:szCs w:val="18"/>
    </w:rPr>
  </w:style>
  <w:style w:type="character" w:customStyle="1" w:styleId="76">
    <w:name w:val="页脚 Char"/>
    <w:basedOn w:val="45"/>
    <w:link w:val="29"/>
    <w:qFormat/>
    <w:uiPriority w:val="99"/>
    <w:rPr>
      <w:rFonts w:ascii="Times New Roman" w:hAnsi="Times New Roman" w:eastAsia="宋体" w:cs="Times New Roman"/>
      <w:kern w:val="0"/>
      <w:sz w:val="18"/>
      <w:szCs w:val="18"/>
    </w:rPr>
  </w:style>
  <w:style w:type="character" w:customStyle="1" w:styleId="77">
    <w:name w:val="页眉 Char"/>
    <w:basedOn w:val="45"/>
    <w:link w:val="30"/>
    <w:qFormat/>
    <w:uiPriority w:val="0"/>
    <w:rPr>
      <w:rFonts w:ascii="Times New Roman" w:hAnsi="Times New Roman" w:eastAsia="宋体" w:cs="Times New Roman"/>
      <w:kern w:val="0"/>
      <w:sz w:val="18"/>
      <w:szCs w:val="18"/>
    </w:rPr>
  </w:style>
  <w:style w:type="character" w:customStyle="1" w:styleId="78">
    <w:name w:val="正文文本缩进 3 Char"/>
    <w:basedOn w:val="45"/>
    <w:link w:val="34"/>
    <w:qFormat/>
    <w:uiPriority w:val="0"/>
    <w:rPr>
      <w:rFonts w:ascii="Times New Roman" w:hAnsi="Times New Roman" w:eastAsia="宋体" w:cs="Times New Roman"/>
      <w:sz w:val="16"/>
      <w:szCs w:val="16"/>
    </w:rPr>
  </w:style>
  <w:style w:type="character" w:customStyle="1" w:styleId="79">
    <w:name w:val="正文文本 2 Char"/>
    <w:basedOn w:val="45"/>
    <w:link w:val="37"/>
    <w:qFormat/>
    <w:uiPriority w:val="0"/>
    <w:rPr>
      <w:rFonts w:ascii="Times New Roman" w:hAnsi="Times New Roman" w:eastAsia="宋体" w:cs="Times New Roman"/>
      <w:kern w:val="0"/>
      <w:szCs w:val="21"/>
    </w:rPr>
  </w:style>
  <w:style w:type="character" w:customStyle="1" w:styleId="80">
    <w:name w:val="标题 Char"/>
    <w:basedOn w:val="45"/>
    <w:link w:val="39"/>
    <w:qFormat/>
    <w:uiPriority w:val="0"/>
    <w:rPr>
      <w:rFonts w:ascii="宋体" w:hAnsi="Cambria" w:eastAsia="宋体" w:cs="Times New Roman"/>
      <w:b/>
      <w:bCs/>
      <w:sz w:val="24"/>
      <w:szCs w:val="32"/>
    </w:rPr>
  </w:style>
  <w:style w:type="character" w:customStyle="1" w:styleId="81">
    <w:name w:val="批注主题 Char"/>
    <w:basedOn w:val="68"/>
    <w:link w:val="40"/>
    <w:qFormat/>
    <w:uiPriority w:val="0"/>
    <w:rPr>
      <w:b/>
    </w:rPr>
  </w:style>
  <w:style w:type="character" w:customStyle="1" w:styleId="82">
    <w:name w:val="正文首行缩进 Char"/>
    <w:basedOn w:val="65"/>
    <w:link w:val="41"/>
    <w:qFormat/>
    <w:uiPriority w:val="0"/>
    <w:rPr>
      <w:rFonts w:ascii="宋体" w:hAnsi="宋体"/>
    </w:rPr>
  </w:style>
  <w:style w:type="character" w:customStyle="1" w:styleId="83">
    <w:name w:val="Char Char40"/>
    <w:qFormat/>
    <w:uiPriority w:val="0"/>
    <w:rPr>
      <w:kern w:val="2"/>
      <w:sz w:val="24"/>
      <w:szCs w:val="24"/>
    </w:rPr>
  </w:style>
  <w:style w:type="character" w:customStyle="1" w:styleId="84">
    <w:name w:val="标书（正文） Char_2"/>
    <w:link w:val="85"/>
    <w:qFormat/>
    <w:uiPriority w:val="0"/>
    <w:rPr>
      <w:rFonts w:ascii="宋体" w:hAnsi="宋体"/>
      <w:kern w:val="10"/>
      <w:sz w:val="24"/>
    </w:rPr>
  </w:style>
  <w:style w:type="paragraph" w:customStyle="1" w:styleId="85">
    <w:name w:val="标书（正文）_3"/>
    <w:basedOn w:val="86"/>
    <w:link w:val="84"/>
    <w:qFormat/>
    <w:uiPriority w:val="0"/>
    <w:pPr>
      <w:spacing w:line="360" w:lineRule="auto"/>
      <w:ind w:firstLine="560" w:firstLineChars="200"/>
    </w:pPr>
    <w:rPr>
      <w:rFonts w:ascii="宋体" w:hAnsi="宋体" w:eastAsiaTheme="minorEastAsia" w:cstheme="minorBidi"/>
      <w:kern w:val="10"/>
      <w:sz w:val="24"/>
    </w:rPr>
  </w:style>
  <w:style w:type="paragraph" w:customStyle="1" w:styleId="86">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87">
    <w:name w:val="textnormchn1"/>
    <w:basedOn w:val="45"/>
    <w:qFormat/>
    <w:uiPriority w:val="0"/>
  </w:style>
  <w:style w:type="character" w:customStyle="1" w:styleId="88">
    <w:name w:val="标书（正文） Char_1"/>
    <w:link w:val="89"/>
    <w:qFormat/>
    <w:uiPriority w:val="0"/>
    <w:rPr>
      <w:rFonts w:ascii="宋体" w:hAnsi="宋体"/>
      <w:kern w:val="10"/>
      <w:sz w:val="24"/>
    </w:rPr>
  </w:style>
  <w:style w:type="paragraph" w:customStyle="1" w:styleId="89">
    <w:name w:val="标书（正文）_2"/>
    <w:basedOn w:val="90"/>
    <w:link w:val="88"/>
    <w:qFormat/>
    <w:uiPriority w:val="0"/>
    <w:pPr>
      <w:spacing w:line="360" w:lineRule="auto"/>
      <w:ind w:firstLine="560" w:firstLineChars="200"/>
    </w:pPr>
    <w:rPr>
      <w:rFonts w:ascii="宋体" w:hAnsi="宋体" w:eastAsiaTheme="minorEastAsia" w:cstheme="minorBidi"/>
      <w:kern w:val="10"/>
      <w:sz w:val="24"/>
    </w:rPr>
  </w:style>
  <w:style w:type="paragraph" w:customStyle="1" w:styleId="90">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91">
    <w:name w:val="正文文本 Char_4"/>
    <w:link w:val="92"/>
    <w:qFormat/>
    <w:uiPriority w:val="1"/>
  </w:style>
  <w:style w:type="paragraph" w:customStyle="1" w:styleId="92">
    <w:name w:val="正文文本_4"/>
    <w:basedOn w:val="93"/>
    <w:link w:val="91"/>
    <w:qFormat/>
    <w:uiPriority w:val="1"/>
    <w:pPr>
      <w:adjustRightInd w:val="0"/>
      <w:spacing w:after="60" w:line="360" w:lineRule="atLeast"/>
      <w:ind w:left="72" w:leftChars="30" w:right="30" w:rightChars="30"/>
      <w:jc w:val="center"/>
      <w:textAlignment w:val="baseline"/>
    </w:pPr>
    <w:rPr>
      <w:rFonts w:asciiTheme="minorHAnsi" w:hAnsiTheme="minorHAnsi" w:eastAsiaTheme="minorEastAsia" w:cstheme="minorBidi"/>
    </w:rPr>
  </w:style>
  <w:style w:type="paragraph" w:customStyle="1" w:styleId="93">
    <w:name w:val="正文_13"/>
    <w:next w:val="9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4">
    <w:name w:val="small"/>
    <w:basedOn w:val="45"/>
    <w:qFormat/>
    <w:uiPriority w:val="0"/>
  </w:style>
  <w:style w:type="character" w:customStyle="1" w:styleId="95">
    <w:name w:val="标书（正文） Char_4"/>
    <w:link w:val="96"/>
    <w:qFormat/>
    <w:uiPriority w:val="0"/>
    <w:rPr>
      <w:rFonts w:ascii="宋体" w:hAnsi="宋体"/>
      <w:kern w:val="10"/>
      <w:sz w:val="24"/>
    </w:rPr>
  </w:style>
  <w:style w:type="paragraph" w:customStyle="1" w:styleId="96">
    <w:name w:val="标书（正文）_5"/>
    <w:basedOn w:val="97"/>
    <w:link w:val="95"/>
    <w:qFormat/>
    <w:uiPriority w:val="0"/>
    <w:pPr>
      <w:spacing w:line="360" w:lineRule="auto"/>
      <w:ind w:firstLine="560" w:firstLineChars="200"/>
    </w:pPr>
    <w:rPr>
      <w:rFonts w:ascii="宋体" w:hAnsi="宋体" w:eastAsiaTheme="minorEastAsia" w:cstheme="minorBidi"/>
      <w:kern w:val="10"/>
      <w:sz w:val="24"/>
    </w:rPr>
  </w:style>
  <w:style w:type="paragraph" w:customStyle="1" w:styleId="97">
    <w:name w:val="正文_6"/>
    <w:next w:val="9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正文文本_0_0"/>
    <w:basedOn w:val="97"/>
    <w:link w:val="99"/>
    <w:qFormat/>
    <w:uiPriority w:val="1"/>
    <w:pPr>
      <w:adjustRightInd w:val="0"/>
      <w:spacing w:after="60" w:line="360" w:lineRule="atLeast"/>
      <w:ind w:left="72" w:leftChars="30" w:right="30" w:rightChars="30"/>
      <w:jc w:val="center"/>
      <w:textAlignment w:val="baseline"/>
    </w:pPr>
  </w:style>
  <w:style w:type="character" w:customStyle="1" w:styleId="99">
    <w:name w:val="正文文本 Char_0_0"/>
    <w:link w:val="98"/>
    <w:qFormat/>
    <w:uiPriority w:val="1"/>
    <w:rPr>
      <w:rFonts w:ascii="Times New Roman" w:hAnsi="Times New Roman" w:eastAsia="宋体" w:cs="Times New Roman"/>
    </w:rPr>
  </w:style>
  <w:style w:type="character" w:customStyle="1" w:styleId="100">
    <w:name w:val="标书（正文） Char_7"/>
    <w:link w:val="101"/>
    <w:qFormat/>
    <w:uiPriority w:val="0"/>
    <w:rPr>
      <w:rFonts w:ascii="宋体" w:hAnsi="宋体"/>
      <w:kern w:val="10"/>
      <w:sz w:val="24"/>
    </w:rPr>
  </w:style>
  <w:style w:type="paragraph" w:customStyle="1" w:styleId="101">
    <w:name w:val="标书（正文）_9"/>
    <w:basedOn w:val="102"/>
    <w:link w:val="100"/>
    <w:qFormat/>
    <w:uiPriority w:val="0"/>
    <w:pPr>
      <w:spacing w:line="360" w:lineRule="auto"/>
      <w:ind w:firstLine="560" w:firstLineChars="200"/>
    </w:pPr>
    <w:rPr>
      <w:rFonts w:ascii="宋体" w:hAnsi="宋体" w:eastAsiaTheme="minorEastAsia" w:cstheme="minorBidi"/>
      <w:kern w:val="10"/>
      <w:sz w:val="24"/>
    </w:rPr>
  </w:style>
  <w:style w:type="paragraph" w:customStyle="1" w:styleId="102">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3">
    <w:name w:val="CD正文 Char_0"/>
    <w:link w:val="104"/>
    <w:qFormat/>
    <w:uiPriority w:val="0"/>
    <w:rPr>
      <w:sz w:val="30"/>
      <w:szCs w:val="28"/>
    </w:rPr>
  </w:style>
  <w:style w:type="paragraph" w:customStyle="1" w:styleId="104">
    <w:name w:val="CD正文_0"/>
    <w:basedOn w:val="105"/>
    <w:link w:val="103"/>
    <w:qFormat/>
    <w:uiPriority w:val="0"/>
    <w:pPr>
      <w:spacing w:line="360" w:lineRule="auto"/>
      <w:ind w:firstLine="493"/>
    </w:pPr>
    <w:rPr>
      <w:rFonts w:asciiTheme="minorHAnsi" w:hAnsiTheme="minorHAnsi" w:eastAsiaTheme="minorEastAsia" w:cstheme="minorBidi"/>
      <w:sz w:val="30"/>
      <w:szCs w:val="28"/>
    </w:rPr>
  </w:style>
  <w:style w:type="paragraph" w:customStyle="1" w:styleId="105">
    <w:name w:val="正文_8"/>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6">
    <w:name w:val="正文文本 Char_0"/>
    <w:link w:val="107"/>
    <w:qFormat/>
    <w:uiPriority w:val="1"/>
  </w:style>
  <w:style w:type="paragraph" w:customStyle="1" w:styleId="107">
    <w:name w:val="正文文本_0"/>
    <w:basedOn w:val="108"/>
    <w:link w:val="106"/>
    <w:qFormat/>
    <w:uiPriority w:val="1"/>
    <w:pPr>
      <w:adjustRightInd w:val="0"/>
      <w:spacing w:after="60" w:line="360" w:lineRule="atLeast"/>
      <w:ind w:left="72" w:leftChars="30" w:right="30" w:rightChars="30"/>
      <w:jc w:val="center"/>
      <w:textAlignment w:val="baseline"/>
    </w:pPr>
    <w:rPr>
      <w:rFonts w:asciiTheme="minorHAnsi" w:hAnsiTheme="minorHAnsi" w:eastAsiaTheme="minorEastAsia" w:cstheme="minorBidi"/>
    </w:rPr>
  </w:style>
  <w:style w:type="paragraph" w:customStyle="1" w:styleId="108">
    <w:name w:val="正文_2"/>
    <w:next w:val="107"/>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9">
    <w:name w:val="正文文本 Char_1"/>
    <w:link w:val="110"/>
    <w:qFormat/>
    <w:uiPriority w:val="99"/>
    <w:rPr>
      <w:rFonts w:ascii="Calibri" w:hAnsi="Calibri" w:eastAsia="宋体" w:cs="Times New Roman"/>
      <w:szCs w:val="24"/>
    </w:rPr>
  </w:style>
  <w:style w:type="paragraph" w:customStyle="1" w:styleId="110">
    <w:name w:val="正文文本_1"/>
    <w:basedOn w:val="111"/>
    <w:link w:val="109"/>
    <w:unhideWhenUsed/>
    <w:qFormat/>
    <w:uiPriority w:val="99"/>
    <w:pPr>
      <w:spacing w:after="120"/>
    </w:pPr>
    <w:rPr>
      <w:rFonts w:ascii="Calibri" w:hAnsi="Calibri"/>
    </w:rPr>
  </w:style>
  <w:style w:type="paragraph" w:customStyle="1" w:styleId="111">
    <w:name w:val="正文_7"/>
    <w:next w:val="1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2">
    <w:name w:val="标书（正文） Char"/>
    <w:link w:val="113"/>
    <w:qFormat/>
    <w:uiPriority w:val="0"/>
    <w:rPr>
      <w:rFonts w:ascii="宋体" w:hAnsi="宋体"/>
      <w:kern w:val="10"/>
      <w:sz w:val="24"/>
    </w:rPr>
  </w:style>
  <w:style w:type="paragraph" w:customStyle="1" w:styleId="113">
    <w:name w:val="标书（正文）"/>
    <w:basedOn w:val="1"/>
    <w:link w:val="112"/>
    <w:qFormat/>
    <w:uiPriority w:val="0"/>
    <w:pPr>
      <w:spacing w:line="360" w:lineRule="auto"/>
      <w:ind w:firstLine="560" w:firstLineChars="200"/>
    </w:pPr>
    <w:rPr>
      <w:rFonts w:eastAsiaTheme="minorEastAsia" w:cstheme="minorBidi"/>
      <w:kern w:val="10"/>
      <w:sz w:val="24"/>
    </w:rPr>
  </w:style>
  <w:style w:type="character" w:customStyle="1" w:styleId="114">
    <w:name w:val="彩色列表 - 强调文字颜色 1 Char"/>
    <w:link w:val="115"/>
    <w:qFormat/>
    <w:uiPriority w:val="0"/>
    <w:rPr>
      <w:rFonts w:ascii="Calibri" w:hAnsi="Calibri"/>
    </w:rPr>
  </w:style>
  <w:style w:type="paragraph" w:customStyle="1" w:styleId="115">
    <w:name w:val="彩色列表 - 强调文字颜色"/>
    <w:basedOn w:val="1"/>
    <w:link w:val="114"/>
    <w:qFormat/>
    <w:uiPriority w:val="0"/>
    <w:pPr>
      <w:ind w:firstLine="420" w:firstLineChars="200"/>
    </w:pPr>
    <w:rPr>
      <w:rFonts w:ascii="Calibri" w:hAnsi="Calibri" w:eastAsiaTheme="minorEastAsia" w:cstheme="minorBidi"/>
    </w:rPr>
  </w:style>
  <w:style w:type="character" w:customStyle="1" w:styleId="116">
    <w:name w:val="标书（正文） Char_3"/>
    <w:link w:val="117"/>
    <w:qFormat/>
    <w:uiPriority w:val="0"/>
    <w:rPr>
      <w:rFonts w:ascii="宋体" w:hAnsi="宋体"/>
      <w:kern w:val="10"/>
      <w:sz w:val="24"/>
    </w:rPr>
  </w:style>
  <w:style w:type="paragraph" w:customStyle="1" w:styleId="117">
    <w:name w:val="标书（正文）_4"/>
    <w:basedOn w:val="118"/>
    <w:link w:val="116"/>
    <w:qFormat/>
    <w:uiPriority w:val="0"/>
    <w:pPr>
      <w:spacing w:line="360" w:lineRule="auto"/>
      <w:ind w:firstLine="560" w:firstLineChars="200"/>
    </w:pPr>
    <w:rPr>
      <w:rFonts w:ascii="宋体" w:hAnsi="宋体" w:eastAsiaTheme="minorEastAsia" w:cstheme="minorBidi"/>
      <w:kern w:val="10"/>
      <w:sz w:val="24"/>
    </w:rPr>
  </w:style>
  <w:style w:type="paragraph" w:customStyle="1" w:styleId="118">
    <w:name w:val="正文_5"/>
    <w:next w:val="1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9">
    <w:name w:val="Char Char4"/>
    <w:qFormat/>
    <w:uiPriority w:val="0"/>
    <w:rPr>
      <w:rFonts w:ascii="宋体" w:hAnsi="Courier New" w:eastAsia="宋体"/>
      <w:kern w:val="2"/>
      <w:sz w:val="21"/>
      <w:lang w:val="en-US" w:eastAsia="zh-CN"/>
    </w:rPr>
  </w:style>
  <w:style w:type="character" w:customStyle="1" w:styleId="120">
    <w:name w:val="正文文本 Char_2"/>
    <w:link w:val="121"/>
    <w:qFormat/>
    <w:uiPriority w:val="1"/>
  </w:style>
  <w:style w:type="paragraph" w:customStyle="1" w:styleId="121">
    <w:name w:val="正文文本_2"/>
    <w:basedOn w:val="122"/>
    <w:link w:val="120"/>
    <w:qFormat/>
    <w:uiPriority w:val="1"/>
    <w:pPr>
      <w:adjustRightInd w:val="0"/>
      <w:spacing w:after="60" w:line="360" w:lineRule="atLeast"/>
      <w:ind w:left="72" w:leftChars="30" w:right="30" w:rightChars="30"/>
      <w:jc w:val="center"/>
      <w:textAlignment w:val="baseline"/>
    </w:pPr>
    <w:rPr>
      <w:rFonts w:asciiTheme="minorHAnsi" w:hAnsiTheme="minorHAnsi" w:eastAsiaTheme="minorEastAsia" w:cstheme="minorBidi"/>
    </w:rPr>
  </w:style>
  <w:style w:type="paragraph" w:customStyle="1" w:styleId="122">
    <w:name w:val="正文_9"/>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3">
    <w:name w:val="CD正文 Char"/>
    <w:link w:val="124"/>
    <w:qFormat/>
    <w:uiPriority w:val="0"/>
    <w:rPr>
      <w:sz w:val="30"/>
      <w:szCs w:val="28"/>
    </w:rPr>
  </w:style>
  <w:style w:type="paragraph" w:customStyle="1" w:styleId="124">
    <w:name w:val="CD正文"/>
    <w:basedOn w:val="125"/>
    <w:link w:val="123"/>
    <w:qFormat/>
    <w:uiPriority w:val="0"/>
    <w:pPr>
      <w:ind w:firstLine="493"/>
    </w:pPr>
    <w:rPr>
      <w:rFonts w:asciiTheme="minorHAnsi" w:hAnsiTheme="minorHAnsi" w:eastAsiaTheme="minorEastAsia" w:cstheme="minorBidi"/>
      <w:sz w:val="30"/>
      <w:szCs w:val="28"/>
    </w:rPr>
  </w:style>
  <w:style w:type="paragraph" w:customStyle="1" w:styleId="125">
    <w:name w:val="文章正文"/>
    <w:basedOn w:val="1"/>
    <w:link w:val="126"/>
    <w:qFormat/>
    <w:uiPriority w:val="0"/>
    <w:pPr>
      <w:spacing w:line="360" w:lineRule="auto"/>
      <w:ind w:firstLine="420"/>
    </w:pPr>
    <w:rPr>
      <w:rFonts w:ascii="Times New Roman" w:hAnsi="Times New Roman" w:cs="Times New Roman"/>
      <w:sz w:val="24"/>
      <w:szCs w:val="24"/>
    </w:rPr>
  </w:style>
  <w:style w:type="character" w:customStyle="1" w:styleId="126">
    <w:name w:val="文章正文 Char"/>
    <w:link w:val="125"/>
    <w:qFormat/>
    <w:uiPriority w:val="0"/>
    <w:rPr>
      <w:rFonts w:ascii="Times New Roman" w:hAnsi="Times New Roman" w:eastAsia="宋体" w:cs="Times New Roman"/>
      <w:sz w:val="24"/>
      <w:szCs w:val="24"/>
    </w:rPr>
  </w:style>
  <w:style w:type="character" w:customStyle="1" w:styleId="127">
    <w:name w:val="纯文本 Char1"/>
    <w:unhideWhenUsed/>
    <w:qFormat/>
    <w:uiPriority w:val="99"/>
    <w:rPr>
      <w:rFonts w:hint="eastAsia" w:ascii="宋体" w:hAnsi="Tms Rmn" w:eastAsia="宋体"/>
      <w:sz w:val="21"/>
      <w:lang w:val="en-US" w:eastAsia="zh-CN"/>
    </w:rPr>
  </w:style>
  <w:style w:type="character" w:customStyle="1" w:styleId="128">
    <w:name w:val="标书（正文） Char_0_0"/>
    <w:link w:val="129"/>
    <w:qFormat/>
    <w:uiPriority w:val="0"/>
    <w:rPr>
      <w:rFonts w:ascii="宋体" w:hAnsi="宋体"/>
      <w:kern w:val="10"/>
      <w:sz w:val="24"/>
    </w:rPr>
  </w:style>
  <w:style w:type="paragraph" w:customStyle="1" w:styleId="129">
    <w:name w:val="标书（正文）_0_0"/>
    <w:basedOn w:val="130"/>
    <w:link w:val="128"/>
    <w:qFormat/>
    <w:uiPriority w:val="0"/>
    <w:pPr>
      <w:spacing w:line="360" w:lineRule="auto"/>
      <w:ind w:firstLine="560" w:firstLineChars="200"/>
    </w:pPr>
    <w:rPr>
      <w:rFonts w:ascii="宋体" w:hAnsi="宋体" w:eastAsiaTheme="minorEastAsia" w:cstheme="minorBidi"/>
      <w:kern w:val="10"/>
      <w:sz w:val="24"/>
    </w:rPr>
  </w:style>
  <w:style w:type="paragraph" w:customStyle="1" w:styleId="130">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2">
    <w:name w:val="正文首行缩进两字符 Char Char"/>
    <w:link w:val="133"/>
    <w:qFormat/>
    <w:uiPriority w:val="0"/>
  </w:style>
  <w:style w:type="paragraph" w:customStyle="1" w:styleId="133">
    <w:name w:val="正文首行缩进两字符"/>
    <w:basedOn w:val="1"/>
    <w:link w:val="132"/>
    <w:qFormat/>
    <w:uiPriority w:val="0"/>
    <w:pPr>
      <w:spacing w:line="360" w:lineRule="auto"/>
      <w:ind w:firstLine="200" w:firstLineChars="200"/>
    </w:pPr>
    <w:rPr>
      <w:rFonts w:asciiTheme="minorHAnsi" w:hAnsiTheme="minorHAnsi" w:eastAsiaTheme="minorEastAsia" w:cstheme="minorBidi"/>
    </w:rPr>
  </w:style>
  <w:style w:type="character" w:customStyle="1" w:styleId="134">
    <w:name w:val="10"/>
    <w:basedOn w:val="45"/>
    <w:qFormat/>
    <w:uiPriority w:val="0"/>
  </w:style>
  <w:style w:type="character" w:customStyle="1" w:styleId="135">
    <w:name w:val="WW8Num9z0"/>
    <w:qFormat/>
    <w:uiPriority w:val="0"/>
    <w:rPr>
      <w:rFonts w:ascii="Wingdings" w:hAnsi="Wingdings"/>
    </w:rPr>
  </w:style>
  <w:style w:type="character" w:customStyle="1" w:styleId="136">
    <w:name w:val="keyword"/>
    <w:basedOn w:val="45"/>
    <w:qFormat/>
    <w:uiPriority w:val="0"/>
  </w:style>
  <w:style w:type="character" w:customStyle="1" w:styleId="137">
    <w:name w:val="正文缩进 Char1"/>
    <w:qFormat/>
    <w:uiPriority w:val="0"/>
    <w:rPr>
      <w:kern w:val="2"/>
      <w:sz w:val="21"/>
      <w:szCs w:val="24"/>
    </w:rPr>
  </w:style>
  <w:style w:type="character" w:customStyle="1" w:styleId="138">
    <w:name w:val="fontblank12"/>
    <w:basedOn w:val="45"/>
    <w:qFormat/>
    <w:uiPriority w:val="0"/>
  </w:style>
  <w:style w:type="character" w:customStyle="1" w:styleId="139">
    <w:name w:val="（符号）三标题1.1 Char Char"/>
    <w:link w:val="140"/>
    <w:qFormat/>
    <w:uiPriority w:val="0"/>
    <w:rPr>
      <w:rFonts w:ascii="宋体" w:hAnsi="宋体"/>
      <w:sz w:val="24"/>
      <w:szCs w:val="24"/>
    </w:rPr>
  </w:style>
  <w:style w:type="paragraph" w:customStyle="1" w:styleId="140">
    <w:name w:val="（符号）三标题1.1"/>
    <w:basedOn w:val="1"/>
    <w:link w:val="139"/>
    <w:qFormat/>
    <w:uiPriority w:val="0"/>
    <w:pPr>
      <w:tabs>
        <w:tab w:val="left" w:pos="700"/>
        <w:tab w:val="left" w:pos="840"/>
      </w:tabs>
      <w:spacing w:line="500" w:lineRule="exact"/>
      <w:ind w:left="431" w:hanging="431"/>
    </w:pPr>
    <w:rPr>
      <w:rFonts w:eastAsiaTheme="minorEastAsia" w:cstheme="minorBidi"/>
      <w:sz w:val="24"/>
      <w:szCs w:val="24"/>
    </w:rPr>
  </w:style>
  <w:style w:type="character" w:customStyle="1" w:styleId="141">
    <w:name w:val="grame"/>
    <w:basedOn w:val="45"/>
    <w:qFormat/>
    <w:uiPriority w:val="0"/>
  </w:style>
  <w:style w:type="character" w:customStyle="1" w:styleId="142">
    <w:name w:val="正文文本 Char_3"/>
    <w:link w:val="143"/>
    <w:qFormat/>
    <w:uiPriority w:val="1"/>
  </w:style>
  <w:style w:type="paragraph" w:customStyle="1" w:styleId="143">
    <w:name w:val="正文文本_3"/>
    <w:basedOn w:val="144"/>
    <w:link w:val="142"/>
    <w:qFormat/>
    <w:uiPriority w:val="1"/>
    <w:pPr>
      <w:adjustRightInd w:val="0"/>
      <w:spacing w:after="60" w:line="360" w:lineRule="atLeast"/>
      <w:ind w:left="72" w:leftChars="30" w:right="30" w:rightChars="30"/>
      <w:jc w:val="center"/>
      <w:textAlignment w:val="baseline"/>
    </w:pPr>
    <w:rPr>
      <w:rFonts w:asciiTheme="minorHAnsi" w:hAnsiTheme="minorHAnsi" w:eastAsiaTheme="minorEastAsia" w:cstheme="minorBidi"/>
    </w:rPr>
  </w:style>
  <w:style w:type="paragraph" w:customStyle="1" w:styleId="144">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5">
    <w:name w:val="正文缩进 Char_0"/>
    <w:link w:val="146"/>
    <w:qFormat/>
    <w:uiPriority w:val="0"/>
    <w:rPr>
      <w:rFonts w:ascii="Times New Roman" w:hAnsi="Times New Roman"/>
      <w:szCs w:val="24"/>
    </w:rPr>
  </w:style>
  <w:style w:type="paragraph" w:customStyle="1" w:styleId="146">
    <w:name w:val="正文缩进_0"/>
    <w:basedOn w:val="90"/>
    <w:link w:val="145"/>
    <w:qFormat/>
    <w:uiPriority w:val="0"/>
    <w:pPr>
      <w:widowControl/>
      <w:ind w:firstLine="420"/>
      <w:jc w:val="left"/>
    </w:pPr>
    <w:rPr>
      <w:rFonts w:ascii="Times New Roman" w:hAnsi="Times New Roman" w:eastAsiaTheme="minorEastAsia" w:cstheme="minorBidi"/>
      <w:szCs w:val="24"/>
    </w:rPr>
  </w:style>
  <w:style w:type="character" w:customStyle="1" w:styleId="147">
    <w:name w:val="标书（正文） Char_0"/>
    <w:link w:val="148"/>
    <w:qFormat/>
    <w:uiPriority w:val="0"/>
    <w:rPr>
      <w:rFonts w:ascii="宋体" w:hAnsi="宋体"/>
      <w:kern w:val="10"/>
      <w:sz w:val="24"/>
    </w:rPr>
  </w:style>
  <w:style w:type="paragraph" w:customStyle="1" w:styleId="148">
    <w:name w:val="标书（正文）_0"/>
    <w:basedOn w:val="149"/>
    <w:link w:val="147"/>
    <w:qFormat/>
    <w:uiPriority w:val="0"/>
    <w:pPr>
      <w:spacing w:line="360" w:lineRule="auto"/>
      <w:ind w:firstLine="560" w:firstLineChars="200"/>
    </w:pPr>
    <w:rPr>
      <w:rFonts w:ascii="宋体" w:hAnsi="宋体" w:eastAsiaTheme="minorEastAsia" w:cstheme="minorBidi"/>
      <w:kern w:val="10"/>
      <w:sz w:val="24"/>
    </w:rPr>
  </w:style>
  <w:style w:type="paragraph" w:customStyle="1" w:styleId="149">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50">
    <w:name w:val="H4 Char"/>
    <w:qFormat/>
    <w:uiPriority w:val="0"/>
    <w:rPr>
      <w:rFonts w:ascii="Arial" w:hAnsi="Arial" w:eastAsia="宋体"/>
      <w:b/>
      <w:kern w:val="2"/>
      <w:sz w:val="28"/>
      <w:lang w:val="en-US" w:eastAsia="zh-CN"/>
    </w:rPr>
  </w:style>
  <w:style w:type="character" w:customStyle="1" w:styleId="151">
    <w:name w:val="访问过的超链接1"/>
    <w:qFormat/>
    <w:uiPriority w:val="0"/>
    <w:rPr>
      <w:color w:val="800080"/>
      <w:u w:val="single"/>
    </w:rPr>
  </w:style>
  <w:style w:type="character" w:customStyle="1" w:styleId="152">
    <w:name w:val="标书（正文） Char_8"/>
    <w:link w:val="153"/>
    <w:qFormat/>
    <w:uiPriority w:val="0"/>
    <w:rPr>
      <w:rFonts w:ascii="宋体" w:hAnsi="宋体"/>
      <w:kern w:val="10"/>
      <w:sz w:val="24"/>
    </w:rPr>
  </w:style>
  <w:style w:type="paragraph" w:customStyle="1" w:styleId="153">
    <w:name w:val="标书（正文）_11"/>
    <w:basedOn w:val="144"/>
    <w:link w:val="152"/>
    <w:qFormat/>
    <w:uiPriority w:val="0"/>
    <w:pPr>
      <w:spacing w:line="360" w:lineRule="auto"/>
      <w:ind w:firstLine="560" w:firstLineChars="200"/>
    </w:pPr>
    <w:rPr>
      <w:rFonts w:ascii="宋体" w:hAnsi="宋体" w:eastAsiaTheme="minorEastAsia" w:cstheme="minorBidi"/>
      <w:kern w:val="10"/>
      <w:sz w:val="24"/>
    </w:rPr>
  </w:style>
  <w:style w:type="character" w:customStyle="1" w:styleId="154">
    <w:name w:val="CD正文 Char_0_0"/>
    <w:link w:val="155"/>
    <w:qFormat/>
    <w:uiPriority w:val="0"/>
    <w:rPr>
      <w:sz w:val="30"/>
      <w:szCs w:val="28"/>
    </w:rPr>
  </w:style>
  <w:style w:type="paragraph" w:customStyle="1" w:styleId="155">
    <w:name w:val="CD正文_0_0"/>
    <w:basedOn w:val="156"/>
    <w:link w:val="154"/>
    <w:qFormat/>
    <w:uiPriority w:val="0"/>
    <w:pPr>
      <w:spacing w:line="360" w:lineRule="auto"/>
      <w:ind w:firstLine="493"/>
    </w:pPr>
    <w:rPr>
      <w:rFonts w:asciiTheme="minorHAnsi" w:hAnsiTheme="minorHAnsi" w:eastAsiaTheme="minorEastAsia" w:cstheme="minorBidi"/>
      <w:sz w:val="30"/>
      <w:szCs w:val="28"/>
    </w:rPr>
  </w:style>
  <w:style w:type="paragraph" w:customStyle="1" w:styleId="156">
    <w:name w:val="文章正文_0"/>
    <w:basedOn w:val="157"/>
    <w:qFormat/>
    <w:uiPriority w:val="0"/>
    <w:pPr>
      <w:spacing w:line="360" w:lineRule="auto"/>
      <w:ind w:firstLine="420"/>
    </w:pPr>
    <w:rPr>
      <w:rFonts w:ascii="Times New Roman" w:hAnsi="Times New Roman"/>
      <w:sz w:val="24"/>
      <w:szCs w:val="24"/>
    </w:rPr>
  </w:style>
  <w:style w:type="paragraph" w:customStyle="1" w:styleId="157">
    <w:name w:val="Normal_17"/>
    <w:qFormat/>
    <w:uiPriority w:val="0"/>
    <w:pPr>
      <w:widowControl w:val="0"/>
      <w:jc w:val="both"/>
    </w:pPr>
    <w:rPr>
      <w:rFonts w:ascii="Calibri" w:hAnsi="Calibri" w:eastAsia="宋体" w:cs="Times New Roman"/>
      <w:kern w:val="2"/>
      <w:sz w:val="21"/>
      <w:szCs w:val="24"/>
      <w:lang w:val="en-US" w:eastAsia="zh-CN" w:bidi="ar-SA"/>
    </w:rPr>
  </w:style>
  <w:style w:type="character" w:customStyle="1" w:styleId="158">
    <w:name w:val="标书（正文） Char_9"/>
    <w:link w:val="159"/>
    <w:qFormat/>
    <w:uiPriority w:val="0"/>
    <w:rPr>
      <w:rFonts w:ascii="宋体" w:hAnsi="宋体"/>
      <w:kern w:val="10"/>
      <w:sz w:val="24"/>
    </w:rPr>
  </w:style>
  <w:style w:type="paragraph" w:customStyle="1" w:styleId="159">
    <w:name w:val="标书（正文）_12"/>
    <w:basedOn w:val="93"/>
    <w:link w:val="158"/>
    <w:qFormat/>
    <w:uiPriority w:val="0"/>
    <w:pPr>
      <w:spacing w:line="360" w:lineRule="auto"/>
      <w:ind w:firstLine="560" w:firstLineChars="200"/>
    </w:pPr>
    <w:rPr>
      <w:rFonts w:ascii="宋体" w:hAnsi="宋体" w:eastAsiaTheme="minorEastAsia" w:cstheme="minorBidi"/>
      <w:kern w:val="10"/>
      <w:sz w:val="24"/>
    </w:rPr>
  </w:style>
  <w:style w:type="character" w:customStyle="1" w:styleId="160">
    <w:name w:val="列出段落 Char"/>
    <w:link w:val="161"/>
    <w:qFormat/>
    <w:uiPriority w:val="0"/>
    <w:rPr>
      <w:sz w:val="24"/>
      <w:szCs w:val="24"/>
    </w:rPr>
  </w:style>
  <w:style w:type="paragraph" w:styleId="161">
    <w:name w:val="List Paragraph"/>
    <w:basedOn w:val="1"/>
    <w:link w:val="160"/>
    <w:qFormat/>
    <w:uiPriority w:val="0"/>
    <w:pPr>
      <w:ind w:firstLine="420" w:firstLineChars="200"/>
    </w:pPr>
    <w:rPr>
      <w:rFonts w:asciiTheme="minorHAnsi" w:hAnsiTheme="minorHAnsi" w:eastAsiaTheme="minorEastAsia" w:cstheme="minorBidi"/>
      <w:sz w:val="24"/>
      <w:szCs w:val="24"/>
    </w:rPr>
  </w:style>
  <w:style w:type="character" w:customStyle="1" w:styleId="162">
    <w:name w:val="标书（正文） Char_5"/>
    <w:link w:val="163"/>
    <w:qFormat/>
    <w:uiPriority w:val="0"/>
    <w:rPr>
      <w:rFonts w:ascii="宋体" w:hAnsi="宋体"/>
      <w:kern w:val="10"/>
      <w:sz w:val="24"/>
    </w:rPr>
  </w:style>
  <w:style w:type="paragraph" w:customStyle="1" w:styleId="163">
    <w:name w:val="标书（正文）_7"/>
    <w:basedOn w:val="105"/>
    <w:link w:val="162"/>
    <w:qFormat/>
    <w:uiPriority w:val="0"/>
    <w:pPr>
      <w:spacing w:line="360" w:lineRule="auto"/>
      <w:ind w:firstLine="560" w:firstLineChars="200"/>
    </w:pPr>
    <w:rPr>
      <w:rFonts w:ascii="宋体" w:hAnsi="宋体" w:eastAsiaTheme="minorEastAsia" w:cstheme="minorBidi"/>
      <w:kern w:val="10"/>
      <w:sz w:val="24"/>
    </w:rPr>
  </w:style>
  <w:style w:type="character" w:customStyle="1" w:styleId="164">
    <w:name w:val="magic-list1"/>
    <w:qFormat/>
    <w:uiPriority w:val="0"/>
    <w:rPr>
      <w:rFonts w:hint="default" w:ascii="ˎ̥" w:hAnsi="ˎ̥"/>
      <w:color w:val="000000"/>
      <w:sz w:val="20"/>
      <w:u w:val="none"/>
    </w:rPr>
  </w:style>
  <w:style w:type="character" w:customStyle="1" w:styleId="165">
    <w:name w:val="标书（正文） Char_6"/>
    <w:link w:val="166"/>
    <w:qFormat/>
    <w:uiPriority w:val="0"/>
    <w:rPr>
      <w:rFonts w:ascii="宋体" w:hAnsi="宋体"/>
      <w:kern w:val="10"/>
      <w:sz w:val="24"/>
    </w:rPr>
  </w:style>
  <w:style w:type="paragraph" w:customStyle="1" w:styleId="166">
    <w:name w:val="标书（正文）_8"/>
    <w:basedOn w:val="122"/>
    <w:link w:val="165"/>
    <w:qFormat/>
    <w:uiPriority w:val="0"/>
    <w:pPr>
      <w:spacing w:line="360" w:lineRule="auto"/>
      <w:ind w:firstLine="560" w:firstLineChars="200"/>
    </w:pPr>
    <w:rPr>
      <w:rFonts w:ascii="宋体" w:hAnsi="宋体" w:eastAsiaTheme="minorEastAsia" w:cstheme="minorBidi"/>
      <w:kern w:val="10"/>
      <w:sz w:val="24"/>
    </w:rPr>
  </w:style>
  <w:style w:type="paragraph" w:customStyle="1" w:styleId="167">
    <w:name w:val="默认段落字体 Para Char Char Char Char Char Char Char"/>
    <w:basedOn w:val="1"/>
    <w:qFormat/>
    <w:uiPriority w:val="0"/>
    <w:rPr>
      <w:rFonts w:ascii="Tahoma" w:hAnsi="Tahoma"/>
      <w:szCs w:val="20"/>
    </w:rPr>
  </w:style>
  <w:style w:type="paragraph" w:customStyle="1" w:styleId="168">
    <w:name w:val="标书（正文）_10_0"/>
    <w:basedOn w:val="169"/>
    <w:qFormat/>
    <w:uiPriority w:val="0"/>
    <w:pPr>
      <w:spacing w:line="360" w:lineRule="auto"/>
      <w:ind w:firstLine="560" w:firstLineChars="200"/>
    </w:pPr>
    <w:rPr>
      <w:rFonts w:ascii="宋体" w:hAnsi="宋体"/>
      <w:kern w:val="10"/>
      <w:sz w:val="24"/>
      <w:szCs w:val="20"/>
      <w:lang w:val="en-US" w:eastAsia="zh-CN"/>
    </w:rPr>
  </w:style>
  <w:style w:type="paragraph" w:customStyle="1" w:styleId="169">
    <w:name w:val="正文_11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0">
    <w:name w:val="MM Topic 7"/>
    <w:basedOn w:val="9"/>
    <w:qFormat/>
    <w:uiPriority w:val="0"/>
    <w:pPr>
      <w:keepLines/>
      <w:tabs>
        <w:tab w:val="left" w:pos="3827"/>
        <w:tab w:val="clear" w:pos="3600"/>
      </w:tabs>
      <w:spacing w:before="240" w:after="64" w:line="317" w:lineRule="auto"/>
    </w:pPr>
    <w:rPr>
      <w:rFonts w:ascii="Times New Roman" w:hAnsi="Times New Roman"/>
      <w:kern w:val="2"/>
      <w:sz w:val="24"/>
      <w:lang w:eastAsia="zh-CN"/>
    </w:rPr>
  </w:style>
  <w:style w:type="paragraph" w:customStyle="1" w:styleId="171">
    <w:name w:val="标书（正文）_5_0"/>
    <w:basedOn w:val="172"/>
    <w:qFormat/>
    <w:uiPriority w:val="0"/>
    <w:pPr>
      <w:spacing w:line="360" w:lineRule="auto"/>
      <w:ind w:firstLine="560" w:firstLineChars="200"/>
    </w:pPr>
    <w:rPr>
      <w:rFonts w:ascii="宋体" w:hAnsi="宋体"/>
      <w:kern w:val="10"/>
      <w:sz w:val="24"/>
      <w:szCs w:val="20"/>
      <w:lang w:val="en-US" w:eastAsia="zh-CN"/>
    </w:rPr>
  </w:style>
  <w:style w:type="paragraph" w:customStyle="1" w:styleId="172">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3">
    <w:name w:val="样式 正文缩进 + (中文) 仿宋_GB2312 小四 Char"/>
    <w:basedOn w:val="13"/>
    <w:qFormat/>
    <w:uiPriority w:val="0"/>
    <w:pPr>
      <w:ind w:firstLine="480"/>
    </w:pPr>
    <w:rPr>
      <w:rFonts w:ascii="宋体" w:hAnsi="宋体"/>
      <w:sz w:val="24"/>
      <w:szCs w:val="20"/>
    </w:rPr>
  </w:style>
  <w:style w:type="paragraph" w:customStyle="1" w:styleId="174">
    <w:name w:val="Normal_6"/>
    <w:qFormat/>
    <w:uiPriority w:val="0"/>
    <w:rPr>
      <w:rFonts w:ascii="黑体" w:hAnsi="黑体" w:eastAsia="黑体" w:cs="Times New Roman"/>
      <w:b/>
      <w:kern w:val="0"/>
      <w:sz w:val="32"/>
      <w:szCs w:val="24"/>
      <w:lang w:val="en-US" w:eastAsia="zh-CN" w:bidi="ar-SA"/>
    </w:rPr>
  </w:style>
  <w:style w:type="paragraph" w:customStyle="1" w:styleId="175">
    <w:name w:val="MM Topic 3"/>
    <w:basedOn w:val="5"/>
    <w:qFormat/>
    <w:uiPriority w:val="0"/>
    <w:pPr>
      <w:tabs>
        <w:tab w:val="left" w:pos="1418"/>
      </w:tabs>
      <w:ind w:left="0" w:firstLine="0"/>
    </w:pPr>
    <w:rPr>
      <w:rFonts w:ascii="Times New Roman" w:hAnsi="Times New Roman"/>
      <w:bCs w:val="0"/>
      <w:szCs w:val="20"/>
    </w:rPr>
  </w:style>
  <w:style w:type="paragraph" w:customStyle="1" w:styleId="176">
    <w:name w:val="样式2"/>
    <w:basedOn w:val="1"/>
    <w:qFormat/>
    <w:uiPriority w:val="0"/>
    <w:pPr>
      <w:adjustRightInd w:val="0"/>
      <w:spacing w:line="410" w:lineRule="atLeast"/>
      <w:textAlignment w:val="baseline"/>
    </w:pPr>
    <w:rPr>
      <w:szCs w:val="20"/>
    </w:rPr>
  </w:style>
  <w:style w:type="paragraph" w:customStyle="1" w:styleId="177">
    <w:name w:val="默认段落字体 Para Char Char Char Char Char Char Char Char Char Char Char Char Char Char Char Char"/>
    <w:basedOn w:val="16"/>
    <w:qFormat/>
    <w:uiPriority w:val="0"/>
    <w:pPr>
      <w:shd w:val="clear" w:color="auto" w:fill="000080"/>
      <w:adjustRightInd w:val="0"/>
      <w:spacing w:line="436" w:lineRule="exact"/>
      <w:ind w:left="357"/>
      <w:outlineLvl w:val="3"/>
    </w:pPr>
    <w:rPr>
      <w:rFonts w:ascii="Tahoma" w:hAnsi="Tahoma"/>
      <w:b/>
      <w:kern w:val="2"/>
      <w:sz w:val="24"/>
      <w:szCs w:val="24"/>
    </w:rPr>
  </w:style>
  <w:style w:type="paragraph" w:customStyle="1" w:styleId="178">
    <w:name w:val="样式 首行缩进:  2 字符"/>
    <w:basedOn w:val="1"/>
    <w:qFormat/>
    <w:uiPriority w:val="0"/>
    <w:pPr>
      <w:spacing w:line="400" w:lineRule="exact"/>
      <w:ind w:firstLine="200" w:firstLineChars="200"/>
    </w:pPr>
    <w:rPr>
      <w:rFonts w:ascii="Times New Roman" w:hAnsi="Times New Roman"/>
      <w:sz w:val="24"/>
      <w:szCs w:val="24"/>
    </w:rPr>
  </w:style>
  <w:style w:type="paragraph" w:customStyle="1" w:styleId="179">
    <w:name w:val="Char1 Char Char Char"/>
    <w:basedOn w:val="1"/>
    <w:next w:val="1"/>
    <w:qFormat/>
    <w:uiPriority w:val="0"/>
    <w:pPr>
      <w:spacing w:line="240" w:lineRule="atLeast"/>
      <w:ind w:left="420" w:firstLine="420"/>
    </w:pPr>
    <w:rPr>
      <w:szCs w:val="20"/>
    </w:rPr>
  </w:style>
  <w:style w:type="paragraph" w:customStyle="1" w:styleId="180">
    <w:name w:val="默认段落字体 Para Char Char Char1 Char"/>
    <w:basedOn w:val="1"/>
    <w:next w:val="1"/>
    <w:qFormat/>
    <w:uiPriority w:val="0"/>
    <w:pPr>
      <w:spacing w:line="240" w:lineRule="atLeast"/>
      <w:ind w:left="420" w:firstLine="420"/>
    </w:pPr>
    <w:rPr>
      <w:szCs w:val="21"/>
    </w:rPr>
  </w:style>
  <w:style w:type="paragraph" w:customStyle="1" w:styleId="181">
    <w:name w:val="*正文_5"/>
    <w:basedOn w:val="111"/>
    <w:qFormat/>
    <w:uiPriority w:val="0"/>
    <w:pPr>
      <w:widowControl/>
      <w:spacing w:line="360" w:lineRule="auto"/>
      <w:ind w:firstLine="200" w:firstLineChars="200"/>
      <w:jc w:val="left"/>
    </w:pPr>
    <w:rPr>
      <w:rFonts w:ascii="宋体"/>
      <w:sz w:val="24"/>
      <w:szCs w:val="28"/>
      <w:lang w:val="en-US" w:eastAsia="zh-CN"/>
    </w:rPr>
  </w:style>
  <w:style w:type="paragraph" w:customStyle="1" w:styleId="182">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83">
    <w:name w:val="Char1"/>
    <w:basedOn w:val="1"/>
    <w:next w:val="1"/>
    <w:qFormat/>
    <w:uiPriority w:val="0"/>
    <w:pPr>
      <w:spacing w:line="240" w:lineRule="atLeast"/>
      <w:ind w:left="420" w:firstLine="420"/>
    </w:pPr>
    <w:rPr>
      <w:szCs w:val="21"/>
    </w:rPr>
  </w:style>
  <w:style w:type="paragraph" w:customStyle="1" w:styleId="184">
    <w:name w:val="Normal_8"/>
    <w:qFormat/>
    <w:uiPriority w:val="0"/>
    <w:rPr>
      <w:rFonts w:ascii="黑体" w:hAnsi="黑体" w:eastAsia="黑体" w:cs="Times New Roman"/>
      <w:b/>
      <w:kern w:val="0"/>
      <w:sz w:val="32"/>
      <w:szCs w:val="24"/>
      <w:lang w:val="en-US" w:eastAsia="zh-CN" w:bidi="ar-SA"/>
    </w:rPr>
  </w:style>
  <w:style w:type="paragraph" w:customStyle="1" w:styleId="185">
    <w:name w:val="*正文_7"/>
    <w:basedOn w:val="102"/>
    <w:qFormat/>
    <w:uiPriority w:val="0"/>
    <w:pPr>
      <w:widowControl/>
      <w:spacing w:line="360" w:lineRule="auto"/>
      <w:ind w:firstLine="200" w:firstLineChars="200"/>
      <w:jc w:val="left"/>
    </w:pPr>
    <w:rPr>
      <w:rFonts w:ascii="宋体"/>
      <w:sz w:val="24"/>
      <w:szCs w:val="28"/>
      <w:lang w:val="en-US" w:eastAsia="zh-CN"/>
    </w:rPr>
  </w:style>
  <w:style w:type="paragraph" w:customStyle="1" w:styleId="186">
    <w:name w:val="_Style 23"/>
    <w:basedOn w:val="1"/>
    <w:qFormat/>
    <w:uiPriority w:val="0"/>
    <w:pPr>
      <w:ind w:firstLine="420" w:firstLineChars="200"/>
    </w:pPr>
  </w:style>
  <w:style w:type="paragraph" w:customStyle="1" w:styleId="187">
    <w:name w:val="*正文_9"/>
    <w:basedOn w:val="93"/>
    <w:qFormat/>
    <w:uiPriority w:val="0"/>
    <w:pPr>
      <w:widowControl/>
      <w:spacing w:line="360" w:lineRule="auto"/>
      <w:ind w:firstLine="200" w:firstLineChars="200"/>
      <w:jc w:val="left"/>
    </w:pPr>
    <w:rPr>
      <w:rFonts w:ascii="宋体"/>
      <w:sz w:val="24"/>
      <w:szCs w:val="28"/>
      <w:lang w:val="en-US" w:eastAsia="zh-CN"/>
    </w:rPr>
  </w:style>
  <w:style w:type="paragraph" w:customStyle="1" w:styleId="188">
    <w:name w:val="TOC Heading"/>
    <w:basedOn w:val="3"/>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189">
    <w:name w:val="正文序号 2"/>
    <w:basedOn w:val="1"/>
    <w:qFormat/>
    <w:uiPriority w:val="0"/>
    <w:pPr>
      <w:tabs>
        <w:tab w:val="left" w:pos="1049"/>
      </w:tabs>
      <w:spacing w:before="60"/>
      <w:ind w:left="431" w:hanging="431"/>
    </w:pPr>
    <w:rPr>
      <w:szCs w:val="20"/>
    </w:rPr>
  </w:style>
  <w:style w:type="paragraph" w:customStyle="1" w:styleId="190">
    <w:name w:val="p4"/>
    <w:basedOn w:val="1"/>
    <w:qFormat/>
    <w:uiPriority w:val="0"/>
    <w:pPr>
      <w:spacing w:before="100" w:beforeAutospacing="1" w:after="100" w:afterAutospacing="1" w:line="360" w:lineRule="auto"/>
      <w:ind w:firstLine="360"/>
    </w:pPr>
  </w:style>
  <w:style w:type="paragraph" w:customStyle="1" w:styleId="191">
    <w:name w:val="Char2 Char Char Char Char Char Char"/>
    <w:basedOn w:val="1"/>
    <w:qFormat/>
    <w:uiPriority w:val="0"/>
    <w:rPr>
      <w:rFonts w:ascii="仿宋_GB2312"/>
      <w:b/>
      <w:sz w:val="30"/>
      <w:szCs w:val="20"/>
    </w:rPr>
  </w:style>
  <w:style w:type="paragraph" w:customStyle="1" w:styleId="192">
    <w:name w:val="默认段落字体 Para Char Char"/>
    <w:basedOn w:val="1"/>
    <w:qFormat/>
    <w:uiPriority w:val="0"/>
    <w:rPr>
      <w:szCs w:val="20"/>
    </w:rPr>
  </w:style>
  <w:style w:type="paragraph" w:customStyle="1" w:styleId="193">
    <w:name w:val="文章正文 Char Char1 Char"/>
    <w:basedOn w:val="1"/>
    <w:qFormat/>
    <w:uiPriority w:val="0"/>
    <w:pPr>
      <w:spacing w:line="360" w:lineRule="auto"/>
      <w:ind w:firstLine="420"/>
    </w:pPr>
  </w:style>
  <w:style w:type="paragraph" w:customStyle="1" w:styleId="194">
    <w:name w:val="默认段落字体 Para Char Char Char Char"/>
    <w:basedOn w:val="1"/>
    <w:qFormat/>
    <w:uiPriority w:val="0"/>
  </w:style>
  <w:style w:type="paragraph" w:customStyle="1" w:styleId="195">
    <w:name w:val="Normal_3"/>
    <w:qFormat/>
    <w:uiPriority w:val="0"/>
    <w:rPr>
      <w:rFonts w:ascii="黑体" w:hAnsi="黑体" w:eastAsia="黑体" w:cs="Times New Roman"/>
      <w:b/>
      <w:kern w:val="0"/>
      <w:sz w:val="32"/>
      <w:szCs w:val="24"/>
      <w:lang w:val="en-US" w:eastAsia="zh-CN" w:bidi="ar-SA"/>
    </w:rPr>
  </w:style>
  <w:style w:type="paragraph" w:customStyle="1" w:styleId="196">
    <w:name w:val="MM Topic 8"/>
    <w:basedOn w:val="10"/>
    <w:qFormat/>
    <w:uiPriority w:val="0"/>
    <w:pPr>
      <w:tabs>
        <w:tab w:val="left" w:pos="4394"/>
      </w:tabs>
    </w:pPr>
  </w:style>
  <w:style w:type="paragraph" w:customStyle="1" w:styleId="197">
    <w:name w:val="*正文_8"/>
    <w:basedOn w:val="144"/>
    <w:qFormat/>
    <w:uiPriority w:val="0"/>
    <w:pPr>
      <w:widowControl/>
      <w:spacing w:line="360" w:lineRule="auto"/>
      <w:ind w:firstLine="200" w:firstLineChars="200"/>
      <w:jc w:val="left"/>
    </w:pPr>
    <w:rPr>
      <w:rFonts w:ascii="宋体"/>
      <w:sz w:val="24"/>
      <w:szCs w:val="28"/>
      <w:lang w:val="en-US" w:eastAsia="zh-CN"/>
    </w:rPr>
  </w:style>
  <w:style w:type="paragraph" w:customStyle="1" w:styleId="198">
    <w:name w:val="*正文_4"/>
    <w:basedOn w:val="111"/>
    <w:qFormat/>
    <w:uiPriority w:val="0"/>
    <w:pPr>
      <w:widowControl/>
      <w:spacing w:line="360" w:lineRule="auto"/>
      <w:ind w:firstLine="200" w:firstLineChars="200"/>
      <w:jc w:val="left"/>
    </w:pPr>
    <w:rPr>
      <w:rFonts w:ascii="宋体"/>
      <w:sz w:val="24"/>
      <w:szCs w:val="28"/>
      <w:lang w:val="en-US" w:eastAsia="zh-CN"/>
    </w:rPr>
  </w:style>
  <w:style w:type="paragraph" w:customStyle="1" w:styleId="199">
    <w:name w:val="Char12"/>
    <w:basedOn w:val="1"/>
    <w:qFormat/>
    <w:uiPriority w:val="0"/>
    <w:pPr>
      <w:spacing w:after="160" w:line="240" w:lineRule="exact"/>
    </w:pPr>
    <w:rPr>
      <w:rFonts w:ascii="Tahoma" w:hAnsi="Tahoma"/>
      <w:lang w:eastAsia="en-US"/>
    </w:rPr>
  </w:style>
  <w:style w:type="paragraph" w:customStyle="1" w:styleId="200">
    <w:name w:val="xl26"/>
    <w:basedOn w:val="1"/>
    <w:qFormat/>
    <w:uiPriority w:val="0"/>
    <w:pPr>
      <w:pBdr>
        <w:top w:val="single" w:color="auto" w:sz="4" w:space="0"/>
        <w:left w:val="single" w:color="auto" w:sz="4" w:space="0"/>
        <w:right w:val="single" w:color="auto" w:sz="4" w:space="0"/>
      </w:pBdr>
      <w:spacing w:before="100" w:beforeAutospacing="1" w:after="100" w:afterAutospacing="1"/>
    </w:pPr>
    <w:rPr>
      <w:sz w:val="22"/>
    </w:rPr>
  </w:style>
  <w:style w:type="paragraph" w:customStyle="1" w:styleId="201">
    <w:name w:val="*正文_0"/>
    <w:basedOn w:val="149"/>
    <w:qFormat/>
    <w:uiPriority w:val="0"/>
    <w:pPr>
      <w:widowControl/>
      <w:spacing w:line="360" w:lineRule="auto"/>
      <w:ind w:firstLine="200" w:firstLineChars="200"/>
      <w:jc w:val="left"/>
    </w:pPr>
    <w:rPr>
      <w:rFonts w:ascii="宋体"/>
      <w:sz w:val="24"/>
      <w:szCs w:val="28"/>
      <w:lang w:val="en-US" w:eastAsia="zh-CN"/>
    </w:rPr>
  </w:style>
  <w:style w:type="paragraph" w:customStyle="1" w:styleId="202">
    <w:name w:val="正文_1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3">
    <w:name w:val="正文_2_0"/>
    <w:next w:val="1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4">
    <w:name w:val="Normal_7"/>
    <w:qFormat/>
    <w:uiPriority w:val="0"/>
    <w:rPr>
      <w:rFonts w:ascii="黑体" w:hAnsi="黑体" w:eastAsia="黑体" w:cs="Times New Roman"/>
      <w:b/>
      <w:kern w:val="0"/>
      <w:sz w:val="32"/>
      <w:szCs w:val="24"/>
      <w:lang w:val="en-US" w:eastAsia="zh-CN" w:bidi="ar-SA"/>
    </w:rPr>
  </w:style>
  <w:style w:type="paragraph" w:customStyle="1" w:styleId="205">
    <w:name w:val="MM Topic 5"/>
    <w:basedOn w:val="7"/>
    <w:qFormat/>
    <w:uiPriority w:val="0"/>
    <w:pPr>
      <w:tabs>
        <w:tab w:val="left" w:pos="2551"/>
      </w:tabs>
      <w:autoSpaceDE/>
      <w:autoSpaceDN/>
      <w:adjustRightInd/>
      <w:spacing w:line="372" w:lineRule="auto"/>
    </w:pPr>
    <w:rPr>
      <w:bCs w:val="0"/>
      <w:kern w:val="2"/>
      <w:szCs w:val="20"/>
    </w:rPr>
  </w:style>
  <w:style w:type="paragraph" w:customStyle="1" w:styleId="206">
    <w:name w:val="标准正文"/>
    <w:basedOn w:val="1"/>
    <w:qFormat/>
    <w:uiPriority w:val="0"/>
    <w:pPr>
      <w:adjustRightInd w:val="0"/>
      <w:spacing w:before="120" w:line="400" w:lineRule="atLeast"/>
      <w:ind w:firstLine="576"/>
      <w:textAlignment w:val="baseline"/>
    </w:pPr>
    <w:rPr>
      <w:rFonts w:eastAsia="楷体_GB2312"/>
      <w:sz w:val="28"/>
      <w:szCs w:val="20"/>
    </w:rPr>
  </w:style>
  <w:style w:type="paragraph" w:customStyle="1" w:styleId="20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8">
    <w:name w:val="Normal_11"/>
    <w:qFormat/>
    <w:uiPriority w:val="0"/>
    <w:rPr>
      <w:rFonts w:ascii="黑体" w:hAnsi="黑体" w:eastAsia="黑体" w:cs="Times New Roman"/>
      <w:b/>
      <w:kern w:val="0"/>
      <w:sz w:val="32"/>
      <w:szCs w:val="24"/>
      <w:lang w:val="en-US" w:eastAsia="zh-CN" w:bidi="ar-SA"/>
    </w:rPr>
  </w:style>
  <w:style w:type="paragraph" w:customStyle="1" w:styleId="209">
    <w:name w:val="列出段落2"/>
    <w:basedOn w:val="1"/>
    <w:qFormat/>
    <w:uiPriority w:val="34"/>
    <w:pPr>
      <w:ind w:firstLine="420" w:firstLineChars="200"/>
    </w:pPr>
    <w:rPr>
      <w:rFonts w:eastAsia="方正仿宋"/>
      <w:sz w:val="32"/>
    </w:rPr>
  </w:style>
  <w:style w:type="paragraph" w:customStyle="1" w:styleId="210">
    <w:name w:val="Char1 Char Char Char Char Char Char"/>
    <w:basedOn w:val="1"/>
    <w:qFormat/>
    <w:uiPriority w:val="0"/>
    <w:rPr>
      <w:rFonts w:ascii="Tahoma" w:hAnsi="Tahoma"/>
      <w:szCs w:val="20"/>
    </w:rPr>
  </w:style>
  <w:style w:type="paragraph" w:customStyle="1" w:styleId="211">
    <w:name w:val="样式 仿宋_GB2312 小四 左侧:  0.63"/>
    <w:basedOn w:val="1"/>
    <w:qFormat/>
    <w:uiPriority w:val="0"/>
    <w:pPr>
      <w:spacing w:before="120" w:after="120" w:line="360" w:lineRule="auto"/>
      <w:ind w:left="357" w:firstLine="200" w:firstLineChars="200"/>
    </w:pPr>
    <w:rPr>
      <w:rFonts w:ascii="仿宋_GB2312" w:hAnsi="仿宋_GB2312" w:eastAsia="仿宋_GB2312"/>
      <w:szCs w:val="20"/>
    </w:rPr>
  </w:style>
  <w:style w:type="paragraph" w:customStyle="1" w:styleId="212">
    <w:name w:val="gb_master正文"/>
    <w:basedOn w:val="1"/>
    <w:qFormat/>
    <w:uiPriority w:val="0"/>
    <w:pPr>
      <w:ind w:firstLine="200" w:firstLineChars="200"/>
    </w:pPr>
  </w:style>
  <w:style w:type="paragraph" w:customStyle="1" w:styleId="213">
    <w:name w:val="*正文_6"/>
    <w:basedOn w:val="122"/>
    <w:qFormat/>
    <w:uiPriority w:val="0"/>
    <w:pPr>
      <w:widowControl/>
      <w:spacing w:line="360" w:lineRule="auto"/>
      <w:ind w:firstLine="200" w:firstLineChars="200"/>
      <w:jc w:val="left"/>
    </w:pPr>
    <w:rPr>
      <w:rFonts w:ascii="宋体" w:hAnsi="Times New Roman"/>
      <w:sz w:val="24"/>
      <w:szCs w:val="28"/>
      <w:lang w:val="en-US" w:eastAsia="zh-CN"/>
    </w:rPr>
  </w:style>
  <w:style w:type="paragraph" w:customStyle="1" w:styleId="214">
    <w:name w:val="表格题注"/>
    <w:next w:val="1"/>
    <w:qFormat/>
    <w:uiPriority w:val="0"/>
    <w:pPr>
      <w:keepLines/>
      <w:tabs>
        <w:tab w:val="left" w:pos="1559"/>
      </w:tabs>
      <w:spacing w:beforeLines="100"/>
      <w:ind w:left="1559" w:hanging="1559"/>
      <w:jc w:val="center"/>
    </w:pPr>
    <w:rPr>
      <w:rFonts w:ascii="Arial" w:hAnsi="Arial" w:eastAsia="宋体" w:cs="Times New Roman"/>
      <w:kern w:val="0"/>
      <w:sz w:val="18"/>
      <w:szCs w:val="20"/>
      <w:lang w:val="en-US" w:eastAsia="zh-CN" w:bidi="ar-SA"/>
    </w:rPr>
  </w:style>
  <w:style w:type="paragraph" w:customStyle="1" w:styleId="215">
    <w:name w:val="Char11"/>
    <w:basedOn w:val="1"/>
    <w:next w:val="1"/>
    <w:qFormat/>
    <w:uiPriority w:val="0"/>
    <w:pPr>
      <w:spacing w:line="240" w:lineRule="atLeast"/>
      <w:ind w:left="420" w:firstLine="420"/>
    </w:pPr>
    <w:rPr>
      <w:szCs w:val="21"/>
    </w:rPr>
  </w:style>
  <w:style w:type="paragraph" w:customStyle="1" w:styleId="216">
    <w:name w:val="彩色列表 - 强调文字颜色1"/>
    <w:basedOn w:val="1"/>
    <w:qFormat/>
    <w:uiPriority w:val="0"/>
    <w:pPr>
      <w:ind w:firstLine="420" w:firstLineChars="200"/>
    </w:pPr>
    <w:rPr>
      <w:rFonts w:ascii="Calibri" w:hAnsi="Calibri"/>
    </w:rPr>
  </w:style>
  <w:style w:type="paragraph" w:customStyle="1" w:styleId="217">
    <w:name w:val="表格文字"/>
    <w:basedOn w:val="1"/>
    <w:qFormat/>
    <w:uiPriority w:val="0"/>
    <w:pPr>
      <w:spacing w:beforeLines="25" w:afterLines="25"/>
    </w:pPr>
    <w:rPr>
      <w:rFonts w:ascii="Times New (W1)" w:hAnsi="Times New (W1)"/>
      <w:spacing w:val="10"/>
      <w:szCs w:val="20"/>
    </w:rPr>
  </w:style>
  <w:style w:type="paragraph" w:customStyle="1" w:styleId="218">
    <w:name w:val="Char Char Char Char Char Char Char Char Char Char Char Char Char"/>
    <w:basedOn w:val="16"/>
    <w:qFormat/>
    <w:uiPriority w:val="0"/>
    <w:pPr>
      <w:shd w:val="clear" w:color="auto" w:fill="000080"/>
    </w:pPr>
    <w:rPr>
      <w:rFonts w:ascii="Tahoma" w:hAnsi="Tahoma"/>
      <w:kern w:val="2"/>
      <w:sz w:val="24"/>
      <w:szCs w:val="20"/>
    </w:rPr>
  </w:style>
  <w:style w:type="paragraph" w:customStyle="1" w:styleId="219">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220">
    <w:name w:val="MM Topic 6"/>
    <w:basedOn w:val="8"/>
    <w:qFormat/>
    <w:uiPriority w:val="0"/>
    <w:pPr>
      <w:tabs>
        <w:tab w:val="left" w:pos="3260"/>
      </w:tabs>
      <w:spacing w:line="317" w:lineRule="auto"/>
      <w:ind w:left="0" w:firstLine="0"/>
    </w:pPr>
    <w:rPr>
      <w:bCs w:val="0"/>
      <w:sz w:val="28"/>
      <w:szCs w:val="20"/>
    </w:rPr>
  </w:style>
  <w:style w:type="paragraph" w:customStyle="1" w:styleId="221">
    <w:name w:val="正文序号 1"/>
    <w:basedOn w:val="1"/>
    <w:qFormat/>
    <w:uiPriority w:val="0"/>
    <w:pPr>
      <w:tabs>
        <w:tab w:val="left" w:pos="839"/>
      </w:tabs>
      <w:spacing w:before="60"/>
      <w:ind w:left="431" w:hanging="431"/>
    </w:pPr>
    <w:rPr>
      <w:szCs w:val="20"/>
    </w:rPr>
  </w:style>
  <w:style w:type="paragraph" w:customStyle="1" w:styleId="222">
    <w:name w:val="标题 5 + 首行缩进:"/>
    <w:basedOn w:val="7"/>
    <w:next w:val="20"/>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223">
    <w:name w:val="Normal_14"/>
    <w:qFormat/>
    <w:uiPriority w:val="0"/>
    <w:rPr>
      <w:rFonts w:ascii="黑体" w:hAnsi="黑体" w:eastAsia="黑体" w:cs="Times New Roman"/>
      <w:b/>
      <w:kern w:val="0"/>
      <w:sz w:val="32"/>
      <w:szCs w:val="24"/>
      <w:lang w:val="en-US" w:eastAsia="zh-CN" w:bidi="ar-SA"/>
    </w:rPr>
  </w:style>
  <w:style w:type="paragraph" w:customStyle="1" w:styleId="224">
    <w:name w:val="WW-正文（首行缩进两字）"/>
    <w:basedOn w:val="1"/>
    <w:qFormat/>
    <w:uiPriority w:val="0"/>
    <w:pPr>
      <w:autoSpaceDE w:val="0"/>
      <w:autoSpaceDN w:val="0"/>
      <w:adjustRightInd w:val="0"/>
      <w:ind w:firstLine="420"/>
    </w:pPr>
    <w:rPr>
      <w:szCs w:val="21"/>
    </w:rPr>
  </w:style>
  <w:style w:type="paragraph" w:customStyle="1" w:styleId="225">
    <w:name w:val="Normal_5"/>
    <w:next w:val="226"/>
    <w:qFormat/>
    <w:uiPriority w:val="0"/>
    <w:rPr>
      <w:rFonts w:ascii="黑体" w:hAnsi="黑体" w:eastAsia="黑体" w:cs="Times New Roman"/>
      <w:b/>
      <w:kern w:val="0"/>
      <w:sz w:val="32"/>
      <w:szCs w:val="24"/>
      <w:lang w:val="en-US" w:eastAsia="zh-CN" w:bidi="ar-SA"/>
    </w:rPr>
  </w:style>
  <w:style w:type="paragraph" w:customStyle="1" w:styleId="226">
    <w:name w:val="Body Text"/>
    <w:basedOn w:val="225"/>
    <w:next w:val="225"/>
    <w:qFormat/>
    <w:uiPriority w:val="0"/>
    <w:pPr>
      <w:spacing w:after="120"/>
    </w:pPr>
  </w:style>
  <w:style w:type="paragraph" w:customStyle="1" w:styleId="227">
    <w:name w:val="*正文_1"/>
    <w:basedOn w:val="108"/>
    <w:qFormat/>
    <w:uiPriority w:val="0"/>
    <w:pPr>
      <w:widowControl/>
      <w:spacing w:line="360" w:lineRule="auto"/>
      <w:ind w:firstLine="200" w:firstLineChars="200"/>
      <w:jc w:val="left"/>
    </w:pPr>
    <w:rPr>
      <w:rFonts w:ascii="宋体"/>
      <w:sz w:val="24"/>
      <w:szCs w:val="28"/>
      <w:lang w:val="en-US" w:eastAsia="zh-CN"/>
    </w:rPr>
  </w:style>
  <w:style w:type="paragraph" w:customStyle="1" w:styleId="228">
    <w:name w:val="修订1"/>
    <w:unhideWhenUsed/>
    <w:qFormat/>
    <w:uiPriority w:val="99"/>
    <w:rPr>
      <w:rFonts w:ascii="Times New Roman" w:hAnsi="Times New Roman" w:eastAsia="宋体" w:cs="Times New Roman"/>
      <w:kern w:val="0"/>
      <w:sz w:val="24"/>
      <w:szCs w:val="24"/>
      <w:lang w:val="en-US" w:eastAsia="zh-CN" w:bidi="ar-SA"/>
    </w:rPr>
  </w:style>
  <w:style w:type="paragraph" w:customStyle="1" w:styleId="229">
    <w:name w:val="1 Char"/>
    <w:basedOn w:val="1"/>
    <w:qFormat/>
    <w:uiPriority w:val="0"/>
    <w:pPr>
      <w:spacing w:after="160" w:line="240" w:lineRule="exact"/>
    </w:pPr>
    <w:rPr>
      <w:rFonts w:ascii="Tahoma" w:hAnsi="Tahoma" w:eastAsia="Times New Roman"/>
      <w:lang w:eastAsia="en-US"/>
    </w:rPr>
  </w:style>
  <w:style w:type="paragraph" w:customStyle="1" w:styleId="230">
    <w:name w:val="标书（正文）_10"/>
    <w:basedOn w:val="144"/>
    <w:qFormat/>
    <w:uiPriority w:val="0"/>
    <w:pPr>
      <w:spacing w:line="360" w:lineRule="auto"/>
      <w:ind w:firstLine="560" w:firstLineChars="200"/>
    </w:pPr>
    <w:rPr>
      <w:rFonts w:ascii="宋体" w:hAnsi="宋体"/>
      <w:kern w:val="10"/>
      <w:sz w:val="24"/>
      <w:szCs w:val="20"/>
      <w:lang w:val="en-US" w:eastAsia="zh-CN"/>
    </w:rPr>
  </w:style>
  <w:style w:type="paragraph" w:customStyle="1" w:styleId="231">
    <w:name w:val="Normal_12"/>
    <w:qFormat/>
    <w:uiPriority w:val="0"/>
    <w:rPr>
      <w:rFonts w:ascii="黑体" w:hAnsi="黑体" w:eastAsia="黑体" w:cs="Times New Roman"/>
      <w:b/>
      <w:kern w:val="0"/>
      <w:sz w:val="32"/>
      <w:szCs w:val="24"/>
      <w:lang w:val="en-US" w:eastAsia="zh-CN" w:bidi="ar-SA"/>
    </w:rPr>
  </w:style>
  <w:style w:type="paragraph" w:customStyle="1" w:styleId="232">
    <w:name w:val="Char2 Char Char Char"/>
    <w:basedOn w:val="1"/>
    <w:qFormat/>
    <w:uiPriority w:val="0"/>
    <w:rPr>
      <w:rFonts w:ascii="仿宋_GB2312"/>
      <w:b/>
      <w:sz w:val="30"/>
      <w:szCs w:val="20"/>
    </w:rPr>
  </w:style>
  <w:style w:type="paragraph" w:customStyle="1" w:styleId="233">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234">
    <w:name w:val="MM Title"/>
    <w:basedOn w:val="1"/>
    <w:qFormat/>
    <w:uiPriority w:val="0"/>
    <w:pPr>
      <w:spacing w:before="240" w:after="60"/>
      <w:jc w:val="center"/>
      <w:outlineLvl w:val="0"/>
    </w:pPr>
    <w:rPr>
      <w:rFonts w:ascii="Arial" w:hAnsi="Arial"/>
      <w:b/>
      <w:sz w:val="32"/>
      <w:szCs w:val="20"/>
    </w:rPr>
  </w:style>
  <w:style w:type="paragraph" w:customStyle="1" w:styleId="235">
    <w:name w:val="样式 标题 2proj2proj21proj22proj23proj24proj25proj26proj27p...1"/>
    <w:basedOn w:val="4"/>
    <w:qFormat/>
    <w:uiPriority w:val="0"/>
    <w:pPr>
      <w:keepNext w:val="0"/>
      <w:keepLines w:val="0"/>
      <w:adjustRightInd w:val="0"/>
      <w:spacing w:line="360" w:lineRule="exact"/>
      <w:ind w:left="0" w:firstLine="0"/>
      <w:jc w:val="center"/>
      <w:textAlignment w:val="baseline"/>
      <w:outlineLvl w:val="9"/>
    </w:pPr>
    <w:rPr>
      <w:rFonts w:ascii="Times New Roman" w:hAnsi="Times New Roman"/>
      <w:b w:val="0"/>
      <w:bCs w:val="0"/>
      <w:iCs w:val="0"/>
      <w:kern w:val="2"/>
      <w:sz w:val="24"/>
      <w:szCs w:val="20"/>
    </w:rPr>
  </w:style>
  <w:style w:type="paragraph" w:customStyle="1" w:styleId="236">
    <w:name w:val="*正文"/>
    <w:basedOn w:val="1"/>
    <w:qFormat/>
    <w:uiPriority w:val="0"/>
    <w:pPr>
      <w:widowControl/>
      <w:spacing w:line="360" w:lineRule="auto"/>
      <w:ind w:firstLine="200" w:firstLineChars="200"/>
      <w:jc w:val="left"/>
    </w:pPr>
    <w:rPr>
      <w:sz w:val="24"/>
      <w:szCs w:val="28"/>
    </w:rPr>
  </w:style>
  <w:style w:type="paragraph" w:customStyle="1" w:styleId="237">
    <w:name w:val="列出段落1"/>
    <w:basedOn w:val="1"/>
    <w:qFormat/>
    <w:uiPriority w:val="0"/>
    <w:pPr>
      <w:ind w:firstLine="420" w:firstLineChars="200"/>
    </w:pPr>
    <w:rPr>
      <w:lang w:val="zh-CN"/>
    </w:rPr>
  </w:style>
  <w:style w:type="paragraph" w:customStyle="1" w:styleId="238">
    <w:name w:val="Default"/>
    <w:qFormat/>
    <w:uiPriority w:val="0"/>
    <w:pPr>
      <w:widowControl w:val="0"/>
      <w:autoSpaceDE w:val="0"/>
      <w:autoSpaceDN w:val="0"/>
      <w:adjustRightInd w:val="0"/>
    </w:pPr>
    <w:rPr>
      <w:rFonts w:ascii="楷体à.ā" w:hAnsi="Times New Roman" w:eastAsia="楷体à.ā" w:cs="Times New Roman"/>
      <w:color w:val="000000"/>
      <w:kern w:val="0"/>
      <w:sz w:val="24"/>
      <w:szCs w:val="20"/>
      <w:lang w:val="en-US" w:eastAsia="zh-CN" w:bidi="ar-SA"/>
    </w:rPr>
  </w:style>
  <w:style w:type="paragraph" w:customStyle="1" w:styleId="239">
    <w:name w:val="正文 首行缩进:  2 字符 Char Char"/>
    <w:basedOn w:val="1"/>
    <w:qFormat/>
    <w:uiPriority w:val="0"/>
    <w:pPr>
      <w:spacing w:line="360" w:lineRule="auto"/>
      <w:ind w:firstLine="480"/>
    </w:pPr>
    <w:rPr>
      <w:szCs w:val="20"/>
    </w:rPr>
  </w:style>
  <w:style w:type="paragraph" w:customStyle="1" w:styleId="240">
    <w:name w:val="Normal_4"/>
    <w:qFormat/>
    <w:uiPriority w:val="0"/>
    <w:rPr>
      <w:rFonts w:ascii="黑体" w:hAnsi="黑体" w:eastAsia="黑体" w:cs="Times New Roman"/>
      <w:b/>
      <w:kern w:val="0"/>
      <w:sz w:val="32"/>
      <w:szCs w:val="24"/>
      <w:lang w:val="en-US" w:eastAsia="zh-CN" w:bidi="ar-SA"/>
    </w:rPr>
  </w:style>
  <w:style w:type="paragraph" w:customStyle="1" w:styleId="241">
    <w:name w:val="Normal_10"/>
    <w:qFormat/>
    <w:uiPriority w:val="0"/>
    <w:rPr>
      <w:rFonts w:ascii="黑体" w:hAnsi="黑体" w:eastAsia="黑体" w:cs="Times New Roman"/>
      <w:b/>
      <w:kern w:val="0"/>
      <w:sz w:val="32"/>
      <w:szCs w:val="24"/>
      <w:lang w:val="en-US" w:eastAsia="zh-CN" w:bidi="ar-SA"/>
    </w:rPr>
  </w:style>
  <w:style w:type="paragraph" w:customStyle="1" w:styleId="242">
    <w:name w:val="Normal_9"/>
    <w:qFormat/>
    <w:uiPriority w:val="0"/>
    <w:rPr>
      <w:rFonts w:ascii="黑体" w:hAnsi="黑体" w:eastAsia="黑体" w:cs="Times New Roman"/>
      <w:b/>
      <w:kern w:val="0"/>
      <w:sz w:val="32"/>
      <w:szCs w:val="24"/>
      <w:lang w:val="en-US" w:eastAsia="zh-CN" w:bidi="ar-SA"/>
    </w:rPr>
  </w:style>
  <w:style w:type="paragraph" w:customStyle="1" w:styleId="243">
    <w:name w:val="条目正文"/>
    <w:basedOn w:val="1"/>
    <w:qFormat/>
    <w:uiPriority w:val="0"/>
    <w:pPr>
      <w:tabs>
        <w:tab w:val="left" w:pos="425"/>
        <w:tab w:val="left" w:pos="1050"/>
      </w:tabs>
      <w:spacing w:after="120" w:line="360" w:lineRule="auto"/>
      <w:ind w:left="1050" w:hanging="450"/>
    </w:pPr>
    <w:rPr>
      <w:rFonts w:hAnsi="Arial" w:cs="Arial"/>
      <w:szCs w:val="20"/>
    </w:rPr>
  </w:style>
  <w:style w:type="paragraph" w:customStyle="1" w:styleId="244">
    <w:name w:val="标书（正文）_6"/>
    <w:basedOn w:val="111"/>
    <w:qFormat/>
    <w:uiPriority w:val="0"/>
    <w:pPr>
      <w:spacing w:line="360" w:lineRule="auto"/>
      <w:ind w:firstLine="560" w:firstLineChars="200"/>
    </w:pPr>
    <w:rPr>
      <w:rFonts w:ascii="宋体" w:hAnsi="宋体"/>
      <w:kern w:val="10"/>
      <w:szCs w:val="20"/>
      <w:lang w:val="en-US" w:eastAsia="zh-CN"/>
    </w:rPr>
  </w:style>
  <w:style w:type="paragraph" w:customStyle="1" w:styleId="245">
    <w:name w:val="Normal_2"/>
    <w:qFormat/>
    <w:uiPriority w:val="0"/>
    <w:rPr>
      <w:rFonts w:ascii="黑体" w:hAnsi="黑体" w:eastAsia="黑体" w:cs="Times New Roman"/>
      <w:b/>
      <w:kern w:val="0"/>
      <w:sz w:val="32"/>
      <w:szCs w:val="24"/>
      <w:lang w:val="en-US" w:eastAsia="zh-CN" w:bidi="ar-SA"/>
    </w:rPr>
  </w:style>
  <w:style w:type="paragraph" w:customStyle="1" w:styleId="246">
    <w:name w:val="Style8"/>
    <w:basedOn w:val="1"/>
    <w:qFormat/>
    <w:uiPriority w:val="0"/>
    <w:pPr>
      <w:tabs>
        <w:tab w:val="left" w:pos="1304"/>
      </w:tabs>
      <w:spacing w:beforeLines="50" w:afterLines="50" w:line="276" w:lineRule="auto"/>
      <w:ind w:left="1304" w:hanging="397"/>
    </w:pPr>
    <w:rPr>
      <w:rFonts w:ascii="Arial" w:hAnsi="Arial"/>
      <w:szCs w:val="20"/>
    </w:rPr>
  </w:style>
  <w:style w:type="paragraph" w:customStyle="1" w:styleId="247">
    <w:name w:val="标书（正文）_1"/>
    <w:basedOn w:val="108"/>
    <w:qFormat/>
    <w:uiPriority w:val="0"/>
    <w:pPr>
      <w:spacing w:line="360" w:lineRule="auto"/>
      <w:ind w:firstLine="560" w:firstLineChars="200"/>
    </w:pPr>
    <w:rPr>
      <w:rFonts w:ascii="宋体" w:hAnsi="宋体"/>
      <w:kern w:val="10"/>
      <w:sz w:val="24"/>
      <w:szCs w:val="20"/>
      <w:lang w:val="en-US" w:eastAsia="zh-CN"/>
    </w:rPr>
  </w:style>
  <w:style w:type="paragraph" w:styleId="248">
    <w:name w:val="No Spacing"/>
    <w:qFormat/>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249">
    <w:name w:val="Char Char Char Char"/>
    <w:basedOn w:val="1"/>
    <w:next w:val="1"/>
    <w:qFormat/>
    <w:uiPriority w:val="0"/>
    <w:pPr>
      <w:spacing w:line="240" w:lineRule="atLeast"/>
      <w:ind w:left="420" w:firstLine="420"/>
    </w:pPr>
    <w:rPr>
      <w:szCs w:val="21"/>
    </w:rPr>
  </w:style>
  <w:style w:type="paragraph" w:customStyle="1" w:styleId="250">
    <w:name w:val="正文文本缩进 2_0"/>
    <w:basedOn w:val="86"/>
    <w:qFormat/>
    <w:uiPriority w:val="0"/>
    <w:pPr>
      <w:spacing w:after="120" w:line="480" w:lineRule="auto"/>
      <w:ind w:left="420" w:leftChars="200"/>
    </w:pPr>
  </w:style>
  <w:style w:type="paragraph" w:customStyle="1" w:styleId="251">
    <w:name w:val="样式 首行缩进:"/>
    <w:basedOn w:val="1"/>
    <w:qFormat/>
    <w:uiPriority w:val="0"/>
    <w:pPr>
      <w:ind w:firstLine="420" w:firstLineChars="200"/>
    </w:pPr>
    <w:rPr>
      <w:szCs w:val="20"/>
    </w:rPr>
  </w:style>
  <w:style w:type="paragraph" w:customStyle="1" w:styleId="252">
    <w:name w:val="Normal_1"/>
    <w:qFormat/>
    <w:uiPriority w:val="0"/>
    <w:rPr>
      <w:rFonts w:ascii="黑体" w:hAnsi="黑体" w:eastAsia="黑体" w:cs="Times New Roman"/>
      <w:b/>
      <w:kern w:val="0"/>
      <w:sz w:val="32"/>
      <w:szCs w:val="24"/>
      <w:lang w:val="en-US" w:eastAsia="zh-CN" w:bidi="ar-SA"/>
    </w:rPr>
  </w:style>
  <w:style w:type="paragraph" w:customStyle="1" w:styleId="253">
    <w:name w:val="插图题注"/>
    <w:next w:val="1"/>
    <w:qFormat/>
    <w:uiPriority w:val="0"/>
    <w:pPr>
      <w:tabs>
        <w:tab w:val="left" w:pos="1418"/>
      </w:tabs>
      <w:spacing w:afterLines="100"/>
      <w:ind w:left="1418" w:hanging="1418"/>
      <w:jc w:val="center"/>
    </w:pPr>
    <w:rPr>
      <w:rFonts w:ascii="Arial" w:hAnsi="Arial" w:eastAsia="宋体" w:cs="Times New Roman"/>
      <w:kern w:val="0"/>
      <w:sz w:val="18"/>
      <w:szCs w:val="20"/>
      <w:lang w:val="en-US" w:eastAsia="zh-CN" w:bidi="ar-SA"/>
    </w:rPr>
  </w:style>
  <w:style w:type="paragraph" w:customStyle="1" w:styleId="254">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255">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256">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57">
    <w:name w:val="MM Topic 2"/>
    <w:basedOn w:val="4"/>
    <w:qFormat/>
    <w:uiPriority w:val="0"/>
    <w:pPr>
      <w:tabs>
        <w:tab w:val="left" w:pos="992"/>
      </w:tabs>
      <w:ind w:left="0" w:firstLine="0"/>
    </w:pPr>
    <w:rPr>
      <w:rFonts w:ascii="Arial"/>
      <w:bCs w:val="0"/>
      <w:iCs w:val="0"/>
      <w:color w:val="000000"/>
      <w:kern w:val="2"/>
      <w:szCs w:val="20"/>
    </w:rPr>
  </w:style>
  <w:style w:type="paragraph" w:customStyle="1" w:styleId="258">
    <w:name w:val="MM Topic 1"/>
    <w:basedOn w:val="3"/>
    <w:qFormat/>
    <w:uiPriority w:val="0"/>
    <w:pPr>
      <w:tabs>
        <w:tab w:val="left" w:pos="425"/>
      </w:tabs>
      <w:spacing w:line="576" w:lineRule="auto"/>
    </w:pPr>
    <w:rPr>
      <w:rFonts w:ascii="Times New Roman" w:hAnsi="Times New Roman"/>
      <w:bCs w:val="0"/>
      <w:sz w:val="44"/>
      <w:szCs w:val="20"/>
    </w:rPr>
  </w:style>
  <w:style w:type="paragraph" w:customStyle="1" w:styleId="259">
    <w:name w:val="正文序号 3"/>
    <w:basedOn w:val="1"/>
    <w:qFormat/>
    <w:uiPriority w:val="0"/>
    <w:pPr>
      <w:tabs>
        <w:tab w:val="left" w:pos="1259"/>
      </w:tabs>
      <w:spacing w:before="60"/>
      <w:ind w:left="431" w:hanging="431"/>
    </w:pPr>
    <w:rPr>
      <w:szCs w:val="20"/>
    </w:rPr>
  </w:style>
  <w:style w:type="paragraph" w:customStyle="1" w:styleId="260">
    <w:name w:val="标题样式"/>
    <w:basedOn w:val="1"/>
    <w:qFormat/>
    <w:uiPriority w:val="0"/>
    <w:pPr>
      <w:tabs>
        <w:tab w:val="left" w:pos="420"/>
      </w:tabs>
      <w:spacing w:line="360" w:lineRule="auto"/>
    </w:pPr>
    <w:rPr>
      <w:szCs w:val="20"/>
    </w:rPr>
  </w:style>
  <w:style w:type="paragraph" w:customStyle="1" w:styleId="261">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62">
    <w:name w:val="正文段落"/>
    <w:basedOn w:val="1"/>
    <w:qFormat/>
    <w:uiPriority w:val="0"/>
    <w:pPr>
      <w:spacing w:line="300" w:lineRule="auto"/>
      <w:ind w:firstLine="510"/>
    </w:pPr>
    <w:rPr>
      <w:szCs w:val="20"/>
    </w:rPr>
  </w:style>
  <w:style w:type="paragraph" w:customStyle="1" w:styleId="263">
    <w:name w:val="Normal"/>
    <w:qFormat/>
    <w:uiPriority w:val="0"/>
    <w:rPr>
      <w:rFonts w:ascii="Times New Roman" w:hAnsi="Times New Roman" w:eastAsia="Times New Roman" w:cs="Times New Roman"/>
      <w:kern w:val="0"/>
      <w:sz w:val="24"/>
      <w:szCs w:val="24"/>
      <w:lang w:val="en-US" w:eastAsia="zh-CN" w:bidi="ar-SA"/>
    </w:rPr>
  </w:style>
  <w:style w:type="paragraph" w:customStyle="1" w:styleId="264">
    <w:name w:val="正文序号 4"/>
    <w:basedOn w:val="1"/>
    <w:qFormat/>
    <w:uiPriority w:val="0"/>
    <w:pPr>
      <w:tabs>
        <w:tab w:val="left" w:pos="1469"/>
      </w:tabs>
      <w:spacing w:before="60"/>
      <w:ind w:left="431" w:hanging="431"/>
    </w:pPr>
    <w:rPr>
      <w:szCs w:val="20"/>
    </w:rPr>
  </w:style>
  <w:style w:type="paragraph" w:customStyle="1" w:styleId="265">
    <w:name w:val="Style Style4 + First line:  2 ch Before:  0.5 line After:  0.5 li..."/>
    <w:basedOn w:val="1"/>
    <w:qFormat/>
    <w:uiPriority w:val="0"/>
    <w:pPr>
      <w:spacing w:beforeLines="50" w:afterLines="50" w:line="276" w:lineRule="auto"/>
      <w:ind w:firstLine="480" w:firstLineChars="200"/>
    </w:pPr>
    <w:rPr>
      <w:rFonts w:ascii="Arial" w:hAnsi="Arial"/>
      <w:szCs w:val="20"/>
    </w:rPr>
  </w:style>
  <w:style w:type="paragraph" w:customStyle="1" w:styleId="266">
    <w:name w:val="p0"/>
    <w:basedOn w:val="1"/>
    <w:qFormat/>
    <w:uiPriority w:val="0"/>
    <w:rPr>
      <w:szCs w:val="20"/>
    </w:rPr>
  </w:style>
  <w:style w:type="paragraph" w:customStyle="1" w:styleId="267">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268">
    <w:name w:val="大纲正文"/>
    <w:basedOn w:val="1"/>
    <w:qFormat/>
    <w:uiPriority w:val="0"/>
    <w:pPr>
      <w:spacing w:line="360" w:lineRule="auto"/>
      <w:ind w:firstLine="480" w:firstLineChars="200"/>
    </w:pPr>
    <w:rPr>
      <w:szCs w:val="20"/>
    </w:rPr>
  </w:style>
  <w:style w:type="paragraph" w:customStyle="1" w:styleId="269">
    <w:name w:val="*正文_2"/>
    <w:basedOn w:val="86"/>
    <w:qFormat/>
    <w:uiPriority w:val="0"/>
    <w:pPr>
      <w:widowControl/>
      <w:spacing w:line="360" w:lineRule="auto"/>
      <w:ind w:firstLine="200" w:firstLineChars="200"/>
      <w:jc w:val="left"/>
    </w:pPr>
    <w:rPr>
      <w:rFonts w:ascii="宋体" w:hAnsi="Times New Roman"/>
      <w:sz w:val="24"/>
      <w:szCs w:val="28"/>
      <w:lang w:val="en-US" w:eastAsia="zh-CN"/>
    </w:rPr>
  </w:style>
  <w:style w:type="paragraph" w:customStyle="1" w:styleId="270">
    <w:name w:val="正文格式"/>
    <w:basedOn w:val="1"/>
    <w:qFormat/>
    <w:uiPriority w:val="0"/>
    <w:pPr>
      <w:adjustRightInd w:val="0"/>
      <w:snapToGrid w:val="0"/>
      <w:spacing w:beforeLines="25" w:line="360" w:lineRule="auto"/>
      <w:ind w:firstLine="480" w:firstLineChars="200"/>
      <w:textAlignment w:val="baseline"/>
    </w:pPr>
    <w:rPr>
      <w:color w:val="000000"/>
      <w:szCs w:val="20"/>
    </w:rPr>
  </w:style>
  <w:style w:type="paragraph" w:customStyle="1" w:styleId="271">
    <w:name w:val="我的正文"/>
    <w:basedOn w:val="1"/>
    <w:qFormat/>
    <w:uiPriority w:val="0"/>
    <w:pPr>
      <w:spacing w:line="360" w:lineRule="auto"/>
      <w:ind w:firstLine="420" w:firstLineChars="200"/>
    </w:pPr>
    <w:rPr>
      <w:szCs w:val="20"/>
    </w:rPr>
  </w:style>
  <w:style w:type="paragraph" w:customStyle="1" w:styleId="272">
    <w:name w:val="论文正文"/>
    <w:basedOn w:val="1"/>
    <w:qFormat/>
    <w:uiPriority w:val="0"/>
    <w:pPr>
      <w:spacing w:line="300" w:lineRule="auto"/>
      <w:ind w:firstLine="200" w:firstLineChars="200"/>
    </w:pPr>
  </w:style>
  <w:style w:type="paragraph" w:customStyle="1" w:styleId="273">
    <w:name w:val="Char"/>
    <w:basedOn w:val="1"/>
    <w:next w:val="1"/>
    <w:qFormat/>
    <w:uiPriority w:val="0"/>
    <w:pPr>
      <w:spacing w:line="240" w:lineRule="atLeast"/>
      <w:ind w:left="420" w:firstLine="420"/>
    </w:pPr>
    <w:rPr>
      <w:szCs w:val="21"/>
    </w:rPr>
  </w:style>
  <w:style w:type="paragraph" w:customStyle="1" w:styleId="274">
    <w:name w:val="*正文_3"/>
    <w:basedOn w:val="86"/>
    <w:qFormat/>
    <w:uiPriority w:val="0"/>
    <w:pPr>
      <w:widowControl/>
      <w:spacing w:line="360" w:lineRule="auto"/>
      <w:ind w:firstLine="200" w:firstLineChars="200"/>
      <w:jc w:val="left"/>
    </w:pPr>
    <w:rPr>
      <w:rFonts w:ascii="宋体" w:hAnsi="Times New Roman"/>
      <w:sz w:val="24"/>
      <w:szCs w:val="28"/>
      <w:lang w:val="en-US" w:eastAsia="zh-CN"/>
    </w:rPr>
  </w:style>
  <w:style w:type="paragraph" w:customStyle="1" w:styleId="275">
    <w:name w:val="项目符号：一级"/>
    <w:basedOn w:val="270"/>
    <w:next w:val="270"/>
    <w:qFormat/>
    <w:uiPriority w:val="0"/>
    <w:pPr>
      <w:tabs>
        <w:tab w:val="left" w:pos="700"/>
      </w:tabs>
      <w:spacing w:beforeLines="0"/>
      <w:ind w:left="630" w:hanging="290" w:firstLineChars="0"/>
    </w:pPr>
  </w:style>
  <w:style w:type="paragraph" w:customStyle="1" w:styleId="276">
    <w:name w:val="强调2"/>
    <w:basedOn w:val="277"/>
    <w:qFormat/>
    <w:uiPriority w:val="0"/>
    <w:pPr>
      <w:tabs>
        <w:tab w:val="left" w:pos="360"/>
        <w:tab w:val="left" w:pos="1918"/>
      </w:tabs>
      <w:ind w:left="1918" w:hanging="420"/>
    </w:pPr>
  </w:style>
  <w:style w:type="paragraph" w:customStyle="1" w:styleId="277">
    <w:name w:val="强调1"/>
    <w:basedOn w:val="1"/>
    <w:qFormat/>
    <w:uiPriority w:val="0"/>
    <w:pPr>
      <w:spacing w:line="360" w:lineRule="auto"/>
      <w:ind w:left="900"/>
    </w:pPr>
    <w:rPr>
      <w:rFonts w:ascii="楷体_GB2312" w:hAnsi="仿宋" w:eastAsia="楷体_GB2312"/>
      <w:sz w:val="28"/>
      <w:szCs w:val="28"/>
    </w:rPr>
  </w:style>
  <w:style w:type="paragraph" w:customStyle="1" w:styleId="278">
    <w:name w:val="Normal_13"/>
    <w:qFormat/>
    <w:uiPriority w:val="0"/>
    <w:rPr>
      <w:rFonts w:ascii="黑体" w:hAnsi="黑体" w:eastAsia="黑体" w:cs="Times New Roman"/>
      <w:b/>
      <w:kern w:val="0"/>
      <w:sz w:val="32"/>
      <w:szCs w:val="24"/>
      <w:lang w:val="en-US" w:eastAsia="zh-CN" w:bidi="ar-SA"/>
    </w:rPr>
  </w:style>
  <w:style w:type="paragraph" w:customStyle="1" w:styleId="279">
    <w:name w:val="ZW Char"/>
    <w:basedOn w:val="207"/>
    <w:qFormat/>
    <w:uiPriority w:val="0"/>
    <w:pPr>
      <w:spacing w:line="360" w:lineRule="auto"/>
      <w:ind w:firstLine="200" w:firstLineChars="200"/>
    </w:pPr>
    <w:rPr>
      <w:rFonts w:ascii="宋体" w:hAnsi="宋体"/>
      <w:sz w:val="24"/>
      <w:szCs w:val="24"/>
    </w:rPr>
  </w:style>
  <w:style w:type="paragraph" w:customStyle="1" w:styleId="280">
    <w:name w:val="Normal_0"/>
    <w:qFormat/>
    <w:uiPriority w:val="0"/>
    <w:rPr>
      <w:rFonts w:ascii="黑体" w:hAnsi="黑体" w:eastAsia="黑体" w:cs="Times New Roman"/>
      <w:b/>
      <w:kern w:val="0"/>
      <w:sz w:val="32"/>
      <w:szCs w:val="24"/>
      <w:lang w:val="en-US" w:eastAsia="zh-CN" w:bidi="ar-SA"/>
    </w:rPr>
  </w:style>
  <w:style w:type="paragraph" w:customStyle="1" w:styleId="281">
    <w:name w:val="*正文_0_0"/>
    <w:basedOn w:val="130"/>
    <w:qFormat/>
    <w:uiPriority w:val="0"/>
    <w:pPr>
      <w:widowControl/>
      <w:spacing w:line="360" w:lineRule="auto"/>
      <w:ind w:firstLine="200" w:firstLineChars="200"/>
      <w:jc w:val="left"/>
    </w:pPr>
    <w:rPr>
      <w:rFonts w:ascii="宋体" w:hAnsi="Times New Roman"/>
      <w:sz w:val="24"/>
      <w:szCs w:val="28"/>
      <w:lang w:val="en-US" w:eastAsia="zh-CN"/>
    </w:rPr>
  </w:style>
  <w:style w:type="paragraph" w:customStyle="1" w:styleId="282">
    <w:name w:val="MM Topic 4"/>
    <w:basedOn w:val="6"/>
    <w:qFormat/>
    <w:uiPriority w:val="0"/>
    <w:pPr>
      <w:tabs>
        <w:tab w:val="left" w:pos="1984"/>
      </w:tabs>
      <w:spacing w:before="280" w:after="290" w:line="372" w:lineRule="auto"/>
      <w:ind w:firstLine="0"/>
    </w:pPr>
    <w:rPr>
      <w:bCs w:val="0"/>
      <w:kern w:val="2"/>
      <w:szCs w:val="20"/>
    </w:rPr>
  </w:style>
  <w:style w:type="paragraph" w:customStyle="1" w:styleId="283">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szCs w:val="20"/>
      <w:lang w:val="en-US" w:eastAsia="zh-CN" w:bidi="ar-SA"/>
    </w:rPr>
  </w:style>
  <w:style w:type="paragraph" w:customStyle="1" w:styleId="284">
    <w:name w:val="样式 右侧:  1 字符1"/>
    <w:basedOn w:val="1"/>
    <w:qFormat/>
    <w:uiPriority w:val="0"/>
    <w:pPr>
      <w:ind w:left="240" w:leftChars="100" w:right="100" w:rightChars="100"/>
    </w:pPr>
    <w:rPr>
      <w:rFonts w:eastAsia="仿宋_GB2312"/>
      <w:sz w:val="28"/>
      <w:szCs w:val="20"/>
    </w:rPr>
  </w:style>
  <w:style w:type="paragraph" w:customStyle="1" w:styleId="285">
    <w:name w:val="Char2"/>
    <w:basedOn w:val="1"/>
    <w:next w:val="1"/>
    <w:qFormat/>
    <w:uiPriority w:val="0"/>
    <w:pPr>
      <w:spacing w:line="240" w:lineRule="atLeast"/>
      <w:ind w:left="420" w:firstLine="420"/>
    </w:pPr>
    <w:rPr>
      <w:szCs w:val="20"/>
    </w:rPr>
  </w:style>
  <w:style w:type="paragraph" w:customStyle="1" w:styleId="286">
    <w:name w:val="MM Topic 9"/>
    <w:basedOn w:val="11"/>
    <w:qFormat/>
    <w:uiPriority w:val="0"/>
    <w:pPr>
      <w:tabs>
        <w:tab w:val="left" w:pos="5102"/>
      </w:tabs>
    </w:pPr>
  </w:style>
  <w:style w:type="paragraph" w:customStyle="1" w:styleId="287">
    <w:name w:val="文章正文 Char Char1"/>
    <w:basedOn w:val="1"/>
    <w:qFormat/>
    <w:uiPriority w:val="0"/>
    <w:pPr>
      <w:spacing w:line="360" w:lineRule="auto"/>
      <w:ind w:firstLine="420"/>
    </w:pPr>
    <w:rPr>
      <w:szCs w:val="20"/>
    </w:rPr>
  </w:style>
  <w:style w:type="paragraph" w:customStyle="1" w:styleId="288">
    <w:name w:val="GTA正文-2"/>
    <w:basedOn w:val="1"/>
    <w:qFormat/>
    <w:uiPriority w:val="0"/>
    <w:pPr>
      <w:snapToGrid w:val="0"/>
      <w:spacing w:beforeLines="50" w:after="156" w:line="480" w:lineRule="atLeast"/>
      <w:ind w:firstLine="480" w:firstLineChars="200"/>
    </w:pPr>
    <w:rPr>
      <w:rFonts w:ascii="微软雅黑" w:hAnsi="微软雅黑" w:eastAsia="微软雅黑" w:cs="Arial"/>
      <w:sz w:val="24"/>
      <w:szCs w:val="24"/>
    </w:rPr>
  </w:style>
  <w:style w:type="paragraph" w:customStyle="1" w:styleId="289">
    <w:name w:val="样式 标题 1 + 宋体 居中 段前: 17 磅 段后: 16.5 磅"/>
    <w:basedOn w:val="3"/>
    <w:qFormat/>
    <w:uiPriority w:val="0"/>
    <w:pPr>
      <w:pageBreakBefore/>
      <w:tabs>
        <w:tab w:val="left" w:pos="840"/>
      </w:tabs>
      <w:ind w:left="840" w:hanging="420"/>
    </w:pPr>
    <w:rPr>
      <w:rFonts w:cs="宋体"/>
      <w:szCs w:val="20"/>
    </w:rPr>
  </w:style>
  <w:style w:type="paragraph" w:customStyle="1" w:styleId="290">
    <w:name w:val="A正文加粗小四_0_0"/>
    <w:basedOn w:val="203"/>
    <w:qFormat/>
    <w:uiPriority w:val="0"/>
    <w:pPr>
      <w:spacing w:line="360" w:lineRule="auto"/>
      <w:ind w:firstLine="200" w:firstLineChars="200"/>
    </w:pPr>
    <w:rPr>
      <w:rFonts w:ascii="宋体" w:hAnsi="Calibri"/>
      <w:b/>
      <w:sz w:val="24"/>
      <w:szCs w:val="24"/>
    </w:rPr>
  </w:style>
  <w:style w:type="paragraph" w:customStyle="1" w:styleId="291">
    <w:name w:val="Char Char1"/>
    <w:basedOn w:val="1"/>
    <w:next w:val="1"/>
    <w:qFormat/>
    <w:uiPriority w:val="0"/>
    <w:pPr>
      <w:spacing w:line="240" w:lineRule="atLeast"/>
      <w:ind w:left="420" w:firstLine="420"/>
    </w:pPr>
    <w:rPr>
      <w:rFonts w:ascii="楷体_GB2312" w:eastAsia="楷体_GB2312"/>
      <w:color w:val="000000"/>
      <w:sz w:val="28"/>
      <w:szCs w:val="20"/>
    </w:rPr>
  </w:style>
  <w:style w:type="paragraph" w:customStyle="1" w:styleId="292">
    <w:name w:val="A正文加粗小四_1"/>
    <w:basedOn w:val="118"/>
    <w:qFormat/>
    <w:uiPriority w:val="0"/>
    <w:pPr>
      <w:spacing w:line="360" w:lineRule="auto"/>
      <w:ind w:firstLine="200" w:firstLineChars="200"/>
    </w:pPr>
    <w:rPr>
      <w:rFonts w:ascii="宋体" w:hAnsi="Times New Roman"/>
      <w:b/>
      <w:sz w:val="24"/>
      <w:szCs w:val="24"/>
    </w:rPr>
  </w:style>
  <w:style w:type="paragraph" w:customStyle="1" w:styleId="293">
    <w:name w:val="Table Paragraph"/>
    <w:basedOn w:val="1"/>
    <w:qFormat/>
    <w:uiPriority w:val="1"/>
    <w:rPr>
      <w:lang w:val="zh-CN" w:bidi="zh-CN"/>
    </w:rPr>
  </w:style>
  <w:style w:type="character" w:customStyle="1" w:styleId="294">
    <w:name w:val="font11"/>
    <w:qFormat/>
    <w:uiPriority w:val="0"/>
    <w:rPr>
      <w:rFonts w:hint="eastAsia" w:ascii="宋体" w:hAnsi="宋体" w:eastAsia="宋体" w:cs="宋体"/>
      <w:color w:val="000000"/>
      <w:sz w:val="22"/>
      <w:szCs w:val="22"/>
      <w:u w:val="none"/>
    </w:rPr>
  </w:style>
  <w:style w:type="character" w:customStyle="1" w:styleId="295">
    <w:name w:val="font41"/>
    <w:qFormat/>
    <w:uiPriority w:val="0"/>
    <w:rPr>
      <w:rFonts w:hint="eastAsia" w:ascii="宋体" w:hAnsi="宋体" w:eastAsia="宋体" w:cs="宋体"/>
      <w:color w:val="000000"/>
      <w:sz w:val="20"/>
      <w:szCs w:val="20"/>
      <w:u w:val="none"/>
    </w:rPr>
  </w:style>
  <w:style w:type="character" w:customStyle="1" w:styleId="296">
    <w:name w:val="font21"/>
    <w:qFormat/>
    <w:uiPriority w:val="0"/>
    <w:rPr>
      <w:rFonts w:ascii="Calibri" w:hAnsi="Calibri" w:cs="Calibri"/>
      <w:color w:val="000000"/>
      <w:sz w:val="21"/>
      <w:szCs w:val="21"/>
      <w:u w:val="none"/>
    </w:rPr>
  </w:style>
  <w:style w:type="character" w:customStyle="1" w:styleId="297">
    <w:name w:val="font01"/>
    <w:qFormat/>
    <w:uiPriority w:val="0"/>
    <w:rPr>
      <w:rFonts w:hint="eastAsia" w:ascii="宋体" w:hAnsi="宋体" w:eastAsia="宋体" w:cs="宋体"/>
      <w:color w:val="000000"/>
      <w:sz w:val="21"/>
      <w:szCs w:val="21"/>
      <w:u w:val="none"/>
    </w:rPr>
  </w:style>
  <w:style w:type="character" w:customStyle="1" w:styleId="298">
    <w:name w:val="font31"/>
    <w:qFormat/>
    <w:uiPriority w:val="0"/>
    <w:rPr>
      <w:rFonts w:hint="default" w:ascii="Calibri" w:hAnsi="Calibri" w:cs="Calibri"/>
      <w:color w:val="000000"/>
      <w:sz w:val="22"/>
      <w:szCs w:val="22"/>
      <w:u w:val="none"/>
    </w:rPr>
  </w:style>
  <w:style w:type="paragraph" w:customStyle="1" w:styleId="299">
    <w:name w:val="样式 首行缩进:  2 字符_0"/>
    <w:basedOn w:val="131"/>
    <w:qFormat/>
    <w:uiPriority w:val="0"/>
    <w:pPr>
      <w:spacing w:line="400" w:lineRule="exact"/>
      <w:ind w:firstLine="200" w:firstLineChars="200"/>
    </w:pPr>
    <w:rPr>
      <w:rFonts w:ascii="宋体" w:hAnsi="Times New Roman" w:cs="宋体"/>
      <w:kern w:val="0"/>
      <w:sz w:val="24"/>
      <w:szCs w:val="20"/>
    </w:rPr>
  </w:style>
  <w:style w:type="paragraph" w:customStyle="1" w:styleId="300">
    <w:name w:val="WPSOffice手动目录 2"/>
    <w:qFormat/>
    <w:uiPriority w:val="0"/>
    <w:pPr>
      <w:ind w:left="200" w:leftChars="200"/>
    </w:pPr>
    <w:rPr>
      <w:rFonts w:ascii="Calibri" w:hAnsi="Calibri" w:eastAsia="宋体" w:cs="Times New Roman"/>
      <w:kern w:val="0"/>
      <w:sz w:val="20"/>
      <w:szCs w:val="20"/>
      <w:lang w:val="en-US" w:eastAsia="zh-CN" w:bidi="ar-SA"/>
    </w:rPr>
  </w:style>
  <w:style w:type="paragraph" w:customStyle="1" w:styleId="301">
    <w:name w:val="图表题"/>
    <w:basedOn w:val="302"/>
    <w:qFormat/>
    <w:uiPriority w:val="0"/>
    <w:pPr>
      <w:ind w:firstLine="0" w:firstLineChars="0"/>
      <w:jc w:val="center"/>
    </w:pPr>
    <w:rPr>
      <w:rFonts w:eastAsia="黑体"/>
    </w:rPr>
  </w:style>
  <w:style w:type="paragraph" w:customStyle="1" w:styleId="302">
    <w:name w:val="规范正文"/>
    <w:basedOn w:val="1"/>
    <w:qFormat/>
    <w:uiPriority w:val="0"/>
    <w:pPr>
      <w:spacing w:line="400" w:lineRule="exact"/>
      <w:ind w:firstLine="880" w:firstLineChars="200"/>
    </w:pPr>
    <w:rPr>
      <w:rFonts w:ascii="Times New Roman" w:hAnsi="Times New Roman" w:cs="Times New Roman"/>
      <w:kern w:val="0"/>
      <w:sz w:val="24"/>
      <w:szCs w:val="24"/>
    </w:rPr>
  </w:style>
  <w:style w:type="paragraph" w:customStyle="1" w:styleId="303">
    <w:name w:val="图题标题"/>
    <w:basedOn w:val="1"/>
    <w:qFormat/>
    <w:uiPriority w:val="0"/>
    <w:pPr>
      <w:spacing w:before="120" w:after="120" w:line="400" w:lineRule="exact"/>
      <w:jc w:val="center"/>
    </w:pPr>
    <w:rPr>
      <w:rFonts w:ascii="Calibri" w:hAnsi="Calibri" w:cs="Times New Roman"/>
      <w:szCs w:val="24"/>
    </w:rPr>
  </w:style>
  <w:style w:type="paragraph" w:customStyle="1" w:styleId="304">
    <w:name w:val="1级标题"/>
    <w:basedOn w:val="3"/>
    <w:next w:val="1"/>
    <w:qFormat/>
    <w:uiPriority w:val="0"/>
    <w:pPr>
      <w:spacing w:before="600" w:after="600" w:line="480" w:lineRule="exact"/>
    </w:pPr>
    <w:rPr>
      <w:rFonts w:ascii="Times New Roman" w:hAnsi="Times New Roman" w:eastAsia="黑体"/>
      <w:b w:val="0"/>
      <w:bCs w:val="0"/>
      <w:kern w:val="0"/>
      <w:sz w:val="20"/>
      <w:szCs w:val="20"/>
    </w:rPr>
  </w:style>
  <w:style w:type="paragraph" w:customStyle="1" w:styleId="305">
    <w:name w:val="WPSOffice手动目录 3"/>
    <w:qFormat/>
    <w:uiPriority w:val="0"/>
    <w:pPr>
      <w:ind w:left="400" w:leftChars="400"/>
    </w:pPr>
    <w:rPr>
      <w:rFonts w:ascii="Calibri" w:hAnsi="Calibri" w:eastAsia="宋体" w:cs="Times New Roman"/>
      <w:kern w:val="0"/>
      <w:sz w:val="20"/>
      <w:szCs w:val="20"/>
      <w:lang w:val="en-US" w:eastAsia="zh-CN" w:bidi="ar-SA"/>
    </w:rPr>
  </w:style>
  <w:style w:type="paragraph" w:customStyle="1" w:styleId="306">
    <w:name w:val="3级标题"/>
    <w:basedOn w:val="307"/>
    <w:qFormat/>
    <w:uiPriority w:val="0"/>
    <w:pPr>
      <w:spacing w:before="240"/>
      <w:outlineLvl w:val="2"/>
    </w:pPr>
    <w:rPr>
      <w:sz w:val="28"/>
      <w:szCs w:val="28"/>
    </w:rPr>
  </w:style>
  <w:style w:type="paragraph" w:customStyle="1" w:styleId="307">
    <w:name w:val="2级标题"/>
    <w:basedOn w:val="304"/>
    <w:qFormat/>
    <w:uiPriority w:val="0"/>
    <w:pPr>
      <w:spacing w:before="360" w:after="120"/>
      <w:jc w:val="both"/>
      <w:outlineLvl w:val="1"/>
    </w:pPr>
    <w:rPr>
      <w:rFonts w:hAnsi="Calibri"/>
      <w:sz w:val="32"/>
      <w:szCs w:val="32"/>
    </w:rPr>
  </w:style>
  <w:style w:type="paragraph" w:customStyle="1" w:styleId="308">
    <w:name w:val="三级标题"/>
    <w:basedOn w:val="5"/>
    <w:qFormat/>
    <w:uiPriority w:val="0"/>
    <w:pPr>
      <w:tabs>
        <w:tab w:val="left" w:pos="3828"/>
      </w:tabs>
      <w:spacing w:before="240" w:after="120" w:line="400" w:lineRule="exact"/>
      <w:jc w:val="left"/>
    </w:pPr>
    <w:rPr>
      <w:rFonts w:ascii="黑体" w:hAnsi="黑体" w:eastAsia="黑体"/>
      <w:b w:val="0"/>
      <w:bCs w:val="0"/>
      <w:color w:val="auto"/>
      <w:sz w:val="28"/>
    </w:rPr>
  </w:style>
  <w:style w:type="paragraph" w:customStyle="1" w:styleId="309">
    <w:name w:val="要求正文"/>
    <w:basedOn w:val="1"/>
    <w:qFormat/>
    <w:uiPriority w:val="0"/>
    <w:pPr>
      <w:spacing w:line="400" w:lineRule="exact"/>
      <w:ind w:firstLine="420" w:firstLineChars="200"/>
    </w:pPr>
    <w:rPr>
      <w:rFonts w:ascii="Calibri" w:hAnsi="Calibri" w:cs="Times New Roman"/>
      <w:sz w:val="24"/>
      <w:szCs w:val="24"/>
    </w:rPr>
  </w:style>
  <w:style w:type="paragraph" w:customStyle="1" w:styleId="310">
    <w:name w:val="WPSOffice手动目录 1"/>
    <w:qFormat/>
    <w:uiPriority w:val="0"/>
    <w:rPr>
      <w:rFonts w:ascii="Calibri" w:hAnsi="Calibri" w:eastAsia="宋体" w:cs="Times New Roman"/>
      <w:kern w:val="0"/>
      <w:sz w:val="20"/>
      <w:szCs w:val="20"/>
      <w:lang w:val="en-US" w:eastAsia="zh-CN" w:bidi="ar-SA"/>
    </w:rPr>
  </w:style>
  <w:style w:type="character" w:customStyle="1" w:styleId="311">
    <w:name w:val="qowt-font2"/>
    <w:basedOn w:val="45"/>
    <w:qFormat/>
    <w:uiPriority w:val="0"/>
  </w:style>
  <w:style w:type="paragraph" w:customStyle="1" w:styleId="312">
    <w:name w:val="Normal_16"/>
    <w:qFormat/>
    <w:uiPriority w:val="0"/>
    <w:rPr>
      <w:rFonts w:ascii="黑体" w:hAnsi="黑体" w:eastAsia="黑体" w:cs="Times New Roman"/>
      <w:b/>
      <w:kern w:val="0"/>
      <w:sz w:val="32"/>
      <w:szCs w:val="24"/>
      <w:lang w:val="en-US" w:eastAsia="zh-CN" w:bidi="ar-SA"/>
    </w:rPr>
  </w:style>
  <w:style w:type="paragraph" w:customStyle="1" w:styleId="313">
    <w:name w:val="标书（正文）_6_0"/>
    <w:basedOn w:val="314"/>
    <w:qFormat/>
    <w:uiPriority w:val="0"/>
    <w:pPr>
      <w:spacing w:line="360" w:lineRule="auto"/>
      <w:ind w:firstLine="560" w:firstLineChars="200"/>
    </w:pPr>
    <w:rPr>
      <w:rFonts w:ascii="宋体" w:hAnsi="宋体"/>
      <w:kern w:val="10"/>
      <w:szCs w:val="20"/>
    </w:rPr>
  </w:style>
  <w:style w:type="paragraph" w:customStyle="1" w:styleId="314">
    <w:name w:val="正文_7_0"/>
    <w:next w:val="315"/>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315">
    <w:name w:val="正文文本_1_0_0"/>
    <w:basedOn w:val="314"/>
    <w:unhideWhenUsed/>
    <w:qFormat/>
    <w:uiPriority w:val="99"/>
    <w:pPr>
      <w:spacing w:after="120"/>
    </w:pPr>
  </w:style>
  <w:style w:type="paragraph" w:customStyle="1" w:styleId="316">
    <w:name w:val="Normal_18"/>
    <w:qFormat/>
    <w:uiPriority w:val="0"/>
    <w:rPr>
      <w:rFonts w:ascii="黑体" w:hAnsi="黑体" w:eastAsia="黑体" w:cs="Times New Roman"/>
      <w:b/>
      <w:kern w:val="0"/>
      <w:sz w:val="32"/>
      <w:szCs w:val="24"/>
      <w:lang w:val="en-US" w:eastAsia="zh-CN" w:bidi="ar-SA"/>
    </w:rPr>
  </w:style>
  <w:style w:type="paragraph" w:customStyle="1" w:styleId="317">
    <w:name w:val="Normal_22"/>
    <w:qFormat/>
    <w:uiPriority w:val="0"/>
    <w:rPr>
      <w:rFonts w:ascii="黑体" w:hAnsi="黑体" w:eastAsia="黑体" w:cs="Times New Roman"/>
      <w:b/>
      <w:kern w:val="0"/>
      <w:sz w:val="32"/>
      <w:szCs w:val="24"/>
      <w:lang w:val="en-US" w:eastAsia="zh-CN" w:bidi="ar-SA"/>
    </w:rPr>
  </w:style>
  <w:style w:type="paragraph" w:customStyle="1" w:styleId="318">
    <w:name w:val="quote-socials-v1-text"/>
    <w:basedOn w:val="1"/>
    <w:qFormat/>
    <w:uiPriority w:val="0"/>
    <w:pPr>
      <w:spacing w:before="100" w:beforeAutospacing="1" w:after="100" w:afterAutospacing="1"/>
    </w:pPr>
    <w:rPr>
      <w:szCs w:val="24"/>
    </w:rPr>
  </w:style>
  <w:style w:type="paragraph" w:customStyle="1" w:styleId="319">
    <w:name w:val="彩色列表 - 强调文字颜色 11"/>
    <w:basedOn w:val="1"/>
    <w:qFormat/>
    <w:uiPriority w:val="0"/>
    <w:pPr>
      <w:ind w:firstLine="420" w:firstLineChars="200"/>
    </w:pPr>
    <w:rPr>
      <w:rFonts w:cs="Times New Roman"/>
    </w:rPr>
  </w:style>
  <w:style w:type="character" w:customStyle="1" w:styleId="320">
    <w:name w:val="hover10"/>
    <w:basedOn w:val="45"/>
    <w:qFormat/>
    <w:uiPriority w:val="0"/>
    <w:rPr>
      <w:color w:val="3177FD"/>
    </w:rPr>
  </w:style>
  <w:style w:type="character" w:customStyle="1" w:styleId="321">
    <w:name w:val="ant-tree-switcher"/>
    <w:basedOn w:val="45"/>
    <w:qFormat/>
    <w:uiPriority w:val="0"/>
  </w:style>
  <w:style w:type="character" w:customStyle="1" w:styleId="322">
    <w:name w:val="ant-tree-checkbox"/>
    <w:basedOn w:val="45"/>
    <w:qFormat/>
    <w:uiPriority w:val="0"/>
  </w:style>
  <w:style w:type="character" w:customStyle="1" w:styleId="323">
    <w:name w:val="ant-tree-icon_loading"/>
    <w:basedOn w:val="45"/>
    <w:qFormat/>
    <w:uiPriority w:val="0"/>
    <w:rPr>
      <w:shd w:val="clear" w:color="auto" w:fill="FFFFFF"/>
    </w:rPr>
  </w:style>
  <w:style w:type="character" w:customStyle="1" w:styleId="324">
    <w:name w:val="info-content"/>
    <w:basedOn w:val="45"/>
    <w:qFormat/>
    <w:uiPriority w:val="0"/>
    <w:rPr>
      <w:color w:val="808080"/>
    </w:rPr>
  </w:style>
  <w:style w:type="character" w:customStyle="1" w:styleId="325">
    <w:name w:val="ant-tree-iconele"/>
    <w:basedOn w:val="45"/>
    <w:qFormat/>
    <w:uiPriority w:val="0"/>
  </w:style>
  <w:style w:type="character" w:customStyle="1" w:styleId="326">
    <w:name w:val="current"/>
    <w:basedOn w:val="45"/>
    <w:qFormat/>
    <w:uiPriority w:val="0"/>
    <w:rPr>
      <w:color w:val="00C1DE"/>
    </w:rPr>
  </w:style>
  <w:style w:type="character" w:customStyle="1" w:styleId="327">
    <w:name w:val="current1"/>
    <w:basedOn w:val="45"/>
    <w:qFormat/>
    <w:uiPriority w:val="0"/>
    <w:rPr>
      <w:color w:val="00C1DE"/>
    </w:rPr>
  </w:style>
  <w:style w:type="character" w:customStyle="1" w:styleId="328">
    <w:name w:val="info-label"/>
    <w:basedOn w:val="45"/>
    <w:qFormat/>
    <w:uiPriority w:val="0"/>
    <w:rPr>
      <w:b/>
      <w:bCs/>
    </w:rPr>
  </w:style>
  <w:style w:type="character" w:customStyle="1" w:styleId="329">
    <w:name w:val="ant-badge-status-dot"/>
    <w:basedOn w:val="45"/>
    <w:qFormat/>
    <w:uiPriority w:val="0"/>
    <w:rPr>
      <w:shd w:val="clear" w:color="auto" w:fill="FFFFFF"/>
    </w:rPr>
  </w:style>
  <w:style w:type="character" w:customStyle="1" w:styleId="330">
    <w:name w:val="ant-select-tree-iconele"/>
    <w:basedOn w:val="45"/>
    <w:qFormat/>
    <w:uiPriority w:val="0"/>
  </w:style>
  <w:style w:type="character" w:customStyle="1" w:styleId="331">
    <w:name w:val="ant-input55"/>
    <w:basedOn w:val="45"/>
    <w:qFormat/>
    <w:uiPriority w:val="0"/>
  </w:style>
  <w:style w:type="character" w:customStyle="1" w:styleId="332">
    <w:name w:val="ant-radio+*"/>
    <w:basedOn w:val="45"/>
    <w:qFormat/>
    <w:uiPriority w:val="0"/>
  </w:style>
  <w:style w:type="character" w:customStyle="1" w:styleId="333">
    <w:name w:val="ant-radio+*1"/>
    <w:basedOn w:val="45"/>
    <w:qFormat/>
    <w:uiPriority w:val="0"/>
  </w:style>
  <w:style w:type="character" w:customStyle="1" w:styleId="334">
    <w:name w:val="last-child"/>
    <w:basedOn w:val="45"/>
    <w:qFormat/>
    <w:uiPriority w:val="0"/>
  </w:style>
  <w:style w:type="character" w:customStyle="1" w:styleId="335">
    <w:name w:val="last-child1"/>
    <w:basedOn w:val="45"/>
    <w:qFormat/>
    <w:uiPriority w:val="0"/>
  </w:style>
  <w:style w:type="character" w:customStyle="1" w:styleId="336">
    <w:name w:val="last-child2"/>
    <w:basedOn w:val="45"/>
    <w:qFormat/>
    <w:uiPriority w:val="0"/>
  </w:style>
  <w:style w:type="character" w:customStyle="1" w:styleId="337">
    <w:name w:val="last-child3"/>
    <w:basedOn w:val="45"/>
    <w:qFormat/>
    <w:uiPriority w:val="0"/>
  </w:style>
  <w:style w:type="character" w:customStyle="1" w:styleId="338">
    <w:name w:val="last-of-type"/>
    <w:basedOn w:val="45"/>
    <w:qFormat/>
    <w:uiPriority w:val="0"/>
    <w:rPr>
      <w:color w:val="FF4A44"/>
      <w:sz w:val="18"/>
      <w:szCs w:val="18"/>
    </w:rPr>
  </w:style>
  <w:style w:type="character" w:customStyle="1" w:styleId="339">
    <w:name w:val="ant-select-tree-switcher"/>
    <w:basedOn w:val="45"/>
    <w:qFormat/>
    <w:uiPriority w:val="0"/>
  </w:style>
  <w:style w:type="character" w:customStyle="1" w:styleId="340">
    <w:name w:val="label2"/>
    <w:basedOn w:val="45"/>
    <w:qFormat/>
    <w:uiPriority w:val="0"/>
  </w:style>
  <w:style w:type="character" w:customStyle="1" w:styleId="341">
    <w:name w:val="content12"/>
    <w:basedOn w:val="45"/>
    <w:qFormat/>
    <w:uiPriority w:val="0"/>
  </w:style>
  <w:style w:type="character" w:customStyle="1" w:styleId="342">
    <w:name w:val="tag-type"/>
    <w:basedOn w:val="45"/>
    <w:qFormat/>
    <w:uiPriority w:val="0"/>
    <w:rPr>
      <w:color w:val="FFFFFF"/>
      <w:sz w:val="12"/>
      <w:szCs w:val="12"/>
      <w:shd w:val="clear" w:color="auto" w:fill="317FFD"/>
    </w:rPr>
  </w:style>
  <w:style w:type="character" w:customStyle="1" w:styleId="343">
    <w:name w:val="tag-type1"/>
    <w:basedOn w:val="45"/>
    <w:qFormat/>
    <w:uiPriority w:val="0"/>
    <w:rPr>
      <w:color w:val="FFFFFF"/>
      <w:sz w:val="12"/>
      <w:szCs w:val="12"/>
      <w:shd w:val="clear" w:color="auto" w:fill="317FFD"/>
    </w:rPr>
  </w:style>
  <w:style w:type="character" w:customStyle="1" w:styleId="344">
    <w:name w:val="ant-select-tree-checkbox2"/>
    <w:basedOn w:val="45"/>
    <w:qFormat/>
    <w:uiPriority w:val="0"/>
  </w:style>
  <w:style w:type="character" w:customStyle="1" w:styleId="345">
    <w:name w:val="first-child3"/>
    <w:basedOn w:val="45"/>
    <w:qFormat/>
    <w:uiPriority w:val="0"/>
  </w:style>
  <w:style w:type="character" w:customStyle="1" w:styleId="346">
    <w:name w:val="change-camera-place"/>
    <w:basedOn w:val="45"/>
    <w:qFormat/>
    <w:uiPriority w:val="0"/>
    <w:rPr>
      <w:color w:val="3177FD"/>
    </w:rPr>
  </w:style>
  <w:style w:type="character" w:customStyle="1" w:styleId="347">
    <w:name w:val="ant-select-tree-checkbox"/>
    <w:basedOn w:val="45"/>
    <w:qFormat/>
    <w:uiPriority w:val="0"/>
  </w:style>
  <w:style w:type="character" w:customStyle="1" w:styleId="348">
    <w:name w:val="ant-input54"/>
    <w:basedOn w:val="45"/>
    <w:qFormat/>
    <w:uiPriority w:val="0"/>
  </w:style>
  <w:style w:type="character" w:customStyle="1" w:styleId="349">
    <w:name w:val="content"/>
    <w:basedOn w:val="45"/>
    <w:qFormat/>
    <w:uiPriority w:val="0"/>
  </w:style>
  <w:style w:type="character" w:customStyle="1" w:styleId="350">
    <w:name w:val="first-child"/>
    <w:basedOn w:val="45"/>
    <w:qFormat/>
    <w:uiPriority w:val="0"/>
  </w:style>
  <w:style w:type="character" w:customStyle="1" w:styleId="351">
    <w:name w:val="label"/>
    <w:basedOn w:val="45"/>
    <w:qFormat/>
    <w:uiPriority w:val="0"/>
  </w:style>
  <w:style w:type="character" w:customStyle="1" w:styleId="352">
    <w:name w:val="ant-badge-status-dot2"/>
    <w:basedOn w:val="45"/>
    <w:qFormat/>
    <w:uiPriority w:val="0"/>
    <w:rPr>
      <w:color w:val="FFFFFF"/>
      <w:shd w:val="clear" w:color="auto" w:fill="FFFFFF"/>
    </w:rPr>
  </w:style>
  <w:style w:type="character" w:customStyle="1" w:styleId="353">
    <w:name w:val="ant-tree-checkbox2"/>
    <w:basedOn w:val="45"/>
    <w:qFormat/>
    <w:uiPriority w:val="0"/>
  </w:style>
  <w:style w:type="character" w:customStyle="1" w:styleId="354">
    <w:name w:val="first-child2"/>
    <w:basedOn w:val="45"/>
    <w:qFormat/>
    <w:uiPriority w:val="0"/>
  </w:style>
  <w:style w:type="character" w:customStyle="1" w:styleId="355">
    <w:name w:val="hover"/>
    <w:basedOn w:val="45"/>
    <w:qFormat/>
    <w:uiPriority w:val="0"/>
    <w:rPr>
      <w:color w:val="3177FD"/>
    </w:rPr>
  </w:style>
  <w:style w:type="character" w:customStyle="1" w:styleId="356">
    <w:name w:val="last-child4"/>
    <w:basedOn w:val="45"/>
    <w:qFormat/>
    <w:uiPriority w:val="0"/>
  </w:style>
  <w:style w:type="character" w:customStyle="1" w:styleId="357">
    <w:name w:val="last-child5"/>
    <w:basedOn w:val="45"/>
    <w:qFormat/>
    <w:uiPriority w:val="0"/>
  </w:style>
  <w:style w:type="character" w:customStyle="1" w:styleId="358">
    <w:name w:val="last-child6"/>
    <w:basedOn w:val="45"/>
    <w:qFormat/>
    <w:uiPriority w:val="0"/>
  </w:style>
  <w:style w:type="character" w:customStyle="1" w:styleId="359">
    <w:name w:val="last-child7"/>
    <w:basedOn w:val="45"/>
    <w:qFormat/>
    <w:uiPriority w:val="0"/>
  </w:style>
  <w:style w:type="character" w:customStyle="1" w:styleId="360">
    <w:name w:val="ant-input48"/>
    <w:basedOn w:val="45"/>
    <w:qFormat/>
    <w:uiPriority w:val="0"/>
  </w:style>
  <w:style w:type="paragraph" w:customStyle="1" w:styleId="361">
    <w:name w:val="HTML Top of Form"/>
    <w:basedOn w:val="1"/>
    <w:next w:val="1"/>
    <w:link w:val="362"/>
    <w:qFormat/>
    <w:uiPriority w:val="0"/>
    <w:pPr>
      <w:pBdr>
        <w:bottom w:val="single" w:color="auto" w:sz="6" w:space="1"/>
      </w:pBdr>
      <w:jc w:val="center"/>
    </w:pPr>
    <w:rPr>
      <w:rFonts w:ascii="Arial"/>
      <w:vanish/>
      <w:sz w:val="16"/>
    </w:rPr>
  </w:style>
  <w:style w:type="character" w:customStyle="1" w:styleId="362">
    <w:name w:val="z-窗体顶端 Char"/>
    <w:basedOn w:val="45"/>
    <w:link w:val="361"/>
    <w:qFormat/>
    <w:uiPriority w:val="0"/>
    <w:rPr>
      <w:rFonts w:ascii="Arial" w:hAnsi="宋体" w:eastAsia="宋体" w:cs="宋体"/>
      <w:vanish/>
      <w:sz w:val="16"/>
    </w:rPr>
  </w:style>
  <w:style w:type="paragraph" w:customStyle="1" w:styleId="363">
    <w:name w:val="HTML Bottom of Form"/>
    <w:basedOn w:val="1"/>
    <w:next w:val="1"/>
    <w:link w:val="364"/>
    <w:qFormat/>
    <w:uiPriority w:val="0"/>
    <w:pPr>
      <w:pBdr>
        <w:top w:val="single" w:color="auto" w:sz="6" w:space="1"/>
      </w:pBdr>
      <w:jc w:val="center"/>
    </w:pPr>
    <w:rPr>
      <w:rFonts w:ascii="Arial"/>
      <w:vanish/>
      <w:sz w:val="16"/>
    </w:rPr>
  </w:style>
  <w:style w:type="character" w:customStyle="1" w:styleId="364">
    <w:name w:val="z-窗体底端 Char"/>
    <w:basedOn w:val="45"/>
    <w:link w:val="363"/>
    <w:qFormat/>
    <w:uiPriority w:val="0"/>
    <w:rPr>
      <w:rFonts w:ascii="Arial" w:hAnsi="宋体" w:eastAsia="宋体" w:cs="宋体"/>
      <w:vanish/>
      <w:sz w:val="16"/>
    </w:rPr>
  </w:style>
  <w:style w:type="character" w:customStyle="1" w:styleId="365">
    <w:name w:val="ant-input56"/>
    <w:basedOn w:val="45"/>
    <w:qFormat/>
    <w:uiPriority w:val="0"/>
  </w:style>
  <w:style w:type="character" w:customStyle="1" w:styleId="366">
    <w:name w:val="hover11"/>
    <w:basedOn w:val="45"/>
    <w:qFormat/>
    <w:uiPriority w:val="0"/>
    <w:rPr>
      <w:color w:val="3177FD"/>
    </w:rPr>
  </w:style>
  <w:style w:type="character" w:customStyle="1" w:styleId="367">
    <w:name w:val="first-child5"/>
    <w:basedOn w:val="45"/>
    <w:qFormat/>
    <w:uiPriority w:val="0"/>
  </w:style>
  <w:style w:type="character" w:customStyle="1" w:styleId="368">
    <w:name w:val="ant-form-item-children1"/>
    <w:basedOn w:val="45"/>
    <w:qFormat/>
    <w:uiPriority w:val="0"/>
  </w:style>
  <w:style w:type="character" w:customStyle="1" w:styleId="369">
    <w:name w:val="ant-input26"/>
    <w:basedOn w:val="45"/>
    <w:qFormat/>
    <w:uiPriority w:val="0"/>
  </w:style>
  <w:style w:type="character" w:customStyle="1" w:styleId="370">
    <w:name w:val="ant-table-tbody1"/>
    <w:basedOn w:val="45"/>
    <w:qFormat/>
    <w:uiPriority w:val="0"/>
  </w:style>
  <w:style w:type="paragraph" w:customStyle="1" w:styleId="371">
    <w:name w:val="Normal_19"/>
    <w:next w:val="372"/>
    <w:qFormat/>
    <w:uiPriority w:val="0"/>
    <w:rPr>
      <w:rFonts w:ascii="Times New Roman" w:hAnsi="Times New Roman" w:eastAsia="宋体" w:cs="Times New Roman"/>
      <w:sz w:val="24"/>
      <w:szCs w:val="24"/>
      <w:lang w:val="en-US" w:eastAsia="zh-CN" w:bidi="ar-SA"/>
    </w:rPr>
  </w:style>
  <w:style w:type="paragraph" w:customStyle="1" w:styleId="372">
    <w:name w:val="Body Text_1"/>
    <w:basedOn w:val="371"/>
    <w:next w:val="371"/>
    <w:qFormat/>
    <w:uiPriority w:val="0"/>
    <w:pPr>
      <w:spacing w:after="120"/>
    </w:pPr>
  </w:style>
  <w:style w:type="paragraph" w:customStyle="1" w:styleId="373">
    <w:name w:val="正文文本_1_1"/>
    <w:basedOn w:val="374"/>
    <w:qFormat/>
    <w:uiPriority w:val="1"/>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374">
    <w:name w:val="正文_7_1"/>
    <w:next w:val="373"/>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table" w:customStyle="1" w:styleId="37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customXml" Target="../customXml/item1.xml"/><Relationship Id="rId71" Type="http://schemas.openxmlformats.org/officeDocument/2006/relationships/image" Target="media/image23.jpeg"/><Relationship Id="rId70" Type="http://schemas.openxmlformats.org/officeDocument/2006/relationships/image" Target="media/image22.png"/><Relationship Id="rId7" Type="http://schemas.openxmlformats.org/officeDocument/2006/relationships/header" Target="header2.xml"/><Relationship Id="rId69" Type="http://schemas.openxmlformats.org/officeDocument/2006/relationships/image" Target="media/image21.jpeg"/><Relationship Id="rId68" Type="http://schemas.openxmlformats.org/officeDocument/2006/relationships/image" Target="media/image20.jpeg"/><Relationship Id="rId67" Type="http://schemas.openxmlformats.org/officeDocument/2006/relationships/image" Target="media/image19.jpeg"/><Relationship Id="rId66" Type="http://schemas.openxmlformats.org/officeDocument/2006/relationships/image" Target="media/image18.jpeg"/><Relationship Id="rId65" Type="http://schemas.openxmlformats.org/officeDocument/2006/relationships/image" Target="media/image17.jpeg"/><Relationship Id="rId64" Type="http://schemas.openxmlformats.org/officeDocument/2006/relationships/image" Target="media/image16.jpeg"/><Relationship Id="rId63" Type="http://schemas.openxmlformats.org/officeDocument/2006/relationships/image" Target="media/image15.jpeg"/><Relationship Id="rId62" Type="http://schemas.openxmlformats.org/officeDocument/2006/relationships/image" Target="media/image14.jpeg"/><Relationship Id="rId61" Type="http://schemas.openxmlformats.org/officeDocument/2006/relationships/image" Target="media/image13.jpeg"/><Relationship Id="rId60" Type="http://schemas.openxmlformats.org/officeDocument/2006/relationships/image" Target="media/image12.jpeg"/><Relationship Id="rId6" Type="http://schemas.openxmlformats.org/officeDocument/2006/relationships/footer" Target="footer3.xml"/><Relationship Id="rId59" Type="http://schemas.openxmlformats.org/officeDocument/2006/relationships/image" Target="media/image11.jpeg"/><Relationship Id="rId58" Type="http://schemas.openxmlformats.org/officeDocument/2006/relationships/image" Target="media/image10.jpeg"/><Relationship Id="rId57" Type="http://schemas.openxmlformats.org/officeDocument/2006/relationships/image" Target="media/image9.jpeg"/><Relationship Id="rId56" Type="http://schemas.openxmlformats.org/officeDocument/2006/relationships/image" Target="media/image8.jpeg"/><Relationship Id="rId55" Type="http://schemas.openxmlformats.org/officeDocument/2006/relationships/image" Target="media/image7.jpeg"/><Relationship Id="rId54" Type="http://schemas.openxmlformats.org/officeDocument/2006/relationships/image" Target="media/image6.jpeg"/><Relationship Id="rId53" Type="http://schemas.openxmlformats.org/officeDocument/2006/relationships/theme" Target="theme/theme1.xml"/><Relationship Id="rId52" Type="http://schemas.openxmlformats.org/officeDocument/2006/relationships/footer" Target="footer26.xml"/><Relationship Id="rId51" Type="http://schemas.openxmlformats.org/officeDocument/2006/relationships/header" Target="header24.xml"/><Relationship Id="rId50" Type="http://schemas.openxmlformats.org/officeDocument/2006/relationships/footer" Target="footer25.xml"/><Relationship Id="rId5" Type="http://schemas.openxmlformats.org/officeDocument/2006/relationships/footer" Target="footer2.xml"/><Relationship Id="rId49" Type="http://schemas.openxmlformats.org/officeDocument/2006/relationships/header" Target="header23.xml"/><Relationship Id="rId48" Type="http://schemas.openxmlformats.org/officeDocument/2006/relationships/footer" Target="footer24.xml"/><Relationship Id="rId47" Type="http://schemas.openxmlformats.org/officeDocument/2006/relationships/header" Target="header22.xml"/><Relationship Id="rId46" Type="http://schemas.openxmlformats.org/officeDocument/2006/relationships/footer" Target="footer23.xml"/><Relationship Id="rId45" Type="http://schemas.openxmlformats.org/officeDocument/2006/relationships/header" Target="header21.xml"/><Relationship Id="rId44" Type="http://schemas.openxmlformats.org/officeDocument/2006/relationships/footer" Target="footer22.xml"/><Relationship Id="rId43" Type="http://schemas.openxmlformats.org/officeDocument/2006/relationships/header" Target="header20.xml"/><Relationship Id="rId42" Type="http://schemas.openxmlformats.org/officeDocument/2006/relationships/footer" Target="footer21.xml"/><Relationship Id="rId41" Type="http://schemas.openxmlformats.org/officeDocument/2006/relationships/header" Target="header19.xml"/><Relationship Id="rId40" Type="http://schemas.openxmlformats.org/officeDocument/2006/relationships/footer" Target="footer20.xml"/><Relationship Id="rId4" Type="http://schemas.openxmlformats.org/officeDocument/2006/relationships/footer" Target="footer1.xml"/><Relationship Id="rId39" Type="http://schemas.openxmlformats.org/officeDocument/2006/relationships/header" Target="header18.xml"/><Relationship Id="rId38" Type="http://schemas.openxmlformats.org/officeDocument/2006/relationships/footer" Target="footer19.xml"/><Relationship Id="rId37" Type="http://schemas.openxmlformats.org/officeDocument/2006/relationships/header" Target="header17.xml"/><Relationship Id="rId36" Type="http://schemas.openxmlformats.org/officeDocument/2006/relationships/footer" Target="footer18.xml"/><Relationship Id="rId35" Type="http://schemas.openxmlformats.org/officeDocument/2006/relationships/header" Target="header16.xml"/><Relationship Id="rId34" Type="http://schemas.openxmlformats.org/officeDocument/2006/relationships/footer" Target="footer17.xml"/><Relationship Id="rId33" Type="http://schemas.openxmlformats.org/officeDocument/2006/relationships/header" Target="header15.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97</Pages>
  <Words>43041</Words>
  <Characters>45576</Characters>
  <Lines>424</Lines>
  <Paragraphs>119</Paragraphs>
  <TotalTime>42</TotalTime>
  <ScaleCrop>false</ScaleCrop>
  <LinksUpToDate>false</LinksUpToDate>
  <CharactersWithSpaces>48721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2021-08-27T08:59:00Z</dcterms:created>
  <dc:creator>001</dc:creator>
  <cp:lastModifiedBy>达令希</cp:lastModifiedBy>
  <cp:lastPrinted>2021-10-15T01:55:02Z</cp:lastPrinted>
  <dcterms:modified xsi:type="dcterms:W3CDTF">2021-10-15T03:03:47Z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C647DD11B97043B9BD159D952AEB9355</vt:lpwstr>
  </property>
</Properties>
</file>