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cs="宋体"/>
          <w:sz w:val="32"/>
          <w:szCs w:val="32"/>
          <w:lang w:eastAsia="zh-CN"/>
        </w:rPr>
        <w:t>成都市新都区教育局2021年第二批多媒体系统采购项目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cs="宋体"/>
          <w:sz w:val="32"/>
          <w:szCs w:val="32"/>
          <w:lang w:eastAsia="zh-CN"/>
        </w:rPr>
        <w:t>新都政采（2021）A0010号</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成都市新都区教育局</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28"/>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六</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01247312"/>
      <w:bookmarkStart w:id="1" w:name="_Toc148505181"/>
      <w:bookmarkStart w:id="2" w:name="_Toc101328520"/>
      <w:bookmarkStart w:id="3" w:name="_Toc101234248"/>
      <w:r>
        <w:rPr>
          <w:rFonts w:hint="eastAsia" w:ascii="宋体" w:hAnsi="宋体"/>
          <w:b/>
          <w:sz w:val="32"/>
          <w:szCs w:val="32"/>
        </w:rPr>
        <w:t>目 录</w:t>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smallCaps/>
        </w:rPr>
        <w:instrText xml:space="preserve"> TOC \o "1-2"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_Toc9609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_Toc9609 \h </w:instrText>
      </w:r>
      <w:r>
        <w:fldChar w:fldCharType="separate"/>
      </w:r>
      <w:r>
        <w:t>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_Toc567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_Toc567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_Toc11291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_Toc11291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_Toc26641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_Toc26641 \h </w:instrText>
      </w:r>
      <w:r>
        <w:fldChar w:fldCharType="separate"/>
      </w:r>
      <w:r>
        <w:t>11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_Toc23292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_Toc23292 \h </w:instrText>
      </w:r>
      <w:r>
        <w:fldChar w:fldCharType="separate"/>
      </w:r>
      <w:r>
        <w:t>12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_Toc21190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_Toc21190 \h </w:instrText>
      </w:r>
      <w:r>
        <w:fldChar w:fldCharType="separate"/>
      </w:r>
      <w:r>
        <w:t>13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_Toc27383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_Toc27383 \h </w:instrText>
      </w:r>
      <w:r>
        <w:fldChar w:fldCharType="separate"/>
      </w:r>
      <w:r>
        <w:t>20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_Toc4132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_Toc4132 \h </w:instrText>
      </w:r>
      <w:r>
        <w:fldChar w:fldCharType="separate"/>
      </w:r>
      <w:r>
        <w:t>22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_Toc21008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_Toc21008 \h </w:instrText>
      </w:r>
      <w:r>
        <w:fldChar w:fldCharType="separate"/>
      </w:r>
      <w:r>
        <w:t>23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_Toc18401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_Toc18401 \h </w:instrText>
      </w:r>
      <w:r>
        <w:fldChar w:fldCharType="separate"/>
      </w:r>
      <w:r>
        <w:t>25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_Toc988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_Toc988 \h </w:instrText>
      </w:r>
      <w:r>
        <w:fldChar w:fldCharType="separate"/>
      </w:r>
      <w:r>
        <w:t>27</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_Toc18197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_Toc18197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_Toc27039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_Toc27039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_Toc2127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_Toc2127 \h </w:instrText>
      </w:r>
      <w:r>
        <w:fldChar w:fldCharType="separate"/>
      </w:r>
      <w:r>
        <w:t>29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_Toc30855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_Toc30855 \h </w:instrText>
      </w:r>
      <w:r>
        <w:fldChar w:fldCharType="separate"/>
      </w:r>
      <w:r>
        <w:t>33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_Toc25981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_Toc25981 \h </w:instrText>
      </w:r>
      <w:r>
        <w:fldChar w:fldCharType="separate"/>
      </w:r>
      <w:r>
        <w:t>40</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_Toc15983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_Toc15983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_Toc2570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_Toc2570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_Toc16917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_Toc16917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_Toc11987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_Toc11987 \h </w:instrText>
      </w:r>
      <w:r>
        <w:fldChar w:fldCharType="separate"/>
      </w:r>
      <w:r>
        <w:t>50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_Toc14761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商务要求</w:t>
      </w:r>
      <w:r>
        <w:tab/>
      </w:r>
      <w:r>
        <w:fldChar w:fldCharType="begin"/>
      </w:r>
      <w:r>
        <w:instrText xml:space="preserve"> PAGEREF _Toc14761 \h </w:instrText>
      </w:r>
      <w:r>
        <w:fldChar w:fldCharType="separate"/>
      </w:r>
      <w:r>
        <w:t>59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_Toc14055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_Toc14055 \h </w:instrText>
      </w:r>
      <w:r>
        <w:fldChar w:fldCharType="separate"/>
      </w:r>
      <w:r>
        <w:t>62</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_Toc29465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_Toc29465 \h </w:instrText>
      </w:r>
      <w:r>
        <w:fldChar w:fldCharType="separate"/>
      </w:r>
      <w:r>
        <w:t>64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_Toc15154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_Toc15154 \h </w:instrText>
      </w:r>
      <w:r>
        <w:fldChar w:fldCharType="separate"/>
      </w:r>
      <w:r>
        <w:t>68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_Toc25485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_Toc25485 \h </w:instrText>
      </w:r>
      <w:r>
        <w:fldChar w:fldCharType="separate"/>
      </w:r>
      <w:r>
        <w:t>68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_Toc17529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_Toc17529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_Toc16364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_Toc16364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_Toc11868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_Toc11868 \h </w:instrText>
      </w:r>
      <w:r>
        <w:fldChar w:fldCharType="separate"/>
      </w:r>
      <w:r>
        <w:t>75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_Toc20067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_Toc20067 \h </w:instrText>
      </w:r>
      <w:r>
        <w:fldChar w:fldCharType="separate"/>
      </w:r>
      <w:r>
        <w:t>76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_Toc17203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_Toc17203 \h </w:instrText>
      </w:r>
      <w:r>
        <w:fldChar w:fldCharType="separate"/>
      </w:r>
      <w:r>
        <w:t>81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_Toc24900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_Toc24900 \h </w:instrText>
      </w:r>
      <w:r>
        <w:fldChar w:fldCharType="separate"/>
      </w:r>
      <w:r>
        <w:t>82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_Toc24576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_Toc24576 \h </w:instrText>
      </w:r>
      <w:r>
        <w:fldChar w:fldCharType="separate"/>
      </w:r>
      <w:r>
        <w:t>83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_Toc11701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_Toc11701 \h </w:instrText>
      </w:r>
      <w:r>
        <w:fldChar w:fldCharType="separate"/>
      </w:r>
      <w:r>
        <w:t>84</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_Toc10446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_Toc10446 \h </w:instrText>
      </w:r>
      <w:r>
        <w:fldChar w:fldCharType="separate"/>
      </w:r>
      <w:r>
        <w:t>84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_Toc1288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_Toc1288 \h </w:instrText>
      </w:r>
      <w:r>
        <w:fldChar w:fldCharType="separate"/>
      </w:r>
      <w:r>
        <w:t>86</w:t>
      </w:r>
      <w:r>
        <w:fldChar w:fldCharType="end"/>
      </w:r>
      <w:r>
        <w:rPr>
          <w:rFonts w:hint="eastAsia" w:ascii="宋体" w:hAnsi="宋体" w:eastAsia="宋体" w:cs="宋体"/>
        </w:rPr>
        <w:fldChar w:fldCharType="end"/>
      </w:r>
    </w:p>
    <w:p>
      <w:pPr>
        <w:tabs>
          <w:tab w:val="left" w:pos="620"/>
          <w:tab w:val="right" w:leader="dot" w:pos="8364"/>
        </w:tabs>
        <w:ind w:left="180"/>
        <w:rPr>
          <w:rFonts w:hint="eastAsia" w:ascii="宋体" w:hAnsi="宋体" w:eastAsia="宋体" w:cs="宋体"/>
          <w:b/>
          <w:bCs/>
          <w:caps/>
          <w:smallCaps/>
          <w:sz w:val="20"/>
          <w:szCs w:val="20"/>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610856"/>
      <w:bookmarkStart w:id="6" w:name="_Toc9609"/>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Theme="minorEastAsia" w:hAnsiTheme="minorEastAsia"/>
          <w:b/>
          <w:sz w:val="28"/>
          <w:szCs w:val="28"/>
          <w:lang w:eastAsia="zh-CN"/>
        </w:rPr>
        <w:t>成都市新都区教育局</w:t>
      </w:r>
      <w:r>
        <w:rPr>
          <w:rFonts w:hint="eastAsia" w:ascii="宋体" w:hAnsi="宋体"/>
          <w:sz w:val="28"/>
          <w:szCs w:val="28"/>
        </w:rPr>
        <w:t>委托，拟对</w:t>
      </w:r>
      <w:r>
        <w:rPr>
          <w:rFonts w:hint="eastAsia" w:ascii="宋体" w:hAnsi="宋体"/>
          <w:b/>
          <w:sz w:val="28"/>
          <w:szCs w:val="28"/>
          <w:lang w:eastAsia="zh-CN"/>
        </w:rPr>
        <w:t>成都市新都区教育局2021年第二批多媒体系统采购项目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新都政采（2021）A0010号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（采购项目编号：510114202100122）</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成都市新都区教育局2021年第二批多媒体系统采购项目</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财政性资金，政府采购实施计划备案表号：（2021）0435号；预算品目：A020208触控一体机；预算总金额：685.168万元，其中包1：254.706万元，包2：430.462万元；最高限价：包1：254.706万元，包2：430.462万元。</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560" w:lineRule="exact"/>
        <w:rPr>
          <w:rFonts w:ascii="宋体" w:hAnsi="宋体"/>
          <w:spacing w:val="6"/>
          <w:sz w:val="28"/>
          <w:szCs w:val="28"/>
        </w:rPr>
      </w:pPr>
      <w:r>
        <w:rPr>
          <w:rFonts w:hint="eastAsia" w:ascii="宋体" w:hAnsi="宋体"/>
          <w:b/>
          <w:bCs/>
          <w:spacing w:val="6"/>
          <w:sz w:val="28"/>
          <w:szCs w:val="28"/>
        </w:rPr>
        <w:t>包1：2021年新（改扩）建校教学、会议多媒体系统（第2批）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630"/>
        <w:gridCol w:w="1365"/>
        <w:gridCol w:w="1742"/>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序号</w:t>
            </w:r>
          </w:p>
        </w:tc>
        <w:tc>
          <w:tcPr>
            <w:tcW w:w="263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产品名称</w:t>
            </w:r>
          </w:p>
        </w:tc>
        <w:tc>
          <w:tcPr>
            <w:tcW w:w="1365"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数量</w:t>
            </w:r>
          </w:p>
        </w:tc>
        <w:tc>
          <w:tcPr>
            <w:tcW w:w="1742"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单位</w:t>
            </w:r>
          </w:p>
        </w:tc>
        <w:tc>
          <w:tcPr>
            <w:tcW w:w="1739"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交互式液晶平板(86"）</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default" w:ascii="宋体" w:hAnsi="宋体" w:cs="宋体"/>
                <w:kern w:val="0"/>
                <w:sz w:val="28"/>
                <w:szCs w:val="28"/>
              </w:rPr>
              <w:t>69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2</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展台（壁挂式）</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3</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蓝牙音响</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4</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电子教鞭（智慧笔）</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支</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5</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推拉式滑动无尘绿板</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75</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张</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6</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工程投影机（5000流明）</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default" w:ascii="宋体" w:hAnsi="宋体" w:cs="宋体"/>
                <w:kern w:val="0"/>
                <w:sz w:val="28"/>
                <w:szCs w:val="28"/>
              </w:rPr>
              <w:t>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7</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画框幕布（120"）</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副</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8</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工程投影机（</w:t>
            </w:r>
            <w:r>
              <w:rPr>
                <w:rFonts w:hint="default" w:ascii="宋体" w:hAnsi="宋体" w:cs="宋体"/>
                <w:kern w:val="0"/>
                <w:sz w:val="28"/>
                <w:szCs w:val="28"/>
              </w:rPr>
              <w:t>6</w:t>
            </w:r>
            <w:r>
              <w:rPr>
                <w:rFonts w:hint="eastAsia" w:ascii="宋体" w:hAnsi="宋体" w:cs="宋体"/>
                <w:kern w:val="0"/>
                <w:sz w:val="28"/>
                <w:szCs w:val="28"/>
              </w:rPr>
              <w:t>000流明）</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9</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超短焦激光投影机（4000流明）</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10</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电子白板（75"）</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11</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电动银幕（120"）</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9</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个</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12</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无线同屏器</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10</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个</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13</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教学一体机</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24</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14</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木质讲桌</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67</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张</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15</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多媒体系统安装及调试（液晶）</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84</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16</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多媒体系统安装及调试（投影幕）</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10</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17</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多媒体系统安装及调试（电子白板）</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13</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sz w:val="28"/>
                <w:szCs w:val="28"/>
              </w:rPr>
              <w:t>工业</w:t>
            </w:r>
          </w:p>
        </w:tc>
      </w:tr>
    </w:tbl>
    <w:p>
      <w:pPr>
        <w:spacing w:line="560" w:lineRule="exact"/>
        <w:rPr>
          <w:rFonts w:ascii="宋体" w:hAnsi="宋体"/>
          <w:b/>
          <w:bCs/>
          <w:spacing w:val="6"/>
          <w:sz w:val="28"/>
          <w:szCs w:val="28"/>
        </w:rPr>
      </w:pPr>
      <w:r>
        <w:rPr>
          <w:rFonts w:hint="eastAsia" w:ascii="宋体" w:hAnsi="宋体"/>
          <w:b/>
          <w:bCs/>
          <w:spacing w:val="6"/>
          <w:sz w:val="28"/>
          <w:szCs w:val="28"/>
        </w:rPr>
        <w:t>包2：2021年部分学校教学多媒体系统补充更新（第2批）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686"/>
        <w:gridCol w:w="1581"/>
        <w:gridCol w:w="1592"/>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10"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序号</w:t>
            </w:r>
          </w:p>
        </w:tc>
        <w:tc>
          <w:tcPr>
            <w:tcW w:w="2686"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产品名称</w:t>
            </w:r>
          </w:p>
        </w:tc>
        <w:tc>
          <w:tcPr>
            <w:tcW w:w="1581"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数量</w:t>
            </w:r>
          </w:p>
        </w:tc>
        <w:tc>
          <w:tcPr>
            <w:tcW w:w="1592"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单位</w:t>
            </w:r>
          </w:p>
        </w:tc>
        <w:tc>
          <w:tcPr>
            <w:tcW w:w="1581"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1</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交互式液晶平板(86"）</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124</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2</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展台（壁挂式）</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158</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3</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蓝牙音响</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158</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4</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电子教鞭（智慧笔）</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124</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支</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5</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推拉式滑动无尘绿板</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124</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6</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木质讲桌</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124</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7</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交互式液晶平板(75"）</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34</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8</w:t>
            </w:r>
          </w:p>
        </w:tc>
        <w:tc>
          <w:tcPr>
            <w:tcW w:w="2686"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8"/>
                <w:szCs w:val="28"/>
              </w:rPr>
              <w:t>多媒体系统安装及调试（液晶）</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158</w:t>
            </w:r>
          </w:p>
        </w:tc>
        <w:tc>
          <w:tcPr>
            <w:tcW w:w="159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sz w:val="28"/>
                <w:szCs w:val="28"/>
              </w:rPr>
              <w:t>工业</w:t>
            </w:r>
          </w:p>
        </w:tc>
      </w:tr>
    </w:tbl>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招标文件获取时间：2021年</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20</w:t>
      </w:r>
      <w:r>
        <w:rPr>
          <w:rFonts w:hint="eastAsia" w:ascii="宋体" w:hAnsi="宋体"/>
          <w:b/>
          <w:sz w:val="28"/>
          <w:szCs w:val="28"/>
          <w:highlight w:val="none"/>
        </w:rPr>
        <w:t>日。</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公告期限：2021年</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7</w:t>
      </w:r>
      <w:r>
        <w:rPr>
          <w:rFonts w:hint="eastAsia" w:ascii="宋体" w:hAnsi="宋体"/>
          <w:b/>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bookmarkStart w:id="8" w:name="_Toc186274101"/>
      <w:bookmarkStart w:id="9" w:name="_Toc180051012"/>
      <w:bookmarkStart w:id="10" w:name="_Toc184013605"/>
      <w:bookmarkStart w:id="11" w:name="_Toc184023104"/>
      <w:bookmarkStart w:id="12" w:name="_Toc174185149"/>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（一）投标文件递交截止时间及开标时间：2021年</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21</w:t>
      </w:r>
      <w:r>
        <w:rPr>
          <w:rFonts w:hint="eastAsia" w:ascii="宋体" w:hAnsi="宋体"/>
          <w:b/>
          <w:sz w:val="28"/>
          <w:szCs w:val="28"/>
          <w:highlight w:val="none"/>
        </w:rPr>
        <w:t>日上午09:3</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sz w:val="28"/>
          <w:szCs w:val="28"/>
        </w:rPr>
      </w:pPr>
      <w:r>
        <w:rPr>
          <w:rFonts w:hint="eastAsia" w:ascii="宋体" w:hAnsi="宋体"/>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成都市新都区教育局</w:t>
      </w:r>
    </w:p>
    <w:p>
      <w:pPr>
        <w:pStyle w:val="148"/>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成都市</w:t>
      </w:r>
      <w:r>
        <w:rPr>
          <w:rFonts w:hint="eastAsia" w:ascii="宋体" w:hAnsi="宋体"/>
          <w:sz w:val="28"/>
          <w:szCs w:val="28"/>
          <w:lang w:eastAsia="zh-CN"/>
        </w:rPr>
        <w:t>新都区新都镇</w:t>
      </w:r>
      <w:r>
        <w:rPr>
          <w:rFonts w:hint="eastAsia" w:ascii="宋体" w:hAnsi="宋体"/>
          <w:sz w:val="28"/>
          <w:szCs w:val="28"/>
        </w:rPr>
        <w:t>新新路31号</w:t>
      </w:r>
    </w:p>
    <w:p>
      <w:pPr>
        <w:pStyle w:val="148"/>
        <w:ind w:firstLine="560"/>
        <w:rPr>
          <w:rFonts w:ascii="宋体" w:hAnsi="宋体"/>
          <w:kern w:val="0"/>
          <w:sz w:val="28"/>
          <w:szCs w:val="28"/>
        </w:rPr>
      </w:pPr>
      <w:r>
        <w:rPr>
          <w:rFonts w:hint="eastAsia" w:ascii="宋体" w:hAnsi="宋体"/>
          <w:kern w:val="0"/>
          <w:sz w:val="28"/>
          <w:szCs w:val="28"/>
        </w:rPr>
        <w:t>联系人：</w:t>
      </w:r>
      <w:r>
        <w:rPr>
          <w:rFonts w:hint="eastAsia" w:ascii="宋体" w:hAnsi="宋体"/>
          <w:sz w:val="28"/>
        </w:rPr>
        <w:t>缪道均</w:t>
      </w:r>
    </w:p>
    <w:p>
      <w:pPr>
        <w:spacing w:line="360" w:lineRule="auto"/>
        <w:ind w:firstLine="567"/>
        <w:rPr>
          <w:rFonts w:ascii="宋体" w:hAnsi="宋体"/>
          <w:b/>
          <w:bCs/>
          <w:sz w:val="28"/>
          <w:szCs w:val="28"/>
        </w:rPr>
      </w:pPr>
      <w:r>
        <w:rPr>
          <w:rFonts w:hint="eastAsia" w:ascii="宋体" w:hAnsi="宋体"/>
          <w:sz w:val="28"/>
        </w:rPr>
        <w:t>联系电话：</w:t>
      </w:r>
      <w:r>
        <w:rPr>
          <w:rFonts w:ascii="宋体" w:hAnsi="宋体"/>
          <w:kern w:val="0"/>
          <w:sz w:val="28"/>
        </w:rPr>
        <w:t>028-</w:t>
      </w:r>
      <w:r>
        <w:rPr>
          <w:rFonts w:hint="eastAsia" w:ascii="宋体" w:hAnsi="宋体"/>
          <w:kern w:val="0"/>
          <w:sz w:val="28"/>
        </w:rPr>
        <w:t>83992676</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sz w:val="28"/>
        </w:rPr>
      </w:pPr>
      <w:r>
        <w:rPr>
          <w:rFonts w:hint="eastAsia" w:ascii="宋体" w:hAnsi="宋体"/>
          <w:sz w:val="28"/>
        </w:rPr>
        <w:t>联系人：陈涛</w:t>
      </w:r>
    </w:p>
    <w:p>
      <w:pPr>
        <w:spacing w:line="360" w:lineRule="auto"/>
        <w:ind w:firstLine="565" w:firstLineChars="202"/>
        <w:rPr>
          <w:rFonts w:hint="eastAsia" w:ascii="宋体" w:hAnsi="宋体"/>
          <w:sz w:val="28"/>
        </w:rPr>
      </w:pPr>
      <w:r>
        <w:rPr>
          <w:rFonts w:hint="eastAsia" w:ascii="宋体" w:hAnsi="宋体"/>
          <w:sz w:val="28"/>
        </w:rPr>
        <w:t>联系电话：028-83003130</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567"/>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11291"/>
      <w:bookmarkStart w:id="15" w:name="_Toc213396760"/>
      <w:bookmarkStart w:id="16" w:name="_Toc213396946"/>
      <w:bookmarkStart w:id="17" w:name="_Toc213496268"/>
      <w:bookmarkStart w:id="18" w:name="_Toc217446032"/>
      <w:bookmarkStart w:id="19" w:name="_Toc213397010"/>
      <w:bookmarkStart w:id="20" w:name="_Toc316462344"/>
      <w:bookmarkStart w:id="21" w:name="_Toc189727030"/>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38" w:right="0"/>
              <w:jc w:val="center"/>
              <w:rPr>
                <w:rFonts w:hint="default"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210" w:rightChars="100"/>
              <w:rPr>
                <w:rFonts w:hint="default"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eastAsia="仿宋_GB2312" w:cs="宋体"/>
                <w:b/>
                <w:highlight w:val="none"/>
                <w:lang w:val="zh-CN"/>
              </w:rPr>
            </w:pPr>
            <w:r>
              <w:rPr>
                <w:rFonts w:hint="eastAsia" w:ascii="宋体" w:hAnsi="宋体"/>
                <w:b/>
                <w:sz w:val="21"/>
                <w:lang w:val="zh-CN"/>
              </w:rPr>
              <w:t>人民币685.168万元，其中包1：254.706万元，包2：430.462万元。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ascii="宋体" w:hAnsi="宋体" w:cs="宋体"/>
                <w:b/>
                <w:highlight w:val="none"/>
                <w:lang w:val="zh-CN"/>
              </w:rPr>
            </w:pPr>
            <w:r>
              <w:rPr>
                <w:rFonts w:hint="eastAsia" w:ascii="宋体" w:hAnsi="宋体"/>
                <w:b/>
                <w:sz w:val="21"/>
                <w:lang w:val="zh-CN"/>
              </w:rPr>
              <w:t>本项目最高限价为包1：254.706万元，包2：430.462万元，投标人投标报价高于最高限价的则其投标文件将按无效投标文件处理。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lang w:val="zh-CN"/>
              </w:rPr>
            </w:pPr>
            <w:r>
              <w:rPr>
                <w:rFonts w:hint="eastAsia" w:ascii="宋体" w:hAnsi="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hint="default" w:ascii="宋体" w:hAnsi="宋体"/>
                <w:lang w:val="zh-CN"/>
              </w:rPr>
              <w:t>规定的中小企业</w:t>
            </w:r>
            <w:r>
              <w:rPr>
                <w:rFonts w:hint="eastAsia" w:ascii="宋体" w:hAnsi="宋体"/>
                <w:lang w:val="zh-CN"/>
              </w:rPr>
              <w:t>扶持</w:t>
            </w:r>
            <w:r>
              <w:rPr>
                <w:rFonts w:hint="default" w:ascii="宋体" w:hAnsi="宋体"/>
                <w:lang w:val="zh-CN"/>
              </w:rPr>
              <w:t>政策</w:t>
            </w:r>
            <w:r>
              <w:rPr>
                <w:rFonts w:hint="eastAsia" w:ascii="宋体" w:hAnsi="宋体"/>
                <w:lang w:val="zh-CN"/>
              </w:rPr>
              <w:t>。</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41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94" w:rightChars="45"/>
              <w:rPr>
                <w:rFonts w:hint="default" w:ascii="宋体" w:hAnsi="宋体"/>
                <w:bCs/>
              </w:rPr>
            </w:pPr>
            <w:r>
              <w:rPr>
                <w:rFonts w:hint="eastAsia" w:ascii="宋体" w:hAnsi="宋体"/>
                <w:bCs/>
              </w:rPr>
              <w:t>1.根据《关于政府采购支持监狱企业发展有关问题的通知》（财库[2014]68号）的规定，监狱企业视同小型、微型企业，对监狱企业制造的货物的价格给予10%的价格扣除，用扣除后的价格参与评审。</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bCs/>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1.根据《三部门联合发布关于促进残疾人就业政府采购政策的通知》（财库[2017]141号）的规定，残疾人福利性单位视同小型、微型企业，对残疾人福利性单位</w:t>
            </w:r>
            <w:r>
              <w:rPr>
                <w:rFonts w:hint="eastAsia" w:ascii="宋体" w:hAnsi="宋体"/>
                <w:bCs/>
              </w:rPr>
              <w:t>制造的货物的价格</w:t>
            </w:r>
            <w:r>
              <w:rPr>
                <w:rFonts w:hint="eastAsia" w:ascii="宋体" w:hAnsi="宋体"/>
              </w:rPr>
              <w:t>给予10%的价格扣除，用扣除后的价格参与评审。</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详见投标人须知2.4.12</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注：投标人使用</w:t>
            </w:r>
            <w:r>
              <w:rPr>
                <w:rFonts w:hint="default" w:ascii="宋体" w:hAnsi="宋体"/>
              </w:rPr>
              <w:t>CA证书在</w:t>
            </w:r>
            <w:r>
              <w:rPr>
                <w:rFonts w:hint="eastAsia" w:ascii="宋体" w:hAnsi="宋体"/>
              </w:rPr>
              <w:t>投标截止时间前，将投标文件上传至政府</w:t>
            </w:r>
            <w:r>
              <w:rPr>
                <w:rFonts w:hint="default" w:ascii="宋体" w:hAnsi="宋体"/>
              </w:rPr>
              <w:t>采购</w:t>
            </w:r>
            <w:r>
              <w:rPr>
                <w:rFonts w:hint="eastAsia" w:ascii="宋体" w:hAnsi="宋体"/>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详见投标人须知2.5.1。</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投标文件解密：开启解密后，投标人应在系统提示的解密开始时间后</w:t>
            </w:r>
            <w:r>
              <w:rPr>
                <w:rFonts w:hint="default" w:ascii="宋体" w:hAnsi="宋体"/>
                <w:b/>
              </w:rPr>
              <w:t>60</w:t>
            </w:r>
            <w:r>
              <w:rPr>
                <w:rFonts w:hint="eastAsia" w:ascii="宋体" w:hAnsi="宋体"/>
                <w:b/>
              </w:rPr>
              <w:t>分钟内，使用对投标文件进行加密的CA证书在线完成对投标人递交至政府采购云平台的投标文件的解密。</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rPr>
            </w:pPr>
            <w:r>
              <w:rPr>
                <w:rFonts w:hint="eastAsia" w:ascii="宋体" w:hAnsi="宋体"/>
              </w:rPr>
              <w:t>投诉受理单位：本项目同级财政部门，即成都市新都区财政局。</w:t>
            </w:r>
          </w:p>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中标公告在四川政府采购网上公告后，中标供应商自行登录政府</w:t>
            </w:r>
            <w:r>
              <w:rPr>
                <w:rFonts w:hint="default"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4" w:leftChars="-2" w:right="210" w:firstLine="12" w:firstLineChars="6"/>
              <w:rPr>
                <w:rFonts w:hint="default"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（成财采〔2020〕20号）</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664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成都市新都区教育局</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183682344"/>
      <w:bookmarkStart w:id="24" w:name="_Toc217446036"/>
      <w:bookmarkStart w:id="25" w:name="_Toc217390843"/>
      <w:bookmarkStart w:id="26" w:name="_Toc183582207"/>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asciiTheme="minorEastAsia" w:hAnsiTheme="minorEastAsia" w:eastAsiaTheme="minorEastAsia"/>
          <w:b/>
          <w:bCs/>
          <w:sz w:val="28"/>
          <w:szCs w:val="28"/>
          <w:highlight w:val="none"/>
        </w:rPr>
        <w:t>包1：交互式液晶平板(86"）；包2：交互式液晶平板(86"）。</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23292"/>
      <w:bookmarkStart w:id="28" w:name="_Toc183682347"/>
      <w:bookmarkStart w:id="29" w:name="_Toc183582210"/>
      <w:bookmarkStart w:id="30" w:name="_Toc217446039"/>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77400780"/>
      <w:bookmarkStart w:id="35" w:name="_Toc217446042"/>
      <w:bookmarkStart w:id="36" w:name="_Toc183682351"/>
      <w:bookmarkStart w:id="37" w:name="_Toc183582214"/>
      <w:bookmarkStart w:id="38" w:name="_Toc89075876"/>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21190"/>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682352"/>
      <w:bookmarkStart w:id="42" w:name="_Toc183582215"/>
      <w:r>
        <w:rPr>
          <w:rFonts w:hint="eastAsia" w:ascii="宋体" w:hAnsi="宋体"/>
          <w:b/>
          <w:bCs/>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lang w:eastAsia="zh-CN"/>
        </w:rPr>
        <w:t>区交易中心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682354"/>
      <w:bookmarkStart w:id="51" w:name="_Toc183582217"/>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5"/>
      </w:pPr>
      <w:r>
        <w:rPr>
          <w:rFonts w:hint="eastAsia"/>
        </w:rPr>
        <w:t>资格响应文件：</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w:t>
      </w:r>
      <w:r>
        <w:rPr>
          <w:rFonts w:hint="eastAsia" w:ascii="宋体" w:hAnsi="宋体"/>
          <w:b/>
          <w:bCs/>
          <w:kern w:val="0"/>
          <w:sz w:val="28"/>
          <w:szCs w:val="28"/>
          <w:lang w:eastAsia="zh-CN"/>
        </w:rPr>
        <w:t>所必需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pPr>
      <w:r>
        <w:rPr>
          <w:rFonts w:hint="eastAsia"/>
        </w:rPr>
        <w:t>商务技术响应文件</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5"/>
      </w:pPr>
      <w:r>
        <w:rPr>
          <w:rFonts w:hint="eastAsia"/>
        </w:rPr>
        <w:t>报价要求响应文件</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投标产品</w:t>
      </w:r>
      <w:r>
        <w:rPr>
          <w:rFonts w:ascii="宋体" w:hAnsi="宋体"/>
          <w:b/>
          <w:sz w:val="28"/>
          <w:szCs w:val="28"/>
        </w:rPr>
        <w:t>制造商属于监狱企业的证明文件复印件</w:t>
      </w:r>
      <w:r>
        <w:rPr>
          <w:rFonts w:hint="eastAsia" w:ascii="宋体" w:hAnsi="宋体"/>
          <w:b/>
          <w:sz w:val="28"/>
          <w:szCs w:val="28"/>
        </w:rPr>
        <w:t>（1、</w:t>
      </w:r>
      <w:r>
        <w:rPr>
          <w:rFonts w:ascii="宋体" w:hAnsi="宋体"/>
          <w:b/>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投标产品中为监狱企业制造的货物</w:t>
      </w:r>
      <w:r>
        <w:rPr>
          <w:rFonts w:hint="eastAsia" w:ascii="宋体" w:hAnsi="宋体"/>
          <w:b/>
          <w:sz w:val="28"/>
          <w:szCs w:val="28"/>
        </w:rPr>
        <w:t>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sz w:val="28"/>
          <w:szCs w:val="28"/>
        </w:rPr>
      </w:pPr>
      <w:bookmarkStart w:id="52" w:name="_Toc316291396"/>
      <w:bookmarkEnd w:id="52"/>
      <w:bookmarkStart w:id="53" w:name="_Toc316292020"/>
      <w:bookmarkEnd w:id="53"/>
      <w:bookmarkStart w:id="54" w:name="_Toc316291395"/>
      <w:bookmarkEnd w:id="54"/>
      <w:bookmarkStart w:id="55" w:name="_Toc316292019"/>
      <w:bookmarkEnd w:id="55"/>
      <w:bookmarkStart w:id="56" w:name="_Toc217446049"/>
      <w:bookmarkStart w:id="57" w:name="_Toc183682355"/>
      <w:bookmarkStart w:id="58" w:name="_Toc183582218"/>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217446050"/>
      <w:bookmarkStart w:id="60" w:name="_Toc183682360"/>
      <w:bookmarkStart w:id="61"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5"/>
        </w:numPr>
        <w:tabs>
          <w:tab w:val="left" w:pos="851"/>
        </w:tabs>
        <w:spacing w:after="200" w:line="240" w:lineRule="auto"/>
        <w:ind w:left="0" w:firstLine="0"/>
        <w:rPr>
          <w:color w:val="auto"/>
        </w:rPr>
      </w:pPr>
      <w:bookmarkStart w:id="67" w:name="_Toc183582227"/>
      <w:bookmarkStart w:id="68" w:name="_Toc183682364"/>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7"/>
      <w:bookmarkEnd w:id="70"/>
      <w:bookmarkStart w:id="71" w:name="_Toc316475586"/>
      <w:bookmarkEnd w:id="71"/>
      <w:bookmarkStart w:id="72" w:name="_Toc183682365"/>
      <w:bookmarkStart w:id="73" w:name="_Toc183582228"/>
      <w:bookmarkStart w:id="74" w:name="_Toc217446055"/>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4"/>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4"/>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89075878"/>
      <w:bookmarkStart w:id="76" w:name="_Toc217446056"/>
      <w:bookmarkStart w:id="77" w:name="_Toc183582231"/>
      <w:bookmarkStart w:id="78" w:name="_Toc77400782"/>
      <w:bookmarkStart w:id="79" w:name="_Toc183682368"/>
      <w:r>
        <w:rPr>
          <w:rFonts w:hint="eastAsia" w:ascii="宋体" w:hAnsi="宋体"/>
          <w:bCs/>
          <w:sz w:val="28"/>
          <w:szCs w:val="28"/>
        </w:rPr>
        <w:t>在投标截止时间之前，投标人可对已递交的投标文件进行撤回。在投标截止时间之后，投标人不得撤回投标文件。</w:t>
      </w:r>
    </w:p>
    <w:p>
      <w:pPr>
        <w:pStyle w:val="4"/>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7383"/>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217446057"/>
      <w:bookmarkStart w:id="82" w:name="_Toc183682369"/>
      <w:bookmarkStart w:id="83" w:name="_Toc183582232"/>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79"/>
        <w:numPr>
          <w:ilvl w:val="0"/>
          <w:numId w:val="27"/>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413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21008"/>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8"/>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8"/>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18401"/>
      <w:bookmarkStart w:id="105" w:name="_Toc217446078"/>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30"/>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988"/>
      <w:r>
        <w:rPr>
          <w:rFonts w:hint="eastAsia" w:ascii="宋体" w:hAnsi="宋体"/>
          <w:b/>
          <w:bCs/>
          <w:sz w:val="28"/>
          <w:szCs w:val="28"/>
        </w:rPr>
        <w:t>中小企业政府采购信用融资</w:t>
      </w:r>
      <w:bookmarkEnd w:id="107"/>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48"/>
      <w:bookmarkEnd w:id="108"/>
      <w:bookmarkStart w:id="109" w:name="_Toc316292052"/>
      <w:bookmarkEnd w:id="109"/>
      <w:bookmarkStart w:id="110" w:name="_Toc315871046"/>
      <w:bookmarkEnd w:id="110"/>
      <w:bookmarkStart w:id="111" w:name="_Toc316292051"/>
      <w:bookmarkEnd w:id="111"/>
      <w:bookmarkStart w:id="112" w:name="_Toc315871050"/>
      <w:bookmarkEnd w:id="112"/>
      <w:bookmarkStart w:id="113" w:name="_Toc316292050"/>
      <w:bookmarkEnd w:id="113"/>
      <w:bookmarkStart w:id="114" w:name="_Toc316292049"/>
      <w:bookmarkEnd w:id="114"/>
      <w:bookmarkStart w:id="115" w:name="_Toc316292048"/>
      <w:bookmarkEnd w:id="115"/>
      <w:bookmarkStart w:id="116" w:name="_Toc315871047"/>
      <w:bookmarkEnd w:id="116"/>
      <w:bookmarkStart w:id="117" w:name="_Toc315871049"/>
      <w:bookmarkEnd w:id="117"/>
      <w:bookmarkStart w:id="118" w:name="_Toc315871045"/>
      <w:bookmarkEnd w:id="118"/>
      <w:bookmarkStart w:id="119" w:name="_Toc18197"/>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27039"/>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成都市新都区教育局2021年第二批多媒体系统采购项目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新都政采（2021）A0010号</w:t>
      </w:r>
    </w:p>
    <w:p>
      <w:pPr>
        <w:spacing w:line="360" w:lineRule="auto"/>
        <w:rPr>
          <w:rFonts w:hint="default" w:ascii="宋体" w:hAnsi="宋体"/>
          <w:b/>
          <w:bCs/>
          <w:sz w:val="32"/>
          <w:szCs w:val="32"/>
          <w:highlight w:val="none"/>
          <w:u w:val="single"/>
          <w:lang w:val="en-US"/>
        </w:rPr>
      </w:pPr>
      <w:r>
        <w:rPr>
          <w:rFonts w:hint="eastAsia" w:ascii="宋体" w:hAnsi="宋体"/>
          <w:b/>
          <w:bCs/>
          <w:sz w:val="32"/>
          <w:szCs w:val="32"/>
          <w:highlight w:val="none"/>
          <w:lang w:eastAsia="zh-CN"/>
        </w:rPr>
        <w:t>采购包号：</w:t>
      </w:r>
      <w:r>
        <w:rPr>
          <w:rFonts w:hint="eastAsia" w:ascii="宋体" w:hAnsi="宋体"/>
          <w:b/>
          <w:bCs/>
          <w:sz w:val="32"/>
          <w:szCs w:val="32"/>
          <w:highlight w:val="none"/>
          <w:u w:val="single"/>
          <w:lang w:val="en-US" w:eastAsia="zh-CN"/>
        </w:rPr>
        <w:t xml:space="preserve">                       </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1" w:name="_Toc2127"/>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2" w:name="_Toc238581782"/>
      <w:bookmarkStart w:id="123" w:name="_Toc52184753"/>
      <w:bookmarkStart w:id="124" w:name="_Toc119295087"/>
      <w:bookmarkStart w:id="125" w:name="_Toc146903609"/>
      <w:bookmarkStart w:id="126" w:name="_Toc119203988"/>
      <w:bookmarkStart w:id="127" w:name="_Toc119296788"/>
      <w:r>
        <w:rPr>
          <w:rFonts w:hint="eastAsia" w:ascii="宋体" w:hAnsi="宋体"/>
          <w:sz w:val="28"/>
          <w:szCs w:val="28"/>
        </w:rPr>
        <w:t>致：</w:t>
      </w:r>
      <w:bookmarkEnd w:id="122"/>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成都市新都区教育局2021年第二批多媒体系统采购项目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新都政采（2021）A0010号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3"/>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4"/>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3"/>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成都市新都区教育局2021年第二批多媒体系统采购项目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新都政采（2021）A0010号</w:t>
      </w:r>
      <w:r>
        <w:rPr>
          <w:rFonts w:hint="eastAsia" w:ascii="宋体" w:hAnsi="宋体"/>
          <w:b/>
          <w:sz w:val="28"/>
          <w:szCs w:val="28"/>
          <w:u w:val="single"/>
        </w:rPr>
        <w:t xml:space="preserve">）采购包号：        </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营业执照复印件（正本或副本）或法人证书复印件（正本或副本）；</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2019或2020会计年度资产负债表复印件（说明：投标人成立时间至递交投标文件截止时间止不足一年的，提供成立后任意时段的资产负债表复印件）；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投标人缴纳2020或2021年任意时段的税收的银行电子回单或者行政部门出具的纳税证明或完税证明复印件；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采购人对投标人履行合同</w:t>
      </w:r>
      <w:r>
        <w:rPr>
          <w:rFonts w:hint="eastAsia" w:ascii="宋体" w:hAnsi="宋体"/>
          <w:kern w:val="0"/>
          <w:sz w:val="28"/>
          <w:szCs w:val="28"/>
          <w:lang w:eastAsia="zh-CN"/>
        </w:rPr>
        <w:t>所必需</w:t>
      </w:r>
      <w:r>
        <w:rPr>
          <w:rFonts w:hint="eastAsia" w:ascii="宋体" w:hAnsi="宋体"/>
          <w:kern w:val="0"/>
          <w:sz w:val="28"/>
          <w:szCs w:val="28"/>
        </w:rPr>
        <w:t>的设备和专业技术能力无其他特殊要求，投标人具有有效的营业执照或法人证书即可，可不提供其他证明材料；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投标人缴纳2020或2021年任意时段的社保的银行电子回单或行政部门出具的社保缴纳证明材料复印件；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采购人对法律、行政法规规定的其他条件无其他特殊要求，投标人具有有效的营业执照或法人证书即可，可不提供其他证明材料。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0" w:name="_Toc30855"/>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成都市新都区教育局2021年第二批多媒体系统采购项目</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新都政采（2021）A0010号</w:t>
      </w:r>
      <w:r>
        <w:rPr>
          <w:rFonts w:hint="eastAsia" w:ascii="宋体" w:hAnsi="宋体"/>
          <w:b/>
          <w:bCs/>
          <w:sz w:val="28"/>
          <w:szCs w:val="28"/>
          <w:u w:val="single"/>
        </w:rPr>
        <w:t>）</w:t>
      </w:r>
      <w:r>
        <w:rPr>
          <w:rFonts w:hint="eastAsia" w:ascii="宋体" w:hAnsi="宋体"/>
          <w:bCs/>
          <w:sz w:val="28"/>
          <w:szCs w:val="28"/>
        </w:rPr>
        <w:t>招标文件，决定参加贵单位组织的本项目</w:t>
      </w:r>
      <w:r>
        <w:rPr>
          <w:rFonts w:hint="eastAsia" w:ascii="宋体" w:hAnsi="宋体"/>
          <w:b/>
          <w:bCs w:val="0"/>
          <w:sz w:val="28"/>
          <w:szCs w:val="28"/>
        </w:rPr>
        <w:t>采购包号：</w:t>
      </w:r>
      <w:r>
        <w:rPr>
          <w:rFonts w:hint="eastAsia" w:ascii="宋体" w:hAnsi="宋体"/>
          <w:b/>
          <w:bCs w:val="0"/>
          <w:sz w:val="28"/>
          <w:szCs w:val="28"/>
          <w:u w:val="single"/>
        </w:rPr>
        <w:t xml:space="preserve">                       </w:t>
      </w:r>
      <w:r>
        <w:rPr>
          <w:rFonts w:hint="eastAsia" w:ascii="宋体" w:hAnsi="宋体"/>
          <w:bCs/>
          <w:sz w:val="28"/>
          <w:szCs w:val="28"/>
        </w:rPr>
        <w:t>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1" w:name="_Toc314574804"/>
      <w:bookmarkStart w:id="132" w:name="_Toc265494342"/>
      <w:bookmarkStart w:id="133" w:name="_Toc237145395"/>
      <w:bookmarkStart w:id="134" w:name="_Toc229802674"/>
      <w:bookmarkStart w:id="135" w:name="_Toc231030275"/>
      <w:bookmarkStart w:id="136" w:name="_Toc240865266"/>
      <w:bookmarkStart w:id="137" w:name="_Toc240367172"/>
      <w:bookmarkStart w:id="138" w:name="_Toc239849853"/>
      <w:bookmarkStart w:id="139" w:name="_Toc239846734"/>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bookmarkEnd w:id="131"/>
    <w:bookmarkEnd w:id="132"/>
    <w:bookmarkEnd w:id="133"/>
    <w:bookmarkEnd w:id="134"/>
    <w:bookmarkEnd w:id="135"/>
    <w:bookmarkEnd w:id="136"/>
    <w:bookmarkEnd w:id="137"/>
    <w:bookmarkEnd w:id="138"/>
    <w:bookmarkEnd w:id="139"/>
    <w:p>
      <w:pPr>
        <w:rPr>
          <w:rFonts w:ascii="宋体" w:hAnsi="宋体"/>
          <w:b/>
          <w:bCs/>
          <w:sz w:val="28"/>
          <w:szCs w:val="28"/>
        </w:rPr>
      </w:pPr>
      <w:bookmarkStart w:id="141" w:name="_Toc302997926"/>
      <w:bookmarkStart w:id="142" w:name="_Toc263768870"/>
      <w:bookmarkStart w:id="143" w:name="_Toc220299393"/>
      <w:bookmarkStart w:id="144" w:name="_Toc263753605"/>
      <w:bookmarkStart w:id="145" w:name="_Toc217446083"/>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bookmarkEnd w:id="141"/>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firstLine="1470" w:firstLineChars="700"/>
              <w:rPr>
                <w:rFonts w:hint="default"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2"/>
    <w:bookmarkEnd w:id="143"/>
    <w:bookmarkEnd w:id="144"/>
    <w:bookmarkEnd w:id="145"/>
    <w:p>
      <w:pPr>
        <w:rPr>
          <w:rFonts w:ascii="宋体" w:hAnsi="宋体"/>
          <w:b/>
          <w:bCs/>
          <w:sz w:val="28"/>
          <w:szCs w:val="28"/>
        </w:rPr>
      </w:pPr>
      <w:bookmarkStart w:id="146" w:name="_Toc68703944"/>
      <w:bookmarkStart w:id="147"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6"/>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成都市新都区教育局2021年第二批多媒体系统采购项目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新都政采（2021）A0010号</w:t>
      </w:r>
    </w:p>
    <w:p>
      <w:pPr>
        <w:snapToGrid w:val="0"/>
        <w:spacing w:line="360" w:lineRule="auto"/>
        <w:rPr>
          <w:rFonts w:hint="eastAsia" w:ascii="宋体" w:hAnsi="宋体"/>
          <w:b/>
          <w:sz w:val="28"/>
          <w:szCs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成都市新都区教育局2021年第二批多媒体系统采购项目</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新都政采（2021）A0010号</w:t>
      </w:r>
    </w:p>
    <w:p>
      <w:pPr>
        <w:snapToGrid w:val="0"/>
        <w:spacing w:line="360" w:lineRule="auto"/>
        <w:rPr>
          <w:rFonts w:hint="eastAsia"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rPr>
        <w:t>为本项目提供的所有产品、辅材中</w:t>
      </w:r>
      <w:r>
        <w:rPr>
          <w:rFonts w:hint="eastAsia" w:cs="宋体" w:asciiTheme="minorEastAsia" w:hAnsiTheme="minorEastAsia"/>
          <w:sz w:val="28"/>
          <w:szCs w:val="28"/>
          <w:highlight w:val="none"/>
          <w:lang w:eastAsia="zh-CN"/>
        </w:rPr>
        <w:t>涉及</w:t>
      </w:r>
      <w:r>
        <w:rPr>
          <w:rFonts w:cs="宋体" w:asciiTheme="minorEastAsia" w:hAnsiTheme="minorEastAsia"/>
          <w:sz w:val="28"/>
          <w:szCs w:val="28"/>
          <w:highlight w:val="none"/>
        </w:rPr>
        <w:t>《国家强制性产品认证目录》范围内产品</w:t>
      </w:r>
      <w:r>
        <w:rPr>
          <w:rFonts w:hint="eastAsia" w:cs="宋体" w:asciiTheme="minorEastAsia" w:hAnsiTheme="minorEastAsia"/>
          <w:sz w:val="28"/>
          <w:szCs w:val="28"/>
          <w:highlight w:val="none"/>
        </w:rPr>
        <w:t>或前置许可、认证的</w:t>
      </w:r>
      <w:r>
        <w:rPr>
          <w:rFonts w:cs="宋体" w:asciiTheme="minorEastAsia" w:hAnsiTheme="minorEastAsia"/>
          <w:sz w:val="28"/>
          <w:szCs w:val="28"/>
          <w:highlight w:val="none"/>
        </w:rPr>
        <w:t>的，均通过国家强制性产品认证</w:t>
      </w:r>
      <w:r>
        <w:rPr>
          <w:rFonts w:hint="eastAsia" w:cs="宋体" w:asciiTheme="minorEastAsia" w:hAnsiTheme="minorEastAsia"/>
          <w:sz w:val="28"/>
          <w:szCs w:val="28"/>
          <w:highlight w:val="none"/>
        </w:rPr>
        <w:t>或前置许可、认证的</w:t>
      </w:r>
      <w:r>
        <w:rPr>
          <w:rFonts w:hint="eastAsia" w:cs="宋体" w:asciiTheme="minorEastAsia" w:hAnsiTheme="minorEastAsia"/>
          <w:sz w:val="28"/>
          <w:szCs w:val="28"/>
          <w:highlight w:val="none"/>
          <w:lang w:eastAsia="zh-CN"/>
        </w:rPr>
        <w:t>并</w:t>
      </w:r>
      <w:r>
        <w:rPr>
          <w:rFonts w:cs="宋体" w:asciiTheme="minorEastAsia" w:hAnsiTheme="minorEastAsia"/>
          <w:sz w:val="28"/>
          <w:szCs w:val="28"/>
          <w:highlight w:val="none"/>
        </w:rPr>
        <w:t>取得认证证书。</w:t>
      </w:r>
    </w:p>
    <w:p>
      <w:pPr>
        <w:pStyle w:val="79"/>
        <w:numPr>
          <w:ilvl w:val="0"/>
          <w:numId w:val="37"/>
        </w:numPr>
        <w:tabs>
          <w:tab w:val="left" w:pos="1134"/>
        </w:tabs>
        <w:snapToGrid w:val="0"/>
        <w:spacing w:line="360" w:lineRule="auto"/>
        <w:ind w:left="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lang w:val="zh-CN"/>
        </w:rPr>
        <w:t>为本项目提供的所有产品中属于节能产品政府采购品目清单中的政府强制采购产品的，均具有国家确定的认证机构出具的有效期内的节能产品认证证书。</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rPr>
        <w:t>投标人应在合同签订后30天内完成本项目的供货、安装、调试、培训，交付采购人使用。</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项目质保期：验收合格后3年。</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项目质保期内投标人提供7×24小时热线服务和现场支持服务，设备出现故障后能半小时内做出响应，2小时内上门维修，24小时内解决问题；若24小时内无法解决的，应当提供解决方案。</w:t>
      </w:r>
    </w:p>
    <w:p>
      <w:pPr>
        <w:pStyle w:val="79"/>
        <w:numPr>
          <w:ilvl w:val="0"/>
          <w:numId w:val="37"/>
        </w:numPr>
        <w:tabs>
          <w:tab w:val="left" w:pos="1134"/>
        </w:tabs>
        <w:snapToGrid w:val="0"/>
        <w:spacing w:line="360" w:lineRule="auto"/>
        <w:ind w:left="0" w:firstLine="562" w:firstLineChars="0"/>
        <w:rPr>
          <w:sz w:val="28"/>
          <w:highlight w:val="none"/>
        </w:rPr>
      </w:pPr>
      <w:r>
        <w:rPr>
          <w:rFonts w:hint="eastAsia" w:ascii="宋体" w:hAnsi="宋体"/>
          <w:sz w:val="28"/>
          <w:szCs w:val="28"/>
          <w:highlight w:val="none"/>
          <w:lang w:val="zh-CN"/>
        </w:rPr>
        <w:t>我方承诺完全响应招标文件4.</w:t>
      </w:r>
      <w:r>
        <w:rPr>
          <w:rFonts w:hint="eastAsia" w:ascii="宋体" w:hAnsi="宋体"/>
          <w:sz w:val="28"/>
          <w:szCs w:val="28"/>
          <w:highlight w:val="none"/>
          <w:lang w:val="en-US" w:eastAsia="zh-CN"/>
        </w:rPr>
        <w:t>4</w:t>
      </w:r>
      <w:r>
        <w:rPr>
          <w:rFonts w:hint="eastAsia" w:ascii="宋体" w:hAnsi="宋体"/>
          <w:sz w:val="28"/>
          <w:szCs w:val="28"/>
          <w:highlight w:val="none"/>
          <w:lang w:val="zh-CN"/>
        </w:rPr>
        <w:t>.2交货地点、</w:t>
      </w:r>
      <w:r>
        <w:rPr>
          <w:rFonts w:hint="eastAsia" w:ascii="宋体" w:hAnsi="宋体"/>
          <w:sz w:val="28"/>
          <w:szCs w:val="28"/>
          <w:highlight w:val="none"/>
          <w:lang w:val="en-US" w:eastAsia="zh-CN"/>
        </w:rPr>
        <w:t>4.4.3安装调试要求、4.4.4验收标准和方法、</w:t>
      </w:r>
      <w:r>
        <w:rPr>
          <w:rFonts w:hint="eastAsia" w:ascii="宋体" w:hAnsi="宋体"/>
          <w:sz w:val="28"/>
          <w:szCs w:val="28"/>
          <w:highlight w:val="none"/>
          <w:lang w:val="zh-CN"/>
        </w:rPr>
        <w:t>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5</w:t>
      </w:r>
      <w:r>
        <w:rPr>
          <w:rFonts w:hint="eastAsia" w:ascii="宋体" w:hAnsi="宋体"/>
          <w:sz w:val="28"/>
          <w:szCs w:val="28"/>
          <w:highlight w:val="none"/>
          <w:lang w:val="zh-CN"/>
        </w:rPr>
        <w:t>付款方式、4.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7</w:t>
      </w:r>
      <w:r>
        <w:rPr>
          <w:rFonts w:hint="eastAsia" w:ascii="宋体" w:hAnsi="宋体"/>
          <w:sz w:val="28"/>
          <w:szCs w:val="28"/>
          <w:highlight w:val="none"/>
          <w:lang w:val="zh-CN"/>
        </w:rPr>
        <w:t>违约责任中的所有要求</w:t>
      </w:r>
      <w:r>
        <w:rPr>
          <w:rFonts w:hint="eastAsia"/>
          <w:sz w:val="28"/>
          <w:highlight w:val="none"/>
        </w:rPr>
        <w:t>。</w:t>
      </w:r>
    </w:p>
    <w:p>
      <w:pPr>
        <w:pStyle w:val="151"/>
        <w:snapToGrid w:val="0"/>
        <w:spacing w:after="200" w:line="360" w:lineRule="auto"/>
        <w:ind w:right="210" w:firstLine="565" w:firstLineChars="202"/>
        <w:rPr>
          <w:rFonts w:ascii="宋体" w:hAnsi="宋体"/>
          <w:sz w:val="28"/>
          <w:szCs w:val="28"/>
          <w:highlight w:val="yellow"/>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8" w:name="_Toc68703946"/>
      <w:r>
        <w:rPr>
          <w:rFonts w:hint="eastAsia" w:ascii="宋体" w:hAnsi="宋体"/>
          <w:b/>
          <w:sz w:val="28"/>
          <w:szCs w:val="28"/>
        </w:rPr>
        <w:t>售后服务方案</w:t>
      </w:r>
      <w:bookmarkEnd w:id="148"/>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成都市新都区教育局2021年第二批多媒体系统采购项目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新都政采（2021）A0010号</w:t>
      </w:r>
    </w:p>
    <w:p>
      <w:pPr>
        <w:rPr>
          <w:rFonts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rPr>
          <w:rFonts w:ascii="宋体" w:hAnsi="宋体"/>
          <w:b/>
          <w:sz w:val="28"/>
        </w:rPr>
      </w:pPr>
      <w:r>
        <w:rPr>
          <w:rFonts w:hint="eastAsia" w:ascii="宋体" w:hAnsi="宋体"/>
          <w:b/>
          <w:sz w:val="28"/>
        </w:rPr>
        <w:br w:type="page"/>
      </w:r>
    </w:p>
    <w:p>
      <w:pPr>
        <w:keepNext/>
        <w:keepLines/>
        <w:numPr>
          <w:ilvl w:val="1"/>
          <w:numId w:val="5"/>
        </w:numPr>
        <w:spacing w:before="260" w:after="260" w:line="360" w:lineRule="auto"/>
        <w:jc w:val="left"/>
        <w:outlineLvl w:val="1"/>
        <w:rPr>
          <w:rFonts w:ascii="宋体" w:hAnsi="宋体"/>
          <w:b/>
          <w:sz w:val="28"/>
        </w:rPr>
      </w:pPr>
      <w:bookmarkStart w:id="149" w:name="_Toc2598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成都市新都区教育局2021年第二批多媒体系统采购项目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新都政采（2021）A0010号</w:t>
      </w:r>
    </w:p>
    <w:p>
      <w:pPr>
        <w:tabs>
          <w:tab w:val="left" w:pos="1134"/>
        </w:tabs>
        <w:spacing w:line="560" w:lineRule="exact"/>
        <w:rPr>
          <w:rFonts w:hint="eastAsia" w:ascii="宋体" w:hAnsi="宋体"/>
          <w:b/>
          <w:sz w:val="28"/>
          <w:szCs w:val="28"/>
          <w:u w:val="single"/>
          <w:lang w:val="en-US" w:eastAsia="zh-CN"/>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jc w:val="center"/>
              <w:rPr>
                <w:rFonts w:hint="default"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rPr>
                <w:rFonts w:hint="default"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r>
        <w:rPr>
          <w:rFonts w:hint="eastAsia" w:ascii="宋体" w:hAnsi="宋体"/>
          <w:b/>
          <w:bCs/>
          <w:sz w:val="28"/>
          <w:szCs w:val="28"/>
          <w:lang w:eastAsia="zh-CN"/>
        </w:rPr>
        <w:t>（按采购包提供）</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成都市新都区教育局2021年第二批多媒体系统采购项目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新都政采（2021）A0010号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包1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0"/>
        <w:gridCol w:w="560"/>
        <w:gridCol w:w="1133"/>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制造商</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进口或国产</w:t>
            </w:r>
          </w:p>
        </w:tc>
        <w:tc>
          <w:tcPr>
            <w:tcW w:w="56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数量</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r>
              <w:rPr>
                <w:rFonts w:hint="default"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69台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69台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69套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4</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69支</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5</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75张</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6</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工程投影机（5000流明）</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9台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7</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画框幕布（120"）</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1副</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8</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工程投影机（6000流明）</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9</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kern w:val="0"/>
                <w:sz w:val="24"/>
              </w:rPr>
              <w:t>超短焦激光投影机（4000流明）</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6台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10</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kern w:val="0"/>
                <w:sz w:val="24"/>
              </w:rPr>
              <w:t>电子白板（75"）</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color w:val="000000"/>
                <w:sz w:val="22"/>
              </w:rPr>
              <w:t>6套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11</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kern w:val="0"/>
                <w:sz w:val="24"/>
              </w:rPr>
              <w:t>电动银幕（120"）</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color w:val="000000"/>
                <w:sz w:val="22"/>
              </w:rPr>
              <w:t>9个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12</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kern w:val="0"/>
                <w:sz w:val="24"/>
              </w:rPr>
              <w:t>无线同屏器</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color w:val="000000"/>
                <w:sz w:val="22"/>
              </w:rPr>
              <w:t>10个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13</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kern w:val="0"/>
                <w:sz w:val="24"/>
              </w:rPr>
              <w:t>教学一体机</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rPr>
            </w:pPr>
            <w:r>
              <w:rPr>
                <w:rFonts w:hint="eastAsia" w:ascii="宋体" w:hAnsi="宋体"/>
                <w:color w:val="000000"/>
                <w:sz w:val="22"/>
              </w:rPr>
              <w:t>24台</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eastAsia" w:ascii="宋体" w:hAnsi="宋体"/>
                <w:color w:val="000000"/>
                <w:kern w:val="0"/>
                <w:sz w:val="24"/>
              </w:rPr>
            </w:pPr>
            <w:r>
              <w:rPr>
                <w:rFonts w:hint="eastAsia" w:ascii="宋体" w:hAnsi="宋体"/>
                <w:kern w:val="0"/>
                <w:sz w:val="24"/>
              </w:rPr>
              <w:t>14</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eastAsia" w:ascii="宋体" w:hAnsi="宋体"/>
                <w:kern w:val="0"/>
                <w:sz w:val="24"/>
              </w:rPr>
            </w:pPr>
            <w:r>
              <w:rPr>
                <w:rFonts w:hint="eastAsia" w:ascii="宋体" w:hAnsi="宋体"/>
                <w:kern w:val="0"/>
                <w:sz w:val="24"/>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keepNext w:val="0"/>
              <w:keepLines w:val="0"/>
              <w:suppressLineNumbers w:val="0"/>
              <w:spacing w:before="0" w:beforeLines="0" w:beforeAutospacing="0" w:after="0" w:afterLines="0" w:afterAutospacing="0"/>
              <w:ind w:left="0" w:right="0"/>
              <w:jc w:val="left"/>
              <w:rPr>
                <w:rFonts w:hint="eastAsia" w:ascii="宋体" w:hAnsi="宋体"/>
                <w:color w:val="000000"/>
                <w:sz w:val="22"/>
              </w:rPr>
            </w:pPr>
            <w:r>
              <w:rPr>
                <w:rFonts w:hint="eastAsia" w:ascii="宋体" w:hAnsi="宋体"/>
                <w:color w:val="000000"/>
                <w:sz w:val="22"/>
              </w:rPr>
              <w:t>67张</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eastAsia" w:ascii="宋体" w:hAnsi="宋体"/>
                <w:color w:val="000000"/>
                <w:kern w:val="0"/>
                <w:sz w:val="24"/>
              </w:rPr>
            </w:pPr>
            <w:r>
              <w:rPr>
                <w:rFonts w:hint="eastAsia" w:ascii="宋体" w:hAnsi="宋体"/>
                <w:kern w:val="0"/>
                <w:sz w:val="24"/>
              </w:rPr>
              <w:t>15</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eastAsia" w:ascii="宋体" w:hAnsi="宋体"/>
                <w:kern w:val="0"/>
                <w:sz w:val="24"/>
              </w:rPr>
            </w:pPr>
            <w:r>
              <w:rPr>
                <w:rFonts w:hint="eastAsia" w:ascii="宋体" w:hAnsi="宋体"/>
                <w:kern w:val="0"/>
                <w:sz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keepNext w:val="0"/>
              <w:keepLines w:val="0"/>
              <w:suppressLineNumbers w:val="0"/>
              <w:spacing w:before="0" w:beforeLines="0" w:beforeAutospacing="0" w:after="0" w:afterLines="0" w:afterAutospacing="0"/>
              <w:ind w:left="0" w:right="0"/>
              <w:jc w:val="left"/>
              <w:rPr>
                <w:rFonts w:hint="eastAsia" w:ascii="宋体" w:hAnsi="宋体"/>
                <w:color w:val="000000"/>
                <w:sz w:val="22"/>
              </w:rPr>
            </w:pPr>
            <w:r>
              <w:rPr>
                <w:rFonts w:hint="eastAsia" w:ascii="宋体" w:hAnsi="宋体"/>
                <w:color w:val="000000"/>
                <w:sz w:val="22"/>
              </w:rPr>
              <w:t>84套</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eastAsia" w:ascii="宋体" w:hAnsi="宋体"/>
                <w:color w:val="000000"/>
                <w:kern w:val="0"/>
                <w:sz w:val="24"/>
              </w:rPr>
            </w:pPr>
            <w:r>
              <w:rPr>
                <w:rFonts w:hint="eastAsia" w:ascii="宋体" w:hAnsi="宋体"/>
                <w:kern w:val="0"/>
                <w:sz w:val="24"/>
              </w:rPr>
              <w:t>16</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eastAsia" w:ascii="宋体" w:hAnsi="宋体"/>
                <w:kern w:val="0"/>
                <w:sz w:val="24"/>
              </w:rPr>
            </w:pPr>
            <w:r>
              <w:rPr>
                <w:rFonts w:hint="eastAsia" w:ascii="宋体" w:hAnsi="宋体"/>
                <w:kern w:val="0"/>
                <w:sz w:val="24"/>
              </w:rPr>
              <w:t>多媒体系统安装及调试（投影幕）</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keepNext w:val="0"/>
              <w:keepLines w:val="0"/>
              <w:suppressLineNumbers w:val="0"/>
              <w:spacing w:before="0" w:beforeLines="0" w:beforeAutospacing="0" w:after="0" w:afterLines="0" w:afterAutospacing="0"/>
              <w:ind w:left="0" w:right="0"/>
              <w:jc w:val="left"/>
              <w:rPr>
                <w:rFonts w:hint="eastAsia" w:ascii="宋体" w:hAnsi="宋体"/>
                <w:color w:val="000000"/>
                <w:sz w:val="22"/>
              </w:rPr>
            </w:pPr>
            <w:r>
              <w:rPr>
                <w:rFonts w:hint="eastAsia" w:ascii="宋体" w:hAnsi="宋体"/>
                <w:color w:val="000000"/>
                <w:sz w:val="22"/>
              </w:rPr>
              <w:t>10套</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eastAsia" w:ascii="宋体" w:hAnsi="宋体"/>
                <w:color w:val="000000"/>
                <w:kern w:val="0"/>
                <w:sz w:val="24"/>
              </w:rPr>
            </w:pPr>
            <w:r>
              <w:rPr>
                <w:rFonts w:hint="eastAsia" w:ascii="宋体" w:hAnsi="宋体"/>
                <w:kern w:val="0"/>
                <w:sz w:val="24"/>
              </w:rPr>
              <w:t>17</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left"/>
              <w:rPr>
                <w:rFonts w:hint="eastAsia" w:ascii="宋体" w:hAnsi="宋体"/>
                <w:kern w:val="0"/>
                <w:sz w:val="24"/>
              </w:rPr>
            </w:pPr>
            <w:r>
              <w:rPr>
                <w:rFonts w:hint="eastAsia" w:ascii="宋体" w:hAnsi="宋体"/>
                <w:kern w:val="0"/>
                <w:sz w:val="24"/>
              </w:rPr>
              <w:t>多媒体系统安装及调试（电子白板）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keepNext w:val="0"/>
              <w:keepLines w:val="0"/>
              <w:suppressLineNumbers w:val="0"/>
              <w:spacing w:before="0" w:beforeLines="0" w:beforeAutospacing="0" w:after="0" w:afterLines="0" w:afterAutospacing="0"/>
              <w:ind w:left="0" w:right="0"/>
              <w:jc w:val="left"/>
              <w:rPr>
                <w:rFonts w:hint="eastAsia" w:ascii="宋体" w:hAnsi="宋体"/>
                <w:color w:val="000000"/>
                <w:sz w:val="22"/>
              </w:rPr>
            </w:pPr>
            <w:r>
              <w:rPr>
                <w:rFonts w:hint="eastAsia" w:ascii="宋体" w:hAnsi="宋体"/>
                <w:color w:val="000000"/>
                <w:sz w:val="22"/>
              </w:rPr>
              <w:t>13套</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lang w:val="en-US" w:eastAsia="zh-CN"/>
        </w:rPr>
        <w:t>3、</w:t>
      </w:r>
      <w:r>
        <w:rPr>
          <w:rFonts w:hint="eastAsia" w:ascii="宋体" w:hAnsi="宋体"/>
          <w:b/>
          <w:sz w:val="28"/>
          <w:szCs w:val="28"/>
        </w:rPr>
        <w:t>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snapToGrid w:val="0"/>
        <w:spacing w:line="360" w:lineRule="auto"/>
        <w:ind w:right="-298" w:rightChars="-142"/>
        <w:rPr>
          <w:rFonts w:hint="eastAsia" w:ascii="宋体" w:hAnsi="宋体"/>
          <w:b/>
          <w:sz w:val="28"/>
        </w:rPr>
      </w:pPr>
      <w:r>
        <w:rPr>
          <w:rFonts w:hint="eastAsia" w:ascii="宋体" w:hAnsi="宋体"/>
          <w:b/>
          <w:bCs/>
          <w:sz w:val="28"/>
          <w:szCs w:val="28"/>
        </w:rPr>
        <w:t>分项报价明细表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成都市新都区教育局2021年第二批多媒体系统采购项目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新都政采（2021）A0010号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包2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3"/>
        <w:gridCol w:w="854"/>
        <w:gridCol w:w="836"/>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制造商</w:t>
            </w: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进口或国产</w:t>
            </w:r>
          </w:p>
        </w:tc>
        <w:tc>
          <w:tcPr>
            <w:tcW w:w="85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数量</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r>
              <w:rPr>
                <w:rFonts w:hint="default"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1</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124台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2</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158台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3</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158套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4</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124支</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5</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124张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6</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124张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bCs/>
                <w:sz w:val="24"/>
                <w:szCs w:val="28"/>
              </w:rPr>
            </w:pPr>
            <w:r>
              <w:rPr>
                <w:rFonts w:hint="eastAsia" w:ascii="宋体" w:hAnsi="宋体" w:eastAsia="宋体" w:cs="Times New Roman"/>
                <w:kern w:val="0"/>
                <w:sz w:val="24"/>
                <w:szCs w:val="24"/>
                <w:lang w:val="en-US" w:eastAsia="zh-CN" w:bidi="ar"/>
              </w:rPr>
              <w:t>7</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default" w:ascii="宋体" w:hAnsi="宋体"/>
                <w:bCs/>
                <w:sz w:val="24"/>
                <w:szCs w:val="28"/>
                <w:highlight w:val="none"/>
              </w:rPr>
            </w:pPr>
            <w:r>
              <w:rPr>
                <w:rFonts w:hint="eastAsia" w:ascii="宋体" w:hAnsi="宋体" w:eastAsia="宋体" w:cs="Times New Roman"/>
                <w:kern w:val="0"/>
                <w:sz w:val="24"/>
                <w:szCs w:val="24"/>
                <w:lang w:val="en-US" w:eastAsia="zh-CN" w:bidi="ar"/>
              </w:rPr>
              <w:t>交互式液晶平板(75"）</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default" w:ascii="宋体" w:hAnsi="宋体"/>
                <w:bCs/>
                <w:sz w:val="24"/>
                <w:szCs w:val="28"/>
                <w:highlight w:val="none"/>
              </w:rPr>
            </w:pPr>
            <w:r>
              <w:rPr>
                <w:rFonts w:hint="eastAsia" w:ascii="宋体" w:hAnsi="宋体"/>
                <w:color w:val="000000"/>
                <w:sz w:val="22"/>
              </w:rPr>
              <w:t>34台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olor w:val="000000"/>
                <w:kern w:val="0"/>
                <w:sz w:val="24"/>
              </w:rPr>
            </w:pPr>
            <w:r>
              <w:rPr>
                <w:rFonts w:hint="eastAsia" w:ascii="宋体" w:hAnsi="宋体" w:eastAsia="宋体" w:cs="Times New Roman"/>
                <w:kern w:val="0"/>
                <w:sz w:val="24"/>
                <w:szCs w:val="24"/>
                <w:lang w:val="en-US" w:eastAsia="zh-CN" w:bidi="ar"/>
              </w:rPr>
              <w:t>8</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left"/>
              <w:rPr>
                <w:rFonts w:hint="eastAsia" w:ascii="宋体" w:hAnsi="宋体"/>
                <w:kern w:val="0"/>
                <w:sz w:val="24"/>
              </w:rPr>
            </w:pPr>
            <w:r>
              <w:rPr>
                <w:rFonts w:hint="eastAsia" w:ascii="宋体" w:hAnsi="宋体" w:eastAsia="宋体" w:cs="Times New Roman"/>
                <w:kern w:val="0"/>
                <w:sz w:val="24"/>
                <w:szCs w:val="24"/>
                <w:lang w:val="en-US" w:eastAsia="zh-CN" w:bidi="ar"/>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keepNext w:val="0"/>
              <w:keepLines w:val="0"/>
              <w:suppressLineNumbers w:val="0"/>
              <w:spacing w:before="0" w:beforeLines="0" w:beforeAutospacing="0" w:after="0" w:afterLines="0" w:afterAutospacing="0"/>
              <w:ind w:left="0" w:right="0"/>
              <w:jc w:val="left"/>
              <w:rPr>
                <w:rFonts w:hint="eastAsia" w:ascii="宋体" w:hAnsi="宋体"/>
                <w:color w:val="000000"/>
                <w:sz w:val="22"/>
              </w:rPr>
            </w:pPr>
            <w:r>
              <w:rPr>
                <w:rFonts w:hint="eastAsia" w:ascii="宋体" w:hAnsi="宋体"/>
                <w:color w:val="000000"/>
                <w:sz w:val="22"/>
              </w:rPr>
              <w:t>158套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rPr>
        <w:t>3、报价明细以投标人在政府采购云平台报价明细表中填写的为准。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hint="eastAsia" w:ascii="宋体" w:hAnsi="宋体"/>
          <w:b/>
          <w:bCs/>
          <w:sz w:val="28"/>
          <w:szCs w:val="28"/>
        </w:rPr>
      </w:pPr>
      <w:r>
        <w:rPr>
          <w:rFonts w:hint="eastAsia" w:ascii="宋体" w:hAnsi="宋体"/>
          <w:b/>
          <w:bCs/>
          <w:sz w:val="28"/>
          <w:szCs w:val="28"/>
        </w:rPr>
        <w:t>监狱企业、残疾人福利性单位制造的货物清及价格</w:t>
      </w:r>
    </w:p>
    <w:p>
      <w:pPr>
        <w:numPr>
          <w:ilvl w:val="0"/>
          <w:numId w:val="0"/>
        </w:numPr>
        <w:tabs>
          <w:tab w:val="left" w:pos="630"/>
          <w:tab w:val="left" w:pos="3414"/>
          <w:tab w:val="left" w:pos="7560"/>
        </w:tabs>
        <w:spacing w:after="200" w:line="360" w:lineRule="auto"/>
        <w:ind w:leftChars="0"/>
        <w:rPr>
          <w:rFonts w:ascii="宋体" w:hAnsi="宋体"/>
          <w:b/>
          <w:sz w:val="28"/>
        </w:rPr>
      </w:pPr>
      <w:r>
        <w:rPr>
          <w:rFonts w:hint="eastAsia" w:ascii="宋体" w:hAnsi="宋体"/>
          <w:b/>
          <w:sz w:val="28"/>
          <w:szCs w:val="28"/>
          <w:highlight w:val="none"/>
          <w:lang w:eastAsia="zh-CN"/>
        </w:rPr>
        <w:t>一、</w:t>
      </w:r>
      <w:r>
        <w:rPr>
          <w:rFonts w:hint="eastAsia" w:ascii="宋体" w:hAnsi="宋体"/>
          <w:b/>
          <w:sz w:val="28"/>
          <w:szCs w:val="28"/>
          <w:highlight w:val="none"/>
        </w:rPr>
        <w:t>投标人</w:t>
      </w:r>
      <w:r>
        <w:rPr>
          <w:rFonts w:hint="eastAsia" w:ascii="宋体" w:hAnsi="宋体"/>
          <w:b/>
          <w:sz w:val="28"/>
          <w:highlight w:val="none"/>
        </w:rPr>
        <w:t>投标产品中为监狱企业制造的货物清单及价格（说明：</w:t>
      </w:r>
      <w:r>
        <w:rPr>
          <w:rFonts w:ascii="宋体" w:hAnsi="宋体"/>
          <w:b/>
          <w:sz w:val="28"/>
          <w:highlight w:val="none"/>
        </w:rPr>
        <w:t>1、</w:t>
      </w:r>
      <w:r>
        <w:rPr>
          <w:rFonts w:ascii="宋体" w:hAnsi="宋体"/>
          <w:b/>
          <w:sz w:val="28"/>
        </w:rPr>
        <w:t>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tbl>
      <w:tblPr>
        <w:tblStyle w:val="42"/>
        <w:tblW w:w="9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序号</w:t>
            </w:r>
          </w:p>
        </w:tc>
        <w:tc>
          <w:tcPr>
            <w:tcW w:w="172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货物名称</w:t>
            </w:r>
          </w:p>
        </w:tc>
        <w:tc>
          <w:tcPr>
            <w:tcW w:w="694"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品牌</w:t>
            </w:r>
          </w:p>
        </w:tc>
        <w:tc>
          <w:tcPr>
            <w:tcW w:w="1253"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规格型号</w:t>
            </w:r>
          </w:p>
        </w:tc>
        <w:tc>
          <w:tcPr>
            <w:tcW w:w="1417"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制造商</w:t>
            </w:r>
          </w:p>
        </w:tc>
        <w:tc>
          <w:tcPr>
            <w:tcW w:w="851"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数量</w:t>
            </w:r>
          </w:p>
        </w:tc>
        <w:tc>
          <w:tcPr>
            <w:tcW w:w="992" w:type="dxa"/>
            <w:gridSpan w:val="2"/>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单价</w:t>
            </w:r>
          </w:p>
        </w:tc>
        <w:tc>
          <w:tcPr>
            <w:tcW w:w="1406"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875" w:type="dxa"/>
            <w:gridSpan w:val="7"/>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r>
              <w:rPr>
                <w:rFonts w:hint="eastAsia" w:ascii="宋体" w:hAnsi="宋体" w:cs="宋体"/>
                <w:b/>
              </w:rPr>
              <w:t>监狱企业制造的货物</w:t>
            </w:r>
            <w:r>
              <w:rPr>
                <w:rFonts w:hint="eastAsia" w:ascii="宋体" w:hAnsi="宋体"/>
                <w:b/>
              </w:rPr>
              <w:t>总价合计</w:t>
            </w:r>
          </w:p>
        </w:tc>
        <w:tc>
          <w:tcPr>
            <w:tcW w:w="1418" w:type="dxa"/>
            <w:gridSpan w:val="2"/>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w:t>
            </w:r>
          </w:p>
        </w:tc>
      </w:tr>
    </w:tbl>
    <w:p>
      <w:pPr>
        <w:numPr>
          <w:ilvl w:val="0"/>
          <w:numId w:val="0"/>
        </w:numPr>
        <w:tabs>
          <w:tab w:val="left" w:pos="630"/>
          <w:tab w:val="left" w:pos="7560"/>
        </w:tabs>
        <w:spacing w:after="200" w:line="360" w:lineRule="auto"/>
        <w:ind w:leftChars="0"/>
        <w:rPr>
          <w:rFonts w:ascii="宋体" w:hAnsi="宋体"/>
          <w:b/>
          <w:sz w:val="28"/>
        </w:rPr>
      </w:pPr>
      <w:r>
        <w:rPr>
          <w:rFonts w:hint="eastAsia" w:ascii="宋体" w:hAnsi="宋体"/>
          <w:b/>
          <w:sz w:val="28"/>
          <w:lang w:eastAsia="zh-CN"/>
        </w:rPr>
        <w:t>二、</w:t>
      </w:r>
      <w:r>
        <w:rPr>
          <w:rFonts w:hint="eastAsia" w:ascii="宋体" w:hAnsi="宋体"/>
          <w:b/>
          <w:sz w:val="28"/>
        </w:rPr>
        <w:t>投标人投标产品中为残疾人福利性单位制造的货物清单及价格（说明：如未提供则不能享受对残疾人福利性单位制造的货物的价格扣除）</w:t>
      </w:r>
    </w:p>
    <w:tbl>
      <w:tblPr>
        <w:tblStyle w:val="42"/>
        <w:tblW w:w="10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序号</w:t>
            </w:r>
          </w:p>
        </w:tc>
        <w:tc>
          <w:tcPr>
            <w:tcW w:w="172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货物名称</w:t>
            </w:r>
          </w:p>
        </w:tc>
        <w:tc>
          <w:tcPr>
            <w:tcW w:w="1418" w:type="dxa"/>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品牌</w:t>
            </w:r>
          </w:p>
        </w:tc>
        <w:tc>
          <w:tcPr>
            <w:tcW w:w="1418"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规格型号</w:t>
            </w:r>
          </w:p>
        </w:tc>
        <w:tc>
          <w:tcPr>
            <w:tcW w:w="1417"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制造商</w:t>
            </w:r>
          </w:p>
        </w:tc>
        <w:tc>
          <w:tcPr>
            <w:tcW w:w="851"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数量</w:t>
            </w:r>
          </w:p>
        </w:tc>
        <w:tc>
          <w:tcPr>
            <w:tcW w:w="992"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单价</w:t>
            </w:r>
          </w:p>
        </w:tc>
        <w:tc>
          <w:tcPr>
            <w:tcW w:w="1346"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776" w:type="dxa"/>
            <w:gridSpan w:val="7"/>
          </w:tcPr>
          <w:p>
            <w:pPr>
              <w:keepNext w:val="0"/>
              <w:keepLines w:val="0"/>
              <w:suppressLineNumbers w:val="0"/>
              <w:spacing w:before="0" w:beforeAutospacing="0" w:after="0" w:afterAutospacing="0" w:line="360" w:lineRule="auto"/>
              <w:ind w:left="0" w:right="0"/>
              <w:jc w:val="center"/>
              <w:rPr>
                <w:rFonts w:hint="default" w:ascii="宋体" w:hAnsi="宋体"/>
              </w:rPr>
            </w:pPr>
            <w:r>
              <w:rPr>
                <w:rFonts w:hint="eastAsia" w:ascii="宋体" w:hAnsi="宋体" w:cs="宋体"/>
                <w:b/>
              </w:rPr>
              <w:t>残疾人福利性单位制造的货物</w:t>
            </w:r>
            <w:r>
              <w:rPr>
                <w:rFonts w:hint="eastAsia" w:ascii="宋体" w:hAnsi="宋体"/>
                <w:b/>
              </w:rPr>
              <w:t>总价合计</w:t>
            </w:r>
          </w:p>
        </w:tc>
        <w:tc>
          <w:tcPr>
            <w:tcW w:w="1346" w:type="dxa"/>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w:t>
            </w:r>
          </w:p>
        </w:tc>
      </w:tr>
    </w:tbl>
    <w:p>
      <w:pPr>
        <w:pStyle w:val="12"/>
        <w:ind w:firstLine="565" w:firstLineChars="202"/>
        <w:rPr>
          <w:rFonts w:ascii="宋体" w:hAnsi="宋体"/>
          <w:sz w:val="28"/>
        </w:rPr>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588"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88" w:lineRule="exact"/>
        <w:ind w:firstLine="563"/>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成都市新都区教育局</w:t>
      </w:r>
      <w:r>
        <w:rPr>
          <w:rFonts w:hint="eastAsia" w:ascii="宋体" w:hAnsi="宋体"/>
          <w:sz w:val="28"/>
          <w:szCs w:val="28"/>
        </w:rPr>
        <w:t>（单位名称）的</w:t>
      </w:r>
      <w:r>
        <w:rPr>
          <w:rFonts w:hint="eastAsia" w:ascii="宋体" w:hAnsi="宋体"/>
          <w:b/>
          <w:sz w:val="28"/>
          <w:szCs w:val="28"/>
          <w:u w:val="single"/>
          <w:lang w:eastAsia="zh-CN"/>
        </w:rPr>
        <w:t>成都市新都区教育局2021年第二批多媒体系统采购项目</w:t>
      </w:r>
      <w:r>
        <w:rPr>
          <w:rFonts w:hint="eastAsia" w:ascii="宋体" w:hAnsi="宋体"/>
          <w:sz w:val="28"/>
          <w:szCs w:val="28"/>
        </w:rPr>
        <w:t>（项目名称）采购活动，提供的货物全部由符合政策要求的中小企业制造。相关企业的具体情况如下：</w:t>
      </w:r>
    </w:p>
    <w:p>
      <w:pPr>
        <w:spacing w:line="588" w:lineRule="exact"/>
        <w:ind w:firstLine="563"/>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rPr>
        <w:t xml:space="preserve"> 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___XXXX____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__XXXX__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588" w:lineRule="exact"/>
        <w:ind w:firstLine="563"/>
        <w:rPr>
          <w:rFonts w:ascii="宋体" w:hAnsi="宋体"/>
          <w:sz w:val="28"/>
          <w:szCs w:val="28"/>
        </w:rPr>
      </w:pPr>
      <w:r>
        <w:rPr>
          <w:rFonts w:hint="eastAsia" w:ascii="宋体" w:hAnsi="宋体"/>
          <w:sz w:val="28"/>
          <w:szCs w:val="28"/>
        </w:rPr>
        <w:t>本企业对上述声明内容的真实性负责。如有虚假，将依法承担相应责任。</w:t>
      </w:r>
    </w:p>
    <w:p>
      <w:pPr>
        <w:spacing w:line="588" w:lineRule="exact"/>
        <w:ind w:firstLine="5040" w:firstLineChars="1800"/>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588" w:lineRule="exact"/>
        <w:ind w:firstLine="563"/>
        <w:rPr>
          <w:rFonts w:ascii="宋体" w:hAnsi="宋体"/>
          <w:sz w:val="28"/>
          <w:szCs w:val="28"/>
        </w:rPr>
      </w:pPr>
      <w:r>
        <w:rPr>
          <w:rFonts w:hint="eastAsia" w:ascii="宋体" w:hAnsi="宋体"/>
          <w:sz w:val="28"/>
          <w:szCs w:val="28"/>
        </w:rPr>
        <w:t xml:space="preserve">                                日 期：</w:t>
      </w:r>
      <w:r>
        <w:rPr>
          <w:rFonts w:ascii="宋体" w:hAnsi="宋体"/>
          <w:sz w:val="28"/>
          <w:szCs w:val="28"/>
          <w:u w:val="single"/>
        </w:rPr>
        <w:t>202X</w:t>
      </w:r>
      <w:r>
        <w:rPr>
          <w:rFonts w:hint="eastAsia" w:ascii="宋体" w:hAnsi="宋体"/>
          <w:sz w:val="28"/>
        </w:rPr>
        <w:t>年</w:t>
      </w:r>
      <w:r>
        <w:rPr>
          <w:rFonts w:ascii="宋体" w:hAnsi="宋体"/>
          <w:sz w:val="28"/>
          <w:szCs w:val="28"/>
          <w:u w:val="single"/>
        </w:rPr>
        <w:t>XX</w:t>
      </w:r>
      <w:r>
        <w:rPr>
          <w:rFonts w:hint="eastAsia" w:ascii="宋体" w:hAnsi="宋体"/>
          <w:sz w:val="28"/>
        </w:rPr>
        <w:t>月</w:t>
      </w:r>
      <w:r>
        <w:rPr>
          <w:rFonts w:ascii="宋体" w:hAnsi="宋体"/>
          <w:sz w:val="28"/>
          <w:szCs w:val="28"/>
          <w:u w:val="single"/>
        </w:rPr>
        <w:t>XX</w:t>
      </w:r>
      <w:r>
        <w:rPr>
          <w:rFonts w:hint="eastAsia" w:ascii="宋体" w:hAnsi="宋体"/>
          <w:sz w:val="28"/>
        </w:rPr>
        <w:t>日</w:t>
      </w:r>
    </w:p>
    <w:p>
      <w:pPr>
        <w:pStyle w:val="79"/>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rPr>
          <w:rFonts w:ascii="宋体" w:hAnsi="宋体"/>
          <w:b/>
          <w:sz w:val="28"/>
          <w:szCs w:val="28"/>
        </w:rPr>
      </w:pPr>
      <w:r>
        <w:rPr>
          <w:rFonts w:ascii="宋体" w:hAnsi="宋体"/>
          <w:b/>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360" w:lineRule="auto"/>
        <w:ind w:firstLine="584" w:firstLineChars="200"/>
        <w:rPr>
          <w:rFonts w:ascii="宋体" w:hAnsi="宋体"/>
          <w:spacing w:val="6"/>
          <w:sz w:val="28"/>
          <w:szCs w:val="28"/>
        </w:rPr>
      </w:pPr>
    </w:p>
    <w:p>
      <w:pPr>
        <w:spacing w:line="588" w:lineRule="exact"/>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如未提供残疾人福利性单位声明函的，不能享受招标文件规定的价格扣除，但不影响投标人投标文件的有效性。</w:t>
      </w:r>
    </w:p>
    <w:p>
      <w:pPr>
        <w:spacing w:line="588" w:lineRule="exact"/>
        <w:ind w:firstLine="563"/>
        <w:rPr>
          <w:rFonts w:ascii="宋体" w:hAnsi="宋体"/>
          <w:b/>
          <w:sz w:val="28"/>
          <w:szCs w:val="28"/>
        </w:rPr>
      </w:pPr>
    </w:p>
    <w:p>
      <w:pPr>
        <w:rPr>
          <w:rFonts w:ascii="宋体" w:hAnsi="宋体"/>
          <w:sz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bookmarkEnd w:id="147"/>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15983"/>
      <w:bookmarkStart w:id="151" w:name="_Toc217446093"/>
      <w:bookmarkStart w:id="152" w:name="_Toc316292231"/>
      <w:bookmarkStart w:id="153" w:name="_Toc321382057"/>
      <w:r>
        <w:rPr>
          <w:rFonts w:hint="eastAsia" w:ascii="宋体" w:hAnsi="宋体"/>
          <w:b/>
          <w:bCs/>
          <w:spacing w:val="-20"/>
          <w:kern w:val="44"/>
          <w:sz w:val="32"/>
          <w:szCs w:val="32"/>
        </w:rPr>
        <w:t>招标项目技术、服务、商务及其他要求</w:t>
      </w:r>
      <w:bookmarkEnd w:id="150"/>
      <w:bookmarkEnd w:id="151"/>
    </w:p>
    <w:p>
      <w:pPr>
        <w:keepNext/>
        <w:keepLines/>
        <w:numPr>
          <w:ilvl w:val="1"/>
          <w:numId w:val="5"/>
        </w:numPr>
        <w:spacing w:line="360" w:lineRule="auto"/>
        <w:jc w:val="left"/>
        <w:outlineLvl w:val="1"/>
        <w:rPr>
          <w:rFonts w:ascii="宋体" w:hAnsi="宋体"/>
          <w:b/>
          <w:bCs/>
          <w:sz w:val="28"/>
          <w:szCs w:val="28"/>
        </w:rPr>
      </w:pPr>
      <w:bookmarkStart w:id="154" w:name="_Toc2570"/>
      <w:bookmarkStart w:id="155" w:name="_Toc7187"/>
      <w:bookmarkStart w:id="156" w:name="_Toc533672602"/>
      <w:bookmarkStart w:id="157" w:name="_Toc529173741"/>
      <w:r>
        <w:rPr>
          <w:rFonts w:hint="eastAsia" w:ascii="宋体" w:hAnsi="宋体"/>
          <w:b/>
          <w:bCs/>
          <w:sz w:val="28"/>
          <w:szCs w:val="28"/>
        </w:rPr>
        <w:t>项目概况</w:t>
      </w:r>
      <w:bookmarkEnd w:id="154"/>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本项目共2个包，满足2021年9月学校（园）开学基本教学需要。包1采购内容为教科院附小、泰兴小学等8所新（改扩）建学校的教学多媒体系统、会议多媒体系统的新建；包2采购内容为香城小学、升庵中学等21所学校教学多媒体系统的更新改造补充。</w:t>
      </w:r>
    </w:p>
    <w:p>
      <w:pPr>
        <w:keepNext/>
        <w:keepLines/>
        <w:numPr>
          <w:ilvl w:val="1"/>
          <w:numId w:val="5"/>
        </w:numPr>
        <w:spacing w:line="360" w:lineRule="auto"/>
        <w:jc w:val="left"/>
        <w:outlineLvl w:val="1"/>
        <w:rPr>
          <w:rFonts w:ascii="宋体" w:hAnsi="宋体"/>
          <w:b/>
          <w:bCs/>
          <w:sz w:val="28"/>
          <w:szCs w:val="28"/>
        </w:rPr>
      </w:pPr>
      <w:bookmarkStart w:id="158" w:name="_Toc16917"/>
      <w:r>
        <w:rPr>
          <w:rFonts w:hint="eastAsia" w:ascii="宋体" w:hAnsi="宋体"/>
          <w:b/>
          <w:bCs/>
          <w:sz w:val="28"/>
          <w:szCs w:val="28"/>
        </w:rPr>
        <w:t>采购内容</w:t>
      </w:r>
      <w:bookmarkEnd w:id="158"/>
    </w:p>
    <w:p>
      <w:pPr>
        <w:spacing w:line="560" w:lineRule="exact"/>
        <w:rPr>
          <w:rFonts w:ascii="宋体" w:hAnsi="宋体"/>
          <w:spacing w:val="6"/>
          <w:sz w:val="28"/>
          <w:szCs w:val="28"/>
        </w:rPr>
      </w:pPr>
      <w:r>
        <w:rPr>
          <w:rFonts w:hint="eastAsia" w:ascii="宋体" w:hAnsi="宋体"/>
          <w:b/>
          <w:bCs/>
          <w:spacing w:val="6"/>
          <w:sz w:val="28"/>
          <w:szCs w:val="28"/>
        </w:rPr>
        <w:t>4.2.1   包1：2021年新（改扩）建校教学、会议多媒体系统（第2批）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23"/>
        <w:gridCol w:w="157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序号</w:t>
            </w:r>
          </w:p>
        </w:tc>
        <w:tc>
          <w:tcPr>
            <w:tcW w:w="3423"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产品名称</w:t>
            </w:r>
          </w:p>
        </w:tc>
        <w:tc>
          <w:tcPr>
            <w:tcW w:w="157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数量</w:t>
            </w:r>
          </w:p>
        </w:tc>
        <w:tc>
          <w:tcPr>
            <w:tcW w:w="2003"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交互式液晶平板(86"）</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default" w:ascii="宋体" w:hAnsi="宋体" w:cs="宋体"/>
                <w:kern w:val="0"/>
                <w:sz w:val="24"/>
                <w:szCs w:val="24"/>
              </w:rPr>
              <w:t>69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2</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展台（壁挂式）</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3</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蓝牙音响</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4</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电子教鞭（智慧笔）</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5</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推拉式滑动无尘绿板</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75</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6</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工程投影机（5000流明）</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default" w:ascii="宋体" w:hAnsi="宋体" w:cs="宋体"/>
                <w:kern w:val="0"/>
                <w:sz w:val="24"/>
                <w:szCs w:val="24"/>
              </w:rPr>
              <w:t>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7</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画框幕布（120"）</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8</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工程投影机（</w:t>
            </w:r>
            <w:r>
              <w:rPr>
                <w:rFonts w:hint="default" w:ascii="宋体" w:hAnsi="宋体" w:cs="宋体"/>
                <w:kern w:val="0"/>
                <w:sz w:val="24"/>
                <w:szCs w:val="24"/>
              </w:rPr>
              <w:t>6</w:t>
            </w:r>
            <w:r>
              <w:rPr>
                <w:rFonts w:hint="eastAsia" w:ascii="宋体" w:hAnsi="宋体" w:cs="宋体"/>
                <w:kern w:val="0"/>
                <w:sz w:val="24"/>
                <w:szCs w:val="24"/>
              </w:rPr>
              <w:t>000流明）</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9</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超短焦激光投影机（4000流明）</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10</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电子白板（75"）</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11</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电动银幕（120"）</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9</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12</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无线同屏器</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10</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13</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教学一体机</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24</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14</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木质讲桌</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67</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15</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多媒体系统安装及调试（液晶）</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84</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16</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多媒体系统安装及调试（投影幕）</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10</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17</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多媒体系统安装及调试（电子白板）</w:t>
            </w:r>
          </w:p>
        </w:tc>
        <w:tc>
          <w:tcPr>
            <w:tcW w:w="157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bl>
    <w:p>
      <w:pPr>
        <w:spacing w:line="560" w:lineRule="exact"/>
        <w:rPr>
          <w:rFonts w:ascii="宋体" w:hAnsi="宋体"/>
          <w:b/>
          <w:bCs/>
          <w:spacing w:val="6"/>
          <w:sz w:val="28"/>
          <w:szCs w:val="28"/>
        </w:rPr>
      </w:pPr>
      <w:r>
        <w:rPr>
          <w:rFonts w:hint="eastAsia" w:ascii="宋体" w:hAnsi="宋体"/>
          <w:b/>
          <w:bCs/>
          <w:spacing w:val="6"/>
          <w:sz w:val="28"/>
          <w:szCs w:val="28"/>
        </w:rPr>
        <w:t>4.2.2  包2：2021年部分学校教学多媒体系统补充更新（第2批）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23"/>
        <w:gridCol w:w="1780"/>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26"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序号</w:t>
            </w:r>
          </w:p>
        </w:tc>
        <w:tc>
          <w:tcPr>
            <w:tcW w:w="3423"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产品名称</w:t>
            </w:r>
          </w:p>
        </w:tc>
        <w:tc>
          <w:tcPr>
            <w:tcW w:w="178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数量</w:t>
            </w:r>
          </w:p>
        </w:tc>
        <w:tc>
          <w:tcPr>
            <w:tcW w:w="1793"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交互式液晶平板(86"）</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124</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2</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展台（壁挂式）</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158</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3</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蓝牙音响</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158</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4</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电子教鞭（智慧笔）</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124</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5</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推拉式滑动无尘绿板</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124</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6</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木质讲桌</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124</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7</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交互式液晶平板(75"）</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34</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526"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8</w:t>
            </w:r>
          </w:p>
        </w:tc>
        <w:tc>
          <w:tcPr>
            <w:tcW w:w="3423"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多媒体系统安装及调试（液晶）</w:t>
            </w:r>
          </w:p>
        </w:tc>
        <w:tc>
          <w:tcPr>
            <w:tcW w:w="1780"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158</w:t>
            </w:r>
          </w:p>
        </w:tc>
        <w:tc>
          <w:tcPr>
            <w:tcW w:w="17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套</w:t>
            </w:r>
          </w:p>
        </w:tc>
      </w:tr>
    </w:tbl>
    <w:p>
      <w:pPr>
        <w:spacing w:line="560" w:lineRule="exact"/>
        <w:rPr>
          <w:rFonts w:hint="eastAsia" w:ascii="宋体" w:hAnsi="宋体"/>
          <w:b/>
          <w:bCs/>
          <w:spacing w:val="6"/>
          <w:sz w:val="28"/>
          <w:szCs w:val="28"/>
          <w:lang w:val="en-US" w:eastAsia="zh-CN"/>
        </w:rPr>
      </w:pPr>
    </w:p>
    <w:p>
      <w:pPr>
        <w:keepNext/>
        <w:keepLines/>
        <w:numPr>
          <w:ilvl w:val="1"/>
          <w:numId w:val="5"/>
        </w:numPr>
        <w:spacing w:line="360" w:lineRule="auto"/>
        <w:jc w:val="left"/>
        <w:outlineLvl w:val="1"/>
        <w:rPr>
          <w:rFonts w:ascii="宋体" w:hAnsi="宋体"/>
          <w:b/>
          <w:bCs/>
          <w:sz w:val="28"/>
          <w:szCs w:val="28"/>
        </w:rPr>
      </w:pPr>
      <w:bookmarkStart w:id="159" w:name="_Toc11987"/>
      <w:bookmarkStart w:id="160" w:name="_Toc68703951"/>
      <w:r>
        <w:rPr>
          <w:rFonts w:hint="eastAsia" w:ascii="宋体" w:hAnsi="宋体"/>
          <w:b/>
          <w:bCs/>
          <w:sz w:val="28"/>
          <w:szCs w:val="28"/>
        </w:rPr>
        <w:t>技术参数及要求</w:t>
      </w:r>
      <w:bookmarkEnd w:id="159"/>
      <w:bookmarkEnd w:id="160"/>
    </w:p>
    <w:p>
      <w:pPr>
        <w:spacing w:line="560" w:lineRule="exact"/>
        <w:rPr>
          <w:rFonts w:ascii="宋体" w:hAnsi="宋体"/>
          <w:b/>
          <w:bCs/>
          <w:spacing w:val="6"/>
          <w:sz w:val="28"/>
          <w:szCs w:val="28"/>
        </w:rPr>
      </w:pPr>
      <w:r>
        <w:rPr>
          <w:rFonts w:hint="eastAsia" w:ascii="宋体" w:hAnsi="宋体"/>
          <w:b/>
          <w:bCs/>
          <w:spacing w:val="6"/>
          <w:sz w:val="28"/>
          <w:szCs w:val="28"/>
        </w:rPr>
        <w:t>4.3.1   包1：2021年新（改扩）建校教学、会议多媒体系统（第2批）</w:t>
      </w:r>
    </w:p>
    <w:tbl>
      <w:tblPr>
        <w:tblStyle w:val="42"/>
        <w:tblW w:w="9117"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序号</w:t>
            </w:r>
          </w:p>
        </w:tc>
        <w:tc>
          <w:tcPr>
            <w:tcW w:w="156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产品名称</w:t>
            </w:r>
          </w:p>
        </w:tc>
        <w:tc>
          <w:tcPr>
            <w:tcW w:w="6564"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交互式液晶平板(86"）</w:t>
            </w:r>
          </w:p>
        </w:tc>
        <w:tc>
          <w:tcPr>
            <w:tcW w:w="6564" w:type="dxa"/>
            <w:vAlign w:val="center"/>
          </w:tcPr>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一、硬件及功能要求：</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5、配备无线遥控，具备电视遥控功能，可实现PPT翻页、一键开启白板软件；</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8、控制终端采用i5及以上处理器，内存≥4GB，硬盘≥256GB固态硬盘；</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二、白板软件功能要求：</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2、白板软件提供覆盖小学、初中的古诗词资源及涵盖小学、初中、高中试题； </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3、白板软件提供语文、英语、数学、化学、物理、地理、美术、音乐等学科工具；</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w:t>
            </w:r>
          </w:p>
          <w:p>
            <w:pPr>
              <w:keepNext w:val="0"/>
              <w:keepLines w:val="0"/>
              <w:suppressLineNumbers w:val="0"/>
              <w:spacing w:before="0" w:beforeAutospacing="0" w:after="0" w:afterAutospacing="0"/>
              <w:ind w:left="0" w:right="0"/>
              <w:rPr>
                <w:rFonts w:hint="default" w:ascii="宋体" w:hAnsi="宋体" w:cs="宋体"/>
                <w:color w:val="000000"/>
                <w:kern w:val="0"/>
                <w:sz w:val="24"/>
                <w:szCs w:val="24"/>
              </w:rPr>
            </w:pPr>
            <w:r>
              <w:rPr>
                <w:rFonts w:hint="eastAsia" w:ascii="宋体" w:hAnsi="宋体" w:cs="宋体"/>
                <w:color w:val="000000"/>
                <w:kern w:val="0"/>
                <w:sz w:val="24"/>
                <w:szCs w:val="24"/>
              </w:rPr>
              <w:t>▲6、为保证软件使用的兼容性，白板软件须为厂家自行研发。（提供白板软件的计算机软件著作权登记证书复印件）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2</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展台（壁挂式）</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1、采用壁挂式安装，展台须无锐角无利边处理；</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3、输出格式支持JPG</w:t>
            </w:r>
            <w:r>
              <w:rPr>
                <w:rFonts w:hint="eastAsia" w:ascii="宋体" w:hAnsi="宋体" w:cs="宋体"/>
                <w:color w:val="000000"/>
                <w:kern w:val="0"/>
                <w:sz w:val="24"/>
                <w:szCs w:val="24"/>
              </w:rPr>
              <w:t>、MP4</w:t>
            </w:r>
            <w:r>
              <w:rPr>
                <w:rFonts w:hint="eastAsia" w:ascii="宋体" w:hAnsi="宋体" w:cs="宋体"/>
                <w:kern w:val="0"/>
                <w:sz w:val="24"/>
                <w:szCs w:val="24"/>
              </w:rPr>
              <w:t>；</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4、具备一键启动展台画面，画面具备放大、缩小、旋转、拍照截图等功能；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5、展台软件支持画面实时批注功能，支持多图预览功能，支持拍照功能，支持故障自动检测功能。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3</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蓝牙音响</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4</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电子教鞭（智慧笔）</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1、采用笔型设计，具有上下翻页键和功能键；</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2、采用2.4G无线连接技术，无线接收器采用微型nano设计；</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5</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推拉式滑动无尘绿板</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6</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工程投影机（5000流明）</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▲1、采用DLP投影技术，亮度≥5000流明；</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▲2、分辨率：≥1920*1080，对比度≥30000:1；</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3、投影镜头变焦：≥1.6倍，支持360度投影；</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4、纯激光光源设计，光源寿命≥20000小时，全封闭光路设计；</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5、具有高清HDMI、VGA、USB、RS232、音频、防盗锁接口；具有防尘过滤网，具有单机3D功能；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6、含投影机支架、全中文控制面板和遥控器。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7</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画框幕布（120"）</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1、产品采用透明PVC材质，黑底防透光处理；</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2、屏幕尺寸≥120英寸，支持16：9模式，雪白软屏幕；</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3、边框≤10㎝，可视角度≥160°，支持长焦或短焦、支持3D、4K高清画质显示。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8</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工程投影机（6000流明）</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kern w:val="0"/>
                <w:sz w:val="22"/>
              </w:rPr>
            </w:pPr>
            <w:r>
              <w:rPr>
                <w:rFonts w:hint="eastAsia" w:ascii="宋体" w:hAnsi="宋体" w:cs="宋体"/>
                <w:kern w:val="0"/>
                <w:sz w:val="24"/>
                <w:szCs w:val="24"/>
              </w:rPr>
              <w:t>1、采用DLP投影技术，亮度≥6000流明；</w:t>
            </w:r>
            <w:r>
              <w:rPr>
                <w:rFonts w:hint="eastAsia" w:ascii="宋体" w:hAnsi="宋体" w:cs="宋体"/>
                <w:kern w:val="0"/>
                <w:sz w:val="24"/>
                <w:szCs w:val="24"/>
              </w:rPr>
              <w:br w:type="textWrapping"/>
            </w:r>
            <w:r>
              <w:rPr>
                <w:rFonts w:hint="eastAsia" w:ascii="宋体" w:hAnsi="宋体" w:cs="宋体"/>
                <w:kern w:val="0"/>
                <w:sz w:val="24"/>
                <w:szCs w:val="24"/>
              </w:rPr>
              <w:t>2、分辨率：≥1920*1080，对比度≥30000:1；</w:t>
            </w:r>
            <w:r>
              <w:rPr>
                <w:rFonts w:hint="eastAsia" w:ascii="宋体" w:hAnsi="宋体" w:cs="宋体"/>
                <w:kern w:val="0"/>
                <w:sz w:val="24"/>
                <w:szCs w:val="24"/>
              </w:rPr>
              <w:br w:type="textWrapping"/>
            </w:r>
            <w:r>
              <w:rPr>
                <w:rFonts w:hint="eastAsia" w:ascii="宋体" w:hAnsi="宋体" w:cs="宋体"/>
                <w:kern w:val="0"/>
                <w:sz w:val="24"/>
                <w:szCs w:val="24"/>
              </w:rPr>
              <w:t>3、投影镜头变焦：≥1.6倍，镜头功能：支持镜头位置记忆及镜头锁定功能,镜头操作：电动聚焦、变焦、位移；</w:t>
            </w:r>
            <w:r>
              <w:rPr>
                <w:rFonts w:hint="eastAsia" w:ascii="宋体" w:hAnsi="宋体" w:cs="宋体"/>
                <w:kern w:val="0"/>
                <w:sz w:val="24"/>
                <w:szCs w:val="24"/>
              </w:rPr>
              <w:br w:type="textWrapping"/>
            </w:r>
            <w:r>
              <w:rPr>
                <w:rFonts w:hint="eastAsia" w:ascii="宋体" w:hAnsi="宋体" w:cs="宋体"/>
                <w:kern w:val="0"/>
                <w:sz w:val="24"/>
                <w:szCs w:val="24"/>
              </w:rPr>
              <w:t>4、纯激光光源设计，光源寿命≥20000小时，全封闭光路设计；</w:t>
            </w:r>
            <w:r>
              <w:rPr>
                <w:rFonts w:hint="eastAsia" w:ascii="宋体" w:hAnsi="宋体" w:cs="宋体"/>
                <w:kern w:val="0"/>
                <w:sz w:val="24"/>
                <w:szCs w:val="24"/>
              </w:rPr>
              <w:br w:type="textWrapping"/>
            </w:r>
            <w:r>
              <w:rPr>
                <w:rFonts w:hint="eastAsia" w:ascii="宋体" w:hAnsi="宋体" w:cs="宋体"/>
                <w:kern w:val="0"/>
                <w:sz w:val="24"/>
                <w:szCs w:val="24"/>
              </w:rPr>
              <w:t>5、智能关机（可自定义关机时间）</w:t>
            </w:r>
            <w:r>
              <w:rPr>
                <w:rFonts w:hint="eastAsia" w:ascii="宋体" w:hAnsi="宋体" w:cs="宋体"/>
                <w:kern w:val="0"/>
                <w:sz w:val="24"/>
                <w:szCs w:val="24"/>
              </w:rPr>
              <w:br w:type="textWrapping"/>
            </w:r>
            <w:r>
              <w:rPr>
                <w:rFonts w:hint="eastAsia" w:ascii="宋体" w:hAnsi="宋体" w:cs="宋体"/>
                <w:kern w:val="0"/>
                <w:sz w:val="24"/>
                <w:szCs w:val="24"/>
              </w:rPr>
              <w:t>6、具有高清HDMI、VGA、USB、RS232、音频、防盗锁接口；</w:t>
            </w:r>
            <w:r>
              <w:rPr>
                <w:rFonts w:hint="eastAsia" w:ascii="宋体" w:hAnsi="宋体" w:cs="宋体"/>
                <w:kern w:val="0"/>
                <w:sz w:val="24"/>
                <w:szCs w:val="24"/>
              </w:rPr>
              <w:br w:type="textWrapping"/>
            </w:r>
            <w:r>
              <w:rPr>
                <w:rFonts w:hint="eastAsia" w:ascii="宋体" w:hAnsi="宋体" w:cs="宋体"/>
                <w:kern w:val="0"/>
                <w:sz w:val="24"/>
                <w:szCs w:val="24"/>
              </w:rPr>
              <w:t>7、具有防尘过滤网，具有单机3D功能；</w:t>
            </w:r>
            <w:r>
              <w:rPr>
                <w:rFonts w:hint="eastAsia" w:ascii="宋体" w:hAnsi="宋体" w:cs="宋体"/>
                <w:kern w:val="0"/>
                <w:sz w:val="24"/>
                <w:szCs w:val="24"/>
              </w:rPr>
              <w:br w:type="textWrapping"/>
            </w:r>
            <w:r>
              <w:rPr>
                <w:rFonts w:hint="eastAsia" w:ascii="宋体" w:hAnsi="宋体" w:cs="宋体"/>
                <w:kern w:val="0"/>
                <w:sz w:val="24"/>
                <w:szCs w:val="24"/>
              </w:rPr>
              <w:t>8、含投影机支架。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9</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超短焦激光投影机（4000流明）</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kern w:val="0"/>
                <w:sz w:val="22"/>
              </w:rPr>
            </w:pPr>
            <w:r>
              <w:rPr>
                <w:rFonts w:hint="eastAsia" w:ascii="宋体" w:hAnsi="宋体" w:cs="宋体"/>
                <w:kern w:val="0"/>
                <w:sz w:val="24"/>
                <w:szCs w:val="24"/>
              </w:rPr>
              <w:t>1、</w:t>
            </w:r>
            <w:r>
              <w:rPr>
                <w:rFonts w:hint="eastAsia" w:ascii="宋体" w:hAnsi="宋体" w:cs="宋体"/>
                <w:kern w:val="0"/>
                <w:sz w:val="24"/>
                <w:szCs w:val="24"/>
                <w:highlight w:val="none"/>
              </w:rPr>
              <w:t>DLP技术，纯激光固态光源</w:t>
            </w:r>
            <w:r>
              <w:rPr>
                <w:rFonts w:hint="eastAsia" w:ascii="宋体" w:hAnsi="宋体" w:cs="宋体"/>
                <w:kern w:val="0"/>
                <w:sz w:val="24"/>
                <w:szCs w:val="24"/>
              </w:rPr>
              <w:br w:type="textWrapping"/>
            </w:r>
            <w:r>
              <w:rPr>
                <w:rFonts w:hint="eastAsia" w:ascii="宋体" w:hAnsi="宋体" w:cs="宋体"/>
                <w:kern w:val="0"/>
                <w:sz w:val="24"/>
                <w:szCs w:val="24"/>
              </w:rPr>
              <w:t>2、亮度≥4000流明，分辨率：1920*1200，对比度≥55000:1</w:t>
            </w:r>
            <w:r>
              <w:rPr>
                <w:rFonts w:hint="eastAsia" w:ascii="宋体" w:hAnsi="宋体" w:cs="宋体"/>
                <w:kern w:val="0"/>
                <w:sz w:val="24"/>
                <w:szCs w:val="24"/>
              </w:rPr>
              <w:br w:type="textWrapping"/>
            </w:r>
            <w:r>
              <w:rPr>
                <w:rFonts w:hint="eastAsia" w:ascii="宋体" w:hAnsi="宋体" w:cs="宋体"/>
                <w:kern w:val="0"/>
                <w:sz w:val="24"/>
                <w:szCs w:val="24"/>
              </w:rPr>
              <w:t xml:space="preserve">3、投射80寸16:10画面，投影机光源到白板板面的距离≤0.5M， </w:t>
            </w:r>
            <w:r>
              <w:rPr>
                <w:rFonts w:hint="eastAsia" w:ascii="宋体" w:hAnsi="宋体" w:cs="宋体"/>
                <w:kern w:val="0"/>
                <w:sz w:val="24"/>
                <w:szCs w:val="24"/>
              </w:rPr>
              <w:br w:type="textWrapping"/>
            </w:r>
            <w:r>
              <w:rPr>
                <w:rFonts w:hint="eastAsia" w:ascii="宋体" w:hAnsi="宋体" w:cs="宋体"/>
                <w:kern w:val="0"/>
                <w:sz w:val="24"/>
                <w:szCs w:val="24"/>
              </w:rPr>
              <w:t>4、采用旋钮式调焦技术，调焦更精准。</w:t>
            </w:r>
            <w:r>
              <w:rPr>
                <w:rFonts w:hint="eastAsia" w:ascii="宋体" w:hAnsi="宋体" w:cs="宋体"/>
                <w:kern w:val="0"/>
                <w:sz w:val="24"/>
                <w:szCs w:val="24"/>
              </w:rPr>
              <w:br w:type="textWrapping"/>
            </w:r>
            <w:r>
              <w:rPr>
                <w:rFonts w:hint="eastAsia" w:ascii="宋体" w:hAnsi="宋体" w:cs="宋体"/>
                <w:kern w:val="0"/>
                <w:sz w:val="24"/>
                <w:szCs w:val="24"/>
              </w:rPr>
              <w:t>5、具有RGB输入接口、RGB输出接口，HDMI输入接口，Video 输入接口，RS232接口，USB无线接口；</w:t>
            </w:r>
            <w:r>
              <w:rPr>
                <w:rFonts w:hint="eastAsia" w:ascii="宋体" w:hAnsi="宋体" w:cs="宋体"/>
                <w:kern w:val="0"/>
                <w:sz w:val="24"/>
                <w:szCs w:val="24"/>
              </w:rPr>
              <w:br w:type="textWrapping"/>
            </w:r>
            <w:r>
              <w:rPr>
                <w:rFonts w:hint="eastAsia" w:ascii="宋体" w:hAnsi="宋体" w:cs="宋体"/>
                <w:kern w:val="0"/>
                <w:sz w:val="24"/>
                <w:szCs w:val="24"/>
              </w:rPr>
              <w:t>6、具有防尘过滤网和安全锁控；</w:t>
            </w:r>
            <w:r>
              <w:rPr>
                <w:rFonts w:hint="eastAsia" w:ascii="宋体" w:hAnsi="宋体" w:cs="宋体"/>
                <w:kern w:val="0"/>
                <w:sz w:val="24"/>
                <w:szCs w:val="24"/>
              </w:rPr>
              <w:br w:type="textWrapping"/>
            </w:r>
            <w:r>
              <w:rPr>
                <w:rFonts w:hint="eastAsia" w:ascii="宋体" w:hAnsi="宋体" w:cs="宋体"/>
                <w:kern w:val="0"/>
                <w:sz w:val="24"/>
                <w:szCs w:val="24"/>
              </w:rPr>
              <w:t>7、提供两路USB接口，支持与电子白板智能互连，可通过白板直接对投影机进行开关和信号切换以及对投影机维护升级。</w:t>
            </w:r>
            <w:r>
              <w:rPr>
                <w:rFonts w:hint="eastAsia" w:ascii="宋体" w:hAnsi="宋体" w:cs="宋体"/>
                <w:kern w:val="0"/>
                <w:sz w:val="24"/>
                <w:szCs w:val="24"/>
              </w:rPr>
              <w:br w:type="textWrapping"/>
            </w:r>
            <w:r>
              <w:rPr>
                <w:rFonts w:hint="eastAsia" w:ascii="宋体" w:hAnsi="宋体" w:cs="宋体"/>
                <w:kern w:val="0"/>
                <w:sz w:val="24"/>
                <w:szCs w:val="24"/>
              </w:rPr>
              <w:t>8、全中文控制面板；</w:t>
            </w:r>
            <w:r>
              <w:rPr>
                <w:rFonts w:hint="eastAsia" w:ascii="宋体" w:hAnsi="宋体" w:cs="宋体"/>
                <w:kern w:val="0"/>
                <w:sz w:val="24"/>
                <w:szCs w:val="24"/>
              </w:rPr>
              <w:br w:type="textWrapping"/>
            </w:r>
            <w:r>
              <w:rPr>
                <w:rFonts w:hint="eastAsia" w:ascii="宋体" w:hAnsi="宋体" w:cs="宋体"/>
                <w:kern w:val="0"/>
                <w:sz w:val="24"/>
                <w:szCs w:val="24"/>
              </w:rPr>
              <w:t>9、支持投射图像水平和垂直移动。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10</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电子白板（75"）</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1、红外线感应技术，外边框尺寸≥75英寸,显示比例4:3，支持不少于四点触控，支持不少于三点同时书写；白板具有左右及下方三侧快捷。</w:t>
            </w:r>
            <w:r>
              <w:rPr>
                <w:rFonts w:hint="eastAsia" w:ascii="宋体" w:hAnsi="宋体" w:cs="宋体"/>
                <w:kern w:val="0"/>
                <w:sz w:val="24"/>
                <w:szCs w:val="24"/>
              </w:rPr>
              <w:br w:type="textWrapping"/>
            </w:r>
            <w:r>
              <w:rPr>
                <w:rFonts w:hint="eastAsia" w:ascii="宋体" w:hAnsi="宋体" w:cs="宋体"/>
                <w:kern w:val="0"/>
                <w:sz w:val="24"/>
                <w:szCs w:val="24"/>
              </w:rPr>
              <w:t>2、书写工具：至少提供硬笔、智能笔、激光笔、粉笔、手势笔等多种书写工具。通过智能笔可识别平面图形；通过手势笔可实现书写、擦除、前后翻页，聚光灯，放大镜等功能。</w:t>
            </w:r>
            <w:r>
              <w:rPr>
                <w:rFonts w:hint="eastAsia" w:ascii="宋体" w:hAnsi="宋体" w:cs="宋体"/>
                <w:kern w:val="0"/>
                <w:sz w:val="24"/>
                <w:szCs w:val="24"/>
              </w:rPr>
              <w:br w:type="textWrapping"/>
            </w:r>
            <w:r>
              <w:rPr>
                <w:rFonts w:hint="eastAsia" w:ascii="宋体" w:hAnsi="宋体" w:cs="宋体"/>
                <w:kern w:val="0"/>
                <w:sz w:val="24"/>
                <w:szCs w:val="24"/>
              </w:rPr>
              <w:t>3、具有教学云平台，支持云端备课，教师可直接登陆云平台进行备课及课件下载使用，教师注册即可获得不少于32GB的云盘容量。</w:t>
            </w:r>
            <w:r>
              <w:rPr>
                <w:rFonts w:hint="eastAsia" w:ascii="宋体" w:hAnsi="宋体" w:cs="宋体"/>
                <w:kern w:val="0"/>
                <w:sz w:val="24"/>
                <w:szCs w:val="24"/>
              </w:rPr>
              <w:br w:type="textWrapping"/>
            </w:r>
            <w:r>
              <w:rPr>
                <w:rFonts w:hint="eastAsia" w:ascii="宋体" w:hAnsi="宋体" w:cs="宋体"/>
                <w:kern w:val="0"/>
                <w:sz w:val="24"/>
                <w:szCs w:val="24"/>
              </w:rPr>
              <w:t>4、提供至少三种登录方式，所有应用模块的入口均在统一界面上，包括课前设计、教学软件、资源、多屏互动、展台软件、微课工具等。</w:t>
            </w:r>
            <w:r>
              <w:rPr>
                <w:rFonts w:hint="eastAsia" w:ascii="宋体" w:hAnsi="宋体" w:cs="宋体"/>
                <w:kern w:val="0"/>
                <w:sz w:val="24"/>
                <w:szCs w:val="24"/>
              </w:rPr>
              <w:br w:type="textWrapping"/>
            </w:r>
            <w:r>
              <w:rPr>
                <w:rFonts w:hint="eastAsia" w:ascii="宋体" w:hAnsi="宋体" w:cs="宋体"/>
                <w:kern w:val="0"/>
                <w:sz w:val="24"/>
                <w:szCs w:val="24"/>
              </w:rPr>
              <w:t>5、软件菜单功能按钮和图标的各级菜单均配备明确中文标识；</w:t>
            </w:r>
            <w:r>
              <w:rPr>
                <w:rFonts w:hint="eastAsia" w:ascii="宋体" w:hAnsi="宋体" w:cs="宋体"/>
                <w:kern w:val="0"/>
                <w:sz w:val="24"/>
                <w:szCs w:val="24"/>
              </w:rPr>
              <w:br w:type="textWrapping"/>
            </w:r>
            <w:r>
              <w:rPr>
                <w:rFonts w:hint="eastAsia" w:ascii="宋体" w:hAnsi="宋体" w:cs="宋体"/>
                <w:kern w:val="0"/>
                <w:sz w:val="24"/>
                <w:szCs w:val="24"/>
              </w:rPr>
              <w:t>6、提供音、视频编辑功能。音、视频文件导入到软件中进行播放，可设置循环播放、跨页面播放</w:t>
            </w:r>
            <w:r>
              <w:rPr>
                <w:rFonts w:hint="eastAsia" w:ascii="宋体" w:hAnsi="宋体" w:cs="宋体"/>
                <w:kern w:val="0"/>
                <w:sz w:val="24"/>
                <w:szCs w:val="24"/>
              </w:rPr>
              <w:br w:type="textWrapping"/>
            </w:r>
            <w:r>
              <w:rPr>
                <w:rFonts w:hint="eastAsia" w:ascii="宋体" w:hAnsi="宋体" w:cs="宋体"/>
                <w:kern w:val="0"/>
                <w:sz w:val="24"/>
                <w:szCs w:val="24"/>
              </w:rPr>
              <w:t>7、提供多种常用图形，包括线段、圆、三角形、多边形、对话框、单双箭头、大中括号、加减乘除等，所有图形均可填充颜色、修改边框颜色粗细以及设置图形透明度；</w:t>
            </w:r>
            <w:r>
              <w:rPr>
                <w:rFonts w:hint="eastAsia" w:ascii="宋体" w:hAnsi="宋体" w:cs="宋体"/>
                <w:kern w:val="0"/>
                <w:sz w:val="24"/>
                <w:szCs w:val="24"/>
              </w:rPr>
              <w:br w:type="textWrapping"/>
            </w:r>
            <w:r>
              <w:rPr>
                <w:rFonts w:hint="eastAsia" w:ascii="宋体" w:hAnsi="宋体" w:cs="宋体"/>
                <w:kern w:val="0"/>
                <w:sz w:val="24"/>
                <w:szCs w:val="24"/>
              </w:rPr>
              <w:t>8、具有页面切换特效，包括缩放、揭开、切出、覆盖等多种特殊效果；</w:t>
            </w:r>
            <w:r>
              <w:rPr>
                <w:rFonts w:hint="eastAsia" w:ascii="宋体" w:hAnsi="宋体" w:cs="宋体"/>
                <w:kern w:val="0"/>
                <w:sz w:val="24"/>
                <w:szCs w:val="24"/>
              </w:rPr>
              <w:br w:type="textWrapping"/>
            </w:r>
            <w:r>
              <w:rPr>
                <w:rFonts w:hint="eastAsia" w:ascii="宋体" w:hAnsi="宋体" w:cs="宋体"/>
                <w:kern w:val="0"/>
                <w:sz w:val="24"/>
                <w:szCs w:val="24"/>
              </w:rPr>
              <w:t>9、对象特效设置：可对页面对象设置多种进入、退出时的特殊效果，如百叶窗、淡入等效果；支持调整特效顺序、特效时间设置；支持教学软件页面中的图片、文字等任何对象可在页面中可实现路径轨迹设置、播放和重播。</w:t>
            </w:r>
            <w:r>
              <w:rPr>
                <w:rFonts w:hint="eastAsia" w:ascii="宋体" w:hAnsi="宋体" w:cs="宋体"/>
                <w:kern w:val="0"/>
                <w:sz w:val="24"/>
                <w:szCs w:val="24"/>
              </w:rPr>
              <w:br w:type="textWrapping"/>
            </w:r>
            <w:r>
              <w:rPr>
                <w:rFonts w:hint="eastAsia" w:ascii="宋体" w:hAnsi="宋体" w:cs="宋体"/>
                <w:kern w:val="0"/>
                <w:sz w:val="24"/>
                <w:szCs w:val="24"/>
              </w:rPr>
              <w:t>10、幼儿专业教学资源，包括：幼儿语言（内含拼音学习、感知汉字、日常用语、文学阅读、倾听故事等视频动画、音频和文字）；幼儿英语（内含认识字母、简单单词、日常会话、英文儿歌等视频动画、音频和文字）；幼儿科学（科学常识，认识动物、植物、天气、宇宙、环境交通工具、日常生活用品等视频动画、音频和文字）；幼儿艺术（内含艺术常识、美术、音乐、舞蹈等视频动画、音频和文字）；幼儿健康：（内含家庭、学校生活及生活习惯、营养与饮食、人体认识和自身安全保护、运动和游戏等视频动画、音频和文字）；提供中华古诗词、健康教育、公共安全教育动画、中国传统节日动画等素质教育资源，动画总数不少于100个。</w:t>
            </w:r>
            <w:r>
              <w:rPr>
                <w:rFonts w:hint="eastAsia" w:ascii="宋体" w:hAnsi="宋体" w:cs="宋体"/>
                <w:kern w:val="0"/>
                <w:sz w:val="24"/>
                <w:szCs w:val="24"/>
              </w:rPr>
              <w:br w:type="textWrapping"/>
            </w:r>
            <w:r>
              <w:rPr>
                <w:rFonts w:hint="eastAsia" w:ascii="宋体" w:hAnsi="宋体" w:cs="宋体"/>
                <w:kern w:val="0"/>
                <w:sz w:val="24"/>
                <w:szCs w:val="24"/>
              </w:rPr>
              <w:t>11、提供课堂评价系统，支持老师对全班或单个学生进行评价，评价结果可撤回。支持管理者查看所有班级学生的评价得分。支持随机抽选学生进行评价。支持桌面显示光荣榜，可显示班级学生的本日、本周的排名情况，可设置隐藏。支持教师通过PC客户端、安卓手机端、苹果手机端登录使用。支持家长通过安卓手机端、苹果手机端查看学生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11</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电动银幕（120"）</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1、120英寸，16:9,玻珠幕面；同步电机。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12</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无线同屏器</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1、支持windows、MAC OS、Android操作系统；</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2、具备≥1路HDMI接口，≥1路网络接口，≥1路3.5mm音频接口，≥1路USB接口，≥1路电源接口；</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3、视频输入分辨率≥3840x2160，视频输出分辨率≥1920x1200，显示比例支持等比、4：3、16：9、16：10模式；</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4、支持扩展桌面无线投屏、屏幕旋转、满屏拉伸功能，支持≥1路同时显示源端，≥8路同时接入源端，支持路由功能；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5、内置无线网卡，支持IEEE 802.11ac/802.11n传输协议，传输速率≥867Mbps，支持2.4GHz或5GHz频段，支持WPA2-PSK协议。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13</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教学一体机</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1、一体机内置控制终端、音箱、功放、中控、无线麦克风、实物展示台等。</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2、控制终端配置：采用I5 CPU，主频≥3.2GHz；≥8G内存；≥256G固态硬盘；集成声卡、显卡、网卡。内置音箱，额定功率≥30W，内置功放，输出功率：≥30W。</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3、内置中控，支持一键开关机，带系统控制键，视频模式切换键，音频控制键，书写切换键。</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接口：带1个安全220V电源输入接口，1个标准3插可控220V电源输出接口，1个VGA输出接口，1个HDMI输出接口，1个RS232投影机控制接口，1个100/1000M自适应网络接口（RJ45），1个3.5音频输出接口，1个3.5音频输入接口；USB3.0×2个，USB2.0×3个，其中2个USB接口位于展台门内便于外接U盘及其他USB设备使用；1个2插220V电源输出接口位于展台门内。</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▲5、内置1000万像素实物展台，展板采用隐藏式转轴设计无需拉杆或其他辅助承重，提供更大的使用面积，展板厚度≥20mm，展板承重能力≥45Kg。</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▲6、内置非USB接口无线网络模块，提供有线和无线两种网络接入方式，内置防盗报警系统，投影机、电子白板等多媒体设备统一由教学主机取电管理。</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7、内置无线扩音系统，2.4G无线扩音，GFSK调制方式。</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▲8、多功能无线麦克风集成激光教鞭、PPT翻页、PPT一键黑屏、音量大小调节及不同窗口的自由切换、一键关闭软件、一键关闭终端控制。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14</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木质讲桌</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1、规格：800mm*500mm*1050mm；</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15</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多媒体系统安装及调试（液晶）</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2、安装墙面若为空心墙，灌浆加固处理；集成要求达到国家、省、市级及行业标准；线路铺设稳固、简洁、美观。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16</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多媒体系统安装及调试（投影幕）</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1、辅材：提供HDMI、VGA、电源线及其他配套辅料（线材且长度满足集成需要）；</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2、施工要求：简配多媒体线路需走线美观，设备连接线路需采用软质线路保护管进行保护敷设并采用优质扎带予以捆扎牢固。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17</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多媒体系统安装及调试（电子白板）</w:t>
            </w:r>
          </w:p>
        </w:tc>
        <w:tc>
          <w:tcPr>
            <w:tcW w:w="6564"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2、集成要求达到国家、省、市级及行业标准；线路铺设稳固、简洁、美观。</w:t>
            </w:r>
          </w:p>
        </w:tc>
      </w:tr>
    </w:tbl>
    <w:p>
      <w:pPr>
        <w:spacing w:line="560" w:lineRule="exact"/>
        <w:rPr>
          <w:rFonts w:ascii="宋体" w:hAnsi="宋体"/>
          <w:b/>
          <w:bCs/>
          <w:spacing w:val="6"/>
          <w:sz w:val="28"/>
          <w:szCs w:val="28"/>
        </w:rPr>
      </w:pPr>
    </w:p>
    <w:p>
      <w:pPr>
        <w:spacing w:line="560" w:lineRule="exact"/>
        <w:rPr>
          <w:rFonts w:ascii="宋体" w:hAnsi="宋体"/>
          <w:b/>
          <w:bCs/>
          <w:spacing w:val="6"/>
          <w:sz w:val="28"/>
          <w:szCs w:val="28"/>
        </w:rPr>
      </w:pPr>
      <w:r>
        <w:rPr>
          <w:rFonts w:hint="eastAsia" w:ascii="宋体" w:hAnsi="宋体"/>
          <w:b/>
          <w:bCs/>
          <w:spacing w:val="6"/>
          <w:sz w:val="28"/>
          <w:szCs w:val="28"/>
        </w:rPr>
        <w:t>4.3.2  包2：2021年部分学校教学多媒体系统补充更新（第2批）</w:t>
      </w:r>
    </w:p>
    <w:p>
      <w:pPr>
        <w:pStyle w:val="17"/>
      </w:pPr>
    </w:p>
    <w:tbl>
      <w:tblPr>
        <w:tblStyle w:val="42"/>
        <w:tblW w:w="9130"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序号</w:t>
            </w:r>
          </w:p>
        </w:tc>
        <w:tc>
          <w:tcPr>
            <w:tcW w:w="156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产品名称</w:t>
            </w:r>
          </w:p>
        </w:tc>
        <w:tc>
          <w:tcPr>
            <w:tcW w:w="6577"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1</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交互式液晶平板(86"）</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一、硬件及功能要求：</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5、配备无线遥控，具备电视遥控功能，可实现PPT翻页、一键开启白板软件；</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8、控制终端采用i5及以上处理器，内存≥4GB，硬盘≥256GB固态硬盘；</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二、白板软件功能要求：</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2、白板软件提供覆盖小学、初中的古诗词资源及涵盖小学、初中、高中试题； </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3、白板软件提供语文、英语、数学、化学、物理、地理、美术、音乐等学科工具；</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w:t>
            </w:r>
          </w:p>
          <w:p>
            <w:pPr>
              <w:keepNext w:val="0"/>
              <w:keepLines w:val="0"/>
              <w:widowControl/>
              <w:suppressLineNumbers w:val="0"/>
              <w:spacing w:before="0" w:beforeAutospacing="0" w:after="0" w:afterAutospacing="0"/>
              <w:ind w:left="0" w:right="0"/>
              <w:jc w:val="left"/>
              <w:rPr>
                <w:rFonts w:hint="default" w:ascii="宋体" w:hAnsi="宋体" w:cs="宋体"/>
                <w:color w:val="000000"/>
                <w:kern w:val="0"/>
                <w:sz w:val="24"/>
                <w:szCs w:val="24"/>
              </w:rPr>
            </w:pPr>
            <w:r>
              <w:rPr>
                <w:rFonts w:hint="eastAsia" w:ascii="宋体" w:hAnsi="宋体" w:cs="宋体"/>
                <w:color w:val="000000"/>
                <w:kern w:val="0"/>
                <w:sz w:val="24"/>
                <w:szCs w:val="24"/>
              </w:rPr>
              <w:t>▲6、为保证软件使用的兼容性，白板软件须为厂家自行研发。（提供白板软件的计算机软件著作权登记证书复印件）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2</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展台（壁挂式）</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1、采用壁挂式安装，展台须无锐角无利边处理；</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3、输出格式支持JPG、MP4；</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4、具备一键启动展台画面，画面具备放大、缩小、旋转、拍照截图等功能；</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5、展台软件支持画面实时批注功能，支持多图预览功能，支持拍照功能，支持故障自动检测功能。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3</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蓝牙音响</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4</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电子教鞭（智慧笔）</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1、采用笔型设计，具有上下翻页键和功能键；</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2、采用2.4G无线连接技术，无线接收器采用微型nano设计；</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5</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推拉式滑动无尘绿板</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6</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木质讲桌</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1、规格：800mm*500mm*1050mm；</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7</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交互式液晶平板(75"）</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一、硬件部分</w:t>
            </w:r>
            <w:r>
              <w:rPr>
                <w:rFonts w:hint="eastAsia" w:ascii="宋体" w:hAnsi="宋体" w:cs="宋体"/>
                <w:kern w:val="0"/>
                <w:sz w:val="24"/>
                <w:szCs w:val="24"/>
              </w:rPr>
              <w:br w:type="textWrapping"/>
            </w:r>
            <w:r>
              <w:rPr>
                <w:rFonts w:hint="eastAsia" w:ascii="宋体" w:hAnsi="宋体" w:cs="宋体"/>
                <w:kern w:val="0"/>
                <w:sz w:val="24"/>
                <w:szCs w:val="24"/>
              </w:rPr>
              <w:t>1、LED液晶屏体：A规屏，显示尺寸≥75英寸，显示比例16:9，分辨率：3840×2160；</w:t>
            </w:r>
            <w:r>
              <w:rPr>
                <w:rFonts w:hint="eastAsia" w:ascii="宋体" w:hAnsi="宋体" w:cs="宋体"/>
                <w:kern w:val="0"/>
                <w:sz w:val="24"/>
                <w:szCs w:val="24"/>
              </w:rPr>
              <w:br w:type="textWrapping"/>
            </w:r>
            <w:r>
              <w:rPr>
                <w:rFonts w:hint="eastAsia" w:ascii="宋体" w:hAnsi="宋体" w:cs="宋体"/>
                <w:kern w:val="0"/>
                <w:sz w:val="24"/>
                <w:szCs w:val="24"/>
              </w:rPr>
              <w:t xml:space="preserve">2、整机外壳采用金属材质，屏体表面采用防眩玻璃保护。表面的硬度不低于莫氏8级； </w:t>
            </w:r>
            <w:r>
              <w:rPr>
                <w:rFonts w:hint="eastAsia" w:ascii="宋体" w:hAnsi="宋体" w:cs="宋体"/>
                <w:kern w:val="0"/>
                <w:sz w:val="24"/>
                <w:szCs w:val="24"/>
              </w:rPr>
              <w:br w:type="textWrapping"/>
            </w:r>
            <w:r>
              <w:rPr>
                <w:rFonts w:hint="eastAsia" w:ascii="宋体" w:hAnsi="宋体" w:cs="宋体"/>
                <w:kern w:val="0"/>
                <w:sz w:val="24"/>
                <w:szCs w:val="24"/>
              </w:rPr>
              <w:t>3、屏体正面前置USB3.0接口和1个标准HDMI高清接口（非转接方式）；</w:t>
            </w:r>
            <w:r>
              <w:rPr>
                <w:rFonts w:hint="eastAsia" w:ascii="宋体" w:hAnsi="宋体" w:cs="宋体"/>
                <w:kern w:val="0"/>
                <w:sz w:val="24"/>
                <w:szCs w:val="24"/>
              </w:rPr>
              <w:br w:type="textWrapping"/>
            </w:r>
            <w:r>
              <w:rPr>
                <w:rFonts w:hint="eastAsia" w:ascii="宋体" w:hAnsi="宋体" w:cs="宋体"/>
                <w:kern w:val="0"/>
                <w:sz w:val="24"/>
                <w:szCs w:val="24"/>
              </w:rPr>
              <w:t xml:space="preserve">4、屏体正面前置中文标识按键，包括音量加减、触控、安卓主页、电源、系统还原等功能； </w:t>
            </w:r>
            <w:r>
              <w:rPr>
                <w:rFonts w:hint="eastAsia" w:ascii="宋体" w:hAnsi="宋体" w:cs="宋体"/>
                <w:kern w:val="0"/>
                <w:sz w:val="24"/>
                <w:szCs w:val="24"/>
              </w:rPr>
              <w:br w:type="textWrapping"/>
            </w:r>
            <w:r>
              <w:rPr>
                <w:rFonts w:hint="eastAsia" w:ascii="宋体" w:hAnsi="宋体" w:cs="宋体"/>
                <w:kern w:val="0"/>
                <w:sz w:val="24"/>
                <w:szCs w:val="24"/>
              </w:rPr>
              <w:t>5、在色域覆盖率不低于NTSC 80%的标准显示模式下具有去蓝光的护眼功能；</w:t>
            </w:r>
            <w:r>
              <w:rPr>
                <w:rFonts w:hint="eastAsia" w:ascii="宋体" w:hAnsi="宋体" w:cs="宋体"/>
                <w:kern w:val="0"/>
                <w:sz w:val="24"/>
                <w:szCs w:val="24"/>
              </w:rPr>
              <w:br w:type="textWrapping"/>
            </w:r>
            <w:r>
              <w:rPr>
                <w:rFonts w:hint="eastAsia" w:ascii="宋体" w:hAnsi="宋体" w:cs="宋体"/>
                <w:kern w:val="0"/>
                <w:sz w:val="24"/>
                <w:szCs w:val="24"/>
              </w:rPr>
              <w:t>6、内置安卓系统，CPU≥四核，</w:t>
            </w:r>
            <w:bookmarkStart w:id="232" w:name="_GoBack"/>
            <w:bookmarkEnd w:id="232"/>
            <w:r>
              <w:rPr>
                <w:rFonts w:hint="eastAsia" w:ascii="宋体" w:hAnsi="宋体" w:cs="宋体"/>
                <w:kern w:val="0"/>
                <w:sz w:val="24"/>
                <w:szCs w:val="24"/>
              </w:rPr>
              <w:t xml:space="preserve">主板具备ROM≥8G, RAM≥1G。安卓下具备文件浏览功能和二维码分享等功能； </w:t>
            </w:r>
            <w:r>
              <w:rPr>
                <w:rFonts w:hint="eastAsia" w:ascii="宋体" w:hAnsi="宋体" w:cs="宋体"/>
                <w:kern w:val="0"/>
                <w:sz w:val="24"/>
                <w:szCs w:val="24"/>
              </w:rPr>
              <w:br w:type="textWrapping"/>
            </w:r>
            <w:r>
              <w:rPr>
                <w:rFonts w:hint="eastAsia" w:ascii="宋体" w:hAnsi="宋体" w:cs="宋体"/>
                <w:kern w:val="0"/>
                <w:sz w:val="24"/>
                <w:szCs w:val="24"/>
              </w:rPr>
              <w:t>7、采用红外感应技术，支持10点同时触控，10笔同时书写，触摸分辨率：≥32767*32767；触摸高度≤3mm；最小识别直径≤3mm；支持单点书写、多指息屏和唤醒屏幕、手势擦除功能。前置2.4G和5G双频wifi、蓝牙信号发射器和和支持放置书写笔；</w:t>
            </w:r>
            <w:r>
              <w:rPr>
                <w:rFonts w:hint="eastAsia" w:ascii="宋体" w:hAnsi="宋体" w:cs="宋体"/>
                <w:kern w:val="0"/>
                <w:sz w:val="24"/>
                <w:szCs w:val="24"/>
              </w:rPr>
              <w:br w:type="textWrapping"/>
            </w:r>
            <w:r>
              <w:rPr>
                <w:rFonts w:hint="eastAsia" w:ascii="宋体" w:hAnsi="宋体" w:cs="宋体"/>
                <w:kern w:val="0"/>
                <w:sz w:val="24"/>
                <w:szCs w:val="24"/>
              </w:rPr>
              <w:t xml:space="preserve">8、整机具备抗强光干扰性能，在300K LUX照度的光照下保证正常触控、书写； </w:t>
            </w:r>
            <w:r>
              <w:rPr>
                <w:rFonts w:hint="eastAsia" w:ascii="宋体" w:hAnsi="宋体" w:cs="宋体"/>
                <w:kern w:val="0"/>
                <w:sz w:val="24"/>
                <w:szCs w:val="24"/>
              </w:rPr>
              <w:br w:type="textWrapping"/>
            </w:r>
            <w:r>
              <w:rPr>
                <w:rFonts w:hint="eastAsia" w:ascii="宋体" w:hAnsi="宋体" w:cs="宋体"/>
                <w:kern w:val="0"/>
                <w:sz w:val="24"/>
                <w:szCs w:val="24"/>
              </w:rPr>
              <w:t>9、具有功能操作菜单栏，在双系统下，菜单栏均可通过多指调用到屏幕任意位置，在任何信号源下均可实现批注、打开展台等功能；菜单栏中的信号源通道支持一键信号切换。具有双侧中文标识虚拟快捷键，虚拟快捷键可双侧、单侧分别显示，可自定义显示时长；</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10、</w:t>
            </w:r>
            <w:r>
              <w:rPr>
                <w:rFonts w:hint="eastAsia" w:ascii="宋体" w:hAnsi="宋体" w:cs="宋体"/>
                <w:color w:val="000000"/>
                <w:kern w:val="0"/>
                <w:sz w:val="24"/>
                <w:szCs w:val="24"/>
              </w:rPr>
              <w:t>控制终端采用i5及以上处理器，内存≥4GB，硬盘≥256GB固态硬盘。</w:t>
            </w:r>
            <w:r>
              <w:rPr>
                <w:rFonts w:hint="eastAsia" w:ascii="宋体" w:hAnsi="宋体" w:cs="宋体"/>
                <w:kern w:val="0"/>
                <w:sz w:val="24"/>
                <w:szCs w:val="24"/>
              </w:rPr>
              <w:br w:type="textWrapping"/>
            </w:r>
            <w:r>
              <w:rPr>
                <w:rFonts w:hint="eastAsia" w:ascii="宋体" w:hAnsi="宋体" w:cs="宋体"/>
                <w:kern w:val="0"/>
                <w:sz w:val="24"/>
                <w:szCs w:val="24"/>
              </w:rPr>
              <w:t>二、教学软件</w:t>
            </w:r>
            <w:r>
              <w:rPr>
                <w:rFonts w:hint="eastAsia" w:ascii="宋体" w:hAnsi="宋体" w:cs="宋体"/>
                <w:kern w:val="0"/>
                <w:sz w:val="24"/>
                <w:szCs w:val="24"/>
              </w:rPr>
              <w:br w:type="textWrapping"/>
            </w:r>
            <w:r>
              <w:rPr>
                <w:rFonts w:hint="eastAsia" w:ascii="宋体" w:hAnsi="宋体" w:cs="宋体"/>
                <w:kern w:val="0"/>
                <w:sz w:val="24"/>
                <w:szCs w:val="24"/>
              </w:rPr>
              <w:t>1、具有教学云平台，注册即提供不少于50个GB云盘存储容量。</w:t>
            </w:r>
            <w:r>
              <w:rPr>
                <w:rFonts w:hint="eastAsia" w:ascii="宋体" w:hAnsi="宋体" w:cs="宋体"/>
                <w:kern w:val="0"/>
                <w:sz w:val="24"/>
                <w:szCs w:val="24"/>
              </w:rPr>
              <w:br w:type="textWrapping"/>
            </w:r>
            <w:r>
              <w:rPr>
                <w:rFonts w:hint="eastAsia" w:ascii="宋体" w:hAnsi="宋体" w:cs="宋体"/>
                <w:kern w:val="0"/>
                <w:sz w:val="24"/>
                <w:szCs w:val="24"/>
              </w:rPr>
              <w:t>2、提供多种登录方式，所有软件应用模块的入口均在统一界面上，包括白板软件、教学资源、多屏互动、展台软件、微课等内容。</w:t>
            </w:r>
            <w:r>
              <w:rPr>
                <w:rFonts w:hint="eastAsia" w:ascii="宋体" w:hAnsi="宋体" w:cs="宋体"/>
                <w:kern w:val="0"/>
                <w:sz w:val="24"/>
                <w:szCs w:val="24"/>
              </w:rPr>
              <w:br w:type="textWrapping"/>
            </w:r>
            <w:r>
              <w:rPr>
                <w:rFonts w:hint="eastAsia" w:ascii="宋体" w:hAnsi="宋体" w:cs="宋体"/>
                <w:kern w:val="0"/>
                <w:sz w:val="24"/>
                <w:szCs w:val="24"/>
              </w:rPr>
              <w:t>3、软件提供教案设计备课功能，支持老师按照情景导入、内容精讲、同步习题、随堂测试、分组竞赛、分组探究等教学环节创建教案。提供教案管理功能，支持教案与教师教学日历关联，教师可把制作的教案保存到与课表对应的时间。</w:t>
            </w:r>
            <w:r>
              <w:rPr>
                <w:rFonts w:hint="eastAsia" w:ascii="宋体" w:hAnsi="宋体" w:cs="宋体"/>
                <w:kern w:val="0"/>
                <w:sz w:val="24"/>
                <w:szCs w:val="24"/>
              </w:rPr>
              <w:br w:type="textWrapping"/>
            </w:r>
            <w:r>
              <w:rPr>
                <w:rFonts w:hint="eastAsia" w:ascii="宋体" w:hAnsi="宋体" w:cs="宋体"/>
                <w:kern w:val="0"/>
                <w:sz w:val="24"/>
                <w:szCs w:val="24"/>
              </w:rPr>
              <w:t>4、学科工具：提供学科工具，包含语文、数学、英语、音乐、体育、书法、美术等常用学科。</w:t>
            </w:r>
            <w:r>
              <w:rPr>
                <w:rFonts w:hint="eastAsia" w:ascii="宋体" w:hAnsi="宋体" w:cs="宋体"/>
                <w:kern w:val="0"/>
                <w:sz w:val="24"/>
                <w:szCs w:val="24"/>
              </w:rPr>
              <w:br w:type="textWrapping"/>
            </w:r>
            <w:r>
              <w:rPr>
                <w:rFonts w:hint="eastAsia" w:ascii="宋体" w:hAnsi="宋体" w:cs="宋体"/>
                <w:kern w:val="0"/>
                <w:sz w:val="24"/>
                <w:szCs w:val="24"/>
              </w:rPr>
              <w:t>5、提供智能笔、激光笔、粉笔、手势笔等书写工具。通过智能笔可识别平面图形；通过手势笔可实现书写、擦除、前后翻页，聚光灯，放大镜等功能。</w:t>
            </w:r>
            <w:r>
              <w:rPr>
                <w:rFonts w:hint="eastAsia" w:ascii="宋体" w:hAnsi="宋体" w:cs="宋体"/>
                <w:kern w:val="0"/>
                <w:sz w:val="24"/>
                <w:szCs w:val="24"/>
              </w:rPr>
              <w:br w:type="textWrapping"/>
            </w:r>
            <w:r>
              <w:rPr>
                <w:rFonts w:hint="eastAsia" w:ascii="宋体" w:hAnsi="宋体" w:cs="宋体"/>
                <w:kern w:val="0"/>
                <w:sz w:val="24"/>
                <w:szCs w:val="24"/>
              </w:rPr>
              <w:t>6、多屏互动功能：支持手机、pad移动端与交互平板连接后，可实现常用功能如影像上传、投屏、播放课件、直播。</w:t>
            </w:r>
            <w:r>
              <w:rPr>
                <w:rFonts w:hint="eastAsia" w:ascii="宋体" w:hAnsi="宋体" w:cs="宋体"/>
                <w:kern w:val="0"/>
                <w:sz w:val="24"/>
                <w:szCs w:val="24"/>
              </w:rPr>
              <w:br w:type="textWrapping"/>
            </w:r>
            <w:r>
              <w:rPr>
                <w:rFonts w:hint="eastAsia" w:ascii="宋体" w:hAnsi="宋体" w:cs="宋体"/>
                <w:kern w:val="0"/>
                <w:sz w:val="24"/>
                <w:szCs w:val="24"/>
              </w:rPr>
              <w:t>7、具有无线传屏功能，支持多个系统（如：Android、iOS、Windows、MacOS 等）的画面同时投屏在交互平板上，保证至少6个教学活动小组可以同时投屏演示。</w:t>
            </w:r>
            <w:r>
              <w:rPr>
                <w:rFonts w:hint="eastAsia" w:ascii="宋体" w:hAnsi="宋体" w:cs="宋体"/>
                <w:kern w:val="0"/>
                <w:sz w:val="24"/>
                <w:szCs w:val="24"/>
              </w:rPr>
              <w:br w:type="textWrapping"/>
            </w:r>
            <w:r>
              <w:rPr>
                <w:rFonts w:hint="eastAsia" w:ascii="宋体" w:hAnsi="宋体" w:cs="宋体"/>
                <w:kern w:val="0"/>
                <w:sz w:val="24"/>
                <w:szCs w:val="24"/>
              </w:rPr>
              <w:t>8、具有画板工具，可快速绘制平面图形、立体图形和函数图像。支持通过拖动或输入的方式改变对象的参数数值，相应的图像和函数随数值的变化而发生变化。可制作任意3D动态课件，例如：震荡，视图旋转，空间运动，投影等。</w:t>
            </w:r>
            <w:r>
              <w:rPr>
                <w:rFonts w:hint="eastAsia" w:ascii="宋体" w:hAnsi="宋体" w:cs="宋体"/>
                <w:kern w:val="0"/>
                <w:sz w:val="24"/>
                <w:szCs w:val="24"/>
              </w:rPr>
              <w:br w:type="textWrapping"/>
            </w:r>
            <w:r>
              <w:rPr>
                <w:rFonts w:hint="eastAsia" w:ascii="宋体" w:hAnsi="宋体" w:cs="宋体"/>
                <w:kern w:val="0"/>
                <w:sz w:val="24"/>
                <w:szCs w:val="24"/>
              </w:rPr>
              <w:t>9、PPT课件批注功能：PPT全屏播放时可自动开启工具菜单，提供PPT课件的播放控制(如前后翻页)、聚光灯、放大镜、草稿纸和书写批注等功能,支持生成二维码，快速分享课件。</w:t>
            </w:r>
            <w:r>
              <w:rPr>
                <w:rFonts w:hint="eastAsia" w:ascii="宋体" w:hAnsi="宋体" w:cs="宋体"/>
                <w:kern w:val="0"/>
                <w:sz w:val="24"/>
                <w:szCs w:val="24"/>
              </w:rPr>
              <w:br w:type="textWrapping"/>
            </w:r>
            <w:r>
              <w:rPr>
                <w:rFonts w:hint="eastAsia" w:ascii="宋体" w:hAnsi="宋体" w:cs="宋体"/>
                <w:kern w:val="0"/>
                <w:sz w:val="24"/>
                <w:szCs w:val="24"/>
              </w:rPr>
              <w:t>10、软件内置课件素材，允许老师在网页端、移动端、电脑端在线进行内容的选择与组合，快速生成课件并浏览。所有制作的课件均实时保存至云端。互动课件制作系统包括但不仅限于小学语文、数学、科学、中学语文、数学、物理、化学等学科全部章节课件，教师可根据知识点选择对应的教学内容，以及教学环节选择所需的教学模块即可快速生成一份动态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szCs w:val="24"/>
              </w:rPr>
            </w:pPr>
            <w:r>
              <w:rPr>
                <w:rFonts w:hint="eastAsia" w:ascii="宋体" w:hAnsi="宋体" w:cs="宋体"/>
                <w:color w:val="000000"/>
                <w:kern w:val="0"/>
                <w:sz w:val="24"/>
                <w:szCs w:val="24"/>
              </w:rPr>
              <w:t>8</w:t>
            </w:r>
          </w:p>
        </w:tc>
        <w:tc>
          <w:tcPr>
            <w:tcW w:w="156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多媒体系统安装及调试（液晶）</w:t>
            </w:r>
          </w:p>
        </w:tc>
        <w:tc>
          <w:tcPr>
            <w:tcW w:w="6577"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宋体" w:hAnsi="宋体" w:cs="宋体"/>
                <w:kern w:val="0"/>
                <w:sz w:val="24"/>
                <w:szCs w:val="24"/>
              </w:rPr>
              <w:t>2、安装墙面若为空心墙，灌浆加固处理；集成要求达到国家、省、市级及行业标准；线路铺设稳固、简洁、美观。</w:t>
            </w:r>
          </w:p>
        </w:tc>
      </w:tr>
    </w:tbl>
    <w:p>
      <w:pPr>
        <w:pStyle w:val="17"/>
      </w:pPr>
    </w:p>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4.3.3 核心产品</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包2：交互式液晶平板(86"）</w:t>
      </w:r>
      <w:r>
        <w:rPr>
          <w:rFonts w:hint="eastAsia" w:ascii="宋体" w:hAnsi="宋体" w:cs="宋体"/>
          <w:sz w:val="28"/>
          <w:szCs w:val="28"/>
          <w:lang w:val="en-US" w:eastAsia="zh-CN"/>
        </w:rPr>
        <w:t>。</w:t>
      </w:r>
    </w:p>
    <w:p>
      <w:pPr>
        <w:spacing w:line="560" w:lineRule="exact"/>
        <w:rPr>
          <w:rFonts w:hint="default" w:ascii="宋体" w:hAnsi="宋体"/>
          <w:b/>
          <w:bCs/>
          <w:spacing w:val="6"/>
          <w:sz w:val="28"/>
          <w:szCs w:val="28"/>
          <w:lang w:val="en-US" w:eastAsia="zh-CN"/>
        </w:rPr>
      </w:pPr>
      <w:r>
        <w:rPr>
          <w:rFonts w:hint="default" w:ascii="宋体" w:hAnsi="宋体"/>
          <w:b/>
          <w:bCs/>
          <w:spacing w:val="6"/>
          <w:sz w:val="28"/>
          <w:szCs w:val="28"/>
          <w:lang w:val="en-US" w:eastAsia="zh-CN"/>
        </w:rPr>
        <w:t>4.3.</w:t>
      </w:r>
      <w:r>
        <w:rPr>
          <w:rFonts w:hint="eastAsia" w:ascii="宋体" w:hAnsi="宋体"/>
          <w:b/>
          <w:bCs/>
          <w:spacing w:val="6"/>
          <w:sz w:val="28"/>
          <w:szCs w:val="28"/>
          <w:lang w:val="en-US" w:eastAsia="zh-CN"/>
        </w:rPr>
        <w:t>4</w:t>
      </w:r>
      <w:r>
        <w:rPr>
          <w:rFonts w:hint="default" w:ascii="宋体" w:hAnsi="宋体"/>
          <w:b/>
          <w:bCs/>
          <w:spacing w:val="6"/>
          <w:sz w:val="28"/>
          <w:szCs w:val="28"/>
          <w:lang w:val="en-US" w:eastAsia="zh-CN"/>
        </w:rPr>
        <w:t xml:space="preserve"> </w:t>
      </w:r>
      <w:r>
        <w:rPr>
          <w:rFonts w:hint="eastAsia" w:ascii="宋体" w:hAnsi="宋体"/>
          <w:b/>
          <w:bCs/>
          <w:spacing w:val="6"/>
          <w:sz w:val="28"/>
          <w:szCs w:val="28"/>
          <w:lang w:val="en-US" w:eastAsia="zh-CN"/>
        </w:rPr>
        <w:t>其他</w:t>
      </w:r>
    </w:p>
    <w:p>
      <w:pPr>
        <w:pStyle w:val="17"/>
        <w:rPr>
          <w:rFonts w:hint="default" w:ascii="宋体" w:hAnsi="宋体" w:cs="宋体"/>
          <w:sz w:val="28"/>
          <w:szCs w:val="28"/>
          <w:lang w:val="en-US" w:eastAsia="zh-CN"/>
        </w:rPr>
      </w:pPr>
      <w:r>
        <w:rPr>
          <w:rFonts w:hint="default" w:ascii="宋体" w:hAnsi="宋体" w:cs="宋体"/>
          <w:sz w:val="28"/>
          <w:szCs w:val="28"/>
          <w:highlight w:val="none"/>
          <w:lang w:val="en-US" w:eastAsia="zh-CN"/>
        </w:rPr>
        <w:t>★强制节能产品（投标人须提供国家确定的认证机构出具的、处于有</w:t>
      </w:r>
      <w:r>
        <w:rPr>
          <w:rFonts w:hint="default" w:ascii="宋体" w:hAnsi="宋体" w:cs="宋体"/>
          <w:sz w:val="28"/>
          <w:szCs w:val="28"/>
          <w:lang w:val="en-US" w:eastAsia="zh-CN"/>
        </w:rPr>
        <w:t>效期之内的节能产品认证证书复印件加盖供应商公章）：</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包2: 交互式液晶平板(86"）</w:t>
      </w:r>
      <w:r>
        <w:rPr>
          <w:rFonts w:hint="eastAsia" w:ascii="宋体" w:hAnsi="宋体" w:cs="宋体"/>
          <w:sz w:val="28"/>
          <w:szCs w:val="28"/>
          <w:lang w:val="en-US" w:eastAsia="zh-CN"/>
        </w:rPr>
        <w:t>。</w:t>
      </w:r>
    </w:p>
    <w:p>
      <w:pPr>
        <w:pStyle w:val="17"/>
        <w:rPr>
          <w:rFonts w:hint="default"/>
          <w:lang w:val="en-US" w:eastAsia="zh-CN"/>
        </w:rPr>
      </w:pPr>
      <w:r>
        <w:rPr>
          <w:rFonts w:hint="default" w:ascii="宋体" w:hAnsi="宋体" w:cs="宋体"/>
          <w:sz w:val="28"/>
          <w:szCs w:val="28"/>
          <w:lang w:val="en-US" w:eastAsia="zh-CN"/>
        </w:rPr>
        <w:t>★强制认证产品：投标人所投产品涉及国家强制认证的（CCC）或前置许可、认证的，在投标时提供符合国家强制认证或前置许可、认证的承诺函原件。</w:t>
      </w:r>
      <w:r>
        <w:rPr>
          <w:rFonts w:hint="default" w:ascii="宋体" w:hAnsi="宋体" w:cs="宋体"/>
          <w:b/>
          <w:bCs/>
          <w:sz w:val="28"/>
          <w:szCs w:val="28"/>
          <w:lang w:val="en-US" w:eastAsia="zh-CN"/>
        </w:rPr>
        <w:t>（说明：投标人应按招标文件3.3.5承诺函的格式及要求提供承诺函。）</w:t>
      </w:r>
    </w:p>
    <w:bookmarkEnd w:id="155"/>
    <w:p>
      <w:pPr>
        <w:keepNext/>
        <w:keepLines/>
        <w:numPr>
          <w:ilvl w:val="1"/>
          <w:numId w:val="5"/>
        </w:numPr>
        <w:spacing w:line="360" w:lineRule="auto"/>
        <w:jc w:val="left"/>
        <w:outlineLvl w:val="1"/>
        <w:rPr>
          <w:rFonts w:ascii="宋体" w:hAnsi="宋体"/>
          <w:b/>
          <w:bCs/>
          <w:sz w:val="28"/>
          <w:szCs w:val="28"/>
          <w:highlight w:val="none"/>
        </w:rPr>
      </w:pPr>
      <w:bookmarkStart w:id="161" w:name="_Toc15962"/>
      <w:bookmarkStart w:id="162" w:name="_Toc68097752"/>
      <w:bookmarkStart w:id="163" w:name="_Toc14761"/>
      <w:r>
        <w:rPr>
          <w:rFonts w:hint="eastAsia" w:ascii="宋体" w:hAnsi="宋体"/>
          <w:b/>
          <w:bCs/>
          <w:sz w:val="28"/>
          <w:szCs w:val="28"/>
        </w:rPr>
        <w:t>商务要求</w:t>
      </w:r>
      <w:bookmarkEnd w:id="161"/>
      <w:bookmarkEnd w:id="162"/>
      <w:r>
        <w:rPr>
          <w:rFonts w:hint="eastAsia" w:ascii="宋体" w:hAnsi="宋体"/>
          <w:b/>
          <w:bCs/>
          <w:sz w:val="28"/>
          <w:szCs w:val="28"/>
          <w:lang w:eastAsia="zh-CN"/>
        </w:rPr>
        <w:t>（</w:t>
      </w:r>
      <w:r>
        <w:rPr>
          <w:rFonts w:hint="eastAsia" w:ascii="宋体" w:hAnsi="宋体"/>
          <w:b/>
          <w:bCs/>
          <w:sz w:val="28"/>
          <w:szCs w:val="28"/>
          <w:highlight w:val="none"/>
          <w:lang w:eastAsia="zh-CN"/>
        </w:rPr>
        <w:t>包</w:t>
      </w:r>
      <w:r>
        <w:rPr>
          <w:rFonts w:hint="eastAsia" w:ascii="宋体" w:hAnsi="宋体"/>
          <w:b/>
          <w:bCs/>
          <w:sz w:val="28"/>
          <w:szCs w:val="28"/>
          <w:highlight w:val="none"/>
          <w:lang w:val="en-US" w:eastAsia="zh-CN"/>
        </w:rPr>
        <w:t>1，包2</w:t>
      </w:r>
      <w:r>
        <w:rPr>
          <w:rFonts w:hint="eastAsia" w:ascii="宋体" w:hAnsi="宋体"/>
          <w:b/>
          <w:bCs/>
          <w:sz w:val="28"/>
          <w:szCs w:val="28"/>
          <w:highlight w:val="none"/>
          <w:lang w:eastAsia="zh-CN"/>
        </w:rPr>
        <w:t>）</w:t>
      </w:r>
      <w:bookmarkEnd w:id="163"/>
    </w:p>
    <w:bookmarkEnd w:id="156"/>
    <w:bookmarkEnd w:id="157"/>
    <w:p>
      <w:pPr>
        <w:pStyle w:val="4"/>
        <w:spacing w:beforeLines="0" w:afterLines="0"/>
        <w:rPr>
          <w:rFonts w:hint="eastAsia"/>
          <w:color w:val="auto"/>
          <w:sz w:val="28"/>
        </w:rPr>
      </w:pPr>
      <w:bookmarkStart w:id="164" w:name="_Toc68703953"/>
      <w:r>
        <w:rPr>
          <w:rFonts w:hint="eastAsia"/>
          <w:color w:val="auto"/>
          <w:sz w:val="28"/>
        </w:rPr>
        <w:t>完工时间及质保期限</w:t>
      </w:r>
      <w:bookmarkEnd w:id="164"/>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一、★投标人应在合同签订后30天内完成本项目的供货、安装、调试、培训，交付采购人使用。（说明：投标人应按招标文件3.3.5承诺函的格式及要求提供承诺函。）</w:t>
      </w:r>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二、★项目质保期：验收合格后3年。（说明：投标人应按招标文件</w:t>
      </w:r>
      <w:r>
        <w:rPr>
          <w:rFonts w:hint="default" w:ascii="Times New Roman" w:hAnsi="Times New Roman"/>
          <w:b/>
          <w:sz w:val="28"/>
          <w:lang w:val="zh-CN"/>
        </w:rPr>
        <w:t>3.3.5</w:t>
      </w:r>
      <w:r>
        <w:rPr>
          <w:rFonts w:hint="eastAsia" w:ascii="宋体" w:hAnsi="宋体"/>
          <w:b/>
          <w:sz w:val="28"/>
        </w:rPr>
        <w:t>承诺函的格式及要求提供承诺函。）</w:t>
      </w:r>
    </w:p>
    <w:p>
      <w:pPr>
        <w:pStyle w:val="4"/>
        <w:spacing w:beforeLines="0" w:afterLines="0"/>
        <w:rPr>
          <w:rFonts w:hint="eastAsia"/>
          <w:color w:val="auto"/>
          <w:sz w:val="28"/>
        </w:rPr>
      </w:pPr>
      <w:bookmarkStart w:id="165" w:name="_Toc68703954"/>
      <w:r>
        <w:rPr>
          <w:rFonts w:hint="eastAsia"/>
          <w:color w:val="auto"/>
          <w:sz w:val="28"/>
        </w:rPr>
        <w:t>★交货地点</w:t>
      </w:r>
      <w:bookmarkEnd w:id="165"/>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采购人指定地点。（说明：投标人应按招标文件3.3.5承诺函的格式及要求提供承诺函。）</w:t>
      </w:r>
    </w:p>
    <w:p>
      <w:pPr>
        <w:pStyle w:val="4"/>
        <w:spacing w:beforeLines="0" w:afterLines="0"/>
        <w:rPr>
          <w:rFonts w:hint="eastAsia"/>
          <w:color w:val="auto"/>
          <w:sz w:val="28"/>
        </w:rPr>
      </w:pPr>
      <w:bookmarkStart w:id="166" w:name="_Toc68703955"/>
      <w:r>
        <w:rPr>
          <w:rFonts w:hint="eastAsia"/>
          <w:color w:val="auto"/>
          <w:sz w:val="28"/>
        </w:rPr>
        <w:t>★安装调试要求</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本项目为“交钥匙”项目，投标人应按采购人要求完成本项目的供货，安装、调试、培训，经采购人验收合格后交付使用。</w:t>
      </w:r>
      <w:r>
        <w:rPr>
          <w:rFonts w:hint="eastAsia" w:ascii="宋体" w:hAnsi="宋体"/>
          <w:b/>
          <w:sz w:val="28"/>
        </w:rPr>
        <w:t>（说明：投标人应按招标文件3.3.5承诺函的格式及要求提供承诺函。）</w:t>
      </w:r>
    </w:p>
    <w:p>
      <w:pPr>
        <w:pStyle w:val="4"/>
        <w:spacing w:beforeLines="0" w:afterLines="0"/>
        <w:jc w:val="left"/>
        <w:rPr>
          <w:rFonts w:hint="eastAsia"/>
          <w:color w:val="auto"/>
          <w:sz w:val="28"/>
        </w:rPr>
      </w:pPr>
      <w:r>
        <w:rPr>
          <w:rFonts w:hint="eastAsia"/>
          <w:color w:val="auto"/>
          <w:sz w:val="28"/>
        </w:rPr>
        <w:t>★验收标准和方法</w:t>
      </w:r>
      <w:bookmarkEnd w:id="166"/>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1、采购人按照《财政部关于进一步加强政府采购需求和履约验收管理的指导意见》（财库〔2016〕205号）规定，并参照《四川省政府采购项目需求论证和履约验收管理办法》（川财采〔2015〕32号）的要求进行验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2、验收依据：</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（1）本项目招标文件；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（2）本项目中标人投标文件；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（3）本项目合同。</w:t>
      </w:r>
    </w:p>
    <w:p>
      <w:pPr>
        <w:pStyle w:val="17"/>
        <w:spacing w:beforeLines="0" w:afterLines="0"/>
        <w:rPr>
          <w:rFonts w:hint="default"/>
          <w:sz w:val="21"/>
        </w:rPr>
      </w:pPr>
      <w:r>
        <w:rPr>
          <w:rFonts w:hint="eastAsia" w:ascii="宋体" w:hAnsi="宋体"/>
          <w:b/>
          <w:sz w:val="28"/>
        </w:rPr>
        <w:t>（说明：投标人应按招标文件3.3.5承诺函的格式及要求提供承诺函。）</w:t>
      </w:r>
    </w:p>
    <w:p>
      <w:pPr>
        <w:pStyle w:val="4"/>
        <w:spacing w:beforeLines="0" w:afterLines="0"/>
        <w:rPr>
          <w:rFonts w:hint="eastAsia"/>
          <w:color w:val="auto"/>
          <w:sz w:val="28"/>
        </w:rPr>
      </w:pPr>
      <w:bookmarkStart w:id="167" w:name="_Toc68703956"/>
      <w:r>
        <w:rPr>
          <w:rFonts w:hint="eastAsia"/>
          <w:color w:val="auto"/>
          <w:sz w:val="28"/>
        </w:rPr>
        <w:t>★付款方式</w:t>
      </w:r>
      <w:bookmarkEnd w:id="167"/>
    </w:p>
    <w:p>
      <w:pPr>
        <w:adjustRightInd w:val="0"/>
        <w:snapToGrid w:val="0"/>
        <w:spacing w:beforeLines="0" w:afterLines="0" w:line="360" w:lineRule="auto"/>
        <w:ind w:firstLine="562" w:firstLineChars="200"/>
        <w:rPr>
          <w:rFonts w:hint="eastAsia" w:ascii="宋体" w:hAnsi="宋体"/>
          <w:b/>
          <w:sz w:val="28"/>
        </w:rPr>
      </w:pPr>
      <w:r>
        <w:rPr>
          <w:rFonts w:hint="eastAsia" w:ascii="宋体" w:hAnsi="宋体"/>
          <w:b/>
          <w:sz w:val="28"/>
        </w:rPr>
        <w:t>1、在中标通知书发出后5个工作日内签订合同、备案后，乙方向甲方提交相关票据凭证资料，甲方按照财政性资金支付有关规定向乙方支付合同总金额30%的合同款；</w:t>
      </w:r>
    </w:p>
    <w:p>
      <w:pPr>
        <w:adjustRightInd w:val="0"/>
        <w:snapToGrid w:val="0"/>
        <w:spacing w:beforeLines="0" w:afterLines="0" w:line="360" w:lineRule="auto"/>
        <w:ind w:firstLine="562" w:firstLineChars="200"/>
        <w:rPr>
          <w:rFonts w:hint="eastAsia" w:ascii="宋体" w:hAnsi="宋体"/>
          <w:b/>
          <w:sz w:val="28"/>
          <w:highlight w:val="yellow"/>
        </w:rPr>
      </w:pPr>
      <w:r>
        <w:rPr>
          <w:rFonts w:hint="eastAsia" w:ascii="宋体" w:hAnsi="宋体"/>
          <w:b/>
          <w:sz w:val="28"/>
        </w:rPr>
        <w:t>2、项目实施完成经验收合格，乙方向甲方提交相关票据凭证资料后30日内，甲方按照财政性资金支付有关规定向乙方支付合同总金额70%的合同款。</w:t>
      </w:r>
    </w:p>
    <w:p>
      <w:pPr>
        <w:adjustRightInd w:val="0"/>
        <w:snapToGrid w:val="0"/>
        <w:spacing w:beforeLines="0" w:afterLines="0" w:line="360" w:lineRule="auto"/>
        <w:rPr>
          <w:rFonts w:hint="eastAsia" w:ascii="宋体" w:hAnsi="宋体"/>
          <w:b/>
          <w:sz w:val="28"/>
        </w:rPr>
      </w:pPr>
      <w:r>
        <w:rPr>
          <w:rFonts w:hint="eastAsia" w:ascii="宋体" w:hAnsi="宋体"/>
          <w:b/>
          <w:sz w:val="28"/>
        </w:rPr>
        <w:t>（说明：投标人应按招标文件</w:t>
      </w:r>
      <w:r>
        <w:rPr>
          <w:rFonts w:hint="default" w:ascii="Times New Roman" w:hAnsi="Times New Roman"/>
          <w:b/>
          <w:sz w:val="28"/>
          <w:lang w:val="zh-CN"/>
        </w:rPr>
        <w:t>3.3.5</w:t>
      </w:r>
      <w:r>
        <w:rPr>
          <w:rFonts w:hint="eastAsia" w:ascii="宋体" w:hAnsi="宋体"/>
          <w:b/>
          <w:sz w:val="28"/>
        </w:rPr>
        <w:t>承诺函的格式及要求提供承诺函。）</w:t>
      </w:r>
    </w:p>
    <w:p>
      <w:pPr>
        <w:pStyle w:val="4"/>
        <w:spacing w:beforeLines="0" w:afterLines="0"/>
        <w:rPr>
          <w:rFonts w:hint="eastAsia"/>
          <w:color w:val="auto"/>
          <w:sz w:val="28"/>
        </w:rPr>
      </w:pPr>
      <w:bookmarkStart w:id="168" w:name="_Toc68703957"/>
      <w:r>
        <w:rPr>
          <w:rFonts w:hint="eastAsia"/>
          <w:sz w:val="28"/>
        </w:rPr>
        <w:t>★</w:t>
      </w:r>
      <w:r>
        <w:rPr>
          <w:rFonts w:hint="eastAsia"/>
          <w:color w:val="auto"/>
          <w:sz w:val="28"/>
        </w:rPr>
        <w:t>售后服务要求</w:t>
      </w:r>
    </w:p>
    <w:p>
      <w:pPr>
        <w:adjustRightInd w:val="0"/>
        <w:snapToGrid w:val="0"/>
        <w:spacing w:beforeLines="0" w:afterLines="0" w:line="360" w:lineRule="auto"/>
        <w:ind w:firstLine="560" w:firstLineChars="200"/>
        <w:rPr>
          <w:rFonts w:hint="default"/>
          <w:sz w:val="21"/>
        </w:rPr>
      </w:pPr>
      <w:r>
        <w:rPr>
          <w:rFonts w:hint="eastAsia" w:ascii="宋体" w:hAnsi="宋体"/>
          <w:sz w:val="28"/>
        </w:rPr>
        <w:t>★1、项目质保期内投标人提供7×24小时热线服务和现场支持服务，设备出现故障后能半小时内做出响应，2小时内上门维修，24小时内解决问题；若24小时内无法解决的，应当提供解决方案。</w:t>
      </w:r>
      <w:r>
        <w:rPr>
          <w:rFonts w:hint="eastAsia" w:ascii="宋体" w:hAnsi="宋体"/>
          <w:b/>
          <w:sz w:val="28"/>
        </w:rPr>
        <w:t>（说明：投标人应按招标文件3.3.5承诺函的格式及要求提供承诺函。）</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w:t>
      </w:r>
      <w:r>
        <w:rPr>
          <w:rFonts w:hint="eastAsia" w:ascii="宋体" w:hAnsi="宋体"/>
          <w:b/>
          <w:sz w:val="28"/>
        </w:rPr>
        <w:t>投标人提供对项目的售后服务承诺书</w:t>
      </w:r>
      <w:r>
        <w:rPr>
          <w:rFonts w:hint="eastAsia" w:ascii="宋体" w:hAnsi="宋体"/>
          <w:sz w:val="28"/>
        </w:rPr>
        <w:t>（包括保修时间、保修内容与范围等）。</w:t>
      </w:r>
      <w:r>
        <w:rPr>
          <w:rFonts w:hint="eastAsia" w:ascii="宋体" w:hAnsi="宋体"/>
          <w:b/>
          <w:sz w:val="28"/>
        </w:rPr>
        <w:t>（说明：售后服务承诺书格式自拟）</w:t>
      </w:r>
    </w:p>
    <w:p>
      <w:pPr>
        <w:pStyle w:val="4"/>
        <w:spacing w:beforeLines="0" w:afterLines="0"/>
        <w:rPr>
          <w:rFonts w:hint="eastAsia"/>
          <w:color w:val="auto"/>
          <w:sz w:val="28"/>
        </w:rPr>
      </w:pPr>
      <w:r>
        <w:rPr>
          <w:rFonts w:hint="eastAsia"/>
          <w:color w:val="auto"/>
          <w:sz w:val="28"/>
        </w:rPr>
        <w:t>★违约责任</w:t>
      </w:r>
      <w:bookmarkEnd w:id="168"/>
    </w:p>
    <w:p>
      <w:pPr>
        <w:adjustRightInd w:val="0"/>
        <w:snapToGrid w:val="0"/>
        <w:spacing w:beforeLines="0" w:afterLines="0" w:line="360" w:lineRule="auto"/>
        <w:rPr>
          <w:rFonts w:hint="eastAsia" w:ascii="宋体" w:hAnsi="宋体"/>
          <w:b/>
          <w:sz w:val="28"/>
        </w:rPr>
      </w:pPr>
      <w:r>
        <w:rPr>
          <w:rFonts w:hint="eastAsia" w:ascii="宋体" w:hAnsi="宋体"/>
          <w:b/>
          <w:sz w:val="28"/>
        </w:rPr>
        <w:t>1、甲方违约责任</w:t>
      </w:r>
    </w:p>
    <w:p>
      <w:pPr>
        <w:adjustRightInd w:val="0"/>
        <w:snapToGrid w:val="0"/>
        <w:spacing w:beforeLines="0" w:afterLines="0" w:line="360" w:lineRule="auto"/>
        <w:rPr>
          <w:rFonts w:hint="eastAsia" w:ascii="宋体" w:hAnsi="宋体"/>
          <w:b/>
          <w:sz w:val="28"/>
        </w:rPr>
      </w:pPr>
      <w:r>
        <w:rPr>
          <w:rFonts w:hint="eastAsia" w:ascii="宋体" w:hAnsi="宋体"/>
          <w:b/>
          <w:sz w:val="28"/>
        </w:rPr>
        <w:t>（1）甲方无正当理由拒收货物的，甲方应偿付本合同总价百分之五的违约金；</w:t>
      </w:r>
    </w:p>
    <w:p>
      <w:pPr>
        <w:adjustRightInd w:val="0"/>
        <w:snapToGrid w:val="0"/>
        <w:spacing w:beforeLines="0" w:afterLines="0" w:line="360" w:lineRule="auto"/>
        <w:rPr>
          <w:rFonts w:hint="eastAsia" w:ascii="宋体" w:hAnsi="宋体"/>
          <w:b/>
          <w:sz w:val="28"/>
        </w:rPr>
      </w:pPr>
      <w:r>
        <w:rPr>
          <w:rFonts w:hint="eastAsia" w:ascii="宋体" w:hAnsi="宋体"/>
          <w:b/>
          <w:sz w:val="28"/>
        </w:rPr>
        <w:t>（2）甲方偿付的违约金不足以弥补乙方损失的，还应按乙方损失尚未弥补的部分，支付赔偿金给乙方。</w:t>
      </w:r>
    </w:p>
    <w:p>
      <w:pPr>
        <w:adjustRightInd w:val="0"/>
        <w:snapToGrid w:val="0"/>
        <w:spacing w:beforeLines="0" w:afterLines="0" w:line="360" w:lineRule="auto"/>
        <w:rPr>
          <w:rFonts w:hint="eastAsia" w:ascii="宋体" w:hAnsi="宋体"/>
          <w:b/>
          <w:sz w:val="28"/>
        </w:rPr>
      </w:pPr>
      <w:r>
        <w:rPr>
          <w:rFonts w:hint="eastAsia" w:ascii="宋体" w:hAnsi="宋体"/>
          <w:b/>
          <w:sz w:val="28"/>
        </w:rPr>
        <w:t>2、乙方违约责任</w:t>
      </w:r>
    </w:p>
    <w:p>
      <w:pPr>
        <w:adjustRightInd w:val="0"/>
        <w:snapToGrid w:val="0"/>
        <w:spacing w:beforeLines="0" w:afterLines="0" w:line="360" w:lineRule="auto"/>
        <w:rPr>
          <w:rFonts w:hint="eastAsia" w:ascii="宋体" w:hAnsi="宋体"/>
          <w:b/>
          <w:sz w:val="28"/>
        </w:rPr>
      </w:pPr>
      <w:r>
        <w:rPr>
          <w:rFonts w:hint="eastAsia" w:ascii="宋体" w:hAnsi="宋体"/>
          <w:b/>
          <w:sz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pPr>
        <w:adjustRightInd w:val="0"/>
        <w:snapToGrid w:val="0"/>
        <w:spacing w:beforeLines="0" w:afterLines="0" w:line="360" w:lineRule="auto"/>
        <w:rPr>
          <w:rFonts w:hint="eastAsia" w:ascii="宋体" w:hAnsi="宋体"/>
          <w:b/>
          <w:sz w:val="28"/>
        </w:rPr>
      </w:pPr>
      <w:r>
        <w:rPr>
          <w:rFonts w:hint="eastAsia" w:ascii="宋体" w:hAnsi="宋体"/>
          <w:b/>
          <w:sz w:val="28"/>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pPr>
        <w:adjustRightInd w:val="0"/>
        <w:snapToGrid w:val="0"/>
        <w:spacing w:beforeLines="0" w:afterLines="0" w:line="360" w:lineRule="auto"/>
        <w:rPr>
          <w:rFonts w:hint="eastAsia" w:ascii="宋体" w:hAnsi="宋体"/>
          <w:b/>
          <w:sz w:val="28"/>
        </w:rPr>
      </w:pPr>
      <w:r>
        <w:rPr>
          <w:rFonts w:hint="eastAsia" w:ascii="宋体" w:hAnsi="宋体"/>
          <w:b/>
          <w:sz w:val="28"/>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pPr>
        <w:adjustRightInd w:val="0"/>
        <w:snapToGrid w:val="0"/>
        <w:spacing w:beforeLines="0" w:afterLines="0" w:line="360" w:lineRule="auto"/>
        <w:rPr>
          <w:rFonts w:hint="eastAsia" w:ascii="宋体" w:hAnsi="宋体"/>
          <w:b/>
          <w:sz w:val="28"/>
        </w:rPr>
      </w:pPr>
      <w:r>
        <w:rPr>
          <w:rFonts w:hint="eastAsia" w:ascii="宋体" w:hAnsi="宋体"/>
          <w:b/>
          <w:sz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adjustRightInd w:val="0"/>
        <w:snapToGrid w:val="0"/>
        <w:spacing w:beforeLines="0" w:afterLines="0" w:line="360" w:lineRule="auto"/>
        <w:rPr>
          <w:rFonts w:hint="eastAsia" w:ascii="宋体" w:hAnsi="宋体"/>
          <w:b/>
          <w:sz w:val="28"/>
        </w:rPr>
      </w:pPr>
      <w:r>
        <w:rPr>
          <w:rFonts w:hint="eastAsia" w:ascii="宋体" w:hAnsi="宋体"/>
          <w:b/>
          <w:sz w:val="28"/>
        </w:rPr>
        <w:t>（5）乙方偿付的违约金不足以弥补甲方损失的，还应按甲方损失尚未弥补的部分，支付赔偿金给甲方。</w:t>
      </w:r>
    </w:p>
    <w:p>
      <w:pPr>
        <w:pStyle w:val="4"/>
        <w:spacing w:beforeLines="0" w:afterLines="0"/>
        <w:rPr>
          <w:rFonts w:hint="eastAsia"/>
          <w:color w:val="auto"/>
          <w:sz w:val="28"/>
        </w:rPr>
      </w:pPr>
      <w:bookmarkStart w:id="169" w:name="_Toc68703959"/>
      <w:r>
        <w:rPr>
          <w:rFonts w:hint="eastAsia"/>
          <w:color w:val="auto"/>
          <w:sz w:val="28"/>
        </w:rPr>
        <w:t>最高限价</w:t>
      </w:r>
      <w:bookmarkEnd w:id="169"/>
    </w:p>
    <w:p>
      <w:pPr>
        <w:spacing w:beforeLines="0" w:afterLines="0"/>
        <w:ind w:firstLine="551" w:firstLineChars="196"/>
        <w:rPr>
          <w:rFonts w:hint="eastAsia" w:ascii="宋体" w:hAnsi="宋体"/>
          <w:b/>
          <w:sz w:val="28"/>
          <w:lang w:val="zh-CN"/>
        </w:rPr>
      </w:pPr>
      <w:r>
        <w:rPr>
          <w:rFonts w:hint="eastAsia" w:ascii="宋体" w:hAnsi="宋体"/>
          <w:b/>
          <w:sz w:val="28"/>
          <w:lang w:val="zh-CN"/>
        </w:rPr>
        <w:t>★本项目最高限价为包1：254.706万元，包2：430.462万元，投标人投标报价高于最高限价的其投标文件将按无效投标文件处理。</w:t>
      </w:r>
    </w:p>
    <w:p>
      <w:pPr>
        <w:pStyle w:val="3"/>
        <w:spacing w:beforeLines="0" w:afterLines="0"/>
        <w:rPr>
          <w:rFonts w:hint="eastAsia"/>
          <w:sz w:val="28"/>
        </w:rPr>
      </w:pPr>
      <w:bookmarkStart w:id="170" w:name="_Toc14055"/>
      <w:bookmarkStart w:id="171" w:name="_Toc68703960"/>
      <w:bookmarkStart w:id="172" w:name="_Toc61438441"/>
      <w:r>
        <w:rPr>
          <w:rFonts w:hint="eastAsia"/>
          <w:sz w:val="28"/>
        </w:rPr>
        <w:t>其他要求</w:t>
      </w:r>
      <w:bookmarkEnd w:id="170"/>
      <w:bookmarkEnd w:id="171"/>
      <w:bookmarkEnd w:id="172"/>
      <w:r>
        <w:rPr>
          <w:rFonts w:hint="eastAsia"/>
          <w:sz w:val="28"/>
        </w:rPr>
        <w:t>（包1，包2）</w:t>
      </w:r>
    </w:p>
    <w:p>
      <w:pPr>
        <w:pStyle w:val="119"/>
        <w:numPr>
          <w:ilvl w:val="0"/>
          <w:numId w:val="38"/>
        </w:numPr>
        <w:tabs>
          <w:tab w:val="left" w:pos="1134"/>
        </w:tabs>
        <w:spacing w:before="156" w:beforeLines="0" w:afterLines="0" w:line="360" w:lineRule="auto"/>
        <w:ind w:left="0" w:right="210" w:firstLine="562"/>
        <w:jc w:val="both"/>
        <w:rPr>
          <w:rFonts w:hint="eastAsia"/>
          <w:sz w:val="28"/>
          <w:lang w:val="zh-CN"/>
        </w:rPr>
      </w:pPr>
      <w:r>
        <w:rPr>
          <w:rFonts w:hint="eastAsia"/>
          <w:b/>
          <w:sz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19"/>
        <w:numPr>
          <w:ilvl w:val="0"/>
          <w:numId w:val="38"/>
        </w:numPr>
        <w:tabs>
          <w:tab w:val="left" w:pos="1134"/>
        </w:tabs>
        <w:spacing w:before="156" w:beforeLines="0" w:afterLines="0" w:line="360" w:lineRule="auto"/>
        <w:ind w:left="0" w:right="210" w:firstLine="562"/>
        <w:jc w:val="both"/>
        <w:rPr>
          <w:rFonts w:hint="eastAsia"/>
          <w:b/>
          <w:sz w:val="28"/>
          <w:lang w:val="zh-CN"/>
        </w:rPr>
      </w:pPr>
      <w:r>
        <w:rPr>
          <w:rFonts w:hint="eastAsia"/>
          <w:b/>
          <w:sz w:val="28"/>
          <w:lang w:val="zh-CN"/>
        </w:rPr>
        <w:t>★投标人为本项目提供的所有产品、辅材中属于《国家强制性产品认证目录》范围内产品的，均通过国家强制性产品认证并取得认证证书。（说明：投标人应按招标文件</w:t>
      </w:r>
      <w:r>
        <w:rPr>
          <w:rFonts w:hint="default" w:ascii="Times New Roman" w:hAnsi="Times New Roman"/>
          <w:b/>
          <w:sz w:val="28"/>
          <w:lang w:val="zh-CN"/>
        </w:rPr>
        <w:t>3.3.5</w:t>
      </w:r>
      <w:r>
        <w:rPr>
          <w:rFonts w:hint="eastAsia"/>
          <w:b/>
          <w:sz w:val="28"/>
          <w:lang w:val="zh-CN"/>
        </w:rPr>
        <w:t>承诺函的格式及要求提供承诺函。）</w:t>
      </w:r>
    </w:p>
    <w:p>
      <w:pPr>
        <w:pStyle w:val="119"/>
        <w:numPr>
          <w:ilvl w:val="0"/>
          <w:numId w:val="38"/>
        </w:numPr>
        <w:tabs>
          <w:tab w:val="left" w:pos="1134"/>
        </w:tabs>
        <w:spacing w:before="156" w:beforeLines="0" w:afterLines="0" w:line="360" w:lineRule="auto"/>
        <w:ind w:left="0" w:right="210" w:firstLine="562"/>
        <w:jc w:val="both"/>
        <w:rPr>
          <w:rFonts w:hint="eastAsia"/>
          <w:b/>
          <w:sz w:val="28"/>
          <w:lang w:val="zh-CN"/>
        </w:rPr>
      </w:pPr>
      <w:r>
        <w:rPr>
          <w:rFonts w:hint="eastAsia"/>
          <w:b/>
          <w:sz w:val="28"/>
          <w:lang w:val="zh-CN"/>
        </w:rPr>
        <w:t>★投标人为本项目提供的所有产品、辅材符合现行的强制性国家相关标准、行业标准。（说明：投标人应按招标文件</w:t>
      </w:r>
      <w:r>
        <w:rPr>
          <w:rFonts w:hint="default" w:ascii="Times New Roman" w:hAnsi="Times New Roman"/>
          <w:b/>
          <w:sz w:val="28"/>
          <w:lang w:val="zh-CN"/>
        </w:rPr>
        <w:t>3.3.5</w:t>
      </w:r>
      <w:r>
        <w:rPr>
          <w:rFonts w:hint="eastAsia"/>
          <w:b/>
          <w:sz w:val="28"/>
          <w:lang w:val="zh-CN"/>
        </w:rPr>
        <w:t>承诺函的格式及要求提供承诺函。）</w:t>
      </w:r>
    </w:p>
    <w:p>
      <w:pPr>
        <w:pStyle w:val="119"/>
        <w:numPr>
          <w:ilvl w:val="0"/>
          <w:numId w:val="38"/>
        </w:numPr>
        <w:tabs>
          <w:tab w:val="left" w:pos="1134"/>
        </w:tabs>
        <w:spacing w:before="156" w:beforeLines="0" w:afterLines="0" w:line="360" w:lineRule="auto"/>
        <w:ind w:left="0" w:right="210" w:firstLine="562"/>
        <w:jc w:val="both"/>
        <w:rPr>
          <w:rFonts w:hint="eastAsia"/>
          <w:b/>
          <w:sz w:val="28"/>
          <w:highlight w:val="yellow"/>
          <w:lang w:val="zh-CN"/>
        </w:rPr>
      </w:pPr>
      <w:r>
        <w:rPr>
          <w:rFonts w:hint="eastAsia"/>
          <w:b/>
          <w:sz w:val="28"/>
          <w:lang w:val="zh-CN"/>
        </w:rPr>
        <w:t>★投标人为本项目提供的所有产品中属于节能产品政府采购品目清单中的政府强制采购产品的，均应具有国家确定的认证机构出具的有效期内的节能产品认证证书。（说明：投标人应按招标文件</w:t>
      </w:r>
      <w:r>
        <w:rPr>
          <w:rFonts w:hint="default" w:ascii="Times New Roman" w:hAnsi="Times New Roman"/>
          <w:b/>
          <w:sz w:val="28"/>
          <w:lang w:val="zh-CN"/>
        </w:rPr>
        <w:t>3.3.5</w:t>
      </w:r>
      <w:r>
        <w:rPr>
          <w:rFonts w:hint="eastAsia"/>
          <w:b/>
          <w:sz w:val="28"/>
          <w:lang w:val="zh-CN"/>
        </w:rPr>
        <w:t>承诺函的格式及要求提供承诺函。）</w:t>
      </w:r>
    </w:p>
    <w:p>
      <w:pPr>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29465"/>
      <w:r>
        <w:rPr>
          <w:rFonts w:hint="eastAsia" w:ascii="宋体" w:hAnsi="宋体"/>
          <w:b/>
          <w:bCs/>
          <w:spacing w:val="-20"/>
          <w:kern w:val="44"/>
          <w:sz w:val="32"/>
          <w:szCs w:val="32"/>
        </w:rPr>
        <w:t>资格性审查</w:t>
      </w:r>
      <w:bookmarkEnd w:id="17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r>
        <w:rPr>
          <w:rFonts w:hint="eastAsia" w:ascii="宋体" w:hAnsi="宋体"/>
          <w:sz w:val="28"/>
          <w:szCs w:val="28"/>
          <w:lang w:eastAsia="zh-CN"/>
        </w:rPr>
        <w:t>（</w:t>
      </w:r>
      <w:r>
        <w:rPr>
          <w:rFonts w:hint="eastAsia" w:ascii="宋体" w:hAnsi="宋体"/>
          <w:sz w:val="28"/>
          <w:szCs w:val="28"/>
          <w:highlight w:val="none"/>
          <w:lang w:eastAsia="zh-CN"/>
        </w:rPr>
        <w:t>包</w:t>
      </w:r>
      <w:r>
        <w:rPr>
          <w:rFonts w:hint="eastAsia" w:ascii="宋体" w:hAnsi="宋体"/>
          <w:sz w:val="28"/>
          <w:szCs w:val="28"/>
          <w:highlight w:val="none"/>
          <w:lang w:val="en-US" w:eastAsia="zh-CN"/>
        </w:rPr>
        <w:t>1，包2</w:t>
      </w:r>
      <w:r>
        <w:rPr>
          <w:rFonts w:hint="eastAsia" w:ascii="宋体" w:hAnsi="宋体"/>
          <w:sz w:val="28"/>
          <w:szCs w:val="28"/>
          <w:lang w:eastAsia="zh-CN"/>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default"/>
                <w:sz w:val="20"/>
              </w:rPr>
              <w:t>1</w:t>
            </w:r>
          </w:p>
        </w:tc>
        <w:tc>
          <w:tcPr>
            <w:tcW w:w="2108" w:type="dxa"/>
            <w:gridSpan w:val="2"/>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default"/>
                <w:sz w:val="20"/>
              </w:rPr>
              <w:t>2</w:t>
            </w:r>
          </w:p>
        </w:tc>
        <w:tc>
          <w:tcPr>
            <w:tcW w:w="427"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按招标文件</w:t>
            </w:r>
            <w:r>
              <w:rPr>
                <w:rFonts w:hint="default"/>
                <w:sz w:val="20"/>
              </w:rPr>
              <w:t>3</w:t>
            </w:r>
            <w:r>
              <w:rPr>
                <w:rFonts w:hint="eastAsia"/>
                <w:sz w:val="20"/>
              </w:rPr>
              <w:t>.2.2声明内容提供书面声明材料。】</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与投标人负责人为同一人或者存在直接控股、管理关系的相关供应商的书面声明材料。【说明：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w:t>
            </w:r>
            <w:r>
              <w:rPr>
                <w:rFonts w:hint="eastAsia" w:ascii="宋体" w:hAnsi="宋体"/>
                <w:sz w:val="20"/>
                <w:szCs w:val="28"/>
              </w:rPr>
              <w:t>；②参加投标的供应商中无与投标人的负责人为同一人或者存在直接控股、管理关系的供应商。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3</w:t>
            </w:r>
          </w:p>
        </w:tc>
        <w:tc>
          <w:tcPr>
            <w:tcW w:w="427"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具有履行合同</w:t>
            </w:r>
            <w:r>
              <w:rPr>
                <w:rFonts w:hint="eastAsia"/>
                <w:sz w:val="20"/>
                <w:lang w:eastAsia="zh-CN"/>
              </w:rPr>
              <w:t>所必需</w:t>
            </w:r>
            <w:r>
              <w:rPr>
                <w:rFonts w:hint="eastAsia"/>
                <w:sz w:val="20"/>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采购人对投标人履行合同</w:t>
            </w:r>
            <w:r>
              <w:rPr>
                <w:rFonts w:hint="eastAsia"/>
                <w:sz w:val="20"/>
                <w:lang w:eastAsia="zh-CN"/>
              </w:rPr>
              <w:t>所必需</w:t>
            </w:r>
            <w:r>
              <w:rPr>
                <w:rFonts w:hint="eastAsia"/>
                <w:sz w:val="20"/>
              </w:rPr>
              <w:t>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2</w:t>
            </w:r>
            <w:r>
              <w:rPr>
                <w:rFonts w:hint="eastAsia"/>
                <w:sz w:val="20"/>
              </w:rPr>
              <w:t>、资格审查小组未发现或者未知晓投标人存在属于国家相关法律法规规定的禁止参加投标或投标无效的供应商。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ascii="宋体" w:hAnsi="宋体"/>
                <w:sz w:val="20"/>
                <w:szCs w:val="28"/>
              </w:rPr>
              <w:t>符合资格预审文件“</w:t>
            </w:r>
            <w:r>
              <w:rPr>
                <w:rFonts w:hint="default" w:ascii="宋体" w:hAnsi="宋体"/>
                <w:sz w:val="20"/>
                <w:szCs w:val="28"/>
              </w:rPr>
              <w:t>2.4.</w:t>
            </w:r>
            <w:r>
              <w:rPr>
                <w:rFonts w:hint="eastAsia" w:ascii="宋体" w:hAnsi="宋体"/>
                <w:sz w:val="20"/>
                <w:szCs w:val="28"/>
              </w:rPr>
              <w:t>6投标</w:t>
            </w:r>
            <w:r>
              <w:rPr>
                <w:rFonts w:hint="default" w:ascii="宋体" w:hAnsi="宋体"/>
                <w:sz w:val="20"/>
                <w:szCs w:val="28"/>
              </w:rPr>
              <w:t>文件的组成”规定要求。</w:t>
            </w:r>
            <w:r>
              <w:rPr>
                <w:rFonts w:hint="eastAsia" w:ascii="宋体" w:hAnsi="宋体"/>
                <w:sz w:val="20"/>
                <w:szCs w:val="28"/>
              </w:rPr>
              <w:t>【说明：投标人按招标文件3.2.1关于投标人资格资格申明的</w:t>
            </w:r>
            <w:r>
              <w:rPr>
                <w:rFonts w:hint="eastAsia"/>
                <w:sz w:val="20"/>
              </w:rPr>
              <w:t>内容</w:t>
            </w:r>
            <w:r>
              <w:rPr>
                <w:rFonts w:hint="eastAsia" w:ascii="宋体" w:hAnsi="宋体"/>
                <w:sz w:val="20"/>
                <w:szCs w:val="28"/>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2019</w:t>
            </w:r>
            <w:r>
              <w:rPr>
                <w:rFonts w:hint="eastAsia"/>
                <w:sz w:val="20"/>
              </w:rPr>
              <w:t>或</w:t>
            </w:r>
            <w:r>
              <w:rPr>
                <w:rFonts w:hint="default"/>
                <w:sz w:val="20"/>
              </w:rPr>
              <w:t>2020</w:t>
            </w:r>
            <w:r>
              <w:rPr>
                <w:rFonts w:hint="eastAsia"/>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投标人缴纳</w:t>
            </w:r>
            <w:r>
              <w:rPr>
                <w:rFonts w:hint="default"/>
                <w:sz w:val="20"/>
              </w:rPr>
              <w:t>2020</w:t>
            </w:r>
            <w:r>
              <w:rPr>
                <w:rFonts w:hint="eastAsia"/>
                <w:sz w:val="20"/>
              </w:rPr>
              <w:t>或</w:t>
            </w:r>
            <w:r>
              <w:rPr>
                <w:rFonts w:hint="default"/>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投标人缴纳</w:t>
            </w:r>
            <w:r>
              <w:rPr>
                <w:rFonts w:hint="default"/>
                <w:sz w:val="20"/>
              </w:rPr>
              <w:t>2020</w:t>
            </w:r>
            <w:r>
              <w:rPr>
                <w:rFonts w:hint="eastAsia"/>
                <w:sz w:val="20"/>
              </w:rPr>
              <w:t>或</w:t>
            </w:r>
            <w:r>
              <w:rPr>
                <w:rFonts w:hint="default"/>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15154"/>
      <w:r>
        <w:rPr>
          <w:rFonts w:hint="eastAsia" w:ascii="宋体" w:hAnsi="宋体"/>
          <w:b/>
          <w:bCs/>
          <w:spacing w:val="-20"/>
          <w:kern w:val="44"/>
          <w:sz w:val="32"/>
          <w:szCs w:val="32"/>
        </w:rPr>
        <w:t>评标办法</w:t>
      </w:r>
      <w:bookmarkEnd w:id="174"/>
    </w:p>
    <w:p>
      <w:pPr>
        <w:keepNext/>
        <w:keepLines/>
        <w:numPr>
          <w:ilvl w:val="1"/>
          <w:numId w:val="5"/>
        </w:numPr>
        <w:spacing w:line="360" w:lineRule="auto"/>
        <w:jc w:val="left"/>
        <w:outlineLvl w:val="1"/>
        <w:rPr>
          <w:rFonts w:ascii="宋体" w:hAnsi="宋体"/>
          <w:b/>
          <w:bCs/>
          <w:sz w:val="28"/>
          <w:szCs w:val="28"/>
        </w:rPr>
      </w:pPr>
      <w:bookmarkStart w:id="175" w:name="_Toc25485"/>
      <w:r>
        <w:rPr>
          <w:rFonts w:hint="eastAsia" w:ascii="宋体" w:hAnsi="宋体"/>
          <w:b/>
          <w:bCs/>
          <w:sz w:val="28"/>
          <w:szCs w:val="28"/>
        </w:rPr>
        <w:t>总则</w:t>
      </w:r>
      <w:bookmarkEnd w:id="175"/>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0"/>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0"/>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0"/>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0"/>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6" w:name="_Toc17529"/>
      <w:r>
        <w:rPr>
          <w:rFonts w:hint="eastAsia" w:ascii="宋体" w:hAnsi="宋体"/>
          <w:b/>
          <w:bCs/>
          <w:sz w:val="28"/>
          <w:szCs w:val="28"/>
        </w:rPr>
        <w:t>评标方法</w:t>
      </w:r>
      <w:bookmarkEnd w:id="17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7" w:name="_Toc16364"/>
      <w:r>
        <w:rPr>
          <w:rFonts w:hint="eastAsia" w:ascii="宋体" w:hAnsi="宋体"/>
          <w:b/>
          <w:bCs/>
          <w:sz w:val="28"/>
          <w:szCs w:val="28"/>
        </w:rPr>
        <w:t>评标程序</w:t>
      </w:r>
      <w:bookmarkEnd w:id="17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符合性审查标准见下表（按以下顺序审查）：</w:t>
      </w:r>
      <w:r>
        <w:rPr>
          <w:rFonts w:hint="eastAsia" w:ascii="宋体" w:hAnsi="宋体"/>
          <w:sz w:val="28"/>
          <w:szCs w:val="28"/>
          <w:lang w:eastAsia="zh-CN"/>
        </w:rPr>
        <w:t>（包</w:t>
      </w:r>
      <w:r>
        <w:rPr>
          <w:rFonts w:hint="eastAsia" w:ascii="宋体" w:hAnsi="宋体"/>
          <w:sz w:val="28"/>
          <w:szCs w:val="28"/>
          <w:lang w:val="en-US" w:eastAsia="zh-CN"/>
        </w:rPr>
        <w:t>1、包2</w:t>
      </w:r>
      <w:r>
        <w:rPr>
          <w:rFonts w:hint="eastAsia" w:ascii="宋体" w:hAnsi="宋体"/>
          <w:sz w:val="28"/>
          <w:szCs w:val="28"/>
          <w:lang w:eastAsia="zh-CN"/>
        </w:rPr>
        <w:t>）</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firstLine="487" w:firstLineChars="202"/>
              <w:jc w:val="center"/>
              <w:rPr>
                <w:rFonts w:hint="default"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3</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投标文件签章</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4</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5</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（1）根据招标文件的要求不属于禁止参加投标或投标无效的供应商；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6</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7</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default"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hint="default"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hint="default" w:cs="仿宋_GB2312" w:asciiTheme="minorEastAsia" w:hAnsiTheme="minorEastAsia" w:eastAsiaTheme="minorEastAsia"/>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8</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hint="default"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9</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2"/>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8" w:name="_Toc11868"/>
      <w:r>
        <w:rPr>
          <w:rFonts w:hint="eastAsia" w:ascii="宋体" w:hAnsi="宋体"/>
          <w:b/>
          <w:bCs/>
          <w:sz w:val="28"/>
          <w:szCs w:val="28"/>
        </w:rPr>
        <w:t>评标争议处理规则</w:t>
      </w:r>
      <w:bookmarkEnd w:id="17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9" w:name="_Toc20067"/>
      <w:r>
        <w:rPr>
          <w:rFonts w:hint="eastAsia" w:ascii="宋体" w:hAnsi="宋体"/>
          <w:b/>
          <w:bCs/>
          <w:sz w:val="28"/>
          <w:szCs w:val="28"/>
        </w:rPr>
        <w:t>评标细则及标准</w:t>
      </w:r>
      <w:bookmarkEnd w:id="179"/>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5"/>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p>
      <w:pPr>
        <w:widowControl/>
        <w:spacing w:line="560" w:lineRule="exact"/>
        <w:jc w:val="center"/>
        <w:rPr>
          <w:rFonts w:hint="eastAsia" w:ascii="宋体" w:hAnsi="宋体"/>
          <w:b/>
          <w:bCs/>
          <w:sz w:val="28"/>
          <w:szCs w:val="28"/>
        </w:rPr>
      </w:pPr>
      <w:r>
        <w:rPr>
          <w:rFonts w:hint="eastAsia" w:ascii="宋体" w:hAnsi="宋体"/>
          <w:b/>
          <w:bCs/>
          <w:sz w:val="28"/>
          <w:szCs w:val="28"/>
        </w:rPr>
        <w:t>包1：2021年新（改扩）建校教学、会议多媒体系统（第1批）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89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评委类别</w:t>
            </w: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default"/>
                <w:sz w:val="20"/>
              </w:rPr>
              <w:t>1、对小型企业、微型企业、监狱企业、残疾人福利性单位制造的货物的价格（如涉及）给予10%的价格扣除，用扣除后的价格参与评审；[说明：</w:t>
            </w:r>
            <w:r>
              <w:rPr>
                <w:rFonts w:hint="eastAsia"/>
                <w:sz w:val="20"/>
              </w:rPr>
              <w:t>（1）投标人</w:t>
            </w:r>
            <w:r>
              <w:rPr>
                <w:rFonts w:hint="default"/>
                <w:sz w:val="20"/>
              </w:rPr>
              <w:t>投标产品为</w:t>
            </w:r>
            <w:r>
              <w:rPr>
                <w:rFonts w:hint="eastAsia"/>
                <w:sz w:val="20"/>
              </w:rPr>
              <w:t>中小</w:t>
            </w:r>
            <w:r>
              <w:rPr>
                <w:rFonts w:hint="default"/>
                <w:sz w:val="20"/>
              </w:rPr>
              <w:t>企业制造的货物</w:t>
            </w:r>
            <w:r>
              <w:rPr>
                <w:rFonts w:hint="eastAsia"/>
                <w:sz w:val="20"/>
              </w:rPr>
              <w:t>按招标文</w:t>
            </w:r>
            <w:r>
              <w:rPr>
                <w:rFonts w:hint="eastAsia"/>
                <w:sz w:val="20"/>
                <w:highlight w:val="none"/>
              </w:rPr>
              <w:t>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rFonts w:hint="default"/>
                <w:sz w:val="20"/>
                <w:highlight w:val="none"/>
              </w:rPr>
              <w:t>投标产品为</w:t>
            </w:r>
            <w:r>
              <w:rPr>
                <w:rFonts w:hint="eastAsia"/>
                <w:sz w:val="20"/>
                <w:highlight w:val="none"/>
              </w:rPr>
              <w:t>残疾人福利性单位</w:t>
            </w:r>
            <w:r>
              <w:rPr>
                <w:rFonts w:hint="default"/>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残疾人福利性单位声明函提供残疾人福利性单位声明函；投标</w:t>
            </w:r>
            <w:r>
              <w:rPr>
                <w:rFonts w:hint="default"/>
                <w:sz w:val="20"/>
              </w:rPr>
              <w:t xml:space="preserve">投标产品中为监狱企业制造的货物应提供由省级以上监狱管理局、戒毒管理局（含新疆生产建设兵团）出具的制造商属于监狱企业的证明文件复印件。] </w:t>
            </w:r>
          </w:p>
          <w:p>
            <w:pPr>
              <w:keepNext w:val="0"/>
              <w:keepLines w:val="0"/>
              <w:suppressLineNumbers w:val="0"/>
              <w:spacing w:before="0" w:beforeAutospacing="0" w:after="0" w:afterAutospacing="0"/>
              <w:ind w:left="0" w:right="0"/>
              <w:rPr>
                <w:rFonts w:hint="default"/>
                <w:sz w:val="20"/>
              </w:rPr>
            </w:pPr>
            <w:r>
              <w:rPr>
                <w:rFonts w:hint="default"/>
                <w:sz w:val="20"/>
              </w:rPr>
              <w:t>2、经评标委员会评审，通过资格性和符合性审查，且投标报价最低的投标人的投标报价作为评标基准价；</w:t>
            </w:r>
          </w:p>
          <w:p>
            <w:pPr>
              <w:keepNext w:val="0"/>
              <w:keepLines w:val="0"/>
              <w:suppressLineNumbers w:val="0"/>
              <w:spacing w:before="0" w:beforeAutospacing="0" w:after="0" w:afterAutospacing="0"/>
              <w:ind w:left="0" w:right="0"/>
              <w:rPr>
                <w:rFonts w:hint="default"/>
                <w:sz w:val="20"/>
              </w:rPr>
            </w:pPr>
            <w:r>
              <w:rPr>
                <w:rFonts w:hint="default"/>
                <w:sz w:val="20"/>
              </w:rPr>
              <w:t>3、投标报价得分=(评标基准价／投标报价)×3</w:t>
            </w:r>
            <w:r>
              <w:rPr>
                <w:rFonts w:hint="eastAsia"/>
                <w:sz w:val="20"/>
                <w:lang w:val="en-US" w:eastAsia="zh-CN"/>
              </w:rPr>
              <w:t>5</w:t>
            </w:r>
            <w:r>
              <w:rPr>
                <w:rFonts w:hint="default"/>
                <w:sz w:val="20"/>
              </w:rPr>
              <w:t>。</w:t>
            </w:r>
          </w:p>
          <w:p>
            <w:pPr>
              <w:keepNext w:val="0"/>
              <w:keepLines w:val="0"/>
              <w:suppressLineNumbers w:val="0"/>
              <w:spacing w:before="0" w:beforeAutospacing="0" w:after="0" w:afterAutospacing="0"/>
              <w:ind w:left="0" w:right="0"/>
              <w:rPr>
                <w:rFonts w:hint="default"/>
                <w:sz w:val="20"/>
              </w:rPr>
            </w:pPr>
            <w:r>
              <w:rPr>
                <w:rFonts w:hint="default"/>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default"/>
                <w:sz w:val="20"/>
              </w:rPr>
              <w:t>3</w:t>
            </w:r>
            <w:r>
              <w:rPr>
                <w:rFonts w:hint="eastAsia"/>
                <w:sz w:val="20"/>
                <w:lang w:val="en-US" w:eastAsia="zh-CN"/>
              </w:rPr>
              <w:t>5</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技术类评审</w:t>
            </w: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sz w:val="20"/>
              </w:rPr>
            </w:pPr>
            <w:r>
              <w:rPr>
                <w:rFonts w:hint="eastAsia"/>
                <w:sz w:val="20"/>
              </w:rPr>
              <w:t>投标人针对招标文件对应采购清单中的技术参数条款响应得分规则如下：</w:t>
            </w:r>
          </w:p>
          <w:p>
            <w:pPr>
              <w:keepNext w:val="0"/>
              <w:keepLines w:val="0"/>
              <w:suppressLineNumbers w:val="0"/>
              <w:spacing w:before="0" w:beforeAutospacing="0" w:after="0" w:afterAutospacing="0"/>
              <w:ind w:left="0" w:right="0"/>
              <w:rPr>
                <w:rFonts w:hint="eastAsia"/>
                <w:sz w:val="20"/>
              </w:rPr>
            </w:pPr>
            <w:r>
              <w:rPr>
                <w:rFonts w:hint="eastAsia"/>
                <w:sz w:val="20"/>
              </w:rPr>
              <w:t>1、技术参数条款响应得分 = 重要技术参数条款响应得分 + 一般技术参数条款响应得分；</w:t>
            </w:r>
          </w:p>
          <w:p>
            <w:pPr>
              <w:keepNext w:val="0"/>
              <w:keepLines w:val="0"/>
              <w:suppressLineNumbers w:val="0"/>
              <w:spacing w:before="0" w:beforeAutospacing="0" w:after="0" w:afterAutospacing="0"/>
              <w:ind w:left="0" w:right="0"/>
              <w:rPr>
                <w:rFonts w:hint="eastAsia"/>
                <w:sz w:val="20"/>
              </w:rPr>
            </w:pPr>
            <w:r>
              <w:rPr>
                <w:rFonts w:hint="eastAsia"/>
                <w:sz w:val="20"/>
              </w:rPr>
              <w:t>2、重要技术参数条款（标注“▲”的条款，共10条），重要技术参数条款响应得分=（投标人满足重要技术参数条款的数量÷对应重要技术参数条款的总数量）×10分；</w:t>
            </w:r>
          </w:p>
          <w:p>
            <w:pPr>
              <w:keepNext w:val="0"/>
              <w:keepLines w:val="0"/>
              <w:suppressLineNumbers w:val="0"/>
              <w:spacing w:before="0" w:beforeAutospacing="0" w:after="0" w:afterAutospacing="0"/>
              <w:ind w:left="0" w:right="0"/>
              <w:rPr>
                <w:rFonts w:hint="eastAsia"/>
                <w:sz w:val="20"/>
              </w:rPr>
            </w:pPr>
            <w:r>
              <w:rPr>
                <w:rFonts w:hint="eastAsia"/>
                <w:sz w:val="20"/>
              </w:rPr>
              <w:t>3、一般技术参数条款（未标注“▲”的条款，共80条），一般技术参数条款响应得分=（投标人满足一般技术参数条款的数量÷对应一般技术参数条款的总数量）×18分。</w:t>
            </w:r>
          </w:p>
          <w:p>
            <w:pPr>
              <w:keepNext w:val="0"/>
              <w:keepLines w:val="0"/>
              <w:suppressLineNumbers w:val="0"/>
              <w:spacing w:before="0" w:beforeAutospacing="0" w:after="0" w:afterAutospacing="0"/>
              <w:ind w:left="0" w:right="0"/>
              <w:rPr>
                <w:rFonts w:hint="eastAsia"/>
                <w:sz w:val="20"/>
              </w:rPr>
            </w:pPr>
            <w:r>
              <w:rPr>
                <w:rFonts w:hint="eastAsia"/>
                <w:sz w:val="20"/>
              </w:rPr>
              <w:t>注：</w:t>
            </w:r>
          </w:p>
          <w:p>
            <w:pPr>
              <w:keepNext w:val="0"/>
              <w:keepLines w:val="0"/>
              <w:suppressLineNumbers w:val="0"/>
              <w:spacing w:before="0" w:beforeAutospacing="0" w:after="0" w:afterAutospacing="0"/>
              <w:ind w:left="0" w:right="0"/>
              <w:rPr>
                <w:rFonts w:hint="eastAsia"/>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keepNext w:val="0"/>
              <w:keepLines w:val="0"/>
              <w:suppressLineNumbers w:val="0"/>
              <w:spacing w:before="0" w:beforeAutospacing="0" w:after="0" w:afterAutospacing="0"/>
              <w:ind w:left="0" w:right="0"/>
              <w:rPr>
                <w:rFonts w:hint="eastAsia"/>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keepNext w:val="0"/>
              <w:keepLines w:val="0"/>
              <w:suppressLineNumbers w:val="0"/>
              <w:spacing w:before="0" w:beforeAutospacing="0" w:after="0" w:afterAutospacing="0"/>
              <w:ind w:left="0" w:right="0"/>
              <w:rPr>
                <w:rFonts w:hint="default"/>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28</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sz w:val="20"/>
              </w:rPr>
            </w:pPr>
            <w:r>
              <w:rPr>
                <w:rFonts w:hint="eastAsia"/>
                <w:sz w:val="20"/>
              </w:rPr>
              <w:t>1、投标产品交互式液晶平板(86"）制造商具有信息安全管理体系认证（ISO27001）认证得2分,具有信息技术服务管理体系（ISO20000）认证得2分，本项最多得4分；（提供证书复印件加盖投标人鲜章）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2、投标产品交互式液晶平板(86"）通过人眼视觉舒适度测试，测试结果用眼疲劳属于“明显疲劳，但可以耐受”级别的得1.5分，属于“轻微疲劳”及以上级别的得3分；具有蓝光辐射检测报告，检测结果蓝光辐射能量符合A级及以上的得3分；本项最多得6分（提供证书或检测报告复印件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3、投标产品交互式液晶平板(86"）的平均无故障时间( MTBF）≥70000小时得1分，每增加10000小时加1分，最多得5分；（提供证明文件并加盖投标人鲜章）</w:t>
            </w:r>
          </w:p>
          <w:p>
            <w:pPr>
              <w:keepNext w:val="0"/>
              <w:keepLines w:val="0"/>
              <w:suppressLineNumbers w:val="0"/>
              <w:spacing w:before="0" w:beforeAutospacing="0" w:after="0" w:afterAutospacing="0"/>
              <w:ind w:left="0" w:right="0"/>
              <w:rPr>
                <w:rFonts w:hint="default"/>
                <w:sz w:val="20"/>
              </w:rPr>
            </w:pPr>
            <w:r>
              <w:rPr>
                <w:rFonts w:hint="eastAsia"/>
                <w:sz w:val="20"/>
              </w:rPr>
              <w:t>4、投标产品交互式液晶平板(86"）具有触摸、交互相关的国家科学技术进步奖或国家重点新产品证书或国家高新技术产品证书的得3分；（提供证书复印件并加盖投标人鲜章）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18</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default"/>
                <w:sz w:val="20"/>
              </w:rPr>
            </w:pPr>
            <w:r>
              <w:rPr>
                <w:rFonts w:hint="eastAsia"/>
                <w:sz w:val="20"/>
              </w:rPr>
              <w:t>1、对投标人提供的售后服务方案（内容至少包括响应时间、上门维修时间、售后巡检、质量保证期限及范围方面）进行评审，每有一项得0.5分，最多得2分；</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2、提供交互式液晶平板(86"）、工程投影机（5000流明）制造商针对本项目出具的售后服务承诺函原件，每有一个得2分，最多得4分；（提供售后服务承诺函原件并加盖投标人鲜章）</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9</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keepNext w:val="0"/>
              <w:keepLines w:val="0"/>
              <w:suppressLineNumbers w:val="0"/>
              <w:spacing w:before="0" w:beforeAutospacing="0" w:after="0" w:afterAutospacing="0"/>
              <w:ind w:left="0" w:right="0"/>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3</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eastAsia" w:eastAsia="宋体"/>
                <w:b/>
                <w:sz w:val="20"/>
                <w:lang w:eastAsia="zh-CN"/>
              </w:rPr>
            </w:pPr>
            <w:r>
              <w:rPr>
                <w:rFonts w:hint="eastAsia"/>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sz w:val="20"/>
                <w:lang w:val="en-US" w:eastAsia="zh-CN"/>
              </w:rPr>
            </w:pPr>
            <w:r>
              <w:rPr>
                <w:rFonts w:hint="eastAsia"/>
                <w:sz w:val="20"/>
                <w:lang w:val="en-US" w:eastAsia="zh-CN"/>
              </w:rPr>
              <w:t>100分</w:t>
            </w:r>
          </w:p>
        </w:tc>
      </w:tr>
    </w:tbl>
    <w:p>
      <w:pPr>
        <w:ind w:firstLine="560" w:firstLineChars="200"/>
        <w:rPr>
          <w:rFonts w:hint="eastAsia" w:ascii="宋体" w:hAnsi="宋体"/>
          <w:sz w:val="28"/>
        </w:rPr>
      </w:pPr>
    </w:p>
    <w:p>
      <w:pPr>
        <w:widowControl/>
        <w:spacing w:line="560" w:lineRule="exact"/>
        <w:jc w:val="center"/>
        <w:rPr>
          <w:rFonts w:hint="eastAsia" w:ascii="宋体" w:hAnsi="宋体"/>
          <w:b/>
          <w:bCs/>
          <w:sz w:val="28"/>
          <w:szCs w:val="28"/>
        </w:rPr>
      </w:pPr>
      <w:r>
        <w:rPr>
          <w:rFonts w:hint="eastAsia" w:ascii="宋体" w:hAnsi="宋体"/>
          <w:b/>
          <w:bCs/>
          <w:sz w:val="28"/>
          <w:szCs w:val="28"/>
        </w:rPr>
        <w:t>包2：2021年部分学校教学多媒体系统补充更新（第1批）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评委类别</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default"/>
                <w:sz w:val="20"/>
              </w:rPr>
              <w:t>1、对小型企业、微型企业、监狱企业、残疾人福利性单位制造的货物的价格（如涉及）给予10%的价格扣除，用扣除后的价格参与</w:t>
            </w:r>
            <w:r>
              <w:rPr>
                <w:rFonts w:hint="default"/>
                <w:sz w:val="20"/>
                <w:highlight w:val="none"/>
              </w:rPr>
              <w:t>评审；[说明：</w:t>
            </w:r>
            <w:r>
              <w:rPr>
                <w:rFonts w:hint="eastAsia"/>
                <w:sz w:val="20"/>
                <w:highlight w:val="none"/>
              </w:rPr>
              <w:t>（1）投标人</w:t>
            </w:r>
            <w:r>
              <w:rPr>
                <w:rFonts w:hint="default"/>
                <w:sz w:val="20"/>
                <w:highlight w:val="none"/>
              </w:rPr>
              <w:t>投标产品为</w:t>
            </w:r>
            <w:r>
              <w:rPr>
                <w:rFonts w:hint="eastAsia"/>
                <w:sz w:val="20"/>
                <w:highlight w:val="none"/>
              </w:rPr>
              <w:t>中小</w:t>
            </w:r>
            <w:r>
              <w:rPr>
                <w:rFonts w:hint="default"/>
                <w:sz w:val="20"/>
                <w:highlight w:val="none"/>
              </w:rPr>
              <w:t>企业制造的货物</w:t>
            </w:r>
            <w:r>
              <w:rPr>
                <w:rFonts w:hint="eastAsia"/>
                <w:sz w:val="20"/>
                <w:highlight w:val="none"/>
              </w:rPr>
              <w:t>按招标文件3.4.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rFonts w:hint="default"/>
                <w:sz w:val="20"/>
                <w:highlight w:val="none"/>
              </w:rPr>
              <w:t>投标产品为</w:t>
            </w:r>
            <w:r>
              <w:rPr>
                <w:rFonts w:hint="eastAsia"/>
                <w:sz w:val="20"/>
                <w:highlight w:val="none"/>
              </w:rPr>
              <w:t>残疾人福利性单位</w:t>
            </w:r>
            <w:r>
              <w:rPr>
                <w:rFonts w:hint="default"/>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w:t>
            </w:r>
            <w:r>
              <w:rPr>
                <w:rFonts w:hint="eastAsia"/>
                <w:sz w:val="20"/>
              </w:rPr>
              <w:t>标</w:t>
            </w:r>
            <w:r>
              <w:rPr>
                <w:rFonts w:hint="default"/>
                <w:sz w:val="20"/>
              </w:rPr>
              <w:t xml:space="preserve">投标产品中为监狱企业制造的货物应提供由省级以上监狱管理局、戒毒管理局（含新疆生产建设兵团）出具的制造商属于监狱企业的证明文件复印件。] </w:t>
            </w:r>
          </w:p>
          <w:p>
            <w:pPr>
              <w:keepNext w:val="0"/>
              <w:keepLines w:val="0"/>
              <w:suppressLineNumbers w:val="0"/>
              <w:spacing w:before="0" w:beforeAutospacing="0" w:after="0" w:afterAutospacing="0"/>
              <w:ind w:left="0" w:right="0"/>
              <w:rPr>
                <w:rFonts w:hint="default"/>
                <w:sz w:val="20"/>
              </w:rPr>
            </w:pPr>
            <w:r>
              <w:rPr>
                <w:rFonts w:hint="default"/>
                <w:sz w:val="20"/>
              </w:rPr>
              <w:t>2、经评标委员会评审，通过资格性和符合性审查，且投标报价最低的投标人的投标报价作为评标基准价；</w:t>
            </w:r>
          </w:p>
          <w:p>
            <w:pPr>
              <w:keepNext w:val="0"/>
              <w:keepLines w:val="0"/>
              <w:suppressLineNumbers w:val="0"/>
              <w:spacing w:before="0" w:beforeAutospacing="0" w:after="0" w:afterAutospacing="0"/>
              <w:ind w:left="0" w:right="0"/>
              <w:rPr>
                <w:rFonts w:hint="default"/>
                <w:sz w:val="20"/>
              </w:rPr>
            </w:pPr>
            <w:r>
              <w:rPr>
                <w:rFonts w:hint="default"/>
                <w:sz w:val="20"/>
              </w:rPr>
              <w:t>3、投标报价得分=(评标基准价／投标报价)×3</w:t>
            </w:r>
            <w:r>
              <w:rPr>
                <w:rFonts w:hint="eastAsia" w:ascii="Calibri" w:eastAsia="宋体"/>
                <w:sz w:val="20"/>
                <w:lang w:val="en-US" w:eastAsia="zh-CN"/>
              </w:rPr>
              <w:t>5</w:t>
            </w:r>
            <w:r>
              <w:rPr>
                <w:rFonts w:hint="default"/>
                <w:sz w:val="20"/>
              </w:rPr>
              <w:t>。</w:t>
            </w:r>
          </w:p>
          <w:p>
            <w:pPr>
              <w:keepNext w:val="0"/>
              <w:keepLines w:val="0"/>
              <w:suppressLineNumbers w:val="0"/>
              <w:spacing w:before="0" w:beforeAutospacing="0" w:after="0" w:afterAutospacing="0"/>
              <w:ind w:left="0" w:right="0"/>
              <w:rPr>
                <w:rFonts w:hint="default"/>
                <w:sz w:val="20"/>
              </w:rPr>
            </w:pPr>
            <w:r>
              <w:rPr>
                <w:rFonts w:hint="default"/>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default"/>
                <w:sz w:val="20"/>
              </w:rPr>
              <w:t>3</w:t>
            </w:r>
            <w:r>
              <w:rPr>
                <w:rFonts w:hint="eastAsia" w:ascii="Calibri" w:eastAsia="宋体"/>
                <w:sz w:val="20"/>
                <w:lang w:val="en-US" w:eastAsia="zh-CN"/>
              </w:rPr>
              <w:t>5</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技术类评审</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default"/>
                <w:sz w:val="20"/>
              </w:rPr>
            </w:pPr>
            <w:r>
              <w:rPr>
                <w:rFonts w:hint="eastAsia"/>
                <w:sz w:val="20"/>
              </w:rPr>
              <w:t>投标人针对招标文件对应采购清单中的技术参数条款响应得分规则如下：</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1、技术参数条款响应得分 = 重要技术参数条款响应得分 + 一般技术参数条款响应得分；</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2、重要技术参数条款（标注“▲”的条款，共5条），重要技术参数条款响应得分=（投标人满足重要技术参数条款的数量÷对应重要技术参数条款的总数量）×8分；</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3、一般技术参数条款（未标注“▲”的条款，共50条），一般技术参数条款响应得分=（投标人满足一般技术参数条款的数量÷对应一般技术参数条款的总数量）×18分。</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注：</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keepNext w:val="0"/>
              <w:keepLines w:val="0"/>
              <w:suppressLineNumbers w:val="0"/>
              <w:spacing w:before="0" w:beforeLines="0" w:beforeAutospacing="0" w:after="0" w:afterLines="0" w:afterAutospacing="0"/>
              <w:ind w:left="0" w:right="0"/>
              <w:rPr>
                <w:rFonts w:hint="default"/>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ascii="Calibri" w:eastAsia="宋体"/>
                <w:sz w:val="20"/>
                <w:lang w:val="en-US" w:eastAsia="zh-CN"/>
              </w:rPr>
              <w:t>2</w:t>
            </w:r>
            <w:r>
              <w:rPr>
                <w:rFonts w:hint="eastAsia"/>
                <w:sz w:val="20"/>
                <w:lang w:val="en-US" w:eastAsia="zh-CN"/>
              </w:rPr>
              <w:t>6</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default"/>
                <w:sz w:val="21"/>
              </w:rPr>
            </w:pPr>
            <w:r>
              <w:rPr>
                <w:rFonts w:hint="eastAsia"/>
                <w:sz w:val="21"/>
              </w:rPr>
              <w:t>1、投标产品交互式液晶平板(86"）制造商具有信息安全管理体系（ISO27001）认证得2分,具有信息技术服务管理体系（ISO20000）认证得2分，本项最多得4分；（提供证书复印件加盖投标人鲜章）</w:t>
            </w:r>
          </w:p>
          <w:p>
            <w:pPr>
              <w:keepNext w:val="0"/>
              <w:keepLines w:val="0"/>
              <w:suppressLineNumbers w:val="0"/>
              <w:spacing w:before="0" w:beforeLines="0" w:beforeAutospacing="0" w:after="0" w:afterLines="0" w:afterAutospacing="0"/>
              <w:ind w:left="0" w:right="0"/>
              <w:rPr>
                <w:rFonts w:hint="eastAsia"/>
                <w:sz w:val="21"/>
              </w:rPr>
            </w:pPr>
            <w:r>
              <w:rPr>
                <w:rFonts w:hint="eastAsia"/>
                <w:sz w:val="21"/>
              </w:rPr>
              <w:t>2、投标产品交互式液晶平板(86"）通过人眼视觉舒适度测试，测试结果用眼疲劳属于“明显疲劳，但可以耐受”级别的得1.5分，属于“轻微疲劳”及以上级别的得3分；具有蓝光辐射检测报告，检测结果蓝光辐射能量符合A级及以上的得3分；本项最多得6分（提供证书或检测报告复印件并加盖投标人鲜章）</w:t>
            </w:r>
          </w:p>
          <w:p>
            <w:pPr>
              <w:keepNext w:val="0"/>
              <w:keepLines w:val="0"/>
              <w:suppressLineNumbers w:val="0"/>
              <w:spacing w:before="0" w:beforeLines="0" w:beforeAutospacing="0" w:after="0" w:afterLines="0" w:afterAutospacing="0"/>
              <w:ind w:left="0" w:right="0"/>
              <w:rPr>
                <w:rFonts w:hint="default"/>
                <w:sz w:val="21"/>
              </w:rPr>
            </w:pPr>
            <w:r>
              <w:rPr>
                <w:rFonts w:hint="eastAsia"/>
                <w:sz w:val="21"/>
              </w:rPr>
              <w:t>3、投标产品交互式液晶平板(86"）的平均无故障时间(MTBF）≥70000小时得1分，每增加10000小时加1分，最多得5分；（提供证明文件并加盖投标人鲜章）</w:t>
            </w:r>
          </w:p>
          <w:p>
            <w:pPr>
              <w:keepNext w:val="0"/>
              <w:keepLines w:val="0"/>
              <w:suppressLineNumbers w:val="0"/>
              <w:spacing w:before="0" w:beforeLines="0" w:beforeAutospacing="0" w:after="0" w:afterLines="0" w:afterAutospacing="0"/>
              <w:ind w:left="0" w:right="0"/>
              <w:rPr>
                <w:rFonts w:hint="default"/>
                <w:sz w:val="20"/>
              </w:rPr>
            </w:pPr>
            <w:r>
              <w:rPr>
                <w:rFonts w:hint="eastAsia"/>
                <w:sz w:val="21"/>
              </w:rPr>
              <w:t>4、投标产品交互式液晶平板(86"）具有触摸、交互相关的国家科学技术进步奖或获得过国家重点新产品证书或国家高新技术产品证书的得3分；（提供证书复印件并加盖投标人鲜章）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18</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4</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Lines="0" w:beforeAutospacing="0" w:after="0" w:afterLines="0" w:afterAutospacing="0"/>
              <w:ind w:left="0" w:right="0"/>
              <w:rPr>
                <w:rFonts w:hint="default"/>
                <w:sz w:val="21"/>
              </w:rPr>
            </w:pPr>
            <w:r>
              <w:rPr>
                <w:rFonts w:hint="eastAsia"/>
                <w:sz w:val="21"/>
              </w:rPr>
              <w:t>1、对投标人提供的售后服务方案（内容至少包括响应时间、上门维修时间、售后巡检、质量保证期限及范围方面）进行评审，每有一项得1分，最多得4分；</w:t>
            </w:r>
          </w:p>
          <w:p>
            <w:pPr>
              <w:keepNext w:val="0"/>
              <w:keepLines w:val="0"/>
              <w:suppressLineNumbers w:val="0"/>
              <w:spacing w:before="0" w:beforeLines="0" w:beforeAutospacing="0" w:after="0" w:afterLines="0" w:afterAutospacing="0"/>
              <w:ind w:left="0" w:right="0"/>
              <w:rPr>
                <w:rFonts w:hint="default"/>
                <w:sz w:val="21"/>
              </w:rPr>
            </w:pPr>
            <w:r>
              <w:rPr>
                <w:rFonts w:hint="eastAsia"/>
                <w:sz w:val="21"/>
              </w:rPr>
              <w:t>2、提供交互式液晶平板(86"）、展台（壁挂式）制造商针对本项目出具的售后服务承诺函原件，每有一个得2分，最多得4分；（提供售后服务承诺函原件并加盖投标人鲜）；</w:t>
            </w:r>
          </w:p>
          <w:p>
            <w:pPr>
              <w:keepNext w:val="0"/>
              <w:keepLines w:val="0"/>
              <w:suppressLineNumbers w:val="0"/>
              <w:spacing w:before="0" w:beforeLines="0" w:beforeAutospacing="0" w:after="0" w:afterLines="0" w:afterAutospacing="0"/>
              <w:ind w:left="0" w:right="0"/>
              <w:rPr>
                <w:rFonts w:hint="default"/>
                <w:sz w:val="20"/>
              </w:rPr>
            </w:pPr>
            <w:r>
              <w:rPr>
                <w:rFonts w:hint="eastAsia"/>
                <w:sz w:val="21"/>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11</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keepNext w:val="0"/>
              <w:keepLines w:val="0"/>
              <w:suppressLineNumbers w:val="0"/>
              <w:spacing w:before="0" w:beforeAutospacing="0" w:after="0" w:afterAutospacing="0"/>
              <w:ind w:left="0" w:right="0"/>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keepNext w:val="0"/>
              <w:keepLines w:val="0"/>
              <w:suppressLineNumbers w:val="0"/>
              <w:spacing w:before="0" w:beforeAutospacing="0" w:after="0" w:afterAutospacing="0"/>
              <w:ind w:left="0" w:right="0"/>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ascii="Calibri" w:eastAsia="宋体"/>
                <w:sz w:val="20"/>
                <w:lang w:val="en-US" w:eastAsia="zh-CN"/>
              </w:rPr>
              <w:t>3</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ascii="Calibri" w:eastAsia="宋体"/>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lang w:val="en-US" w:eastAsia="zh-CN"/>
              </w:rPr>
            </w:pPr>
            <w:r>
              <w:rPr>
                <w:rFonts w:hint="eastAsia"/>
                <w:sz w:val="20"/>
                <w:lang w:val="en-US" w:eastAsia="zh-CN"/>
              </w:rPr>
              <w:t>2</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eastAsia" w:eastAsia="宋体"/>
                <w:b/>
                <w:sz w:val="20"/>
                <w:lang w:eastAsia="zh-CN"/>
              </w:rPr>
            </w:pPr>
            <w:r>
              <w:rPr>
                <w:rFonts w:hint="eastAsia" w:eastAsia="宋体"/>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sz w:val="20"/>
                <w:lang w:val="en-US" w:eastAsia="zh-CN"/>
              </w:rPr>
            </w:pPr>
            <w:r>
              <w:rPr>
                <w:rFonts w:hint="eastAsia" w:ascii="Calibri" w:eastAsia="宋体"/>
                <w:sz w:val="20"/>
                <w:lang w:val="en-US" w:eastAsia="zh-CN"/>
              </w:rPr>
              <w:t>100分</w:t>
            </w:r>
          </w:p>
        </w:tc>
      </w:tr>
    </w:tbl>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80" w:name="_Toc17203"/>
      <w:r>
        <w:rPr>
          <w:rFonts w:hint="eastAsia" w:ascii="宋体" w:hAnsi="宋体"/>
          <w:b/>
          <w:bCs/>
          <w:sz w:val="28"/>
          <w:szCs w:val="28"/>
        </w:rPr>
        <w:t>废标</w:t>
      </w:r>
      <w:bookmarkEnd w:id="180"/>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81" w:name="_Toc24900"/>
      <w:r>
        <w:rPr>
          <w:rFonts w:hint="eastAsia" w:ascii="宋体" w:hAnsi="宋体"/>
          <w:b/>
          <w:bCs/>
          <w:sz w:val="28"/>
          <w:szCs w:val="28"/>
        </w:rPr>
        <w:t>定标</w:t>
      </w:r>
      <w:bookmarkEnd w:id="181"/>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2" w:name="_Toc24576"/>
      <w:r>
        <w:rPr>
          <w:rFonts w:hint="eastAsia" w:ascii="宋体" w:hAnsi="宋体"/>
          <w:b/>
          <w:bCs/>
          <w:sz w:val="28"/>
          <w:szCs w:val="28"/>
        </w:rPr>
        <w:t>评标专家在政府采购活动中承担以下义务</w:t>
      </w:r>
      <w:bookmarkEnd w:id="182"/>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3" w:name="_Toc11701"/>
      <w:r>
        <w:rPr>
          <w:rFonts w:hint="eastAsia" w:ascii="宋体" w:hAnsi="宋体"/>
          <w:b/>
          <w:bCs/>
          <w:sz w:val="28"/>
          <w:szCs w:val="28"/>
        </w:rPr>
        <w:t>评标委员会及其成员不得有下列行为</w:t>
      </w:r>
      <w:bookmarkEnd w:id="183"/>
    </w:p>
    <w:p>
      <w:pPr>
        <w:numPr>
          <w:ilvl w:val="0"/>
          <w:numId w:val="48"/>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4" w:name="_Toc10446"/>
      <w:r>
        <w:rPr>
          <w:rFonts w:hint="eastAsia" w:ascii="宋体" w:hAnsi="宋体"/>
          <w:b/>
          <w:bCs/>
          <w:sz w:val="28"/>
          <w:szCs w:val="28"/>
        </w:rPr>
        <w:t>评审专家在政府采购活动中应当遵守以下工作纪律</w:t>
      </w:r>
      <w:bookmarkEnd w:id="184"/>
    </w:p>
    <w:p>
      <w:pPr>
        <w:numPr>
          <w:ilvl w:val="0"/>
          <w:numId w:val="49"/>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2"/>
    <w:bookmarkEnd w:id="153"/>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5" w:name="_Toc1288"/>
      <w:r>
        <w:rPr>
          <w:rFonts w:hint="eastAsia" w:ascii="宋体" w:hAnsi="宋体"/>
          <w:b/>
          <w:bCs/>
          <w:spacing w:val="-20"/>
          <w:kern w:val="44"/>
          <w:sz w:val="32"/>
          <w:szCs w:val="32"/>
        </w:rPr>
        <w:t>拟签订合同</w:t>
      </w:r>
      <w:bookmarkEnd w:id="0"/>
      <w:bookmarkEnd w:id="1"/>
      <w:bookmarkEnd w:id="2"/>
      <w:bookmarkEnd w:id="3"/>
      <w:bookmarkStart w:id="186" w:name="_Toc316475671"/>
      <w:bookmarkEnd w:id="186"/>
      <w:bookmarkStart w:id="187" w:name="_Toc316475754"/>
      <w:bookmarkEnd w:id="187"/>
      <w:bookmarkStart w:id="188" w:name="_Toc299975364"/>
      <w:bookmarkEnd w:id="188"/>
      <w:bookmarkStart w:id="189" w:name="_Toc316475759"/>
      <w:bookmarkEnd w:id="189"/>
      <w:bookmarkStart w:id="190" w:name="_Toc316475673"/>
      <w:bookmarkEnd w:id="190"/>
      <w:bookmarkStart w:id="191" w:name="_Toc277152520"/>
      <w:bookmarkEnd w:id="191"/>
      <w:bookmarkStart w:id="192" w:name="_Toc316475753"/>
      <w:bookmarkEnd w:id="192"/>
      <w:bookmarkStart w:id="193" w:name="_Toc316475756"/>
      <w:bookmarkEnd w:id="193"/>
      <w:bookmarkStart w:id="194" w:name="_Toc316475676"/>
      <w:bookmarkEnd w:id="194"/>
      <w:bookmarkStart w:id="195" w:name="_Toc316475763"/>
      <w:bookmarkEnd w:id="195"/>
      <w:bookmarkStart w:id="196" w:name="_Toc316475758"/>
      <w:bookmarkEnd w:id="196"/>
      <w:bookmarkStart w:id="197" w:name="_Toc316475670"/>
      <w:bookmarkEnd w:id="197"/>
      <w:bookmarkStart w:id="198" w:name="_Toc316475667"/>
      <w:bookmarkEnd w:id="198"/>
      <w:bookmarkStart w:id="199" w:name="_Toc277152523"/>
      <w:bookmarkEnd w:id="199"/>
      <w:bookmarkStart w:id="200" w:name="_Toc316475760"/>
      <w:bookmarkEnd w:id="200"/>
      <w:bookmarkStart w:id="201" w:name="_Toc277152521"/>
      <w:bookmarkEnd w:id="201"/>
      <w:bookmarkStart w:id="202" w:name="_Toc316475674"/>
      <w:bookmarkEnd w:id="202"/>
      <w:bookmarkStart w:id="203" w:name="_Toc316475755"/>
      <w:bookmarkEnd w:id="203"/>
      <w:bookmarkStart w:id="204" w:name="_Toc316475669"/>
      <w:bookmarkEnd w:id="204"/>
      <w:bookmarkStart w:id="205" w:name="_Toc316475668"/>
      <w:bookmarkEnd w:id="205"/>
      <w:bookmarkStart w:id="206" w:name="_Toc316475761"/>
      <w:bookmarkEnd w:id="206"/>
      <w:bookmarkStart w:id="207" w:name="_Toc214858832"/>
      <w:bookmarkEnd w:id="207"/>
      <w:bookmarkStart w:id="208" w:name="_Toc316475672"/>
      <w:bookmarkEnd w:id="208"/>
      <w:bookmarkStart w:id="209" w:name="_Toc299975392"/>
      <w:bookmarkEnd w:id="209"/>
      <w:bookmarkStart w:id="210" w:name="_Toc316475664"/>
      <w:bookmarkEnd w:id="210"/>
      <w:bookmarkStart w:id="211" w:name="_Toc316475762"/>
      <w:bookmarkEnd w:id="211"/>
      <w:bookmarkStart w:id="212" w:name="_Toc316475677"/>
      <w:bookmarkEnd w:id="212"/>
      <w:bookmarkStart w:id="213" w:name="_Toc316475675"/>
      <w:bookmarkEnd w:id="213"/>
      <w:bookmarkStart w:id="214" w:name="_Toc316475757"/>
      <w:bookmarkEnd w:id="214"/>
      <w:bookmarkStart w:id="215" w:name="_Toc316475751"/>
      <w:bookmarkEnd w:id="215"/>
      <w:bookmarkStart w:id="216" w:name="_Toc316475764"/>
      <w:bookmarkEnd w:id="216"/>
      <w:bookmarkStart w:id="217" w:name="_Toc277152522"/>
      <w:bookmarkEnd w:id="217"/>
      <w:bookmarkStart w:id="218" w:name="_Toc316475666"/>
      <w:bookmarkEnd w:id="218"/>
      <w:bookmarkStart w:id="219" w:name="_Toc316475752"/>
      <w:bookmarkEnd w:id="219"/>
      <w:bookmarkStart w:id="220" w:name="_Toc316475665"/>
      <w:bookmarkEnd w:id="220"/>
      <w:bookmarkStart w:id="221" w:name="_Toc217446108"/>
      <w:bookmarkStart w:id="222" w:name="_Toc8573798"/>
      <w:bookmarkStart w:id="223" w:name="_Toc34729074"/>
      <w:r>
        <w:rPr>
          <w:rFonts w:hint="eastAsia" w:ascii="宋体" w:hAnsi="宋体"/>
          <w:b/>
          <w:bCs/>
          <w:spacing w:val="-20"/>
          <w:kern w:val="44"/>
          <w:sz w:val="32"/>
          <w:szCs w:val="32"/>
        </w:rPr>
        <w:t>文本</w:t>
      </w:r>
      <w:bookmarkEnd w:id="185"/>
    </w:p>
    <w:p>
      <w:pPr>
        <w:jc w:val="center"/>
        <w:rPr>
          <w:rFonts w:ascii="DengXian" w:hAnsi="DengXian" w:eastAsia="DengXian"/>
          <w:sz w:val="18"/>
          <w:szCs w:val="18"/>
        </w:rPr>
      </w:pPr>
      <w:r>
        <w:rPr>
          <w:rFonts w:hint="eastAsia"/>
          <w:sz w:val="18"/>
          <w:szCs w:val="18"/>
        </w:rPr>
        <w:t xml:space="preserve">                                合同编号：</w:t>
      </w:r>
    </w:p>
    <w:p>
      <w:pPr>
        <w:snapToGrid w:val="0"/>
        <w:spacing w:line="360" w:lineRule="auto"/>
        <w:jc w:val="center"/>
        <w:rPr>
          <w:b/>
          <w:sz w:val="18"/>
          <w:szCs w:val="18"/>
        </w:rPr>
      </w:pPr>
      <w:r>
        <w:rPr>
          <w:rFonts w:hint="eastAsia"/>
          <w:b/>
          <w:sz w:val="18"/>
          <w:szCs w:val="18"/>
        </w:rPr>
        <w:t>政府采购合同</w:t>
      </w:r>
    </w:p>
    <w:p>
      <w:pPr>
        <w:rPr>
          <w:sz w:val="18"/>
          <w:szCs w:val="18"/>
        </w:rPr>
      </w:pPr>
    </w:p>
    <w:p>
      <w:pPr>
        <w:spacing w:line="360" w:lineRule="auto"/>
        <w:ind w:firstLine="480" w:firstLineChars="200"/>
        <w:rPr>
          <w:sz w:val="24"/>
          <w:szCs w:val="24"/>
        </w:rPr>
      </w:pPr>
      <w:r>
        <w:rPr>
          <w:rFonts w:hint="eastAsia"/>
          <w:sz w:val="24"/>
          <w:szCs w:val="24"/>
        </w:rPr>
        <w:t>签订地点：新都区教育局</w:t>
      </w:r>
    </w:p>
    <w:p>
      <w:pPr>
        <w:spacing w:line="360" w:lineRule="auto"/>
        <w:ind w:firstLine="480" w:firstLineChars="200"/>
        <w:rPr>
          <w:sz w:val="24"/>
          <w:szCs w:val="24"/>
        </w:rPr>
      </w:pPr>
      <w:r>
        <w:rPr>
          <w:rFonts w:hint="eastAsia"/>
          <w:sz w:val="24"/>
          <w:szCs w:val="24"/>
        </w:rPr>
        <w:t>签订时间：  年 月日</w:t>
      </w:r>
    </w:p>
    <w:p>
      <w:pPr>
        <w:spacing w:line="360" w:lineRule="auto"/>
        <w:ind w:firstLine="480" w:firstLineChars="200"/>
        <w:rPr>
          <w:sz w:val="24"/>
          <w:szCs w:val="24"/>
        </w:rPr>
      </w:pPr>
      <w:r>
        <w:rPr>
          <w:rFonts w:hint="eastAsia"/>
          <w:sz w:val="24"/>
          <w:szCs w:val="24"/>
        </w:rPr>
        <w:t xml:space="preserve">采购人（甲方）：成都市新都区教育局 </w:t>
      </w:r>
    </w:p>
    <w:p>
      <w:pPr>
        <w:spacing w:line="360" w:lineRule="auto"/>
        <w:ind w:firstLine="480" w:firstLineChars="200"/>
        <w:rPr>
          <w:sz w:val="24"/>
          <w:szCs w:val="24"/>
        </w:rPr>
      </w:pPr>
      <w:r>
        <w:rPr>
          <w:rFonts w:hint="eastAsia"/>
          <w:sz w:val="24"/>
          <w:szCs w:val="24"/>
        </w:rPr>
        <w:t xml:space="preserve">法定代表人： </w:t>
      </w:r>
    </w:p>
    <w:p>
      <w:pPr>
        <w:spacing w:line="360" w:lineRule="auto"/>
        <w:ind w:firstLine="480" w:firstLineChars="200"/>
        <w:rPr>
          <w:sz w:val="24"/>
          <w:szCs w:val="24"/>
        </w:rPr>
      </w:pPr>
      <w:r>
        <w:rPr>
          <w:rFonts w:hint="eastAsia"/>
          <w:sz w:val="24"/>
          <w:szCs w:val="24"/>
        </w:rPr>
        <w:t>地址：成都市新都区新都镇新新街31号</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 xml:space="preserve">联系邮箱：                             </w:t>
      </w:r>
    </w:p>
    <w:p>
      <w:pPr>
        <w:spacing w:line="360" w:lineRule="auto"/>
        <w:ind w:firstLine="480" w:firstLineChars="200"/>
        <w:rPr>
          <w:sz w:val="24"/>
          <w:szCs w:val="24"/>
        </w:rPr>
      </w:pPr>
      <w:r>
        <w:rPr>
          <w:rFonts w:hint="eastAsia"/>
          <w:sz w:val="24"/>
          <w:szCs w:val="24"/>
        </w:rPr>
        <w:t>供应商（乙</w:t>
      </w:r>
      <w:r>
        <w:rPr>
          <w:sz w:val="24"/>
          <w:szCs w:val="24"/>
        </w:rPr>
        <w:t>方</w:t>
      </w:r>
      <w:r>
        <w:rPr>
          <w:rFonts w:hint="eastAsia"/>
          <w:sz w:val="24"/>
          <w:szCs w:val="24"/>
        </w:rPr>
        <w:t>）</w:t>
      </w:r>
      <w:r>
        <w:rPr>
          <w:sz w:val="24"/>
          <w:szCs w:val="24"/>
        </w:rPr>
        <w:t>：</w:t>
      </w:r>
    </w:p>
    <w:p>
      <w:pPr>
        <w:spacing w:line="360" w:lineRule="auto"/>
        <w:ind w:firstLine="480" w:firstLineChars="200"/>
        <w:rPr>
          <w:sz w:val="24"/>
          <w:szCs w:val="24"/>
        </w:rPr>
      </w:pPr>
      <w:r>
        <w:rPr>
          <w:rFonts w:hint="eastAsia"/>
          <w:sz w:val="24"/>
          <w:szCs w:val="24"/>
        </w:rPr>
        <w:t xml:space="preserve">地址： </w:t>
      </w:r>
    </w:p>
    <w:p>
      <w:pPr>
        <w:spacing w:line="360" w:lineRule="auto"/>
        <w:ind w:firstLine="480" w:firstLineChars="200"/>
        <w:rPr>
          <w:sz w:val="24"/>
          <w:szCs w:val="24"/>
        </w:rPr>
      </w:pPr>
      <w:r>
        <w:rPr>
          <w:rFonts w:hint="eastAsia"/>
          <w:sz w:val="24"/>
          <w:szCs w:val="24"/>
        </w:rPr>
        <w:t>法定代表人：</w:t>
      </w:r>
    </w:p>
    <w:p>
      <w:pPr>
        <w:spacing w:line="360" w:lineRule="auto"/>
        <w:ind w:firstLine="480" w:firstLineChars="200"/>
        <w:rPr>
          <w:sz w:val="24"/>
          <w:szCs w:val="24"/>
        </w:rPr>
      </w:pPr>
      <w:r>
        <w:rPr>
          <w:rFonts w:hint="eastAsia"/>
          <w:sz w:val="24"/>
          <w:szCs w:val="24"/>
        </w:rPr>
        <w:t>地址：</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联系邮箱：</w:t>
      </w:r>
    </w:p>
    <w:p>
      <w:pPr>
        <w:spacing w:line="360" w:lineRule="auto"/>
        <w:ind w:firstLine="480" w:firstLineChars="200"/>
        <w:rPr>
          <w:rFonts w:ascii="宋体" w:hAnsi="宋体" w:cs="宋体"/>
          <w:sz w:val="24"/>
          <w:szCs w:val="24"/>
        </w:rPr>
      </w:pPr>
      <w:r>
        <w:rPr>
          <w:rFonts w:hint="eastAsia" w:ascii="宋体" w:hAnsi="宋体" w:cs="宋体"/>
          <w:sz w:val="24"/>
          <w:szCs w:val="24"/>
        </w:rPr>
        <w:t>根据《中华人民共和国政府采购法》、《中华人民共和国民法典》及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pPr>
        <w:keepNext/>
        <w:keepLines/>
        <w:spacing w:before="120" w:after="120" w:line="415" w:lineRule="auto"/>
        <w:rPr>
          <w:rFonts w:ascii="宋体" w:hAnsi="宋体" w:cs="宋体"/>
          <w:b/>
          <w:bCs/>
          <w:sz w:val="24"/>
          <w:szCs w:val="24"/>
        </w:rPr>
      </w:pPr>
      <w:bookmarkStart w:id="224" w:name="_Toc217446107"/>
      <w:r>
        <w:rPr>
          <w:rFonts w:hint="eastAsia" w:ascii="宋体" w:hAnsi="宋体" w:cs="宋体"/>
          <w:b/>
          <w:bCs/>
          <w:sz w:val="24"/>
          <w:szCs w:val="24"/>
        </w:rPr>
        <w:t>一、合同内容</w:t>
      </w:r>
      <w:bookmarkEnd w:id="224"/>
    </w:p>
    <w:p>
      <w:pPr>
        <w:spacing w:line="360" w:lineRule="auto"/>
        <w:ind w:firstLine="480" w:firstLineChars="200"/>
        <w:rPr>
          <w:rFonts w:ascii="宋体" w:hAnsi="宋体" w:cs="宋体"/>
          <w:sz w:val="24"/>
          <w:szCs w:val="24"/>
        </w:rPr>
      </w:pPr>
      <w:r>
        <w:rPr>
          <w:rFonts w:hint="eastAsia" w:ascii="宋体" w:hAnsi="宋体" w:cs="宋体"/>
          <w:sz w:val="24"/>
          <w:szCs w:val="24"/>
        </w:rPr>
        <w:t>1、货物：详见附件1《合同货物分项清单》；</w:t>
      </w:r>
    </w:p>
    <w:p>
      <w:pPr>
        <w:spacing w:line="360" w:lineRule="auto"/>
        <w:ind w:firstLine="480" w:firstLineChars="200"/>
        <w:rPr>
          <w:rFonts w:ascii="宋体" w:hAnsi="宋体" w:cs="宋体"/>
          <w:sz w:val="24"/>
          <w:szCs w:val="24"/>
        </w:rPr>
      </w:pPr>
      <w:r>
        <w:rPr>
          <w:rFonts w:hint="eastAsia" w:ascii="宋体" w:hAnsi="宋体" w:cs="宋体"/>
          <w:sz w:val="24"/>
          <w:szCs w:val="24"/>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pPr>
        <w:keepNext/>
        <w:keepLines/>
        <w:spacing w:before="120" w:after="120" w:line="415" w:lineRule="auto"/>
        <w:rPr>
          <w:rFonts w:ascii="宋体" w:hAnsi="宋体" w:cs="宋体"/>
          <w:b/>
          <w:bCs/>
          <w:sz w:val="24"/>
          <w:szCs w:val="24"/>
        </w:rPr>
      </w:pPr>
      <w:r>
        <w:rPr>
          <w:rFonts w:hint="eastAsia" w:ascii="宋体" w:hAnsi="宋体" w:cs="宋体"/>
          <w:b/>
          <w:bCs/>
          <w:sz w:val="24"/>
          <w:szCs w:val="24"/>
        </w:rPr>
        <w:t>二、合同总价</w:t>
      </w:r>
    </w:p>
    <w:p>
      <w:pPr>
        <w:ind w:firstLine="420" w:firstLineChars="175"/>
        <w:rPr>
          <w:rFonts w:ascii="宋体" w:hAnsi="宋体" w:cs="宋体"/>
          <w:sz w:val="24"/>
          <w:szCs w:val="24"/>
        </w:rPr>
      </w:pPr>
      <w:r>
        <w:rPr>
          <w:rFonts w:hint="eastAsia" w:ascii="宋体" w:hAnsi="宋体" w:cs="宋体"/>
          <w:sz w:val="24"/>
          <w:szCs w:val="24"/>
        </w:rPr>
        <w:t>合同总价为人民币大写：元，即元；该合同总价为已包括但不限于货物设计、材料、制造、包装、运输、安装、调试、检测、验收合格交付使用之前及保修期内保修服务与备用物件等所有其他有关各项的含税费用。本合同执行期间合同总价不变，甲方无须另向乙方支付本合同约定之外的其他任何费用。</w:t>
      </w:r>
    </w:p>
    <w:p>
      <w:pPr>
        <w:keepNext/>
        <w:keepLines/>
        <w:spacing w:before="120" w:after="120" w:line="415" w:lineRule="auto"/>
        <w:rPr>
          <w:rFonts w:ascii="宋体" w:hAnsi="宋体" w:cs="宋体"/>
          <w:b/>
          <w:bCs/>
          <w:sz w:val="24"/>
          <w:szCs w:val="24"/>
        </w:rPr>
      </w:pPr>
      <w:bookmarkStart w:id="225" w:name="_Toc217446109"/>
      <w:r>
        <w:rPr>
          <w:rFonts w:hint="eastAsia" w:ascii="宋体" w:hAnsi="宋体" w:cs="宋体"/>
          <w:b/>
          <w:bCs/>
          <w:sz w:val="24"/>
          <w:szCs w:val="24"/>
        </w:rPr>
        <w:t>三、质量要求</w:t>
      </w:r>
      <w:bookmarkEnd w:id="225"/>
    </w:p>
    <w:p>
      <w:pPr>
        <w:spacing w:line="360" w:lineRule="auto"/>
        <w:ind w:firstLine="480" w:firstLineChars="200"/>
        <w:rPr>
          <w:rFonts w:ascii="宋体" w:hAnsi="宋体" w:cs="宋体"/>
          <w:sz w:val="24"/>
          <w:szCs w:val="24"/>
        </w:rPr>
      </w:pPr>
      <w:r>
        <w:rPr>
          <w:rFonts w:hint="eastAsia" w:ascii="宋体" w:hAnsi="宋体" w:cs="宋体"/>
          <w:sz w:val="24"/>
          <w:szCs w:val="24"/>
        </w:rPr>
        <w:t>1、乙方须提供全新的货物（含零部件、配件等），表面无划伤、无碰撞痕迹，且权属清楚，不得侵害他人的知识产权及其他合法权益。</w:t>
      </w:r>
    </w:p>
    <w:p>
      <w:pPr>
        <w:spacing w:line="360" w:lineRule="auto"/>
        <w:ind w:firstLine="480" w:firstLineChars="200"/>
        <w:rPr>
          <w:rFonts w:ascii="宋体" w:hAnsi="宋体" w:cs="宋体"/>
          <w:sz w:val="24"/>
          <w:szCs w:val="24"/>
        </w:rPr>
      </w:pPr>
      <w:r>
        <w:rPr>
          <w:rFonts w:hint="eastAsia" w:ascii="宋体" w:hAnsi="宋体" w:cs="宋体"/>
          <w:sz w:val="24"/>
          <w:szCs w:val="24"/>
        </w:rPr>
        <w:t>2、货物必须符合或优于国家（行业）标准、本项目《招标文件》的技术要求。</w:t>
      </w:r>
    </w:p>
    <w:p>
      <w:pPr>
        <w:spacing w:line="360" w:lineRule="auto"/>
        <w:ind w:firstLine="480" w:firstLineChars="200"/>
        <w:rPr>
          <w:rFonts w:ascii="宋体" w:hAnsi="宋体" w:cs="宋体"/>
          <w:sz w:val="24"/>
          <w:szCs w:val="24"/>
        </w:rPr>
      </w:pPr>
      <w:r>
        <w:rPr>
          <w:rFonts w:hint="eastAsia" w:ascii="宋体" w:hAnsi="宋体" w:cs="宋体"/>
          <w:sz w:val="24"/>
          <w:szCs w:val="24"/>
        </w:rPr>
        <w:t>3、质保期内货物质量出现问题，乙方应负责三包（包修、包换、包退），费用由乙方负担。</w:t>
      </w:r>
    </w:p>
    <w:p>
      <w:pPr>
        <w:spacing w:line="360" w:lineRule="auto"/>
        <w:ind w:firstLine="480" w:firstLineChars="200"/>
        <w:rPr>
          <w:rFonts w:ascii="宋体" w:hAnsi="宋体" w:cs="宋体"/>
          <w:sz w:val="24"/>
          <w:szCs w:val="24"/>
        </w:rPr>
      </w:pPr>
      <w:r>
        <w:rPr>
          <w:rFonts w:hint="eastAsia" w:ascii="宋体" w:hAnsi="宋体" w:cs="宋体"/>
          <w:sz w:val="24"/>
          <w:szCs w:val="24"/>
        </w:rPr>
        <w:t>4、货到现场后由于甲方保管不当造成的质量问题，乙方亦应负责修理，但费用由甲方负担。</w:t>
      </w:r>
    </w:p>
    <w:p>
      <w:pPr>
        <w:keepNext/>
        <w:keepLines/>
        <w:spacing w:before="120" w:after="120" w:line="415" w:lineRule="auto"/>
        <w:rPr>
          <w:rFonts w:ascii="宋体" w:hAnsi="宋体" w:cs="宋体"/>
          <w:b/>
          <w:bCs/>
          <w:sz w:val="24"/>
          <w:szCs w:val="24"/>
        </w:rPr>
      </w:pPr>
      <w:bookmarkStart w:id="226" w:name="_Toc217446110"/>
      <w:r>
        <w:rPr>
          <w:rFonts w:hint="eastAsia" w:ascii="宋体" w:hAnsi="宋体" w:cs="宋体"/>
          <w:b/>
          <w:bCs/>
          <w:sz w:val="24"/>
          <w:szCs w:val="24"/>
        </w:rPr>
        <w:t>四、交货及验收</w:t>
      </w:r>
      <w:bookmarkEnd w:id="226"/>
    </w:p>
    <w:p>
      <w:pPr>
        <w:spacing w:line="360" w:lineRule="auto"/>
        <w:ind w:firstLine="480" w:firstLineChars="200"/>
        <w:rPr>
          <w:rFonts w:ascii="宋体" w:hAnsi="宋体" w:cs="宋体"/>
          <w:sz w:val="24"/>
          <w:szCs w:val="24"/>
        </w:rPr>
      </w:pPr>
      <w:r>
        <w:rPr>
          <w:rFonts w:hint="eastAsia" w:ascii="宋体" w:hAnsi="宋体" w:cs="宋体"/>
          <w:sz w:val="24"/>
          <w:szCs w:val="24"/>
        </w:rPr>
        <w:t>1、乙方在本合同签订生效之日起</w:t>
      </w:r>
      <w:r>
        <w:rPr>
          <w:rFonts w:hint="eastAsia" w:ascii="宋体" w:hAnsi="宋体" w:cs="宋体"/>
          <w:sz w:val="24"/>
          <w:szCs w:val="24"/>
          <w:u w:val="single"/>
        </w:rPr>
        <w:t xml:space="preserve">    </w:t>
      </w:r>
      <w:r>
        <w:rPr>
          <w:rFonts w:hint="eastAsia" w:ascii="宋体" w:hAnsi="宋体" w:cs="宋体"/>
          <w:sz w:val="24"/>
          <w:szCs w:val="24"/>
        </w:rPr>
        <w:t>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pPr>
        <w:spacing w:line="360" w:lineRule="auto"/>
        <w:ind w:firstLine="480" w:firstLineChars="200"/>
        <w:rPr>
          <w:rFonts w:ascii="宋体" w:hAnsi="宋体" w:cs="宋体"/>
          <w:sz w:val="24"/>
          <w:szCs w:val="24"/>
        </w:rPr>
      </w:pPr>
      <w:r>
        <w:rPr>
          <w:rFonts w:hint="eastAsia" w:ascii="宋体" w:hAnsi="宋体" w:cs="宋体"/>
          <w:sz w:val="24"/>
          <w:szCs w:val="24"/>
        </w:rPr>
        <w:t>2、验收由甲方组织，乙方配合进行：</w:t>
      </w:r>
    </w:p>
    <w:p>
      <w:pPr>
        <w:spacing w:line="360" w:lineRule="auto"/>
        <w:ind w:firstLine="480" w:firstLineChars="200"/>
        <w:rPr>
          <w:rFonts w:ascii="宋体" w:hAnsi="宋体" w:cs="宋体"/>
          <w:sz w:val="24"/>
          <w:szCs w:val="24"/>
        </w:rPr>
      </w:pPr>
      <w:r>
        <w:rPr>
          <w:rFonts w:hint="eastAsia" w:ascii="宋体" w:hAnsi="宋体" w:cs="宋体"/>
          <w:sz w:val="24"/>
          <w:szCs w:val="24"/>
        </w:rPr>
        <w:t>(1) 货物在甲方接到乙方通知安装调试完毕后进入试用期；试用期间发生质量问题，修复后试用期相应顺延；试用期结束后</w:t>
      </w:r>
      <w:r>
        <w:rPr>
          <w:rFonts w:hint="eastAsia" w:ascii="宋体" w:hAnsi="宋体" w:cs="宋体"/>
          <w:sz w:val="24"/>
          <w:szCs w:val="24"/>
          <w:u w:val="single"/>
        </w:rPr>
        <w:t xml:space="preserve">    </w:t>
      </w:r>
      <w:r>
        <w:rPr>
          <w:rFonts w:hint="eastAsia" w:ascii="宋体" w:hAnsi="宋体" w:cs="宋体"/>
          <w:sz w:val="24"/>
          <w:szCs w:val="24"/>
        </w:rPr>
        <w:t>日内完成初步验收，初步验收合格后，乙方向甲方提出最终验收书面申请，甲方组织相关专家进行最终验收。</w:t>
      </w:r>
    </w:p>
    <w:p>
      <w:pPr>
        <w:spacing w:line="360" w:lineRule="auto"/>
        <w:ind w:firstLine="480" w:firstLineChars="200"/>
        <w:rPr>
          <w:rFonts w:ascii="宋体" w:hAnsi="宋体" w:cs="宋体"/>
          <w:sz w:val="24"/>
          <w:szCs w:val="24"/>
        </w:rPr>
      </w:pPr>
      <w:r>
        <w:rPr>
          <w:rFonts w:hint="eastAsia" w:ascii="宋体" w:hAnsi="宋体" w:cs="宋体"/>
          <w:sz w:val="24"/>
          <w:szCs w:val="24"/>
        </w:rPr>
        <w:t>(2)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360" w:lineRule="auto"/>
        <w:ind w:firstLine="480" w:firstLineChars="200"/>
        <w:rPr>
          <w:rFonts w:ascii="宋体" w:hAnsi="宋体" w:cs="宋体"/>
          <w:sz w:val="24"/>
          <w:szCs w:val="24"/>
        </w:rPr>
      </w:pPr>
      <w:r>
        <w:rPr>
          <w:rFonts w:hint="eastAsia" w:ascii="宋体" w:hAnsi="宋体" w:cs="宋体"/>
          <w:sz w:val="24"/>
          <w:szCs w:val="24"/>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360" w:lineRule="auto"/>
        <w:ind w:firstLine="480" w:firstLineChars="200"/>
        <w:rPr>
          <w:rFonts w:ascii="宋体" w:hAnsi="宋体" w:cs="宋体"/>
          <w:sz w:val="24"/>
          <w:szCs w:val="24"/>
        </w:rPr>
      </w:pPr>
      <w:r>
        <w:rPr>
          <w:rFonts w:hint="eastAsia" w:ascii="宋体" w:hAnsi="宋体" w:cs="宋体"/>
          <w:sz w:val="24"/>
          <w:szCs w:val="24"/>
        </w:rPr>
        <w:t>(4) 如质量验收合格，甲乙双方签署质量验收报告，且乙方将本合同项下的全部有关产品说明书、原厂家安装手册、技术文件、资料及安装、测试、验收报告等文件汇集成册交付甲方。</w:t>
      </w:r>
    </w:p>
    <w:p>
      <w:pPr>
        <w:spacing w:line="360" w:lineRule="auto"/>
        <w:ind w:firstLine="480" w:firstLineChars="200"/>
        <w:rPr>
          <w:rFonts w:ascii="宋体" w:hAnsi="宋体" w:cs="宋体"/>
          <w:sz w:val="24"/>
          <w:szCs w:val="24"/>
        </w:rPr>
      </w:pPr>
      <w:r>
        <w:rPr>
          <w:rFonts w:hint="eastAsia" w:ascii="宋体" w:hAnsi="宋体" w:cs="宋体"/>
          <w:sz w:val="24"/>
          <w:szCs w:val="24"/>
        </w:rPr>
        <w:t>3、乙方应将所提供货物的装箱清单、配件、随机工具、用户使用手册、原厂保修卡等资料交付给甲方；乙方不能完整交付货物及本款规定的单证和工具的，必须负责补齐，否则视为未按合同约定交货。</w:t>
      </w:r>
    </w:p>
    <w:p>
      <w:pPr>
        <w:spacing w:line="360" w:lineRule="auto"/>
        <w:ind w:firstLine="480" w:firstLineChars="200"/>
        <w:rPr>
          <w:rFonts w:ascii="宋体" w:hAnsi="宋体" w:cs="宋体"/>
          <w:sz w:val="24"/>
          <w:szCs w:val="24"/>
        </w:rPr>
      </w:pPr>
      <w:r>
        <w:rPr>
          <w:rFonts w:hint="eastAsia" w:ascii="宋体" w:hAnsi="宋体" w:cs="宋体"/>
          <w:sz w:val="24"/>
          <w:szCs w:val="24"/>
        </w:rPr>
        <w:t>4、其他未尽事宜应严格按照《关于进一步加强政府采购需求和履约验收管理的指导意见》（财库[2016]205号）及《四川省政府采购项目需求论证和履约验收管理办法》（川财采〔2015〕32号）的要求进行。</w:t>
      </w:r>
    </w:p>
    <w:p>
      <w:pPr>
        <w:keepNext/>
        <w:keepLines/>
        <w:spacing w:before="120" w:after="120" w:line="415" w:lineRule="auto"/>
        <w:rPr>
          <w:rFonts w:ascii="宋体" w:hAnsi="宋体" w:cs="宋体"/>
          <w:b/>
          <w:bCs/>
          <w:sz w:val="24"/>
          <w:szCs w:val="24"/>
        </w:rPr>
      </w:pPr>
      <w:bookmarkStart w:id="227" w:name="_Toc217446111"/>
      <w:r>
        <w:rPr>
          <w:rFonts w:hint="eastAsia" w:ascii="宋体" w:hAnsi="宋体" w:cs="宋体"/>
          <w:b/>
          <w:bCs/>
          <w:sz w:val="24"/>
          <w:szCs w:val="24"/>
        </w:rPr>
        <w:t>五、付款方式</w:t>
      </w:r>
      <w:bookmarkEnd w:id="227"/>
    </w:p>
    <w:p>
      <w:pPr>
        <w:spacing w:line="360" w:lineRule="exact"/>
        <w:ind w:firstLine="470" w:firstLineChars="196"/>
        <w:rPr>
          <w:rFonts w:ascii="宋体" w:hAnsi="宋体" w:cs="宋体"/>
          <w:bCs/>
          <w:sz w:val="24"/>
          <w:szCs w:val="24"/>
        </w:rPr>
      </w:pPr>
      <w:r>
        <w:rPr>
          <w:rFonts w:hint="eastAsia" w:ascii="宋体" w:hAnsi="宋体" w:cs="宋体"/>
          <w:sz w:val="24"/>
          <w:szCs w:val="24"/>
        </w:rPr>
        <w:t>1、在中标通知书发出后5个工作日内签订合同、备案后，乙方向甲方提交相关票据凭证资料，甲方按照财政性资金支付有关规定向乙方支付合同总金额30%的合同款。</w:t>
      </w:r>
      <w:r>
        <w:rPr>
          <w:rFonts w:hint="eastAsia" w:ascii="宋体" w:hAnsi="宋体" w:cs="宋体"/>
          <w:bCs/>
          <w:sz w:val="24"/>
          <w:szCs w:val="24"/>
        </w:rPr>
        <w:t>项目实施完成经验收合格，乙方向甲方提交相关票据凭证资料后30日内，甲方按照财政性资金支付有关规定向乙方支付合同总金额70%的合同款。</w:t>
      </w:r>
    </w:p>
    <w:p>
      <w:pPr>
        <w:spacing w:line="360" w:lineRule="auto"/>
        <w:ind w:firstLine="480" w:firstLineChars="200"/>
        <w:rPr>
          <w:rFonts w:ascii="宋体" w:hAnsi="宋体" w:cs="宋体"/>
          <w:sz w:val="24"/>
          <w:szCs w:val="24"/>
        </w:rPr>
      </w:pPr>
      <w:r>
        <w:rPr>
          <w:rFonts w:hint="eastAsia" w:ascii="宋体" w:hAnsi="宋体" w:cs="宋体"/>
          <w:sz w:val="24"/>
          <w:szCs w:val="24"/>
        </w:rPr>
        <w:t>2、履约保证金：本项目不收取履约保证金。</w:t>
      </w:r>
    </w:p>
    <w:p>
      <w:pPr>
        <w:spacing w:line="360" w:lineRule="auto"/>
        <w:ind w:firstLine="480" w:firstLineChars="200"/>
        <w:rPr>
          <w:rFonts w:ascii="宋体" w:hAnsi="宋体" w:cs="宋体"/>
          <w:sz w:val="24"/>
          <w:szCs w:val="24"/>
        </w:rPr>
      </w:pPr>
      <w:r>
        <w:rPr>
          <w:rFonts w:hint="eastAsia" w:ascii="宋体" w:hAnsi="宋体" w:cs="宋体"/>
          <w:sz w:val="24"/>
          <w:szCs w:val="24"/>
        </w:rPr>
        <w:t>3、按新都区财政局相关政策要求，本合同由甲方同乙方签订，合同款项由相关学校支付给乙方。乙方须向相关学校出具合法有效完整的完税发票及凭证资料进行支付结算。</w:t>
      </w:r>
    </w:p>
    <w:p>
      <w:pPr>
        <w:keepNext/>
        <w:keepLines/>
        <w:spacing w:before="120" w:after="120" w:line="415" w:lineRule="auto"/>
        <w:rPr>
          <w:rFonts w:ascii="宋体" w:hAnsi="宋体" w:cs="宋体"/>
          <w:b/>
          <w:bCs/>
          <w:sz w:val="24"/>
          <w:szCs w:val="24"/>
        </w:rPr>
      </w:pPr>
      <w:bookmarkStart w:id="228" w:name="_Toc217446112"/>
      <w:r>
        <w:rPr>
          <w:rFonts w:hint="eastAsia" w:ascii="宋体" w:hAnsi="宋体" w:cs="宋体"/>
          <w:b/>
          <w:bCs/>
          <w:sz w:val="24"/>
          <w:szCs w:val="24"/>
        </w:rPr>
        <w:t>六、售后服务</w:t>
      </w:r>
      <w:bookmarkEnd w:id="228"/>
    </w:p>
    <w:p>
      <w:pPr>
        <w:spacing w:line="360" w:lineRule="auto"/>
        <w:ind w:firstLine="480" w:firstLineChars="200"/>
        <w:rPr>
          <w:rFonts w:ascii="宋体" w:hAnsi="宋体" w:cs="宋体"/>
          <w:sz w:val="24"/>
          <w:szCs w:val="24"/>
        </w:rPr>
      </w:pPr>
      <w:r>
        <w:rPr>
          <w:rFonts w:hint="eastAsia" w:ascii="宋体" w:hAnsi="宋体" w:cs="宋体"/>
          <w:sz w:val="24"/>
          <w:szCs w:val="24"/>
        </w:rPr>
        <w:t>1、质保期为验收合格之日起</w:t>
      </w:r>
      <w:r>
        <w:rPr>
          <w:rFonts w:hint="eastAsia" w:ascii="宋体" w:hAnsi="宋体" w:cs="宋体"/>
          <w:sz w:val="24"/>
          <w:szCs w:val="24"/>
          <w:u w:val="single"/>
        </w:rPr>
        <w:t xml:space="preserve">  </w:t>
      </w:r>
      <w:r>
        <w:rPr>
          <w:rFonts w:hint="eastAsia" w:ascii="宋体" w:hAnsi="宋体" w:cs="宋体"/>
          <w:sz w:val="24"/>
          <w:szCs w:val="24"/>
        </w:rPr>
        <w:t>年，质保期满后乙方提供终身上门服务，提供整机及关键部件备品备件。提供7*24小时热线服务和现场支持服务，质保期内出现质量问题，乙方在接到通知后</w:t>
      </w:r>
      <w:r>
        <w:rPr>
          <w:rFonts w:hint="eastAsia" w:ascii="宋体" w:hAnsi="宋体" w:cs="宋体"/>
          <w:sz w:val="24"/>
          <w:szCs w:val="24"/>
          <w:u w:val="single"/>
        </w:rPr>
        <w:t xml:space="preserve">  </w:t>
      </w:r>
      <w:r>
        <w:rPr>
          <w:rFonts w:hint="eastAsia" w:ascii="宋体" w:hAnsi="宋体" w:cs="宋体"/>
          <w:sz w:val="24"/>
          <w:szCs w:val="24"/>
        </w:rPr>
        <w:t>小时内响应到场，</w:t>
      </w:r>
      <w:r>
        <w:rPr>
          <w:rFonts w:hint="eastAsia" w:ascii="宋体" w:hAnsi="宋体" w:cs="宋体"/>
          <w:sz w:val="24"/>
          <w:szCs w:val="24"/>
          <w:u w:val="single"/>
        </w:rPr>
        <w:t xml:space="preserve">  </w:t>
      </w:r>
      <w:r>
        <w:rPr>
          <w:rFonts w:hint="eastAsia" w:ascii="宋体" w:hAnsi="宋体" w:cs="宋体"/>
          <w:sz w:val="24"/>
          <w:szCs w:val="24"/>
        </w:rPr>
        <w:t>小时内完成维修或更换，并承担修理调换的费用。</w:t>
      </w:r>
    </w:p>
    <w:p>
      <w:pPr>
        <w:spacing w:line="360" w:lineRule="auto"/>
        <w:ind w:firstLine="480" w:firstLineChars="200"/>
        <w:rPr>
          <w:rFonts w:ascii="宋体" w:hAnsi="宋体" w:cs="宋体"/>
          <w:sz w:val="24"/>
          <w:szCs w:val="24"/>
        </w:rPr>
      </w:pPr>
      <w:r>
        <w:rPr>
          <w:rFonts w:hint="eastAsia" w:ascii="宋体" w:hAnsi="宋体" w:cs="宋体"/>
          <w:sz w:val="24"/>
          <w:szCs w:val="24"/>
        </w:rPr>
        <w:t>2、乙方须指派专人（姓名：，联系电话：，）负责与甲方及相关学校联系售后服务事宜，乙方变更此联系人员需提前5个工作日以书面形式通知甲方及相关学校，否则视为未变更。 </w:t>
      </w:r>
    </w:p>
    <w:p>
      <w:pPr>
        <w:keepNext/>
        <w:keepLines/>
        <w:spacing w:before="120" w:after="120" w:line="415" w:lineRule="auto"/>
        <w:rPr>
          <w:rFonts w:ascii="宋体" w:hAnsi="宋体" w:cs="宋体"/>
          <w:b/>
          <w:bCs/>
          <w:sz w:val="24"/>
          <w:szCs w:val="24"/>
        </w:rPr>
      </w:pPr>
      <w:bookmarkStart w:id="229" w:name="_Toc217446113"/>
      <w:r>
        <w:rPr>
          <w:rFonts w:hint="eastAsia" w:ascii="宋体" w:hAnsi="宋体" w:cs="宋体"/>
          <w:b/>
          <w:bCs/>
          <w:sz w:val="24"/>
          <w:szCs w:val="24"/>
        </w:rPr>
        <w:t>七、违约责任</w:t>
      </w:r>
      <w:bookmarkEnd w:id="229"/>
    </w:p>
    <w:p>
      <w:pPr>
        <w:spacing w:line="360" w:lineRule="auto"/>
        <w:ind w:firstLine="480" w:firstLineChars="200"/>
        <w:rPr>
          <w:rFonts w:ascii="宋体" w:hAnsi="宋体" w:cs="宋体"/>
          <w:sz w:val="24"/>
          <w:szCs w:val="24"/>
        </w:rPr>
      </w:pPr>
      <w:r>
        <w:rPr>
          <w:rFonts w:hint="eastAsia" w:ascii="宋体" w:hAnsi="宋体" w:cs="宋体"/>
          <w:sz w:val="24"/>
          <w:szCs w:val="24"/>
        </w:rPr>
        <w:t>1、甲方违约责任</w:t>
      </w:r>
    </w:p>
    <w:p>
      <w:pPr>
        <w:spacing w:line="360" w:lineRule="auto"/>
        <w:ind w:firstLine="480" w:firstLineChars="200"/>
        <w:rPr>
          <w:rFonts w:ascii="宋体" w:hAnsi="宋体" w:cs="宋体"/>
          <w:sz w:val="24"/>
          <w:szCs w:val="24"/>
        </w:rPr>
      </w:pPr>
      <w:r>
        <w:rPr>
          <w:rFonts w:hint="eastAsia" w:ascii="宋体" w:hAnsi="宋体" w:cs="宋体"/>
          <w:sz w:val="24"/>
          <w:szCs w:val="24"/>
        </w:rPr>
        <w:t>（1） 甲方无正当理由拒收货物的，甲方应偿付本合同总价百分之</w:t>
      </w:r>
      <w:r>
        <w:rPr>
          <w:rFonts w:hint="eastAsia" w:ascii="宋体" w:hAnsi="宋体" w:cs="宋体"/>
          <w:sz w:val="24"/>
          <w:szCs w:val="24"/>
          <w:u w:val="single"/>
        </w:rPr>
        <w:t xml:space="preserve"> 五 </w:t>
      </w:r>
      <w:r>
        <w:rPr>
          <w:rFonts w:hint="eastAsia" w:ascii="宋体" w:hAnsi="宋体" w:cs="宋体"/>
          <w:sz w:val="24"/>
          <w:szCs w:val="24"/>
        </w:rPr>
        <w:t>的违约金；</w:t>
      </w:r>
    </w:p>
    <w:p>
      <w:pPr>
        <w:spacing w:line="360" w:lineRule="auto"/>
        <w:ind w:firstLine="480" w:firstLineChars="200"/>
        <w:rPr>
          <w:rFonts w:ascii="宋体" w:hAnsi="宋体" w:cs="宋体"/>
          <w:sz w:val="24"/>
          <w:szCs w:val="24"/>
        </w:rPr>
      </w:pPr>
      <w:r>
        <w:rPr>
          <w:rFonts w:hint="eastAsia" w:ascii="宋体" w:hAnsi="宋体" w:cs="宋体"/>
          <w:sz w:val="24"/>
          <w:szCs w:val="24"/>
        </w:rPr>
        <w:t>（2） 甲方偿付的违约金不足以弥补乙方损失的，还应按乙方损失尚未弥补的部分，支付赔偿金给乙方。</w:t>
      </w:r>
    </w:p>
    <w:p>
      <w:pPr>
        <w:spacing w:line="360" w:lineRule="auto"/>
        <w:ind w:firstLine="480" w:firstLineChars="200"/>
        <w:rPr>
          <w:rFonts w:ascii="宋体" w:hAnsi="宋体" w:cs="宋体"/>
          <w:sz w:val="24"/>
          <w:szCs w:val="24"/>
        </w:rPr>
      </w:pPr>
      <w:r>
        <w:rPr>
          <w:rFonts w:hint="eastAsia" w:ascii="宋体" w:hAnsi="宋体" w:cs="宋体"/>
          <w:sz w:val="24"/>
          <w:szCs w:val="24"/>
        </w:rPr>
        <w:t>2、乙方违约责任</w:t>
      </w:r>
    </w:p>
    <w:p>
      <w:pPr>
        <w:spacing w:line="360" w:lineRule="auto"/>
        <w:ind w:firstLine="480" w:firstLineChars="200"/>
        <w:rPr>
          <w:rFonts w:ascii="宋体" w:hAnsi="宋体" w:cs="宋体"/>
          <w:sz w:val="24"/>
          <w:szCs w:val="24"/>
        </w:rPr>
      </w:pPr>
      <w:r>
        <w:rPr>
          <w:rFonts w:hint="eastAsia" w:ascii="宋体" w:hAnsi="宋体" w:cs="宋体"/>
          <w:sz w:val="24"/>
          <w:szCs w:val="24"/>
        </w:rPr>
        <w:t>（1）乙方交付的货物质量不符合本合同约定的，乙方应向甲方支付合同总价的百分之</w:t>
      </w:r>
      <w:r>
        <w:rPr>
          <w:rFonts w:hint="eastAsia" w:ascii="宋体" w:hAnsi="宋体" w:cs="宋体"/>
          <w:sz w:val="24"/>
          <w:szCs w:val="24"/>
          <w:u w:val="single"/>
        </w:rPr>
        <w:t xml:space="preserve"> 五 </w:t>
      </w:r>
      <w:r>
        <w:rPr>
          <w:rFonts w:hint="eastAsia" w:ascii="宋体" w:hAnsi="宋体" w:cs="宋体"/>
          <w:sz w:val="24"/>
          <w:szCs w:val="24"/>
        </w:rPr>
        <w:t>的违约金，并须在合同约定的交货时间内更换合格的货物给甲方，否则，视作乙方不能交付货物而违约，按本条本款下述第“（2）”项规定由乙方偿付违约赔偿金给甲方。</w:t>
      </w:r>
    </w:p>
    <w:p>
      <w:pPr>
        <w:spacing w:line="360" w:lineRule="auto"/>
        <w:ind w:firstLine="480" w:firstLineChars="200"/>
        <w:rPr>
          <w:rFonts w:ascii="宋体" w:hAnsi="宋体" w:cs="宋体"/>
          <w:sz w:val="24"/>
          <w:szCs w:val="24"/>
        </w:rPr>
      </w:pPr>
      <w:r>
        <w:rPr>
          <w:rFonts w:hint="eastAsia" w:ascii="宋体" w:hAnsi="宋体" w:cs="宋体"/>
          <w:sz w:val="24"/>
          <w:szCs w:val="24"/>
        </w:rPr>
        <w:t>（2）乙方不能交付货物或逾期交付货物而违约的，除应及时交足货物外，应向甲方偿付逾期交货部分货款总额的万分之</w:t>
      </w:r>
      <w:r>
        <w:rPr>
          <w:rFonts w:hint="eastAsia" w:ascii="宋体" w:hAnsi="宋体" w:cs="宋体"/>
          <w:sz w:val="24"/>
          <w:szCs w:val="24"/>
          <w:u w:val="single"/>
        </w:rPr>
        <w:t xml:space="preserve"> 五 </w:t>
      </w:r>
      <w:r>
        <w:rPr>
          <w:rFonts w:hint="eastAsia" w:ascii="宋体" w:hAnsi="宋体" w:cs="宋体"/>
          <w:sz w:val="24"/>
          <w:szCs w:val="24"/>
        </w:rPr>
        <w:t>/天的违约金；逾期交货超过</w:t>
      </w:r>
      <w:r>
        <w:rPr>
          <w:rFonts w:hint="eastAsia" w:ascii="宋体" w:hAnsi="宋体" w:cs="宋体"/>
          <w:sz w:val="24"/>
          <w:szCs w:val="24"/>
          <w:u w:val="single"/>
        </w:rPr>
        <w:t>30</w:t>
      </w:r>
      <w:r>
        <w:rPr>
          <w:rFonts w:hint="eastAsia" w:ascii="宋体" w:hAnsi="宋体" w:cs="宋体"/>
          <w:sz w:val="24"/>
          <w:szCs w:val="24"/>
        </w:rPr>
        <w:t>天，甲方有权终止合同，乙方则应按合同总价的百分之</w:t>
      </w:r>
      <w:r>
        <w:rPr>
          <w:rFonts w:hint="eastAsia" w:ascii="宋体" w:hAnsi="宋体" w:cs="宋体"/>
          <w:sz w:val="24"/>
          <w:szCs w:val="24"/>
          <w:u w:val="single"/>
        </w:rPr>
        <w:t xml:space="preserve"> 五 </w:t>
      </w:r>
      <w:r>
        <w:rPr>
          <w:rFonts w:hint="eastAsia" w:ascii="宋体" w:hAnsi="宋体" w:cs="宋体"/>
          <w:sz w:val="24"/>
          <w:szCs w:val="24"/>
        </w:rPr>
        <w:t>的款额向甲方偿付赔偿金，并须全额退还甲方已经付给乙方的货款及其利息。</w:t>
      </w:r>
    </w:p>
    <w:p>
      <w:pPr>
        <w:spacing w:line="360" w:lineRule="auto"/>
        <w:ind w:firstLine="480" w:firstLineChars="200"/>
        <w:rPr>
          <w:rFonts w:ascii="宋体" w:hAnsi="宋体" w:cs="宋体"/>
          <w:sz w:val="24"/>
          <w:szCs w:val="24"/>
        </w:rPr>
      </w:pPr>
      <w:r>
        <w:rPr>
          <w:rFonts w:hint="eastAsia" w:ascii="宋体" w:hAnsi="宋体" w:cs="宋体"/>
          <w:sz w:val="24"/>
          <w:szCs w:val="24"/>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s="宋体"/>
          <w:sz w:val="24"/>
          <w:szCs w:val="24"/>
          <w:u w:val="single"/>
        </w:rPr>
        <w:t xml:space="preserve">  15</w:t>
      </w:r>
      <w:r>
        <w:rPr>
          <w:rFonts w:hint="eastAsia" w:ascii="宋体" w:hAnsi="宋体" w:cs="宋体"/>
          <w:sz w:val="24"/>
          <w:szCs w:val="24"/>
        </w:rPr>
        <w:t>天内无条件更换合格的货物，如逾期不能更换合格的货物，甲方有权终止本合同，乙方应另付合同总价的百分之</w:t>
      </w:r>
      <w:r>
        <w:rPr>
          <w:rFonts w:hint="eastAsia" w:ascii="宋体" w:hAnsi="宋体" w:cs="宋体"/>
          <w:sz w:val="24"/>
          <w:szCs w:val="24"/>
          <w:u w:val="single"/>
        </w:rPr>
        <w:t>五</w:t>
      </w:r>
      <w:r>
        <w:rPr>
          <w:rFonts w:hint="eastAsia" w:ascii="宋体" w:hAnsi="宋体" w:cs="宋体"/>
          <w:sz w:val="24"/>
          <w:szCs w:val="24"/>
        </w:rPr>
        <w:t>的赔偿金给甲方。</w:t>
      </w:r>
    </w:p>
    <w:p>
      <w:pPr>
        <w:spacing w:line="360" w:lineRule="auto"/>
        <w:ind w:firstLine="480" w:firstLineChars="200"/>
        <w:rPr>
          <w:rFonts w:ascii="宋体" w:hAnsi="宋体" w:cs="宋体"/>
          <w:sz w:val="24"/>
          <w:szCs w:val="24"/>
        </w:rPr>
      </w:pPr>
      <w:r>
        <w:rPr>
          <w:rFonts w:hint="eastAsia" w:ascii="宋体" w:hAnsi="宋体" w:cs="宋体"/>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cs="宋体"/>
          <w:sz w:val="24"/>
          <w:szCs w:val="24"/>
          <w:u w:val="single"/>
        </w:rPr>
        <w:t>五</w:t>
      </w:r>
      <w:r>
        <w:rPr>
          <w:rFonts w:hint="eastAsia" w:ascii="宋体" w:hAnsi="宋体" w:cs="宋体"/>
          <w:sz w:val="24"/>
          <w:szCs w:val="24"/>
        </w:rPr>
        <w:t>向甲方支付违约金并赔偿因此给甲方造成的一切损失。</w:t>
      </w:r>
    </w:p>
    <w:p>
      <w:pPr>
        <w:spacing w:line="360" w:lineRule="auto"/>
        <w:ind w:firstLine="480" w:firstLineChars="200"/>
        <w:rPr>
          <w:rFonts w:ascii="宋体" w:hAnsi="宋体" w:cs="宋体"/>
          <w:sz w:val="24"/>
          <w:szCs w:val="24"/>
        </w:rPr>
      </w:pPr>
      <w:r>
        <w:rPr>
          <w:rFonts w:hint="eastAsia" w:ascii="宋体" w:hAnsi="宋体" w:cs="宋体"/>
          <w:sz w:val="24"/>
          <w:szCs w:val="24"/>
        </w:rPr>
        <w:t>（5）乙方偿付的违约金不足以弥补甲方损失的，还应按甲方损失尚未弥补的部分，支付赔偿金给甲方。</w:t>
      </w:r>
    </w:p>
    <w:p>
      <w:pPr>
        <w:keepNext/>
        <w:keepLines/>
        <w:spacing w:before="120" w:after="120" w:line="415" w:lineRule="auto"/>
        <w:rPr>
          <w:rFonts w:ascii="宋体" w:hAnsi="宋体" w:cs="宋体"/>
          <w:b/>
          <w:bCs/>
          <w:sz w:val="24"/>
          <w:szCs w:val="24"/>
        </w:rPr>
      </w:pPr>
      <w:bookmarkStart w:id="230" w:name="_Toc217446114"/>
      <w:r>
        <w:rPr>
          <w:rFonts w:hint="eastAsia" w:ascii="宋体" w:hAnsi="宋体" w:cs="宋体"/>
          <w:b/>
          <w:bCs/>
          <w:sz w:val="24"/>
          <w:szCs w:val="24"/>
        </w:rPr>
        <w:t>八、争议解决办法</w:t>
      </w:r>
      <w:bookmarkEnd w:id="230"/>
    </w:p>
    <w:p>
      <w:pPr>
        <w:spacing w:line="360" w:lineRule="auto"/>
        <w:ind w:firstLine="480" w:firstLineChars="200"/>
        <w:rPr>
          <w:rFonts w:ascii="宋体" w:hAnsi="宋体" w:cs="宋体"/>
          <w:sz w:val="24"/>
          <w:szCs w:val="24"/>
        </w:rPr>
      </w:pPr>
      <w:r>
        <w:rPr>
          <w:rFonts w:hint="eastAsia" w:ascii="宋体" w:hAnsi="宋体" w:cs="宋体"/>
          <w:sz w:val="24"/>
          <w:szCs w:val="24"/>
        </w:rPr>
        <w:t>1、因货物的质量问题发生争议，由质量技术监督部门或其指定的质量鉴定机构进行质量鉴定。货物符合标准的，鉴定费由甲方承担；货物不符合质量标准的，鉴定费由乙方承担。</w:t>
      </w:r>
    </w:p>
    <w:p>
      <w:pPr>
        <w:spacing w:line="360" w:lineRule="auto"/>
        <w:ind w:firstLine="480" w:firstLineChars="200"/>
        <w:rPr>
          <w:rFonts w:ascii="宋体" w:hAnsi="宋体" w:cs="宋体"/>
          <w:sz w:val="24"/>
          <w:szCs w:val="24"/>
        </w:rPr>
      </w:pPr>
      <w:r>
        <w:rPr>
          <w:rFonts w:hint="eastAsia" w:ascii="宋体" w:hAnsi="宋体" w:cs="宋体"/>
          <w:sz w:val="24"/>
          <w:szCs w:val="24"/>
        </w:rPr>
        <w:t>2、合同履行期间,若双方发生争议，可协商或由有关部门调解解决，协商或调解不成的，双方均同意将该争议提交成都仲裁委员会依其仲裁规则裁决。</w:t>
      </w:r>
    </w:p>
    <w:p>
      <w:pPr>
        <w:keepNext/>
        <w:keepLines/>
        <w:spacing w:before="120" w:after="120" w:line="415" w:lineRule="auto"/>
        <w:rPr>
          <w:rFonts w:ascii="宋体" w:hAnsi="宋体" w:cs="宋体"/>
          <w:b/>
          <w:bCs/>
          <w:sz w:val="24"/>
          <w:szCs w:val="24"/>
        </w:rPr>
      </w:pPr>
      <w:bookmarkStart w:id="231" w:name="_Toc217446115"/>
      <w:r>
        <w:rPr>
          <w:rFonts w:hint="eastAsia" w:ascii="宋体" w:hAnsi="宋体" w:cs="宋体"/>
          <w:b/>
          <w:bCs/>
          <w:sz w:val="24"/>
          <w:szCs w:val="24"/>
        </w:rPr>
        <w:t>九、其他</w:t>
      </w:r>
      <w:bookmarkEnd w:id="231"/>
    </w:p>
    <w:p>
      <w:pPr>
        <w:spacing w:line="360" w:lineRule="auto"/>
        <w:ind w:firstLine="480" w:firstLineChars="200"/>
        <w:rPr>
          <w:rFonts w:ascii="宋体" w:hAnsi="宋体" w:cs="宋体"/>
          <w:sz w:val="24"/>
          <w:szCs w:val="24"/>
        </w:rPr>
      </w:pPr>
      <w:r>
        <w:rPr>
          <w:rFonts w:hint="eastAsia" w:ascii="宋体" w:hAnsi="宋体" w:cs="宋体"/>
          <w:sz w:val="24"/>
          <w:szCs w:val="24"/>
        </w:rPr>
        <w:t>1、本合同如有未尽事宜，由甲乙双方依法订立补充合同，补充合同与本合同具有同等法律效力。</w:t>
      </w:r>
    </w:p>
    <w:p>
      <w:pPr>
        <w:spacing w:line="360" w:lineRule="auto"/>
        <w:ind w:firstLine="480" w:firstLineChars="200"/>
        <w:rPr>
          <w:rFonts w:ascii="宋体" w:hAnsi="宋体" w:cs="宋体"/>
          <w:sz w:val="24"/>
          <w:szCs w:val="24"/>
        </w:rPr>
      </w:pPr>
      <w:r>
        <w:rPr>
          <w:rFonts w:hint="eastAsia" w:ascii="宋体" w:hAnsi="宋体" w:cs="宋体"/>
          <w:sz w:val="24"/>
          <w:szCs w:val="24"/>
        </w:rPr>
        <w:t>2、本合同壹式陆份，自甲乙双方法定代表人或授权代表签字并加盖单位公章之日起生效。甲方持叁份，乙方、政府采购管理部门、采购代理机构各持壹份，均具有同等法律效力。</w:t>
      </w:r>
    </w:p>
    <w:p>
      <w:pPr>
        <w:keepNext/>
        <w:keepLines/>
        <w:spacing w:before="120" w:after="120" w:line="415" w:lineRule="auto"/>
        <w:rPr>
          <w:rFonts w:ascii="宋体" w:hAnsi="宋体" w:cs="宋体"/>
          <w:b/>
          <w:bCs/>
          <w:sz w:val="24"/>
          <w:szCs w:val="24"/>
        </w:rPr>
      </w:pPr>
      <w:r>
        <w:rPr>
          <w:rFonts w:hint="eastAsia" w:ascii="宋体" w:hAnsi="宋体" w:cs="宋体"/>
          <w:b/>
          <w:bCs/>
          <w:sz w:val="24"/>
          <w:szCs w:val="24"/>
        </w:rPr>
        <w:t>十、附件</w:t>
      </w:r>
    </w:p>
    <w:p>
      <w:pPr>
        <w:spacing w:line="400" w:lineRule="exact"/>
        <w:rPr>
          <w:rFonts w:ascii="宋体" w:hAnsi="宋体" w:cs="宋体"/>
          <w:sz w:val="24"/>
          <w:szCs w:val="24"/>
        </w:rPr>
      </w:pPr>
      <w:r>
        <w:rPr>
          <w:rFonts w:hint="eastAsia" w:ascii="宋体" w:hAnsi="宋体" w:cs="宋体"/>
          <w:sz w:val="24"/>
          <w:szCs w:val="24"/>
        </w:rPr>
        <w:t>附件1:《合同货物分项清单》；</w:t>
      </w:r>
    </w:p>
    <w:p>
      <w:pPr>
        <w:spacing w:line="400" w:lineRule="exact"/>
        <w:ind w:firstLine="480" w:firstLineChars="200"/>
        <w:rPr>
          <w:rFonts w:ascii="宋体" w:hAnsi="宋体" w:cs="宋体"/>
          <w:sz w:val="24"/>
          <w:szCs w:val="24"/>
        </w:rPr>
      </w:pPr>
    </w:p>
    <w:p>
      <w:pPr>
        <w:snapToGrid w:val="0"/>
        <w:spacing w:line="360" w:lineRule="auto"/>
        <w:rPr>
          <w:rFonts w:ascii="宋体" w:hAnsi="宋体" w:cs="宋体"/>
          <w:sz w:val="24"/>
          <w:szCs w:val="24"/>
        </w:rPr>
      </w:pPr>
      <w:r>
        <w:rPr>
          <w:rFonts w:hint="eastAsia" w:ascii="宋体" w:hAnsi="宋体" w:cs="宋体"/>
          <w:sz w:val="24"/>
          <w:szCs w:val="24"/>
        </w:rPr>
        <w:t>甲方（盖章）：成都市新都区教育局</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乙方（盖章）： </w:t>
      </w:r>
    </w:p>
    <w:p>
      <w:pPr>
        <w:snapToGrid w:val="0"/>
        <w:spacing w:line="360" w:lineRule="auto"/>
        <w:rPr>
          <w:rFonts w:ascii="宋体" w:hAnsi="宋体" w:cs="宋体"/>
          <w:sz w:val="24"/>
          <w:szCs w:val="24"/>
        </w:rPr>
      </w:pPr>
      <w:r>
        <w:rPr>
          <w:rFonts w:hint="eastAsia" w:ascii="宋体" w:hAnsi="宋体" w:cs="宋体"/>
          <w:sz w:val="24"/>
          <w:szCs w:val="24"/>
        </w:rPr>
        <w:t xml:space="preserve">法定代表人/授权代表（签字）：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法定代表人/授权代表（签字）：</w:t>
      </w:r>
    </w:p>
    <w:p>
      <w:pPr>
        <w:spacing w:line="400" w:lineRule="exact"/>
        <w:ind w:left="48" w:leftChars="23"/>
        <w:rPr>
          <w:rFonts w:ascii="宋体" w:hAnsi="宋体" w:cs="宋体"/>
          <w:sz w:val="24"/>
          <w:szCs w:val="24"/>
        </w:rPr>
      </w:pPr>
      <w:r>
        <w:rPr>
          <w:rFonts w:hint="eastAsia" w:ascii="宋体" w:hAnsi="宋体" w:cs="宋体"/>
          <w:sz w:val="24"/>
          <w:szCs w:val="24"/>
        </w:rPr>
        <w:t>地    址：成都市新都区新都镇新新街31号</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地    址：  </w:t>
      </w:r>
    </w:p>
    <w:p>
      <w:pPr>
        <w:spacing w:line="400" w:lineRule="exact"/>
        <w:ind w:left="48" w:leftChars="23" w:firstLine="6240" w:firstLineChars="2600"/>
        <w:rPr>
          <w:rFonts w:ascii="宋体" w:hAnsi="宋体" w:cs="宋体"/>
          <w:sz w:val="24"/>
          <w:szCs w:val="24"/>
        </w:rPr>
      </w:pPr>
    </w:p>
    <w:p>
      <w:pPr>
        <w:spacing w:line="360" w:lineRule="auto"/>
        <w:ind w:left="44" w:leftChars="21"/>
        <w:rPr>
          <w:rFonts w:ascii="宋体" w:hAnsi="宋体" w:cs="宋体"/>
          <w:sz w:val="24"/>
          <w:szCs w:val="24"/>
        </w:rPr>
      </w:pPr>
      <w:r>
        <w:rPr>
          <w:rFonts w:hint="eastAsia" w:ascii="宋体" w:hAnsi="宋体" w:cs="宋体"/>
          <w:sz w:val="24"/>
          <w:szCs w:val="24"/>
        </w:rPr>
        <w:t xml:space="preserve">开户银行：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开户银行：</w:t>
      </w:r>
    </w:p>
    <w:p>
      <w:pPr>
        <w:snapToGrid w:val="0"/>
        <w:spacing w:line="360" w:lineRule="auto"/>
        <w:ind w:firstLine="6240" w:firstLineChars="2600"/>
        <w:rPr>
          <w:sz w:val="24"/>
          <w:szCs w:val="24"/>
        </w:rPr>
      </w:pPr>
    </w:p>
    <w:p>
      <w:pPr>
        <w:snapToGrid w:val="0"/>
        <w:spacing w:line="360" w:lineRule="auto"/>
        <w:rPr>
          <w:sz w:val="24"/>
          <w:szCs w:val="24"/>
        </w:rPr>
      </w:pPr>
      <w:r>
        <w:rPr>
          <w:rFonts w:hint="eastAsia"/>
          <w:sz w:val="24"/>
          <w:szCs w:val="24"/>
        </w:rPr>
        <w:t xml:space="preserve">账 号：                        </w:t>
      </w:r>
      <w:r>
        <w:rPr>
          <w:sz w:val="24"/>
          <w:szCs w:val="24"/>
        </w:rPr>
        <w:tab/>
      </w:r>
      <w:r>
        <w:rPr>
          <w:sz w:val="24"/>
          <w:szCs w:val="24"/>
        </w:rPr>
        <w:tab/>
      </w:r>
      <w:r>
        <w:rPr>
          <w:sz w:val="24"/>
          <w:szCs w:val="24"/>
        </w:rPr>
        <w:tab/>
      </w:r>
      <w:r>
        <w:rPr>
          <w:sz w:val="24"/>
          <w:szCs w:val="24"/>
        </w:rPr>
        <w:tab/>
      </w:r>
      <w:r>
        <w:rPr>
          <w:rFonts w:hint="eastAsia"/>
          <w:sz w:val="24"/>
          <w:szCs w:val="24"/>
        </w:rPr>
        <w:t>账    号：</w:t>
      </w:r>
    </w:p>
    <w:p>
      <w:pPr>
        <w:snapToGrid w:val="0"/>
        <w:spacing w:line="360" w:lineRule="auto"/>
        <w:rPr>
          <w:sz w:val="24"/>
          <w:szCs w:val="24"/>
        </w:rPr>
      </w:pPr>
      <w:r>
        <w:rPr>
          <w:rFonts w:hint="eastAsia"/>
          <w:sz w:val="24"/>
          <w:szCs w:val="24"/>
        </w:rPr>
        <w:t xml:space="preserve">电    话：                        </w:t>
      </w:r>
      <w:r>
        <w:rPr>
          <w:sz w:val="24"/>
          <w:szCs w:val="24"/>
        </w:rPr>
        <w:tab/>
      </w:r>
      <w:r>
        <w:rPr>
          <w:sz w:val="24"/>
          <w:szCs w:val="24"/>
        </w:rPr>
        <w:tab/>
      </w:r>
      <w:r>
        <w:rPr>
          <w:sz w:val="24"/>
          <w:szCs w:val="24"/>
        </w:rPr>
        <w:tab/>
      </w:r>
      <w:r>
        <w:rPr>
          <w:rFonts w:hint="eastAsia"/>
          <w:sz w:val="24"/>
          <w:szCs w:val="24"/>
        </w:rPr>
        <w:t>电    话：</w:t>
      </w:r>
    </w:p>
    <w:p>
      <w:pPr>
        <w:snapToGrid w:val="0"/>
        <w:spacing w:line="360" w:lineRule="auto"/>
        <w:rPr>
          <w:sz w:val="24"/>
          <w:szCs w:val="24"/>
        </w:rPr>
      </w:pPr>
      <w:r>
        <w:rPr>
          <w:rFonts w:hint="eastAsia"/>
          <w:sz w:val="24"/>
          <w:szCs w:val="24"/>
        </w:rPr>
        <w:t xml:space="preserve">传    真：                       </w:t>
      </w:r>
      <w:r>
        <w:rPr>
          <w:sz w:val="24"/>
          <w:szCs w:val="24"/>
        </w:rPr>
        <w:tab/>
      </w:r>
      <w:r>
        <w:rPr>
          <w:sz w:val="24"/>
          <w:szCs w:val="24"/>
        </w:rPr>
        <w:tab/>
      </w:r>
      <w:r>
        <w:rPr>
          <w:sz w:val="24"/>
          <w:szCs w:val="24"/>
        </w:rPr>
        <w:tab/>
      </w:r>
      <w:r>
        <w:rPr>
          <w:rFonts w:hint="eastAsia"/>
          <w:sz w:val="24"/>
          <w:szCs w:val="24"/>
        </w:rPr>
        <w:t>传    真：</w:t>
      </w: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bookmarkEnd w:id="221"/>
    <w:bookmarkEnd w:id="222"/>
    <w:bookmarkEnd w:id="223"/>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2"/>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EC25A3B"/>
    <w:multiLevelType w:val="multilevel"/>
    <w:tmpl w:val="6EC25A3B"/>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4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2D26C30"/>
    <w:rsid w:val="053A5904"/>
    <w:rsid w:val="05E00B12"/>
    <w:rsid w:val="07315BED"/>
    <w:rsid w:val="09F03C3F"/>
    <w:rsid w:val="09F619A8"/>
    <w:rsid w:val="0AE06942"/>
    <w:rsid w:val="0B8E3961"/>
    <w:rsid w:val="0D874F12"/>
    <w:rsid w:val="0DAC1BFE"/>
    <w:rsid w:val="0DF95D9B"/>
    <w:rsid w:val="0E9D6386"/>
    <w:rsid w:val="10532787"/>
    <w:rsid w:val="12097942"/>
    <w:rsid w:val="12340489"/>
    <w:rsid w:val="126F141B"/>
    <w:rsid w:val="130D3883"/>
    <w:rsid w:val="1E29272B"/>
    <w:rsid w:val="1FB51152"/>
    <w:rsid w:val="24503330"/>
    <w:rsid w:val="24AC1923"/>
    <w:rsid w:val="291F16B5"/>
    <w:rsid w:val="2BC1711F"/>
    <w:rsid w:val="2FBD3A0F"/>
    <w:rsid w:val="301E6F52"/>
    <w:rsid w:val="33360F18"/>
    <w:rsid w:val="34AE707E"/>
    <w:rsid w:val="34DA14BC"/>
    <w:rsid w:val="35914949"/>
    <w:rsid w:val="39787EA5"/>
    <w:rsid w:val="39843584"/>
    <w:rsid w:val="3CB77336"/>
    <w:rsid w:val="43652F72"/>
    <w:rsid w:val="443B37DB"/>
    <w:rsid w:val="44C00E0A"/>
    <w:rsid w:val="49AC3802"/>
    <w:rsid w:val="4D0D59F0"/>
    <w:rsid w:val="4EA90980"/>
    <w:rsid w:val="519D047A"/>
    <w:rsid w:val="51A10508"/>
    <w:rsid w:val="549D42A6"/>
    <w:rsid w:val="598824F5"/>
    <w:rsid w:val="62F334AD"/>
    <w:rsid w:val="643F0C4A"/>
    <w:rsid w:val="66461D04"/>
    <w:rsid w:val="6867667B"/>
    <w:rsid w:val="68C95212"/>
    <w:rsid w:val="6A7D4F16"/>
    <w:rsid w:val="6B895C48"/>
    <w:rsid w:val="71571EAA"/>
    <w:rsid w:val="73E265C0"/>
    <w:rsid w:val="74D2239C"/>
    <w:rsid w:val="784F3E06"/>
    <w:rsid w:val="79D614E6"/>
    <w:rsid w:val="7BA01133"/>
    <w:rsid w:val="7E2D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unhideWhenUsed/>
    <w:qFormat/>
    <w:uiPriority w:val="9"/>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toc 7"/>
    <w:basedOn w:val="1"/>
    <w:next w:val="1"/>
    <w:semiHidden/>
    <w:unhideWhenUsed/>
    <w:qFormat/>
    <w:uiPriority w:val="99"/>
    <w:pPr>
      <w:ind w:left="2520" w:leftChars="1200"/>
    </w:pPr>
    <w:rPr>
      <w:rFonts w:ascii="Times New Roman" w:hAnsi="Times New Roman"/>
      <w:szCs w:val="24"/>
    </w:rPr>
  </w:style>
  <w:style w:type="paragraph" w:styleId="12">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4">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1"/>
    <w:unhideWhenUsed/>
    <w:qFormat/>
    <w:uiPriority w:val="99"/>
    <w:pPr>
      <w:jc w:val="left"/>
    </w:pPr>
    <w:rPr>
      <w:rFonts w:ascii="Times New Roman" w:hAnsi="Times New Roman"/>
      <w:kern w:val="0"/>
      <w:sz w:val="18"/>
      <w:szCs w:val="18"/>
    </w:rPr>
  </w:style>
  <w:style w:type="paragraph" w:styleId="16">
    <w:name w:val="Body Text 3"/>
    <w:basedOn w:val="1"/>
    <w:link w:val="70"/>
    <w:semiHidden/>
    <w:unhideWhenUsed/>
    <w:qFormat/>
    <w:uiPriority w:val="99"/>
    <w:pPr>
      <w:jc w:val="center"/>
    </w:pPr>
    <w:rPr>
      <w:rFonts w:ascii="Times New Roman" w:hAnsi="Times New Roman" w:eastAsia="黑体"/>
      <w:sz w:val="44"/>
      <w:szCs w:val="24"/>
    </w:rPr>
  </w:style>
  <w:style w:type="paragraph" w:styleId="17">
    <w:name w:val="Body Text"/>
    <w:basedOn w:val="1"/>
    <w:next w:val="18"/>
    <w:link w:val="185"/>
    <w:semiHidden/>
    <w:unhideWhenUsed/>
    <w:qFormat/>
    <w:uiPriority w:val="99"/>
    <w:pPr>
      <w:spacing w:after="120"/>
    </w:pPr>
  </w:style>
  <w:style w:type="paragraph" w:styleId="18">
    <w:name w:val="Plain Text"/>
    <w:basedOn w:val="1"/>
    <w:next w:val="12"/>
    <w:link w:val="190"/>
    <w:semiHidden/>
    <w:unhideWhenUsed/>
    <w:qFormat/>
    <w:uiPriority w:val="99"/>
    <w:rPr>
      <w:rFonts w:ascii="宋体" w:hAnsi="Courier New"/>
      <w:kern w:val="0"/>
      <w:sz w:val="20"/>
      <w:szCs w:val="18"/>
    </w:rPr>
  </w:style>
  <w:style w:type="paragraph" w:styleId="19">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99"/>
    <w:pPr>
      <w:ind w:left="1680" w:leftChars="800"/>
    </w:pPr>
    <w:rPr>
      <w:rFonts w:ascii="Times New Roman" w:hAnsi="Times New Roman"/>
      <w:sz w:val="18"/>
      <w:szCs w:val="18"/>
    </w:rPr>
  </w:style>
  <w:style w:type="paragraph" w:styleId="22">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5"/>
    <w:semiHidden/>
    <w:unhideWhenUsed/>
    <w:qFormat/>
    <w:uiPriority w:val="99"/>
    <w:rPr>
      <w:rFonts w:ascii="Calibri" w:hAnsi="Calibri"/>
      <w:b/>
      <w:bCs/>
      <w:kern w:val="2"/>
      <w:sz w:val="21"/>
      <w:szCs w:val="22"/>
    </w:rPr>
  </w:style>
  <w:style w:type="paragraph" w:styleId="41">
    <w:name w:val="Body Text First Indent"/>
    <w:basedOn w:val="17"/>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4"/>
    <w:link w:val="2"/>
    <w:qFormat/>
    <w:uiPriority w:val="9"/>
    <w:rPr>
      <w:rFonts w:ascii="宋体" w:hAnsi="宋体" w:eastAsia="宋体" w:cs="宋体"/>
      <w:b/>
      <w:bCs/>
      <w:spacing w:val="-20"/>
      <w:kern w:val="44"/>
      <w:sz w:val="32"/>
      <w:szCs w:val="32"/>
    </w:rPr>
  </w:style>
  <w:style w:type="character" w:customStyle="1" w:styleId="51">
    <w:name w:val="标题 2 Char"/>
    <w:basedOn w:val="44"/>
    <w:link w:val="3"/>
    <w:qFormat/>
    <w:uiPriority w:val="0"/>
    <w:rPr>
      <w:rFonts w:ascii="宋体" w:hAnsi="宋体" w:eastAsia="宋体" w:cs="宋体"/>
      <w:b/>
      <w:bCs/>
      <w:sz w:val="28"/>
      <w:szCs w:val="28"/>
    </w:rPr>
  </w:style>
  <w:style w:type="character" w:customStyle="1" w:styleId="52">
    <w:name w:val="标题 3 Char"/>
    <w:basedOn w:val="44"/>
    <w:link w:val="4"/>
    <w:qFormat/>
    <w:uiPriority w:val="0"/>
    <w:rPr>
      <w:rFonts w:ascii="宋体" w:hAnsi="宋体" w:eastAsia="宋体" w:cs="宋体"/>
      <w:b/>
      <w:bCs/>
      <w:color w:val="000000"/>
      <w:kern w:val="0"/>
      <w:sz w:val="28"/>
      <w:szCs w:val="28"/>
    </w:rPr>
  </w:style>
  <w:style w:type="character" w:customStyle="1" w:styleId="53">
    <w:name w:val="标题 4 Char"/>
    <w:basedOn w:val="44"/>
    <w:link w:val="5"/>
    <w:qFormat/>
    <w:uiPriority w:val="0"/>
    <w:rPr>
      <w:rFonts w:ascii="Arial" w:hAnsi="Arial" w:eastAsia="宋体" w:cs="Times New Roman"/>
      <w:b/>
      <w:bCs/>
      <w:kern w:val="0"/>
      <w:sz w:val="28"/>
      <w:szCs w:val="28"/>
    </w:rPr>
  </w:style>
  <w:style w:type="character" w:customStyle="1" w:styleId="54">
    <w:name w:val="标题 5 Char"/>
    <w:basedOn w:val="44"/>
    <w:link w:val="6"/>
    <w:qFormat/>
    <w:uiPriority w:val="9"/>
    <w:rPr>
      <w:rFonts w:ascii="Calibri" w:hAnsi="Calibri" w:eastAsia="宋体" w:cs="宋体"/>
      <w:b/>
      <w:bCs/>
      <w:kern w:val="0"/>
      <w:sz w:val="28"/>
      <w:szCs w:val="28"/>
    </w:rPr>
  </w:style>
  <w:style w:type="character" w:customStyle="1" w:styleId="55">
    <w:name w:val="标题 6 Char"/>
    <w:basedOn w:val="44"/>
    <w:link w:val="7"/>
    <w:qFormat/>
    <w:uiPriority w:val="0"/>
    <w:rPr>
      <w:rFonts w:ascii="Arial" w:hAnsi="Arial" w:eastAsia="宋体" w:cs="Times New Roman"/>
      <w:b/>
      <w:bCs/>
      <w:kern w:val="0"/>
      <w:sz w:val="28"/>
      <w:szCs w:val="18"/>
    </w:rPr>
  </w:style>
  <w:style w:type="character" w:customStyle="1" w:styleId="56">
    <w:name w:val="标题 7 Char"/>
    <w:basedOn w:val="44"/>
    <w:link w:val="8"/>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9"/>
    <w:semiHidden/>
    <w:qFormat/>
    <w:uiPriority w:val="99"/>
    <w:rPr>
      <w:rFonts w:ascii="Arial" w:hAnsi="Arial" w:eastAsia="黑体" w:cs="Times New Roman"/>
      <w:kern w:val="0"/>
      <w:sz w:val="24"/>
      <w:szCs w:val="24"/>
    </w:rPr>
  </w:style>
  <w:style w:type="character" w:customStyle="1" w:styleId="58">
    <w:name w:val="标题 9 Char"/>
    <w:basedOn w:val="44"/>
    <w:link w:val="10"/>
    <w:semiHidden/>
    <w:qFormat/>
    <w:uiPriority w:val="99"/>
    <w:rPr>
      <w:rFonts w:ascii="Arial" w:hAnsi="Arial" w:eastAsia="黑体" w:cs="Times New Roman"/>
      <w:kern w:val="0"/>
      <w:sz w:val="20"/>
      <w:szCs w:val="21"/>
    </w:rPr>
  </w:style>
  <w:style w:type="character" w:customStyle="1" w:styleId="59">
    <w:name w:val="正文缩进 Char1"/>
    <w:link w:val="12"/>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5"/>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0"/>
    <w:rPr>
      <w:rFonts w:ascii="Calibri" w:hAnsi="Calibri" w:eastAsia="宋体" w:cs="Times New Roman"/>
    </w:rPr>
  </w:style>
  <w:style w:type="character" w:customStyle="1" w:styleId="65">
    <w:name w:val="正文文本缩进 Char"/>
    <w:basedOn w:val="44"/>
    <w:link w:val="19"/>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6"/>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4"/>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2"/>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7"/>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6"/>
    <w:next w:val="19"/>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3"/>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9"/>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2"/>
    <w:qFormat/>
    <w:uiPriority w:val="99"/>
    <w:pPr>
      <w:tabs>
        <w:tab w:val="left" w:pos="425"/>
      </w:tabs>
    </w:pPr>
    <w:rPr>
      <w:rFonts w:cs="Times New Roman"/>
      <w:sz w:val="44"/>
    </w:rPr>
  </w:style>
  <w:style w:type="paragraph" w:customStyle="1" w:styleId="125">
    <w:name w:val="样式 标题 5 + 倾斜"/>
    <w:basedOn w:val="6"/>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8"/>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4"/>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4"/>
    <w:qFormat/>
    <w:uiPriority w:val="99"/>
    <w:rPr>
      <w:rFonts w:ascii="Tahoma" w:hAnsi="Tahoma"/>
      <w:sz w:val="24"/>
      <w:szCs w:val="24"/>
    </w:rPr>
  </w:style>
  <w:style w:type="paragraph" w:customStyle="1" w:styleId="136">
    <w:name w:val="MM Topic 3"/>
    <w:basedOn w:val="4"/>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0"/>
    <w:qFormat/>
    <w:uiPriority w:val="0"/>
    <w:pPr>
      <w:tabs>
        <w:tab w:val="left" w:pos="5102"/>
      </w:tabs>
    </w:pPr>
  </w:style>
  <w:style w:type="paragraph" w:customStyle="1" w:styleId="142">
    <w:name w:val="MM Topic 5"/>
    <w:basedOn w:val="6"/>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5"/>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3"/>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17"/>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18"/>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3"/>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Pages>
  <Words>42542</Words>
  <Characters>44822</Characters>
  <Lines>1</Lines>
  <Paragraphs>1</Paragraphs>
  <TotalTime>26</TotalTime>
  <ScaleCrop>false</ScaleCrop>
  <LinksUpToDate>false</LinksUpToDate>
  <CharactersWithSpaces>45602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茄子</cp:lastModifiedBy>
  <cp:lastPrinted>2021-05-31T05:29:00Z</cp:lastPrinted>
  <dcterms:modified xsi:type="dcterms:W3CDTF">2021-06-30T08:57:09Z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