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成都市新都区木兰中学校物业管理服务采购项目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新都政采（2021）A0076号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成都市新都区木兰中学校</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十二</w:t>
      </w:r>
      <w:r>
        <w:rPr>
          <w:rFonts w:hint="eastAsia" w:ascii="宋体" w:hAnsi="宋体" w:eastAsia="宋体" w:cs="宋体"/>
          <w:sz w:val="32"/>
          <w:szCs w:val="32"/>
        </w:rPr>
        <w:t>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01247312"/>
      <w:bookmarkStart w:id="1" w:name="_Toc101234248"/>
      <w:bookmarkStart w:id="2" w:name="_Toc148505181"/>
      <w:bookmarkStart w:id="3" w:name="_Toc101328520"/>
      <w:r>
        <w:rPr>
          <w:rFonts w:hint="eastAsia" w:ascii="宋体" w:hAnsi="宋体" w:eastAsia="宋体" w:cs="Times New Roman"/>
          <w:b/>
          <w:sz w:val="32"/>
          <w:szCs w:val="32"/>
        </w:rPr>
        <w:t>目 录</w:t>
      </w:r>
    </w:p>
    <w:p>
      <w:pPr>
        <w:pStyle w:val="10"/>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_Toc15108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_Toc15108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_Toc10229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_Toc10229 \h </w:instrText>
      </w:r>
      <w:r>
        <w:fldChar w:fldCharType="separate"/>
      </w:r>
      <w:r>
        <w:t>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_Toc28520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_Toc28520 \h </w:instrText>
      </w:r>
      <w:r>
        <w:fldChar w:fldCharType="separate"/>
      </w:r>
      <w:r>
        <w:t>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_Toc2926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_Toc2926 \h </w:instrText>
      </w:r>
      <w:r>
        <w:fldChar w:fldCharType="separate"/>
      </w:r>
      <w:r>
        <w:t>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_Toc18605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_Toc18605 \h </w:instrText>
      </w:r>
      <w:r>
        <w:fldChar w:fldCharType="separate"/>
      </w:r>
      <w:r>
        <w:t>11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_Toc25515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_Toc25515 \h </w:instrText>
      </w:r>
      <w:r>
        <w:fldChar w:fldCharType="separate"/>
      </w:r>
      <w:r>
        <w:t>12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_Toc18033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_Toc18033 \h </w:instrText>
      </w:r>
      <w:r>
        <w:fldChar w:fldCharType="separate"/>
      </w:r>
      <w:r>
        <w:t>18</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_Toc16140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_Toc16140 \h </w:instrText>
      </w:r>
      <w:r>
        <w:fldChar w:fldCharType="separate"/>
      </w:r>
      <w:r>
        <w:t>20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_Toc32231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_Toc32231 \h </w:instrText>
      </w:r>
      <w:r>
        <w:fldChar w:fldCharType="separate"/>
      </w:r>
      <w:r>
        <w:t>22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_Toc25860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_Toc25860 \h </w:instrText>
      </w:r>
      <w:r>
        <w:fldChar w:fldCharType="separate"/>
      </w:r>
      <w:r>
        <w:t>24</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_Toc11158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_Toc11158 \h </w:instrText>
      </w:r>
      <w:r>
        <w:fldChar w:fldCharType="separate"/>
      </w:r>
      <w:r>
        <w:t>25</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_Toc28500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_Toc28500 \h </w:instrText>
      </w:r>
      <w:r>
        <w:fldChar w:fldCharType="separate"/>
      </w:r>
      <w:r>
        <w:t>27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_Toc31787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_Toc31787 \h </w:instrText>
      </w:r>
      <w:r>
        <w:fldChar w:fldCharType="separate"/>
      </w:r>
      <w:r>
        <w:t>27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_Toc12834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_Toc12834 \h </w:instrText>
      </w:r>
      <w:r>
        <w:fldChar w:fldCharType="separate"/>
      </w:r>
      <w:r>
        <w:t>28</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_Toc3259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_Toc3259 \h </w:instrText>
      </w:r>
      <w:r>
        <w:fldChar w:fldCharType="separate"/>
      </w:r>
      <w:r>
        <w:t>34</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_Toc4521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_Toc4521 \h </w:instrText>
      </w:r>
      <w:r>
        <w:fldChar w:fldCharType="separate"/>
      </w:r>
      <w:r>
        <w:t>40</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_Toc26147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宋体"/>
          <w:bCs/>
          <w:spacing w:val="-20"/>
          <w:kern w:val="44"/>
          <w:szCs w:val="28"/>
        </w:rPr>
        <w:t>招标项目技术、服务、商务及其他要求</w:t>
      </w:r>
      <w:r>
        <w:tab/>
      </w:r>
      <w:r>
        <w:fldChar w:fldCharType="begin"/>
      </w:r>
      <w:r>
        <w:instrText xml:space="preserve"> PAGEREF _Toc26147 \h </w:instrText>
      </w:r>
      <w:r>
        <w:fldChar w:fldCharType="separate"/>
      </w:r>
      <w:r>
        <w:t>42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_Toc6811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_Toc6811 \h </w:instrText>
      </w:r>
      <w:r>
        <w:fldChar w:fldCharType="separate"/>
      </w:r>
      <w:r>
        <w:t>42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_Toc5230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ascii="宋体" w:hAnsi="宋体" w:eastAsia="宋体" w:cs="宋体"/>
          <w:kern w:val="0"/>
          <w:szCs w:val="28"/>
          <w:highlight w:val="none"/>
        </w:rPr>
        <w:t>服务内容</w:t>
      </w:r>
      <w:r>
        <w:rPr>
          <w:rFonts w:hint="eastAsia" w:ascii="宋体" w:hAnsi="宋体" w:eastAsia="宋体" w:cs="宋体"/>
          <w:kern w:val="0"/>
          <w:szCs w:val="28"/>
          <w:highlight w:val="none"/>
          <w:lang w:eastAsia="zh-CN"/>
        </w:rPr>
        <w:t>及要求</w:t>
      </w:r>
      <w:r>
        <w:tab/>
      </w:r>
      <w:r>
        <w:fldChar w:fldCharType="begin"/>
      </w:r>
      <w:r>
        <w:instrText xml:space="preserve"> PAGEREF _Toc5230 \h </w:instrText>
      </w:r>
      <w:r>
        <w:fldChar w:fldCharType="separate"/>
      </w:r>
      <w:r>
        <w:t>42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_Toc6769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_Toc6769 \h </w:instrText>
      </w:r>
      <w:r>
        <w:fldChar w:fldCharType="separate"/>
      </w:r>
      <w:r>
        <w:t>50</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_Toc17001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highlight w:val="none"/>
        </w:rPr>
        <w:t>资格性审查</w:t>
      </w:r>
      <w:r>
        <w:tab/>
      </w:r>
      <w:r>
        <w:fldChar w:fldCharType="begin"/>
      </w:r>
      <w:r>
        <w:instrText xml:space="preserve"> PAGEREF _Toc17001 \h </w:instrText>
      </w:r>
      <w:r>
        <w:fldChar w:fldCharType="separate"/>
      </w:r>
      <w:r>
        <w:t>56</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_Toc7981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highlight w:val="none"/>
        </w:rPr>
        <w:t>评标办法</w:t>
      </w:r>
      <w:r>
        <w:tab/>
      </w:r>
      <w:r>
        <w:fldChar w:fldCharType="begin"/>
      </w:r>
      <w:r>
        <w:instrText xml:space="preserve"> PAGEREF _Toc7981 \h </w:instrText>
      </w:r>
      <w:r>
        <w:fldChar w:fldCharType="separate"/>
      </w:r>
      <w:r>
        <w:t>61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_Toc17097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highlight w:val="none"/>
        </w:rPr>
        <w:t>总则</w:t>
      </w:r>
      <w:r>
        <w:tab/>
      </w:r>
      <w:r>
        <w:fldChar w:fldCharType="begin"/>
      </w:r>
      <w:r>
        <w:instrText xml:space="preserve"> PAGEREF _Toc17097 \h </w:instrText>
      </w:r>
      <w:r>
        <w:fldChar w:fldCharType="separate"/>
      </w:r>
      <w:r>
        <w:t>61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_Toc17003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highlight w:val="none"/>
        </w:rPr>
        <w:t>评标方法</w:t>
      </w:r>
      <w:r>
        <w:tab/>
      </w:r>
      <w:r>
        <w:fldChar w:fldCharType="begin"/>
      </w:r>
      <w:r>
        <w:instrText xml:space="preserve"> PAGEREF _Toc17003 \h </w:instrText>
      </w:r>
      <w:r>
        <w:fldChar w:fldCharType="separate"/>
      </w:r>
      <w:r>
        <w:t>62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_Toc31634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highlight w:val="none"/>
        </w:rPr>
        <w:t>评标程序</w:t>
      </w:r>
      <w:r>
        <w:tab/>
      </w:r>
      <w:r>
        <w:fldChar w:fldCharType="begin"/>
      </w:r>
      <w:r>
        <w:instrText xml:space="preserve"> PAGEREF _Toc31634 \h </w:instrText>
      </w:r>
      <w:r>
        <w:fldChar w:fldCharType="separate"/>
      </w:r>
      <w:r>
        <w:t>62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_Toc429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highlight w:val="none"/>
        </w:rPr>
        <w:t>评标争议处理规则</w:t>
      </w:r>
      <w:r>
        <w:tab/>
      </w:r>
      <w:r>
        <w:fldChar w:fldCharType="begin"/>
      </w:r>
      <w:r>
        <w:instrText xml:space="preserve"> PAGEREF _Toc429 \h </w:instrText>
      </w:r>
      <w:r>
        <w:fldChar w:fldCharType="separate"/>
      </w:r>
      <w:r>
        <w:t>68</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_Toc3482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highlight w:val="none"/>
        </w:rPr>
        <w:t>评标细则及标准</w:t>
      </w:r>
      <w:r>
        <w:tab/>
      </w:r>
      <w:r>
        <w:fldChar w:fldCharType="begin"/>
      </w:r>
      <w:r>
        <w:instrText xml:space="preserve"> PAGEREF _Toc3482 \h </w:instrText>
      </w:r>
      <w:r>
        <w:fldChar w:fldCharType="separate"/>
      </w:r>
      <w:r>
        <w:t>69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_Toc13890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highlight w:val="none"/>
        </w:rPr>
        <w:t>废标</w:t>
      </w:r>
      <w:r>
        <w:tab/>
      </w:r>
      <w:r>
        <w:fldChar w:fldCharType="begin"/>
      </w:r>
      <w:r>
        <w:instrText xml:space="preserve"> PAGEREF _Toc13890 \h </w:instrText>
      </w:r>
      <w:r>
        <w:fldChar w:fldCharType="separate"/>
      </w:r>
      <w:r>
        <w:t>71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_Toc8555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highlight w:val="none"/>
        </w:rPr>
        <w:t>定标</w:t>
      </w:r>
      <w:r>
        <w:tab/>
      </w:r>
      <w:r>
        <w:fldChar w:fldCharType="begin"/>
      </w:r>
      <w:r>
        <w:instrText xml:space="preserve"> PAGEREF _Toc8555 \h </w:instrText>
      </w:r>
      <w:r>
        <w:fldChar w:fldCharType="separate"/>
      </w:r>
      <w:r>
        <w:t>72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_Toc4417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highlight w:val="none"/>
        </w:rPr>
        <w:t>评标专家在政府采购活动中承担以下义务</w:t>
      </w:r>
      <w:r>
        <w:tab/>
      </w:r>
      <w:r>
        <w:fldChar w:fldCharType="begin"/>
      </w:r>
      <w:r>
        <w:instrText xml:space="preserve"> PAGEREF _Toc4417 \h </w:instrText>
      </w:r>
      <w:r>
        <w:fldChar w:fldCharType="separate"/>
      </w:r>
      <w:r>
        <w:t>73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_Toc19394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highlight w:val="none"/>
        </w:rPr>
        <w:t>评标委员会及其成员不得有下列行为</w:t>
      </w:r>
      <w:r>
        <w:tab/>
      </w:r>
      <w:r>
        <w:fldChar w:fldCharType="begin"/>
      </w:r>
      <w:r>
        <w:instrText xml:space="preserve"> PAGEREF _Toc19394 \h </w:instrText>
      </w:r>
      <w:r>
        <w:fldChar w:fldCharType="separate"/>
      </w:r>
      <w:r>
        <w:t>73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_Toc25699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highlight w:val="none"/>
        </w:rPr>
        <w:t>评审专家在政府采购活动中应当遵守以下工作纪律</w:t>
      </w:r>
      <w:r>
        <w:tab/>
      </w:r>
      <w:r>
        <w:fldChar w:fldCharType="begin"/>
      </w:r>
      <w:r>
        <w:instrText xml:space="preserve"> PAGEREF _Toc25699 \h </w:instrText>
      </w:r>
      <w:r>
        <w:fldChar w:fldCharType="separate"/>
      </w:r>
      <w:r>
        <w:t>74</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_Toc20354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highlight w:val="none"/>
        </w:rPr>
        <w:t>拟签订合同文本</w:t>
      </w:r>
      <w:r>
        <w:tab/>
      </w:r>
      <w:r>
        <w:fldChar w:fldCharType="begin"/>
      </w:r>
      <w:r>
        <w:instrText xml:space="preserve"> PAGEREF _Toc20354 \h </w:instrText>
      </w:r>
      <w:r>
        <w:fldChar w:fldCharType="separate"/>
      </w:r>
      <w:r>
        <w:t>76</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181591102"/>
      <w:bookmarkStart w:id="5" w:name="_Toc181610856"/>
      <w:bookmarkStart w:id="6" w:name="_Toc15108"/>
      <w:bookmarkStart w:id="7" w:name="_Toc204575871"/>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成都市新都区木兰中学校</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成都市新都区木兰中学校物业管理服务采购项目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新都政采（2021）A0076号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w:t>
      </w:r>
      <w:r>
        <w:rPr>
          <w:rFonts w:hint="eastAsia" w:ascii="宋体" w:hAnsi="宋体" w:eastAsia="宋体" w:cs="Times New Roman"/>
          <w:b/>
          <w:sz w:val="28"/>
          <w:szCs w:val="28"/>
          <w:highlight w:val="none"/>
        </w:rPr>
        <w:t>510114202100427</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成都市新都区木兰中学校物业管理服务采购项目</w:t>
      </w:r>
    </w:p>
    <w:p>
      <w:pPr>
        <w:numPr>
          <w:ilvl w:val="0"/>
          <w:numId w:val="5"/>
        </w:numPr>
        <w:spacing w:after="200" w:line="560" w:lineRule="exact"/>
        <w:ind w:left="0" w:firstLine="567"/>
        <w:rPr>
          <w:rFonts w:ascii="宋体" w:hAnsi="宋体" w:eastAsia="宋体" w:cs="Times New Roman"/>
          <w:b/>
          <w:sz w:val="28"/>
          <w:szCs w:val="28"/>
          <w:highlight w:val="none"/>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w:t>
      </w:r>
      <w:r>
        <w:rPr>
          <w:rFonts w:hint="eastAsia" w:ascii="宋体" w:hAnsi="宋体" w:eastAsia="宋体" w:cs="Times New Roman"/>
          <w:sz w:val="28"/>
          <w:szCs w:val="28"/>
          <w:highlight w:val="none"/>
        </w:rPr>
        <w:t>施计划备案表号：（202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0993</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服务；预算金额：</w:t>
      </w:r>
      <w:r>
        <w:rPr>
          <w:rFonts w:hint="eastAsia" w:ascii="宋体" w:hAnsi="宋体" w:eastAsia="宋体" w:cs="Times New Roman"/>
          <w:sz w:val="28"/>
          <w:szCs w:val="28"/>
          <w:highlight w:val="none"/>
          <w:lang w:val="en-US" w:eastAsia="zh-CN"/>
        </w:rPr>
        <w:t>90.6万元</w:t>
      </w:r>
      <w:r>
        <w:rPr>
          <w:rFonts w:hint="eastAsia" w:ascii="宋体" w:hAnsi="宋体" w:eastAsia="宋体" w:cs="Times New Roman"/>
          <w:sz w:val="28"/>
          <w:szCs w:val="28"/>
          <w:highlight w:val="none"/>
        </w:rPr>
        <w:t>；最高限价：</w:t>
      </w:r>
      <w:r>
        <w:rPr>
          <w:rFonts w:hint="eastAsia" w:ascii="宋体" w:hAnsi="宋体" w:eastAsia="宋体" w:cs="Times New Roman"/>
          <w:sz w:val="28"/>
          <w:szCs w:val="28"/>
          <w:highlight w:val="none"/>
          <w:lang w:val="en-US" w:eastAsia="zh-CN"/>
        </w:rPr>
        <w:t>90.6万元/年</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服务；所属行业：</w:t>
      </w:r>
      <w:r>
        <w:rPr>
          <w:rFonts w:hint="eastAsia" w:ascii="宋体" w:hAnsi="宋体" w:eastAsia="宋体" w:cs="Times New Roman"/>
          <w:color w:val="000000"/>
          <w:sz w:val="28"/>
          <w:szCs w:val="28"/>
          <w:highlight w:val="none"/>
        </w:rPr>
        <w:t>物业管理</w:t>
      </w:r>
      <w:r>
        <w:rPr>
          <w:rFonts w:hint="eastAsia" w:ascii="宋体" w:hAnsi="宋体" w:eastAsia="宋体" w:cs="Times New Roman"/>
          <w:color w:val="000000"/>
          <w:sz w:val="28"/>
          <w:szCs w:val="28"/>
          <w:highlight w:val="none"/>
          <w:lang w:eastAsia="zh-CN"/>
        </w:rPr>
        <w:t>；服务期限三年，合同一年一签。</w:t>
      </w:r>
    </w:p>
    <w:p>
      <w:pPr>
        <w:numPr>
          <w:ilvl w:val="0"/>
          <w:numId w:val="5"/>
        </w:numPr>
        <w:spacing w:line="360" w:lineRule="auto"/>
        <w:ind w:left="0" w:firstLine="567"/>
        <w:rPr>
          <w:rFonts w:ascii="宋体" w:hAnsi="宋体" w:eastAsia="宋体" w:cs="Times New Roman"/>
          <w:sz w:val="28"/>
          <w:szCs w:val="22"/>
          <w:highlight w:val="none"/>
        </w:rPr>
      </w:pPr>
      <w:r>
        <w:rPr>
          <w:rFonts w:hint="eastAsia" w:ascii="宋体" w:hAnsi="宋体" w:eastAsia="宋体" w:cs="Times New Roman"/>
          <w:b/>
          <w:sz w:val="28"/>
          <w:szCs w:val="28"/>
          <w:highlight w:val="none"/>
        </w:rPr>
        <w:t>招标项目简介</w:t>
      </w:r>
    </w:p>
    <w:p>
      <w:pPr>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成都市新都区木兰中学校物业管理服务采购项目</w:t>
      </w:r>
      <w:r>
        <w:rPr>
          <w:rFonts w:hint="eastAsia" w:ascii="宋体" w:hAnsi="宋体" w:eastAsia="宋体" w:cs="宋体"/>
          <w:color w:val="000000"/>
          <w:sz w:val="28"/>
          <w:szCs w:val="28"/>
          <w:highlight w:val="none"/>
        </w:rPr>
        <w:t>，主要包含秩序维护服务、环境维护、学生公寓管理等。</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详细的技术、服务、商务及其他要求见招标文件第4章。</w:t>
      </w:r>
    </w:p>
    <w:p>
      <w:pPr>
        <w:numPr>
          <w:ilvl w:val="0"/>
          <w:numId w:val="5"/>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供应商参加本次政府采购活动应具备的条件</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5"/>
        </w:numPr>
        <w:spacing w:line="360" w:lineRule="auto"/>
        <w:ind w:left="0" w:firstLine="567"/>
        <w:rPr>
          <w:rFonts w:ascii="宋体" w:hAnsi="宋体" w:eastAsia="宋体" w:cs="Times New Roman"/>
          <w:b/>
          <w:i/>
          <w:sz w:val="28"/>
          <w:szCs w:val="22"/>
          <w:highlight w:val="none"/>
        </w:rPr>
      </w:pPr>
      <w:r>
        <w:rPr>
          <w:rFonts w:hint="eastAsia" w:ascii="宋体" w:hAnsi="宋体" w:eastAsia="宋体" w:cs="Times New Roman"/>
          <w:b/>
          <w:sz w:val="28"/>
          <w:szCs w:val="28"/>
          <w:highlight w:val="none"/>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18</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2022年1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6</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18</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24</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供应商如对招标文件有质疑的，应于自招标文件公告期限届满之日起七个工作日内以书面形式提出。</w:t>
      </w:r>
    </w:p>
    <w:p>
      <w:pPr>
        <w:numPr>
          <w:ilvl w:val="0"/>
          <w:numId w:val="5"/>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highlight w:val="none"/>
        </w:rPr>
        <w:t>投标人要参加投标，应在“政府采购云平台（</w:t>
      </w:r>
      <w:r>
        <w:rPr>
          <w:rFonts w:hint="eastAsia" w:ascii="宋体" w:hAnsi="宋体" w:eastAsia="宋体" w:cs="Times New Roman"/>
          <w:sz w:val="28"/>
          <w:szCs w:val="28"/>
          <w:highlight w:val="none"/>
        </w:rPr>
        <w:fldChar w:fldCharType="begin"/>
      </w:r>
      <w:r>
        <w:rPr>
          <w:rFonts w:hint="eastAsia" w:ascii="宋体" w:hAnsi="宋体" w:eastAsia="宋体" w:cs="Times New Roman"/>
          <w:sz w:val="28"/>
          <w:szCs w:val="28"/>
          <w:highlight w:val="none"/>
        </w:rPr>
        <w:instrText xml:space="preserve"> HYPERLINK "http://www.zcygov.cn" </w:instrText>
      </w:r>
      <w:r>
        <w:rPr>
          <w:rFonts w:hint="eastAsia" w:ascii="宋体" w:hAnsi="宋体" w:eastAsia="宋体" w:cs="Times New Roman"/>
          <w:sz w:val="28"/>
          <w:szCs w:val="28"/>
          <w:highlight w:val="none"/>
        </w:rPr>
        <w:fldChar w:fldCharType="separate"/>
      </w:r>
      <w:r>
        <w:rPr>
          <w:rFonts w:hint="eastAsia" w:ascii="宋体" w:hAnsi="宋体" w:eastAsia="宋体" w:cs="Times New Roman"/>
          <w:sz w:val="28"/>
          <w:szCs w:val="28"/>
          <w:highlight w:val="none"/>
        </w:rPr>
        <w:t>www.zcygov.cn</w:t>
      </w:r>
      <w:r>
        <w:rPr>
          <w:rFonts w:hint="eastAsia" w:ascii="宋体" w:hAnsi="宋体" w:eastAsia="宋体" w:cs="Times New Roman"/>
          <w:sz w:val="28"/>
          <w:szCs w:val="28"/>
          <w:highlight w:val="none"/>
        </w:rPr>
        <w:fldChar w:fldCharType="end"/>
      </w:r>
      <w:r>
        <w:rPr>
          <w:rFonts w:hint="eastAsia" w:ascii="宋体" w:hAnsi="宋体" w:eastAsia="宋体" w:cs="Times New Roman"/>
          <w:sz w:val="28"/>
          <w:szCs w:val="28"/>
          <w:highlight w:val="none"/>
        </w:rPr>
        <w:t>）”获取采购文件。登录政府采购云平台(www.zcygov.cn)—我的工作台—项目</w:t>
      </w:r>
      <w:r>
        <w:rPr>
          <w:rFonts w:hint="eastAsia" w:ascii="宋体" w:hAnsi="宋体" w:eastAsia="宋体" w:cs="Times New Roman"/>
          <w:sz w:val="28"/>
          <w:szCs w:val="28"/>
        </w:rPr>
        <w:t>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560" w:lineRule="exact"/>
        <w:ind w:firstLine="565" w:firstLineChars="202"/>
        <w:rPr>
          <w:rFonts w:hint="eastAsia" w:ascii="宋体" w:hAnsi="宋体" w:eastAsia="宋体" w:cs="Times New Roman"/>
          <w:sz w:val="28"/>
          <w:szCs w:val="28"/>
        </w:rPr>
      </w:pPr>
      <w:bookmarkStart w:id="8" w:name="_Toc174185149"/>
      <w:bookmarkStart w:id="9" w:name="_Toc184023104"/>
      <w:bookmarkStart w:id="10" w:name="_Toc186274101"/>
      <w:bookmarkStart w:id="11" w:name="_Toc180051012"/>
      <w:bookmarkStart w:id="12" w:name="_Toc184013605"/>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w:t>
      </w:r>
      <w:r>
        <w:rPr>
          <w:rFonts w:hint="eastAsia" w:ascii="宋体" w:hAnsi="宋体" w:eastAsia="宋体" w:cs="Times New Roman"/>
          <w:b/>
          <w:sz w:val="28"/>
          <w:szCs w:val="28"/>
          <w:highlight w:val="none"/>
          <w:lang w:val="en-US" w:eastAsia="zh-CN"/>
        </w:rPr>
        <w:t>2</w:t>
      </w:r>
      <w:r>
        <w:rPr>
          <w:rFonts w:hint="eastAsia" w:ascii="宋体" w:hAnsi="宋体" w:eastAsia="宋体" w:cs="Times New Roman"/>
          <w:b/>
          <w:sz w:val="28"/>
          <w:szCs w:val="28"/>
          <w:highlight w:val="none"/>
        </w:rPr>
        <w:t>年</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7</w:t>
      </w:r>
      <w:r>
        <w:rPr>
          <w:rFonts w:hint="eastAsia" w:ascii="宋体" w:hAnsi="宋体" w:eastAsia="宋体" w:cs="Times New Roman"/>
          <w:b/>
          <w:sz w:val="28"/>
          <w:szCs w:val="28"/>
          <w:highlight w:val="none"/>
        </w:rPr>
        <w:t>日上午09:30。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成都市新都区木兰中学校</w:t>
      </w:r>
    </w:p>
    <w:p>
      <w:pPr>
        <w:widowControl w:val="0"/>
        <w:spacing w:line="360" w:lineRule="auto"/>
        <w:ind w:firstLine="560" w:firstLineChars="200"/>
        <w:jc w:val="both"/>
        <w:rPr>
          <w:rFonts w:hint="eastAsia" w:ascii="宋体" w:hAnsi="宋体" w:eastAsia="宋体" w:cs="宋体"/>
          <w:kern w:val="0"/>
          <w:sz w:val="28"/>
          <w:szCs w:val="28"/>
          <w:highlight w:val="none"/>
          <w:lang w:val="en-US" w:eastAsia="zh-CN"/>
        </w:rPr>
      </w:pPr>
      <w:r>
        <w:rPr>
          <w:rFonts w:hint="eastAsia" w:ascii="宋体" w:hAnsi="宋体" w:eastAsia="宋体" w:cs="Times New Roman"/>
          <w:kern w:val="0"/>
          <w:sz w:val="28"/>
          <w:szCs w:val="28"/>
          <w:highlight w:val="none"/>
          <w:lang w:val="en-US" w:eastAsia="zh-CN" w:bidi="ar-SA"/>
        </w:rPr>
        <w:t>地  址：成都市新都区长林路南段19号</w:t>
      </w:r>
    </w:p>
    <w:p>
      <w:pPr>
        <w:widowControl w:val="0"/>
        <w:spacing w:line="360" w:lineRule="auto"/>
        <w:ind w:firstLine="560" w:firstLineChars="200"/>
        <w:jc w:val="both"/>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rPr>
        <w:t>联系人：</w:t>
      </w:r>
      <w:bookmarkStart w:id="13" w:name="cgr联系人1"/>
      <w:bookmarkEnd w:id="13"/>
      <w:r>
        <w:rPr>
          <w:rFonts w:hint="eastAsia" w:ascii="宋体" w:hAnsi="宋体" w:eastAsia="宋体" w:cs="宋体"/>
          <w:kern w:val="0"/>
          <w:sz w:val="28"/>
          <w:szCs w:val="28"/>
          <w:highlight w:val="none"/>
          <w:lang w:eastAsia="zh-CN"/>
        </w:rPr>
        <w:t>李健</w:t>
      </w:r>
    </w:p>
    <w:p>
      <w:pPr>
        <w:widowControl w:val="0"/>
        <w:spacing w:line="360" w:lineRule="auto"/>
        <w:ind w:firstLine="560" w:firstLineChars="200"/>
        <w:jc w:val="both"/>
        <w:rPr>
          <w:rFonts w:hint="default" w:ascii="宋体" w:hAnsi="宋体" w:eastAsia="宋体" w:cs="宋体"/>
          <w:kern w:val="0"/>
          <w:sz w:val="28"/>
          <w:szCs w:val="28"/>
          <w:highlight w:val="yellow"/>
          <w:lang w:val="en-US" w:eastAsia="zh-CN"/>
        </w:rPr>
      </w:pPr>
      <w:r>
        <w:rPr>
          <w:rFonts w:hint="eastAsia" w:ascii="宋体" w:hAnsi="宋体" w:eastAsia="宋体" w:cs="宋体"/>
          <w:kern w:val="0"/>
          <w:sz w:val="28"/>
          <w:szCs w:val="28"/>
          <w:highlight w:val="none"/>
        </w:rPr>
        <w:t>联系电话：</w:t>
      </w:r>
      <w:bookmarkStart w:id="14" w:name="cgr联系人1移动电话"/>
      <w:bookmarkEnd w:id="14"/>
      <w:r>
        <w:rPr>
          <w:rFonts w:hint="eastAsia" w:ascii="宋体" w:hAnsi="宋体" w:eastAsia="宋体" w:cs="宋体"/>
          <w:kern w:val="0"/>
          <w:sz w:val="28"/>
          <w:szCs w:val="28"/>
          <w:highlight w:val="none"/>
          <w:lang w:val="en-US" w:eastAsia="zh-CN"/>
        </w:rPr>
        <w:t>028-83038038</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陈涛</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color w:val="000000"/>
          <w:kern w:val="0"/>
          <w:sz w:val="28"/>
          <w:szCs w:val="22"/>
          <w:highlight w:val="none"/>
          <w:lang w:eastAsia="zh-CN"/>
        </w:rPr>
        <w:t>联系电话：028-83003130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6"/>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10229"/>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213396760"/>
      <w:bookmarkStart w:id="17" w:name="_Toc316462344"/>
      <w:bookmarkStart w:id="18" w:name="_Toc213496268"/>
      <w:bookmarkStart w:id="19" w:name="_Toc217446032"/>
      <w:bookmarkStart w:id="20" w:name="_Toc28520"/>
      <w:bookmarkStart w:id="21" w:name="_Toc189727030"/>
      <w:bookmarkStart w:id="22" w:name="_Toc213396946"/>
      <w:bookmarkStart w:id="23" w:name="_Toc213397010"/>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highlight w:val="none"/>
                <w:lang w:val="zh-CN"/>
              </w:rPr>
            </w:pPr>
            <w:r>
              <w:rPr>
                <w:rFonts w:hint="eastAsia" w:ascii="宋体" w:hAnsi="宋体" w:eastAsia="宋体" w:cs="宋体"/>
                <w:b/>
                <w:szCs w:val="22"/>
                <w:highlight w:val="none"/>
                <w:lang w:val="zh-CN"/>
              </w:rPr>
              <w:t>人民币</w:t>
            </w:r>
            <w:r>
              <w:rPr>
                <w:rFonts w:hint="eastAsia" w:ascii="宋体" w:hAnsi="宋体" w:eastAsia="宋体" w:cs="宋体"/>
                <w:b/>
                <w:szCs w:val="22"/>
                <w:highlight w:val="none"/>
                <w:lang w:val="en-US" w:eastAsia="zh-CN"/>
              </w:rPr>
              <w:t>90.6万元</w:t>
            </w:r>
            <w:r>
              <w:rPr>
                <w:rFonts w:hint="eastAsia" w:ascii="宋体" w:hAnsi="宋体" w:eastAsia="宋体" w:cs="宋体"/>
                <w:b/>
                <w:szCs w:val="22"/>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highlight w:val="none"/>
                <w:lang w:val="zh-CN"/>
              </w:rPr>
            </w:pPr>
            <w:r>
              <w:rPr>
                <w:rFonts w:hint="eastAsia" w:ascii="宋体" w:hAnsi="宋体" w:eastAsia="宋体" w:cs="宋体"/>
                <w:b/>
                <w:szCs w:val="22"/>
                <w:highlight w:val="none"/>
                <w:lang w:val="zh-CN"/>
              </w:rPr>
              <w:t>本项目最高限价为</w:t>
            </w:r>
            <w:r>
              <w:rPr>
                <w:rFonts w:hint="eastAsia" w:ascii="宋体" w:hAnsi="宋体" w:eastAsia="宋体" w:cs="宋体"/>
                <w:b/>
                <w:szCs w:val="22"/>
                <w:highlight w:val="none"/>
                <w:lang w:val="zh-CN" w:eastAsia="zh-CN"/>
              </w:rPr>
              <w:t>人民币</w:t>
            </w:r>
            <w:r>
              <w:rPr>
                <w:rFonts w:hint="eastAsia" w:ascii="宋体" w:hAnsi="宋体" w:eastAsia="宋体" w:cs="宋体"/>
                <w:b/>
                <w:szCs w:val="22"/>
                <w:highlight w:val="none"/>
                <w:lang w:val="en-US" w:eastAsia="zh-CN"/>
              </w:rPr>
              <w:t>90.6万元/年</w:t>
            </w:r>
            <w:r>
              <w:rPr>
                <w:rFonts w:hint="eastAsia" w:ascii="宋体" w:hAnsi="宋体" w:eastAsia="宋体" w:cs="宋体"/>
                <w:b/>
                <w:szCs w:val="22"/>
                <w:highlight w:val="none"/>
                <w:lang w:val="zh-CN" w:eastAsia="zh-CN"/>
              </w:rPr>
              <w:t>，</w:t>
            </w:r>
            <w:r>
              <w:rPr>
                <w:rFonts w:hint="eastAsia" w:ascii="宋体" w:hAnsi="宋体" w:eastAsia="宋体" w:cs="宋体"/>
                <w:b/>
                <w:szCs w:val="22"/>
                <w:highlight w:val="none"/>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rPr>
            </w:pPr>
            <w:r>
              <w:rPr>
                <w:rFonts w:hint="eastAsia"/>
              </w:rPr>
              <w:t>投诉受理单位：本项目同级财政部门，即</w:t>
            </w:r>
            <w:r>
              <w:rPr>
                <w:rFonts w:hint="eastAsia"/>
                <w:lang w:eastAsia="zh-CN"/>
              </w:rPr>
              <w:t>成都市新都区财政局</w:t>
            </w:r>
            <w:r>
              <w:rPr>
                <w:rFonts w:hint="eastAsia"/>
              </w:rPr>
              <w:t>。</w:t>
            </w:r>
          </w:p>
          <w:p>
            <w:pPr>
              <w:tabs>
                <w:tab w:val="left" w:pos="7665"/>
              </w:tabs>
              <w:snapToGrid w:val="0"/>
              <w:spacing w:line="360" w:lineRule="auto"/>
              <w:rPr>
                <w:rFonts w:hint="eastAsia"/>
              </w:rPr>
            </w:pPr>
            <w:r>
              <w:rPr>
                <w:rFonts w:hint="eastAsia"/>
              </w:rPr>
              <w:t>联系电话：028-</w:t>
            </w:r>
            <w:r>
              <w:rPr>
                <w:rFonts w:hint="eastAsia"/>
                <w:lang w:val="en-US" w:eastAsia="zh-CN"/>
              </w:rPr>
              <w:t>89396791</w:t>
            </w:r>
            <w:r>
              <w:rPr>
                <w:rFonts w:hint="eastAsia"/>
              </w:rPr>
              <w:t>。</w:t>
            </w:r>
          </w:p>
          <w:p>
            <w:pPr>
              <w:tabs>
                <w:tab w:val="left" w:pos="7665"/>
              </w:tabs>
              <w:snapToGrid w:val="0"/>
              <w:spacing w:line="360" w:lineRule="auto"/>
            </w:pPr>
            <w:r>
              <w:rPr>
                <w:rFonts w:hint="eastAsia"/>
              </w:rPr>
              <w:t>地址：成都市新都区马超东路289号金融服务中心7楼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lang w:eastAsia="zh-CN"/>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2926"/>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成都市新都区木兰中学校</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eastAsia="宋体" w:cs="Times New Roman"/>
          <w:sz w:val="28"/>
          <w:szCs w:val="28"/>
          <w:lang w:eastAsia="zh-CN"/>
        </w:rPr>
        <w:t>。</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183582207"/>
      <w:bookmarkStart w:id="26" w:name="_Toc217390843"/>
      <w:bookmarkStart w:id="27" w:name="_Toc183682344"/>
      <w:bookmarkStart w:id="28" w:name="_Toc217446036"/>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（说明：无供应商为本项目提供整体设计、规范编制或者项目管理、监理、检测等服务。）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217446039"/>
      <w:bookmarkStart w:id="30" w:name="_Toc183682347"/>
      <w:bookmarkStart w:id="31" w:name="_Toc18605"/>
      <w:bookmarkStart w:id="32" w:name="_Toc183582210"/>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582211"/>
      <w:bookmarkStart w:id="34" w:name="_Toc183682348"/>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183682351"/>
      <w:bookmarkStart w:id="37" w:name="_Toc89075876"/>
      <w:bookmarkStart w:id="38" w:name="_Toc77400780"/>
      <w:bookmarkStart w:id="39" w:name="_Toc217446042"/>
      <w:bookmarkStart w:id="40" w:name="_Toc183582214"/>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25515"/>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217446043"/>
      <w:bookmarkStart w:id="43" w:name="_Toc183582215"/>
      <w:bookmarkStart w:id="44" w:name="_Toc183682352"/>
      <w:r>
        <w:rPr>
          <w:rFonts w:hint="eastAsia" w:ascii="宋体" w:hAnsi="宋体" w:eastAsia="宋体" w:cs="Times New Roman"/>
          <w:b/>
          <w:bCs/>
          <w:sz w:val="28"/>
          <w:szCs w:val="28"/>
        </w:rPr>
        <w:t>投标文件的语言</w:t>
      </w:r>
      <w:bookmarkEnd w:id="42"/>
      <w:bookmarkEnd w:id="43"/>
      <w:bookmarkEnd w:id="44"/>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一、投标人提交的投标文件以及投标人与采购人或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就有关投标的所有来往书面文件均须使用中文。投标文件中如附有外文资料，主要部分要对应翻译成中文并附在相关外文资料后面。</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二、翻译的中文资料与外文资料如果出现差异和矛盾时，以中文为准。涉嫌提供虚假材料的按照相关法律法规处理。</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 xml:space="preserve">三、如因未翻译而造成对供应商的不利后果，由供应商承担。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183582216"/>
      <w:bookmarkStart w:id="46" w:name="_Toc217446044"/>
      <w:bookmarkStart w:id="47" w:name="_Toc183682353"/>
      <w:r>
        <w:rPr>
          <w:rFonts w:hint="eastAsia" w:ascii="宋体" w:hAnsi="宋体" w:eastAsia="宋体" w:cs="Times New Roman"/>
          <w:b/>
          <w:bCs/>
          <w:sz w:val="28"/>
          <w:szCs w:val="28"/>
        </w:rPr>
        <w:t>计量单位</w:t>
      </w:r>
      <w:bookmarkEnd w:id="45"/>
      <w:bookmarkEnd w:id="46"/>
      <w:bookmarkEnd w:id="47"/>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183582217"/>
      <w:bookmarkStart w:id="52" w:name="_Toc183682354"/>
      <w:bookmarkStart w:id="53" w:name="_Toc217446048"/>
      <w:r>
        <w:rPr>
          <w:rFonts w:hint="eastAsia" w:ascii="宋体" w:hAnsi="宋体" w:eastAsia="宋体" w:cs="Times New Roman"/>
          <w:b/>
          <w:bCs/>
          <w:sz w:val="28"/>
          <w:szCs w:val="28"/>
        </w:rPr>
        <w:t>投标文件的组成</w:t>
      </w:r>
      <w:bookmarkEnd w:id="51"/>
      <w:bookmarkEnd w:id="52"/>
      <w:bookmarkEnd w:id="53"/>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采购人对投标人履行合同所必需的设备和专业技术能力无其他特殊要求，投标人可不提供其他证明材料；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法定代表人或主要负责人身份证明书（说明：主要负责人为供应商提供的其具有独立承担民事责任能力的证明材料中的主要负责人员。）；</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2019"/>
      <w:bookmarkEnd w:id="54"/>
      <w:bookmarkStart w:id="55" w:name="_Toc316292020"/>
      <w:bookmarkEnd w:id="55"/>
      <w:bookmarkStart w:id="56" w:name="_Toc316291396"/>
      <w:bookmarkEnd w:id="56"/>
      <w:bookmarkStart w:id="57" w:name="_Toc316291395"/>
      <w:bookmarkEnd w:id="57"/>
      <w:bookmarkStart w:id="58" w:name="_Toc217446049"/>
      <w:bookmarkStart w:id="59" w:name="_Toc183582218"/>
      <w:bookmarkStart w:id="60" w:name="_Toc183682355"/>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183582223"/>
      <w:bookmarkStart w:id="62" w:name="_Toc183682360"/>
      <w:bookmarkStart w:id="63" w:name="_Toc21744605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2024"/>
      <w:bookmarkEnd w:id="64"/>
      <w:bookmarkStart w:id="65" w:name="_Toc316291400"/>
      <w:bookmarkEnd w:id="65"/>
      <w:bookmarkStart w:id="66" w:name="_Toc217446051"/>
      <w:bookmarkStart w:id="67" w:name="_Toc183582224"/>
      <w:bookmarkStart w:id="68" w:name="_Toc183682361"/>
      <w:r>
        <w:rPr>
          <w:rFonts w:hint="eastAsia" w:ascii="宋体" w:hAnsi="宋体" w:eastAsia="宋体" w:cs="Times New Roman"/>
          <w:b/>
          <w:bCs/>
          <w:sz w:val="28"/>
          <w:szCs w:val="28"/>
        </w:rPr>
        <w:t>投标有效期</w:t>
      </w:r>
      <w:bookmarkEnd w:id="66"/>
      <w:bookmarkEnd w:id="67"/>
      <w:bookmarkEnd w:id="68"/>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682364"/>
      <w:bookmarkStart w:id="70" w:name="_Toc183582227"/>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3、投标人应使用本企业CA数字证书对投标文件进行加密。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政府采购云平台所支持的CA证书及签章：四川CA及金格签章，天威CA（金润版）及金润签章，CFCA及金格签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7、CA技术支持：四川CA：400-0281130；天威CA：(028)86694886、1592864708；CFCA：028-65785326、18033549468。”。</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6"/>
      <w:bookmarkEnd w:id="72"/>
      <w:bookmarkStart w:id="73" w:name="_Toc316475587"/>
      <w:bookmarkEnd w:id="73"/>
      <w:bookmarkStart w:id="74" w:name="_Toc217446055"/>
      <w:bookmarkStart w:id="75" w:name="_Toc183582228"/>
      <w:bookmarkStart w:id="76" w:name="_Toc183682365"/>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7" w:name="_Toc77400782"/>
      <w:bookmarkStart w:id="78" w:name="_Toc183582231"/>
      <w:bookmarkStart w:id="79" w:name="_Toc217446056"/>
      <w:bookmarkStart w:id="80" w:name="_Toc183682368"/>
      <w:bookmarkStart w:id="81" w:name="_Toc89075878"/>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18033"/>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183582232"/>
      <w:bookmarkStart w:id="84" w:name="_Toc217446057"/>
      <w:bookmarkStart w:id="85" w:name="_Toc183682369"/>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投标人对开标过程和开标记录有疑义，以及认为采购人、区交易中心相关工作人员有需要回避的情形的，及时向工作人员提出询问或者回避申请。采购人、区交易中心对投标人提出的询问或者回避申请应当及时处理。</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682375"/>
      <w:bookmarkStart w:id="87" w:name="_Toc183582238"/>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582240"/>
      <w:bookmarkStart w:id="91" w:name="_Toc183682377"/>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16140"/>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spacing w:line="360" w:lineRule="auto"/>
        <w:ind w:firstLine="560" w:firstLineChars="200"/>
        <w:rPr>
          <w:rFonts w:ascii="宋体" w:hAnsi="宋体" w:eastAsia="宋体" w:cs="Times New Roman"/>
          <w:sz w:val="28"/>
          <w:szCs w:val="28"/>
        </w:rPr>
      </w:pPr>
      <w:bookmarkStart w:id="100" w:name="_Toc217446074"/>
      <w:bookmarkStart w:id="101" w:name="_Toc183582243"/>
      <w:bookmarkStart w:id="102" w:name="_Toc183682380"/>
      <w:r>
        <w:rPr>
          <w:rFonts w:hint="eastAsia" w:ascii="宋体" w:hAnsi="宋体" w:eastAsia="宋体" w:cs="Times New Roman"/>
          <w:sz w:val="28"/>
          <w:szCs w:val="28"/>
        </w:rPr>
        <w:t>采购人严格按照国家相关法律法规的要求组织验收或考核。</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32231"/>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6"/>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6"/>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25860"/>
      <w:bookmarkStart w:id="107" w:name="_Toc217446078"/>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29"/>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参加本次政府采购活动应当具备的条件，招标项目技术、服务、商务及其他要求，评标细则及标准，和中标结果中关于资格审查提出询问或质疑的，向采购人提出；</w:t>
      </w:r>
    </w:p>
    <w:p>
      <w:pPr>
        <w:numPr>
          <w:ilvl w:val="1"/>
          <w:numId w:val="29"/>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hint="eastAsia" w:ascii="宋体" w:hAnsi="宋体" w:eastAsia="宋体" w:cs="Times New Roman"/>
          <w:sz w:val="28"/>
          <w:szCs w:val="28"/>
        </w:rPr>
      </w:pPr>
      <w:r>
        <w:rPr>
          <w:rFonts w:hint="eastAsia" w:ascii="宋体" w:hAnsi="宋体" w:eastAsia="宋体" w:cs="Times New Roman"/>
          <w:sz w:val="28"/>
          <w:szCs w:val="28"/>
        </w:rPr>
        <w:t>供应商可通过“政府采购云平台”，或现场向采购人或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提交质疑资料。</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（二）法定代表人或主要负责人授权委托书1份（委托代理人办理质疑事宜的需提供）；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w:t>
      </w:r>
      <w:r>
        <w:rPr>
          <w:rFonts w:hint="eastAsia" w:ascii="宋体" w:hAnsi="宋体" w:eastAsia="宋体" w:cs="Times New Roman"/>
          <w:sz w:val="28"/>
          <w:szCs w:val="28"/>
          <w:lang w:eastAsia="zh-CN"/>
        </w:rPr>
        <w:t>法定代表人或主要负责人</w:t>
      </w:r>
      <w:r>
        <w:rPr>
          <w:rFonts w:hint="eastAsia" w:ascii="宋体" w:hAnsi="宋体" w:eastAsia="宋体" w:cs="Times New Roman"/>
          <w:sz w:val="28"/>
          <w:szCs w:val="28"/>
        </w:rPr>
        <w:t>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8"/>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11158"/>
      <w:r>
        <w:rPr>
          <w:rFonts w:hint="eastAsia" w:ascii="宋体" w:hAnsi="宋体" w:eastAsia="宋体" w:cs="Times New Roman"/>
          <w:b/>
          <w:bCs/>
          <w:sz w:val="28"/>
          <w:szCs w:val="28"/>
        </w:rPr>
        <w:t>中小企业政府采购信用融资</w:t>
      </w:r>
      <w:bookmarkEnd w:id="109"/>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6292048"/>
      <w:bookmarkEnd w:id="110"/>
      <w:bookmarkStart w:id="111" w:name="_Toc316292051"/>
      <w:bookmarkEnd w:id="111"/>
      <w:bookmarkStart w:id="112" w:name="_Toc316292050"/>
      <w:bookmarkEnd w:id="112"/>
      <w:bookmarkStart w:id="113" w:name="_Toc315871050"/>
      <w:bookmarkEnd w:id="113"/>
      <w:bookmarkStart w:id="114" w:name="_Toc315871045"/>
      <w:bookmarkEnd w:id="114"/>
      <w:bookmarkStart w:id="115" w:name="_Toc315871046"/>
      <w:bookmarkEnd w:id="115"/>
      <w:bookmarkStart w:id="116" w:name="_Toc315871048"/>
      <w:bookmarkEnd w:id="116"/>
      <w:bookmarkStart w:id="117" w:name="_Toc316292052"/>
      <w:bookmarkEnd w:id="117"/>
      <w:bookmarkStart w:id="118" w:name="_Toc316292049"/>
      <w:bookmarkEnd w:id="118"/>
      <w:bookmarkStart w:id="119" w:name="_Toc315871049"/>
      <w:bookmarkEnd w:id="119"/>
      <w:bookmarkStart w:id="120" w:name="_Toc315871047"/>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28500"/>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31787"/>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成都市新都区木兰中学校物业管理服务采购项目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新都政采（2021）A0076号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12834"/>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119296788"/>
      <w:bookmarkStart w:id="126" w:name="_Toc146903609"/>
      <w:bookmarkStart w:id="127" w:name="_Toc119203988"/>
      <w:bookmarkStart w:id="128" w:name="_Toc119295087"/>
      <w:bookmarkStart w:id="129" w:name="_Toc52184753"/>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成都市新都区木兰中学校物业管理服务采购项目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新都政采（2021）A0076号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30"/>
    </w:p>
    <w:p>
      <w:pPr>
        <w:widowControl/>
        <w:numPr>
          <w:ilvl w:val="2"/>
          <w:numId w:val="31"/>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2"/>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法定代表人或主要负责人姓名：XXXX</w:t>
      </w:r>
    </w:p>
    <w:p>
      <w:pPr>
        <w:widowControl/>
        <w:numPr>
          <w:ilvl w:val="2"/>
          <w:numId w:val="31"/>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成都市新都区木兰中学校物业管理服务采购项目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新都政采（2021）A0076号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hint="eastAsia" w:ascii="宋体" w:hAnsi="宋体" w:eastAsia="宋体" w:cs="Times New Roman"/>
          <w:bCs/>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七</w:t>
      </w:r>
      <w:r>
        <w:rPr>
          <w:rFonts w:ascii="宋体" w:hAnsi="宋体" w:eastAsia="宋体" w:cs="Times New Roman"/>
          <w:sz w:val="28"/>
          <w:szCs w:val="22"/>
        </w:rPr>
        <w:t>、</w:t>
      </w:r>
      <w:r>
        <w:rPr>
          <w:rFonts w:hint="eastAsia" w:ascii="宋体" w:hAnsi="宋体" w:eastAsia="宋体" w:cs="Times New Roman"/>
          <w:sz w:val="28"/>
          <w:szCs w:val="22"/>
        </w:rPr>
        <w:t>我单位</w:t>
      </w:r>
      <w:r>
        <w:rPr>
          <w:rFonts w:hint="eastAsia" w:ascii="宋体" w:hAnsi="宋体" w:eastAsia="宋体" w:cs="Times New Roman"/>
          <w:b/>
          <w:sz w:val="28"/>
          <w:szCs w:val="22"/>
          <w:u w:val="single"/>
        </w:rPr>
        <w:t>（说明：填写“具有”或“不具有”）</w:t>
      </w:r>
      <w:r>
        <w:rPr>
          <w:rFonts w:hint="eastAsia" w:ascii="宋体" w:hAnsi="宋体" w:eastAsia="宋体" w:cs="Times New Roman"/>
          <w:sz w:val="28"/>
          <w:szCs w:val="22"/>
        </w:rPr>
        <w:t>健全的</w:t>
      </w:r>
      <w:r>
        <w:rPr>
          <w:rFonts w:ascii="宋体" w:hAnsi="宋体" w:eastAsia="宋体" w:cs="Times New Roman"/>
          <w:sz w:val="28"/>
          <w:szCs w:val="22"/>
        </w:rPr>
        <w:t>财务会计制度</w:t>
      </w:r>
      <w:r>
        <w:rPr>
          <w:rFonts w:hint="eastAsia" w:ascii="宋体" w:hAnsi="宋体" w:eastAsia="宋体" w:cs="Times New Roman"/>
          <w:sz w:val="28"/>
          <w:szCs w:val="22"/>
        </w:rPr>
        <w:t>。</w:t>
      </w:r>
    </w:p>
    <w:p>
      <w:pPr>
        <w:widowControl w:val="0"/>
        <w:spacing w:after="120"/>
        <w:ind w:firstLine="560" w:firstLineChars="200"/>
        <w:jc w:val="both"/>
        <w:rPr>
          <w:rFonts w:ascii="宋体" w:hAnsi="宋体" w:eastAsia="宋体" w:cs="Times New Roman"/>
          <w:bCs/>
          <w:kern w:val="2"/>
          <w:sz w:val="28"/>
          <w:szCs w:val="28"/>
          <w:lang w:val="en-US" w:eastAsia="zh-CN" w:bidi="ar-SA"/>
        </w:rPr>
      </w:pPr>
      <w:r>
        <w:rPr>
          <w:rFonts w:hint="eastAsia" w:ascii="宋体" w:hAnsi="宋体" w:eastAsia="宋体" w:cs="Times New Roman"/>
          <w:bCs/>
          <w:kern w:val="2"/>
          <w:sz w:val="28"/>
          <w:szCs w:val="28"/>
          <w:lang w:val="en-US" w:eastAsia="zh-CN" w:bidi="ar-SA"/>
        </w:rPr>
        <w:t>八</w:t>
      </w:r>
      <w:r>
        <w:rPr>
          <w:rFonts w:ascii="宋体" w:hAnsi="宋体" w:eastAsia="宋体" w:cs="Times New Roman"/>
          <w:bCs/>
          <w:kern w:val="2"/>
          <w:sz w:val="28"/>
          <w:szCs w:val="28"/>
          <w:lang w:val="en-US" w:eastAsia="zh-CN" w:bidi="ar-SA"/>
        </w:rPr>
        <w:t>、</w:t>
      </w:r>
      <w:r>
        <w:rPr>
          <w:rFonts w:hint="eastAsia"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依法缴纳社会</w:t>
      </w:r>
      <w:r>
        <w:rPr>
          <w:rFonts w:ascii="宋体" w:hAnsi="宋体" w:eastAsia="宋体" w:cs="Times New Roman"/>
          <w:bCs/>
          <w:kern w:val="2"/>
          <w:sz w:val="28"/>
          <w:szCs w:val="28"/>
          <w:lang w:val="en-US" w:eastAsia="zh-CN" w:bidi="ar-SA"/>
        </w:rPr>
        <w:t>保障资金的良好记录。</w:t>
      </w:r>
    </w:p>
    <w:p>
      <w:pPr>
        <w:widowControl w:val="0"/>
        <w:spacing w:after="120"/>
        <w:ind w:firstLine="420"/>
        <w:jc w:val="both"/>
        <w:rPr>
          <w:rFonts w:ascii="Calibri" w:hAnsi="Calibri" w:eastAsia="宋体" w:cs="Times New Roman"/>
          <w:kern w:val="2"/>
          <w:sz w:val="21"/>
          <w:szCs w:val="22"/>
          <w:lang w:val="en-US" w:eastAsia="zh-CN" w:bidi="ar-SA"/>
        </w:rPr>
      </w:pPr>
      <w:r>
        <w:rPr>
          <w:rFonts w:hint="eastAsia" w:ascii="宋体" w:hAnsi="宋体" w:eastAsia="宋体" w:cs="Times New Roman"/>
          <w:bCs/>
          <w:kern w:val="2"/>
          <w:sz w:val="28"/>
          <w:szCs w:val="28"/>
          <w:lang w:val="en-US" w:eastAsia="zh-CN" w:bidi="ar-SA"/>
        </w:rPr>
        <w:t>九</w:t>
      </w:r>
      <w:r>
        <w:rPr>
          <w:rFonts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依法缴纳税收</w:t>
      </w:r>
      <w:r>
        <w:rPr>
          <w:rFonts w:ascii="宋体" w:hAnsi="宋体" w:eastAsia="宋体" w:cs="Times New Roman"/>
          <w:bCs/>
          <w:kern w:val="2"/>
          <w:sz w:val="28"/>
          <w:szCs w:val="28"/>
          <w:lang w:val="en-US" w:eastAsia="zh-CN" w:bidi="ar-SA"/>
        </w:rPr>
        <w:t>的良好记录。</w:t>
      </w:r>
    </w:p>
    <w:p>
      <w:pPr>
        <w:pStyle w:val="2"/>
      </w:pP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6.对声明中第七条的说明：投标人不具有健全的财务会计制度的，应填写“不具有”，投标人投标文件将被认定为无效；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7.对声明中第八条的说明：如投标人无依法缴纳社会保障资金的良好记录的，应填写“无”，投标人投标文件将被认定为无效。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8.对声明中第九条的说明：如投标人无依法缴纳税收的良好记录的，应填写“无”，投标人投标文件将被认定为无效。</w:t>
      </w:r>
    </w:p>
    <w:p>
      <w:pPr>
        <w:rPr>
          <w:rFonts w:hint="eastAsia" w:ascii="宋体" w:hAnsi="宋体" w:eastAsia="宋体" w:cs="Times New Roman"/>
          <w:sz w:val="28"/>
          <w:szCs w:val="28"/>
        </w:rPr>
      </w:pPr>
      <w:r>
        <w:rPr>
          <w:rFonts w:hint="eastAsia" w:ascii="宋体" w:hAnsi="宋体" w:eastAsia="宋体" w:cs="Times New Roman"/>
          <w:sz w:val="28"/>
          <w:szCs w:val="28"/>
        </w:rPr>
        <w:br w:type="page"/>
      </w: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成都市新都区木兰中学校</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成都市新都区木兰中学校物业管理服务采购项目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新都政采（2021）A0076号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auto"/>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三</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w:t>
      </w:r>
      <w:r>
        <w:rPr>
          <w:rFonts w:hint="eastAsia" w:ascii="宋体" w:hAnsi="宋体" w:eastAsia="宋体" w:cs="Times New Roman"/>
          <w:kern w:val="0"/>
          <w:sz w:val="28"/>
          <w:szCs w:val="28"/>
          <w:highlight w:val="none"/>
        </w:rPr>
        <w:t>投标人</w:t>
      </w:r>
      <w:r>
        <w:rPr>
          <w:rFonts w:hint="eastAsia" w:ascii="宋体" w:hAnsi="宋体" w:eastAsia="宋体" w:cs="Times New Roman"/>
          <w:kern w:val="0"/>
          <w:sz w:val="28"/>
          <w:szCs w:val="28"/>
        </w:rPr>
        <w:t>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四</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采购人对法律、行政法规规定的其他条件无其他特殊要求，投标人可不提供其他证明材料。</w:t>
      </w:r>
    </w:p>
    <w:p>
      <w:pPr>
        <w:rPr>
          <w:rFonts w:ascii="Calibri" w:hAnsi="Calibri" w:eastAsia="宋体" w:cs="Times New Roman"/>
          <w:sz w:val="28"/>
          <w:szCs w:val="28"/>
        </w:rPr>
      </w:pPr>
      <w:r>
        <w:rPr>
          <w:rFonts w:ascii="Calibri" w:hAnsi="Calibri" w:eastAsia="宋体" w:cs="Times New Roman"/>
          <w:sz w:val="28"/>
          <w:szCs w:val="28"/>
        </w:rPr>
        <w:br w:type="page"/>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3259"/>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成都市新都区木兰中学校物业管理服务采购项目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新都政采（2021）A0076号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239846734"/>
      <w:bookmarkStart w:id="134" w:name="_Toc314574804"/>
      <w:bookmarkStart w:id="135" w:name="_Toc265494342"/>
      <w:bookmarkStart w:id="136" w:name="_Toc240865266"/>
      <w:bookmarkStart w:id="137" w:name="_Toc229802674"/>
      <w:bookmarkStart w:id="138" w:name="_Toc231030275"/>
      <w:bookmarkStart w:id="139" w:name="_Toc237145395"/>
      <w:bookmarkStart w:id="140" w:name="_Toc240367172"/>
      <w:bookmarkStart w:id="141" w:name="_Toc2398498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法定代表人或主要负责人身份证明书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eastAsia="宋体" w:cs="Times New Roman"/>
          <w:sz w:val="28"/>
          <w:szCs w:val="22"/>
          <w:lang w:val="zh-CN"/>
        </w:rPr>
        <w:t>。</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w:t>
      </w:r>
      <w:r>
        <w:rPr>
          <w:rFonts w:hint="eastAsia" w:ascii="宋体" w:hAnsi="宋体"/>
          <w:b/>
          <w:sz w:val="28"/>
          <w:szCs w:val="28"/>
        </w:rPr>
        <w:t>（1）上述证明文件在投标文件中附有法定代表人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eastAsia="宋体" w:cs="Times New Roman"/>
          <w:b/>
          <w:sz w:val="28"/>
          <w:szCs w:val="28"/>
        </w:rPr>
        <w:t>。</w:t>
      </w:r>
    </w:p>
    <w:bookmarkEnd w:id="133"/>
    <w:bookmarkEnd w:id="134"/>
    <w:bookmarkEnd w:id="135"/>
    <w:bookmarkEnd w:id="136"/>
    <w:bookmarkEnd w:id="137"/>
    <w:bookmarkEnd w:id="138"/>
    <w:bookmarkEnd w:id="139"/>
    <w:bookmarkEnd w:id="140"/>
    <w:bookmarkEnd w:id="141"/>
    <w:p>
      <w:pPr>
        <w:rPr>
          <w:rFonts w:ascii="Calibri" w:hAnsi="Calibri" w:eastAsia="宋体" w:cs="Times New Roman"/>
          <w:szCs w:val="22"/>
        </w:rPr>
      </w:pPr>
      <w:bookmarkStart w:id="143" w:name="_Toc315871054"/>
      <w:bookmarkEnd w:id="143"/>
      <w:bookmarkStart w:id="144" w:name="_Toc302997926"/>
      <w:bookmarkStart w:id="145" w:name="_Toc220299393"/>
      <w:bookmarkStart w:id="146" w:name="_Toc263768870"/>
      <w:bookmarkStart w:id="147" w:name="_Toc263753605"/>
      <w:bookmarkStart w:id="148" w:name="_Toc21744608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4"/>
    </w:p>
    <w:tbl>
      <w:tblPr>
        <w:tblStyle w:val="13"/>
        <w:tblW w:w="852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5"/>
    <w:bookmarkEnd w:id="146"/>
    <w:bookmarkEnd w:id="147"/>
    <w:p>
      <w:pPr>
        <w:spacing w:line="360" w:lineRule="auto"/>
        <w:rPr>
          <w:rFonts w:ascii="宋体" w:hAnsi="宋体" w:eastAsia="宋体" w:cs="Times New Roman"/>
          <w:b/>
          <w:sz w:val="28"/>
          <w:szCs w:val="22"/>
        </w:rPr>
      </w:pPr>
      <w:bookmarkStart w:id="149" w:name="_Toc263753619"/>
      <w:bookmarkStart w:id="150" w:name="_Toc263768877"/>
      <w:bookmarkStart w:id="151" w:name="_Toc302997928"/>
    </w:p>
    <w:bookmarkEnd w:id="148"/>
    <w:bookmarkEnd w:id="149"/>
    <w:bookmarkEnd w:id="150"/>
    <w:bookmarkEnd w:id="151"/>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2"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成都市新都区木兰中学校物业管理服务采购项目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新都政采（2021）A0076号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成都市新都区木兰中学校物业管理服务采购项目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新都政采（2021）A0076号</w:t>
      </w:r>
    </w:p>
    <w:p>
      <w:pPr>
        <w:snapToGrid w:val="0"/>
        <w:spacing w:line="360" w:lineRule="auto"/>
        <w:ind w:firstLine="560" w:firstLineChars="200"/>
        <w:rPr>
          <w:rFonts w:hint="eastAsia" w:ascii="宋体" w:hAnsi="宋体" w:eastAsia="宋体" w:cs="Times New Roman"/>
          <w:sz w:val="28"/>
          <w:szCs w:val="22"/>
          <w:highlight w:val="none"/>
        </w:rPr>
      </w:pPr>
      <w:r>
        <w:rPr>
          <w:rFonts w:hint="eastAsia" w:ascii="宋体" w:hAnsi="宋体" w:eastAsia="宋体" w:cs="Times New Roman"/>
          <w:sz w:val="28"/>
          <w:szCs w:val="22"/>
          <w:highlight w:val="none"/>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一、为本项目提供的所有服务符合现行的国家相关强制性标准、行业标准。</w:t>
      </w:r>
    </w:p>
    <w:p>
      <w:pPr>
        <w:snapToGrid w:val="0"/>
        <w:spacing w:line="360" w:lineRule="auto"/>
        <w:ind w:firstLine="560" w:firstLineChars="200"/>
        <w:rPr>
          <w:rFonts w:hint="eastAsia" w:ascii="宋体" w:hAnsi="宋体" w:eastAsia="宋体" w:cs="Times New Roman"/>
          <w:sz w:val="28"/>
          <w:szCs w:val="22"/>
          <w:highlight w:val="red"/>
          <w:lang w:val="en-US" w:eastAsia="zh-CN"/>
        </w:rPr>
      </w:pPr>
      <w:r>
        <w:rPr>
          <w:rFonts w:hint="eastAsia" w:ascii="宋体" w:hAnsi="宋体" w:eastAsia="宋体" w:cs="Times New Roman"/>
          <w:sz w:val="28"/>
          <w:szCs w:val="22"/>
          <w:highlight w:val="none"/>
          <w:lang w:val="en-US" w:eastAsia="zh-CN"/>
        </w:rPr>
        <w:t>二、我方承诺完全响应招标文件4.2.2人员最低配置要求中的所有要求（注：项目配置岗位及人数不得低于人员配置要求）</w:t>
      </w:r>
    </w:p>
    <w:p>
      <w:pPr>
        <w:spacing w:line="360" w:lineRule="auto"/>
        <w:jc w:val="center"/>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岗位及人员数量（最低配置总计</w:t>
      </w:r>
      <w:r>
        <w:rPr>
          <w:rFonts w:hint="eastAsia" w:ascii="宋体" w:hAnsi="宋体" w:eastAsia="宋体" w:cs="宋体"/>
          <w:color w:val="000000" w:themeColor="text1"/>
          <w:sz w:val="28"/>
          <w:szCs w:val="28"/>
          <w:highlight w:val="none"/>
          <w:lang w:val="en-US" w:eastAsia="zh-CN"/>
          <w14:textFill>
            <w14:solidFill>
              <w14:schemeClr w14:val="tx1"/>
            </w14:solidFill>
          </w14:textFill>
        </w:rPr>
        <w:t>16</w:t>
      </w:r>
      <w:r>
        <w:rPr>
          <w:rFonts w:hint="eastAsia" w:ascii="宋体" w:hAnsi="宋体" w:eastAsia="宋体" w:cs="宋体"/>
          <w:color w:val="000000" w:themeColor="text1"/>
          <w:sz w:val="28"/>
          <w:szCs w:val="28"/>
          <w:highlight w:val="none"/>
          <w:lang w:eastAsia="zh-CN"/>
          <w14:textFill>
            <w14:solidFill>
              <w14:schemeClr w14:val="tx1"/>
            </w14:solidFill>
          </w14:textFill>
        </w:rPr>
        <w:t>人）</w:t>
      </w:r>
    </w:p>
    <w:tbl>
      <w:tblPr>
        <w:tblStyle w:val="13"/>
        <w:tblW w:w="8891" w:type="dxa"/>
        <w:tblInd w:w="0" w:type="dxa"/>
        <w:tblLayout w:type="fixed"/>
        <w:tblCellMar>
          <w:top w:w="15" w:type="dxa"/>
          <w:left w:w="15" w:type="dxa"/>
          <w:bottom w:w="15" w:type="dxa"/>
          <w:right w:w="15" w:type="dxa"/>
        </w:tblCellMar>
      </w:tblPr>
      <w:tblGrid>
        <w:gridCol w:w="990"/>
        <w:gridCol w:w="2789"/>
        <w:gridCol w:w="5112"/>
      </w:tblGrid>
      <w:tr>
        <w:tblPrEx>
          <w:tblCellMar>
            <w:top w:w="15" w:type="dxa"/>
            <w:left w:w="15" w:type="dxa"/>
            <w:bottom w:w="15" w:type="dxa"/>
            <w:right w:w="15" w:type="dxa"/>
          </w:tblCellMar>
        </w:tblPrEx>
        <w:trPr>
          <w:trHeight w:val="418" w:hRule="atLeast"/>
        </w:trPr>
        <w:tc>
          <w:tcPr>
            <w:tcW w:w="99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内容</w:t>
            </w:r>
          </w:p>
        </w:tc>
        <w:tc>
          <w:tcPr>
            <w:tcW w:w="7901" w:type="dxa"/>
            <w:gridSpan w:val="2"/>
            <w:tcBorders>
              <w:top w:val="single" w:color="000000" w:sz="4" w:space="0"/>
              <w:left w:val="single" w:color="000000" w:sz="4" w:space="0"/>
              <w:bottom w:val="single" w:color="auto" w:sz="4" w:space="0"/>
              <w:right w:val="single" w:color="000000" w:sz="4" w:space="0"/>
            </w:tcBorders>
            <w:shd w:val="clear" w:color="auto" w:fill="DEEBF6" w:themeFill="accent1" w:themeFillTint="32"/>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岗位及人数</w:t>
            </w:r>
          </w:p>
        </w:tc>
      </w:tr>
      <w:tr>
        <w:tblPrEx>
          <w:tblCellMar>
            <w:top w:w="15" w:type="dxa"/>
            <w:left w:w="15" w:type="dxa"/>
            <w:bottom w:w="15" w:type="dxa"/>
            <w:right w:w="15" w:type="dxa"/>
          </w:tblCellMar>
        </w:tblPrEx>
        <w:trPr>
          <w:trHeight w:val="457" w:hRule="atLeast"/>
        </w:trPr>
        <w:tc>
          <w:tcPr>
            <w:tcW w:w="990" w:type="dxa"/>
            <w:vMerge w:val="restart"/>
            <w:tcBorders>
              <w:top w:val="single" w:color="000000" w:sz="4" w:space="0"/>
              <w:left w:val="single" w:color="000000" w:sz="4" w:space="0"/>
              <w:right w:val="single" w:color="auto" w:sz="4" w:space="0"/>
            </w:tcBorders>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物业服务</w:t>
            </w:r>
          </w:p>
        </w:tc>
        <w:tc>
          <w:tcPr>
            <w:tcW w:w="7901" w:type="dxa"/>
            <w:gridSpan w:val="2"/>
            <w:tcBorders>
              <w:top w:val="single" w:color="auto" w:sz="4" w:space="0"/>
              <w:left w:val="single" w:color="auto" w:sz="4" w:space="0"/>
              <w:right w:val="single" w:color="auto" w:sz="4" w:space="0"/>
            </w:tcBorders>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项目经理1人</w:t>
            </w:r>
          </w:p>
        </w:tc>
      </w:tr>
      <w:tr>
        <w:tblPrEx>
          <w:tblCellMar>
            <w:top w:w="15" w:type="dxa"/>
            <w:left w:w="15" w:type="dxa"/>
            <w:bottom w:w="15" w:type="dxa"/>
            <w:right w:w="15" w:type="dxa"/>
          </w:tblCellMar>
        </w:tblPrEx>
        <w:trPr>
          <w:trHeight w:val="358" w:hRule="atLeast"/>
        </w:trPr>
        <w:tc>
          <w:tcPr>
            <w:tcW w:w="990" w:type="dxa"/>
            <w:vMerge w:val="continue"/>
            <w:tcBorders>
              <w:left w:val="single" w:color="000000" w:sz="4" w:space="0"/>
              <w:right w:val="single" w:color="auto" w:sz="4" w:space="0"/>
            </w:tcBorders>
            <w:noWrap w:val="0"/>
            <w:vAlign w:val="center"/>
          </w:tcPr>
          <w:p>
            <w:pPr>
              <w:jc w:val="center"/>
              <w:rPr>
                <w:rFonts w:hint="eastAsia" w:ascii="宋体" w:hAnsi="宋体" w:eastAsia="宋体" w:cs="宋体"/>
                <w:color w:val="auto"/>
                <w:sz w:val="24"/>
                <w:szCs w:val="24"/>
              </w:rPr>
            </w:pPr>
          </w:p>
        </w:tc>
        <w:tc>
          <w:tcPr>
            <w:tcW w:w="2789"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秩序维护员</w:t>
            </w:r>
          </w:p>
          <w:p>
            <w:pPr>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10人</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公寓秩序维护员4人</w:t>
            </w:r>
          </w:p>
        </w:tc>
      </w:tr>
      <w:tr>
        <w:tblPrEx>
          <w:tblCellMar>
            <w:top w:w="15" w:type="dxa"/>
            <w:left w:w="15" w:type="dxa"/>
            <w:bottom w:w="15" w:type="dxa"/>
            <w:right w:w="15" w:type="dxa"/>
          </w:tblCellMar>
        </w:tblPrEx>
        <w:trPr>
          <w:trHeight w:val="237" w:hRule="atLeast"/>
        </w:trPr>
        <w:tc>
          <w:tcPr>
            <w:tcW w:w="990" w:type="dxa"/>
            <w:vMerge w:val="continue"/>
            <w:tcBorders>
              <w:left w:val="single" w:color="000000" w:sz="4" w:space="0"/>
              <w:right w:val="single" w:color="auto" w:sz="4" w:space="0"/>
            </w:tcBorders>
            <w:noWrap w:val="0"/>
            <w:vAlign w:val="center"/>
          </w:tcPr>
          <w:p>
            <w:pPr>
              <w:jc w:val="center"/>
              <w:rPr>
                <w:rFonts w:hint="eastAsia" w:ascii="宋体" w:hAnsi="宋体" w:eastAsia="宋体" w:cs="宋体"/>
                <w:color w:val="auto"/>
                <w:sz w:val="24"/>
                <w:szCs w:val="24"/>
              </w:rPr>
            </w:pPr>
          </w:p>
        </w:tc>
        <w:tc>
          <w:tcPr>
            <w:tcW w:w="2789"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门卫岗亭秩序维护员6人</w:t>
            </w:r>
          </w:p>
        </w:tc>
      </w:tr>
      <w:tr>
        <w:tblPrEx>
          <w:tblCellMar>
            <w:top w:w="15" w:type="dxa"/>
            <w:left w:w="15" w:type="dxa"/>
            <w:bottom w:w="15" w:type="dxa"/>
            <w:right w:w="15" w:type="dxa"/>
          </w:tblCellMar>
        </w:tblPrEx>
        <w:trPr>
          <w:trHeight w:val="157" w:hRule="atLeast"/>
        </w:trPr>
        <w:tc>
          <w:tcPr>
            <w:tcW w:w="990" w:type="dxa"/>
            <w:vMerge w:val="continue"/>
            <w:tcBorders>
              <w:left w:val="single" w:color="000000" w:sz="4" w:space="0"/>
              <w:right w:val="single" w:color="auto" w:sz="4" w:space="0"/>
            </w:tcBorders>
            <w:noWrap w:val="0"/>
            <w:vAlign w:val="center"/>
          </w:tcPr>
          <w:p>
            <w:pPr>
              <w:jc w:val="center"/>
              <w:rPr>
                <w:rFonts w:hint="eastAsia" w:ascii="宋体" w:hAnsi="宋体" w:eastAsia="宋体" w:cs="宋体"/>
                <w:color w:val="auto"/>
                <w:sz w:val="24"/>
                <w:szCs w:val="24"/>
              </w:rPr>
            </w:pPr>
          </w:p>
        </w:tc>
        <w:tc>
          <w:tcPr>
            <w:tcW w:w="7901"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水电维护与应急救援</w:t>
            </w:r>
            <w:r>
              <w:rPr>
                <w:rFonts w:hint="eastAsia" w:ascii="宋体" w:hAnsi="宋体" w:eastAsia="宋体" w:cs="宋体"/>
                <w:color w:val="auto"/>
                <w:kern w:val="0"/>
                <w:sz w:val="24"/>
                <w:szCs w:val="24"/>
                <w:lang w:eastAsia="zh-CN" w:bidi="ar"/>
              </w:rPr>
              <w:t>人员</w:t>
            </w:r>
            <w:r>
              <w:rPr>
                <w:rFonts w:hint="eastAsia" w:ascii="宋体" w:hAnsi="宋体" w:eastAsia="宋体" w:cs="宋体"/>
                <w:color w:val="auto"/>
                <w:kern w:val="0"/>
                <w:sz w:val="24"/>
                <w:szCs w:val="24"/>
                <w:lang w:bidi="ar"/>
              </w:rPr>
              <w:t>1人</w:t>
            </w:r>
          </w:p>
        </w:tc>
      </w:tr>
      <w:tr>
        <w:tblPrEx>
          <w:tblCellMar>
            <w:top w:w="15" w:type="dxa"/>
            <w:left w:w="15" w:type="dxa"/>
            <w:bottom w:w="15" w:type="dxa"/>
            <w:right w:w="15" w:type="dxa"/>
          </w:tblCellMar>
        </w:tblPrEx>
        <w:trPr>
          <w:trHeight w:val="476" w:hRule="atLeast"/>
        </w:trPr>
        <w:tc>
          <w:tcPr>
            <w:tcW w:w="990" w:type="dxa"/>
            <w:vMerge w:val="continue"/>
            <w:tcBorders>
              <w:left w:val="single" w:color="000000" w:sz="4" w:space="0"/>
              <w:right w:val="single" w:color="auto" w:sz="4" w:space="0"/>
            </w:tcBorders>
            <w:noWrap w:val="0"/>
            <w:vAlign w:val="center"/>
          </w:tcPr>
          <w:p>
            <w:pPr>
              <w:jc w:val="center"/>
              <w:rPr>
                <w:rFonts w:hint="eastAsia" w:ascii="宋体" w:hAnsi="宋体" w:eastAsia="宋体" w:cs="宋体"/>
                <w:color w:val="000000"/>
                <w:sz w:val="24"/>
                <w:szCs w:val="24"/>
              </w:rPr>
            </w:pPr>
          </w:p>
        </w:tc>
        <w:tc>
          <w:tcPr>
            <w:tcW w:w="790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环境维护员</w:t>
            </w:r>
            <w:r>
              <w:rPr>
                <w:rFonts w:hint="eastAsia" w:ascii="宋体" w:hAnsi="宋体" w:eastAsia="宋体" w:cs="宋体"/>
                <w:color w:val="000000"/>
                <w:kern w:val="0"/>
                <w:sz w:val="24"/>
                <w:szCs w:val="24"/>
                <w:lang w:bidi="ar"/>
              </w:rPr>
              <w:t>4人</w:t>
            </w:r>
          </w:p>
        </w:tc>
      </w:tr>
      <w:tr>
        <w:tblPrEx>
          <w:tblCellMar>
            <w:top w:w="15" w:type="dxa"/>
            <w:left w:w="15" w:type="dxa"/>
            <w:bottom w:w="15" w:type="dxa"/>
            <w:right w:w="15" w:type="dxa"/>
          </w:tblCellMar>
        </w:tblPrEx>
        <w:trPr>
          <w:trHeight w:val="660" w:hRule="atLeast"/>
        </w:trPr>
        <w:tc>
          <w:tcPr>
            <w:tcW w:w="9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合计</w:t>
            </w:r>
          </w:p>
        </w:tc>
        <w:tc>
          <w:tcPr>
            <w:tcW w:w="7901" w:type="dxa"/>
            <w:gridSpan w:val="2"/>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16人</w:t>
            </w:r>
          </w:p>
        </w:tc>
      </w:tr>
    </w:tbl>
    <w:p>
      <w:pPr>
        <w:snapToGrid w:val="0"/>
        <w:spacing w:line="360" w:lineRule="auto"/>
        <w:ind w:firstLine="560" w:firstLineChars="200"/>
        <w:rPr>
          <w:rFonts w:hint="eastAsia" w:ascii="宋体" w:hAnsi="宋体" w:eastAsia="宋体" w:cs="Times New Roman"/>
          <w:sz w:val="28"/>
          <w:szCs w:val="22"/>
          <w:highlight w:val="red"/>
          <w:lang w:val="en-US" w:eastAsia="zh-CN"/>
        </w:rPr>
      </w:pPr>
    </w:p>
    <w:p>
      <w:pPr>
        <w:snapToGrid w:val="0"/>
        <w:spacing w:line="360" w:lineRule="auto"/>
        <w:ind w:firstLine="560" w:firstLineChars="200"/>
        <w:rPr>
          <w:rFonts w:hint="eastAsia" w:ascii="宋体" w:hAnsi="宋体" w:eastAsia="宋体" w:cs="Times New Roman"/>
          <w:color w:val="auto"/>
          <w:sz w:val="28"/>
          <w:szCs w:val="22"/>
          <w:highlight w:val="none"/>
          <w:lang w:val="en-US" w:eastAsia="zh-CN"/>
        </w:rPr>
      </w:pPr>
      <w:r>
        <w:rPr>
          <w:rFonts w:hint="eastAsia" w:ascii="宋体" w:hAnsi="宋体" w:eastAsia="宋体" w:cs="Times New Roman"/>
          <w:color w:val="auto"/>
          <w:sz w:val="28"/>
          <w:szCs w:val="22"/>
          <w:highlight w:val="none"/>
          <w:lang w:val="en-US" w:eastAsia="zh-CN"/>
        </w:rPr>
        <w:t>三、投标人的用工必须符合国家的有关法律法规的规定，必须与员工签订劳动合同，并为员工按规定缴纳相关保险。按包干制收费模式，盈亏均由物业公司承担；员工最低工资标准不得低于采购人当地政府相关部门公布的最低工资标准。</w:t>
      </w:r>
    </w:p>
    <w:p>
      <w:pPr>
        <w:snapToGrid w:val="0"/>
        <w:spacing w:line="360" w:lineRule="auto"/>
        <w:ind w:firstLine="560" w:firstLineChars="200"/>
        <w:rPr>
          <w:rFonts w:hint="eastAsia" w:ascii="宋体" w:hAnsi="宋体" w:eastAsia="宋体" w:cs="Times New Roman"/>
          <w:color w:val="auto"/>
          <w:sz w:val="28"/>
          <w:szCs w:val="22"/>
          <w:highlight w:val="none"/>
          <w:lang w:val="en-US" w:eastAsia="zh-CN"/>
        </w:rPr>
      </w:pPr>
      <w:r>
        <w:rPr>
          <w:rFonts w:hint="eastAsia" w:ascii="宋体" w:hAnsi="宋体" w:eastAsia="宋体" w:cs="Times New Roman"/>
          <w:color w:val="auto"/>
          <w:sz w:val="28"/>
          <w:szCs w:val="22"/>
          <w:highlight w:val="none"/>
          <w:lang w:val="en-US" w:eastAsia="zh-CN"/>
        </w:rPr>
        <w:t>四、拟配备人员中至少一人具备中级或中级以上消防设施操作员〔建（构）筑物消防员〕证，中标后提供证书供采购人查验。</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宋体"/>
          <w:color w:val="auto"/>
          <w:kern w:val="2"/>
          <w:sz w:val="28"/>
          <w:szCs w:val="28"/>
          <w:highlight w:val="none"/>
          <w:lang w:val="en-US" w:eastAsia="zh-CN" w:bidi="ar-SA"/>
        </w:rPr>
        <w:t>五、</w:t>
      </w:r>
      <w:r>
        <w:rPr>
          <w:rFonts w:hint="default" w:ascii="宋体" w:hAnsi="宋体" w:eastAsia="宋体" w:cs="宋体"/>
          <w:color w:val="auto"/>
          <w:kern w:val="2"/>
          <w:sz w:val="28"/>
          <w:szCs w:val="28"/>
          <w:highlight w:val="none"/>
          <w:lang w:val="en-US" w:eastAsia="zh-CN" w:bidi="ar-SA"/>
        </w:rPr>
        <w:t>我方承诺完全响应招标文件4.</w:t>
      </w:r>
      <w:r>
        <w:rPr>
          <w:rFonts w:hint="eastAsia" w:ascii="宋体" w:hAnsi="宋体" w:eastAsia="宋体" w:cs="宋体"/>
          <w:color w:val="auto"/>
          <w:kern w:val="2"/>
          <w:sz w:val="28"/>
          <w:szCs w:val="28"/>
          <w:highlight w:val="none"/>
          <w:lang w:val="en-US" w:eastAsia="zh-CN" w:bidi="ar-SA"/>
        </w:rPr>
        <w:t>3.1服务期限</w:t>
      </w:r>
      <w:r>
        <w:rPr>
          <w:rFonts w:hint="default" w:ascii="宋体" w:hAnsi="宋体" w:eastAsia="宋体" w:cs="宋体"/>
          <w:color w:val="auto"/>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bidi="ar-SA"/>
        </w:rPr>
        <w:t>3.2服务</w:t>
      </w:r>
      <w:r>
        <w:rPr>
          <w:rFonts w:hint="default" w:ascii="宋体" w:hAnsi="宋体" w:eastAsia="宋体" w:cs="宋体"/>
          <w:color w:val="auto"/>
          <w:kern w:val="2"/>
          <w:sz w:val="28"/>
          <w:szCs w:val="28"/>
          <w:highlight w:val="none"/>
          <w:lang w:val="en-US" w:eastAsia="zh-CN" w:bidi="ar-SA"/>
        </w:rPr>
        <w:t>地点、4.</w:t>
      </w:r>
      <w:r>
        <w:rPr>
          <w:rFonts w:hint="eastAsia" w:ascii="宋体" w:hAnsi="宋体" w:eastAsia="宋体" w:cs="宋体"/>
          <w:color w:val="auto"/>
          <w:kern w:val="2"/>
          <w:sz w:val="28"/>
          <w:szCs w:val="28"/>
          <w:highlight w:val="none"/>
          <w:lang w:val="en-US" w:eastAsia="zh-CN" w:bidi="ar-SA"/>
        </w:rPr>
        <w:t>3.3考核（验收）</w:t>
      </w:r>
      <w:r>
        <w:rPr>
          <w:rFonts w:hint="default" w:ascii="宋体" w:hAnsi="宋体" w:eastAsia="宋体" w:cs="宋体"/>
          <w:color w:val="auto"/>
          <w:kern w:val="2"/>
          <w:sz w:val="28"/>
          <w:szCs w:val="28"/>
          <w:highlight w:val="none"/>
          <w:lang w:val="en-US" w:eastAsia="zh-CN" w:bidi="ar-SA"/>
        </w:rPr>
        <w:t>标准</w:t>
      </w:r>
      <w:r>
        <w:rPr>
          <w:rFonts w:hint="default" w:ascii="宋体" w:hAnsi="宋体" w:eastAsia="宋体" w:cs="宋体"/>
          <w:color w:val="000000"/>
          <w:kern w:val="2"/>
          <w:sz w:val="28"/>
          <w:szCs w:val="28"/>
          <w:highlight w:val="none"/>
          <w:lang w:val="en-US" w:eastAsia="zh-CN" w:bidi="ar-SA"/>
        </w:rPr>
        <w:t>和方法、4.</w:t>
      </w:r>
      <w:r>
        <w:rPr>
          <w:rFonts w:hint="eastAsia" w:ascii="宋体" w:hAnsi="宋体" w:eastAsia="宋体" w:cs="宋体"/>
          <w:color w:val="000000"/>
          <w:kern w:val="2"/>
          <w:sz w:val="28"/>
          <w:szCs w:val="28"/>
          <w:highlight w:val="none"/>
          <w:lang w:val="en-US" w:eastAsia="zh-CN" w:bidi="ar-SA"/>
        </w:rPr>
        <w:t>3.4</w:t>
      </w:r>
      <w:r>
        <w:rPr>
          <w:rFonts w:hint="default" w:ascii="宋体" w:hAnsi="宋体" w:eastAsia="宋体" w:cs="宋体"/>
          <w:color w:val="000000"/>
          <w:kern w:val="2"/>
          <w:sz w:val="28"/>
          <w:szCs w:val="28"/>
          <w:highlight w:val="none"/>
          <w:lang w:val="en-US" w:eastAsia="zh-CN" w:bidi="ar-SA"/>
        </w:rPr>
        <w:t>付款</w:t>
      </w:r>
      <w:r>
        <w:rPr>
          <w:rFonts w:hint="eastAsia" w:ascii="宋体" w:hAnsi="宋体" w:eastAsia="宋体" w:cs="宋体"/>
          <w:color w:val="000000"/>
          <w:kern w:val="2"/>
          <w:sz w:val="28"/>
          <w:szCs w:val="28"/>
          <w:highlight w:val="none"/>
          <w:lang w:val="en-US" w:eastAsia="zh-CN" w:bidi="ar-SA"/>
        </w:rPr>
        <w:t>进度和支付</w:t>
      </w:r>
      <w:r>
        <w:rPr>
          <w:rFonts w:hint="default" w:ascii="宋体" w:hAnsi="宋体" w:eastAsia="宋体" w:cs="宋体"/>
          <w:color w:val="000000"/>
          <w:kern w:val="2"/>
          <w:sz w:val="28"/>
          <w:szCs w:val="28"/>
          <w:highlight w:val="none"/>
          <w:lang w:val="en-US" w:eastAsia="zh-CN" w:bidi="ar-SA"/>
        </w:rPr>
        <w:t>方式、4.</w:t>
      </w:r>
      <w:r>
        <w:rPr>
          <w:rFonts w:hint="eastAsia" w:ascii="宋体" w:hAnsi="宋体" w:eastAsia="宋体" w:cs="宋体"/>
          <w:color w:val="000000"/>
          <w:kern w:val="2"/>
          <w:sz w:val="28"/>
          <w:szCs w:val="28"/>
          <w:highlight w:val="none"/>
          <w:lang w:val="en-US" w:eastAsia="zh-CN" w:bidi="ar-SA"/>
        </w:rPr>
        <w:t>3.5</w:t>
      </w:r>
      <w:r>
        <w:rPr>
          <w:rFonts w:hint="default" w:ascii="宋体" w:hAnsi="宋体" w:eastAsia="宋体" w:cs="宋体"/>
          <w:color w:val="000000"/>
          <w:kern w:val="2"/>
          <w:sz w:val="28"/>
          <w:szCs w:val="28"/>
          <w:highlight w:val="none"/>
          <w:lang w:val="en-US" w:eastAsia="zh-CN" w:bidi="ar-SA"/>
        </w:rPr>
        <w:t>违约责任、4.3.</w:t>
      </w:r>
      <w:r>
        <w:rPr>
          <w:rFonts w:hint="eastAsia" w:ascii="宋体" w:hAnsi="宋体" w:eastAsia="宋体" w:cs="宋体"/>
          <w:color w:val="000000"/>
          <w:kern w:val="2"/>
          <w:sz w:val="28"/>
          <w:szCs w:val="28"/>
          <w:highlight w:val="none"/>
          <w:lang w:val="en-US" w:eastAsia="zh-CN" w:bidi="ar-SA"/>
        </w:rPr>
        <w:t>6解决争议的方式</w:t>
      </w:r>
      <w:r>
        <w:rPr>
          <w:rFonts w:hint="default" w:ascii="宋体" w:hAnsi="宋体" w:eastAsia="宋体" w:cs="宋体"/>
          <w:color w:val="000000"/>
          <w:kern w:val="2"/>
          <w:sz w:val="28"/>
          <w:szCs w:val="28"/>
          <w:highlight w:val="none"/>
          <w:lang w:val="en-US" w:eastAsia="zh-CN" w:bidi="ar-SA"/>
        </w:rPr>
        <w:t>中的所有要求。</w:t>
      </w:r>
    </w:p>
    <w:p>
      <w:pPr>
        <w:pageBreakBefore w:val="0"/>
        <w:widowControl w:val="0"/>
        <w:kinsoku/>
        <w:wordWrap/>
        <w:overflowPunct/>
        <w:topLinePunct w:val="0"/>
        <w:autoSpaceDE/>
        <w:autoSpaceDN/>
        <w:bidi w:val="0"/>
        <w:adjustRightInd/>
        <w:snapToGrid/>
        <w:spacing w:line="420" w:lineRule="exact"/>
        <w:ind w:firstLine="480"/>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53" w:name="_Toc4521"/>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14"/>
        <w:tblW w:w="6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rPr>
          <w:rFonts w:ascii="宋体" w:hAnsi="宋体" w:eastAsia="宋体" w:cs="Times New Roman"/>
          <w:b/>
          <w:sz w:val="28"/>
          <w:szCs w:val="28"/>
          <w:u w:val="single"/>
        </w:rPr>
      </w:pPr>
      <w:r>
        <w:rPr>
          <w:rFonts w:ascii="宋体" w:hAnsi="宋体" w:eastAsia="宋体" w:cs="Times New Roman"/>
          <w:b/>
          <w:sz w:val="28"/>
          <w:szCs w:val="28"/>
          <w:u w:val="single"/>
        </w:rPr>
        <w:br w:type="page"/>
      </w: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成都市新都区木兰中学校物业管理服务采购项目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新都政采（2021）A0076号</w:t>
      </w:r>
    </w:p>
    <w:p>
      <w:pPr>
        <w:pStyle w:val="6"/>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6"/>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6"/>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6"/>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说明：投标人应根据其投标报价的构成提供详细的分项价格明细表，分项报价明细表格式由投标人自行制表，填写报价合计应包括投标人完成本项目所需的一切费用。</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rPr>
          <w:rFonts w:ascii="Calibri" w:hAnsi="Calibri" w:eastAsia="宋体" w:cs="Times New Roman"/>
          <w:szCs w:val="22"/>
        </w:rPr>
      </w:pPr>
    </w:p>
    <w:bookmarkEnd w:id="152"/>
    <w:p>
      <w:pPr>
        <w:keepNext/>
        <w:keepLines/>
        <w:numPr>
          <w:ilvl w:val="0"/>
          <w:numId w:val="4"/>
        </w:numPr>
        <w:spacing w:line="360" w:lineRule="auto"/>
        <w:ind w:left="283" w:hanging="425"/>
        <w:jc w:val="center"/>
        <w:outlineLvl w:val="0"/>
        <w:rPr>
          <w:rFonts w:hint="eastAsia" w:ascii="宋体" w:hAnsi="宋体" w:eastAsia="宋体" w:cs="宋体"/>
          <w:b/>
          <w:bCs/>
          <w:spacing w:val="-20"/>
          <w:kern w:val="44"/>
          <w:sz w:val="28"/>
          <w:szCs w:val="28"/>
        </w:rPr>
      </w:pPr>
      <w:bookmarkStart w:id="154" w:name="_Toc217446093"/>
      <w:bookmarkStart w:id="155" w:name="_Toc26147"/>
      <w:bookmarkStart w:id="156" w:name="_Toc316292231"/>
      <w:bookmarkStart w:id="157" w:name="_Toc321382057"/>
      <w:r>
        <w:rPr>
          <w:rFonts w:hint="eastAsia" w:ascii="宋体" w:hAnsi="宋体" w:eastAsia="宋体" w:cs="宋体"/>
          <w:b/>
          <w:bCs/>
          <w:spacing w:val="-20"/>
          <w:kern w:val="44"/>
          <w:sz w:val="28"/>
          <w:szCs w:val="28"/>
        </w:rPr>
        <w:t>招标项目技术、服务、商务及其他要求</w:t>
      </w:r>
      <w:bookmarkEnd w:id="154"/>
      <w:bookmarkEnd w:id="155"/>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rFonts w:hint="eastAsia" w:ascii="宋体" w:hAnsi="宋体" w:eastAsia="宋体" w:cs="宋体"/>
          <w:sz w:val="28"/>
          <w:szCs w:val="28"/>
          <w:lang w:val="en-US" w:eastAsia="zh-CN"/>
        </w:rPr>
      </w:pPr>
      <w:bookmarkStart w:id="158" w:name="_Toc54857461"/>
      <w:bookmarkStart w:id="159" w:name="_Toc6811"/>
      <w:bookmarkStart w:id="160" w:name="_Toc72309526"/>
      <w:bookmarkStart w:id="161" w:name="_Toc533672602"/>
      <w:bookmarkStart w:id="162" w:name="_Toc529173741"/>
      <w:r>
        <w:rPr>
          <w:rFonts w:hint="eastAsia" w:ascii="宋体" w:hAnsi="宋体" w:eastAsia="宋体" w:cs="宋体"/>
          <w:b/>
          <w:bCs/>
          <w:kern w:val="2"/>
          <w:sz w:val="28"/>
          <w:szCs w:val="28"/>
          <w:lang w:val="en-US" w:eastAsia="zh-CN" w:bidi="ar-SA"/>
        </w:rPr>
        <w:t>项目概况</w:t>
      </w:r>
      <w:bookmarkEnd w:id="158"/>
      <w:bookmarkEnd w:id="159"/>
      <w:bookmarkEnd w:id="160"/>
      <w:bookmarkStart w:id="163" w:name="_Toc513796936"/>
    </w:p>
    <w:bookmarkEnd w:id="163"/>
    <w:p>
      <w:pPr>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bookmarkStart w:id="164" w:name="_Toc16149"/>
      <w:r>
        <w:rPr>
          <w:rFonts w:hint="eastAsia" w:ascii="宋体" w:hAnsi="宋体" w:eastAsia="宋体" w:cs="宋体"/>
          <w:color w:val="000000" w:themeColor="text1"/>
          <w:sz w:val="28"/>
          <w:szCs w:val="28"/>
          <w:lang w:eastAsia="zh-CN"/>
          <w14:textFill>
            <w14:solidFill>
              <w14:schemeClr w14:val="tx1"/>
            </w14:solidFill>
          </w14:textFill>
        </w:rPr>
        <w:t>成都市新都区木兰中学校位于成都市新都区长林路南段19号，学校占地面积34550.6平方米，总建筑面积19597.03平方米（含两栋教学楼，一栋综合楼，两个报告厅，两栋宿舍楼，两栋教师周转房，一栋食堂，一栋学生餐厅）运动场12475平方米，绿化10506.6平方米。现有在校学生1305人，住校生850余人，教师97人。</w:t>
      </w:r>
    </w:p>
    <w:p>
      <w:pPr>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学校建筑区域分布情况：教学楼A、B共2栋及周边，综合楼K共1栋及周边，办公楼及周边，学生宿舍楼A、B两栋及周边，食堂周边，足球场，学术报告厅，多功能一等相关配套设施，校门共3道。</w:t>
      </w:r>
    </w:p>
    <w:p>
      <w:pPr>
        <w:spacing w:line="360" w:lineRule="auto"/>
        <w:ind w:firstLine="560" w:firstLineChars="200"/>
        <w:rPr>
          <w:rFonts w:hint="eastAsia" w:ascii="宋体" w:hAnsi="宋体" w:eastAsia="宋体" w:cs="宋体"/>
          <w:b w:val="0"/>
          <w:bCs/>
          <w:color w:val="auto"/>
          <w:sz w:val="28"/>
          <w:szCs w:val="28"/>
          <w:shd w:val="clear" w:color="auto" w:fill="auto"/>
          <w:lang w:val="en-US" w:eastAsia="zh-CN"/>
        </w:rPr>
      </w:pPr>
      <w:r>
        <w:rPr>
          <w:rFonts w:hint="eastAsia" w:ascii="宋体" w:hAnsi="宋体" w:eastAsia="宋体" w:cs="宋体"/>
          <w:color w:val="000000" w:themeColor="text1"/>
          <w:sz w:val="28"/>
          <w:szCs w:val="28"/>
          <w:lang w:eastAsia="zh-CN"/>
          <w14:textFill>
            <w14:solidFill>
              <w14:schemeClr w14:val="tx1"/>
            </w14:solidFill>
          </w14:textFill>
        </w:rPr>
        <w:t>本项目拟采用公开招标方式，选择一家供应商提供物管理业服务。本项目共一个包件，服务期限三年，合同一年一签</w:t>
      </w:r>
      <w:r>
        <w:rPr>
          <w:rFonts w:hint="eastAsia" w:ascii="宋体" w:hAnsi="宋体" w:eastAsia="宋体" w:cs="宋体"/>
          <w:color w:val="000000" w:themeColor="text1"/>
          <w:sz w:val="28"/>
          <w:szCs w:val="28"/>
          <w14:textFill>
            <w14:solidFill>
              <w14:schemeClr w14:val="tx1"/>
            </w14:solidFill>
          </w14:textFill>
        </w:rPr>
        <w:t>。</w:t>
      </w:r>
    </w:p>
    <w:p>
      <w:pPr>
        <w:pStyle w:val="3"/>
        <w:ind w:left="567" w:hanging="567"/>
        <w:outlineLvl w:val="1"/>
        <w:rPr>
          <w:rFonts w:hint="eastAsia" w:ascii="宋体" w:hAnsi="宋体" w:eastAsia="宋体" w:cs="宋体"/>
          <w:kern w:val="0"/>
          <w:sz w:val="28"/>
          <w:szCs w:val="28"/>
          <w:highlight w:val="none"/>
          <w:lang w:val="en-US" w:eastAsia="zh-CN"/>
        </w:rPr>
      </w:pPr>
      <w:bookmarkStart w:id="165" w:name="_Toc5230"/>
      <w:r>
        <w:rPr>
          <w:rFonts w:hint="eastAsia" w:ascii="宋体" w:hAnsi="宋体" w:eastAsia="宋体" w:cs="宋体"/>
          <w:color w:val="auto"/>
          <w:kern w:val="0"/>
          <w:sz w:val="28"/>
          <w:szCs w:val="28"/>
          <w:highlight w:val="none"/>
        </w:rPr>
        <w:t>服务内容</w:t>
      </w:r>
      <w:bookmarkEnd w:id="164"/>
      <w:r>
        <w:rPr>
          <w:rFonts w:hint="eastAsia" w:ascii="宋体" w:hAnsi="宋体" w:eastAsia="宋体" w:cs="宋体"/>
          <w:color w:val="auto"/>
          <w:kern w:val="0"/>
          <w:sz w:val="28"/>
          <w:szCs w:val="28"/>
          <w:highlight w:val="none"/>
          <w:lang w:eastAsia="zh-CN"/>
        </w:rPr>
        <w:t>及要求</w:t>
      </w:r>
      <w:bookmarkEnd w:id="165"/>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4.2.1服务内容</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本项目主要包含</w:t>
      </w:r>
      <w:r>
        <w:rPr>
          <w:rFonts w:hint="eastAsia" w:ascii="宋体" w:hAnsi="宋体" w:eastAsia="宋体" w:cs="宋体"/>
          <w:color w:val="000000" w:themeColor="text1"/>
          <w:sz w:val="28"/>
          <w:szCs w:val="28"/>
          <w:highlight w:val="none"/>
          <w14:textFill>
            <w14:solidFill>
              <w14:schemeClr w14:val="tx1"/>
            </w14:solidFill>
          </w14:textFill>
        </w:rPr>
        <w:t>秩序维护服务、环境维护、学生公寓管理</w:t>
      </w:r>
      <w:r>
        <w:rPr>
          <w:rFonts w:hint="eastAsia" w:ascii="宋体" w:hAnsi="宋体" w:eastAsia="宋体" w:cs="宋体"/>
          <w:color w:val="000000" w:themeColor="text1"/>
          <w:sz w:val="28"/>
          <w:szCs w:val="28"/>
          <w:highlight w:val="none"/>
          <w:lang w:eastAsia="zh-CN"/>
          <w14:textFill>
            <w14:solidFill>
              <w14:schemeClr w14:val="tx1"/>
            </w14:solidFill>
          </w14:textFill>
        </w:rPr>
        <w:t>等</w:t>
      </w:r>
      <w:r>
        <w:rPr>
          <w:rFonts w:hint="eastAsia" w:ascii="宋体" w:hAnsi="宋体" w:eastAsia="宋体" w:cs="宋体"/>
          <w:color w:val="000000" w:themeColor="text1"/>
          <w:sz w:val="28"/>
          <w:szCs w:val="28"/>
          <w:highlight w:val="none"/>
          <w14:textFill>
            <w14:solidFill>
              <w14:schemeClr w14:val="tx1"/>
            </w14:solidFill>
          </w14:textFill>
        </w:rPr>
        <w:t>。</w:t>
      </w:r>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★4.2.2人员最低配置要求(说明:按照招标文件3.3.5承诺函的内容进行承诺，中标后现场验证）</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1、岗位及人员数量（最低配置总计16人）</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（一）人员配置表：</w:t>
      </w:r>
    </w:p>
    <w:tbl>
      <w:tblPr>
        <w:tblStyle w:val="13"/>
        <w:tblW w:w="8858" w:type="dxa"/>
        <w:tblInd w:w="0" w:type="dxa"/>
        <w:tblLayout w:type="fixed"/>
        <w:tblCellMar>
          <w:top w:w="15" w:type="dxa"/>
          <w:left w:w="15" w:type="dxa"/>
          <w:bottom w:w="15" w:type="dxa"/>
          <w:right w:w="15" w:type="dxa"/>
        </w:tblCellMar>
      </w:tblPr>
      <w:tblGrid>
        <w:gridCol w:w="1485"/>
        <w:gridCol w:w="805"/>
        <w:gridCol w:w="890"/>
        <w:gridCol w:w="5678"/>
      </w:tblGrid>
      <w:tr>
        <w:tblPrEx>
          <w:tblCellMar>
            <w:top w:w="15" w:type="dxa"/>
            <w:left w:w="15" w:type="dxa"/>
            <w:bottom w:w="15" w:type="dxa"/>
            <w:right w:w="15" w:type="dxa"/>
          </w:tblCellMar>
        </w:tblPrEx>
        <w:trPr>
          <w:trHeight w:val="590" w:hRule="atLeast"/>
        </w:trPr>
        <w:tc>
          <w:tcPr>
            <w:tcW w:w="14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内容</w:t>
            </w:r>
          </w:p>
        </w:tc>
        <w:tc>
          <w:tcPr>
            <w:tcW w:w="1695" w:type="dxa"/>
            <w:gridSpan w:val="2"/>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岗位及人数</w:t>
            </w:r>
          </w:p>
        </w:tc>
        <w:tc>
          <w:tcPr>
            <w:tcW w:w="5678"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素质要求</w:t>
            </w:r>
          </w:p>
        </w:tc>
      </w:tr>
      <w:tr>
        <w:tblPrEx>
          <w:tblCellMar>
            <w:top w:w="15" w:type="dxa"/>
            <w:left w:w="15" w:type="dxa"/>
            <w:bottom w:w="15" w:type="dxa"/>
            <w:right w:w="15" w:type="dxa"/>
          </w:tblCellMar>
        </w:tblPrEx>
        <w:trPr>
          <w:trHeight w:val="1549" w:hRule="atLeast"/>
        </w:trPr>
        <w:tc>
          <w:tcPr>
            <w:tcW w:w="1485" w:type="dxa"/>
            <w:vMerge w:val="restart"/>
            <w:tcBorders>
              <w:top w:val="single" w:color="000000" w:sz="4" w:space="0"/>
              <w:left w:val="single" w:color="000000" w:sz="4" w:space="0"/>
              <w:right w:val="single" w:color="auto" w:sz="4" w:space="0"/>
            </w:tcBorders>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物业服务</w:t>
            </w:r>
          </w:p>
        </w:tc>
        <w:tc>
          <w:tcPr>
            <w:tcW w:w="1695" w:type="dxa"/>
            <w:gridSpan w:val="2"/>
            <w:tcBorders>
              <w:top w:val="single" w:color="auto" w:sz="4" w:space="0"/>
              <w:left w:val="single" w:color="auto" w:sz="4" w:space="0"/>
              <w:right w:val="single" w:color="auto" w:sz="4" w:space="0"/>
            </w:tcBorders>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项目经理</w:t>
            </w:r>
          </w:p>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1人</w:t>
            </w:r>
          </w:p>
        </w:tc>
        <w:tc>
          <w:tcPr>
            <w:tcW w:w="56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年龄28-50岁，物业管理五年以上从业经验，物业管理企业上岗证，身体健康，思想品德良好，有较强的组织协调和沟通管理能力，严格管理，工作积极主动，服务意识强，爱岗敬业。</w:t>
            </w:r>
          </w:p>
        </w:tc>
      </w:tr>
      <w:tr>
        <w:tblPrEx>
          <w:tblCellMar>
            <w:top w:w="15" w:type="dxa"/>
            <w:left w:w="15" w:type="dxa"/>
            <w:bottom w:w="15" w:type="dxa"/>
            <w:right w:w="15" w:type="dxa"/>
          </w:tblCellMar>
        </w:tblPrEx>
        <w:trPr>
          <w:trHeight w:val="1174" w:hRule="atLeast"/>
        </w:trPr>
        <w:tc>
          <w:tcPr>
            <w:tcW w:w="1485" w:type="dxa"/>
            <w:vMerge w:val="continue"/>
            <w:tcBorders>
              <w:left w:val="single" w:color="000000" w:sz="4" w:space="0"/>
              <w:right w:val="single" w:color="auto" w:sz="4" w:space="0"/>
            </w:tcBorders>
            <w:noWrap w:val="0"/>
            <w:vAlign w:val="center"/>
          </w:tcPr>
          <w:p>
            <w:pPr>
              <w:jc w:val="center"/>
              <w:rPr>
                <w:rFonts w:hint="eastAsia" w:ascii="宋体" w:hAnsi="宋体" w:eastAsia="宋体" w:cs="宋体"/>
                <w:color w:val="auto"/>
                <w:sz w:val="24"/>
                <w:szCs w:val="24"/>
              </w:rPr>
            </w:pPr>
          </w:p>
        </w:tc>
        <w:tc>
          <w:tcPr>
            <w:tcW w:w="805"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秩序维护员</w:t>
            </w:r>
          </w:p>
          <w:p>
            <w:pPr>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10人</w:t>
            </w:r>
          </w:p>
        </w:tc>
        <w:tc>
          <w:tcPr>
            <w:tcW w:w="8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公寓秩序维护员4人</w:t>
            </w:r>
          </w:p>
        </w:tc>
        <w:tc>
          <w:tcPr>
            <w:tcW w:w="5678" w:type="dxa"/>
            <w:tcBorders>
              <w:top w:val="single" w:color="auto" w:sz="4" w:space="0"/>
              <w:left w:val="single" w:color="auto" w:sz="4" w:space="0"/>
              <w:bottom w:val="single" w:color="auto" w:sz="4" w:space="0"/>
              <w:right w:val="single" w:color="000000" w:sz="4" w:space="0"/>
            </w:tcBorders>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年龄55岁之下，身体健康，形象良好，遵纪守法，无不良嗜好，品德良好，政治思想良好，无违法犯罪记录。</w:t>
            </w:r>
          </w:p>
        </w:tc>
      </w:tr>
      <w:tr>
        <w:tblPrEx>
          <w:tblCellMar>
            <w:top w:w="15" w:type="dxa"/>
            <w:left w:w="15" w:type="dxa"/>
            <w:bottom w:w="15" w:type="dxa"/>
            <w:right w:w="15" w:type="dxa"/>
          </w:tblCellMar>
        </w:tblPrEx>
        <w:trPr>
          <w:trHeight w:val="237" w:hRule="atLeast"/>
        </w:trPr>
        <w:tc>
          <w:tcPr>
            <w:tcW w:w="1485" w:type="dxa"/>
            <w:vMerge w:val="continue"/>
            <w:tcBorders>
              <w:left w:val="single" w:color="000000" w:sz="4" w:space="0"/>
              <w:right w:val="single" w:color="auto" w:sz="4" w:space="0"/>
            </w:tcBorders>
            <w:noWrap w:val="0"/>
            <w:vAlign w:val="center"/>
          </w:tcPr>
          <w:p>
            <w:pPr>
              <w:jc w:val="center"/>
              <w:rPr>
                <w:rFonts w:hint="eastAsia" w:ascii="宋体" w:hAnsi="宋体" w:eastAsia="宋体" w:cs="宋体"/>
                <w:color w:val="auto"/>
                <w:sz w:val="24"/>
                <w:szCs w:val="24"/>
              </w:rPr>
            </w:pPr>
          </w:p>
        </w:tc>
        <w:tc>
          <w:tcPr>
            <w:tcW w:w="805"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门卫岗亭秩序维护员6人</w:t>
            </w:r>
          </w:p>
        </w:tc>
        <w:tc>
          <w:tcPr>
            <w:tcW w:w="5678" w:type="dxa"/>
            <w:tcBorders>
              <w:top w:val="single" w:color="auto" w:sz="4" w:space="0"/>
              <w:left w:val="single" w:color="auto" w:sz="4" w:space="0"/>
              <w:bottom w:val="single" w:color="auto" w:sz="4" w:space="0"/>
              <w:right w:val="single" w:color="000000" w:sz="4" w:space="0"/>
            </w:tcBorders>
            <w:noWrap w:val="0"/>
            <w:vAlign w:val="center"/>
          </w:tcPr>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年龄18-50岁，身体健康，遵纪守法，无不良嗜好，品德良好，政治思想良好，无违法犯罪记录。具有安保资格证。</w:t>
            </w:r>
          </w:p>
        </w:tc>
      </w:tr>
      <w:tr>
        <w:trPr>
          <w:trHeight w:val="157" w:hRule="atLeast"/>
        </w:trPr>
        <w:tc>
          <w:tcPr>
            <w:tcW w:w="1485" w:type="dxa"/>
            <w:vMerge w:val="continue"/>
            <w:tcBorders>
              <w:left w:val="single" w:color="000000" w:sz="4" w:space="0"/>
              <w:right w:val="single" w:color="auto" w:sz="4" w:space="0"/>
            </w:tcBorders>
            <w:noWrap w:val="0"/>
            <w:vAlign w:val="center"/>
          </w:tcPr>
          <w:p>
            <w:pPr>
              <w:jc w:val="center"/>
              <w:rPr>
                <w:rFonts w:hint="eastAsia" w:ascii="宋体" w:hAnsi="宋体" w:eastAsia="宋体" w:cs="宋体"/>
                <w:color w:val="auto"/>
                <w:sz w:val="24"/>
                <w:szCs w:val="24"/>
              </w:rPr>
            </w:pPr>
          </w:p>
        </w:tc>
        <w:tc>
          <w:tcPr>
            <w:tcW w:w="169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bidi="ar"/>
              </w:rPr>
              <w:t>水电维护与应急救援</w:t>
            </w:r>
            <w:r>
              <w:rPr>
                <w:rFonts w:hint="eastAsia" w:ascii="宋体" w:hAnsi="宋体" w:eastAsia="宋体" w:cs="宋体"/>
                <w:color w:val="auto"/>
                <w:kern w:val="0"/>
                <w:sz w:val="24"/>
                <w:szCs w:val="24"/>
                <w:lang w:eastAsia="zh-CN" w:bidi="ar"/>
              </w:rPr>
              <w:t>人员</w:t>
            </w:r>
          </w:p>
          <w:p>
            <w:pPr>
              <w:widowControl/>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1人</w:t>
            </w:r>
          </w:p>
        </w:tc>
        <w:tc>
          <w:tcPr>
            <w:tcW w:w="5678" w:type="dxa"/>
            <w:tcBorders>
              <w:top w:val="single" w:color="auto"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年龄18-55岁，身体健康，遵纪守法，无不良嗜好，品德良好，政治思想良好，无违法犯罪记录。具有相关资格证。</w:t>
            </w:r>
          </w:p>
        </w:tc>
      </w:tr>
      <w:tr>
        <w:tblPrEx>
          <w:tblCellMar>
            <w:top w:w="15" w:type="dxa"/>
            <w:left w:w="15" w:type="dxa"/>
            <w:bottom w:w="15" w:type="dxa"/>
            <w:right w:w="15" w:type="dxa"/>
          </w:tblCellMar>
        </w:tblPrEx>
        <w:trPr>
          <w:trHeight w:val="1356" w:hRule="atLeast"/>
        </w:trPr>
        <w:tc>
          <w:tcPr>
            <w:tcW w:w="1485" w:type="dxa"/>
            <w:vMerge w:val="continue"/>
            <w:tcBorders>
              <w:left w:val="single" w:color="000000" w:sz="4" w:space="0"/>
              <w:right w:val="single" w:color="auto" w:sz="4" w:space="0"/>
            </w:tcBorders>
            <w:noWrap w:val="0"/>
            <w:vAlign w:val="center"/>
          </w:tcPr>
          <w:p>
            <w:pPr>
              <w:jc w:val="center"/>
              <w:rPr>
                <w:rFonts w:hint="eastAsia" w:ascii="宋体" w:hAnsi="宋体" w:eastAsia="宋体" w:cs="宋体"/>
                <w:color w:val="000000"/>
                <w:sz w:val="24"/>
                <w:szCs w:val="24"/>
              </w:rPr>
            </w:pPr>
          </w:p>
        </w:tc>
        <w:tc>
          <w:tcPr>
            <w:tcW w:w="169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环境维护员</w:t>
            </w:r>
          </w:p>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4人</w:t>
            </w:r>
          </w:p>
        </w:tc>
        <w:tc>
          <w:tcPr>
            <w:tcW w:w="5678" w:type="dxa"/>
            <w:tcBorders>
              <w:top w:val="single" w:color="000000" w:sz="4" w:space="0"/>
              <w:left w:val="single" w:color="auto" w:sz="4" w:space="0"/>
              <w:right w:val="single" w:color="000000" w:sz="4" w:space="0"/>
            </w:tcBorders>
            <w:noWrap w:val="0"/>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年龄55岁以下，身体健康，责任心强，工作积极主动，服务意识强。</w:t>
            </w:r>
          </w:p>
        </w:tc>
      </w:tr>
      <w:tr>
        <w:tblPrEx>
          <w:tblCellMar>
            <w:top w:w="15" w:type="dxa"/>
            <w:left w:w="15" w:type="dxa"/>
            <w:bottom w:w="15" w:type="dxa"/>
            <w:right w:w="15" w:type="dxa"/>
          </w:tblCellMar>
        </w:tblPrEx>
        <w:trPr>
          <w:trHeight w:val="660" w:hRule="atLeast"/>
        </w:trPr>
        <w:tc>
          <w:tcPr>
            <w:tcW w:w="14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合计</w:t>
            </w:r>
          </w:p>
        </w:tc>
        <w:tc>
          <w:tcPr>
            <w:tcW w:w="1695" w:type="dxa"/>
            <w:gridSpan w:val="2"/>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16人</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sz w:val="24"/>
                <w:szCs w:val="24"/>
              </w:rPr>
            </w:pPr>
          </w:p>
        </w:tc>
      </w:tr>
    </w:tbl>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（二）岗位说明</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1、物业项目经理及主管人员岗位说明</w:t>
      </w:r>
    </w:p>
    <w:tbl>
      <w:tblPr>
        <w:tblStyle w:val="13"/>
        <w:tblW w:w="8850" w:type="dxa"/>
        <w:tblInd w:w="0" w:type="dxa"/>
        <w:tblLayout w:type="fixed"/>
        <w:tblCellMar>
          <w:top w:w="15" w:type="dxa"/>
          <w:left w:w="15" w:type="dxa"/>
          <w:bottom w:w="15" w:type="dxa"/>
          <w:right w:w="15" w:type="dxa"/>
        </w:tblCellMar>
      </w:tblPr>
      <w:tblGrid>
        <w:gridCol w:w="1680"/>
        <w:gridCol w:w="1080"/>
        <w:gridCol w:w="1575"/>
        <w:gridCol w:w="5"/>
        <w:gridCol w:w="4510"/>
      </w:tblGrid>
      <w:tr>
        <w:tblPrEx>
          <w:tblCellMar>
            <w:top w:w="15" w:type="dxa"/>
            <w:left w:w="15" w:type="dxa"/>
            <w:bottom w:w="15" w:type="dxa"/>
            <w:right w:w="15" w:type="dxa"/>
          </w:tblCellMar>
        </w:tblPrEx>
        <w:trPr>
          <w:trHeight w:val="730" w:hRule="atLeast"/>
        </w:trPr>
        <w:tc>
          <w:tcPr>
            <w:tcW w:w="16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区域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岗位</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人数（名）</w:t>
            </w:r>
          </w:p>
        </w:tc>
        <w:tc>
          <w:tcPr>
            <w:tcW w:w="451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auto"/>
                <w:kern w:val="0"/>
                <w:sz w:val="24"/>
                <w:szCs w:val="24"/>
                <w:lang w:eastAsia="zh-CN" w:bidi="ar"/>
              </w:rPr>
              <w:t>职责</w:t>
            </w:r>
          </w:p>
        </w:tc>
      </w:tr>
      <w:tr>
        <w:tblPrEx>
          <w:tblCellMar>
            <w:top w:w="15" w:type="dxa"/>
            <w:left w:w="15" w:type="dxa"/>
            <w:bottom w:w="15" w:type="dxa"/>
            <w:right w:w="15" w:type="dxa"/>
          </w:tblCellMar>
        </w:tblPrEx>
        <w:trPr>
          <w:trHeight w:val="780" w:hRule="atLeast"/>
        </w:trPr>
        <w:tc>
          <w:tcPr>
            <w:tcW w:w="1680"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全校</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w:t>
            </w:r>
          </w:p>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经理</w:t>
            </w:r>
          </w:p>
        </w:tc>
        <w:tc>
          <w:tcPr>
            <w:tcW w:w="157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4515" w:type="dxa"/>
            <w:gridSpan w:val="2"/>
            <w:tcBorders>
              <w:top w:val="single" w:color="000000" w:sz="4" w:space="0"/>
              <w:left w:val="single" w:color="auto" w:sz="4" w:space="0"/>
              <w:bottom w:val="single" w:color="000000" w:sz="4" w:space="0"/>
              <w:right w:val="single" w:color="000000" w:sz="4" w:space="0"/>
            </w:tcBorders>
            <w:noWrap w:val="0"/>
            <w:vAlign w:val="center"/>
          </w:tcPr>
          <w:p>
            <w:pPr>
              <w:widowControl w:val="0"/>
              <w:snapToGrid w:val="0"/>
              <w:spacing w:line="52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负责对整个项目物业管理运营进行统筹策划，工作协调，人员调配等，对各项工作进行检查和监督。配合学校做好安全管理及财产防盗工作，对校园突发事件有应急处置的能力，按要求完成校方下达的管理目标，全年24小时保持电话畅通。</w:t>
            </w:r>
          </w:p>
        </w:tc>
      </w:tr>
      <w:tr>
        <w:tblPrEx>
          <w:tblCellMar>
            <w:top w:w="15" w:type="dxa"/>
            <w:left w:w="15" w:type="dxa"/>
            <w:bottom w:w="15" w:type="dxa"/>
            <w:right w:w="15" w:type="dxa"/>
          </w:tblCellMar>
        </w:tblPrEx>
        <w:trPr>
          <w:trHeight w:val="780" w:hRule="atLeast"/>
        </w:trPr>
        <w:tc>
          <w:tcPr>
            <w:tcW w:w="2760" w:type="dxa"/>
            <w:gridSpan w:val="2"/>
            <w:tcBorders>
              <w:top w:val="single" w:color="000000" w:sz="4" w:space="0"/>
              <w:left w:val="single" w:color="000000" w:sz="4" w:space="0"/>
              <w:bottom w:val="single" w:color="000000" w:sz="4" w:space="0"/>
              <w:right w:val="single" w:color="auto" w:sz="4" w:space="0"/>
            </w:tcBorders>
            <w:noWrap w:val="0"/>
            <w:vAlign w:val="center"/>
          </w:tcPr>
          <w:p>
            <w:pPr>
              <w:widowControl w:val="0"/>
              <w:snapToGrid w:val="0"/>
              <w:spacing w:line="52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小计</w:t>
            </w:r>
          </w:p>
        </w:tc>
        <w:tc>
          <w:tcPr>
            <w:tcW w:w="1580" w:type="dxa"/>
            <w:gridSpan w:val="2"/>
            <w:tcBorders>
              <w:top w:val="single" w:color="000000" w:sz="4" w:space="0"/>
              <w:left w:val="single" w:color="auto" w:sz="4" w:space="0"/>
              <w:bottom w:val="single" w:color="000000" w:sz="4" w:space="0"/>
              <w:right w:val="single" w:color="auto" w:sz="4" w:space="0"/>
            </w:tcBorders>
            <w:noWrap w:val="0"/>
            <w:vAlign w:val="center"/>
          </w:tcPr>
          <w:p>
            <w:pPr>
              <w:widowControl w:val="0"/>
              <w:snapToGrid w:val="0"/>
              <w:spacing w:line="52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1人</w:t>
            </w:r>
            <w:bookmarkStart w:id="219" w:name="_GoBack"/>
            <w:bookmarkEnd w:id="219"/>
          </w:p>
        </w:tc>
        <w:tc>
          <w:tcPr>
            <w:tcW w:w="4510" w:type="dxa"/>
            <w:tcBorders>
              <w:top w:val="single" w:color="000000" w:sz="4" w:space="0"/>
              <w:left w:val="single" w:color="auto" w:sz="4" w:space="0"/>
              <w:bottom w:val="single" w:color="000000" w:sz="4" w:space="0"/>
              <w:right w:val="single" w:color="000000" w:sz="4" w:space="0"/>
            </w:tcBorders>
            <w:noWrap w:val="0"/>
            <w:vAlign w:val="center"/>
          </w:tcPr>
          <w:p>
            <w:pPr>
              <w:widowControl w:val="0"/>
              <w:snapToGrid w:val="0"/>
              <w:spacing w:line="520" w:lineRule="exact"/>
              <w:jc w:val="both"/>
              <w:rPr>
                <w:rFonts w:hint="eastAsia" w:ascii="宋体" w:hAnsi="宋体" w:eastAsia="宋体" w:cs="宋体"/>
                <w:color w:val="000000"/>
                <w:kern w:val="0"/>
                <w:sz w:val="24"/>
                <w:szCs w:val="24"/>
                <w:lang w:val="en-US" w:eastAsia="zh-CN" w:bidi="ar"/>
              </w:rPr>
            </w:pPr>
          </w:p>
        </w:tc>
      </w:tr>
    </w:tbl>
    <w:p>
      <w:pPr>
        <w:widowControl w:val="0"/>
        <w:spacing w:before="60" w:after="60" w:line="360" w:lineRule="auto"/>
        <w:ind w:firstLine="200"/>
        <w:jc w:val="both"/>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2、环境维护员岗位说明</w:t>
      </w:r>
    </w:p>
    <w:tbl>
      <w:tblPr>
        <w:tblStyle w:val="13"/>
        <w:tblW w:w="8873" w:type="dxa"/>
        <w:tblInd w:w="0" w:type="dxa"/>
        <w:tblLayout w:type="fixed"/>
        <w:tblCellMar>
          <w:top w:w="15" w:type="dxa"/>
          <w:left w:w="15" w:type="dxa"/>
          <w:bottom w:w="15" w:type="dxa"/>
          <w:right w:w="15" w:type="dxa"/>
        </w:tblCellMar>
      </w:tblPr>
      <w:tblGrid>
        <w:gridCol w:w="1881"/>
        <w:gridCol w:w="1335"/>
        <w:gridCol w:w="1320"/>
        <w:gridCol w:w="4337"/>
      </w:tblGrid>
      <w:tr>
        <w:tblPrEx>
          <w:tblCellMar>
            <w:top w:w="15" w:type="dxa"/>
            <w:left w:w="15" w:type="dxa"/>
            <w:bottom w:w="15" w:type="dxa"/>
            <w:right w:w="15" w:type="dxa"/>
          </w:tblCellMar>
        </w:tblPrEx>
        <w:trPr>
          <w:trHeight w:val="730" w:hRule="atLeast"/>
        </w:trPr>
        <w:tc>
          <w:tcPr>
            <w:tcW w:w="188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区域</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岗位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人数（名）</w:t>
            </w:r>
          </w:p>
        </w:tc>
        <w:tc>
          <w:tcPr>
            <w:tcW w:w="43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auto"/>
                <w:kern w:val="0"/>
                <w:sz w:val="24"/>
                <w:szCs w:val="24"/>
                <w:highlight w:val="none"/>
                <w:lang w:eastAsia="zh-CN" w:bidi="ar"/>
              </w:rPr>
              <w:t>职责</w:t>
            </w:r>
          </w:p>
        </w:tc>
      </w:tr>
      <w:tr>
        <w:tblPrEx>
          <w:tblCellMar>
            <w:top w:w="15" w:type="dxa"/>
            <w:left w:w="15" w:type="dxa"/>
            <w:bottom w:w="15" w:type="dxa"/>
            <w:right w:w="15" w:type="dxa"/>
          </w:tblCellMar>
        </w:tblPrEx>
        <w:trPr>
          <w:trHeight w:val="1133" w:hRule="atLeast"/>
        </w:trPr>
        <w:tc>
          <w:tcPr>
            <w:tcW w:w="188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教学楼、图书馆、功能室、综合楼</w:t>
            </w:r>
          </w:p>
        </w:tc>
        <w:tc>
          <w:tcPr>
            <w:tcW w:w="1335"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环境</w:t>
            </w:r>
          </w:p>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维护员</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4337"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负责楼宇、配套设备的</w:t>
            </w:r>
            <w:r>
              <w:rPr>
                <w:rFonts w:hint="eastAsia" w:ascii="宋体" w:hAnsi="宋体" w:eastAsia="宋体" w:cs="宋体"/>
                <w:color w:val="000000"/>
                <w:kern w:val="0"/>
                <w:sz w:val="24"/>
                <w:szCs w:val="24"/>
                <w:lang w:bidi="ar"/>
              </w:rPr>
              <w:t>日常清洁、保洁</w:t>
            </w:r>
          </w:p>
        </w:tc>
      </w:tr>
      <w:tr>
        <w:tblPrEx>
          <w:tblCellMar>
            <w:top w:w="15" w:type="dxa"/>
            <w:left w:w="15" w:type="dxa"/>
            <w:bottom w:w="15" w:type="dxa"/>
            <w:right w:w="15" w:type="dxa"/>
          </w:tblCellMar>
        </w:tblPrEx>
        <w:trPr>
          <w:trHeight w:val="800" w:hRule="atLeast"/>
        </w:trPr>
        <w:tc>
          <w:tcPr>
            <w:tcW w:w="1881"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校内路面、外围道路、运动场</w:t>
            </w:r>
          </w:p>
        </w:tc>
        <w:tc>
          <w:tcPr>
            <w:tcW w:w="1335"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p>
        </w:tc>
        <w:tc>
          <w:tcPr>
            <w:tcW w:w="1320"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4337" w:type="dxa"/>
            <w:tcBorders>
              <w:top w:val="single" w:color="000000" w:sz="4" w:space="0"/>
              <w:left w:val="single" w:color="000000" w:sz="4" w:space="0"/>
              <w:bottom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负责外围路面的</w:t>
            </w:r>
            <w:r>
              <w:rPr>
                <w:rFonts w:hint="eastAsia" w:ascii="宋体" w:hAnsi="宋体" w:eastAsia="宋体" w:cs="宋体"/>
                <w:color w:val="000000"/>
                <w:kern w:val="0"/>
                <w:sz w:val="24"/>
                <w:szCs w:val="24"/>
                <w:lang w:bidi="ar"/>
              </w:rPr>
              <w:t>日常清洁、保洁，全校区（含教室）的所有防疫消杀工作</w:t>
            </w:r>
          </w:p>
        </w:tc>
      </w:tr>
      <w:tr>
        <w:tblPrEx>
          <w:tblCellMar>
            <w:top w:w="15" w:type="dxa"/>
            <w:left w:w="15" w:type="dxa"/>
            <w:bottom w:w="15" w:type="dxa"/>
            <w:right w:w="15" w:type="dxa"/>
          </w:tblCellMar>
        </w:tblPrEx>
        <w:trPr>
          <w:trHeight w:val="519" w:hRule="atLeast"/>
        </w:trPr>
        <w:tc>
          <w:tcPr>
            <w:tcW w:w="321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小计</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4337"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宋体" w:hAnsi="宋体" w:eastAsia="宋体" w:cs="宋体"/>
                <w:color w:val="000000"/>
                <w:kern w:val="0"/>
                <w:sz w:val="24"/>
                <w:szCs w:val="24"/>
                <w:lang w:bidi="ar"/>
              </w:rPr>
            </w:pPr>
          </w:p>
        </w:tc>
      </w:tr>
    </w:tbl>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3、秩序维护员岗位说明</w:t>
      </w:r>
    </w:p>
    <w:tbl>
      <w:tblPr>
        <w:tblStyle w:val="13"/>
        <w:tblW w:w="8826" w:type="dxa"/>
        <w:tblInd w:w="0" w:type="dxa"/>
        <w:tblLayout w:type="fixed"/>
        <w:tblCellMar>
          <w:top w:w="15" w:type="dxa"/>
          <w:left w:w="15" w:type="dxa"/>
          <w:bottom w:w="15" w:type="dxa"/>
          <w:right w:w="15" w:type="dxa"/>
        </w:tblCellMar>
      </w:tblPr>
      <w:tblGrid>
        <w:gridCol w:w="1680"/>
        <w:gridCol w:w="1080"/>
        <w:gridCol w:w="1575"/>
        <w:gridCol w:w="4491"/>
      </w:tblGrid>
      <w:tr>
        <w:tblPrEx>
          <w:tblCellMar>
            <w:top w:w="15" w:type="dxa"/>
            <w:left w:w="15" w:type="dxa"/>
            <w:bottom w:w="15" w:type="dxa"/>
            <w:right w:w="15" w:type="dxa"/>
          </w:tblCellMar>
        </w:tblPrEx>
        <w:trPr>
          <w:trHeight w:val="555" w:hRule="atLeast"/>
        </w:trPr>
        <w:tc>
          <w:tcPr>
            <w:tcW w:w="16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区域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岗位</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人数（名）</w:t>
            </w:r>
          </w:p>
        </w:tc>
        <w:tc>
          <w:tcPr>
            <w:tcW w:w="44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bidi="ar"/>
              </w:rPr>
              <w:t>职责</w:t>
            </w:r>
          </w:p>
        </w:tc>
      </w:tr>
      <w:tr>
        <w:tblPrEx>
          <w:tblCellMar>
            <w:top w:w="15" w:type="dxa"/>
            <w:left w:w="15" w:type="dxa"/>
            <w:bottom w:w="15" w:type="dxa"/>
            <w:right w:w="15" w:type="dxa"/>
          </w:tblCellMar>
        </w:tblPrEx>
        <w:trPr>
          <w:trHeight w:val="1556" w:hRule="atLeast"/>
        </w:trPr>
        <w:tc>
          <w:tcPr>
            <w:tcW w:w="16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门岗及岗亭</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秩序</w:t>
            </w:r>
          </w:p>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维护员</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44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负责接待及出入登记，进出校安全、疫情防控，食堂、运动场、外围、学生公寓周边安全及外卖管控，监控设备管理及发现监控点位异常，应急情况处置，录像保存及调取。</w:t>
            </w:r>
          </w:p>
        </w:tc>
      </w:tr>
      <w:tr>
        <w:tblPrEx>
          <w:tblCellMar>
            <w:top w:w="15" w:type="dxa"/>
            <w:left w:w="15" w:type="dxa"/>
            <w:bottom w:w="15" w:type="dxa"/>
            <w:right w:w="15" w:type="dxa"/>
          </w:tblCellMar>
        </w:tblPrEx>
        <w:trPr>
          <w:trHeight w:val="1133" w:hRule="atLeast"/>
        </w:trPr>
        <w:tc>
          <w:tcPr>
            <w:tcW w:w="16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寝室公寓</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公寓</w:t>
            </w:r>
            <w:r>
              <w:rPr>
                <w:rFonts w:hint="eastAsia" w:ascii="宋体" w:hAnsi="宋体" w:eastAsia="宋体" w:cs="宋体"/>
                <w:color w:val="auto"/>
                <w:kern w:val="0"/>
                <w:sz w:val="24"/>
                <w:szCs w:val="24"/>
                <w:highlight w:val="none"/>
                <w:lang w:eastAsia="zh-CN" w:bidi="ar"/>
              </w:rPr>
              <w:t>秩序维护</w:t>
            </w:r>
            <w:r>
              <w:rPr>
                <w:rFonts w:hint="eastAsia" w:ascii="宋体" w:hAnsi="宋体" w:eastAsia="宋体" w:cs="宋体"/>
                <w:color w:val="auto"/>
                <w:kern w:val="0"/>
                <w:sz w:val="24"/>
                <w:szCs w:val="24"/>
                <w:highlight w:val="none"/>
                <w:lang w:bidi="ar"/>
              </w:rPr>
              <w:t>员</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44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负责学生晚休人数清点，人员晚休纪律，负责本公寓区域内学生安全管理、用水用电及公寓区域公物、公共卫生管理等工作</w:t>
            </w:r>
          </w:p>
        </w:tc>
      </w:tr>
      <w:tr>
        <w:tblPrEx>
          <w:tblCellMar>
            <w:top w:w="15" w:type="dxa"/>
            <w:left w:w="15" w:type="dxa"/>
            <w:bottom w:w="15" w:type="dxa"/>
            <w:right w:w="15" w:type="dxa"/>
          </w:tblCellMar>
        </w:tblPrEx>
        <w:trPr>
          <w:trHeight w:val="369" w:hRule="atLeast"/>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小计</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1</w:t>
            </w:r>
            <w:r>
              <w:rPr>
                <w:rFonts w:hint="eastAsia" w:ascii="宋体" w:hAnsi="宋体" w:eastAsia="宋体" w:cs="宋体"/>
                <w:color w:val="000000"/>
                <w:kern w:val="0"/>
                <w:sz w:val="24"/>
                <w:szCs w:val="24"/>
                <w:lang w:val="en-US" w:eastAsia="zh-CN" w:bidi="ar"/>
              </w:rPr>
              <w:t>0</w:t>
            </w:r>
          </w:p>
        </w:tc>
        <w:tc>
          <w:tcPr>
            <w:tcW w:w="44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kern w:val="0"/>
                <w:sz w:val="24"/>
                <w:szCs w:val="24"/>
                <w:lang w:bidi="ar"/>
              </w:rPr>
            </w:pPr>
          </w:p>
        </w:tc>
      </w:tr>
    </w:tbl>
    <w:p>
      <w:pPr>
        <w:spacing w:line="360" w:lineRule="auto"/>
        <w:ind w:firstLine="560" w:firstLineChars="200"/>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4、水电维修与应急救援人员岗位说明</w:t>
      </w:r>
    </w:p>
    <w:tbl>
      <w:tblPr>
        <w:tblStyle w:val="13"/>
        <w:tblW w:w="8826" w:type="dxa"/>
        <w:tblInd w:w="0" w:type="dxa"/>
        <w:tblLayout w:type="fixed"/>
        <w:tblCellMar>
          <w:top w:w="15" w:type="dxa"/>
          <w:left w:w="15" w:type="dxa"/>
          <w:bottom w:w="15" w:type="dxa"/>
          <w:right w:w="15" w:type="dxa"/>
        </w:tblCellMar>
      </w:tblPr>
      <w:tblGrid>
        <w:gridCol w:w="1680"/>
        <w:gridCol w:w="1080"/>
        <w:gridCol w:w="1575"/>
        <w:gridCol w:w="4491"/>
      </w:tblGrid>
      <w:tr>
        <w:tblPrEx>
          <w:tblCellMar>
            <w:top w:w="15" w:type="dxa"/>
            <w:left w:w="15" w:type="dxa"/>
            <w:bottom w:w="15" w:type="dxa"/>
            <w:right w:w="15" w:type="dxa"/>
          </w:tblCellMar>
        </w:tblPrEx>
        <w:trPr>
          <w:trHeight w:val="481" w:hRule="atLeast"/>
        </w:trPr>
        <w:tc>
          <w:tcPr>
            <w:tcW w:w="1680"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Lines="0" w:afterLines="0"/>
              <w:jc w:val="center"/>
              <w:textAlignment w:val="center"/>
              <w:rPr>
                <w:rFonts w:hint="eastAsia" w:ascii="宋体" w:hAnsi="宋体" w:eastAsia="宋体" w:cs="宋体"/>
                <w:color w:val="auto"/>
                <w:kern w:val="0"/>
                <w:sz w:val="24"/>
                <w:szCs w:val="24"/>
                <w:highlight w:val="none"/>
                <w:lang w:bidi="ar"/>
              </w:rPr>
            </w:pPr>
            <w:r>
              <w:rPr>
                <w:rFonts w:hint="eastAsia" w:ascii="宋体" w:hAnsi="宋体"/>
                <w:color w:val="auto"/>
                <w:kern w:val="0"/>
                <w:sz w:val="24"/>
              </w:rPr>
              <w:t>区域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Lines="0" w:afterLines="0"/>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olor w:val="auto"/>
                <w:kern w:val="0"/>
                <w:sz w:val="24"/>
              </w:rPr>
              <w:t>岗位</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Lines="0" w:afterLines="0"/>
              <w:jc w:val="center"/>
              <w:textAlignment w:val="center"/>
              <w:rPr>
                <w:rFonts w:hint="eastAsia" w:ascii="宋体" w:hAnsi="宋体" w:eastAsia="宋体" w:cs="宋体"/>
                <w:color w:val="auto"/>
                <w:kern w:val="0"/>
                <w:sz w:val="24"/>
                <w:szCs w:val="24"/>
                <w:highlight w:val="none"/>
                <w:lang w:bidi="ar"/>
              </w:rPr>
            </w:pPr>
            <w:r>
              <w:rPr>
                <w:rFonts w:hint="eastAsia" w:ascii="宋体" w:hAnsi="宋体"/>
                <w:color w:val="auto"/>
                <w:kern w:val="0"/>
                <w:sz w:val="24"/>
              </w:rPr>
              <w:t>人数（名）</w:t>
            </w:r>
          </w:p>
        </w:tc>
        <w:tc>
          <w:tcPr>
            <w:tcW w:w="449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Lines="0" w:afterLines="0"/>
              <w:jc w:val="center"/>
              <w:textAlignment w:val="center"/>
              <w:rPr>
                <w:rFonts w:hint="eastAsia" w:ascii="宋体" w:hAnsi="宋体" w:eastAsia="宋体" w:cs="宋体"/>
                <w:color w:val="auto"/>
                <w:sz w:val="24"/>
                <w:szCs w:val="24"/>
                <w:highlight w:val="none"/>
              </w:rPr>
            </w:pPr>
            <w:r>
              <w:rPr>
                <w:rFonts w:hint="eastAsia" w:ascii="宋体" w:hAnsi="宋体"/>
                <w:color w:val="auto"/>
                <w:kern w:val="0"/>
                <w:sz w:val="24"/>
              </w:rPr>
              <w:t>职责</w:t>
            </w:r>
          </w:p>
        </w:tc>
      </w:tr>
      <w:tr>
        <w:tblPrEx>
          <w:tblCellMar>
            <w:top w:w="15" w:type="dxa"/>
            <w:left w:w="15" w:type="dxa"/>
            <w:bottom w:w="15" w:type="dxa"/>
            <w:right w:w="15" w:type="dxa"/>
          </w:tblCellMar>
        </w:tblPrEx>
        <w:trPr>
          <w:trHeight w:val="1133" w:hRule="atLeast"/>
        </w:trPr>
        <w:tc>
          <w:tcPr>
            <w:tcW w:w="16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水电应急</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水电维修</w:t>
            </w:r>
            <w:r>
              <w:rPr>
                <w:rFonts w:hint="eastAsia" w:ascii="宋体" w:hAnsi="宋体" w:eastAsia="宋体" w:cs="宋体"/>
                <w:color w:val="auto"/>
                <w:kern w:val="0"/>
                <w:sz w:val="24"/>
                <w:szCs w:val="24"/>
                <w:highlight w:val="none"/>
                <w:lang w:eastAsia="zh-CN" w:bidi="ar"/>
              </w:rPr>
              <w:t>与应急救援人员</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44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水电安装、保养、维修工作，学校桌椅门窗维修维护，应急发电。</w:t>
            </w:r>
          </w:p>
        </w:tc>
      </w:tr>
      <w:tr>
        <w:tblPrEx>
          <w:tblCellMar>
            <w:top w:w="15" w:type="dxa"/>
            <w:left w:w="15" w:type="dxa"/>
            <w:bottom w:w="15" w:type="dxa"/>
            <w:right w:w="15" w:type="dxa"/>
          </w:tblCellMar>
        </w:tblPrEx>
        <w:trPr>
          <w:trHeight w:val="455" w:hRule="atLeast"/>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beforeLines="0" w:afterLines="0"/>
              <w:jc w:val="center"/>
              <w:textAlignment w:val="center"/>
              <w:rPr>
                <w:rFonts w:hint="eastAsia" w:ascii="宋体" w:hAnsi="宋体" w:eastAsiaTheme="minorEastAsia" w:cstheme="minorBidi"/>
                <w:color w:val="000000"/>
                <w:kern w:val="0"/>
                <w:sz w:val="24"/>
                <w:szCs w:val="24"/>
                <w:lang w:val="en-US" w:eastAsia="zh-CN" w:bidi="ar-SA"/>
              </w:rPr>
            </w:pPr>
            <w:r>
              <w:rPr>
                <w:rFonts w:hint="eastAsia" w:ascii="宋体" w:hAnsi="宋体"/>
                <w:color w:val="000000"/>
                <w:kern w:val="0"/>
                <w:sz w:val="24"/>
              </w:rPr>
              <w:t>小计</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Lines="0" w:afterLines="0"/>
              <w:jc w:val="center"/>
              <w:textAlignment w:val="center"/>
              <w:rPr>
                <w:rFonts w:hint="default" w:ascii="宋体" w:hAnsi="宋体" w:eastAsiaTheme="minorEastAsia" w:cstheme="minorBidi"/>
                <w:color w:val="000000"/>
                <w:kern w:val="0"/>
                <w:sz w:val="24"/>
                <w:szCs w:val="24"/>
                <w:lang w:val="en-US" w:eastAsia="zh-CN" w:bidi="ar-SA"/>
              </w:rPr>
            </w:pPr>
            <w:r>
              <w:rPr>
                <w:rFonts w:hint="eastAsia" w:ascii="宋体" w:hAnsi="宋体" w:cstheme="minorBidi"/>
                <w:color w:val="000000"/>
                <w:kern w:val="0"/>
                <w:sz w:val="24"/>
                <w:szCs w:val="24"/>
                <w:lang w:val="en-US" w:eastAsia="zh-CN" w:bidi="ar-SA"/>
              </w:rPr>
              <w:t>1</w:t>
            </w:r>
          </w:p>
        </w:tc>
        <w:tc>
          <w:tcPr>
            <w:tcW w:w="44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4"/>
                <w:szCs w:val="24"/>
                <w:highlight w:val="none"/>
              </w:rPr>
            </w:pPr>
          </w:p>
        </w:tc>
      </w:tr>
    </w:tbl>
    <w:p>
      <w:pPr>
        <w:spacing w:line="360" w:lineRule="auto"/>
        <w:outlineLvl w:val="2"/>
        <w:rPr>
          <w:rFonts w:hint="eastAsia" w:ascii="宋体" w:hAnsi="宋体" w:eastAsia="宋体" w:cs="宋体"/>
          <w:b/>
          <w:bCs/>
          <w:color w:val="000000" w:themeColor="text1"/>
          <w:sz w:val="28"/>
          <w:szCs w:val="28"/>
          <w:highlight w:val="none"/>
          <w14:textFill>
            <w14:solidFill>
              <w14:schemeClr w14:val="tx1"/>
            </w14:solidFill>
          </w14:textFill>
        </w:rPr>
      </w:pPr>
    </w:p>
    <w:p>
      <w:pPr>
        <w:spacing w:line="360" w:lineRule="auto"/>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bCs/>
          <w:color w:val="000000" w:themeColor="text1"/>
          <w:sz w:val="28"/>
          <w:szCs w:val="28"/>
          <w:highlight w:val="none"/>
          <w14:textFill>
            <w14:solidFill>
              <w14:schemeClr w14:val="tx1"/>
            </w14:solidFill>
          </w14:textFill>
        </w:rPr>
        <w:t>秩序维护服务内容和要求</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1、服务内容</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1.1负责该项目物业管理区域内公共财产的安全保卫及公共秩序的维护工作。</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1.2负责学校上课期间学生出入校门的管理工作。</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1.3负责学校安防设施、设备的巡视及检查工作。</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1.4负责门卫室收发工作。</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1.5负责学校安全巡逻工作。</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1.6完成采购人临时交办的其他秩序维护相关工作任务。</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2、服务要求</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2.1门岗管理要求：严格执行学校相关规章制度。</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2.1.1主要职责是实施学校大门24小时值班及校园的巡逻。</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2.1.2熟悉学校基本情况，包括教师数量、相貌特征、学生数量、常规出入时间及周边环境的掌握了解。</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2.1.3根据学校学生管理的有关规定，教学期间学生出入一律凭学生身份卡和学校盖章的出门条才能放行，若有违规学生应与相关部门及时联系，防止学生强行出校。</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2.1.4谢绝外来人员推销，阻止其他闲杂人员进入学校，来访人员需持本人身份证或其他有效证件进行登记。遇上级领导或前来指导、参观的社会各界人士，应立即敬礼，并将人数、单位等情况做好记录备查，引领客人到学校相关部门。若遇家长咨询读书事宜，应热情接待，配合学校做好招生宣传工作。</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2.1.5对外来车辆必须进行仔细检查、登记车牌号，严格控制噪音污染，防止校园内车辆人为破坏和被盗，尤其在学校举行大型活动和大型考试期间，应有专人管理内外车辆的停放，以确保校园内交通畅通。</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2.1.6严格做好物品出门登记工作，发现可疑人员及时与学校总务处联系。</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2.1.7对外来人员，严格按照疫情防控的要求，先联系、再询问、测温、登记后带入，结束后带离。</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2.1.8根据学校安排，服从校方调配，做好学校各项活动的安全保卫工作。</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2.2巡逻管理要求</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2.2.1利用巡更器对校园进行24小时安全巡查，重点部位如财务室、机房等应重点查看。</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2.2.2巡查内容主要包括：消防设备的完好性，公共设施有无损坏，学生有无破坏绿化设施，有无学生、人员翻越围墙现象，有无损坏校园景观乱画、乱写现象，教学楼门窗、灯关否，校园内有无打架斗殴现象，有无可疑人员，并做好巡查记录，对值班、巡查中发现的问题及时处理，视情况向相关部门报告。</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2.3监控岗管理要求</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2.3.1安全监控设施24小时运行，控制室24小时值岗。保证监控系统的正常运行，及时处理应急事件，出现故障及时向学校报修。</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2.3.2保障电话（消防、电梯、治安等）畅通，接听及时。</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2.3.3监控的录入资料应至少留存90天备查，有特殊要求的参照相关规定或行业标准执行。对监控资料的查阅实行审批制度。</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2.3.4监控图像清晰，监控记录完整。</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2.4消防管理要求</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2.4.1按照学校消防组织机构，熟悉义务消防人员名单。</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2.4.2配合学校举行消防演练，让员工熟悉消防程序。</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2.4.3每月进行消防设施检查，确保消防设施设备的完好性，发现问题做好登记并及时上报校方。</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2.5应急处理</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2.5.1建立突发事件反应预案，以便在突发事件发生时，能第一时间赶到现场， 并井然有序地处理突发事件，在最大限度内控制事态的发展。</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2.5.2建立火灾、水浸、建筑物倒塌等应急预案，以便灾难发生时能迅速地进行扑救工作，在最大限度内减少损失。</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2.5.3承担学校大、小型活动（如体育节、艺术节、德育研讨会、迎新活动，招生工作等）的临时性搬抬任务。</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2.5.4建立其他各类应急方案。</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2.6校园财产安全要求</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2.6.1建立校园财产安全巡查机制，对学校重点区域、重要设备重点巡查。</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2.6.2对出校门的贵重物品进行必要的检查机制，并及时汇报校方，做好记载把好出门关。</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rPr>
        <w:t>2.6.3由于工作履职不到位所造成的财产损害、被盗，物业公司应承担相应的赔偿责任。</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2.7学生公寓管理</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    2.7.1.公寓管理服务：包括入住管理、作息管理、会客管理、内务卫生管理、公共财产管理等。</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2.7.2.安全、消防管理服务：包括公寓楼消防设备设施的管理服务、门卫保安服务和公寓治安管理服务、突发事件（包括火灾、斗殴、抢劫、水浸、伤病、疫情等）应急处理服务。</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2.7.3.清洁保洁服务：公寓楼内公共区域、公共楼梯（走道）等的清洁和垃圾清运。</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2.7.4.公寓水电管理服务：包括购买水电、水电使用定额管理、用电安全管理、水电公共设备设施的维修养护。</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2.8水电应急管理</w:t>
      </w:r>
    </w:p>
    <w:p>
      <w:pPr>
        <w:pStyle w:val="6"/>
        <w:ind w:left="0" w:leftChars="0" w:firstLine="640" w:firstLineChars="0"/>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负责水电安装、保养、维修工作，学校桌椅门窗维修维护，应急发电。</w:t>
      </w:r>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4</w:t>
      </w:r>
      <w:r>
        <w:rPr>
          <w:rFonts w:hint="eastAsia" w:ascii="宋体" w:hAnsi="宋体" w:eastAsia="宋体" w:cs="宋体"/>
          <w:b/>
          <w:bCs/>
          <w:color w:val="000000" w:themeColor="text1"/>
          <w:sz w:val="28"/>
          <w:szCs w:val="28"/>
          <w:highlight w:val="none"/>
          <w14:textFill>
            <w14:solidFill>
              <w14:schemeClr w14:val="tx1"/>
            </w14:solidFill>
          </w14:textFill>
        </w:rPr>
        <w:t>环境维护内容及要求</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1、服务内容</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1.1行政楼、教学楼、综合楼、运动场及楼梯、楼道、栏杆，连接教学楼之间的两侧长廊等公共区域日常保洁；</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1.2校内停车场、校内各广场、运动场的清洁卫生和日常保洁（包括运动器材表面）的清洁卫生和日常保洁；</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1.3校内所有绿化带白色垃圾点捡；</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1.4校内建筑物立面望顶保洁；</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1.5校门口及校园内所有橱窗、展板、所有塑像表面的常规保洁；</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1.6学校管辖区内的垃圾桶垃圾清理及表面的清洁；</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1.7校园内水池白色垃圾清理，各建筑物平台上的垃圾清理；</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1.8其它未尽区域以学校要求为准。</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1.9完成采购人临时交办的其他环境维护相关工作任务。</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2、服务要求</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2.1地面及通道：无烟头、果皮、树叶、纸屑、食品包装袋、积尘；大理石地面、墙身无污迹。</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2.2宣传栏玻璃楼道栏杆、无污迹，楼道天花板、墙角、无灰尘、蜘蛛网，垃圾桶表面无灰尘；镜子干净无污迹、无水渍。</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2.3卫生间地面、墙壁、植物干净，便器洁净无污渍，室内无异味。</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2.4操场、名人像、体育看台在学校重大活动前必须按学校要求进行专项全面冲洗。</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2.5报告厅、会议室在各种活动前后按照学校要求进行专项打扫，日常保持清洁可用。</w:t>
      </w:r>
    </w:p>
    <w:p>
      <w:pPr>
        <w:pStyle w:val="6"/>
        <w:ind w:left="0" w:leftChars="0" w:firstLine="640" w:firstLineChars="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2.6按学校要求定期对教室、学生公寓等实施消杀。</w:t>
      </w:r>
    </w:p>
    <w:p>
      <w:pPr>
        <w:pStyle w:val="6"/>
        <w:ind w:left="0" w:leftChars="0" w:firstLine="640" w:firstLineChars="0"/>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2.7其它未尽事宜以学校要求为准</w:t>
      </w:r>
      <w:r>
        <w:rPr>
          <w:rFonts w:hint="eastAsia" w:ascii="宋体" w:hAnsi="宋体" w:eastAsia="宋体" w:cs="宋体"/>
          <w:sz w:val="28"/>
          <w:szCs w:val="28"/>
          <w:highlight w:val="none"/>
        </w:rPr>
        <w:t>。</w:t>
      </w:r>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4.2.5</w:t>
      </w:r>
      <w:r>
        <w:rPr>
          <w:rFonts w:hint="eastAsia" w:ascii="宋体" w:hAnsi="宋体" w:eastAsia="宋体" w:cs="宋体"/>
          <w:b/>
          <w:bCs/>
          <w:color w:val="000000" w:themeColor="text1"/>
          <w:sz w:val="28"/>
          <w:szCs w:val="28"/>
          <w:highlight w:val="none"/>
          <w14:textFill>
            <w14:solidFill>
              <w14:schemeClr w14:val="tx1"/>
            </w14:solidFill>
          </w14:textFill>
        </w:rPr>
        <w:t>其他要求</w:t>
      </w:r>
    </w:p>
    <w:p>
      <w:pPr>
        <w:pStyle w:val="6"/>
        <w:ind w:left="0" w:leftChars="0"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1、投标文件中须提供针对本项目的服务方案，内容包含且不限于整体管理理念及目标、项目管理机构运作方法及管理制度、秩序维护服务方案、清洁服务方案、消防、监控管理服务方案、应急方案等。</w:t>
      </w:r>
    </w:p>
    <w:p>
      <w:pPr>
        <w:pStyle w:val="6"/>
        <w:ind w:left="0" w:leftChars="0"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2、投标人的用工必须符合国家的有关法律法规的规定，必须与员工签订劳动合同，并为员工按规定缴纳相关保险。按包干制收费模式，盈亏均由物业公司承担；员工最低工资标准不得低于采购人当地政府相关部门公布的最低工资标准</w:t>
      </w:r>
      <w:r>
        <w:rPr>
          <w:rFonts w:hint="eastAsia" w:ascii="宋体" w:hAnsi="宋体" w:eastAsia="宋体" w:cs="宋体"/>
          <w:b/>
          <w:bCs/>
          <w:color w:val="000000" w:themeColor="text1"/>
          <w:sz w:val="28"/>
          <w:szCs w:val="28"/>
          <w:highlight w:val="none"/>
          <w14:textFill>
            <w14:solidFill>
              <w14:schemeClr w14:val="tx1"/>
            </w14:solidFill>
          </w14:textFill>
        </w:rPr>
        <w:t>（说明:按照招标文件3.3.5承诺函的内容进行承诺）</w:t>
      </w:r>
      <w:r>
        <w:rPr>
          <w:rFonts w:hint="eastAsia" w:ascii="宋体" w:hAnsi="宋体" w:eastAsia="宋体" w:cs="宋体"/>
          <w:color w:val="000000" w:themeColor="text1"/>
          <w:sz w:val="28"/>
          <w:szCs w:val="28"/>
          <w:highlight w:val="none"/>
          <w14:textFill>
            <w14:solidFill>
              <w14:schemeClr w14:val="tx1"/>
            </w14:solidFill>
          </w14:textFill>
        </w:rPr>
        <w:t>。</w:t>
      </w:r>
    </w:p>
    <w:p>
      <w:pPr>
        <w:pStyle w:val="6"/>
        <w:ind w:left="0" w:leftChars="0"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3、拟配备人员中至少一人</w:t>
      </w:r>
      <w:r>
        <w:rPr>
          <w:rFonts w:hint="eastAsia" w:ascii="宋体" w:hAnsi="宋体" w:eastAsia="宋体" w:cs="宋体"/>
          <w:color w:val="000000" w:themeColor="text1"/>
          <w:sz w:val="28"/>
          <w:szCs w:val="28"/>
          <w:highlight w:val="none"/>
          <w:lang w:eastAsia="zh-CN"/>
          <w14:textFill>
            <w14:solidFill>
              <w14:schemeClr w14:val="tx1"/>
            </w14:solidFill>
          </w14:textFill>
        </w:rPr>
        <w:t>具备中级或中级以上消防设施操作员〔建（构）筑物消防员〕证</w:t>
      </w:r>
      <w:r>
        <w:rPr>
          <w:rFonts w:hint="eastAsia" w:ascii="宋体" w:hAnsi="宋体" w:eastAsia="宋体" w:cs="宋体"/>
          <w:b/>
          <w:bCs/>
          <w:color w:val="000000" w:themeColor="text1"/>
          <w:sz w:val="28"/>
          <w:szCs w:val="28"/>
          <w:highlight w:val="none"/>
          <w:lang w:eastAsia="zh-CN"/>
          <w14:textFill>
            <w14:solidFill>
              <w14:schemeClr w14:val="tx1"/>
            </w14:solidFill>
          </w14:textFill>
        </w:rPr>
        <w:t>（说明:按照招标文件3.3.5承诺函的内容进行承诺，中标后提供证书供采购人查验）</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keepNext/>
        <w:keepLines/>
        <w:widowControl w:val="0"/>
        <w:numPr>
          <w:ilvl w:val="1"/>
          <w:numId w:val="1"/>
        </w:numPr>
        <w:spacing w:after="200" w:line="360" w:lineRule="auto"/>
        <w:ind w:left="567" w:hanging="567"/>
        <w:jc w:val="both"/>
        <w:outlineLvl w:val="1"/>
        <w:rPr>
          <w:rFonts w:hint="eastAsia" w:ascii="宋体" w:hAnsi="宋体" w:eastAsia="宋体" w:cs="宋体"/>
          <w:b/>
          <w:bCs/>
          <w:iCs/>
          <w:kern w:val="0"/>
          <w:sz w:val="28"/>
          <w:szCs w:val="28"/>
          <w:highlight w:val="none"/>
          <w:lang w:val="en-US" w:eastAsia="zh-CN" w:bidi="ar-SA"/>
        </w:rPr>
      </w:pPr>
      <w:bookmarkStart w:id="166" w:name="_Toc6503"/>
      <w:bookmarkStart w:id="167" w:name="_Toc6769"/>
      <w:r>
        <w:rPr>
          <w:rFonts w:hint="eastAsia" w:ascii="宋体" w:hAnsi="宋体" w:eastAsia="宋体" w:cs="宋体"/>
          <w:b/>
          <w:bCs/>
          <w:iCs/>
          <w:kern w:val="0"/>
          <w:sz w:val="28"/>
          <w:szCs w:val="28"/>
          <w:highlight w:val="none"/>
          <w:lang w:val="en-US" w:eastAsia="zh-CN" w:bidi="ar-SA"/>
        </w:rPr>
        <w:t>商务要求</w:t>
      </w:r>
      <w:bookmarkEnd w:id="166"/>
      <w:bookmarkEnd w:id="167"/>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w:t>
      </w:r>
      <w:r>
        <w:rPr>
          <w:rFonts w:hint="eastAsia" w:ascii="宋体" w:hAnsi="宋体" w:eastAsia="宋体" w:cs="宋体"/>
          <w:b/>
          <w:bCs/>
          <w:color w:val="000000" w:themeColor="text1"/>
          <w:sz w:val="28"/>
          <w:szCs w:val="28"/>
          <w:highlight w:val="none"/>
          <w14:textFill>
            <w14:solidFill>
              <w14:schemeClr w14:val="tx1"/>
            </w14:solidFill>
          </w14:textFill>
        </w:rPr>
        <w:t>.1服务期限</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服务期限3年，合同一年一签。</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4.3.2服务地点</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成都市新都区木兰中学校。</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4.3.3考核（验收）标准和方法</w:t>
      </w:r>
    </w:p>
    <w:p>
      <w:pPr>
        <w:spacing w:line="360" w:lineRule="auto"/>
        <w:ind w:firstLine="562" w:firstLineChars="200"/>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一、验收办法</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中标人与采购人应严格按照《财政部关于进一步加强政府采购需求和履约验收管理的指导意见》（财库〔2016〕205号）的要求进行验收。</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验收标准：按国家有关规定、招标文件的质量要求和技术指标、中标人的投标文件及承诺进行验收。</w:t>
      </w:r>
    </w:p>
    <w:p>
      <w:pPr>
        <w:pStyle w:val="2"/>
        <w:rPr>
          <w:rFonts w:hint="eastAsia"/>
          <w:b/>
          <w:bCs/>
          <w:lang w:eastAsia="zh-CN"/>
        </w:rPr>
      </w:pPr>
      <w:r>
        <w:rPr>
          <w:rFonts w:hint="eastAsia" w:hAnsi="宋体" w:cs="宋体"/>
          <w:b/>
          <w:bCs/>
          <w:color w:val="000000" w:themeColor="text1"/>
          <w:sz w:val="28"/>
          <w:szCs w:val="28"/>
          <w:highlight w:val="none"/>
          <w:lang w:eastAsia="zh-CN"/>
          <w14:textFill>
            <w14:solidFill>
              <w14:schemeClr w14:val="tx1"/>
            </w14:solidFill>
          </w14:textFill>
        </w:rPr>
        <w:t>二、考核办法及标准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（一）考核办法</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考核实行百分制，按照考核标准实施定期或不定期考核计分，月末统计考核成绩。</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（二）奖惩办法</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每月考核成绩在90分以上（含90分），视为合格；每月低于90分以下，每减少一分扣物业服务费用200元，若考核成绩连续三个月得分在60分以下，采购人有权终止合同。</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（三）考核标准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1、劳动纪律</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（1）遵纪守法、爱岗敬业，自觉履行工作职责。违反一次扣0.2分。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（2）严格遵守各项规章制度和有关劳动纪律，按时上、下班，不迟到、不早退、不脱岗、不串岗、不擅离职守。违反一次扣0.2分。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（3）上班时间不做与工作无关的事，如打牌、赌博、炒股、打游戏、喝酒、三五成群闲聊等。违反一次扣0.3分。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（4）严禁酒后上班。违反一次扣0.5分。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（5）注意着装，文明举止，礼貌接待。违反一次扣0.1分。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2、秩序维护服务工作考核细则</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（1）发现工作中的隐患、问题，要及时报告、处理。凡不报告、处理问题，影响工作者扣0.1分。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（2）严格按照规范操作，提高安全意识，做好防火防盗、防安全事故发生。凡因工作失职造成的安全责任事故扣0.3分。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（3）做好交接班记录，无记录、未签字者扣0.2分。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（4）认真核对、检查学生请假手续，凡造成学生冒名出校、不假出校的扣0.5分。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（5）对外来人员、车辆，做好检查登记工作，认真审核有关证件，并与相关科室联系，防止其混入学校肇事和影响学校正常教学、生活秩序，发生一次扣0.3分，并追究责任。</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（6）做好巡视、登记、检查记录，发现问题，及时处理、报告，如因此造成不良后果扣0.3分。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（7）未经允许校外人员不得到校推销商品，发生一次扣0.3分。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（8）保持门卫室整洁、物品摆放有序，未规范者一次扣0.1分。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（9）上班时间不做与工作无关的事。发现玩电脑、玩手机、打游戏、看电视、看电影、睡觉者一次扣0.2分。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3、环境维护服务考核细则</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（1）地面每天必须扫拖、地面无泥沙、无泡泡糖残迹、地面无纸屑，不符合要求一次扣0.1分。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（2）垃圾桶表面无灰尘、所有垃圾桶内垃圾不过半，不符合要求一次扣0.1分。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（3）栏杆表面无灰尘、栏杆底座无尘沙，不符合要求一次扣0.1分。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（4）墙面无积尘、墙面无乱写乱画的痕迹，墙面无蜘蛛网，不符合要求一次扣0.1分。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（5）开水房饮水机表面干净、水槽无残渣、磁砖壁无脏痕，不符合要求一次扣0.1分。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（6）花台边缘应无灰尘杂物，花台瓷砖表面干净，各种雕塑表面无灰尘，不符合要求一次扣0.1分。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（7）绿化带及树林里面无纸屑、无白色垃圾，水池无杂物，不符合要求一次扣0.1分。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（8）体育看台座椅干净，看台无纸屑杂物，健身器材表面无灰尘，一次扣0.1分。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（9）镜子、校内校外宣传栏、展板表面无灰尘、水渍，不符合要求一次扣0.1分。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（10）卫生间内地面干净，无垃圾、积水、无异味，不符合要求一次扣0.2分。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（11）报告厅，图书馆、会议室在各种活动开展时要保持干净整洁可用，不符合要求一次扣0.2分。</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（12）未尽事宜视情节轻重，一次扣0.3分。</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4.3.4付款进度和支付方式</w:t>
      </w:r>
    </w:p>
    <w:p>
      <w:pPr>
        <w:spacing w:line="360" w:lineRule="auto"/>
        <w:ind w:firstLine="560" w:firstLineChars="200"/>
        <w:outlineLvl w:val="9"/>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（1）款项支付采取银行转账方式。签订合同</w:t>
      </w:r>
      <w:r>
        <w:rPr>
          <w:rFonts w:hint="eastAsia" w:ascii="宋体" w:hAnsi="宋体" w:eastAsia="宋体" w:cs="宋体"/>
          <w:color w:val="000000" w:themeColor="text1"/>
          <w:sz w:val="28"/>
          <w:szCs w:val="28"/>
          <w:highlight w:val="none"/>
          <w:u w:val="none"/>
          <w:lang w:val="en-US" w:eastAsia="zh-CN"/>
          <w14:textFill>
            <w14:solidFill>
              <w14:schemeClr w14:val="tx1"/>
            </w14:solidFill>
          </w14:textFill>
        </w:rPr>
        <w:t>5个工作日内</w:t>
      </w:r>
      <w:r>
        <w:rPr>
          <w:rFonts w:hint="eastAsia" w:ascii="宋体" w:hAnsi="宋体" w:eastAsia="宋体" w:cs="宋体"/>
          <w:color w:val="000000" w:themeColor="text1"/>
          <w:sz w:val="28"/>
          <w:szCs w:val="28"/>
          <w:highlight w:val="none"/>
          <w14:textFill>
            <w14:solidFill>
              <w14:schemeClr w14:val="tx1"/>
            </w14:solidFill>
          </w14:textFill>
        </w:rPr>
        <w:t>，向中标人预付全年合同款的30%</w:t>
      </w:r>
      <w:r>
        <w:rPr>
          <w:rFonts w:hint="eastAsia" w:ascii="宋体" w:hAnsi="宋体" w:eastAsia="宋体" w:cs="宋体"/>
          <w:color w:val="000000" w:themeColor="text1"/>
          <w:sz w:val="28"/>
          <w:szCs w:val="28"/>
          <w:highlight w:val="none"/>
          <w:lang w:eastAsia="zh-CN"/>
          <w14:textFill>
            <w14:solidFill>
              <w14:schemeClr w14:val="tx1"/>
            </w14:solidFill>
          </w14:textFill>
        </w:rPr>
        <w:t>，如遇不可抗力因素，经双方协商解决</w:t>
      </w:r>
      <w:r>
        <w:rPr>
          <w:rFonts w:hint="eastAsia" w:ascii="宋体" w:hAnsi="宋体" w:eastAsia="宋体" w:cs="宋体"/>
          <w:color w:val="000000" w:themeColor="text1"/>
          <w:sz w:val="28"/>
          <w:szCs w:val="28"/>
          <w:highlight w:val="none"/>
          <w14:textFill>
            <w14:solidFill>
              <w14:schemeClr w14:val="tx1"/>
            </w14:solidFill>
          </w14:textFill>
        </w:rPr>
        <w:t>。已支付的预付款在</w:t>
      </w:r>
      <w:r>
        <w:rPr>
          <w:rFonts w:hint="eastAsia" w:ascii="宋体" w:hAnsi="宋体" w:eastAsia="宋体" w:cs="宋体"/>
          <w:color w:val="000000" w:themeColor="text1"/>
          <w:sz w:val="28"/>
          <w:szCs w:val="28"/>
          <w:highlight w:val="none"/>
          <w:lang w:eastAsia="zh-CN"/>
          <w14:textFill>
            <w14:solidFill>
              <w14:schemeClr w14:val="tx1"/>
            </w14:solidFill>
          </w14:textFill>
        </w:rPr>
        <w:t>月</w:t>
      </w:r>
      <w:r>
        <w:rPr>
          <w:rFonts w:hint="eastAsia" w:ascii="宋体" w:hAnsi="宋体" w:eastAsia="宋体" w:cs="宋体"/>
          <w:color w:val="000000" w:themeColor="text1"/>
          <w:sz w:val="28"/>
          <w:szCs w:val="28"/>
          <w:highlight w:val="none"/>
          <w14:textFill>
            <w14:solidFill>
              <w14:schemeClr w14:val="tx1"/>
            </w14:solidFill>
          </w14:textFill>
        </w:rPr>
        <w:t>服务费用中扣回，预付款全部扣回后正常支付</w:t>
      </w:r>
      <w:r>
        <w:rPr>
          <w:rFonts w:hint="eastAsia" w:ascii="宋体" w:hAnsi="宋体" w:eastAsia="宋体" w:cs="宋体"/>
          <w:color w:val="000000" w:themeColor="text1"/>
          <w:sz w:val="28"/>
          <w:szCs w:val="28"/>
          <w:highlight w:val="none"/>
          <w:lang w:eastAsia="zh-CN"/>
          <w14:textFill>
            <w14:solidFill>
              <w14:schemeClr w14:val="tx1"/>
            </w14:solidFill>
          </w14:textFill>
        </w:rPr>
        <w:t>月</w:t>
      </w:r>
      <w:r>
        <w:rPr>
          <w:rFonts w:hint="eastAsia" w:ascii="宋体" w:hAnsi="宋体" w:eastAsia="宋体" w:cs="宋体"/>
          <w:color w:val="000000" w:themeColor="text1"/>
          <w:sz w:val="28"/>
          <w:szCs w:val="28"/>
          <w:highlight w:val="none"/>
          <w14:textFill>
            <w14:solidFill>
              <w14:schemeClr w14:val="tx1"/>
            </w14:solidFill>
          </w14:textFill>
        </w:rPr>
        <w:t>服务费</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余下的合同款，按月考核，按月支付，次月15日前将上月的服务费用以转帐形式支付给中标人。支付服务费时，中标人须向采购人递交拨付作业服务费的正式票据。</w:t>
      </w:r>
    </w:p>
    <w:p>
      <w:pPr>
        <w:spacing w:line="360" w:lineRule="auto"/>
        <w:ind w:firstLine="560" w:firstLineChars="200"/>
        <w:outlineLvl w:val="9"/>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实付服务费=应付服务费-考核扣款。</w:t>
      </w:r>
    </w:p>
    <w:p>
      <w:pPr>
        <w:spacing w:line="360" w:lineRule="auto"/>
        <w:ind w:firstLine="560" w:firstLineChars="200"/>
        <w:outlineLvl w:val="9"/>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（2）履约方式及履约时间：合同签订生效之日起，中标人自带机具、办公用品及人员服装、清洁卫生用品用具等工作必备物品、人员进场，履行应尽合同义务。</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4.3.5违约责任</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1.双方必须遵守本合同并执行合同中的各项规定，保证合同的正常履行。</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如因乙方工作人员在履行职务过程中的的疏忽、失职、过错等故意或者过失原因给采购方造成损失或侵害，包括但不限于采购方本身的财产损失、由此而导致的采购方对任何第三方的法律责任等，乙方对此均应承担全部的赔偿责任。</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4.3.6解决争议的方式</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1、在执行本合同中发生的或与本合同有关的争端，双方应通过友好协商解决，经协商在</w:t>
      </w:r>
      <w:r>
        <w:rPr>
          <w:rFonts w:hint="eastAsia" w:ascii="宋体" w:hAnsi="宋体" w:eastAsia="宋体" w:cs="宋体"/>
          <w:color w:val="000000" w:themeColor="text1"/>
          <w:sz w:val="28"/>
          <w:szCs w:val="28"/>
          <w:highlight w:val="none"/>
          <w:lang w:val="en-US" w:eastAsia="zh-CN"/>
          <w14:textFill>
            <w14:solidFill>
              <w14:schemeClr w14:val="tx1"/>
            </w14:solidFill>
          </w14:textFill>
        </w:rPr>
        <w:t>15</w:t>
      </w:r>
      <w:r>
        <w:rPr>
          <w:rFonts w:hint="eastAsia" w:ascii="宋体" w:hAnsi="宋体" w:eastAsia="宋体" w:cs="宋体"/>
          <w:color w:val="000000" w:themeColor="text1"/>
          <w:sz w:val="28"/>
          <w:szCs w:val="28"/>
          <w:highlight w:val="none"/>
          <w14:textFill>
            <w14:solidFill>
              <w14:schemeClr w14:val="tx1"/>
            </w14:solidFill>
          </w14:textFill>
        </w:rPr>
        <w:t>天内不能达成协议时，应提交成都仲裁委员会仲裁。</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2、仲裁裁决应为最终决定，并对双方具有约束力。</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3、除另有裁决外，仲裁费应由败诉方负担。 </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4、在仲裁期间，除正在进行仲裁部分外，合同其他部分继续执行。</w:t>
      </w:r>
    </w:p>
    <w:p>
      <w:pPr>
        <w:pStyle w:val="2"/>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4.4报价要求</w:t>
      </w:r>
    </w:p>
    <w:p>
      <w:pPr>
        <w:pStyle w:val="2"/>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4.4.1最高限价</w:t>
      </w:r>
    </w:p>
    <w:p>
      <w:pPr>
        <w:pStyle w:val="2"/>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★本项目最高限价为人民币</w:t>
      </w:r>
      <w:r>
        <w:rPr>
          <w:rFonts w:hint="eastAsia" w:hAnsi="宋体" w:cs="宋体"/>
          <w:sz w:val="28"/>
          <w:szCs w:val="28"/>
          <w:highlight w:val="none"/>
          <w:lang w:val="en-US" w:eastAsia="zh-CN"/>
        </w:rPr>
        <w:t>90.6</w:t>
      </w:r>
      <w:r>
        <w:rPr>
          <w:rFonts w:hint="eastAsia" w:ascii="宋体" w:hAnsi="宋体" w:eastAsia="宋体" w:cs="宋体"/>
          <w:sz w:val="28"/>
          <w:szCs w:val="28"/>
          <w:highlight w:val="none"/>
          <w:lang w:val="en-US" w:eastAsia="zh-CN"/>
        </w:rPr>
        <w:t>万元/年，投标人投标报价高于最高限价的，则其投标文件将按无效投标文件处理。</w:t>
      </w:r>
    </w:p>
    <w:p>
      <w:pPr>
        <w:pStyle w:val="2"/>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4.4.2其他要求</w:t>
      </w:r>
    </w:p>
    <w:p>
      <w:pPr>
        <w:pStyle w:val="2"/>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bookmarkEnd w:id="161"/>
    <w:bookmarkEnd w:id="162"/>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68" w:name="_Toc17001"/>
      <w:r>
        <w:rPr>
          <w:rFonts w:hint="eastAsia" w:ascii="宋体" w:hAnsi="宋体" w:eastAsia="宋体" w:cs="Times New Roman"/>
          <w:b/>
          <w:bCs/>
          <w:spacing w:val="-20"/>
          <w:kern w:val="44"/>
          <w:sz w:val="32"/>
          <w:szCs w:val="32"/>
          <w:highlight w:val="none"/>
        </w:rPr>
        <w:t>资格性审查</w:t>
      </w:r>
      <w:bookmarkEnd w:id="168"/>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资格性审查由采购人组建的资格审查小组依据法律法规和招标文件的规定，对投标保证金(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出具的</w:t>
      </w:r>
      <w:r>
        <w:rPr>
          <w:rFonts w:hint="eastAsia" w:ascii="宋体" w:hAnsi="宋体" w:eastAsia="宋体" w:cs="Times New Roman"/>
          <w:b/>
          <w:sz w:val="28"/>
          <w:szCs w:val="28"/>
          <w:highlight w:val="none"/>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或投标人递交的投标保函</w:t>
      </w:r>
      <w:r>
        <w:rPr>
          <w:rFonts w:hint="eastAsia" w:ascii="宋体" w:hAnsi="宋体" w:eastAsia="宋体" w:cs="Times New Roman"/>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将以电子邮件形式通知各投标人。资格性审查标准见下表：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b/>
                <w:sz w:val="20"/>
                <w:szCs w:val="22"/>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rPr>
              <w:t>营业执照（正本或副本）或法人登记证（正本或副本）或其他能够证明投标人具有独立承担民事责任能力的相关证明材料复印件【注：</w:t>
            </w:r>
            <w:r>
              <w:rPr>
                <w:rFonts w:hint="eastAsia" w:ascii="宋体" w:hAnsi="宋体"/>
                <w:sz w:val="20"/>
                <w:highlight w:val="none"/>
              </w:rPr>
              <w:t>①</w:t>
            </w:r>
            <w:r>
              <w:rPr>
                <w:rFonts w:hint="eastAsia"/>
                <w:sz w:val="20"/>
                <w:highlight w:val="none"/>
              </w:rPr>
              <w:t>营业执照或法人登记证或其他证明材料载明有期限的，应在有效期限内；</w:t>
            </w:r>
            <w:r>
              <w:rPr>
                <w:rFonts w:hint="eastAsia" w:ascii="宋体" w:hAnsi="宋体"/>
                <w:sz w:val="20"/>
                <w:highlight w:val="none"/>
              </w:rPr>
              <w:t>②</w:t>
            </w:r>
            <w:r>
              <w:rPr>
                <w:rFonts w:hint="eastAsia"/>
                <w:sz w:val="20"/>
                <w:highlight w:val="none"/>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一、</w:t>
            </w:r>
            <w:r>
              <w:rPr>
                <w:rFonts w:hint="eastAsia"/>
                <w:sz w:val="20"/>
                <w:highlight w:val="none"/>
              </w:rPr>
              <w:t>投标人具有良好的商业信誉的书面声明材料。【说明：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；②供应商具有良好的商业信誉</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highlight w:val="none"/>
              </w:rPr>
            </w:pPr>
            <w:r>
              <w:rPr>
                <w:rFonts w:hint="eastAsia"/>
                <w:sz w:val="20"/>
                <w:highlight w:val="none"/>
                <w:lang w:eastAsia="zh-CN"/>
              </w:rPr>
              <w:t>二、</w:t>
            </w:r>
            <w:r>
              <w:rPr>
                <w:rFonts w:hint="default"/>
                <w:sz w:val="20"/>
                <w:highlight w:val="none"/>
              </w:rPr>
              <w:t>1.</w:t>
            </w:r>
            <w:r>
              <w:rPr>
                <w:rFonts w:hint="eastAsia"/>
                <w:sz w:val="20"/>
                <w:highlight w:val="none"/>
              </w:rPr>
              <w:t>投标人参加政府采购活动前三年内，在经营活动中没有重大违法记录的书面声明材料。【说明：</w:t>
            </w:r>
            <w:r>
              <w:rPr>
                <w:rFonts w:hint="eastAsia" w:ascii="宋体" w:hAnsi="宋体"/>
                <w:sz w:val="20"/>
                <w:highlight w:val="none"/>
              </w:rPr>
              <w:t>①</w:t>
            </w:r>
            <w:r>
              <w:rPr>
                <w:rFonts w:hint="eastAsia"/>
                <w:sz w:val="20"/>
                <w:highlight w:val="none"/>
              </w:rPr>
              <w:t>按第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②供应商参加政府采购活动前三年内，在经营活动中没有重大违法记录</w:t>
            </w:r>
            <w:r>
              <w:rPr>
                <w:rFonts w:hint="eastAsia"/>
                <w:sz w:val="20"/>
                <w:highlight w:val="none"/>
              </w:rPr>
              <w:t>。】</w:t>
            </w:r>
          </w:p>
          <w:p>
            <w:pPr>
              <w:tabs>
                <w:tab w:val="left" w:pos="851"/>
              </w:tabs>
              <w:spacing w:beforeLines="0" w:afterLines="0" w:line="360" w:lineRule="auto"/>
              <w:rPr>
                <w:rFonts w:ascii="Calibri" w:hAnsi="Calibri" w:eastAsia="宋体" w:cs="Times New Roman"/>
                <w:sz w:val="20"/>
                <w:szCs w:val="22"/>
                <w:highlight w:val="none"/>
              </w:rPr>
            </w:pPr>
            <w:r>
              <w:rPr>
                <w:rFonts w:hint="default"/>
                <w:sz w:val="20"/>
                <w:highlight w:val="none"/>
              </w:rPr>
              <w:t xml:space="preserve">2. </w:t>
            </w:r>
            <w:r>
              <w:rPr>
                <w:rFonts w:hint="eastAsia"/>
                <w:sz w:val="20"/>
                <w:highlight w:val="none"/>
              </w:rPr>
              <w:t>资格审查小组根据</w:t>
            </w:r>
            <w:r>
              <w:rPr>
                <w:rFonts w:hint="default"/>
                <w:sz w:val="20"/>
                <w:highlight w:val="none"/>
              </w:rPr>
              <w:t>“</w:t>
            </w:r>
            <w:r>
              <w:rPr>
                <w:rFonts w:hint="eastAsia"/>
                <w:sz w:val="20"/>
                <w:highlight w:val="none"/>
              </w:rPr>
              <w:t>信用中国</w:t>
            </w:r>
            <w:r>
              <w:rPr>
                <w:rFonts w:hint="default"/>
                <w:sz w:val="20"/>
                <w:highlight w:val="none"/>
              </w:rPr>
              <w:t>”</w:t>
            </w:r>
            <w:r>
              <w:rPr>
                <w:rFonts w:hint="eastAsia"/>
                <w:sz w:val="20"/>
                <w:highlight w:val="none"/>
              </w:rPr>
              <w:t>和</w:t>
            </w:r>
            <w:r>
              <w:rPr>
                <w:rFonts w:hint="default"/>
                <w:sz w:val="20"/>
                <w:highlight w:val="none"/>
              </w:rPr>
              <w:t>“</w:t>
            </w:r>
            <w:r>
              <w:rPr>
                <w:rFonts w:hint="eastAsia"/>
                <w:sz w:val="20"/>
                <w:highlight w:val="none"/>
              </w:rPr>
              <w:t>中国政府采购网</w:t>
            </w:r>
            <w:r>
              <w:rPr>
                <w:rFonts w:hint="default"/>
                <w:sz w:val="20"/>
                <w:highlight w:val="none"/>
              </w:rPr>
              <w:t>”</w:t>
            </w:r>
            <w:r>
              <w:rPr>
                <w:rFonts w:hint="eastAsia"/>
                <w:sz w:val="20"/>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highlight w:val="none"/>
              </w:rPr>
            </w:pPr>
            <w:r>
              <w:rPr>
                <w:rFonts w:hint="eastAsia"/>
                <w:sz w:val="20"/>
                <w:highlight w:val="none"/>
                <w:lang w:eastAsia="zh-CN"/>
              </w:rPr>
              <w:t>三、</w:t>
            </w:r>
            <w:r>
              <w:rPr>
                <w:rFonts w:hint="default"/>
                <w:sz w:val="20"/>
                <w:highlight w:val="none"/>
              </w:rPr>
              <w:t>1.</w:t>
            </w:r>
            <w:r>
              <w:rPr>
                <w:rFonts w:hint="eastAsia"/>
                <w:sz w:val="20"/>
                <w:highlight w:val="none"/>
              </w:rPr>
              <w:t>投标人未列入失信被执行人、重大税收违法案件当事人名单、政府采购严重违法失信行为记录名单的书面声明材料。【说明：</w:t>
            </w:r>
            <w:r>
              <w:rPr>
                <w:rFonts w:hint="eastAsia" w:ascii="宋体" w:hAnsi="宋体"/>
                <w:sz w:val="20"/>
                <w:highlight w:val="none"/>
              </w:rPr>
              <w:t>①</w:t>
            </w:r>
            <w:r>
              <w:rPr>
                <w:rFonts w:hint="eastAsia"/>
                <w:sz w:val="20"/>
                <w:highlight w:val="none"/>
              </w:rPr>
              <w:t>投标人未列入失信被执行人、重大税收违法案件当事人名单、政府采购严重违法失信行为记录名单；</w:t>
            </w:r>
            <w:r>
              <w:rPr>
                <w:rFonts w:hint="eastAsia" w:ascii="宋体" w:hAnsi="宋体"/>
                <w:sz w:val="20"/>
                <w:highlight w:val="none"/>
              </w:rPr>
              <w:t>②</w:t>
            </w:r>
            <w:r>
              <w:rPr>
                <w:rFonts w:hint="eastAsia"/>
                <w:sz w:val="20"/>
                <w:highlight w:val="none"/>
              </w:rPr>
              <w:t>按第</w:t>
            </w:r>
            <w:r>
              <w:rPr>
                <w:rFonts w:hint="default"/>
                <w:sz w:val="20"/>
                <w:highlight w:val="none"/>
              </w:rPr>
              <w:t>3</w:t>
            </w:r>
            <w:r>
              <w:rPr>
                <w:rFonts w:hint="eastAsia"/>
                <w:sz w:val="20"/>
                <w:highlight w:val="none"/>
              </w:rPr>
              <w:t>章的内容及要求提供书面声明材料。】</w:t>
            </w:r>
          </w:p>
          <w:p>
            <w:pPr>
              <w:tabs>
                <w:tab w:val="left" w:pos="851"/>
              </w:tabs>
              <w:spacing w:beforeLines="0" w:afterLines="0" w:line="360" w:lineRule="auto"/>
              <w:rPr>
                <w:rFonts w:ascii="Calibri" w:hAnsi="Calibri" w:eastAsia="宋体" w:cs="Times New Roman"/>
                <w:sz w:val="20"/>
                <w:szCs w:val="22"/>
                <w:highlight w:val="none"/>
              </w:rPr>
            </w:pPr>
            <w:r>
              <w:rPr>
                <w:rFonts w:hint="default"/>
                <w:sz w:val="20"/>
                <w:highlight w:val="none"/>
              </w:rPr>
              <w:t xml:space="preserve">2. </w:t>
            </w:r>
            <w:r>
              <w:rPr>
                <w:rFonts w:hint="eastAsia"/>
                <w:sz w:val="20"/>
                <w:highlight w:val="none"/>
              </w:rPr>
              <w:t>资格审查小组根据</w:t>
            </w:r>
            <w:r>
              <w:rPr>
                <w:rFonts w:hint="default"/>
                <w:sz w:val="20"/>
                <w:highlight w:val="none"/>
              </w:rPr>
              <w:t>“</w:t>
            </w:r>
            <w:r>
              <w:rPr>
                <w:rFonts w:hint="eastAsia"/>
                <w:sz w:val="20"/>
                <w:highlight w:val="none"/>
              </w:rPr>
              <w:t>信用中国</w:t>
            </w:r>
            <w:r>
              <w:rPr>
                <w:rFonts w:hint="default"/>
                <w:sz w:val="20"/>
                <w:highlight w:val="none"/>
              </w:rPr>
              <w:t>”</w:t>
            </w:r>
            <w:r>
              <w:rPr>
                <w:rFonts w:hint="eastAsia"/>
                <w:sz w:val="20"/>
                <w:highlight w:val="none"/>
              </w:rPr>
              <w:t>和</w:t>
            </w:r>
            <w:r>
              <w:rPr>
                <w:rFonts w:hint="default"/>
                <w:sz w:val="20"/>
                <w:highlight w:val="none"/>
              </w:rPr>
              <w:t>“</w:t>
            </w:r>
            <w:r>
              <w:rPr>
                <w:rFonts w:hint="eastAsia"/>
                <w:sz w:val="20"/>
                <w:highlight w:val="none"/>
              </w:rPr>
              <w:t>中国政府采购网</w:t>
            </w:r>
            <w:r>
              <w:rPr>
                <w:rFonts w:hint="default"/>
                <w:sz w:val="20"/>
                <w:highlight w:val="none"/>
              </w:rPr>
              <w:t>”</w:t>
            </w:r>
            <w:r>
              <w:rPr>
                <w:rFonts w:hint="eastAsia"/>
                <w:sz w:val="20"/>
                <w:highlight w:val="none"/>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四、</w:t>
            </w:r>
            <w:r>
              <w:rPr>
                <w:rFonts w:hint="eastAsia"/>
                <w:sz w:val="20"/>
                <w:highlight w:val="none"/>
              </w:rPr>
              <w:t>投标人未处于被行政部门禁止参与政府采购活动的期限内。【说明：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；②供应商未处于被行政部门禁止参与政府采购活动的期限内。</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五、</w:t>
            </w:r>
            <w:r>
              <w:rPr>
                <w:rFonts w:hint="eastAsia"/>
                <w:sz w:val="20"/>
                <w:highlight w:val="none"/>
              </w:rPr>
              <w:t>在行贿犯罪信息查询期限内，投标人及其现任法定代表人、主要负责人没有行贿犯罪记录的书面声明材料。【说明：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章的内容及要求提供书面声明材料，投标文件中不需提供中国裁判文书网（</w:t>
            </w:r>
            <w:r>
              <w:rPr>
                <w:rFonts w:hint="default"/>
                <w:sz w:val="20"/>
                <w:highlight w:val="none"/>
              </w:rPr>
              <w:t>https://wenshu.court.gov.cn</w:t>
            </w:r>
            <w:r>
              <w:rPr>
                <w:rFonts w:hint="eastAsia"/>
                <w:sz w:val="20"/>
                <w:highlight w:val="none"/>
              </w:rPr>
              <w:t>）查询结果的证明材料；</w:t>
            </w:r>
            <w:r>
              <w:rPr>
                <w:rFonts w:hint="eastAsia" w:ascii="宋体" w:hAnsi="宋体"/>
                <w:sz w:val="20"/>
                <w:highlight w:val="none"/>
              </w:rPr>
              <w:t>②在行贿犯罪信息查询期限内，供应商及其现任法定代表人、主要负责人没有行贿犯罪记录</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六、</w:t>
            </w:r>
            <w:r>
              <w:rPr>
                <w:rFonts w:hint="eastAsia"/>
                <w:sz w:val="20"/>
                <w:highlight w:val="none"/>
              </w:rPr>
              <w:t>负责人为同一人或者存在直接控股、管理关系的不同投标人未同时参加本项目书面声明材料。【说明：①按招标文件3.2.2声明内容提供书面声明材料；②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一、</w:t>
            </w:r>
            <w:r>
              <w:rPr>
                <w:rFonts w:hint="eastAsia"/>
                <w:sz w:val="20"/>
                <w:highlight w:val="none"/>
              </w:rPr>
              <w:t>采购人对投标人履行合同所必须的设备和专业技术能力无其他特殊要求，投标人</w:t>
            </w:r>
            <w:r>
              <w:rPr>
                <w:rFonts w:hint="eastAsia" w:ascii="宋体" w:hAnsi="宋体"/>
                <w:sz w:val="20"/>
                <w:highlight w:val="none"/>
              </w:rPr>
              <w:t>可不提供证明材料</w:t>
            </w:r>
            <w:r>
              <w:rPr>
                <w:rFonts w:hint="eastAsia"/>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二、</w:t>
            </w:r>
            <w:r>
              <w:rPr>
                <w:rFonts w:hint="eastAsia"/>
                <w:sz w:val="20"/>
                <w:highlight w:val="none"/>
              </w:rPr>
              <w:t>采购人对法律、行政法规规定的其他条件无其他特殊要求，投标人</w:t>
            </w:r>
            <w:r>
              <w:rPr>
                <w:rFonts w:hint="eastAsia" w:ascii="宋体" w:hAnsi="宋体"/>
                <w:sz w:val="20"/>
                <w:highlight w:val="none"/>
              </w:rPr>
              <w:t>可不提供证明材料</w:t>
            </w:r>
            <w:r>
              <w:rPr>
                <w:rFonts w:hint="eastAsia"/>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、根据招标文件的要求不属于禁止参加投标或投标无效的供应商；</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无</w:t>
            </w:r>
            <w:r>
              <w:rPr>
                <w:rFonts w:hint="eastAsia" w:ascii="Calibri" w:hAnsi="Calibri" w:eastAsia="宋体" w:cs="Times New Roman"/>
                <w:sz w:val="20"/>
                <w:szCs w:val="22"/>
                <w:highlight w:val="none"/>
                <w:lang w:eastAsia="zh-CN"/>
              </w:rPr>
              <w:t>。</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无</w:t>
            </w:r>
            <w:r>
              <w:rPr>
                <w:rFonts w:hint="eastAsia" w:ascii="Calibri" w:hAnsi="Calibri" w:eastAsia="宋体" w:cs="Times New Roman"/>
                <w:sz w:val="20"/>
                <w:szCs w:val="22"/>
                <w:highlight w:val="none"/>
                <w:lang w:eastAsia="zh-CN"/>
              </w:rPr>
              <w:t>。</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highlight w:val="none"/>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符合招标文件“</w:t>
            </w:r>
            <w:r>
              <w:rPr>
                <w:rFonts w:ascii="宋体" w:hAnsi="宋体" w:eastAsia="宋体" w:cs="Times New Roman"/>
                <w:sz w:val="20"/>
                <w:szCs w:val="28"/>
                <w:highlight w:val="none"/>
              </w:rPr>
              <w:t>2.4.</w:t>
            </w:r>
            <w:r>
              <w:rPr>
                <w:rFonts w:hint="eastAsia" w:ascii="宋体" w:hAnsi="宋体" w:eastAsia="宋体" w:cs="Times New Roman"/>
                <w:sz w:val="20"/>
                <w:szCs w:val="28"/>
                <w:highlight w:val="none"/>
              </w:rPr>
              <w:t>6投标</w:t>
            </w:r>
            <w:r>
              <w:rPr>
                <w:rFonts w:ascii="宋体" w:hAnsi="宋体" w:eastAsia="宋体" w:cs="Times New Roman"/>
                <w:sz w:val="20"/>
                <w:szCs w:val="28"/>
                <w:highlight w:val="none"/>
              </w:rPr>
              <w:t>文件的组成”规定要求。</w:t>
            </w:r>
            <w:r>
              <w:rPr>
                <w:rFonts w:hint="eastAsia" w:ascii="宋体" w:hAnsi="宋体" w:eastAsia="宋体" w:cs="Times New Roman"/>
                <w:sz w:val="20"/>
                <w:szCs w:val="28"/>
                <w:highlight w:val="none"/>
              </w:rPr>
              <w:t>【说明：投标人按招标文件3.2.1关于投标人资格申明的</w:t>
            </w:r>
            <w:r>
              <w:rPr>
                <w:rFonts w:hint="eastAsia" w:ascii="Calibri" w:hAnsi="Calibri" w:eastAsia="宋体" w:cs="Times New Roman"/>
                <w:sz w:val="20"/>
                <w:szCs w:val="22"/>
                <w:highlight w:val="none"/>
              </w:rPr>
              <w:t>内容</w:t>
            </w:r>
            <w:r>
              <w:rPr>
                <w:rFonts w:hint="eastAsia" w:ascii="宋体" w:hAnsi="宋体" w:eastAsia="宋体" w:cs="Times New Roman"/>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专门面向中小企业采购项目:</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highlight w:val="none"/>
                <w:u w:val="single"/>
              </w:rPr>
              <w:t>本</w:t>
            </w:r>
            <w:r>
              <w:rPr>
                <w:rFonts w:hint="eastAsia" w:ascii="宋体" w:hAnsi="宋体" w:eastAsia="宋体" w:cs="Times New Roman"/>
                <w:sz w:val="20"/>
                <w:szCs w:val="28"/>
                <w:highlight w:val="none"/>
              </w:rPr>
              <w:t>项目采购活动由本单位提供服务；</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3.监狱企业视同为小型、微型企业，提供由省级以上监狱管理局、戒毒管理局（含新疆生产建设兵团）出具的</w:t>
            </w:r>
            <w:r>
              <w:rPr>
                <w:rFonts w:hint="eastAsia" w:ascii="Calibri" w:hAnsi="Calibri" w:eastAsia="宋体" w:cs="Times New Roman"/>
                <w:sz w:val="20"/>
                <w:szCs w:val="22"/>
                <w:highlight w:val="none"/>
              </w:rPr>
              <w:t>投标人</w:t>
            </w:r>
            <w:r>
              <w:rPr>
                <w:rFonts w:hint="eastAsia" w:ascii="宋体" w:hAnsi="宋体" w:eastAsia="宋体" w:cs="Times New Roman"/>
                <w:sz w:val="20"/>
                <w:szCs w:val="28"/>
                <w:highlight w:val="none"/>
              </w:rPr>
              <w:t>属于监狱企业的证明文件复印件。</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三、投标人的投标文件资格性审查时被判定为无效的，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将通知投标人（以短信、现场公示、电话、“政府采购云平台”等任一方式）。投标人如对资格审查结论有异议的，应及时向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将及时告知资格审查小组。（说明：无论投标人是否收到通知或提供反馈意见，均不影响资格审查和评标工作，且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rPr>
          <w:rFonts w:hint="eastAsia" w:ascii="宋体" w:hAnsi="宋体" w:eastAsia="宋体" w:cs="Times New Roman"/>
          <w:sz w:val="28"/>
          <w:szCs w:val="28"/>
          <w:highlight w:val="none"/>
          <w:lang w:val="en-US" w:eastAsia="zh-CN"/>
        </w:rPr>
      </w:pPr>
      <w:r>
        <w:rPr>
          <w:rFonts w:ascii="宋体" w:hAnsi="宋体" w:eastAsia="宋体" w:cs="Times New Roman"/>
          <w:sz w:val="28"/>
          <w:szCs w:val="28"/>
          <w:highlight w:val="none"/>
        </w:rPr>
        <w:br w:type="page"/>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69" w:name="_Toc7981"/>
      <w:r>
        <w:rPr>
          <w:rFonts w:hint="eastAsia" w:ascii="宋体" w:hAnsi="宋体" w:eastAsia="宋体" w:cs="Times New Roman"/>
          <w:b/>
          <w:bCs/>
          <w:spacing w:val="-20"/>
          <w:kern w:val="44"/>
          <w:sz w:val="32"/>
          <w:szCs w:val="32"/>
          <w:highlight w:val="none"/>
        </w:rPr>
        <w:t>评标办法</w:t>
      </w:r>
      <w:bookmarkEnd w:id="169"/>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0" w:name="_Toc17097"/>
      <w:r>
        <w:rPr>
          <w:rFonts w:hint="eastAsia" w:ascii="宋体" w:hAnsi="宋体" w:eastAsia="宋体" w:cs="Times New Roman"/>
          <w:b/>
          <w:bCs/>
          <w:sz w:val="28"/>
          <w:szCs w:val="28"/>
          <w:highlight w:val="none"/>
        </w:rPr>
        <w:t>总则</w:t>
      </w:r>
      <w:bookmarkEnd w:id="170"/>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评标工作由</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负责组织，具体评标事务由采购人或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依法组建的评标委员会负责。评标委员会由采购人代表和评审专家组成。</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评标工作应遵循公平、公正、科学及择优的原则，并以相同的评标程序和标准对待所有的投标人。</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评标委员会按照招标文件规定的评标程序、评标方法和标准进行独立评审，并独立履行下列职责：</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熟悉和理解招标文件；</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审查、评价投标文件是否符合招标文件的商务、技术等实质性要求；</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对投标文件进行比较和评价；</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根据需要要求采购人对招标文件作出解释；根据需要要求投标人对投标文件有关事项作出解释或者澄清；</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确定中标候选人名单，以及根据采购人委托直接确定中标人；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起草评标报告并进行签署；</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或者财政、监察等有关部门报告或举报非法干预评标工作的行为；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或者有关部门报告评标中发现的违法行为。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法律、法规和规章规定的其他职责。</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评标过程独立、保密。投标人非法干预评标过程的行为将导致其投标文件作为无效处理。</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评标委员会决定投标文件的响应性依据投标文件本身的内容，而不寻求外部的证据，招标文件有明确约定的除外。</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评标委员会发现招标文件表述不明确或需要说明的事项，可提请采购人和</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1" w:name="_Toc17003"/>
      <w:r>
        <w:rPr>
          <w:rFonts w:hint="eastAsia" w:ascii="宋体" w:hAnsi="宋体" w:eastAsia="宋体" w:cs="Times New Roman"/>
          <w:b/>
          <w:bCs/>
          <w:sz w:val="28"/>
          <w:szCs w:val="28"/>
          <w:highlight w:val="none"/>
        </w:rPr>
        <w:t>评标方法</w:t>
      </w:r>
      <w:bookmarkEnd w:id="171"/>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2" w:name="_Toc31634"/>
      <w:r>
        <w:rPr>
          <w:rFonts w:hint="eastAsia" w:ascii="宋体" w:hAnsi="宋体" w:eastAsia="宋体" w:cs="Times New Roman"/>
          <w:b/>
          <w:bCs/>
          <w:sz w:val="28"/>
          <w:szCs w:val="28"/>
          <w:highlight w:val="none"/>
        </w:rPr>
        <w:t>评标程序</w:t>
      </w:r>
      <w:bookmarkEnd w:id="172"/>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符合性审查</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符合性审查标准见下表（按以下顺序审查）：</w:t>
      </w:r>
    </w:p>
    <w:tbl>
      <w:tblPr>
        <w:tblStyle w:val="13"/>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highlight w:val="none"/>
              </w:rPr>
            </w:pPr>
            <w:r>
              <w:rPr>
                <w:rFonts w:hint="eastAsia" w:ascii="宋体" w:hAnsi="宋体" w:eastAsia="宋体" w:cs="Times New Roman"/>
                <w:b/>
                <w:sz w:val="24"/>
                <w:szCs w:val="28"/>
                <w:highlight w:val="none"/>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highlight w:val="none"/>
              </w:rPr>
            </w:pPr>
            <w:r>
              <w:rPr>
                <w:rFonts w:hint="eastAsia" w:ascii="宋体" w:hAnsi="宋体" w:eastAsia="宋体" w:cs="Times New Roman"/>
                <w:b/>
                <w:sz w:val="24"/>
                <w:szCs w:val="28"/>
                <w:highlight w:val="none"/>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highlight w:val="none"/>
              </w:rPr>
            </w:pPr>
            <w:r>
              <w:rPr>
                <w:rFonts w:hint="eastAsia" w:ascii="宋体" w:hAnsi="宋体" w:eastAsia="宋体" w:cs="Times New Roman"/>
                <w:b/>
                <w:sz w:val="24"/>
                <w:szCs w:val="28"/>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highlight w:val="none"/>
              </w:rPr>
            </w:pPr>
            <w:r>
              <w:rPr>
                <w:rFonts w:hint="eastAsia" w:ascii="宋体" w:hAnsi="宋体" w:eastAsia="宋体" w:cs="Times New Roman"/>
                <w:sz w:val="24"/>
                <w:szCs w:val="28"/>
                <w:highlight w:val="none"/>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highlight w:val="none"/>
              </w:rPr>
            </w:pPr>
            <w:r>
              <w:rPr>
                <w:rFonts w:hint="eastAsia" w:ascii="宋体" w:hAnsi="宋体" w:eastAsia="宋体" w:cs="Times New Roman"/>
                <w:sz w:val="24"/>
                <w:szCs w:val="28"/>
                <w:highlight w:val="none"/>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第4章打★号的服务、商务及其他要求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投标文件均实质性响应招标文件中加★号的服务、商务及其他要求。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（1）根据招标文件的要求不属于禁止参加投标或投标无效的供应商；</w:t>
            </w:r>
          </w:p>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highlight w:val="none"/>
              </w:rPr>
            </w:pPr>
            <w:r>
              <w:rPr>
                <w:rFonts w:hint="eastAsia" w:ascii="宋体" w:hAnsi="宋体"/>
                <w:sz w:val="24"/>
                <w:highlight w:val="none"/>
              </w:rPr>
              <w:t>法定代表人或主要负责人身份证复印件或护照复印件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highlight w:val="none"/>
              </w:rPr>
            </w:pPr>
            <w:r>
              <w:rPr>
                <w:rFonts w:hint="eastAsia" w:ascii="宋体" w:hAnsi="宋体"/>
                <w:sz w:val="24"/>
                <w:highlight w:val="none"/>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highlight w:val="none"/>
              </w:rPr>
            </w:pPr>
            <w:r>
              <w:rPr>
                <w:rFonts w:ascii="宋体" w:hAnsi="宋体" w:eastAsia="宋体" w:cs="仿宋_GB2312"/>
                <w:sz w:val="24"/>
                <w:szCs w:val="24"/>
                <w:highlight w:val="none"/>
              </w:rPr>
              <w:t>承诺函【说明：①按3.3.</w:t>
            </w:r>
            <w:r>
              <w:rPr>
                <w:rFonts w:hint="eastAsia" w:ascii="宋体" w:hAnsi="宋体" w:eastAsia="宋体" w:cs="仿宋_GB2312"/>
                <w:sz w:val="24"/>
                <w:szCs w:val="24"/>
                <w:highlight w:val="none"/>
              </w:rPr>
              <w:t>5</w:t>
            </w:r>
            <w:r>
              <w:rPr>
                <w:rFonts w:ascii="宋体" w:hAnsi="宋体" w:eastAsia="宋体" w:cs="仿宋_GB2312"/>
                <w:sz w:val="24"/>
                <w:szCs w:val="24"/>
                <w:highlight w:val="none"/>
              </w:rPr>
              <w:t>承诺函</w:t>
            </w:r>
            <w:r>
              <w:rPr>
                <w:rFonts w:hint="eastAsia" w:ascii="宋体" w:hAnsi="宋体" w:eastAsia="宋体" w:cs="仿宋_GB2312"/>
                <w:sz w:val="24"/>
                <w:szCs w:val="24"/>
                <w:highlight w:val="none"/>
              </w:rPr>
              <w:t>内容</w:t>
            </w:r>
            <w:r>
              <w:rPr>
                <w:rFonts w:ascii="宋体" w:hAnsi="宋体" w:eastAsia="宋体" w:cs="仿宋_GB2312"/>
                <w:sz w:val="24"/>
                <w:szCs w:val="24"/>
                <w:highlight w:val="none"/>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highlight w:val="none"/>
              </w:rPr>
            </w:pPr>
            <w:r>
              <w:rPr>
                <w:rFonts w:hint="eastAsia" w:ascii="宋体" w:hAnsi="宋体" w:eastAsia="宋体" w:cs="Times New Roman"/>
                <w:sz w:val="24"/>
                <w:szCs w:val="28"/>
                <w:highlight w:val="none"/>
              </w:rPr>
              <w:t>招标文件中未载明“允许采购进口产品”的产品，投标产品为国产产品。【说明：无须提供证明材料，上传空白页即可，不对本项上传的材料作符合性审查】</w:t>
            </w:r>
          </w:p>
        </w:tc>
      </w:tr>
    </w:tbl>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二、投标人的投标文件符合性审查时被判定为无效投标文件的，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将通知投标人（以短信、现场公示、电话、“政府采购云平台”等任一方式）。投标人如对评审结论有异议的，应及时向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解释、澄清有关问题</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评标过程中，评标委员会认为招标文件有关事项表述不明确或需要说明的，可以提请</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的解释不得改变招标文件的原义或者影响公平、公正，解释事项如果涉及投标人权益的以有利于投标人的原则进行解释。</w:t>
      </w:r>
    </w:p>
    <w:p>
      <w:pPr>
        <w:numPr>
          <w:ilvl w:val="0"/>
          <w:numId w:val="36"/>
        </w:numPr>
        <w:tabs>
          <w:tab w:val="left" w:pos="1134"/>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投标人投标文件中不响应招标文件规定的技术参数指标和商务应答；</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投标人投标文件中未提供的证明其是否符合招标文件资格性、符合性规定要求的相关材料。</w:t>
      </w:r>
    </w:p>
    <w:p>
      <w:pPr>
        <w:numPr>
          <w:ilvl w:val="0"/>
          <w:numId w:val="37"/>
        </w:numPr>
        <w:tabs>
          <w:tab w:val="left" w:pos="993"/>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投标人投标文件中的材料因印刷、影印等不清晰而难以辨认的。</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（三）总价金额与按单价汇总金额不一致的，以单价金额计算结果为准。</w:t>
      </w:r>
    </w:p>
    <w:p>
      <w:pPr>
        <w:spacing w:line="560" w:lineRule="exact"/>
        <w:ind w:firstLine="560"/>
        <w:rPr>
          <w:rFonts w:ascii="Calibri" w:hAnsi="Calibri" w:eastAsia="宋体" w:cs="Times New Roman"/>
          <w:sz w:val="28"/>
          <w:szCs w:val="28"/>
          <w:highlight w:val="none"/>
        </w:rPr>
      </w:pPr>
      <w:r>
        <w:rPr>
          <w:rFonts w:hint="eastAsia" w:ascii="Calibri" w:hAnsi="Calibri" w:eastAsia="宋体" w:cs="Times New Roman"/>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比较与评价</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评标结果汇总完成后，评标委员会拟出具评审报告前，</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评标结果汇总完成后，除下列情形外，任何人不得修改评标结果：</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分值汇总计算错误的；</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分项评分超出评分标准范围的；</w:t>
      </w:r>
    </w:p>
    <w:p>
      <w:pPr>
        <w:numPr>
          <w:ilvl w:val="0"/>
          <w:numId w:val="38"/>
        </w:numPr>
        <w:tabs>
          <w:tab w:val="left" w:pos="851"/>
          <w:tab w:val="left" w:pos="1276"/>
          <w:tab w:val="left" w:pos="1560"/>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评标委员会成员对客观评审因素评分不一致的；</w:t>
      </w:r>
    </w:p>
    <w:p>
      <w:pPr>
        <w:numPr>
          <w:ilvl w:val="0"/>
          <w:numId w:val="38"/>
        </w:numPr>
        <w:tabs>
          <w:tab w:val="left" w:pos="851"/>
          <w:tab w:val="left" w:pos="1276"/>
        </w:tabs>
        <w:spacing w:line="560" w:lineRule="exact"/>
        <w:ind w:left="0" w:firstLine="426"/>
        <w:rPr>
          <w:rFonts w:ascii="宋体" w:hAnsi="宋体" w:eastAsia="宋体" w:cs="Times New Roman"/>
          <w:sz w:val="28"/>
          <w:szCs w:val="28"/>
          <w:highlight w:val="none"/>
        </w:rPr>
      </w:pPr>
      <w:r>
        <w:rPr>
          <w:rFonts w:hint="eastAsia" w:ascii="宋体" w:hAnsi="宋体" w:eastAsia="宋体" w:cs="Times New Roman"/>
          <w:sz w:val="28"/>
          <w:szCs w:val="28"/>
          <w:highlight w:val="none"/>
        </w:rPr>
        <w:t>经评标委员会认定评分畸高、畸低的。</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确定中标候选人名单</w:t>
      </w:r>
    </w:p>
    <w:p>
      <w:pPr>
        <w:tabs>
          <w:tab w:val="left" w:pos="7665"/>
        </w:tabs>
        <w:spacing w:line="360" w:lineRule="auto"/>
        <w:ind w:firstLine="560" w:firstLineChars="200"/>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1至3名中标候选人。综合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Helvetica" w:hAnsi="Helvetica" w:eastAsia="宋体" w:cs="Helvetica"/>
          <w:kern w:val="0"/>
          <w:sz w:val="28"/>
          <w:szCs w:val="28"/>
          <w:highlight w:val="none"/>
        </w:rPr>
        <w:t>。</w:t>
      </w:r>
    </w:p>
    <w:p>
      <w:pPr>
        <w:keepNext/>
        <w:keepLines/>
        <w:numPr>
          <w:ilvl w:val="2"/>
          <w:numId w:val="4"/>
        </w:numPr>
        <w:spacing w:before="240"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编写评标报告</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评标报告是评标委员会根据全体评标成员签字的原始评标记录和评标结果编写的报告，其主要内容包括：</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招标公告刊登的媒体名称、开标日期和地点；</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投标人名单和评标委员会成员名单；</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评标方法和标准；</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开标记录和评标情况及说明，包括投标无效投标人名单及原因；</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评标结果，确定的中标候选人名单或者经采购人委托直接确定的中标人；</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其他需要说明的情况，包括评标过程中投标人根据评标委员会要求进行的澄清、说明或者补正，评标委员会成员的更换等；</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3" w:name="_Toc429"/>
      <w:r>
        <w:rPr>
          <w:rFonts w:hint="eastAsia" w:ascii="宋体" w:hAnsi="宋体" w:eastAsia="宋体" w:cs="Times New Roman"/>
          <w:b/>
          <w:bCs/>
          <w:sz w:val="28"/>
          <w:szCs w:val="28"/>
          <w:highlight w:val="none"/>
        </w:rPr>
        <w:t>评标争议处理规则</w:t>
      </w:r>
      <w:bookmarkEnd w:id="173"/>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highlight w:val="none"/>
        </w:rPr>
        <w:t>持不同意见的评标委员会成员应当在评标报告上签署不同意见及理由，否则视为同意评标报告。</w:t>
      </w:r>
      <w:r>
        <w:rPr>
          <w:rFonts w:hint="eastAsia" w:ascii="宋体" w:hAnsi="宋体" w:eastAsia="宋体" w:cs="Times New Roman"/>
          <w:sz w:val="28"/>
          <w:szCs w:val="28"/>
          <w:highlight w:val="none"/>
        </w:rPr>
        <w:t>持不同意见的评标委员会成员认为认定过程和结果不符合法律法规或者招标文件规定的，应当及时向采购人或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书面反映。采购人或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4" w:name="_Toc3482"/>
      <w:r>
        <w:rPr>
          <w:rFonts w:hint="eastAsia" w:ascii="宋体" w:hAnsi="宋体" w:eastAsia="宋体" w:cs="Times New Roman"/>
          <w:b/>
          <w:bCs/>
          <w:sz w:val="28"/>
          <w:szCs w:val="28"/>
          <w:highlight w:val="none"/>
        </w:rPr>
        <w:t>评标细则及标准</w:t>
      </w:r>
      <w:bookmarkEnd w:id="174"/>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评标委员会只对通过初审的投标文件，根据招标文件的要求采用相同的评标程序、评分办法及标准进行评价和比较。</w:t>
      </w:r>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本次综合评分的因素是：价格、服务、商务等。</w:t>
      </w:r>
    </w:p>
    <w:p>
      <w:pPr>
        <w:numPr>
          <w:ilvl w:val="0"/>
          <w:numId w:val="40"/>
        </w:numPr>
        <w:tabs>
          <w:tab w:val="left" w:pos="1155"/>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评分办法</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评标得分＝（A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3</w:t>
      </w:r>
    </w:p>
    <w:p>
      <w:pPr>
        <w:widowControl/>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评委的打分，n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评委人数；B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分别为每个技术类评委（含采购人代表）的打分，n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技术类</w:t>
      </w:r>
      <w:r>
        <w:rPr>
          <w:rFonts w:hint="eastAsia" w:ascii="宋体" w:hAnsi="宋体" w:eastAsia="宋体" w:cs="Times New Roman"/>
          <w:sz w:val="28"/>
          <w:szCs w:val="28"/>
          <w:highlight w:val="none"/>
        </w:rPr>
        <w:t>评委（含采购人代表）人数；C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分别为评审委员会每个成员的打分，n</w:t>
      </w:r>
      <w:r>
        <w:rPr>
          <w:rFonts w:hint="eastAsia" w:ascii="宋体" w:hAnsi="宋体" w:eastAsia="宋体" w:cs="Times New Roman"/>
          <w:sz w:val="28"/>
          <w:szCs w:val="28"/>
          <w:highlight w:val="none"/>
          <w:vertAlign w:val="subscript"/>
        </w:rPr>
        <w:t>3</w:t>
      </w:r>
      <w:r>
        <w:rPr>
          <w:rFonts w:hint="eastAsia" w:ascii="宋体" w:hAnsi="宋体" w:eastAsia="宋体" w:cs="Times New Roman"/>
          <w:sz w:val="28"/>
          <w:szCs w:val="28"/>
          <w:highlight w:val="none"/>
        </w:rPr>
        <w:t>为评委人数。</w:t>
      </w:r>
    </w:p>
    <w:p>
      <w:pPr>
        <w:keepNext/>
        <w:keepLines/>
        <w:numPr>
          <w:ilvl w:val="2"/>
          <w:numId w:val="4"/>
        </w:numPr>
        <w:spacing w:line="360" w:lineRule="auto"/>
        <w:ind w:left="567" w:hanging="567"/>
        <w:outlineLvl w:val="2"/>
        <w:rPr>
          <w:highlight w:val="none"/>
        </w:rPr>
      </w:pPr>
      <w:r>
        <w:rPr>
          <w:rFonts w:hint="eastAsia" w:ascii="宋体" w:hAnsi="宋体" w:eastAsia="宋体" w:cs="Times New Roman"/>
          <w:b/>
          <w:bCs/>
          <w:sz w:val="28"/>
          <w:szCs w:val="28"/>
          <w:highlight w:val="none"/>
        </w:rPr>
        <w:t>评分标准</w:t>
      </w:r>
    </w:p>
    <w:tbl>
      <w:tblPr>
        <w:tblStyle w:val="13"/>
        <w:tblW w:w="8593" w:type="dxa"/>
        <w:jc w:val="center"/>
        <w:tblLayout w:type="fixed"/>
        <w:tblCellMar>
          <w:top w:w="0" w:type="dxa"/>
          <w:left w:w="0" w:type="dxa"/>
          <w:bottom w:w="0" w:type="dxa"/>
          <w:right w:w="0" w:type="dxa"/>
        </w:tblCellMar>
      </w:tblPr>
      <w:tblGrid>
        <w:gridCol w:w="1000"/>
        <w:gridCol w:w="1356"/>
        <w:gridCol w:w="5387"/>
        <w:gridCol w:w="850"/>
      </w:tblGrid>
      <w:tr>
        <w:tblPrEx>
          <w:tblCellMar>
            <w:top w:w="0" w:type="dxa"/>
            <w:left w:w="0" w:type="dxa"/>
            <w:bottom w:w="0" w:type="dxa"/>
            <w:right w:w="0" w:type="dxa"/>
          </w:tblCellMar>
        </w:tblPrEx>
        <w:trPr>
          <w:trHeight w:val="57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评委类别</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评审项目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评分标准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分值</w:t>
            </w:r>
          </w:p>
        </w:tc>
      </w:tr>
      <w:tr>
        <w:tblPrEx>
          <w:tblCellMar>
            <w:top w:w="0" w:type="dxa"/>
            <w:left w:w="0" w:type="dxa"/>
            <w:bottom w:w="0" w:type="dxa"/>
            <w:right w:w="0" w:type="dxa"/>
          </w:tblCellMar>
        </w:tblPrEx>
        <w:trPr>
          <w:trHeight w:val="9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rPr>
              <w:t>报价评审</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80" w:firstLineChars="200"/>
              <w:textAlignment w:val="center"/>
              <w:rPr>
                <w:rFonts w:hint="eastAsia" w:ascii="宋体" w:hAnsi="宋体" w:eastAsia="宋体" w:cs="仿宋"/>
                <w:kern w:val="0"/>
                <w:sz w:val="24"/>
                <w:szCs w:val="24"/>
                <w:highlight w:val="none"/>
              </w:rPr>
            </w:pPr>
            <w:r>
              <w:rPr>
                <w:rFonts w:hint="eastAsia" w:ascii="宋体" w:hAnsi="宋体" w:eastAsia="宋体" w:cs="仿宋"/>
                <w:kern w:val="0"/>
                <w:sz w:val="24"/>
                <w:szCs w:val="24"/>
                <w:highlight w:val="none"/>
              </w:rPr>
              <w:t>1、经评标委员会评审，通过资格性和符合性审查，且投标报价最低的投标人的投标报价作为评标基准价；</w:t>
            </w:r>
          </w:p>
          <w:p>
            <w:pPr>
              <w:ind w:firstLine="480" w:firstLineChars="200"/>
              <w:textAlignment w:val="center"/>
              <w:rPr>
                <w:rFonts w:hint="default" w:ascii="宋体" w:hAnsi="宋体" w:eastAsia="宋体" w:cs="仿宋"/>
                <w:sz w:val="24"/>
                <w:szCs w:val="24"/>
                <w:highlight w:val="none"/>
                <w:lang w:val="en-US" w:eastAsia="zh-CN"/>
              </w:rPr>
            </w:pPr>
            <w:r>
              <w:rPr>
                <w:rFonts w:ascii="宋体" w:hAnsi="宋体" w:eastAsia="宋体" w:cs="仿宋"/>
                <w:kern w:val="0"/>
                <w:sz w:val="24"/>
                <w:szCs w:val="24"/>
                <w:highlight w:val="none"/>
              </w:rPr>
              <w:t>2</w:t>
            </w:r>
            <w:r>
              <w:rPr>
                <w:rFonts w:hint="eastAsia" w:ascii="宋体" w:hAnsi="宋体" w:eastAsia="宋体" w:cs="仿宋"/>
                <w:kern w:val="0"/>
                <w:sz w:val="24"/>
                <w:szCs w:val="24"/>
                <w:highlight w:val="none"/>
              </w:rPr>
              <w:t>、投标报价得分=(评标基准价／投标报价)×</w:t>
            </w:r>
            <w:r>
              <w:rPr>
                <w:rFonts w:hint="eastAsia" w:ascii="宋体" w:hAnsi="宋体" w:eastAsia="宋体" w:cs="仿宋"/>
                <w:kern w:val="0"/>
                <w:sz w:val="24"/>
                <w:szCs w:val="24"/>
                <w:highlight w:val="none"/>
                <w:lang w:val="en-US" w:eastAsia="zh-CN"/>
              </w:rPr>
              <w:t>35。</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lang w:val="en-US" w:eastAsia="zh-CN"/>
              </w:rPr>
              <w:t>35</w:t>
            </w:r>
            <w:r>
              <w:rPr>
                <w:rFonts w:hint="eastAsia" w:ascii="宋体" w:hAnsi="宋体" w:eastAsia="宋体" w:cs="仿宋"/>
                <w:kern w:val="0"/>
                <w:sz w:val="24"/>
                <w:szCs w:val="24"/>
                <w:highlight w:val="none"/>
              </w:rPr>
              <w:t>分</w:t>
            </w:r>
          </w:p>
        </w:tc>
      </w:tr>
      <w:tr>
        <w:tblPrEx>
          <w:tblCellMar>
            <w:top w:w="0" w:type="dxa"/>
            <w:left w:w="0" w:type="dxa"/>
            <w:bottom w:w="0" w:type="dxa"/>
            <w:right w:w="0" w:type="dxa"/>
          </w:tblCellMar>
        </w:tblPrEx>
        <w:trPr>
          <w:trHeight w:val="1659" w:hRule="atLeast"/>
          <w:jc w:val="center"/>
        </w:trPr>
        <w:tc>
          <w:tcPr>
            <w:tcW w:w="100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rPr>
              <w:t>投标人业绩</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80" w:firstLineChars="200"/>
              <w:jc w:val="left"/>
              <w:rPr>
                <w:rFonts w:ascii="宋体" w:hAnsi="宋体" w:eastAsia="宋体" w:cs="Times New Roman"/>
                <w:sz w:val="24"/>
                <w:szCs w:val="28"/>
                <w:highlight w:val="none"/>
              </w:rPr>
            </w:pPr>
            <w:r>
              <w:rPr>
                <w:rFonts w:hint="eastAsia" w:ascii="宋体" w:hAnsi="宋体" w:eastAsia="宋体" w:cs="Times New Roman"/>
                <w:sz w:val="24"/>
                <w:szCs w:val="28"/>
                <w:highlight w:val="none"/>
              </w:rPr>
              <w:t>投标人提供2018年1月1日以来的类似项目业绩，每有1个项目业绩得1分，最多得5分。【说明：1.类似项目是指“物业服务”项目。2.提供中标（成交）通知书或合同复印件并加盖投标人公章3、同一项目业绩不累计计算。】</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highlight w:val="none"/>
              </w:rPr>
            </w:pPr>
            <w:r>
              <w:rPr>
                <w:rFonts w:hint="eastAsia" w:ascii="宋体" w:hAnsi="宋体" w:eastAsia="宋体" w:cs="仿宋"/>
                <w:kern w:val="0"/>
                <w:sz w:val="24"/>
                <w:szCs w:val="24"/>
                <w:highlight w:val="none"/>
                <w:lang w:val="en-US" w:eastAsia="zh-CN"/>
              </w:rPr>
              <w:t>5</w:t>
            </w:r>
            <w:r>
              <w:rPr>
                <w:rFonts w:hint="eastAsia" w:ascii="宋体" w:hAnsi="宋体" w:eastAsia="宋体" w:cs="仿宋"/>
                <w:kern w:val="0"/>
                <w:sz w:val="24"/>
                <w:szCs w:val="24"/>
                <w:highlight w:val="none"/>
              </w:rPr>
              <w:t>分</w:t>
            </w:r>
          </w:p>
        </w:tc>
      </w:tr>
      <w:tr>
        <w:tblPrEx>
          <w:tblCellMar>
            <w:top w:w="0" w:type="dxa"/>
            <w:left w:w="0" w:type="dxa"/>
            <w:bottom w:w="0" w:type="dxa"/>
            <w:right w:w="0" w:type="dxa"/>
          </w:tblCellMar>
        </w:tblPrEx>
        <w:trPr>
          <w:trHeight w:val="7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rPr>
              <w:t>证书要求</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left="0" w:leftChars="0" w:firstLine="420" w:firstLineChars="175"/>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1、</w:t>
            </w:r>
            <w:r>
              <w:rPr>
                <w:rFonts w:hint="eastAsia" w:ascii="宋体" w:hAnsi="宋体" w:eastAsia="宋体" w:cs="Times New Roman"/>
                <w:sz w:val="24"/>
                <w:szCs w:val="28"/>
                <w:highlight w:val="none"/>
                <w:lang w:eastAsia="zh-CN"/>
              </w:rPr>
              <w:t>投标人</w:t>
            </w:r>
            <w:r>
              <w:rPr>
                <w:rFonts w:hint="eastAsia" w:ascii="宋体" w:hAnsi="宋体" w:eastAsia="宋体" w:cs="Times New Roman"/>
                <w:sz w:val="24"/>
                <w:szCs w:val="28"/>
                <w:highlight w:val="none"/>
              </w:rPr>
              <w:t>具有有效期内的质量管理体系认证证书得2分</w:t>
            </w:r>
            <w:r>
              <w:rPr>
                <w:rFonts w:hint="eastAsia" w:ascii="宋体" w:hAnsi="宋体" w:eastAsia="宋体" w:cs="Times New Roman"/>
                <w:sz w:val="24"/>
                <w:szCs w:val="28"/>
                <w:highlight w:val="none"/>
                <w:lang w:eastAsia="zh-CN"/>
              </w:rPr>
              <w:t>；</w:t>
            </w:r>
          </w:p>
          <w:p>
            <w:pPr>
              <w:ind w:left="0" w:leftChars="0" w:firstLine="420" w:firstLineChars="175"/>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2、</w:t>
            </w:r>
            <w:r>
              <w:rPr>
                <w:rFonts w:hint="eastAsia" w:ascii="宋体" w:hAnsi="宋体" w:eastAsia="宋体" w:cs="Times New Roman"/>
                <w:sz w:val="24"/>
                <w:szCs w:val="28"/>
                <w:highlight w:val="none"/>
              </w:rPr>
              <w:t>投标人具有有效期内的环境管理体系认证证书的得2分</w:t>
            </w:r>
            <w:r>
              <w:rPr>
                <w:rFonts w:hint="eastAsia" w:ascii="宋体" w:hAnsi="宋体" w:eastAsia="宋体" w:cs="Times New Roman"/>
                <w:sz w:val="24"/>
                <w:szCs w:val="28"/>
                <w:highlight w:val="none"/>
                <w:lang w:eastAsia="zh-CN"/>
              </w:rPr>
              <w:t>；</w:t>
            </w:r>
          </w:p>
          <w:p>
            <w:pPr>
              <w:ind w:left="0" w:leftChars="0" w:firstLine="420" w:firstLineChars="175"/>
              <w:jc w:val="left"/>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3、</w:t>
            </w:r>
            <w:r>
              <w:rPr>
                <w:rFonts w:hint="eastAsia" w:ascii="宋体" w:hAnsi="宋体" w:eastAsia="宋体" w:cs="Times New Roman"/>
                <w:sz w:val="24"/>
                <w:szCs w:val="28"/>
                <w:highlight w:val="none"/>
              </w:rPr>
              <w:t>投标人具有有效期内的职业健康安全管理体系认证证书的得2分</w:t>
            </w:r>
            <w:r>
              <w:rPr>
                <w:rFonts w:hint="eastAsia" w:ascii="宋体" w:hAnsi="宋体" w:eastAsia="宋体" w:cs="Times New Roman"/>
                <w:sz w:val="24"/>
                <w:szCs w:val="28"/>
                <w:highlight w:val="none"/>
                <w:lang w:eastAsia="zh-CN"/>
              </w:rPr>
              <w:t>。</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rPr>
              <w:t>（说明：提供有效证书复印件加盖投标人公章。）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highlight w:val="none"/>
              </w:rPr>
            </w:pPr>
            <w:r>
              <w:rPr>
                <w:rFonts w:hint="eastAsia" w:ascii="宋体" w:hAnsi="宋体" w:eastAsia="宋体" w:cs="仿宋"/>
                <w:kern w:val="0"/>
                <w:sz w:val="24"/>
                <w:szCs w:val="24"/>
                <w:highlight w:val="none"/>
                <w:lang w:val="en-US" w:eastAsia="zh-CN"/>
              </w:rPr>
              <w:t>6</w:t>
            </w:r>
            <w:r>
              <w:rPr>
                <w:rFonts w:hint="eastAsia" w:ascii="宋体" w:hAnsi="宋体" w:eastAsia="宋体" w:cs="仿宋"/>
                <w:kern w:val="0"/>
                <w:sz w:val="24"/>
                <w:szCs w:val="24"/>
                <w:highlight w:val="none"/>
              </w:rPr>
              <w:t>分</w:t>
            </w:r>
          </w:p>
        </w:tc>
      </w:tr>
      <w:tr>
        <w:tblPrEx>
          <w:tblCellMar>
            <w:top w:w="0" w:type="dxa"/>
            <w:left w:w="0" w:type="dxa"/>
            <w:bottom w:w="0" w:type="dxa"/>
            <w:right w:w="0" w:type="dxa"/>
          </w:tblCellMar>
        </w:tblPrEx>
        <w:trPr>
          <w:trHeight w:val="13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highlight w:val="none"/>
              </w:rPr>
            </w:pPr>
            <w:r>
              <w:rPr>
                <w:rFonts w:hint="eastAsia" w:ascii="宋体" w:hAnsi="宋体" w:eastAsia="宋体" w:cs="仿宋"/>
                <w:kern w:val="0"/>
                <w:sz w:val="24"/>
                <w:szCs w:val="24"/>
                <w:highlight w:val="none"/>
              </w:rPr>
              <w:t>人员配置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80" w:firstLineChars="200"/>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拟派秩序维护人员中具有保安员证的每有一个得0.5分，此项最多得2分。</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rPr>
              <w:t>（同一人员不重复得分。提供人员相关证书复印件并加盖投标人公章。）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highlight w:val="none"/>
              </w:rPr>
            </w:pPr>
            <w:r>
              <w:rPr>
                <w:rFonts w:hint="eastAsia" w:ascii="宋体" w:hAnsi="宋体" w:eastAsia="宋体" w:cs="仿宋"/>
                <w:kern w:val="0"/>
                <w:sz w:val="24"/>
                <w:szCs w:val="24"/>
                <w:highlight w:val="none"/>
                <w:lang w:val="en-US" w:eastAsia="zh-CN"/>
              </w:rPr>
              <w:t>2</w:t>
            </w:r>
            <w:r>
              <w:rPr>
                <w:rFonts w:hint="eastAsia" w:ascii="宋体" w:hAnsi="宋体" w:eastAsia="宋体" w:cs="仿宋"/>
                <w:kern w:val="0"/>
                <w:sz w:val="24"/>
                <w:szCs w:val="24"/>
                <w:highlight w:val="none"/>
              </w:rPr>
              <w:t>分</w:t>
            </w:r>
          </w:p>
        </w:tc>
      </w:tr>
      <w:tr>
        <w:tblPrEx>
          <w:tblCellMar>
            <w:top w:w="0" w:type="dxa"/>
            <w:left w:w="0" w:type="dxa"/>
            <w:bottom w:w="0" w:type="dxa"/>
            <w:right w:w="0" w:type="dxa"/>
          </w:tblCellMar>
        </w:tblPrEx>
        <w:trPr>
          <w:trHeight w:val="401" w:hRule="atLeast"/>
          <w:jc w:val="center"/>
        </w:trPr>
        <w:tc>
          <w:tcPr>
            <w:tcW w:w="1000"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sz w:val="24"/>
                <w:szCs w:val="24"/>
                <w:highlight w:val="none"/>
              </w:rPr>
            </w:pPr>
            <w:r>
              <w:rPr>
                <w:rFonts w:hint="eastAsia" w:ascii="宋体" w:hAnsi="宋体" w:eastAsia="宋体" w:cs="仿宋"/>
                <w:b/>
                <w:kern w:val="0"/>
                <w:sz w:val="24"/>
                <w:szCs w:val="24"/>
                <w:highlight w:val="none"/>
              </w:rPr>
              <w:t>技术类评委</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default" w:ascii="宋体" w:hAnsi="宋体" w:eastAsia="宋体" w:cs="仿宋"/>
                <w:kern w:val="0"/>
                <w:sz w:val="24"/>
                <w:szCs w:val="24"/>
                <w:highlight w:val="none"/>
              </w:rPr>
              <w:t>整体管理理念及目标</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根据投标人提供的针对本项目提出的整体管理理念及目标进行</w:t>
            </w:r>
            <w:r>
              <w:rPr>
                <w:rFonts w:hint="eastAsia" w:ascii="宋体" w:hAnsi="宋体" w:eastAsia="宋体" w:cs="Times New Roman"/>
                <w:sz w:val="24"/>
                <w:szCs w:val="28"/>
                <w:highlight w:val="none"/>
                <w:lang w:eastAsia="zh-CN"/>
              </w:rPr>
              <w:t>评分</w:t>
            </w:r>
            <w:r>
              <w:rPr>
                <w:rFonts w:hint="eastAsia" w:ascii="宋体" w:hAnsi="宋体" w:eastAsia="宋体" w:cs="Times New Roman"/>
                <w:sz w:val="24"/>
                <w:szCs w:val="28"/>
                <w:highlight w:val="none"/>
              </w:rPr>
              <w:t>：</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①项目现场考察；</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②与采购人沟通协调；</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③本项目重点难点分析；</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④本物业使用性质特点。</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rPr>
              <w:t>以上四个方面要素，每具备一个要素且符合招标文件采购需求的，得</w:t>
            </w:r>
            <w:r>
              <w:rPr>
                <w:rFonts w:hint="eastAsia" w:ascii="宋体" w:hAnsi="宋体" w:eastAsia="宋体" w:cs="Times New Roman"/>
                <w:sz w:val="24"/>
                <w:szCs w:val="28"/>
                <w:highlight w:val="none"/>
                <w:lang w:val="en-US" w:eastAsia="zh-CN"/>
              </w:rPr>
              <w:t>2</w:t>
            </w:r>
            <w:r>
              <w:rPr>
                <w:rFonts w:hint="eastAsia" w:ascii="宋体" w:hAnsi="宋体" w:eastAsia="宋体" w:cs="Times New Roman"/>
                <w:sz w:val="24"/>
                <w:szCs w:val="28"/>
                <w:highlight w:val="none"/>
              </w:rPr>
              <w:t>分，最多得</w:t>
            </w:r>
            <w:r>
              <w:rPr>
                <w:rFonts w:hint="eastAsia" w:ascii="宋体" w:hAnsi="宋体" w:eastAsia="宋体" w:cs="Times New Roman"/>
                <w:sz w:val="24"/>
                <w:szCs w:val="28"/>
                <w:highlight w:val="none"/>
                <w:lang w:val="en-US" w:eastAsia="zh-CN"/>
              </w:rPr>
              <w:t>8</w:t>
            </w:r>
            <w:r>
              <w:rPr>
                <w:rFonts w:hint="eastAsia" w:ascii="宋体" w:hAnsi="宋体" w:eastAsia="宋体" w:cs="Times New Roman"/>
                <w:sz w:val="24"/>
                <w:szCs w:val="28"/>
                <w:highlight w:val="none"/>
              </w:rPr>
              <w:t>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highlight w:val="none"/>
              </w:rPr>
            </w:pPr>
            <w:r>
              <w:rPr>
                <w:rFonts w:hint="eastAsia" w:ascii="宋体" w:hAnsi="宋体" w:eastAsia="宋体" w:cs="仿宋"/>
                <w:kern w:val="0"/>
                <w:sz w:val="24"/>
                <w:szCs w:val="24"/>
                <w:highlight w:val="none"/>
                <w:lang w:val="en-US" w:eastAsia="zh-CN"/>
              </w:rPr>
              <w:t>8</w:t>
            </w:r>
            <w:r>
              <w:rPr>
                <w:rFonts w:hint="eastAsia" w:ascii="宋体" w:hAnsi="宋体" w:eastAsia="宋体" w:cs="仿宋"/>
                <w:kern w:val="0"/>
                <w:sz w:val="24"/>
                <w:szCs w:val="24"/>
                <w:highlight w:val="none"/>
              </w:rPr>
              <w:t>分</w:t>
            </w:r>
          </w:p>
        </w:tc>
      </w:tr>
      <w:tr>
        <w:tblPrEx>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default" w:ascii="宋体" w:hAnsi="宋体" w:eastAsia="宋体" w:cs="仿宋"/>
                <w:kern w:val="0"/>
                <w:sz w:val="24"/>
                <w:szCs w:val="24"/>
                <w:highlight w:val="none"/>
              </w:rPr>
              <w:t>项目管理机构运作方法及管理制度</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根据投标人提供的针对本项目编制的项目管理机构运作方法及管理制度进行评分：</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①项目管理机构；</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②工作职能组织运行图；</w:t>
            </w:r>
          </w:p>
          <w:p>
            <w:pPr>
              <w:jc w:val="left"/>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rPr>
              <w:t>③阐述内部管理的职责分工</w:t>
            </w:r>
            <w:r>
              <w:rPr>
                <w:rFonts w:hint="eastAsia" w:ascii="宋体" w:hAnsi="宋体" w:eastAsia="宋体" w:cs="Times New Roman"/>
                <w:sz w:val="24"/>
                <w:szCs w:val="28"/>
                <w:highlight w:val="none"/>
                <w:lang w:eastAsia="zh-CN"/>
              </w:rPr>
              <w:t>；</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④日常管理制度。</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rPr>
              <w:t>以上四个方面要素，每具备一个要素且符合招标文件采购需求的，得2分，最多得8分。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仿宋"/>
                <w:kern w:val="0"/>
                <w:sz w:val="24"/>
                <w:szCs w:val="24"/>
                <w:highlight w:val="none"/>
              </w:rPr>
            </w:pPr>
            <w:r>
              <w:rPr>
                <w:rFonts w:hint="eastAsia" w:ascii="宋体" w:hAnsi="宋体" w:eastAsia="宋体" w:cs="仿宋"/>
                <w:kern w:val="0"/>
                <w:sz w:val="24"/>
                <w:szCs w:val="24"/>
                <w:highlight w:val="none"/>
                <w:lang w:val="en-US" w:eastAsia="zh-CN"/>
              </w:rPr>
              <w:t>8</w:t>
            </w:r>
            <w:r>
              <w:rPr>
                <w:rFonts w:hint="eastAsia" w:ascii="宋体" w:hAnsi="宋体" w:eastAsia="宋体" w:cs="仿宋"/>
                <w:kern w:val="0"/>
                <w:sz w:val="24"/>
                <w:szCs w:val="24"/>
                <w:highlight w:val="none"/>
              </w:rPr>
              <w:t>分</w:t>
            </w:r>
          </w:p>
        </w:tc>
      </w:tr>
      <w:tr>
        <w:tblPrEx>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default" w:ascii="宋体" w:hAnsi="宋体" w:eastAsia="宋体" w:cs="仿宋"/>
                <w:kern w:val="0"/>
                <w:sz w:val="24"/>
                <w:szCs w:val="24"/>
                <w:highlight w:val="none"/>
              </w:rPr>
              <w:t>秩序维护服务方案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根据投标人提供的秩序维护服务方案进行评分：</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①门卫管理；</w:t>
            </w:r>
          </w:p>
          <w:p>
            <w:pPr>
              <w:jc w:val="left"/>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rPr>
              <w:t>②人员交接班</w:t>
            </w:r>
            <w:r>
              <w:rPr>
                <w:rFonts w:hint="eastAsia" w:ascii="宋体" w:hAnsi="宋体" w:eastAsia="宋体" w:cs="Times New Roman"/>
                <w:sz w:val="24"/>
                <w:szCs w:val="28"/>
                <w:highlight w:val="none"/>
                <w:lang w:eastAsia="zh-CN"/>
              </w:rPr>
              <w:t>；</w:t>
            </w:r>
          </w:p>
          <w:p>
            <w:pPr>
              <w:jc w:val="left"/>
              <w:rPr>
                <w:rFonts w:hint="eastAsia" w:ascii="宋体" w:hAnsi="宋体" w:eastAsia="宋体" w:cs="Times New Roman"/>
                <w:sz w:val="24"/>
                <w:szCs w:val="28"/>
                <w:highlight w:val="none"/>
                <w:lang w:eastAsia="zh-CN"/>
              </w:rPr>
            </w:pPr>
            <w:r>
              <w:rPr>
                <w:rFonts w:hint="eastAsia" w:ascii="宋体" w:hAnsi="宋体" w:eastAsia="宋体" w:cs="宋体"/>
                <w:sz w:val="24"/>
                <w:szCs w:val="28"/>
                <w:highlight w:val="none"/>
                <w:lang w:eastAsia="zh-CN"/>
              </w:rPr>
              <w:t>③</w:t>
            </w:r>
            <w:r>
              <w:rPr>
                <w:rFonts w:hint="eastAsia" w:ascii="宋体" w:hAnsi="宋体" w:eastAsia="宋体" w:cs="Times New Roman"/>
                <w:sz w:val="24"/>
                <w:szCs w:val="28"/>
                <w:highlight w:val="none"/>
                <w:lang w:eastAsia="zh-CN"/>
              </w:rPr>
              <w:t>夜班巡查；</w:t>
            </w:r>
          </w:p>
          <w:p>
            <w:pPr>
              <w:jc w:val="left"/>
              <w:rPr>
                <w:rFonts w:hint="eastAsia" w:ascii="宋体" w:hAnsi="宋体" w:eastAsia="宋体" w:cs="Times New Roman"/>
                <w:sz w:val="24"/>
                <w:szCs w:val="28"/>
                <w:highlight w:val="none"/>
              </w:rPr>
            </w:pPr>
            <w:r>
              <w:rPr>
                <w:rFonts w:hint="eastAsia" w:ascii="宋体" w:hAnsi="宋体" w:eastAsia="宋体" w:cs="宋体"/>
                <w:sz w:val="24"/>
                <w:szCs w:val="28"/>
                <w:highlight w:val="none"/>
              </w:rPr>
              <w:t>④</w:t>
            </w:r>
            <w:r>
              <w:rPr>
                <w:rFonts w:hint="eastAsia" w:ascii="宋体" w:hAnsi="宋体" w:eastAsia="宋体" w:cs="宋体"/>
                <w:sz w:val="24"/>
                <w:szCs w:val="28"/>
                <w:highlight w:val="none"/>
                <w:lang w:eastAsia="zh-CN"/>
              </w:rPr>
              <w:t>交通秩序维护</w:t>
            </w:r>
            <w:r>
              <w:rPr>
                <w:rFonts w:hint="eastAsia" w:ascii="宋体" w:hAnsi="宋体" w:eastAsia="宋体" w:cs="Times New Roman"/>
                <w:sz w:val="24"/>
                <w:szCs w:val="28"/>
                <w:highlight w:val="none"/>
              </w:rPr>
              <w:t>。</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lang w:eastAsia="zh-CN"/>
              </w:rPr>
              <w:t>以上四</w:t>
            </w:r>
            <w:r>
              <w:rPr>
                <w:rFonts w:hint="eastAsia" w:ascii="宋体" w:hAnsi="宋体" w:eastAsia="宋体" w:cs="Times New Roman"/>
                <w:sz w:val="24"/>
                <w:szCs w:val="28"/>
                <w:highlight w:val="none"/>
              </w:rPr>
              <w:t>个方面要素，每具备一个要素且符合招标文件采购需求的，</w:t>
            </w:r>
            <w:r>
              <w:rPr>
                <w:rFonts w:hint="eastAsia" w:ascii="宋体" w:hAnsi="宋体" w:eastAsia="宋体" w:cs="Times New Roman"/>
                <w:sz w:val="24"/>
                <w:szCs w:val="28"/>
                <w:highlight w:val="none"/>
                <w:lang w:eastAsia="zh-CN"/>
              </w:rPr>
              <w:t>得</w:t>
            </w:r>
            <w:r>
              <w:rPr>
                <w:rFonts w:hint="eastAsia" w:ascii="宋体" w:hAnsi="宋体" w:eastAsia="宋体" w:cs="Times New Roman"/>
                <w:sz w:val="24"/>
                <w:szCs w:val="28"/>
                <w:highlight w:val="none"/>
                <w:lang w:val="en-US" w:eastAsia="zh-CN"/>
              </w:rPr>
              <w:t>2</w:t>
            </w:r>
            <w:r>
              <w:rPr>
                <w:rFonts w:hint="eastAsia" w:ascii="宋体" w:hAnsi="宋体" w:eastAsia="宋体" w:cs="Times New Roman"/>
                <w:sz w:val="24"/>
                <w:szCs w:val="28"/>
                <w:highlight w:val="none"/>
              </w:rPr>
              <w:t>分，最多</w:t>
            </w:r>
            <w:r>
              <w:rPr>
                <w:rFonts w:hint="eastAsia" w:ascii="宋体" w:hAnsi="宋体" w:eastAsia="宋体" w:cs="Times New Roman"/>
                <w:sz w:val="24"/>
                <w:szCs w:val="28"/>
                <w:highlight w:val="none"/>
                <w:lang w:eastAsia="zh-CN"/>
              </w:rPr>
              <w:t>得</w:t>
            </w:r>
            <w:r>
              <w:rPr>
                <w:rFonts w:hint="eastAsia" w:ascii="宋体" w:hAnsi="宋体" w:eastAsia="宋体" w:cs="Times New Roman"/>
                <w:sz w:val="24"/>
                <w:szCs w:val="28"/>
                <w:highlight w:val="none"/>
                <w:lang w:val="en-US" w:eastAsia="zh-CN"/>
              </w:rPr>
              <w:t>8</w:t>
            </w:r>
            <w:r>
              <w:rPr>
                <w:rFonts w:hint="eastAsia" w:ascii="宋体" w:hAnsi="宋体" w:eastAsia="宋体" w:cs="Times New Roman"/>
                <w:sz w:val="24"/>
                <w:szCs w:val="28"/>
                <w:highlight w:val="none"/>
              </w:rPr>
              <w:t>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highlight w:val="none"/>
                <w:lang w:val="en-US" w:eastAsia="zh-CN"/>
              </w:rPr>
            </w:pPr>
            <w:r>
              <w:rPr>
                <w:rFonts w:hint="eastAsia" w:ascii="宋体" w:hAnsi="宋体" w:eastAsia="宋体" w:cs="仿宋"/>
                <w:kern w:val="0"/>
                <w:sz w:val="24"/>
                <w:szCs w:val="24"/>
                <w:highlight w:val="none"/>
                <w:lang w:val="en-US" w:eastAsia="zh-CN"/>
              </w:rPr>
              <w:t>8分</w:t>
            </w:r>
          </w:p>
        </w:tc>
      </w:tr>
      <w:tr>
        <w:tblPrEx>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eastAsia" w:ascii="宋体" w:hAnsi="宋体" w:eastAsia="宋体" w:cs="仿宋"/>
                <w:kern w:val="0"/>
                <w:sz w:val="24"/>
                <w:szCs w:val="24"/>
                <w:highlight w:val="none"/>
              </w:rPr>
              <w:t>清洁服务方案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根据投标人提供的清洁服务方案进行评分：</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①作业流程；</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②人员点位区域划分及配置；</w:t>
            </w:r>
          </w:p>
          <w:p>
            <w:pPr>
              <w:jc w:val="left"/>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rPr>
              <w:t>③消毒和灭虫除害</w:t>
            </w:r>
            <w:r>
              <w:rPr>
                <w:rFonts w:hint="eastAsia" w:ascii="宋体" w:hAnsi="宋体" w:eastAsia="宋体" w:cs="Times New Roman"/>
                <w:sz w:val="24"/>
                <w:szCs w:val="28"/>
                <w:highlight w:val="none"/>
                <w:lang w:eastAsia="zh-CN"/>
              </w:rPr>
              <w:t>；</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④清洁服务作业方案。</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lang w:eastAsia="zh-CN"/>
              </w:rPr>
              <w:t>以上四</w:t>
            </w:r>
            <w:r>
              <w:rPr>
                <w:rFonts w:hint="eastAsia" w:ascii="宋体" w:hAnsi="宋体" w:eastAsia="宋体" w:cs="Times New Roman"/>
                <w:sz w:val="24"/>
                <w:szCs w:val="28"/>
                <w:highlight w:val="none"/>
              </w:rPr>
              <w:t>个方面要素，每具备一个要素且符合招标文件采购需求的，得</w:t>
            </w:r>
            <w:r>
              <w:rPr>
                <w:rFonts w:hint="eastAsia" w:ascii="宋体" w:hAnsi="宋体" w:eastAsia="宋体" w:cs="Times New Roman"/>
                <w:sz w:val="24"/>
                <w:szCs w:val="28"/>
                <w:highlight w:val="none"/>
                <w:lang w:val="en-US" w:eastAsia="zh-CN"/>
              </w:rPr>
              <w:t>2</w:t>
            </w:r>
            <w:r>
              <w:rPr>
                <w:rFonts w:hint="eastAsia" w:ascii="宋体" w:hAnsi="宋体" w:eastAsia="宋体" w:cs="Times New Roman"/>
                <w:sz w:val="24"/>
                <w:szCs w:val="28"/>
                <w:highlight w:val="none"/>
              </w:rPr>
              <w:t>分，最多得</w:t>
            </w:r>
            <w:r>
              <w:rPr>
                <w:rFonts w:hint="eastAsia" w:ascii="宋体" w:hAnsi="宋体" w:eastAsia="宋体" w:cs="Times New Roman"/>
                <w:sz w:val="24"/>
                <w:szCs w:val="28"/>
                <w:highlight w:val="none"/>
                <w:lang w:val="en-US" w:eastAsia="zh-CN"/>
              </w:rPr>
              <w:t>8</w:t>
            </w:r>
            <w:r>
              <w:rPr>
                <w:rFonts w:hint="eastAsia" w:ascii="宋体" w:hAnsi="宋体" w:eastAsia="宋体" w:cs="Times New Roman"/>
                <w:sz w:val="24"/>
                <w:szCs w:val="28"/>
                <w:highlight w:val="none"/>
              </w:rPr>
              <w:t>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highlight w:val="none"/>
                <w:lang w:val="en-US" w:eastAsia="zh-CN"/>
              </w:rPr>
            </w:pPr>
            <w:r>
              <w:rPr>
                <w:rFonts w:hint="eastAsia" w:ascii="宋体" w:hAnsi="宋体" w:eastAsia="宋体" w:cs="仿宋"/>
                <w:kern w:val="0"/>
                <w:sz w:val="24"/>
                <w:szCs w:val="24"/>
                <w:highlight w:val="none"/>
                <w:lang w:val="en-US" w:eastAsia="zh-CN"/>
              </w:rPr>
              <w:t>8分</w:t>
            </w:r>
          </w:p>
        </w:tc>
      </w:tr>
      <w:tr>
        <w:tblPrEx>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highlight w:val="none"/>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eastAsia" w:ascii="宋体" w:hAnsi="宋体" w:eastAsia="宋体" w:cs="仿宋"/>
                <w:kern w:val="0"/>
                <w:sz w:val="24"/>
                <w:szCs w:val="24"/>
                <w:highlight w:val="none"/>
              </w:rPr>
              <w:t>消防、监控管理服务方案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根据投标人提供的消防、监控管理服务方案进行评分：</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①消防、监控作业流程；</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②消防、监控设施设备巡检时间及管理措施；</w:t>
            </w:r>
          </w:p>
          <w:p>
            <w:pPr>
              <w:jc w:val="left"/>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③消防、监控设施设备维修养护服务方案。</w:t>
            </w:r>
          </w:p>
          <w:p>
            <w:pPr>
              <w:jc w:val="left"/>
              <w:rPr>
                <w:rFonts w:ascii="宋体" w:hAnsi="宋体" w:eastAsia="宋体" w:cs="Times New Roman"/>
                <w:sz w:val="24"/>
                <w:szCs w:val="28"/>
                <w:highlight w:val="none"/>
              </w:rPr>
            </w:pPr>
            <w:r>
              <w:rPr>
                <w:rFonts w:hint="eastAsia" w:ascii="宋体" w:hAnsi="宋体" w:eastAsia="宋体" w:cs="Times New Roman"/>
                <w:sz w:val="24"/>
                <w:szCs w:val="28"/>
                <w:highlight w:val="none"/>
                <w:lang w:eastAsia="zh-CN"/>
              </w:rPr>
              <w:t>以上三</w:t>
            </w:r>
            <w:r>
              <w:rPr>
                <w:rFonts w:hint="eastAsia" w:ascii="宋体" w:hAnsi="宋体" w:eastAsia="宋体" w:cs="Times New Roman"/>
                <w:sz w:val="24"/>
                <w:szCs w:val="28"/>
                <w:highlight w:val="none"/>
              </w:rPr>
              <w:t>个方面要素，每具备一个要素且符合招标文件采购需求的，得</w:t>
            </w:r>
            <w:r>
              <w:rPr>
                <w:rFonts w:hint="eastAsia" w:ascii="宋体" w:hAnsi="宋体" w:eastAsia="宋体" w:cs="Times New Roman"/>
                <w:sz w:val="24"/>
                <w:szCs w:val="28"/>
                <w:highlight w:val="none"/>
                <w:lang w:val="en-US" w:eastAsia="zh-CN"/>
              </w:rPr>
              <w:t>2</w:t>
            </w:r>
            <w:r>
              <w:rPr>
                <w:rFonts w:hint="eastAsia" w:ascii="宋体" w:hAnsi="宋体" w:eastAsia="宋体" w:cs="Times New Roman"/>
                <w:sz w:val="24"/>
                <w:szCs w:val="28"/>
                <w:highlight w:val="none"/>
              </w:rPr>
              <w:t>分，最多得</w:t>
            </w:r>
            <w:r>
              <w:rPr>
                <w:rFonts w:hint="eastAsia" w:ascii="宋体" w:hAnsi="宋体" w:eastAsia="宋体" w:cs="Times New Roman"/>
                <w:sz w:val="24"/>
                <w:szCs w:val="28"/>
                <w:highlight w:val="none"/>
                <w:lang w:val="en-US" w:eastAsia="zh-CN"/>
              </w:rPr>
              <w:t>6</w:t>
            </w:r>
            <w:r>
              <w:rPr>
                <w:rFonts w:hint="eastAsia" w:ascii="宋体" w:hAnsi="宋体" w:eastAsia="宋体" w:cs="Times New Roman"/>
                <w:sz w:val="24"/>
                <w:szCs w:val="28"/>
                <w:highlight w:val="none"/>
              </w:rPr>
              <w:t>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highlight w:val="none"/>
                <w:lang w:val="en-US" w:eastAsia="zh-CN"/>
              </w:rPr>
            </w:pPr>
            <w:r>
              <w:rPr>
                <w:rFonts w:hint="eastAsia" w:ascii="宋体" w:hAnsi="宋体" w:eastAsia="宋体" w:cs="仿宋"/>
                <w:kern w:val="0"/>
                <w:sz w:val="24"/>
                <w:szCs w:val="24"/>
                <w:highlight w:val="none"/>
                <w:lang w:val="en-US" w:eastAsia="zh-CN"/>
              </w:rPr>
              <w:t>6分</w:t>
            </w:r>
          </w:p>
        </w:tc>
      </w:tr>
      <w:tr>
        <w:tblPrEx>
          <w:tblCellMar>
            <w:top w:w="0" w:type="dxa"/>
            <w:left w:w="0" w:type="dxa"/>
            <w:bottom w:w="0" w:type="dxa"/>
            <w:right w:w="0" w:type="dxa"/>
          </w:tblCellMar>
        </w:tblPrEx>
        <w:trPr>
          <w:trHeight w:val="401" w:hRule="atLeast"/>
          <w:jc w:val="center"/>
        </w:trPr>
        <w:tc>
          <w:tcPr>
            <w:tcW w:w="1000"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highlight w:val="none"/>
              </w:rPr>
            </w:pPr>
          </w:p>
        </w:tc>
        <w:tc>
          <w:tcPr>
            <w:tcW w:w="135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none"/>
              </w:rPr>
            </w:pPr>
            <w:r>
              <w:rPr>
                <w:rFonts w:hint="default" w:ascii="宋体" w:hAnsi="宋体" w:eastAsia="宋体" w:cs="仿宋"/>
                <w:kern w:val="0"/>
                <w:sz w:val="24"/>
                <w:szCs w:val="24"/>
                <w:highlight w:val="none"/>
              </w:rPr>
              <w:t>应急方案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jc w:val="left"/>
              <w:rPr>
                <w:rFonts w:hint="eastAsia"/>
                <w:sz w:val="24"/>
                <w:szCs w:val="32"/>
                <w:highlight w:val="none"/>
              </w:rPr>
            </w:pPr>
            <w:r>
              <w:rPr>
                <w:rFonts w:hint="eastAsia"/>
                <w:sz w:val="24"/>
                <w:szCs w:val="32"/>
                <w:highlight w:val="none"/>
              </w:rPr>
              <w:t>根据投标人提供的应急方案进行评分：</w:t>
            </w:r>
          </w:p>
          <w:p>
            <w:pPr>
              <w:jc w:val="left"/>
              <w:rPr>
                <w:rFonts w:hint="eastAsia"/>
                <w:sz w:val="24"/>
                <w:szCs w:val="32"/>
                <w:highlight w:val="none"/>
              </w:rPr>
            </w:pPr>
            <w:r>
              <w:rPr>
                <w:rFonts w:hint="eastAsia"/>
                <w:sz w:val="24"/>
                <w:szCs w:val="32"/>
                <w:highlight w:val="none"/>
              </w:rPr>
              <w:t>①校园活动人员临时调动安排；</w:t>
            </w:r>
          </w:p>
          <w:p>
            <w:pPr>
              <w:jc w:val="left"/>
              <w:rPr>
                <w:rFonts w:hint="eastAsia"/>
                <w:sz w:val="24"/>
                <w:szCs w:val="32"/>
                <w:highlight w:val="none"/>
                <w:lang w:eastAsia="zh-CN"/>
              </w:rPr>
            </w:pPr>
            <w:r>
              <w:rPr>
                <w:rFonts w:hint="eastAsia"/>
                <w:sz w:val="24"/>
                <w:szCs w:val="32"/>
                <w:highlight w:val="none"/>
              </w:rPr>
              <w:t>②开学、军训等重大活动内保</w:t>
            </w:r>
            <w:r>
              <w:rPr>
                <w:rFonts w:hint="eastAsia"/>
                <w:sz w:val="24"/>
                <w:szCs w:val="32"/>
                <w:highlight w:val="none"/>
                <w:lang w:eastAsia="zh-CN"/>
              </w:rPr>
              <w:t>；</w:t>
            </w:r>
          </w:p>
          <w:p>
            <w:pPr>
              <w:jc w:val="left"/>
              <w:rPr>
                <w:rFonts w:hint="eastAsia"/>
                <w:sz w:val="24"/>
                <w:szCs w:val="32"/>
                <w:highlight w:val="none"/>
                <w:lang w:eastAsia="zh-CN"/>
              </w:rPr>
            </w:pPr>
            <w:r>
              <w:rPr>
                <w:rFonts w:hint="eastAsia"/>
                <w:sz w:val="24"/>
                <w:szCs w:val="32"/>
                <w:highlight w:val="none"/>
                <w:lang w:eastAsia="zh-CN"/>
              </w:rPr>
              <w:t>③恶劣天气、水灾等自然灾害；</w:t>
            </w:r>
          </w:p>
          <w:p>
            <w:pPr>
              <w:jc w:val="left"/>
              <w:rPr>
                <w:rFonts w:hint="eastAsia"/>
                <w:sz w:val="24"/>
                <w:szCs w:val="32"/>
                <w:highlight w:val="none"/>
                <w:lang w:eastAsia="zh-CN"/>
              </w:rPr>
            </w:pPr>
            <w:r>
              <w:rPr>
                <w:rFonts w:hint="eastAsia"/>
                <w:sz w:val="24"/>
                <w:szCs w:val="32"/>
                <w:highlight w:val="none"/>
                <w:lang w:eastAsia="zh-CN"/>
              </w:rPr>
              <w:t>④停水停电；</w:t>
            </w:r>
          </w:p>
          <w:p>
            <w:pPr>
              <w:jc w:val="left"/>
              <w:rPr>
                <w:rFonts w:hint="eastAsia" w:ascii="宋体" w:hAnsi="宋体" w:eastAsia="宋体" w:cs="宋体"/>
                <w:sz w:val="24"/>
                <w:szCs w:val="32"/>
                <w:highlight w:val="none"/>
                <w:lang w:eastAsia="zh-CN"/>
              </w:rPr>
            </w:pPr>
            <w:r>
              <w:rPr>
                <w:rFonts w:hint="eastAsia" w:ascii="宋体" w:hAnsi="宋体" w:eastAsia="宋体" w:cs="宋体"/>
                <w:sz w:val="24"/>
                <w:szCs w:val="32"/>
                <w:highlight w:val="none"/>
                <w:lang w:eastAsia="zh-CN"/>
              </w:rPr>
              <w:t>⑤重大迎检、校园讲座等活动会务礼仪接待方案；</w:t>
            </w:r>
          </w:p>
          <w:p>
            <w:pPr>
              <w:jc w:val="left"/>
              <w:rPr>
                <w:rFonts w:hint="eastAsia" w:ascii="宋体" w:hAnsi="宋体" w:eastAsia="宋体" w:cs="宋体"/>
                <w:sz w:val="24"/>
                <w:szCs w:val="32"/>
                <w:highlight w:val="none"/>
                <w:lang w:eastAsia="zh-CN"/>
              </w:rPr>
            </w:pPr>
            <w:r>
              <w:rPr>
                <w:rFonts w:hint="eastAsia" w:ascii="宋体" w:hAnsi="宋体" w:eastAsia="宋体" w:cs="宋体"/>
                <w:sz w:val="24"/>
                <w:szCs w:val="32"/>
                <w:highlight w:val="none"/>
                <w:lang w:eastAsia="zh-CN"/>
              </w:rPr>
              <w:t>⑥突发公共事件处置；</w:t>
            </w:r>
          </w:p>
          <w:p>
            <w:pPr>
              <w:jc w:val="left"/>
              <w:rPr>
                <w:rFonts w:hint="eastAsia"/>
                <w:sz w:val="24"/>
                <w:szCs w:val="32"/>
                <w:highlight w:val="none"/>
                <w:lang w:eastAsia="zh-CN"/>
              </w:rPr>
            </w:pPr>
            <w:r>
              <w:rPr>
                <w:rFonts w:hint="eastAsia" w:ascii="宋体" w:hAnsi="宋体" w:eastAsia="宋体" w:cs="宋体"/>
                <w:sz w:val="24"/>
                <w:szCs w:val="32"/>
                <w:highlight w:val="none"/>
                <w:lang w:eastAsia="zh-CN"/>
              </w:rPr>
              <w:t>⑦火灾、建筑物倒塌等灾难应急处置方案</w:t>
            </w:r>
            <w:r>
              <w:rPr>
                <w:rFonts w:hint="eastAsia"/>
                <w:sz w:val="24"/>
                <w:szCs w:val="32"/>
                <w:highlight w:val="none"/>
                <w:lang w:eastAsia="zh-CN"/>
              </w:rPr>
              <w:t>。</w:t>
            </w:r>
          </w:p>
          <w:p>
            <w:pPr>
              <w:jc w:val="left"/>
              <w:rPr>
                <w:rFonts w:ascii="宋体" w:hAnsi="宋体" w:eastAsia="宋体" w:cs="Times New Roman"/>
                <w:sz w:val="24"/>
                <w:szCs w:val="28"/>
                <w:highlight w:val="none"/>
              </w:rPr>
            </w:pPr>
            <w:r>
              <w:rPr>
                <w:rFonts w:hint="eastAsia"/>
                <w:sz w:val="24"/>
                <w:szCs w:val="32"/>
                <w:highlight w:val="none"/>
                <w:lang w:eastAsia="zh-CN"/>
              </w:rPr>
              <w:t>以上七个方面要素，每具备一个要素且符合招标文件采购需求的，得</w:t>
            </w:r>
            <w:r>
              <w:rPr>
                <w:rFonts w:hint="eastAsia"/>
                <w:sz w:val="24"/>
                <w:szCs w:val="32"/>
                <w:highlight w:val="none"/>
                <w:lang w:val="en-US" w:eastAsia="zh-CN"/>
              </w:rPr>
              <w:t>2</w:t>
            </w:r>
            <w:r>
              <w:rPr>
                <w:rFonts w:hint="eastAsia"/>
                <w:sz w:val="24"/>
                <w:szCs w:val="32"/>
                <w:highlight w:val="none"/>
                <w:lang w:eastAsia="zh-CN"/>
              </w:rPr>
              <w:t>分，最多得</w:t>
            </w:r>
            <w:r>
              <w:rPr>
                <w:rFonts w:hint="eastAsia"/>
                <w:sz w:val="24"/>
                <w:szCs w:val="32"/>
                <w:highlight w:val="none"/>
                <w:lang w:val="en-US" w:eastAsia="zh-CN"/>
              </w:rPr>
              <w:t>14</w:t>
            </w:r>
            <w:r>
              <w:rPr>
                <w:rFonts w:hint="eastAsia"/>
                <w:sz w:val="24"/>
                <w:szCs w:val="32"/>
                <w:highlight w:val="none"/>
                <w:lang w:eastAsia="zh-CN"/>
              </w:rPr>
              <w:t>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highlight w:val="none"/>
                <w:lang w:val="en-US" w:eastAsia="zh-CN"/>
              </w:rPr>
            </w:pPr>
            <w:r>
              <w:rPr>
                <w:rFonts w:hint="eastAsia" w:ascii="宋体" w:hAnsi="宋体" w:eastAsia="宋体" w:cs="仿宋"/>
                <w:kern w:val="0"/>
                <w:sz w:val="24"/>
                <w:szCs w:val="24"/>
                <w:highlight w:val="none"/>
                <w:lang w:val="en-US" w:eastAsia="zh-CN"/>
              </w:rPr>
              <w:t>14分</w:t>
            </w:r>
          </w:p>
        </w:tc>
      </w:tr>
    </w:tbl>
    <w:p>
      <w:pPr>
        <w:pStyle w:val="2"/>
        <w:rPr>
          <w:rFonts w:hint="eastAsia" w:ascii="宋体" w:hAnsi="宋体" w:eastAsia="宋体" w:cs="Times New Roman"/>
          <w:b/>
          <w:bCs/>
          <w:sz w:val="28"/>
          <w:szCs w:val="28"/>
          <w:highlight w:val="none"/>
        </w:rPr>
      </w:pPr>
    </w:p>
    <w:p>
      <w:pPr>
        <w:rPr>
          <w:rFonts w:ascii="宋体" w:hAnsi="宋体" w:eastAsia="宋体" w:cs="Times New Roman"/>
          <w:sz w:val="28"/>
          <w:szCs w:val="22"/>
          <w:highlight w:val="none"/>
        </w:rPr>
      </w:pPr>
      <w:r>
        <w:rPr>
          <w:rFonts w:hint="eastAsia" w:ascii="宋体" w:hAnsi="宋体" w:eastAsia="宋体" w:cs="Times New Roman"/>
          <w:sz w:val="28"/>
          <w:szCs w:val="22"/>
          <w:highlight w:val="none"/>
        </w:rPr>
        <w:t>说明：</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1、评分的取值按四舍五入法，保留小数点后两位；</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highlight w:val="none"/>
        </w:rPr>
      </w:pPr>
      <w:bookmarkStart w:id="175" w:name="_Toc13890"/>
      <w:r>
        <w:rPr>
          <w:rFonts w:hint="eastAsia" w:ascii="宋体" w:hAnsi="宋体" w:eastAsia="宋体" w:cs="Times New Roman"/>
          <w:b/>
          <w:bCs/>
          <w:sz w:val="28"/>
          <w:szCs w:val="28"/>
          <w:highlight w:val="none"/>
        </w:rPr>
        <w:t>废标</w:t>
      </w:r>
      <w:bookmarkEnd w:id="175"/>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本次政府采购活动中，出现下列情形之一的，予以废标：</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符合专业条件的投标人或者对招标文件作实质响应的投标人不足三家的；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出现影响采购公正的违法、违规行为的；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投标人的报价均超过了采购预算，采购人不能支付的；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因重大变故，采购任务取消的；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废标后，</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highlight w:val="none"/>
        </w:rPr>
      </w:pPr>
      <w:bookmarkStart w:id="176" w:name="_Toc8555"/>
      <w:r>
        <w:rPr>
          <w:rFonts w:hint="eastAsia" w:ascii="宋体" w:hAnsi="宋体" w:eastAsia="宋体" w:cs="Times New Roman"/>
          <w:b/>
          <w:bCs/>
          <w:sz w:val="28"/>
          <w:szCs w:val="28"/>
          <w:highlight w:val="none"/>
        </w:rPr>
        <w:t>定标</w:t>
      </w:r>
      <w:bookmarkEnd w:id="176"/>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定标原则</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Helvetica"/>
          <w:kern w:val="0"/>
          <w:sz w:val="28"/>
          <w:szCs w:val="28"/>
          <w:highlight w:val="none"/>
        </w:rPr>
        <w:t>采购人在收到评标报告</w:t>
      </w:r>
      <w:r>
        <w:rPr>
          <w:rFonts w:hint="eastAsia" w:ascii="宋体" w:hAnsi="宋体" w:eastAsia="宋体" w:cs="宋体"/>
          <w:kern w:val="0"/>
          <w:sz w:val="28"/>
          <w:szCs w:val="28"/>
          <w:highlight w:val="none"/>
        </w:rPr>
        <w:t>5</w:t>
      </w:r>
      <w:r>
        <w:rPr>
          <w:rFonts w:hint="eastAsia" w:ascii="宋体" w:hAnsi="宋体" w:eastAsia="宋体" w:cs="Helvetica"/>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定标程序</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一、评审委员会将评审情况写出书面报告。</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二、</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在评审结束之日起2个工作日内将评审报告送采购人。</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中标（成交）候选人及其现任法定代表人、主要负责人是否存在行贿犯罪记录。</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四、根据采购人确定的中标（成交）人，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五、采购人、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7" w:name="_Toc4417"/>
      <w:r>
        <w:rPr>
          <w:rFonts w:hint="eastAsia" w:ascii="宋体" w:hAnsi="宋体" w:eastAsia="宋体" w:cs="Times New Roman"/>
          <w:b/>
          <w:bCs/>
          <w:sz w:val="28"/>
          <w:szCs w:val="28"/>
          <w:highlight w:val="none"/>
        </w:rPr>
        <w:t>评标专家在政府采购活动中承担以下义务</w:t>
      </w:r>
      <w:bookmarkEnd w:id="177"/>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遵纪守法，客观、公正、廉洁地履行职责。</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保守秘密。不得泄漏投标人的投标文件及知悉的商业秘密，不得向投标人透露评审情况。</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发现投标人在政府采购活动中有不正当竞争或恶意串通等违规行为，及时向政府采购评审工作的组织者或财政部门报告并加以制止。</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及其工作人员在政府采购活动中有干预评审、发表倾向性和歧视性言论、受贿或者接受投标人的其他好处及其他违法违规行为，及时向财政部门报告。</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解答有关方面对政府采购评审工作中有关问题的询问，配合采购人或者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答复投标人的询问、质疑，配合财政部门的投诉处理工作等事宜。</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8" w:name="_Toc19394"/>
      <w:r>
        <w:rPr>
          <w:rFonts w:hint="eastAsia" w:ascii="宋体" w:hAnsi="宋体" w:eastAsia="宋体" w:cs="Times New Roman"/>
          <w:b/>
          <w:bCs/>
          <w:sz w:val="28"/>
          <w:szCs w:val="28"/>
          <w:highlight w:val="none"/>
        </w:rPr>
        <w:t>评标委员会及其成员不得有下列行为</w:t>
      </w:r>
      <w:bookmarkEnd w:id="178"/>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确定参与评标至评标结束前私自接触投标人；</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接受投标人提出的与投标文件不一致的澄清或者说明，除招标文件明确可以澄清的除外；</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违反评标纪律发表倾向性意见或者征询采购人的倾向性意见；</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对需要专业判断的主观评审因素协商评分；</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在评标过程中擅离职守，影响评标程序正常进行的；</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记录、复制或者带走任何评标资料；</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其他不遵守评标纪律的行为。</w:t>
      </w:r>
    </w:p>
    <w:p>
      <w:pPr>
        <w:spacing w:line="360" w:lineRule="auto"/>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highlight w:val="none"/>
        </w:rPr>
      </w:pPr>
      <w:bookmarkStart w:id="179" w:name="_Toc25699"/>
      <w:r>
        <w:rPr>
          <w:rFonts w:hint="eastAsia" w:ascii="宋体" w:hAnsi="宋体" w:eastAsia="宋体" w:cs="Times New Roman"/>
          <w:b/>
          <w:bCs/>
          <w:sz w:val="28"/>
          <w:szCs w:val="28"/>
          <w:highlight w:val="none"/>
        </w:rPr>
        <w:t>评审专家在政府采购活动中应当遵守以下工作纪律</w:t>
      </w:r>
      <w:bookmarkEnd w:id="179"/>
    </w:p>
    <w:p>
      <w:pPr>
        <w:numPr>
          <w:ilvl w:val="0"/>
          <w:numId w:val="44"/>
        </w:numPr>
        <w:tabs>
          <w:tab w:val="left" w:pos="1155"/>
        </w:tabs>
        <w:spacing w:line="360" w:lineRule="auto"/>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遵行《政府采购法》第十二条和《政府采购法实施条例》第九条及政府采购相关法律法规关于回避的规定。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应邀按时参加评审和咨询活动，遵守评标区管理规定。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进入评标区之前应将所有的通信设备存入</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，不得私自转托他人。</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也可要求该评审专家回避。</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评审过程中关闭通讯设备，不得与外界联系。因发生不可预见情况，确实需要与外界联系的，应告知评标区值守人员，使用评标区内由</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提供的通信设备，在监督人员监督之下办理。</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在评标过程中和评标结束后，不得记录、复制或带走任何评标资料，除因规定的义务外，不得向外界透露评标内容。</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服从评标现场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的现场秩序管理，接受评标现场监督人员的合法监督。</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遵守有关廉洁自律规定，不得私下接触投标人，不得收受投标人及有关业务单位和个人的财物或好处，不得接受采购组织单位的请托。</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4"/>
        </w:numPr>
        <w:tabs>
          <w:tab w:val="left" w:pos="1155"/>
          <w:tab w:val="left" w:pos="1276"/>
          <w:tab w:val="left" w:pos="1418"/>
        </w:tabs>
        <w:spacing w:line="580" w:lineRule="exact"/>
        <w:ind w:left="527" w:firstLine="40"/>
        <w:rPr>
          <w:rFonts w:ascii="宋体" w:hAnsi="宋体" w:eastAsia="宋体" w:cs="Times New Roman"/>
          <w:sz w:val="28"/>
          <w:szCs w:val="28"/>
          <w:highlight w:val="none"/>
        </w:rPr>
      </w:pPr>
      <w:r>
        <w:rPr>
          <w:rFonts w:hint="eastAsia" w:ascii="宋体" w:hAnsi="宋体" w:eastAsia="宋体" w:cs="Times New Roman"/>
          <w:sz w:val="28"/>
          <w:szCs w:val="28"/>
          <w:highlight w:val="none"/>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rPr>
          <w:rFonts w:ascii="Calibri" w:hAnsi="Calibri" w:eastAsia="宋体" w:cs="Times New Roman"/>
          <w:szCs w:val="22"/>
          <w:highlight w:val="none"/>
        </w:rPr>
      </w:pPr>
      <w:r>
        <w:rPr>
          <w:rFonts w:ascii="宋体" w:hAnsi="宋体" w:eastAsia="宋体" w:cs="Times New Roman"/>
          <w:sz w:val="28"/>
          <w:szCs w:val="28"/>
          <w:highlight w:val="none"/>
        </w:rPr>
        <w:br w:type="page"/>
      </w:r>
    </w:p>
    <w:bookmarkEnd w:id="156"/>
    <w:bookmarkEnd w:id="157"/>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highlight w:val="none"/>
        </w:rPr>
      </w:pPr>
      <w:bookmarkStart w:id="180" w:name="_Toc20354"/>
      <w:r>
        <w:rPr>
          <w:rFonts w:hint="eastAsia" w:ascii="宋体" w:hAnsi="宋体" w:eastAsia="宋体" w:cs="Times New Roman"/>
          <w:b/>
          <w:bCs/>
          <w:spacing w:val="-20"/>
          <w:kern w:val="44"/>
          <w:sz w:val="32"/>
          <w:szCs w:val="32"/>
          <w:highlight w:val="none"/>
        </w:rPr>
        <w:t>拟签订合同</w:t>
      </w:r>
      <w:bookmarkEnd w:id="0"/>
      <w:bookmarkEnd w:id="1"/>
      <w:bookmarkEnd w:id="2"/>
      <w:bookmarkEnd w:id="3"/>
      <w:bookmarkStart w:id="181" w:name="_Toc316475671"/>
      <w:bookmarkEnd w:id="181"/>
      <w:bookmarkStart w:id="182" w:name="_Toc316475670"/>
      <w:bookmarkEnd w:id="182"/>
      <w:bookmarkStart w:id="183" w:name="_Toc316475675"/>
      <w:bookmarkEnd w:id="183"/>
      <w:bookmarkStart w:id="184" w:name="_Toc316475676"/>
      <w:bookmarkEnd w:id="184"/>
      <w:bookmarkStart w:id="185" w:name="_Toc214858832"/>
      <w:bookmarkEnd w:id="185"/>
      <w:bookmarkStart w:id="186" w:name="_Toc316475759"/>
      <w:bookmarkEnd w:id="186"/>
      <w:bookmarkStart w:id="187" w:name="_Toc316475760"/>
      <w:bookmarkEnd w:id="187"/>
      <w:bookmarkStart w:id="188" w:name="_Toc316475753"/>
      <w:bookmarkEnd w:id="188"/>
      <w:bookmarkStart w:id="189" w:name="_Toc277152523"/>
      <w:bookmarkEnd w:id="189"/>
      <w:bookmarkStart w:id="190" w:name="_Toc277152521"/>
      <w:bookmarkEnd w:id="190"/>
      <w:bookmarkStart w:id="191" w:name="_Toc316475756"/>
      <w:bookmarkEnd w:id="191"/>
      <w:bookmarkStart w:id="192" w:name="_Toc316475752"/>
      <w:bookmarkEnd w:id="192"/>
      <w:bookmarkStart w:id="193" w:name="_Toc316475667"/>
      <w:bookmarkEnd w:id="193"/>
      <w:bookmarkStart w:id="194" w:name="_Toc316475665"/>
      <w:bookmarkEnd w:id="194"/>
      <w:bookmarkStart w:id="195" w:name="_Toc316475677"/>
      <w:bookmarkEnd w:id="195"/>
      <w:bookmarkStart w:id="196" w:name="_Toc316475666"/>
      <w:bookmarkEnd w:id="196"/>
      <w:bookmarkStart w:id="197" w:name="_Toc316475668"/>
      <w:bookmarkEnd w:id="197"/>
      <w:bookmarkStart w:id="198" w:name="_Toc316475757"/>
      <w:bookmarkEnd w:id="198"/>
      <w:bookmarkStart w:id="199" w:name="_Toc299975392"/>
      <w:bookmarkEnd w:id="199"/>
      <w:bookmarkStart w:id="200" w:name="_Toc316475761"/>
      <w:bookmarkEnd w:id="200"/>
      <w:bookmarkStart w:id="201" w:name="_Toc316475673"/>
      <w:bookmarkEnd w:id="201"/>
      <w:bookmarkStart w:id="202" w:name="_Toc316475764"/>
      <w:bookmarkEnd w:id="202"/>
      <w:bookmarkStart w:id="203" w:name="_Toc316475758"/>
      <w:bookmarkEnd w:id="203"/>
      <w:bookmarkStart w:id="204" w:name="_Toc316475754"/>
      <w:bookmarkEnd w:id="204"/>
      <w:bookmarkStart w:id="205" w:name="_Toc316475669"/>
      <w:bookmarkEnd w:id="205"/>
      <w:bookmarkStart w:id="206" w:name="_Toc316475664"/>
      <w:bookmarkEnd w:id="206"/>
      <w:bookmarkStart w:id="207" w:name="_Toc316475763"/>
      <w:bookmarkEnd w:id="207"/>
      <w:bookmarkStart w:id="208" w:name="_Toc316475751"/>
      <w:bookmarkEnd w:id="208"/>
      <w:bookmarkStart w:id="209" w:name="_Toc277152522"/>
      <w:bookmarkEnd w:id="209"/>
      <w:bookmarkStart w:id="210" w:name="_Toc316475755"/>
      <w:bookmarkEnd w:id="210"/>
      <w:bookmarkStart w:id="211" w:name="_Toc277152520"/>
      <w:bookmarkEnd w:id="211"/>
      <w:bookmarkStart w:id="212" w:name="_Toc316475674"/>
      <w:bookmarkEnd w:id="212"/>
      <w:bookmarkStart w:id="213" w:name="_Toc299975364"/>
      <w:bookmarkEnd w:id="213"/>
      <w:bookmarkStart w:id="214" w:name="_Toc316475762"/>
      <w:bookmarkEnd w:id="214"/>
      <w:bookmarkStart w:id="215" w:name="_Toc316475672"/>
      <w:bookmarkEnd w:id="215"/>
      <w:bookmarkStart w:id="216" w:name="_Toc34729074"/>
      <w:bookmarkStart w:id="217" w:name="_Toc8573798"/>
      <w:bookmarkStart w:id="218" w:name="_Toc217446108"/>
      <w:r>
        <w:rPr>
          <w:rFonts w:hint="eastAsia" w:ascii="宋体" w:hAnsi="宋体" w:eastAsia="宋体" w:cs="Times New Roman"/>
          <w:b/>
          <w:bCs/>
          <w:spacing w:val="-20"/>
          <w:kern w:val="44"/>
          <w:sz w:val="32"/>
          <w:szCs w:val="32"/>
          <w:highlight w:val="none"/>
        </w:rPr>
        <w:t>文本</w:t>
      </w:r>
      <w:bookmarkEnd w:id="180"/>
    </w:p>
    <w:bookmarkEnd w:id="216"/>
    <w:bookmarkEnd w:id="217"/>
    <w:bookmarkEnd w:id="218"/>
    <w:p>
      <w:pPr>
        <w:spacing w:line="460" w:lineRule="exact"/>
        <w:ind w:firstLine="48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合同编号：</w:t>
      </w:r>
    </w:p>
    <w:p>
      <w:pPr>
        <w:spacing w:line="4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签订地点：</w:t>
      </w:r>
    </w:p>
    <w:p>
      <w:pPr>
        <w:spacing w:line="460" w:lineRule="exact"/>
        <w:ind w:firstLine="480"/>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签订时间： 年 月 日</w:t>
      </w:r>
    </w:p>
    <w:p>
      <w:pPr>
        <w:spacing w:line="460" w:lineRule="exact"/>
        <w:ind w:firstLine="480"/>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采购人（甲方）：</w:t>
      </w:r>
      <w:r>
        <w:rPr>
          <w:rFonts w:hint="eastAsia" w:ascii="宋体" w:hAnsi="宋体" w:eastAsia="宋体" w:cs="宋体"/>
          <w:color w:val="000000"/>
          <w:kern w:val="0"/>
          <w:sz w:val="24"/>
          <w:szCs w:val="24"/>
          <w:u w:val="single"/>
          <w:lang w:bidi="ar"/>
        </w:rPr>
        <w:t xml:space="preserve">                          </w:t>
      </w:r>
      <w:r>
        <w:rPr>
          <w:rFonts w:hint="eastAsia" w:ascii="宋体" w:hAnsi="宋体" w:eastAsia="宋体" w:cs="宋体"/>
          <w:color w:val="000000"/>
          <w:kern w:val="0"/>
          <w:sz w:val="24"/>
          <w:szCs w:val="24"/>
          <w:lang w:bidi="ar"/>
        </w:rPr>
        <w:t xml:space="preserve">    </w:t>
      </w:r>
    </w:p>
    <w:p>
      <w:pPr>
        <w:spacing w:line="460" w:lineRule="exact"/>
        <w:ind w:firstLine="480"/>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供应商（乙方）：</w:t>
      </w:r>
      <w:r>
        <w:rPr>
          <w:rFonts w:hint="eastAsia" w:ascii="宋体" w:hAnsi="宋体" w:eastAsia="宋体" w:cs="宋体"/>
          <w:color w:val="000000"/>
          <w:kern w:val="0"/>
          <w:sz w:val="24"/>
          <w:szCs w:val="24"/>
          <w:u w:val="single"/>
          <w:lang w:bidi="ar"/>
        </w:rPr>
        <w:t xml:space="preserve">                          </w:t>
      </w:r>
      <w:r>
        <w:rPr>
          <w:rFonts w:hint="eastAsia" w:ascii="宋体" w:hAnsi="宋体" w:eastAsia="宋体" w:cs="宋体"/>
          <w:color w:val="000000"/>
          <w:kern w:val="0"/>
          <w:sz w:val="24"/>
          <w:szCs w:val="24"/>
          <w:lang w:bidi="ar"/>
        </w:rPr>
        <w:t xml:space="preserve">                                           </w:t>
      </w:r>
    </w:p>
    <w:p>
      <w:pPr>
        <w:wordWrap w:val="0"/>
        <w:spacing w:line="460" w:lineRule="exact"/>
        <w:ind w:firstLine="480"/>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根据《中华人民共和国政府采购法》《中华人民共和国民法典》及“</w:t>
      </w:r>
      <w:r>
        <w:rPr>
          <w:rFonts w:hint="eastAsia" w:ascii="宋体" w:hAnsi="宋体" w:eastAsia="宋体" w:cs="宋体"/>
          <w:color w:val="000000"/>
          <w:sz w:val="24"/>
          <w:szCs w:val="24"/>
        </w:rPr>
        <w:t>成都市新都区木兰中学校物业管理服务采购项目</w:t>
      </w:r>
      <w:r>
        <w:rPr>
          <w:rFonts w:hint="eastAsia" w:ascii="宋体" w:hAnsi="宋体" w:eastAsia="宋体" w:cs="宋体"/>
          <w:color w:val="000000"/>
          <w:kern w:val="0"/>
          <w:sz w:val="24"/>
          <w:szCs w:val="24"/>
          <w:lang w:bidi="ar"/>
        </w:rPr>
        <w:t>”（招标编号：*********）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46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第一条  项目基本情况</w:t>
      </w:r>
    </w:p>
    <w:p>
      <w:pPr>
        <w:spacing w:line="480" w:lineRule="exact"/>
        <w:ind w:firstLine="480"/>
        <w:rPr>
          <w:rFonts w:hint="eastAsia" w:ascii="宋体" w:hAnsi="宋体" w:eastAsia="宋体" w:cs="宋体"/>
          <w:color w:val="FF0000"/>
          <w:sz w:val="24"/>
          <w:szCs w:val="24"/>
        </w:rPr>
      </w:pPr>
      <w:r>
        <w:rPr>
          <w:rFonts w:hint="eastAsia" w:ascii="宋体" w:hAnsi="宋体" w:eastAsia="宋体" w:cs="宋体"/>
          <w:color w:val="FF0000"/>
          <w:sz w:val="24"/>
          <w:szCs w:val="24"/>
          <w:highlight w:val="none"/>
          <w:lang w:val="en-US" w:eastAsia="zh-CN"/>
        </w:rPr>
        <w:t>XXXXXXXX</w:t>
      </w:r>
      <w:r>
        <w:rPr>
          <w:rFonts w:hint="eastAsia" w:ascii="宋体" w:hAnsi="宋体" w:eastAsia="宋体" w:cs="宋体"/>
          <w:color w:val="FF0000"/>
          <w:sz w:val="24"/>
          <w:szCs w:val="24"/>
        </w:rPr>
        <w:t>。</w:t>
      </w:r>
    </w:p>
    <w:p>
      <w:pPr>
        <w:spacing w:line="520" w:lineRule="exact"/>
        <w:ind w:firstLine="482" w:firstLineChars="200"/>
        <w:rPr>
          <w:rFonts w:hint="eastAsia" w:ascii="宋体" w:hAnsi="宋体" w:eastAsia="宋体" w:cs="宋体"/>
          <w:b/>
          <w:bCs/>
          <w:color w:val="000000"/>
          <w:sz w:val="24"/>
          <w:szCs w:val="24"/>
          <w:lang w:bidi="ar"/>
        </w:rPr>
      </w:pPr>
      <w:r>
        <w:rPr>
          <w:rFonts w:hint="eastAsia" w:ascii="宋体" w:hAnsi="宋体" w:eastAsia="宋体" w:cs="宋体"/>
          <w:b/>
          <w:bCs/>
          <w:color w:val="000000"/>
          <w:sz w:val="24"/>
          <w:szCs w:val="24"/>
          <w:lang w:bidi="ar"/>
        </w:rPr>
        <w:t>第二条：人员配置要求</w:t>
      </w:r>
    </w:p>
    <w:p>
      <w:pPr>
        <w:widowControl w:val="0"/>
        <w:spacing w:before="60" w:after="60" w:line="480" w:lineRule="exact"/>
        <w:ind w:firstLine="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lang w:val="en-US" w:eastAsia="zh-CN" w:bidi="ar-SA"/>
        </w:rPr>
        <w:t>1、岗位及人员数量（最低</w:t>
      </w:r>
      <w:r>
        <w:rPr>
          <w:rFonts w:hint="eastAsia" w:ascii="宋体" w:hAnsi="宋体" w:eastAsia="宋体" w:cs="宋体"/>
          <w:color w:val="000000"/>
          <w:kern w:val="2"/>
          <w:sz w:val="24"/>
          <w:szCs w:val="24"/>
          <w:highlight w:val="none"/>
          <w:lang w:val="en-US" w:eastAsia="zh-CN" w:bidi="ar-SA"/>
        </w:rPr>
        <w:t>配置总计16人）</w:t>
      </w:r>
    </w:p>
    <w:p>
      <w:pPr>
        <w:rPr>
          <w:rFonts w:hint="eastAsia" w:ascii="宋体" w:hAnsi="宋体" w:eastAsia="宋体" w:cs="宋体"/>
          <w:color w:val="000000"/>
          <w:sz w:val="24"/>
          <w:szCs w:val="24"/>
        </w:rPr>
      </w:pPr>
      <w:r>
        <w:rPr>
          <w:rFonts w:hint="eastAsia" w:ascii="宋体" w:hAnsi="宋体" w:eastAsia="宋体" w:cs="宋体"/>
          <w:color w:val="000000"/>
          <w:sz w:val="24"/>
          <w:szCs w:val="24"/>
        </w:rPr>
        <w:t>（一）人员配置表：</w:t>
      </w:r>
    </w:p>
    <w:p>
      <w:pPr>
        <w:widowControl w:val="0"/>
        <w:spacing w:before="60" w:after="60" w:line="360" w:lineRule="auto"/>
        <w:ind w:firstLine="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XXXXXX</w:t>
      </w:r>
    </w:p>
    <w:p>
      <w:pPr>
        <w:widowControl w:val="0"/>
        <w:spacing w:before="60" w:after="60" w:line="360" w:lineRule="auto"/>
        <w:ind w:firstLine="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（二）岗位说明</w:t>
      </w:r>
    </w:p>
    <w:p>
      <w:pPr>
        <w:rPr>
          <w:rFonts w:hint="eastAsia" w:ascii="宋体" w:hAnsi="宋体" w:eastAsia="宋体" w:cs="宋体"/>
          <w:color w:val="auto"/>
          <w:sz w:val="24"/>
          <w:szCs w:val="24"/>
        </w:rPr>
      </w:pPr>
      <w:r>
        <w:rPr>
          <w:rFonts w:hint="eastAsia" w:ascii="宋体" w:hAnsi="宋体" w:eastAsia="宋体" w:cs="宋体"/>
          <w:color w:val="auto"/>
          <w:sz w:val="24"/>
          <w:szCs w:val="24"/>
        </w:rPr>
        <w:t>1、物业项目经理及主管人员岗位说明</w:t>
      </w:r>
    </w:p>
    <w:p>
      <w:pPr>
        <w:ind w:firstLine="240" w:firstLineChars="1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XXXXX</w:t>
      </w:r>
    </w:p>
    <w:p>
      <w:pPr>
        <w:widowControl w:val="0"/>
        <w:spacing w:before="60" w:after="60" w:line="36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2、环境维护员岗位说明</w:t>
      </w:r>
    </w:p>
    <w:p>
      <w:pPr>
        <w:spacing w:after="156" w:afterLines="50" w:line="400" w:lineRule="exact"/>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XXXXXX</w:t>
      </w:r>
      <w:r>
        <w:rPr>
          <w:rFonts w:hint="eastAsia" w:ascii="宋体" w:hAnsi="宋体" w:eastAsia="宋体" w:cs="宋体"/>
          <w:color w:val="auto"/>
          <w:sz w:val="24"/>
          <w:szCs w:val="24"/>
        </w:rPr>
        <w:br w:type="page"/>
      </w:r>
      <w:r>
        <w:rPr>
          <w:rFonts w:hint="eastAsia" w:ascii="宋体" w:hAnsi="宋体" w:eastAsia="宋体" w:cs="宋体"/>
          <w:color w:val="auto"/>
          <w:sz w:val="24"/>
          <w:szCs w:val="24"/>
        </w:rPr>
        <w:t>3、秩序维护员岗位说明</w:t>
      </w:r>
    </w:p>
    <w:p>
      <w:pPr>
        <w:spacing w:after="156" w:afterLines="50" w:line="400" w:lineRule="exact"/>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XXXXXX</w:t>
      </w:r>
    </w:p>
    <w:p>
      <w:pPr>
        <w:pStyle w:val="2"/>
        <w:rPr>
          <w:rFonts w:hint="default" w:hAnsi="宋体" w:cs="宋体"/>
          <w:color w:val="auto"/>
          <w:sz w:val="24"/>
          <w:szCs w:val="24"/>
          <w:lang w:val="en-US" w:eastAsia="zh-CN"/>
        </w:rPr>
      </w:pPr>
      <w:r>
        <w:rPr>
          <w:rFonts w:hint="eastAsia" w:hAnsi="宋体" w:cs="宋体"/>
          <w:color w:val="auto"/>
          <w:sz w:val="24"/>
          <w:szCs w:val="24"/>
          <w:lang w:val="en-US" w:eastAsia="zh-CN"/>
        </w:rPr>
        <w:t>4、水电维修与应急救援人员岗位说明</w:t>
      </w:r>
    </w:p>
    <w:p>
      <w:pPr>
        <w:spacing w:line="520" w:lineRule="exact"/>
        <w:rPr>
          <w:rFonts w:hint="eastAsia" w:ascii="宋体" w:hAnsi="宋体" w:eastAsia="宋体" w:cs="宋体"/>
          <w:b/>
          <w:bCs/>
          <w:color w:val="auto"/>
          <w:sz w:val="24"/>
          <w:szCs w:val="24"/>
          <w:lang w:bidi="ar"/>
        </w:rPr>
      </w:pPr>
      <w:r>
        <w:rPr>
          <w:rFonts w:hint="eastAsia" w:ascii="宋体" w:hAnsi="宋体" w:eastAsia="宋体" w:cs="宋体"/>
          <w:b/>
          <w:bCs/>
          <w:color w:val="auto"/>
          <w:sz w:val="24"/>
          <w:szCs w:val="24"/>
          <w:lang w:bidi="ar"/>
        </w:rPr>
        <w:t>第三条：服务内容及服务要求</w:t>
      </w:r>
    </w:p>
    <w:p>
      <w:pPr>
        <w:spacing w:line="480" w:lineRule="exact"/>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（一）秩序维护</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t xml:space="preserve">  </w:t>
      </w:r>
      <w:r>
        <w:rPr>
          <w:rFonts w:hint="eastAsia" w:ascii="宋体" w:hAnsi="宋体" w:eastAsia="宋体" w:cs="宋体"/>
          <w:color w:val="auto"/>
          <w:sz w:val="24"/>
          <w:szCs w:val="24"/>
        </w:rPr>
        <w:t xml:space="preserve">     </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XXXXXX</w:t>
      </w:r>
      <w:r>
        <w:rPr>
          <w:rFonts w:hint="eastAsia" w:ascii="宋体" w:hAnsi="宋体" w:eastAsia="宋体" w:cs="宋体"/>
          <w:color w:val="auto"/>
          <w:sz w:val="24"/>
          <w:szCs w:val="24"/>
        </w:rPr>
        <w:t>。</w:t>
      </w:r>
    </w:p>
    <w:p>
      <w:pPr>
        <w:spacing w:line="480" w:lineRule="exact"/>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（二）环境维护</w:t>
      </w:r>
      <w:r>
        <w:rPr>
          <w:rFonts w:hint="eastAsia" w:ascii="宋体" w:hAnsi="宋体" w:eastAsia="宋体" w:cs="宋体"/>
          <w:b/>
          <w:bCs/>
          <w:color w:val="auto"/>
          <w:sz w:val="24"/>
          <w:szCs w:val="24"/>
        </w:rPr>
        <w:tab/>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XXXXX</w:t>
      </w:r>
      <w:r>
        <w:rPr>
          <w:rFonts w:hint="eastAsia" w:ascii="宋体" w:hAnsi="宋体" w:eastAsia="宋体" w:cs="宋体"/>
          <w:color w:val="auto"/>
          <w:sz w:val="24"/>
          <w:szCs w:val="24"/>
        </w:rPr>
        <w:t>。</w:t>
      </w:r>
    </w:p>
    <w:p>
      <w:pPr>
        <w:spacing w:line="48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（三）学生公寓管理</w:t>
      </w:r>
    </w:p>
    <w:p>
      <w:pPr>
        <w:spacing w:line="48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XXXXXX。</w:t>
      </w:r>
    </w:p>
    <w:p>
      <w:pPr>
        <w:keepNext/>
        <w:keepLines/>
        <w:widowControl w:val="0"/>
        <w:spacing w:before="260" w:after="260" w:line="640" w:lineRule="exact"/>
        <w:jc w:val="left"/>
        <w:outlineLvl w:val="9"/>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四、考核办法及标准</w:t>
      </w:r>
    </w:p>
    <w:p>
      <w:pPr>
        <w:adjustRightInd w:val="0"/>
        <w:snapToGrid w:val="0"/>
        <w:spacing w:line="480" w:lineRule="exact"/>
        <w:ind w:firstLine="482" w:firstLineChars="200"/>
        <w:rPr>
          <w:rFonts w:hint="eastAsia" w:ascii="宋体" w:hAnsi="宋体" w:eastAsia="宋体" w:cs="宋体"/>
          <w:b/>
          <w:bCs/>
          <w:color w:val="auto"/>
          <w:sz w:val="24"/>
          <w:szCs w:val="24"/>
          <w:shd w:val="clear" w:color="auto" w:fill="FFFFFF"/>
        </w:rPr>
      </w:pPr>
      <w:r>
        <w:rPr>
          <w:rFonts w:hint="eastAsia" w:ascii="宋体" w:hAnsi="宋体" w:eastAsia="宋体" w:cs="宋体"/>
          <w:b/>
          <w:bCs/>
          <w:color w:val="auto"/>
          <w:sz w:val="24"/>
          <w:szCs w:val="24"/>
          <w:shd w:val="clear" w:color="auto" w:fill="FFFFFF"/>
        </w:rPr>
        <w:t>（一）考核办法</w:t>
      </w:r>
    </w:p>
    <w:p>
      <w:pPr>
        <w:adjustRightInd w:val="0"/>
        <w:snapToGrid w:val="0"/>
        <w:spacing w:line="48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考核实行百分制，按照考核标准实施定期或不定期考核计分，月末统计考核成绩。</w:t>
      </w:r>
    </w:p>
    <w:p>
      <w:pPr>
        <w:adjustRightInd w:val="0"/>
        <w:snapToGrid w:val="0"/>
        <w:spacing w:line="480" w:lineRule="exact"/>
        <w:ind w:firstLine="482" w:firstLineChars="20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（二）奖惩办法</w:t>
      </w:r>
    </w:p>
    <w:p>
      <w:pPr>
        <w:adjustRightInd w:val="0"/>
        <w:snapToGrid w:val="0"/>
        <w:spacing w:line="48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每月考核成绩在90分以上（含90分），视为合格；每月低于90分以下，每减少一分扣物业服务费用200元，若考核成绩连续三个月得分在60分以下，采购人有权终止合同。</w:t>
      </w:r>
    </w:p>
    <w:p>
      <w:pPr>
        <w:adjustRightInd w:val="0"/>
        <w:snapToGrid w:val="0"/>
        <w:spacing w:line="480" w:lineRule="exact"/>
        <w:ind w:firstLine="482" w:firstLineChars="200"/>
        <w:rPr>
          <w:rFonts w:hint="eastAsia" w:ascii="宋体" w:hAnsi="宋体" w:eastAsia="宋体" w:cs="宋体"/>
          <w:b/>
          <w:bCs/>
          <w:color w:val="auto"/>
          <w:sz w:val="24"/>
          <w:szCs w:val="24"/>
          <w:shd w:val="clear" w:color="auto" w:fill="FFFFFF"/>
        </w:rPr>
      </w:pPr>
      <w:r>
        <w:rPr>
          <w:rFonts w:hint="eastAsia" w:ascii="宋体" w:hAnsi="宋体" w:eastAsia="宋体" w:cs="宋体"/>
          <w:b/>
          <w:bCs/>
          <w:color w:val="auto"/>
          <w:sz w:val="24"/>
          <w:szCs w:val="24"/>
          <w:shd w:val="clear" w:color="auto" w:fill="FFFFFF"/>
        </w:rPr>
        <w:t>（三）考核标准</w:t>
      </w:r>
    </w:p>
    <w:p>
      <w:pPr>
        <w:adjustRightInd w:val="0"/>
        <w:snapToGrid w:val="0"/>
        <w:spacing w:line="480" w:lineRule="exact"/>
        <w:ind w:firstLine="482" w:firstLineChars="200"/>
        <w:rPr>
          <w:rFonts w:hint="eastAsia" w:ascii="宋体" w:hAnsi="宋体" w:eastAsia="宋体" w:cs="宋体"/>
          <w:b/>
          <w:bCs/>
          <w:i/>
          <w:color w:val="auto"/>
          <w:kern w:val="0"/>
          <w:sz w:val="24"/>
          <w:szCs w:val="24"/>
        </w:rPr>
      </w:pPr>
      <w:r>
        <w:rPr>
          <w:rFonts w:hint="eastAsia" w:ascii="宋体" w:hAnsi="宋体" w:eastAsia="宋体" w:cs="宋体"/>
          <w:b/>
          <w:bCs/>
          <w:color w:val="auto"/>
          <w:sz w:val="24"/>
          <w:szCs w:val="24"/>
          <w:shd w:val="clear" w:color="auto" w:fill="FFFFFF"/>
        </w:rPr>
        <w:t>1</w:t>
      </w:r>
      <w:r>
        <w:rPr>
          <w:rFonts w:hint="eastAsia" w:ascii="宋体" w:hAnsi="宋体" w:eastAsia="宋体" w:cs="宋体"/>
          <w:b/>
          <w:bCs/>
          <w:color w:val="auto"/>
          <w:kern w:val="0"/>
          <w:sz w:val="24"/>
          <w:szCs w:val="24"/>
          <w:shd w:val="clear" w:color="auto" w:fill="FFFFFF"/>
        </w:rPr>
        <w:t>、劳动纪律</w:t>
      </w:r>
    </w:p>
    <w:p>
      <w:pPr>
        <w:adjustRightInd w:val="0"/>
        <w:snapToGrid w:val="0"/>
        <w:spacing w:line="480" w:lineRule="exact"/>
        <w:rPr>
          <w:rFonts w:hint="eastAsia" w:ascii="宋体" w:hAnsi="宋体" w:eastAsia="宋体" w:cs="宋体"/>
          <w:i/>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en-US" w:eastAsia="zh-CN"/>
        </w:rPr>
        <w:t>XXXXX</w:t>
      </w:r>
      <w:r>
        <w:rPr>
          <w:rFonts w:hint="eastAsia" w:ascii="宋体" w:hAnsi="宋体" w:eastAsia="宋体" w:cs="宋体"/>
          <w:color w:val="auto"/>
          <w:kern w:val="0"/>
          <w:sz w:val="24"/>
          <w:szCs w:val="24"/>
        </w:rPr>
        <w:t>。</w:t>
      </w:r>
    </w:p>
    <w:p>
      <w:pPr>
        <w:spacing w:line="480" w:lineRule="exact"/>
        <w:rPr>
          <w:rFonts w:hint="eastAsia" w:ascii="宋体" w:hAnsi="宋体" w:eastAsia="宋体" w:cs="宋体"/>
          <w:b/>
          <w:bCs/>
          <w:i/>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b/>
          <w:bCs/>
          <w:color w:val="auto"/>
          <w:kern w:val="0"/>
          <w:sz w:val="24"/>
          <w:szCs w:val="24"/>
        </w:rPr>
        <w:t>2、秩序维护服务工作考核细则</w:t>
      </w:r>
    </w:p>
    <w:p>
      <w:pPr>
        <w:spacing w:line="48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XXXXX</w:t>
      </w:r>
      <w:r>
        <w:rPr>
          <w:rFonts w:hint="eastAsia" w:ascii="宋体" w:hAnsi="宋体" w:eastAsia="宋体" w:cs="宋体"/>
          <w:color w:val="auto"/>
          <w:kern w:val="0"/>
          <w:sz w:val="24"/>
          <w:szCs w:val="24"/>
        </w:rPr>
        <w:t>。</w:t>
      </w:r>
    </w:p>
    <w:p>
      <w:pPr>
        <w:adjustRightInd w:val="0"/>
        <w:snapToGrid w:val="0"/>
        <w:spacing w:line="48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shd w:val="clear" w:color="auto" w:fill="FFFFFF"/>
        </w:rPr>
        <w:t>3、环境维护服务考核细则</w:t>
      </w:r>
    </w:p>
    <w:p>
      <w:pPr>
        <w:adjustRightInd w:val="0"/>
        <w:snapToGrid w:val="0"/>
        <w:spacing w:line="480" w:lineRule="exact"/>
        <w:ind w:firstLine="240" w:firstLineChars="100"/>
        <w:rPr>
          <w:rFonts w:hint="eastAsia" w:ascii="宋体" w:hAnsi="宋体" w:eastAsia="宋体" w:cs="宋体"/>
          <w:i/>
          <w:color w:val="auto"/>
          <w:sz w:val="24"/>
          <w:szCs w:val="24"/>
        </w:rPr>
      </w:pPr>
      <w:r>
        <w:rPr>
          <w:rFonts w:hint="eastAsia" w:ascii="宋体" w:hAnsi="宋体" w:eastAsia="宋体" w:cs="宋体"/>
          <w:color w:val="auto"/>
          <w:kern w:val="0"/>
          <w:sz w:val="24"/>
          <w:szCs w:val="24"/>
          <w:lang w:val="en-US" w:eastAsia="zh-CN"/>
        </w:rPr>
        <w:t>XXXXX</w:t>
      </w:r>
      <w:r>
        <w:rPr>
          <w:rFonts w:hint="eastAsia" w:ascii="宋体" w:hAnsi="宋体" w:eastAsia="宋体" w:cs="宋体"/>
          <w:color w:val="auto"/>
          <w:kern w:val="0"/>
          <w:sz w:val="24"/>
          <w:szCs w:val="24"/>
        </w:rPr>
        <w:t>。</w:t>
      </w:r>
    </w:p>
    <w:p>
      <w:pPr>
        <w:keepNext/>
        <w:keepLines/>
        <w:widowControl w:val="0"/>
        <w:spacing w:before="260" w:after="260" w:line="640" w:lineRule="exact"/>
        <w:jc w:val="both"/>
        <w:outlineLvl w:val="9"/>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五、其他要求</w:t>
      </w:r>
    </w:p>
    <w:p>
      <w:pPr>
        <w:widowControl w:val="0"/>
        <w:spacing w:before="60" w:after="60" w:line="360" w:lineRule="auto"/>
        <w:ind w:firstLine="468" w:firstLineChars="195"/>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乙方的用工必须符合国家的有关法律法规的规定，必须与员工签订劳动合同，并为员工按规定缴纳相关保险。按包干制收费模式，盈亏均由乙方承担；员工最低工资标准不得低于甲方当地政府相关部门公布的最低工资标准。</w:t>
      </w:r>
    </w:p>
    <w:p>
      <w:pPr>
        <w:spacing w:line="520" w:lineRule="exact"/>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lang w:bidi="ar"/>
        </w:rPr>
        <w:t>第五条</w:t>
      </w:r>
      <w:r>
        <w:rPr>
          <w:rFonts w:hint="eastAsia" w:ascii="宋体" w:hAnsi="宋体" w:eastAsia="宋体" w:cs="宋体"/>
          <w:b/>
          <w:bCs/>
          <w:color w:val="000000"/>
          <w:sz w:val="24"/>
          <w:szCs w:val="24"/>
          <w:lang w:val="en-US" w:eastAsia="zh-CN" w:bidi="ar"/>
        </w:rPr>
        <w:t xml:space="preserve"> </w:t>
      </w:r>
      <w:r>
        <w:rPr>
          <w:rFonts w:hint="eastAsia" w:ascii="宋体" w:hAnsi="宋体" w:eastAsia="宋体" w:cs="宋体"/>
          <w:b/>
          <w:bCs/>
          <w:color w:val="000000"/>
          <w:sz w:val="24"/>
          <w:szCs w:val="24"/>
          <w:lang w:bidi="ar"/>
        </w:rPr>
        <w:t>付款方式及时间：</w:t>
      </w:r>
      <w:r>
        <w:rPr>
          <w:rFonts w:hint="eastAsia" w:ascii="宋体" w:hAnsi="宋体" w:eastAsia="宋体" w:cs="宋体"/>
          <w:color w:val="000000"/>
          <w:sz w:val="24"/>
          <w:szCs w:val="24"/>
          <w:lang w:bidi="ar"/>
        </w:rPr>
        <w:t xml:space="preserve"> </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款项支付采取银行转账方式。签订合同后，向乙方预付全年合同款的30%。余下的合同款，按月考核，按月支付，次月15日前将上月的服务费用以转帐形式支付给中标人。支付服务费时，乙方须向甲方递交拨付作业服务费的正式票据。</w:t>
      </w:r>
    </w:p>
    <w:p>
      <w:pPr>
        <w:numPr>
          <w:ilvl w:val="2"/>
          <w:numId w:val="0"/>
        </w:numPr>
        <w:spacing w:line="480" w:lineRule="exact"/>
        <w:ind w:left="105" w:leftChars="50"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实付服务费=应付服务费-考核扣款。</w:t>
      </w:r>
    </w:p>
    <w:p>
      <w:pPr>
        <w:numPr>
          <w:ilvl w:val="2"/>
          <w:numId w:val="0"/>
        </w:numPr>
        <w:spacing w:line="480" w:lineRule="exact"/>
        <w:ind w:left="105" w:leftChars="50"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2、履约方式及履约时间：合同签订生效之日起，乙方自带机具、办公用品及人员服装、清洁卫生用品用具等工作必备物品、人员进场，履行应尽合同义务。</w:t>
      </w:r>
    </w:p>
    <w:p>
      <w:pPr>
        <w:spacing w:line="520" w:lineRule="exact"/>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第六条：合同期限与终止</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1.合同期限为</w:t>
      </w:r>
      <w:r>
        <w:rPr>
          <w:rFonts w:hint="eastAsia" w:ascii="宋体" w:hAnsi="宋体" w:eastAsia="宋体" w:cs="宋体"/>
          <w:color w:val="000000"/>
          <w:sz w:val="24"/>
          <w:szCs w:val="24"/>
          <w:u w:val="single"/>
          <w:lang w:bidi="ar"/>
        </w:rPr>
        <w:t xml:space="preserve">      </w:t>
      </w:r>
      <w:r>
        <w:rPr>
          <w:rFonts w:hint="eastAsia" w:ascii="宋体" w:hAnsi="宋体" w:eastAsia="宋体" w:cs="宋体"/>
          <w:color w:val="000000"/>
          <w:sz w:val="24"/>
          <w:szCs w:val="24"/>
          <w:lang w:bidi="ar"/>
        </w:rPr>
        <w:t>，自   年 月 日起至   年 月 日止。</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2.合同的终止</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(1)合同期满，双方未续签的;</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(2)乙方服务能力丧失，致使服务无法正常进行的;</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(3)在履行合同过程中，发现乙方不符合相关规定的服务供应方(社会组织)应具备的条件，造成合同无法履行的。</w:t>
      </w:r>
    </w:p>
    <w:p>
      <w:pPr>
        <w:spacing w:line="520" w:lineRule="exact"/>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第七条 履约验收</w:t>
      </w:r>
    </w:p>
    <w:p>
      <w:pPr>
        <w:spacing w:line="520" w:lineRule="exact"/>
        <w:ind w:firstLine="480" w:firstLineChars="20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乙方与甲方应严格按照《财政部关于进一步加强政府采购需求和履约验收管理的指导意见》（财库〔2016〕205号）的要求进行验收。</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验收标准：按国家有关规定、招标文件的质量要求和技术指标、乙方的投标文件及承诺进行验收。</w:t>
      </w:r>
    </w:p>
    <w:p>
      <w:pPr>
        <w:spacing w:line="520" w:lineRule="exact"/>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第八条知识产权</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乙方应保证所提供的服务或其任何一部分均不会侵犯任何第三方的专利权、商标权或著作权。</w:t>
      </w:r>
    </w:p>
    <w:p>
      <w:pPr>
        <w:spacing w:line="520" w:lineRule="exact"/>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第九条  无产权瑕疵条款</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乙方保证所提供的服务的所有权完全属于乙方且无任何抵押、查封等产权瑕疵。如有产权瑕疵的，视为乙方违约。乙方应负担由此而产生的一切损失。</w:t>
      </w:r>
    </w:p>
    <w:p>
      <w:pPr>
        <w:spacing w:line="520" w:lineRule="exact"/>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lang w:bidi="ar"/>
        </w:rPr>
        <w:t>第十条  甲方的权利和义务</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2、负责检查监督乙方管理工作的实施及制度的执行情况。</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3、根据本合同规定，按时向乙方支付应付服务费用。</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4、国家法律、法规所规定由甲方承担的其它责任。</w:t>
      </w:r>
    </w:p>
    <w:p>
      <w:pPr>
        <w:spacing w:line="520" w:lineRule="exact"/>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第十一条  乙方的权利和义务</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1、对本合同规定的委托服务范围内的项目享有管理权及服务义务。</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2、根据本合同的规定向甲方收取相关服务费用，并有权在本项目管理范围内管理及合理使用。</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3、为保障项目的顺利执行，乙方须为本项目配备数量充足的相关专业人员。</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4、乙方须对本项目拟派人员进行保密培训，并在项目实施前按甲方要求签订保密协议。不得擅自将数据整合所涉及的任何资料和数据提供给第三方单位或个人使用。</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5、在项目实施过程中的安全责任由乙方负全责，甲方不承担任何安全责任，也不承担如发生安全事故产生的任何责任。</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6、及时向甲方通告本项目服务范围内有关服务的重大事项，及时配合处理投诉。</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7、接受项目行业管理部门及政府有关部门的指导，接受甲方的监督。</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8、国家法律、法规所规定由乙方承担的其它责任。</w:t>
      </w:r>
    </w:p>
    <w:p>
      <w:pPr>
        <w:spacing w:line="520" w:lineRule="exact"/>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第十二条 违约责任</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1.双方必须遵守本合同并执行合同中的各项规定，保证合同的正常履行。</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如因乙方工作人员在履行职务过程中的的疏忽、失职、过错等故意或者过失原因给采购方造成损失或侵害，包括但不限于采购方本身的财产损失、由此而导致的采购方对任何第三方的法律责任等，乙方对此均应承担全部的赔偿责任。</w:t>
      </w:r>
    </w:p>
    <w:p>
      <w:pPr>
        <w:spacing w:line="520" w:lineRule="exact"/>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第十三条 不可抗力事件处理</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1、在合同有效期内，任何一方因不可抗力事件导致不能履行合同，则合同履行期可延长，其延长期与不可抗力影响期相同。</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2、不可抗力事件发生后，应立即通知对方，并寄送有关权威机构出具的证明。</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3、不可抗力事件延续XX天以上，双方应通过友好协商，确定是否继续履行合同。</w:t>
      </w:r>
    </w:p>
    <w:p>
      <w:pPr>
        <w:spacing w:line="520" w:lineRule="exact"/>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第十二条  解决合同纠纷的方式</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1、在执行本合同中发生的或与本合同有关的争端，双方应通过友好协商解决，经协商在</w:t>
      </w:r>
      <w:r>
        <w:rPr>
          <w:rFonts w:hint="eastAsia" w:ascii="宋体" w:hAnsi="宋体" w:eastAsia="宋体" w:cs="宋体"/>
          <w:color w:val="000000"/>
          <w:sz w:val="24"/>
          <w:szCs w:val="24"/>
          <w:highlight w:val="none"/>
          <w:lang w:val="en-US" w:eastAsia="zh-CN" w:bidi="ar"/>
        </w:rPr>
        <w:t>15</w:t>
      </w:r>
      <w:r>
        <w:rPr>
          <w:rFonts w:hint="eastAsia" w:ascii="宋体" w:hAnsi="宋体" w:eastAsia="宋体" w:cs="宋体"/>
          <w:color w:val="000000"/>
          <w:sz w:val="24"/>
          <w:szCs w:val="24"/>
          <w:highlight w:val="none"/>
          <w:lang w:bidi="ar"/>
        </w:rPr>
        <w:t>天</w:t>
      </w:r>
      <w:r>
        <w:rPr>
          <w:rFonts w:hint="eastAsia" w:ascii="宋体" w:hAnsi="宋体" w:eastAsia="宋体" w:cs="宋体"/>
          <w:color w:val="000000"/>
          <w:sz w:val="24"/>
          <w:szCs w:val="24"/>
          <w:lang w:bidi="ar"/>
        </w:rPr>
        <w:t>内不能达成协议时，应提交成都仲裁委员会仲裁。</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2、仲裁裁决应为最终决定，并对双方具有约束力。</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 xml:space="preserve">3、除另有裁决外，仲裁费应由败诉方负担。 </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 xml:space="preserve">4、在仲裁期间，除正在进行仲裁部分外，合同其他部分继续执行。  </w:t>
      </w:r>
    </w:p>
    <w:p>
      <w:pPr>
        <w:spacing w:line="520" w:lineRule="exact"/>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lang w:bidi="ar"/>
        </w:rPr>
        <w:t>第十四条  合同生效及其他</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1、合同经双方法定代表人或授权委托代理人签字并加盖单位公章后生效。</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2、合同执行中涉及采购资金和采购内容修改或补充的，须经政府采购监管部门审批，并签书面补充协议报政府采购监督管理部门备案，方可作为主合同不可分割的一部分。</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3、本合同一式XX份，自双方签章之日起起效。甲方XX份，乙方XX份，政府采购代理机构XX份，同级财政部门备案XX份，具有同等法律效力。</w:t>
      </w:r>
    </w:p>
    <w:p>
      <w:pPr>
        <w:spacing w:line="520" w:lineRule="exact"/>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lang w:bidi="ar"/>
        </w:rPr>
        <w:t>第十五条：</w:t>
      </w:r>
      <w:r>
        <w:rPr>
          <w:rFonts w:hint="eastAsia" w:ascii="宋体" w:hAnsi="宋体" w:eastAsia="宋体" w:cs="宋体"/>
          <w:color w:val="000000"/>
          <w:sz w:val="24"/>
          <w:szCs w:val="24"/>
          <w:lang w:bidi="ar"/>
        </w:rPr>
        <w:t>乙方如为中小微企业，可以采用信用融资方式履约。</w:t>
      </w:r>
    </w:p>
    <w:p>
      <w:pPr>
        <w:spacing w:line="520" w:lineRule="exact"/>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lang w:bidi="ar"/>
        </w:rPr>
        <w:t xml:space="preserve"> </w:t>
      </w:r>
      <w:r>
        <w:rPr>
          <w:rFonts w:hint="eastAsia" w:ascii="宋体" w:hAnsi="宋体" w:eastAsia="宋体" w:cs="宋体"/>
          <w:b/>
          <w:bCs/>
          <w:color w:val="000000"/>
          <w:sz w:val="24"/>
          <w:szCs w:val="24"/>
          <w:lang w:bidi="ar"/>
        </w:rPr>
        <w:t>第十六条： 附件</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1、项目招标文件</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2、项目修改澄清文件</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3、项目投标文件</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4、中标通知书</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5、其他</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 xml:space="preserve"> </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 xml:space="preserve">甲方：   （盖章）   </w:t>
      </w:r>
      <w:r>
        <w:rPr>
          <w:rFonts w:hint="eastAsia" w:ascii="宋体" w:hAnsi="宋体" w:eastAsia="宋体" w:cs="宋体"/>
          <w:color w:val="000000"/>
          <w:sz w:val="24"/>
          <w:szCs w:val="24"/>
          <w:lang w:bidi="ar"/>
        </w:rPr>
        <w:tab/>
      </w:r>
      <w:r>
        <w:rPr>
          <w:rFonts w:hint="eastAsia" w:ascii="宋体" w:hAnsi="宋体" w:eastAsia="宋体" w:cs="宋体"/>
          <w:color w:val="000000"/>
          <w:sz w:val="24"/>
          <w:szCs w:val="24"/>
          <w:lang w:bidi="ar"/>
        </w:rPr>
        <w:tab/>
      </w:r>
      <w:r>
        <w:rPr>
          <w:rFonts w:hint="eastAsia" w:ascii="宋体" w:hAnsi="宋体" w:eastAsia="宋体" w:cs="宋体"/>
          <w:color w:val="000000"/>
          <w:sz w:val="24"/>
          <w:szCs w:val="24"/>
          <w:lang w:bidi="ar"/>
        </w:rPr>
        <w:tab/>
      </w:r>
      <w:r>
        <w:rPr>
          <w:rFonts w:hint="eastAsia" w:ascii="宋体" w:hAnsi="宋体" w:eastAsia="宋体" w:cs="宋体"/>
          <w:color w:val="000000"/>
          <w:sz w:val="24"/>
          <w:szCs w:val="24"/>
          <w:lang w:bidi="ar"/>
        </w:rPr>
        <w:t xml:space="preserve">       乙方：   （盖章）</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法定代表人（授权代表）：           法定代表人（授权代表）：</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合同经办人：                       合同经办人：</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 xml:space="preserve">统一社会信用代码：                统一社会信用代码：                </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地    址：                        地    址：</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开户银行：                        开户银行：</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账号：                            账号：</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电    话：                        电    话：</w:t>
      </w:r>
    </w:p>
    <w:p>
      <w:pPr>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传    真：                        传    真：</w:t>
      </w:r>
    </w:p>
    <w:p>
      <w:pPr>
        <w:rPr>
          <w:rFonts w:hint="eastAsia" w:ascii="宋体" w:hAnsi="宋体" w:eastAsia="宋体" w:cs="Tahoma"/>
          <w:b/>
          <w:sz w:val="30"/>
          <w:szCs w:val="30"/>
        </w:rPr>
      </w:pPr>
      <w:r>
        <w:rPr>
          <w:rFonts w:hint="eastAsia" w:ascii="宋体" w:hAnsi="宋体" w:eastAsia="宋体" w:cs="宋体"/>
          <w:color w:val="000000"/>
          <w:sz w:val="24"/>
          <w:szCs w:val="24"/>
          <w:lang w:bidi="ar"/>
        </w:rPr>
        <w:t xml:space="preserve">签约日期：XX年XX月XX日 </w:t>
      </w:r>
      <w:r>
        <w:rPr>
          <w:rFonts w:hint="eastAsia" w:ascii="宋体" w:hAnsi="宋体" w:eastAsia="宋体" w:cs="宋体"/>
          <w:color w:val="000000"/>
          <w:sz w:val="24"/>
          <w:szCs w:val="24"/>
          <w:lang w:bidi="ar"/>
        </w:rPr>
        <w:tab/>
      </w:r>
      <w:r>
        <w:rPr>
          <w:rFonts w:hint="eastAsia" w:ascii="宋体" w:hAnsi="宋体" w:eastAsia="宋体" w:cs="宋体"/>
          <w:color w:val="000000"/>
          <w:sz w:val="24"/>
          <w:szCs w:val="24"/>
          <w:lang w:bidi="ar"/>
        </w:rPr>
        <w:tab/>
      </w:r>
      <w:r>
        <w:rPr>
          <w:rFonts w:hint="eastAsia" w:ascii="宋体" w:hAnsi="宋体" w:eastAsia="宋体" w:cs="宋体"/>
          <w:color w:val="000000"/>
          <w:sz w:val="24"/>
          <w:szCs w:val="24"/>
          <w:lang w:bidi="ar"/>
        </w:rPr>
        <w:t xml:space="preserve">   签约日期：XX年XX月XX日</w:t>
      </w:r>
      <w:r>
        <w:rPr>
          <w:rFonts w:hint="eastAsia" w:ascii="宋体" w:hAnsi="宋体" w:eastAsia="宋体" w:cs="Tahoma"/>
          <w:b/>
          <w:sz w:val="30"/>
          <w:szCs w:val="30"/>
        </w:rPr>
        <w:br w:type="page"/>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00006FF" w:usb1="0000FCFF" w:usb2="00000001"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E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9">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2">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4">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6">
    <w:nsid w:val="0D6B6379"/>
    <w:multiLevelType w:val="multilevel"/>
    <w:tmpl w:val="0D6B6379"/>
    <w:lvl w:ilvl="0" w:tentative="0">
      <w:start w:val="1"/>
      <w:numFmt w:val="chineseCountingThousand"/>
      <w:lvlText w:val="%1、"/>
      <w:lvlJc w:val="left"/>
      <w:pPr>
        <w:ind w:left="987" w:hanging="420"/>
      </w:pPr>
      <w:rPr>
        <w:rFonts w:hint="eastAsia" w:ascii="宋体" w:hAnsi="宋体" w:eastAsia="宋体" w:cstheme="minorEastAsia"/>
        <w:b/>
        <w:bCs/>
        <w:sz w:val="28"/>
        <w:szCs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8">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9">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89"/>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6">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46260FA"/>
    <w:multiLevelType w:val="multilevel"/>
    <w:tmpl w:val="646260FA"/>
    <w:lvl w:ilvl="0" w:tentative="0">
      <w:start w:val="1"/>
      <w:numFmt w:val="decimal"/>
      <w:pStyle w:val="9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6">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7">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1">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2">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num>
  <w:num w:numId="2">
    <w:abstractNumId w:val="19"/>
  </w:num>
  <w:num w:numId="3">
    <w:abstractNumId w:val="3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83D45"/>
    <w:rsid w:val="006F7A32"/>
    <w:rsid w:val="009904B6"/>
    <w:rsid w:val="01201D30"/>
    <w:rsid w:val="019908FC"/>
    <w:rsid w:val="019922FE"/>
    <w:rsid w:val="01E71957"/>
    <w:rsid w:val="025F10B4"/>
    <w:rsid w:val="029B51A7"/>
    <w:rsid w:val="03B525A0"/>
    <w:rsid w:val="03DD7DD2"/>
    <w:rsid w:val="03F016CF"/>
    <w:rsid w:val="04290775"/>
    <w:rsid w:val="05134858"/>
    <w:rsid w:val="052556ED"/>
    <w:rsid w:val="05436BBF"/>
    <w:rsid w:val="05B55CE8"/>
    <w:rsid w:val="05C42B06"/>
    <w:rsid w:val="05CE62CF"/>
    <w:rsid w:val="06133F0F"/>
    <w:rsid w:val="06B90B6A"/>
    <w:rsid w:val="06BC52F1"/>
    <w:rsid w:val="076B696D"/>
    <w:rsid w:val="0795533A"/>
    <w:rsid w:val="08AB6053"/>
    <w:rsid w:val="08EC0490"/>
    <w:rsid w:val="093C2BEE"/>
    <w:rsid w:val="09AE2CD7"/>
    <w:rsid w:val="0A5128A5"/>
    <w:rsid w:val="0A5B4549"/>
    <w:rsid w:val="0A6B6CB3"/>
    <w:rsid w:val="0B341445"/>
    <w:rsid w:val="0B4F076E"/>
    <w:rsid w:val="0B573578"/>
    <w:rsid w:val="0B9F10D1"/>
    <w:rsid w:val="0C1D10E3"/>
    <w:rsid w:val="0C990845"/>
    <w:rsid w:val="0D132F22"/>
    <w:rsid w:val="0D831DBC"/>
    <w:rsid w:val="0D9F7680"/>
    <w:rsid w:val="0DC46DE1"/>
    <w:rsid w:val="0EE16F5F"/>
    <w:rsid w:val="0F737071"/>
    <w:rsid w:val="10A736C8"/>
    <w:rsid w:val="10B80E31"/>
    <w:rsid w:val="10D24ABA"/>
    <w:rsid w:val="1148181C"/>
    <w:rsid w:val="1254371D"/>
    <w:rsid w:val="129D4AEE"/>
    <w:rsid w:val="12A85590"/>
    <w:rsid w:val="12A91AF4"/>
    <w:rsid w:val="12CA4727"/>
    <w:rsid w:val="134A0EFD"/>
    <w:rsid w:val="137A106F"/>
    <w:rsid w:val="139D13A5"/>
    <w:rsid w:val="13C8680A"/>
    <w:rsid w:val="13E67CB4"/>
    <w:rsid w:val="140D5AA3"/>
    <w:rsid w:val="14115C4A"/>
    <w:rsid w:val="14166DFE"/>
    <w:rsid w:val="14CB44CC"/>
    <w:rsid w:val="151F7185"/>
    <w:rsid w:val="15307A52"/>
    <w:rsid w:val="156E5A03"/>
    <w:rsid w:val="176D5316"/>
    <w:rsid w:val="17F068CD"/>
    <w:rsid w:val="180B7766"/>
    <w:rsid w:val="181C7CD3"/>
    <w:rsid w:val="185271BE"/>
    <w:rsid w:val="189C4A00"/>
    <w:rsid w:val="1923069C"/>
    <w:rsid w:val="194277C5"/>
    <w:rsid w:val="194E3517"/>
    <w:rsid w:val="19665D4E"/>
    <w:rsid w:val="19912E67"/>
    <w:rsid w:val="19BF788E"/>
    <w:rsid w:val="19D27FA5"/>
    <w:rsid w:val="19F103D1"/>
    <w:rsid w:val="1A6F49F9"/>
    <w:rsid w:val="1B621741"/>
    <w:rsid w:val="1B663109"/>
    <w:rsid w:val="1BA9783F"/>
    <w:rsid w:val="1D61070B"/>
    <w:rsid w:val="1DBE0AAD"/>
    <w:rsid w:val="1DCC7D4F"/>
    <w:rsid w:val="1DD926C2"/>
    <w:rsid w:val="1E161E4E"/>
    <w:rsid w:val="1E3408D4"/>
    <w:rsid w:val="1E3E5231"/>
    <w:rsid w:val="1F256AB6"/>
    <w:rsid w:val="1F3E485B"/>
    <w:rsid w:val="1F4C5CC5"/>
    <w:rsid w:val="1F4D374B"/>
    <w:rsid w:val="1FBA3593"/>
    <w:rsid w:val="20FB75CB"/>
    <w:rsid w:val="210C6191"/>
    <w:rsid w:val="211248A7"/>
    <w:rsid w:val="217B1EBF"/>
    <w:rsid w:val="21C3636A"/>
    <w:rsid w:val="220313BE"/>
    <w:rsid w:val="224003C9"/>
    <w:rsid w:val="224019D1"/>
    <w:rsid w:val="22E42522"/>
    <w:rsid w:val="233D216E"/>
    <w:rsid w:val="23C92180"/>
    <w:rsid w:val="23D94A3F"/>
    <w:rsid w:val="23DE51ED"/>
    <w:rsid w:val="23DE607E"/>
    <w:rsid w:val="23F61AA1"/>
    <w:rsid w:val="243B27CA"/>
    <w:rsid w:val="24461951"/>
    <w:rsid w:val="246A6DF1"/>
    <w:rsid w:val="24CD1B6F"/>
    <w:rsid w:val="256F02EF"/>
    <w:rsid w:val="256F3D87"/>
    <w:rsid w:val="2594545B"/>
    <w:rsid w:val="25C20203"/>
    <w:rsid w:val="25ED5569"/>
    <w:rsid w:val="26260386"/>
    <w:rsid w:val="26476E62"/>
    <w:rsid w:val="265C1FC6"/>
    <w:rsid w:val="26870466"/>
    <w:rsid w:val="26A65E8D"/>
    <w:rsid w:val="26AB2595"/>
    <w:rsid w:val="26E94E7B"/>
    <w:rsid w:val="26ED7B90"/>
    <w:rsid w:val="273E698B"/>
    <w:rsid w:val="27426E9B"/>
    <w:rsid w:val="2745745E"/>
    <w:rsid w:val="27477601"/>
    <w:rsid w:val="275415C2"/>
    <w:rsid w:val="27DC4E9F"/>
    <w:rsid w:val="27ED7013"/>
    <w:rsid w:val="27F85338"/>
    <w:rsid w:val="28851ABC"/>
    <w:rsid w:val="28BA4589"/>
    <w:rsid w:val="28C51FFA"/>
    <w:rsid w:val="28E16679"/>
    <w:rsid w:val="28F82243"/>
    <w:rsid w:val="292E0BDF"/>
    <w:rsid w:val="2A0D05FB"/>
    <w:rsid w:val="2A747BDD"/>
    <w:rsid w:val="2A776991"/>
    <w:rsid w:val="2A7C42A7"/>
    <w:rsid w:val="2A7E037A"/>
    <w:rsid w:val="2ACB1C5D"/>
    <w:rsid w:val="2B637B77"/>
    <w:rsid w:val="2B66355D"/>
    <w:rsid w:val="2B6F1891"/>
    <w:rsid w:val="2BCB285F"/>
    <w:rsid w:val="2C103A8F"/>
    <w:rsid w:val="2C954195"/>
    <w:rsid w:val="2CC50878"/>
    <w:rsid w:val="2DBB7EEB"/>
    <w:rsid w:val="2E32018D"/>
    <w:rsid w:val="2E6B5BA8"/>
    <w:rsid w:val="2F390666"/>
    <w:rsid w:val="2F5862A7"/>
    <w:rsid w:val="2FC73F0E"/>
    <w:rsid w:val="30092B55"/>
    <w:rsid w:val="301D1AB0"/>
    <w:rsid w:val="303644A7"/>
    <w:rsid w:val="303E3D32"/>
    <w:rsid w:val="304A094E"/>
    <w:rsid w:val="30857D9E"/>
    <w:rsid w:val="30A428E8"/>
    <w:rsid w:val="310C49AB"/>
    <w:rsid w:val="319736F2"/>
    <w:rsid w:val="31A4298C"/>
    <w:rsid w:val="31BB2E0B"/>
    <w:rsid w:val="31D46F33"/>
    <w:rsid w:val="32064A9F"/>
    <w:rsid w:val="32093C25"/>
    <w:rsid w:val="325E2104"/>
    <w:rsid w:val="32A20DFD"/>
    <w:rsid w:val="33642E65"/>
    <w:rsid w:val="336A7170"/>
    <w:rsid w:val="33B354C6"/>
    <w:rsid w:val="33CA479E"/>
    <w:rsid w:val="3414611A"/>
    <w:rsid w:val="341F36EF"/>
    <w:rsid w:val="343529BC"/>
    <w:rsid w:val="3490267F"/>
    <w:rsid w:val="351C6E0F"/>
    <w:rsid w:val="356F6271"/>
    <w:rsid w:val="35856724"/>
    <w:rsid w:val="376E10FD"/>
    <w:rsid w:val="37EF2EFD"/>
    <w:rsid w:val="380B0473"/>
    <w:rsid w:val="38126E29"/>
    <w:rsid w:val="383A7868"/>
    <w:rsid w:val="3850315D"/>
    <w:rsid w:val="386729D3"/>
    <w:rsid w:val="38A25685"/>
    <w:rsid w:val="38CC1EE8"/>
    <w:rsid w:val="39972A2E"/>
    <w:rsid w:val="3A5211CE"/>
    <w:rsid w:val="3A744C20"/>
    <w:rsid w:val="3A950D58"/>
    <w:rsid w:val="3AE877BB"/>
    <w:rsid w:val="3B0375D5"/>
    <w:rsid w:val="3B4A2122"/>
    <w:rsid w:val="3BA75D7D"/>
    <w:rsid w:val="3BAF0DEE"/>
    <w:rsid w:val="3CFC09C8"/>
    <w:rsid w:val="3D036F30"/>
    <w:rsid w:val="3D2B48E6"/>
    <w:rsid w:val="3E401E19"/>
    <w:rsid w:val="3EE12D3E"/>
    <w:rsid w:val="3F06767F"/>
    <w:rsid w:val="3FB952F7"/>
    <w:rsid w:val="3FE458DE"/>
    <w:rsid w:val="3FFC386B"/>
    <w:rsid w:val="400A64D8"/>
    <w:rsid w:val="404213BA"/>
    <w:rsid w:val="4069344E"/>
    <w:rsid w:val="40801E8F"/>
    <w:rsid w:val="40D111CB"/>
    <w:rsid w:val="41AF5B4E"/>
    <w:rsid w:val="42B44D29"/>
    <w:rsid w:val="42C40C34"/>
    <w:rsid w:val="433C4AC6"/>
    <w:rsid w:val="439B26E7"/>
    <w:rsid w:val="43A023A2"/>
    <w:rsid w:val="43AD294A"/>
    <w:rsid w:val="43B90ADE"/>
    <w:rsid w:val="440037C6"/>
    <w:rsid w:val="44104314"/>
    <w:rsid w:val="44DB1FE4"/>
    <w:rsid w:val="44DC72AC"/>
    <w:rsid w:val="453A0C7D"/>
    <w:rsid w:val="45672FEC"/>
    <w:rsid w:val="45DD3171"/>
    <w:rsid w:val="45E06734"/>
    <w:rsid w:val="45EC6514"/>
    <w:rsid w:val="460562F5"/>
    <w:rsid w:val="473E665C"/>
    <w:rsid w:val="474F5CD5"/>
    <w:rsid w:val="47FB2F4F"/>
    <w:rsid w:val="48891CA7"/>
    <w:rsid w:val="48B26C4E"/>
    <w:rsid w:val="48EB2DB9"/>
    <w:rsid w:val="495048BA"/>
    <w:rsid w:val="49970512"/>
    <w:rsid w:val="499D6FB4"/>
    <w:rsid w:val="4A0D00F2"/>
    <w:rsid w:val="4A587E18"/>
    <w:rsid w:val="4AA91983"/>
    <w:rsid w:val="4ACB10EB"/>
    <w:rsid w:val="4B1F5709"/>
    <w:rsid w:val="4B6A5F9E"/>
    <w:rsid w:val="4BAF355A"/>
    <w:rsid w:val="4BB57442"/>
    <w:rsid w:val="4C1E335A"/>
    <w:rsid w:val="4C7E5546"/>
    <w:rsid w:val="4D1B7493"/>
    <w:rsid w:val="4D497122"/>
    <w:rsid w:val="4D6B3A81"/>
    <w:rsid w:val="4DC429F6"/>
    <w:rsid w:val="4DEB2D46"/>
    <w:rsid w:val="4E570E81"/>
    <w:rsid w:val="4E780CDD"/>
    <w:rsid w:val="4E7D2348"/>
    <w:rsid w:val="4EC71876"/>
    <w:rsid w:val="4EC71A0A"/>
    <w:rsid w:val="4EE364A3"/>
    <w:rsid w:val="4F020DC8"/>
    <w:rsid w:val="4F2C4521"/>
    <w:rsid w:val="4F7B5151"/>
    <w:rsid w:val="4FB80F90"/>
    <w:rsid w:val="4FDB5871"/>
    <w:rsid w:val="4FEE458B"/>
    <w:rsid w:val="50077466"/>
    <w:rsid w:val="50142192"/>
    <w:rsid w:val="501D508A"/>
    <w:rsid w:val="50582322"/>
    <w:rsid w:val="50B750EB"/>
    <w:rsid w:val="516C5B5B"/>
    <w:rsid w:val="51953E51"/>
    <w:rsid w:val="51DE7771"/>
    <w:rsid w:val="52F27F69"/>
    <w:rsid w:val="533D67A7"/>
    <w:rsid w:val="536569E2"/>
    <w:rsid w:val="53986646"/>
    <w:rsid w:val="539D2E02"/>
    <w:rsid w:val="53CE7141"/>
    <w:rsid w:val="53D01EED"/>
    <w:rsid w:val="54337CD0"/>
    <w:rsid w:val="54973394"/>
    <w:rsid w:val="549B6E2C"/>
    <w:rsid w:val="54C76213"/>
    <w:rsid w:val="54DD31B0"/>
    <w:rsid w:val="54E57410"/>
    <w:rsid w:val="551C17DD"/>
    <w:rsid w:val="552D7A22"/>
    <w:rsid w:val="552E60F4"/>
    <w:rsid w:val="55326BC5"/>
    <w:rsid w:val="56425196"/>
    <w:rsid w:val="56F468B3"/>
    <w:rsid w:val="575072DC"/>
    <w:rsid w:val="57B27068"/>
    <w:rsid w:val="57D65F02"/>
    <w:rsid w:val="582015A4"/>
    <w:rsid w:val="58750E20"/>
    <w:rsid w:val="58904D71"/>
    <w:rsid w:val="58DC148F"/>
    <w:rsid w:val="58FF3FBB"/>
    <w:rsid w:val="590326AA"/>
    <w:rsid w:val="59427D30"/>
    <w:rsid w:val="595118F9"/>
    <w:rsid w:val="59882E61"/>
    <w:rsid w:val="598B1BC0"/>
    <w:rsid w:val="59D219AD"/>
    <w:rsid w:val="59D26CD7"/>
    <w:rsid w:val="5AE66F31"/>
    <w:rsid w:val="5AF848DA"/>
    <w:rsid w:val="5B786331"/>
    <w:rsid w:val="5B92544F"/>
    <w:rsid w:val="5BC345DC"/>
    <w:rsid w:val="5BF30FC0"/>
    <w:rsid w:val="5C0D44D6"/>
    <w:rsid w:val="5C9B5A78"/>
    <w:rsid w:val="5CA261F3"/>
    <w:rsid w:val="5CEC0184"/>
    <w:rsid w:val="5CF95F8F"/>
    <w:rsid w:val="5D063523"/>
    <w:rsid w:val="5D4B0F09"/>
    <w:rsid w:val="5D632B58"/>
    <w:rsid w:val="5D6A1BFC"/>
    <w:rsid w:val="5D772567"/>
    <w:rsid w:val="5D821336"/>
    <w:rsid w:val="5DB65FBC"/>
    <w:rsid w:val="5E2C6091"/>
    <w:rsid w:val="5E3E1871"/>
    <w:rsid w:val="5E8D1806"/>
    <w:rsid w:val="5EB0424F"/>
    <w:rsid w:val="5ED03530"/>
    <w:rsid w:val="5EF65E2B"/>
    <w:rsid w:val="5EFB5E04"/>
    <w:rsid w:val="5F15455D"/>
    <w:rsid w:val="603320B6"/>
    <w:rsid w:val="604638DA"/>
    <w:rsid w:val="60E21FBC"/>
    <w:rsid w:val="6104312B"/>
    <w:rsid w:val="61162FFD"/>
    <w:rsid w:val="61D802B2"/>
    <w:rsid w:val="61EE2E97"/>
    <w:rsid w:val="6202633D"/>
    <w:rsid w:val="622B3DBA"/>
    <w:rsid w:val="62344F65"/>
    <w:rsid w:val="62D116C3"/>
    <w:rsid w:val="63677390"/>
    <w:rsid w:val="63872427"/>
    <w:rsid w:val="63EB2369"/>
    <w:rsid w:val="64234341"/>
    <w:rsid w:val="64A80600"/>
    <w:rsid w:val="652A6669"/>
    <w:rsid w:val="654B0F78"/>
    <w:rsid w:val="654E58ED"/>
    <w:rsid w:val="659D7D48"/>
    <w:rsid w:val="65BC625A"/>
    <w:rsid w:val="665E0A93"/>
    <w:rsid w:val="667506DA"/>
    <w:rsid w:val="66EE0966"/>
    <w:rsid w:val="6712040B"/>
    <w:rsid w:val="67301A95"/>
    <w:rsid w:val="67A0545E"/>
    <w:rsid w:val="67A07797"/>
    <w:rsid w:val="67A32CAD"/>
    <w:rsid w:val="684A0234"/>
    <w:rsid w:val="68591BB8"/>
    <w:rsid w:val="68724683"/>
    <w:rsid w:val="697D1351"/>
    <w:rsid w:val="69E77DAD"/>
    <w:rsid w:val="69F863C4"/>
    <w:rsid w:val="6A1C6787"/>
    <w:rsid w:val="6A264160"/>
    <w:rsid w:val="6B1A2B5E"/>
    <w:rsid w:val="6BD33FC7"/>
    <w:rsid w:val="6C7F1E85"/>
    <w:rsid w:val="6CB026A2"/>
    <w:rsid w:val="6CB80FCF"/>
    <w:rsid w:val="6CD47B0C"/>
    <w:rsid w:val="6CFC3C00"/>
    <w:rsid w:val="6CFC780B"/>
    <w:rsid w:val="6D4B460C"/>
    <w:rsid w:val="6D721D1D"/>
    <w:rsid w:val="6D9E0F7C"/>
    <w:rsid w:val="6E2F5FA1"/>
    <w:rsid w:val="6E655792"/>
    <w:rsid w:val="6EA3791E"/>
    <w:rsid w:val="6EA80B7C"/>
    <w:rsid w:val="6EFC2F33"/>
    <w:rsid w:val="6F3C0602"/>
    <w:rsid w:val="6FF74E60"/>
    <w:rsid w:val="70586027"/>
    <w:rsid w:val="70D172DB"/>
    <w:rsid w:val="71315B5B"/>
    <w:rsid w:val="71687F48"/>
    <w:rsid w:val="71A72738"/>
    <w:rsid w:val="71AF05D8"/>
    <w:rsid w:val="71D930D1"/>
    <w:rsid w:val="71FE68ED"/>
    <w:rsid w:val="726C1357"/>
    <w:rsid w:val="72AB0831"/>
    <w:rsid w:val="72D25E60"/>
    <w:rsid w:val="72DA26C2"/>
    <w:rsid w:val="737336DC"/>
    <w:rsid w:val="73990943"/>
    <w:rsid w:val="73A8645F"/>
    <w:rsid w:val="73EA3086"/>
    <w:rsid w:val="741603C7"/>
    <w:rsid w:val="741E1886"/>
    <w:rsid w:val="74230F7C"/>
    <w:rsid w:val="74725D8A"/>
    <w:rsid w:val="747A6C03"/>
    <w:rsid w:val="7488751E"/>
    <w:rsid w:val="75364A2B"/>
    <w:rsid w:val="75E440D7"/>
    <w:rsid w:val="760F4985"/>
    <w:rsid w:val="764C16DA"/>
    <w:rsid w:val="7665589F"/>
    <w:rsid w:val="76D83BAF"/>
    <w:rsid w:val="76FC4366"/>
    <w:rsid w:val="774F7006"/>
    <w:rsid w:val="78425FFC"/>
    <w:rsid w:val="78816175"/>
    <w:rsid w:val="788B6CAD"/>
    <w:rsid w:val="78B71359"/>
    <w:rsid w:val="78B82A14"/>
    <w:rsid w:val="78CF5B2A"/>
    <w:rsid w:val="791969D7"/>
    <w:rsid w:val="793A4A2A"/>
    <w:rsid w:val="7940087C"/>
    <w:rsid w:val="79480547"/>
    <w:rsid w:val="79543139"/>
    <w:rsid w:val="79745827"/>
    <w:rsid w:val="797A2301"/>
    <w:rsid w:val="79D730D6"/>
    <w:rsid w:val="79DA3284"/>
    <w:rsid w:val="79F06332"/>
    <w:rsid w:val="7A0F057B"/>
    <w:rsid w:val="7A1555E4"/>
    <w:rsid w:val="7A237B91"/>
    <w:rsid w:val="7A9A7FE5"/>
    <w:rsid w:val="7AB24933"/>
    <w:rsid w:val="7B1303C8"/>
    <w:rsid w:val="7B192E84"/>
    <w:rsid w:val="7B273D13"/>
    <w:rsid w:val="7BA56B95"/>
    <w:rsid w:val="7BA85534"/>
    <w:rsid w:val="7BAA11E2"/>
    <w:rsid w:val="7BC336CB"/>
    <w:rsid w:val="7C32267F"/>
    <w:rsid w:val="7C3C5E46"/>
    <w:rsid w:val="7C732A72"/>
    <w:rsid w:val="7CE04151"/>
    <w:rsid w:val="7D3C186E"/>
    <w:rsid w:val="7D4F44D5"/>
    <w:rsid w:val="7D9A0BC7"/>
    <w:rsid w:val="7DF723B6"/>
    <w:rsid w:val="7E0D2C7B"/>
    <w:rsid w:val="7E321FB0"/>
    <w:rsid w:val="7F8F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paragraph" w:styleId="4">
    <w:name w:val="heading 3"/>
    <w:basedOn w:val="1"/>
    <w:next w:val="1"/>
    <w:qFormat/>
    <w:uiPriority w:val="0"/>
    <w:pPr>
      <w:keepNext/>
      <w:keepLines/>
      <w:spacing w:before="80" w:after="80" w:line="360" w:lineRule="auto"/>
      <w:outlineLvl w:val="2"/>
    </w:pPr>
    <w:rPr>
      <w:b/>
      <w:bCs/>
      <w:sz w:val="24"/>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5">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6">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7">
    <w:name w:val="Body Text Indent"/>
    <w:basedOn w:val="1"/>
    <w:qFormat/>
    <w:uiPriority w:val="0"/>
    <w:pPr>
      <w:ind w:firstLine="630"/>
    </w:pPr>
    <w:rPr>
      <w:sz w:val="32"/>
      <w:szCs w:val="20"/>
    </w:rPr>
  </w:style>
  <w:style w:type="paragraph" w:styleId="8">
    <w:name w:val="Plain Text"/>
    <w:basedOn w:val="1"/>
    <w:next w:val="5"/>
    <w:qFormat/>
    <w:uiPriority w:val="0"/>
    <w:pPr>
      <w:widowControl w:val="0"/>
      <w:jc w:val="both"/>
    </w:pPr>
    <w:rPr>
      <w:rFonts w:ascii="宋体" w:hAnsi="Courier New" w:eastAsia="宋体" w:cs="Times New Roman"/>
      <w:kern w:val="0"/>
      <w:sz w:val="20"/>
      <w:szCs w:val="18"/>
      <w:lang w:val="en-US" w:eastAsia="zh-CN"/>
    </w:rPr>
  </w:style>
  <w:style w:type="paragraph" w:styleId="9">
    <w:name w:val="footer"/>
    <w:basedOn w:val="1"/>
    <w:unhideWhenUsed/>
    <w:qFormat/>
    <w:uiPriority w:val="0"/>
    <w:pPr>
      <w:tabs>
        <w:tab w:val="center" w:pos="4153"/>
        <w:tab w:val="right" w:pos="8306"/>
      </w:tabs>
      <w:snapToGrid w:val="0"/>
      <w:spacing w:beforeLines="0" w:afterLines="0"/>
    </w:pPr>
    <w:rPr>
      <w:rFonts w:hint="default"/>
      <w:kern w:val="0"/>
      <w:sz w:val="18"/>
      <w:lang w:val="zh-CN"/>
    </w:rPr>
  </w:style>
  <w:style w:type="paragraph" w:styleId="10">
    <w:name w:val="toc 1"/>
    <w:basedOn w:val="1"/>
    <w:next w:val="1"/>
    <w:qFormat/>
    <w:uiPriority w:val="0"/>
  </w:style>
  <w:style w:type="paragraph" w:styleId="11">
    <w:name w:val="Subtitle"/>
    <w:basedOn w:val="1"/>
    <w:next w:val="1"/>
    <w:qFormat/>
    <w:uiPriority w:val="11"/>
    <w:pPr>
      <w:spacing w:after="60"/>
      <w:jc w:val="center"/>
      <w:outlineLvl w:val="1"/>
    </w:pPr>
    <w:rPr>
      <w:rFonts w:ascii="Cambria" w:hAnsi="Cambria"/>
    </w:rPr>
  </w:style>
  <w:style w:type="paragraph" w:styleId="12">
    <w:name w:val="toc 2"/>
    <w:basedOn w:val="1"/>
    <w:next w:val="1"/>
    <w:qFormat/>
    <w:uiPriority w:val="0"/>
    <w:pPr>
      <w:ind w:left="420" w:leftChars="200"/>
    </w:pPr>
  </w:style>
  <w:style w:type="table" w:styleId="14">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FollowedHyperlink"/>
    <w:basedOn w:val="15"/>
    <w:qFormat/>
    <w:uiPriority w:val="0"/>
    <w:rPr>
      <w:color w:val="3177FD"/>
      <w:u w:val="none"/>
    </w:rPr>
  </w:style>
  <w:style w:type="character" w:styleId="18">
    <w:name w:val="HTML Definition"/>
    <w:basedOn w:val="15"/>
    <w:qFormat/>
    <w:uiPriority w:val="0"/>
    <w:rPr>
      <w:i/>
      <w:sz w:val="21"/>
      <w:szCs w:val="21"/>
      <w:bdr w:val="single" w:color="auto" w:sz="2" w:space="0"/>
    </w:rPr>
  </w:style>
  <w:style w:type="character" w:styleId="19">
    <w:name w:val="Hyperlink"/>
    <w:basedOn w:val="15"/>
    <w:qFormat/>
    <w:uiPriority w:val="0"/>
    <w:rPr>
      <w:color w:val="3177FD"/>
      <w:u w:val="none"/>
    </w:rPr>
  </w:style>
  <w:style w:type="character" w:styleId="20">
    <w:name w:val="HTML Code"/>
    <w:basedOn w:val="15"/>
    <w:qFormat/>
    <w:uiPriority w:val="0"/>
    <w:rPr>
      <w:rFonts w:ascii="Consolas" w:hAnsi="Consolas" w:eastAsia="Consolas" w:cs="Consolas"/>
      <w:b/>
      <w:sz w:val="21"/>
      <w:szCs w:val="21"/>
      <w:u w:val="none"/>
    </w:rPr>
  </w:style>
  <w:style w:type="character" w:styleId="21">
    <w:name w:val="HTML Keyboard"/>
    <w:basedOn w:val="15"/>
    <w:qFormat/>
    <w:uiPriority w:val="0"/>
    <w:rPr>
      <w:rFonts w:hint="default" w:ascii="Consolas" w:hAnsi="Consolas" w:eastAsia="Consolas" w:cs="Consolas"/>
      <w:sz w:val="21"/>
      <w:szCs w:val="21"/>
    </w:rPr>
  </w:style>
  <w:style w:type="character" w:styleId="22">
    <w:name w:val="HTML Sample"/>
    <w:basedOn w:val="15"/>
    <w:qFormat/>
    <w:uiPriority w:val="0"/>
    <w:rPr>
      <w:rFonts w:hint="default" w:ascii="Consolas" w:hAnsi="Consolas" w:eastAsia="Consolas" w:cs="Consolas"/>
      <w:sz w:val="21"/>
      <w:szCs w:val="21"/>
      <w:shd w:val="clear" w:fill="3177FD"/>
    </w:rPr>
  </w:style>
  <w:style w:type="character" w:customStyle="1" w:styleId="23">
    <w:name w:val="large"/>
    <w:basedOn w:val="15"/>
    <w:qFormat/>
    <w:uiPriority w:val="0"/>
    <w:rPr>
      <w:color w:val="197AFF"/>
      <w:sz w:val="24"/>
      <w:szCs w:val="24"/>
    </w:rPr>
  </w:style>
  <w:style w:type="character" w:customStyle="1" w:styleId="24">
    <w:name w:val="right"/>
    <w:basedOn w:val="15"/>
    <w:qFormat/>
    <w:uiPriority w:val="0"/>
    <w:rPr>
      <w:sz w:val="18"/>
      <w:szCs w:val="18"/>
    </w:rPr>
  </w:style>
  <w:style w:type="character" w:customStyle="1" w:styleId="25">
    <w:name w:val="last-child"/>
    <w:basedOn w:val="15"/>
    <w:qFormat/>
    <w:uiPriority w:val="0"/>
    <w:rPr>
      <w:color w:val="1C2026"/>
      <w:sz w:val="36"/>
      <w:szCs w:val="36"/>
    </w:rPr>
  </w:style>
  <w:style w:type="character" w:customStyle="1" w:styleId="26">
    <w:name w:val="last-child1"/>
    <w:basedOn w:val="15"/>
    <w:qFormat/>
    <w:uiPriority w:val="0"/>
    <w:rPr>
      <w:color w:val="1C2026"/>
      <w:sz w:val="36"/>
      <w:szCs w:val="36"/>
    </w:rPr>
  </w:style>
  <w:style w:type="character" w:customStyle="1" w:styleId="27">
    <w:name w:val="last-child2"/>
    <w:basedOn w:val="15"/>
    <w:qFormat/>
    <w:uiPriority w:val="0"/>
    <w:rPr>
      <w:color w:val="1C2026"/>
      <w:sz w:val="36"/>
      <w:szCs w:val="36"/>
    </w:rPr>
  </w:style>
  <w:style w:type="character" w:customStyle="1" w:styleId="28">
    <w:name w:val="last-child3"/>
    <w:basedOn w:val="15"/>
    <w:qFormat/>
    <w:uiPriority w:val="0"/>
    <w:rPr>
      <w:color w:val="3445FD"/>
    </w:rPr>
  </w:style>
  <w:style w:type="character" w:customStyle="1" w:styleId="29">
    <w:name w:val="last-child4"/>
    <w:basedOn w:val="15"/>
    <w:qFormat/>
    <w:uiPriority w:val="0"/>
    <w:rPr>
      <w:color w:val="1C2026"/>
      <w:sz w:val="36"/>
      <w:szCs w:val="36"/>
    </w:rPr>
  </w:style>
  <w:style w:type="character" w:customStyle="1" w:styleId="30">
    <w:name w:val="last-child5"/>
    <w:basedOn w:val="15"/>
    <w:qFormat/>
    <w:uiPriority w:val="0"/>
    <w:rPr>
      <w:b/>
      <w:color w:val="1C2026"/>
      <w:sz w:val="24"/>
      <w:szCs w:val="24"/>
    </w:rPr>
  </w:style>
  <w:style w:type="character" w:customStyle="1" w:styleId="31">
    <w:name w:val="ant-select-tree-checkbox"/>
    <w:basedOn w:val="15"/>
    <w:qFormat/>
    <w:uiPriority w:val="0"/>
  </w:style>
  <w:style w:type="character" w:customStyle="1" w:styleId="32">
    <w:name w:val="desc"/>
    <w:basedOn w:val="15"/>
    <w:qFormat/>
    <w:uiPriority w:val="0"/>
  </w:style>
  <w:style w:type="character" w:customStyle="1" w:styleId="33">
    <w:name w:val="year"/>
    <w:basedOn w:val="15"/>
    <w:qFormat/>
    <w:uiPriority w:val="0"/>
  </w:style>
  <w:style w:type="character" w:customStyle="1" w:styleId="34">
    <w:name w:val="small"/>
    <w:basedOn w:val="15"/>
    <w:qFormat/>
    <w:uiPriority w:val="0"/>
    <w:rPr>
      <w:color w:val="197AFF"/>
      <w:sz w:val="18"/>
      <w:szCs w:val="18"/>
    </w:rPr>
  </w:style>
  <w:style w:type="character" w:customStyle="1" w:styleId="35">
    <w:name w:val="small1"/>
    <w:basedOn w:val="15"/>
    <w:qFormat/>
    <w:uiPriority w:val="0"/>
    <w:rPr>
      <w:sz w:val="18"/>
      <w:szCs w:val="18"/>
    </w:rPr>
  </w:style>
  <w:style w:type="character" w:customStyle="1" w:styleId="36">
    <w:name w:val="small2"/>
    <w:basedOn w:val="15"/>
    <w:qFormat/>
    <w:uiPriority w:val="0"/>
    <w:rPr>
      <w:sz w:val="21"/>
      <w:szCs w:val="21"/>
    </w:rPr>
  </w:style>
  <w:style w:type="character" w:customStyle="1" w:styleId="37">
    <w:name w:val="href-title"/>
    <w:basedOn w:val="15"/>
    <w:qFormat/>
    <w:uiPriority w:val="0"/>
  </w:style>
  <w:style w:type="character" w:customStyle="1" w:styleId="38">
    <w:name w:val="nth-child(2n)"/>
    <w:basedOn w:val="15"/>
    <w:qFormat/>
    <w:uiPriority w:val="0"/>
    <w:rPr>
      <w:sz w:val="60"/>
      <w:szCs w:val="60"/>
    </w:rPr>
  </w:style>
  <w:style w:type="character" w:customStyle="1" w:styleId="39">
    <w:name w:val="nth-child(2n)1"/>
    <w:basedOn w:val="15"/>
    <w:qFormat/>
    <w:uiPriority w:val="0"/>
  </w:style>
  <w:style w:type="character" w:customStyle="1" w:styleId="40">
    <w:name w:val="nth-child(2n)2"/>
    <w:basedOn w:val="15"/>
    <w:qFormat/>
    <w:uiPriority w:val="0"/>
    <w:rPr>
      <w:sz w:val="60"/>
      <w:szCs w:val="60"/>
    </w:rPr>
  </w:style>
  <w:style w:type="character" w:customStyle="1" w:styleId="41">
    <w:name w:val="nth-child(2n)3"/>
    <w:basedOn w:val="15"/>
    <w:qFormat/>
    <w:uiPriority w:val="0"/>
  </w:style>
  <w:style w:type="character" w:customStyle="1" w:styleId="42">
    <w:name w:val="ant-select-tree-iconele"/>
    <w:basedOn w:val="15"/>
    <w:qFormat/>
    <w:uiPriority w:val="0"/>
  </w:style>
  <w:style w:type="character" w:customStyle="1" w:styleId="43">
    <w:name w:val="ant-radio+*"/>
    <w:basedOn w:val="15"/>
    <w:qFormat/>
    <w:uiPriority w:val="0"/>
  </w:style>
  <w:style w:type="character" w:customStyle="1" w:styleId="44">
    <w:name w:val="ant-radio+*1"/>
    <w:basedOn w:val="15"/>
    <w:qFormat/>
    <w:uiPriority w:val="0"/>
  </w:style>
  <w:style w:type="character" w:customStyle="1" w:styleId="45">
    <w:name w:val="ant-select-tree-switcher"/>
    <w:basedOn w:val="15"/>
    <w:qFormat/>
    <w:uiPriority w:val="0"/>
  </w:style>
  <w:style w:type="character" w:customStyle="1" w:styleId="46">
    <w:name w:val="ant-input38"/>
    <w:basedOn w:val="15"/>
    <w:qFormat/>
    <w:uiPriority w:val="0"/>
  </w:style>
  <w:style w:type="character" w:customStyle="1" w:styleId="47">
    <w:name w:val="first-child"/>
    <w:basedOn w:val="15"/>
    <w:qFormat/>
    <w:uiPriority w:val="0"/>
    <w:rPr>
      <w:color w:val="818898"/>
      <w:sz w:val="18"/>
      <w:szCs w:val="18"/>
    </w:rPr>
  </w:style>
  <w:style w:type="character" w:customStyle="1" w:styleId="48">
    <w:name w:val="first-child1"/>
    <w:basedOn w:val="15"/>
    <w:qFormat/>
    <w:uiPriority w:val="0"/>
    <w:rPr>
      <w:color w:val="818898"/>
      <w:sz w:val="18"/>
      <w:szCs w:val="18"/>
    </w:rPr>
  </w:style>
  <w:style w:type="character" w:customStyle="1" w:styleId="49">
    <w:name w:val="first-child2"/>
    <w:basedOn w:val="15"/>
    <w:qFormat/>
    <w:uiPriority w:val="0"/>
    <w:rPr>
      <w:color w:val="818898"/>
      <w:sz w:val="18"/>
      <w:szCs w:val="18"/>
    </w:rPr>
  </w:style>
  <w:style w:type="character" w:customStyle="1" w:styleId="50">
    <w:name w:val="first-child3"/>
    <w:basedOn w:val="15"/>
    <w:qFormat/>
    <w:uiPriority w:val="0"/>
    <w:rPr>
      <w:color w:val="818898"/>
      <w:sz w:val="18"/>
      <w:szCs w:val="18"/>
    </w:rPr>
  </w:style>
  <w:style w:type="character" w:customStyle="1" w:styleId="51">
    <w:name w:val="first-child4"/>
    <w:basedOn w:val="15"/>
    <w:qFormat/>
    <w:uiPriority w:val="0"/>
    <w:rPr>
      <w:b/>
      <w:color w:val="818898"/>
      <w:sz w:val="18"/>
      <w:szCs w:val="18"/>
    </w:rPr>
  </w:style>
  <w:style w:type="character" w:customStyle="1" w:styleId="52">
    <w:name w:val="nth-child(odd)"/>
    <w:basedOn w:val="15"/>
    <w:qFormat/>
    <w:uiPriority w:val="0"/>
    <w:rPr>
      <w:rFonts w:ascii="PingFang SC" w:hAnsi="PingFang SC" w:eastAsia="PingFang SC" w:cs="PingFang SC"/>
      <w:sz w:val="72"/>
      <w:szCs w:val="72"/>
      <w:shd w:val="clear" w:fill="F2F5F9"/>
    </w:rPr>
  </w:style>
  <w:style w:type="character" w:customStyle="1" w:styleId="53">
    <w:name w:val="nth-child(odd)1"/>
    <w:basedOn w:val="15"/>
    <w:qFormat/>
    <w:uiPriority w:val="0"/>
    <w:rPr>
      <w:rFonts w:hint="default" w:ascii="PingFang SC" w:hAnsi="PingFang SC" w:eastAsia="PingFang SC" w:cs="PingFang SC"/>
      <w:sz w:val="27"/>
      <w:szCs w:val="27"/>
      <w:shd w:val="clear" w:fill="FFFFFF"/>
    </w:rPr>
  </w:style>
  <w:style w:type="character" w:customStyle="1" w:styleId="54">
    <w:name w:val="nth-child(odd)2"/>
    <w:basedOn w:val="15"/>
    <w:qFormat/>
    <w:uiPriority w:val="0"/>
    <w:rPr>
      <w:rFonts w:hint="default" w:ascii="PingFang SC" w:hAnsi="PingFang SC" w:eastAsia="PingFang SC" w:cs="PingFang SC"/>
      <w:sz w:val="72"/>
      <w:szCs w:val="72"/>
      <w:shd w:val="clear" w:fill="F2F5F9"/>
    </w:rPr>
  </w:style>
  <w:style w:type="character" w:customStyle="1" w:styleId="55">
    <w:name w:val="nth-child(odd)3"/>
    <w:basedOn w:val="15"/>
    <w:qFormat/>
    <w:uiPriority w:val="0"/>
    <w:rPr>
      <w:rFonts w:hint="default" w:ascii="PingFang SC" w:hAnsi="PingFang SC" w:eastAsia="PingFang SC" w:cs="PingFang SC"/>
      <w:sz w:val="27"/>
      <w:szCs w:val="27"/>
      <w:shd w:val="clear" w:fill="FFFFFF"/>
    </w:rPr>
  </w:style>
  <w:style w:type="character" w:customStyle="1" w:styleId="56">
    <w:name w:val="small-suffix"/>
    <w:basedOn w:val="15"/>
    <w:qFormat/>
    <w:uiPriority w:val="0"/>
    <w:rPr>
      <w:rFonts w:hint="default" w:ascii="PingFang SC" w:hAnsi="PingFang SC" w:eastAsia="PingFang SC" w:cs="PingFang SC"/>
      <w:sz w:val="24"/>
      <w:szCs w:val="24"/>
    </w:rPr>
  </w:style>
  <w:style w:type="character" w:customStyle="1" w:styleId="57">
    <w:name w:val="small-suffix1"/>
    <w:basedOn w:val="15"/>
    <w:qFormat/>
    <w:uiPriority w:val="0"/>
    <w:rPr>
      <w:rFonts w:hint="default" w:ascii="PingFang SC" w:hAnsi="PingFang SC" w:eastAsia="PingFang SC" w:cs="PingFang SC"/>
      <w:sz w:val="24"/>
      <w:szCs w:val="24"/>
    </w:rPr>
  </w:style>
  <w:style w:type="character" w:customStyle="1" w:styleId="58">
    <w:name w:val="ant-select-tree-checkbox2"/>
    <w:basedOn w:val="15"/>
    <w:qFormat/>
    <w:uiPriority w:val="0"/>
  </w:style>
  <w:style w:type="character" w:customStyle="1" w:styleId="59">
    <w:name w:val="hover10"/>
    <w:basedOn w:val="15"/>
    <w:qFormat/>
    <w:uiPriority w:val="0"/>
    <w:rPr>
      <w:color w:val="3177FD"/>
    </w:rPr>
  </w:style>
  <w:style w:type="character" w:customStyle="1" w:styleId="60">
    <w:name w:val="info-content"/>
    <w:basedOn w:val="15"/>
    <w:qFormat/>
    <w:uiPriority w:val="0"/>
    <w:rPr>
      <w:color w:val="808080"/>
    </w:rPr>
  </w:style>
  <w:style w:type="character" w:customStyle="1" w:styleId="61">
    <w:name w:val="change-camera-place"/>
    <w:basedOn w:val="15"/>
    <w:qFormat/>
    <w:uiPriority w:val="0"/>
    <w:rPr>
      <w:color w:val="3177FD"/>
    </w:rPr>
  </w:style>
  <w:style w:type="character" w:customStyle="1" w:styleId="62">
    <w:name w:val="last-of-type"/>
    <w:basedOn w:val="15"/>
    <w:qFormat/>
    <w:uiPriority w:val="0"/>
    <w:rPr>
      <w:color w:val="FF4A44"/>
      <w:sz w:val="27"/>
      <w:szCs w:val="27"/>
    </w:rPr>
  </w:style>
  <w:style w:type="character" w:customStyle="1" w:styleId="63">
    <w:name w:val="info-label"/>
    <w:basedOn w:val="15"/>
    <w:qFormat/>
    <w:uiPriority w:val="0"/>
    <w:rPr>
      <w:b/>
    </w:rPr>
  </w:style>
  <w:style w:type="character" w:customStyle="1" w:styleId="64">
    <w:name w:val="ant-tree-icon_loading"/>
    <w:basedOn w:val="15"/>
    <w:qFormat/>
    <w:uiPriority w:val="0"/>
    <w:rPr>
      <w:shd w:val="clear" w:fill="FFFFFF"/>
    </w:rPr>
  </w:style>
  <w:style w:type="character" w:customStyle="1" w:styleId="65">
    <w:name w:val="content"/>
    <w:basedOn w:val="15"/>
    <w:qFormat/>
    <w:uiPriority w:val="0"/>
  </w:style>
  <w:style w:type="character" w:customStyle="1" w:styleId="66">
    <w:name w:val="label"/>
    <w:basedOn w:val="15"/>
    <w:qFormat/>
    <w:uiPriority w:val="0"/>
  </w:style>
  <w:style w:type="character" w:customStyle="1" w:styleId="67">
    <w:name w:val="ant-input56"/>
    <w:basedOn w:val="15"/>
    <w:qFormat/>
    <w:uiPriority w:val="0"/>
  </w:style>
  <w:style w:type="character" w:customStyle="1" w:styleId="68">
    <w:name w:val="ant-badge-status-dot2"/>
    <w:basedOn w:val="15"/>
    <w:qFormat/>
    <w:uiPriority w:val="0"/>
    <w:rPr>
      <w:shd w:val="clear" w:fill="FFFFFF"/>
    </w:rPr>
  </w:style>
  <w:style w:type="character" w:customStyle="1" w:styleId="69">
    <w:name w:val="ant-tree-checkbox2"/>
    <w:basedOn w:val="15"/>
    <w:qFormat/>
    <w:uiPriority w:val="0"/>
  </w:style>
  <w:style w:type="character" w:customStyle="1" w:styleId="70">
    <w:name w:val="ant-tree-iconele"/>
    <w:basedOn w:val="15"/>
    <w:qFormat/>
    <w:uiPriority w:val="0"/>
  </w:style>
  <w:style w:type="character" w:customStyle="1" w:styleId="71">
    <w:name w:val="ant-tree-switcher"/>
    <w:basedOn w:val="15"/>
    <w:qFormat/>
    <w:uiPriority w:val="0"/>
  </w:style>
  <w:style w:type="character" w:customStyle="1" w:styleId="72">
    <w:name w:val="tag-type"/>
    <w:basedOn w:val="15"/>
    <w:qFormat/>
    <w:uiPriority w:val="0"/>
    <w:rPr>
      <w:color w:val="FFFFFF"/>
      <w:sz w:val="18"/>
      <w:szCs w:val="18"/>
      <w:shd w:val="clear" w:fill="317FFD"/>
    </w:rPr>
  </w:style>
  <w:style w:type="character" w:customStyle="1" w:styleId="73">
    <w:name w:val="tag-type1"/>
    <w:basedOn w:val="15"/>
    <w:qFormat/>
    <w:uiPriority w:val="0"/>
    <w:rPr>
      <w:color w:val="FFFFFF"/>
      <w:sz w:val="18"/>
      <w:szCs w:val="18"/>
      <w:shd w:val="clear" w:fill="317FFD"/>
    </w:rPr>
  </w:style>
  <w:style w:type="character" w:customStyle="1" w:styleId="74">
    <w:name w:val="last-child6"/>
    <w:basedOn w:val="15"/>
    <w:qFormat/>
    <w:uiPriority w:val="0"/>
  </w:style>
  <w:style w:type="character" w:customStyle="1" w:styleId="75">
    <w:name w:val="last-child7"/>
    <w:basedOn w:val="15"/>
    <w:qFormat/>
    <w:uiPriority w:val="0"/>
  </w:style>
  <w:style w:type="character" w:customStyle="1" w:styleId="76">
    <w:name w:val="last-child8"/>
    <w:basedOn w:val="15"/>
    <w:qFormat/>
    <w:uiPriority w:val="0"/>
  </w:style>
  <w:style w:type="character" w:customStyle="1" w:styleId="77">
    <w:name w:val="last-child9"/>
    <w:basedOn w:val="15"/>
    <w:qFormat/>
    <w:uiPriority w:val="0"/>
  </w:style>
  <w:style w:type="character" w:customStyle="1" w:styleId="78">
    <w:name w:val="current"/>
    <w:basedOn w:val="15"/>
    <w:qFormat/>
    <w:uiPriority w:val="0"/>
    <w:rPr>
      <w:color w:val="00C1DE"/>
    </w:rPr>
  </w:style>
  <w:style w:type="character" w:customStyle="1" w:styleId="79">
    <w:name w:val="current1"/>
    <w:basedOn w:val="15"/>
    <w:qFormat/>
    <w:uiPriority w:val="0"/>
    <w:rPr>
      <w:color w:val="00C1DE"/>
    </w:rPr>
  </w:style>
  <w:style w:type="character" w:customStyle="1" w:styleId="80">
    <w:name w:val="ant-form-item-children1"/>
    <w:basedOn w:val="15"/>
    <w:qFormat/>
    <w:uiPriority w:val="0"/>
  </w:style>
  <w:style w:type="character" w:customStyle="1" w:styleId="81">
    <w:name w:val="label2"/>
    <w:basedOn w:val="15"/>
    <w:qFormat/>
    <w:uiPriority w:val="0"/>
  </w:style>
  <w:style w:type="character" w:customStyle="1" w:styleId="82">
    <w:name w:val="content10"/>
    <w:basedOn w:val="15"/>
    <w:qFormat/>
    <w:uiPriority w:val="0"/>
  </w:style>
  <w:style w:type="paragraph" w:customStyle="1" w:styleId="83">
    <w:name w:val="GW-正文"/>
    <w:basedOn w:val="1"/>
    <w:qFormat/>
    <w:uiPriority w:val="0"/>
    <w:pPr>
      <w:spacing w:line="360" w:lineRule="auto"/>
      <w:ind w:firstLine="200"/>
    </w:pPr>
    <w:rPr>
      <w:rFonts w:ascii="Times New Roman" w:hAnsi="Times New Roman" w:cs="Times New Roman"/>
    </w:rPr>
  </w:style>
  <w:style w:type="paragraph" w:customStyle="1" w:styleId="84">
    <w:name w:val="样式 首行缩进:  2 字符"/>
    <w:basedOn w:val="1"/>
    <w:qFormat/>
    <w:uiPriority w:val="0"/>
    <w:pPr>
      <w:spacing w:line="400" w:lineRule="exact"/>
      <w:ind w:firstLine="200" w:firstLineChars="200"/>
    </w:pPr>
    <w:rPr>
      <w:rFonts w:cs="宋体"/>
      <w:sz w:val="24"/>
    </w:rPr>
  </w:style>
  <w:style w:type="paragraph" w:customStyle="1" w:styleId="85">
    <w:name w:val="列出段落1"/>
    <w:basedOn w:val="1"/>
    <w:qFormat/>
    <w:uiPriority w:val="34"/>
    <w:pPr>
      <w:ind w:firstLine="420"/>
    </w:pPr>
    <w:rPr>
      <w:rFonts w:ascii="Times New Roman" w:hAnsi="Times New Roman" w:cs="Times New Roman"/>
    </w:rPr>
  </w:style>
  <w:style w:type="paragraph" w:customStyle="1" w:styleId="86">
    <w:name w:val="_Style 35"/>
    <w:basedOn w:val="1"/>
    <w:qFormat/>
    <w:uiPriority w:val="0"/>
    <w:pPr>
      <w:ind w:firstLine="420"/>
    </w:pPr>
    <w:rPr>
      <w:sz w:val="18"/>
      <w:szCs w:val="18"/>
    </w:rPr>
  </w:style>
  <w:style w:type="paragraph" w:customStyle="1" w:styleId="87">
    <w:name w:val="07、“1.1”正文五级标题"/>
    <w:basedOn w:val="1"/>
    <w:qFormat/>
    <w:uiPriority w:val="0"/>
    <w:pPr>
      <w:spacing w:after="200" w:line="276" w:lineRule="auto"/>
    </w:pPr>
    <w:rPr>
      <w:rFonts w:ascii="Times New Roman" w:hAnsi="Times New Roman"/>
    </w:rPr>
  </w:style>
  <w:style w:type="paragraph" w:styleId="88">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89">
    <w:name w:val="二级条标题"/>
    <w:next w:val="90"/>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9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1">
    <w:name w:val="正文表标题"/>
    <w:next w:val="90"/>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2">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3">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4">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35378</Words>
  <Characters>36904</Characters>
  <Lines>0</Lines>
  <Paragraphs>0</Paragraphs>
  <TotalTime>0</TotalTime>
  <ScaleCrop>false</ScaleCrop>
  <LinksUpToDate>false</LinksUpToDate>
  <CharactersWithSpaces>37587</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Administrator</cp:lastModifiedBy>
  <dcterms:modified xsi:type="dcterms:W3CDTF">2021-12-17T06:02:52Z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