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rPr>
      </w:pP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cs="宋体"/>
          <w:sz w:val="32"/>
          <w:szCs w:val="32"/>
          <w:lang w:eastAsia="zh-CN"/>
        </w:rPr>
        <w:t xml:space="preserve">成都市新都区人民政府三河街道办事处市民文化中心LED显示屏采购项目（第二次） </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cs="宋体"/>
          <w:sz w:val="32"/>
          <w:szCs w:val="32"/>
          <w:lang w:eastAsia="zh-CN"/>
        </w:rPr>
        <w:t>新都政采（2021）A0054号-1</w:t>
      </w:r>
    </w:p>
    <w:p>
      <w:pPr>
        <w:spacing w:line="360" w:lineRule="auto"/>
        <w:ind w:firstLine="1280" w:firstLineChars="400"/>
        <w:rPr>
          <w:rFonts w:hint="eastAsia" w:ascii="宋体" w:hAnsi="宋体" w:eastAsia="宋体" w:cs="宋体"/>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rPr>
      </w:pPr>
      <w:r>
        <w:rPr>
          <w:rFonts w:hint="eastAsia" w:ascii="宋体" w:hAnsi="宋体" w:cs="宋体"/>
          <w:sz w:val="32"/>
          <w:szCs w:val="32"/>
          <w:lang w:eastAsia="zh-CN"/>
        </w:rPr>
        <w:t>成都市新都区人民政府三河街道办事处</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成都市</w:t>
      </w:r>
      <w:r>
        <w:rPr>
          <w:rFonts w:hint="eastAsia" w:ascii="宋体" w:hAnsi="宋体" w:cs="宋体"/>
          <w:sz w:val="32"/>
          <w:szCs w:val="32"/>
          <w:lang w:eastAsia="zh-CN"/>
        </w:rPr>
        <w:t>新都区</w:t>
      </w:r>
      <w:r>
        <w:rPr>
          <w:rFonts w:hint="eastAsia" w:ascii="宋体" w:hAnsi="宋体" w:eastAsia="宋体" w:cs="宋体"/>
          <w:sz w:val="32"/>
          <w:szCs w:val="32"/>
        </w:rPr>
        <w:t>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十一</w:t>
      </w:r>
      <w:r>
        <w:rPr>
          <w:rFonts w:hint="eastAsia" w:ascii="宋体" w:hAnsi="宋体" w:eastAsia="宋体" w:cs="宋体"/>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01328520"/>
      <w:bookmarkStart w:id="1" w:name="_Toc101234248"/>
      <w:bookmarkStart w:id="2" w:name="_Toc101247312"/>
      <w:bookmarkStart w:id="3" w:name="_Toc148505181"/>
      <w:r>
        <w:rPr>
          <w:rFonts w:hint="eastAsia" w:ascii="宋体" w:hAnsi="宋体"/>
          <w:b/>
          <w:sz w:val="32"/>
          <w:szCs w:val="32"/>
        </w:rPr>
        <w:t>目 录</w:t>
      </w:r>
    </w:p>
    <w:p>
      <w:pPr>
        <w:pStyle w:val="29"/>
        <w:tabs>
          <w:tab w:val="right" w:leader="dot" w:pos="8958"/>
          <w:tab w:val="clear" w:pos="709"/>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smallCaps/>
        </w:rPr>
        <w:instrText xml:space="preserve"> TOC \o "1-2" \h \z \u </w:instrText>
      </w:r>
      <w:r>
        <w:rPr>
          <w:rFonts w:hint="eastAsia" w:ascii="仿宋_GB2312" w:hAnsi="仿宋_GB2312" w:eastAsia="仿宋_GB2312" w:cs="仿宋_GB2312"/>
        </w:rPr>
        <w:fldChar w:fldCharType="separate"/>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_Toc21354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pacing w:val="-20"/>
          <w:kern w:val="44"/>
          <w:szCs w:val="32"/>
        </w:rPr>
        <w:t xml:space="preserve">第1章 </w:t>
      </w:r>
      <w:r>
        <w:rPr>
          <w:rFonts w:hint="eastAsia" w:ascii="仿宋_GB2312" w:hAnsi="仿宋_GB2312" w:eastAsia="仿宋_GB2312" w:cs="仿宋_GB2312"/>
          <w:bCs/>
          <w:spacing w:val="-20"/>
          <w:kern w:val="44"/>
          <w:szCs w:val="32"/>
        </w:rPr>
        <w:t>投标邀请</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_Toc21354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3</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29"/>
        <w:tabs>
          <w:tab w:val="right" w:leader="dot" w:pos="8958"/>
          <w:tab w:val="clear" w:pos="709"/>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_Toc14070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pacing w:val="-20"/>
          <w:kern w:val="44"/>
          <w:szCs w:val="32"/>
        </w:rPr>
        <w:t xml:space="preserve">第2章 </w:t>
      </w:r>
      <w:r>
        <w:rPr>
          <w:rFonts w:hint="eastAsia" w:ascii="仿宋_GB2312" w:hAnsi="仿宋_GB2312" w:eastAsia="仿宋_GB2312" w:cs="仿宋_GB2312"/>
          <w:bCs/>
          <w:spacing w:val="-20"/>
          <w:kern w:val="44"/>
          <w:szCs w:val="32"/>
        </w:rPr>
        <w:t>投标人须知</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_Toc14070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_Toc19909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2.1 </w:t>
      </w:r>
      <w:r>
        <w:rPr>
          <w:rFonts w:hint="eastAsia" w:ascii="仿宋_GB2312" w:hAnsi="仿宋_GB2312" w:eastAsia="仿宋_GB2312" w:cs="仿宋_GB2312"/>
          <w:bCs/>
          <w:szCs w:val="28"/>
        </w:rPr>
        <w:t>投标人须知前附表</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_Toc19909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_Toc4661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2.2 </w:t>
      </w:r>
      <w:r>
        <w:rPr>
          <w:rFonts w:hint="eastAsia" w:ascii="仿宋_GB2312" w:hAnsi="仿宋_GB2312" w:eastAsia="仿宋_GB2312" w:cs="仿宋_GB2312"/>
          <w:bCs/>
          <w:szCs w:val="28"/>
        </w:rPr>
        <w:t>总则</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_Toc4661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9</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_Toc706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2.3 </w:t>
      </w:r>
      <w:r>
        <w:rPr>
          <w:rFonts w:hint="eastAsia" w:ascii="仿宋_GB2312" w:hAnsi="仿宋_GB2312" w:eastAsia="仿宋_GB2312" w:cs="仿宋_GB2312"/>
          <w:bCs/>
          <w:szCs w:val="28"/>
        </w:rPr>
        <w:t>招标文件</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_Toc706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_Toc11824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2.4 </w:t>
      </w:r>
      <w:r>
        <w:rPr>
          <w:rFonts w:hint="eastAsia" w:ascii="仿宋_GB2312" w:hAnsi="仿宋_GB2312" w:eastAsia="仿宋_GB2312" w:cs="仿宋_GB2312"/>
          <w:bCs/>
          <w:szCs w:val="28"/>
        </w:rPr>
        <w:t>投标文件</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_Toc11824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12</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_Toc20628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2.5 </w:t>
      </w:r>
      <w:r>
        <w:rPr>
          <w:rFonts w:hint="eastAsia" w:ascii="仿宋_GB2312" w:hAnsi="仿宋_GB2312" w:eastAsia="仿宋_GB2312" w:cs="仿宋_GB2312"/>
          <w:bCs/>
          <w:szCs w:val="28"/>
        </w:rPr>
        <w:t>开标、资格审查、评标和中标</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_Toc20628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18</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_Toc26512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2.6 </w:t>
      </w:r>
      <w:r>
        <w:rPr>
          <w:rFonts w:hint="eastAsia" w:ascii="仿宋_GB2312" w:hAnsi="仿宋_GB2312" w:eastAsia="仿宋_GB2312" w:cs="仿宋_GB2312"/>
          <w:bCs/>
          <w:szCs w:val="28"/>
        </w:rPr>
        <w:t>签订及履行合同和验收</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_Toc26512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20</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_Toc9106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2.7 </w:t>
      </w:r>
      <w:r>
        <w:rPr>
          <w:rFonts w:hint="eastAsia" w:ascii="仿宋_GB2312" w:hAnsi="仿宋_GB2312" w:eastAsia="仿宋_GB2312" w:cs="仿宋_GB2312"/>
          <w:bCs/>
          <w:szCs w:val="28"/>
        </w:rPr>
        <w:t>投标纪律要求</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_Toc9106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22</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_Toc14934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2.8 </w:t>
      </w:r>
      <w:r>
        <w:rPr>
          <w:rFonts w:hint="eastAsia" w:ascii="仿宋_GB2312" w:hAnsi="仿宋_GB2312" w:eastAsia="仿宋_GB2312" w:cs="仿宋_GB2312"/>
          <w:bCs/>
          <w:szCs w:val="28"/>
        </w:rPr>
        <w:t>询问、质疑和投诉</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_Toc14934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24</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_Toc27808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2.9 </w:t>
      </w:r>
      <w:r>
        <w:rPr>
          <w:rFonts w:hint="eastAsia" w:ascii="仿宋_GB2312" w:hAnsi="仿宋_GB2312" w:eastAsia="仿宋_GB2312" w:cs="仿宋_GB2312"/>
          <w:bCs/>
          <w:szCs w:val="28"/>
        </w:rPr>
        <w:t>中小企业政府采购信用融资</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_Toc27808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25</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29"/>
        <w:tabs>
          <w:tab w:val="right" w:leader="dot" w:pos="8958"/>
          <w:tab w:val="clear" w:pos="709"/>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_Toc11571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pacing w:val="-20"/>
          <w:kern w:val="44"/>
          <w:szCs w:val="32"/>
        </w:rPr>
        <w:t xml:space="preserve">第3章 </w:t>
      </w:r>
      <w:r>
        <w:rPr>
          <w:rFonts w:hint="eastAsia" w:ascii="仿宋_GB2312" w:hAnsi="仿宋_GB2312" w:eastAsia="仿宋_GB2312" w:cs="仿宋_GB2312"/>
          <w:bCs/>
          <w:spacing w:val="-20"/>
          <w:kern w:val="44"/>
          <w:szCs w:val="32"/>
        </w:rPr>
        <w:t>投标文件格式</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_Toc11571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27</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_Toc29592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3.1 </w:t>
      </w:r>
      <w:r>
        <w:rPr>
          <w:rFonts w:hint="eastAsia" w:ascii="仿宋_GB2312" w:hAnsi="仿宋_GB2312" w:eastAsia="仿宋_GB2312" w:cs="仿宋_GB2312"/>
          <w:bCs/>
          <w:szCs w:val="28"/>
        </w:rPr>
        <w:t>投标文件封面格式</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_Toc29592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27</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_Toc7360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3.2 </w:t>
      </w:r>
      <w:r>
        <w:rPr>
          <w:rFonts w:hint="eastAsia" w:ascii="仿宋_GB2312" w:hAnsi="仿宋_GB2312" w:eastAsia="仿宋_GB2312" w:cs="仿宋_GB2312"/>
          <w:bCs/>
          <w:szCs w:val="28"/>
        </w:rPr>
        <w:t>资格响应文件</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_Toc7360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28</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_Toc11825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3.3 </w:t>
      </w:r>
      <w:r>
        <w:rPr>
          <w:rFonts w:hint="eastAsia" w:ascii="仿宋_GB2312" w:hAnsi="仿宋_GB2312" w:eastAsia="仿宋_GB2312" w:cs="仿宋_GB2312"/>
          <w:bCs/>
          <w:szCs w:val="28"/>
        </w:rPr>
        <w:t>商务技术响应文件</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_Toc11825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36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_Toc3410 </w:instrText>
      </w:r>
      <w:r>
        <w:rPr>
          <w:rFonts w:hint="eastAsia" w:ascii="仿宋_GB2312" w:hAnsi="仿宋_GB2312" w:eastAsia="仿宋_GB2312" w:cs="仿宋_GB2312"/>
        </w:rPr>
        <w:fldChar w:fldCharType="separate"/>
      </w:r>
      <w:r>
        <w:rPr>
          <w:rFonts w:hint="eastAsia" w:ascii="仿宋_GB2312" w:hAnsi="仿宋_GB2312" w:eastAsia="仿宋_GB2312" w:cs="仿宋_GB2312"/>
          <w:i w:val="0"/>
          <w:szCs w:val="28"/>
        </w:rPr>
        <w:t xml:space="preserve">3.4 </w:t>
      </w:r>
      <w:r>
        <w:rPr>
          <w:rFonts w:hint="eastAsia" w:ascii="仿宋_GB2312" w:hAnsi="仿宋_GB2312" w:eastAsia="仿宋_GB2312" w:cs="仿宋_GB2312"/>
        </w:rPr>
        <w:t>报价</w:t>
      </w:r>
      <w:r>
        <w:rPr>
          <w:rFonts w:hint="eastAsia" w:ascii="仿宋_GB2312" w:hAnsi="仿宋_GB2312" w:eastAsia="仿宋_GB2312" w:cs="仿宋_GB2312"/>
          <w:bCs/>
          <w:szCs w:val="28"/>
        </w:rPr>
        <w:t>要求</w:t>
      </w:r>
      <w:r>
        <w:rPr>
          <w:rFonts w:hint="eastAsia" w:ascii="仿宋_GB2312" w:hAnsi="仿宋_GB2312" w:eastAsia="仿宋_GB2312" w:cs="仿宋_GB2312"/>
        </w:rPr>
        <w:t>响应文件</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_Toc3410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43</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29"/>
        <w:tabs>
          <w:tab w:val="right" w:leader="dot" w:pos="8958"/>
          <w:tab w:val="clear" w:pos="709"/>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_Toc18176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pacing w:val="-20"/>
          <w:kern w:val="44"/>
          <w:szCs w:val="32"/>
        </w:rPr>
        <w:t xml:space="preserve">第4章 </w:t>
      </w:r>
      <w:r>
        <w:rPr>
          <w:rFonts w:hint="eastAsia" w:ascii="仿宋_GB2312" w:hAnsi="仿宋_GB2312" w:eastAsia="仿宋_GB2312" w:cs="仿宋_GB2312"/>
          <w:bCs/>
          <w:spacing w:val="-20"/>
          <w:kern w:val="44"/>
          <w:szCs w:val="32"/>
        </w:rPr>
        <w:t>招标项目技术、服务、商务及其他要求</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_Toc18176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_Toc8311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4.1 </w:t>
      </w:r>
      <w:r>
        <w:rPr>
          <w:rFonts w:hint="eastAsia" w:ascii="仿宋_GB2312" w:hAnsi="仿宋_GB2312" w:eastAsia="仿宋_GB2312" w:cs="仿宋_GB2312"/>
          <w:bCs/>
          <w:szCs w:val="32"/>
        </w:rPr>
        <w:t>项目概况</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_Toc8311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_Toc7546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4.2 </w:t>
      </w:r>
      <w:r>
        <w:rPr>
          <w:rFonts w:hint="eastAsia" w:ascii="仿宋_GB2312" w:hAnsi="仿宋_GB2312" w:eastAsia="仿宋_GB2312" w:cs="仿宋_GB2312"/>
          <w:bCs/>
          <w:szCs w:val="32"/>
        </w:rPr>
        <w:t>采购内容</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_Toc7546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_Toc29544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4.3 </w:t>
      </w:r>
      <w:r>
        <w:rPr>
          <w:rFonts w:hint="eastAsia" w:ascii="仿宋_GB2312" w:hAnsi="仿宋_GB2312" w:eastAsia="仿宋_GB2312" w:cs="仿宋_GB2312"/>
          <w:bCs/>
          <w:szCs w:val="32"/>
        </w:rPr>
        <w:t>技术参数及要求</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_Toc29544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46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_Toc5613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4.4 </w:t>
      </w:r>
      <w:r>
        <w:rPr>
          <w:rFonts w:hint="eastAsia" w:ascii="仿宋_GB2312" w:hAnsi="仿宋_GB2312" w:eastAsia="仿宋_GB2312" w:cs="仿宋_GB2312"/>
          <w:bCs/>
          <w:szCs w:val="28"/>
        </w:rPr>
        <w:t>商务要求</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_Toc5613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51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_Toc7033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4.5 </w:t>
      </w:r>
      <w:r>
        <w:rPr>
          <w:rFonts w:hint="eastAsia" w:ascii="仿宋_GB2312" w:hAnsi="仿宋_GB2312" w:eastAsia="仿宋_GB2312" w:cs="仿宋_GB2312"/>
          <w:bCs/>
          <w:szCs w:val="28"/>
        </w:rPr>
        <w:t>最高限价</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_Toc7033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54</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_Toc1418 </w:instrText>
      </w:r>
      <w:r>
        <w:rPr>
          <w:rFonts w:hint="eastAsia" w:ascii="仿宋_GB2312" w:hAnsi="仿宋_GB2312" w:eastAsia="仿宋_GB2312" w:cs="仿宋_GB2312"/>
        </w:rPr>
        <w:fldChar w:fldCharType="separate"/>
      </w:r>
      <w:r>
        <w:rPr>
          <w:rFonts w:hint="eastAsia" w:ascii="仿宋_GB2312" w:hAnsi="仿宋_GB2312" w:eastAsia="仿宋_GB2312" w:cs="仿宋_GB2312"/>
          <w:i w:val="0"/>
          <w:szCs w:val="28"/>
        </w:rPr>
        <w:t xml:space="preserve">4.6 </w:t>
      </w:r>
      <w:r>
        <w:rPr>
          <w:rFonts w:hint="eastAsia" w:ascii="仿宋_GB2312" w:hAnsi="仿宋_GB2312" w:eastAsia="仿宋_GB2312" w:cs="仿宋_GB2312"/>
          <w:szCs w:val="28"/>
        </w:rPr>
        <w:t>其他要求</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_Toc1418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54</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29"/>
        <w:tabs>
          <w:tab w:val="right" w:leader="dot" w:pos="8958"/>
          <w:tab w:val="clear" w:pos="709"/>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_Toc16046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pacing w:val="-20"/>
          <w:kern w:val="44"/>
          <w:szCs w:val="32"/>
        </w:rPr>
        <w:t xml:space="preserve">第5章 </w:t>
      </w:r>
      <w:r>
        <w:rPr>
          <w:rFonts w:hint="eastAsia" w:ascii="仿宋_GB2312" w:hAnsi="仿宋_GB2312" w:eastAsia="仿宋_GB2312" w:cs="仿宋_GB2312"/>
          <w:bCs/>
          <w:spacing w:val="-20"/>
          <w:kern w:val="44"/>
          <w:szCs w:val="32"/>
        </w:rPr>
        <w:t>资格性审查</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_Toc16046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56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29"/>
        <w:tabs>
          <w:tab w:val="right" w:leader="dot" w:pos="8958"/>
          <w:tab w:val="clear" w:pos="709"/>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_Toc14060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pacing w:val="-20"/>
          <w:kern w:val="44"/>
          <w:szCs w:val="32"/>
        </w:rPr>
        <w:t xml:space="preserve">第6章 </w:t>
      </w:r>
      <w:r>
        <w:rPr>
          <w:rFonts w:hint="eastAsia" w:ascii="仿宋_GB2312" w:hAnsi="仿宋_GB2312" w:eastAsia="仿宋_GB2312" w:cs="仿宋_GB2312"/>
          <w:bCs/>
          <w:spacing w:val="-20"/>
          <w:kern w:val="44"/>
          <w:szCs w:val="32"/>
        </w:rPr>
        <w:t>评标办法</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_Toc14060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60</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_Toc1566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6.1 </w:t>
      </w:r>
      <w:r>
        <w:rPr>
          <w:rFonts w:hint="eastAsia" w:ascii="仿宋_GB2312" w:hAnsi="仿宋_GB2312" w:eastAsia="仿宋_GB2312" w:cs="仿宋_GB2312"/>
          <w:bCs/>
          <w:szCs w:val="28"/>
        </w:rPr>
        <w:t>总则</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_Toc1566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60</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_Toc18420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6.2 </w:t>
      </w:r>
      <w:r>
        <w:rPr>
          <w:rFonts w:hint="eastAsia" w:ascii="仿宋_GB2312" w:hAnsi="仿宋_GB2312" w:eastAsia="仿宋_GB2312" w:cs="仿宋_GB2312"/>
          <w:bCs/>
          <w:szCs w:val="28"/>
        </w:rPr>
        <w:t>评标方法</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_Toc18420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61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_Toc11934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6.3 </w:t>
      </w:r>
      <w:r>
        <w:rPr>
          <w:rFonts w:hint="eastAsia" w:ascii="仿宋_GB2312" w:hAnsi="仿宋_GB2312" w:eastAsia="仿宋_GB2312" w:cs="仿宋_GB2312"/>
          <w:bCs/>
          <w:szCs w:val="28"/>
        </w:rPr>
        <w:t>评标程序</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_Toc11934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61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_Toc1741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6.4 </w:t>
      </w:r>
      <w:r>
        <w:rPr>
          <w:rFonts w:hint="eastAsia" w:ascii="仿宋_GB2312" w:hAnsi="仿宋_GB2312" w:eastAsia="仿宋_GB2312" w:cs="仿宋_GB2312"/>
          <w:bCs/>
          <w:szCs w:val="28"/>
        </w:rPr>
        <w:t>评标争议处理规则</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_Toc1741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68</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_Toc26543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6.5 </w:t>
      </w:r>
      <w:r>
        <w:rPr>
          <w:rFonts w:hint="eastAsia" w:ascii="仿宋_GB2312" w:hAnsi="仿宋_GB2312" w:eastAsia="仿宋_GB2312" w:cs="仿宋_GB2312"/>
          <w:bCs/>
          <w:szCs w:val="28"/>
        </w:rPr>
        <w:t>评标细则及标准</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_Toc26543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68</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_Toc7913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6.6 </w:t>
      </w:r>
      <w:r>
        <w:rPr>
          <w:rFonts w:hint="eastAsia" w:ascii="仿宋_GB2312" w:hAnsi="仿宋_GB2312" w:eastAsia="仿宋_GB2312" w:cs="仿宋_GB2312"/>
          <w:bCs/>
          <w:szCs w:val="28"/>
        </w:rPr>
        <w:t>废标</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_Toc7913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70</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_Toc26891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6.7 </w:t>
      </w:r>
      <w:r>
        <w:rPr>
          <w:rFonts w:hint="eastAsia" w:ascii="仿宋_GB2312" w:hAnsi="仿宋_GB2312" w:eastAsia="仿宋_GB2312" w:cs="仿宋_GB2312"/>
          <w:bCs/>
          <w:szCs w:val="28"/>
        </w:rPr>
        <w:t>定标</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_Toc26891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71</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_Toc746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6.8 </w:t>
      </w:r>
      <w:r>
        <w:rPr>
          <w:rFonts w:hint="eastAsia" w:ascii="仿宋_GB2312" w:hAnsi="仿宋_GB2312" w:eastAsia="仿宋_GB2312" w:cs="仿宋_GB2312"/>
          <w:bCs/>
          <w:szCs w:val="28"/>
        </w:rPr>
        <w:t>评标专家在政府采购活动中承担以下义务</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_Toc746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72</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_Toc13675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6.9 </w:t>
      </w:r>
      <w:r>
        <w:rPr>
          <w:rFonts w:hint="eastAsia" w:ascii="仿宋_GB2312" w:hAnsi="仿宋_GB2312" w:eastAsia="仿宋_GB2312" w:cs="仿宋_GB2312"/>
          <w:bCs/>
          <w:szCs w:val="28"/>
        </w:rPr>
        <w:t>评标委员会及其成员不得有下列行为</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_Toc13675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73</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35"/>
        <w:tabs>
          <w:tab w:val="right" w:leader="dot" w:pos="8958"/>
          <w:tab w:val="clear" w:pos="620"/>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_Toc8890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zCs w:val="28"/>
        </w:rPr>
        <w:t xml:space="preserve">6.10 </w:t>
      </w:r>
      <w:r>
        <w:rPr>
          <w:rFonts w:hint="eastAsia" w:ascii="仿宋_GB2312" w:hAnsi="仿宋_GB2312" w:eastAsia="仿宋_GB2312" w:cs="仿宋_GB2312"/>
          <w:bCs/>
          <w:szCs w:val="28"/>
        </w:rPr>
        <w:t>评审专家在政府采购活动中应当遵守以下工作纪律</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_Toc8890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73</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29"/>
        <w:tabs>
          <w:tab w:val="right" w:leader="dot" w:pos="8958"/>
          <w:tab w:val="clear" w:pos="709"/>
          <w:tab w:val="clear" w:pos="8364"/>
        </w:tabs>
        <w:rPr>
          <w:rFonts w:hint="eastAsia"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_Toc31946 </w:instrText>
      </w:r>
      <w:r>
        <w:rPr>
          <w:rFonts w:hint="eastAsia" w:ascii="仿宋_GB2312" w:hAnsi="仿宋_GB2312" w:eastAsia="仿宋_GB2312" w:cs="仿宋_GB2312"/>
        </w:rPr>
        <w:fldChar w:fldCharType="separate"/>
      </w:r>
      <w:r>
        <w:rPr>
          <w:rFonts w:hint="eastAsia" w:ascii="仿宋_GB2312" w:hAnsi="仿宋_GB2312" w:eastAsia="仿宋_GB2312" w:cs="仿宋_GB2312"/>
          <w:bCs/>
          <w:i w:val="0"/>
          <w:spacing w:val="-20"/>
          <w:kern w:val="44"/>
          <w:szCs w:val="32"/>
        </w:rPr>
        <w:t xml:space="preserve">第7章 </w:t>
      </w:r>
      <w:r>
        <w:rPr>
          <w:rFonts w:hint="eastAsia" w:ascii="仿宋_GB2312" w:hAnsi="仿宋_GB2312" w:eastAsia="仿宋_GB2312" w:cs="仿宋_GB2312"/>
          <w:bCs/>
          <w:spacing w:val="-20"/>
          <w:kern w:val="44"/>
          <w:szCs w:val="32"/>
        </w:rPr>
        <w:t>拟签订合同文本</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_Toc31946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76</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tabs>
          <w:tab w:val="left" w:pos="620"/>
          <w:tab w:val="right" w:leader="dot" w:pos="8364"/>
        </w:tabs>
        <w:ind w:left="180"/>
        <w:rPr>
          <w:rFonts w:hint="eastAsia" w:ascii="仿宋_GB2312" w:hAnsi="仿宋_GB2312" w:eastAsia="仿宋_GB2312" w:cs="仿宋_GB2312"/>
          <w:b/>
          <w:bCs/>
          <w:caps/>
          <w:smallCaps/>
          <w:sz w:val="20"/>
          <w:szCs w:val="20"/>
        </w:rPr>
      </w:pPr>
      <w:r>
        <w:rPr>
          <w:rFonts w:hint="eastAsia" w:ascii="仿宋_GB2312" w:hAnsi="仿宋_GB2312" w:eastAsia="仿宋_GB2312" w:cs="仿宋_GB2312"/>
        </w:rPr>
        <w:fldChar w:fldCharType="end"/>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21354"/>
      <w:bookmarkStart w:id="6" w:name="_Toc204575871"/>
      <w:bookmarkStart w:id="7" w:name="_Toc181610856"/>
      <w:r>
        <w:rPr>
          <w:rFonts w:hint="eastAsia" w:ascii="宋体" w:hAnsi="宋体"/>
          <w:b/>
          <w:bCs/>
          <w:spacing w:val="-20"/>
          <w:kern w:val="44"/>
          <w:sz w:val="32"/>
          <w:szCs w:val="32"/>
        </w:rPr>
        <w:t>投标邀请</w:t>
      </w:r>
      <w:bookmarkEnd w:id="4"/>
      <w:bookmarkEnd w:id="5"/>
      <w:bookmarkEnd w:id="6"/>
      <w:bookmarkEnd w:id="7"/>
    </w:p>
    <w:p>
      <w:pPr>
        <w:spacing w:line="360" w:lineRule="auto"/>
        <w:ind w:firstLine="568" w:firstLineChars="202"/>
        <w:rPr>
          <w:rFonts w:ascii="宋体" w:hAnsi="宋体"/>
          <w:sz w:val="28"/>
          <w:szCs w:val="28"/>
        </w:rPr>
      </w:pPr>
      <w:r>
        <w:rPr>
          <w:rFonts w:hint="eastAsia" w:ascii="宋体" w:hAnsi="宋体"/>
          <w:b/>
          <w:bCs/>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宋体" w:hAnsi="宋体"/>
          <w:b/>
          <w:bCs/>
          <w:sz w:val="28"/>
          <w:szCs w:val="28"/>
          <w:lang w:eastAsia="zh-CN"/>
        </w:rPr>
        <w:t>成都市新都区人民政府三河街道办事处</w:t>
      </w:r>
      <w:r>
        <w:rPr>
          <w:rFonts w:hint="eastAsia" w:ascii="宋体" w:hAnsi="宋体"/>
          <w:sz w:val="28"/>
          <w:szCs w:val="28"/>
        </w:rPr>
        <w:t>委托，拟对</w:t>
      </w:r>
      <w:r>
        <w:rPr>
          <w:rFonts w:hint="eastAsia" w:ascii="宋体" w:hAnsi="宋体"/>
          <w:b/>
          <w:bCs/>
          <w:sz w:val="28"/>
          <w:szCs w:val="28"/>
          <w:lang w:eastAsia="zh-CN"/>
        </w:rPr>
        <w:t xml:space="preserve">成都市新都区人民政府三河街道办事处市民文化中心LED显示屏采购项目（第二次） </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新都政采（2021）A0054号-1</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（采购项目编号：510114202100329）</w:t>
      </w:r>
    </w:p>
    <w:p>
      <w:pPr>
        <w:numPr>
          <w:ilvl w:val="0"/>
          <w:numId w:val="6"/>
        </w:numPr>
        <w:spacing w:line="360" w:lineRule="auto"/>
        <w:ind w:left="988"/>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 xml:space="preserve">成都市新都区人民政府三河街道办事处市民文化中心LED显示屏采购项目（第二次） </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lang w:eastAsia="zh-CN"/>
        </w:rPr>
        <w:t>（2021）0571号</w:t>
      </w:r>
      <w:r>
        <w:rPr>
          <w:rFonts w:hint="eastAsia" w:ascii="宋体" w:hAnsi="宋体"/>
          <w:sz w:val="28"/>
          <w:szCs w:val="28"/>
        </w:rPr>
        <w:t>；预算品目：A020207LED显示屏；预算总金额：</w:t>
      </w:r>
      <w:r>
        <w:rPr>
          <w:rFonts w:hint="eastAsia" w:ascii="宋体" w:hAnsi="宋体"/>
          <w:sz w:val="28"/>
          <w:szCs w:val="28"/>
          <w:lang w:val="en-US" w:eastAsia="zh-CN"/>
        </w:rPr>
        <w:t>26.00</w:t>
      </w:r>
      <w:r>
        <w:rPr>
          <w:rFonts w:hint="eastAsia" w:ascii="宋体" w:hAnsi="宋体"/>
          <w:sz w:val="28"/>
          <w:szCs w:val="28"/>
        </w:rPr>
        <w:t>万元；最高限价：</w:t>
      </w:r>
      <w:r>
        <w:rPr>
          <w:rFonts w:hint="eastAsia" w:ascii="宋体" w:hAnsi="宋体"/>
          <w:sz w:val="28"/>
          <w:szCs w:val="28"/>
          <w:lang w:val="en-US" w:eastAsia="zh-CN"/>
        </w:rPr>
        <w:t>26.00万元</w:t>
      </w:r>
      <w:r>
        <w:rPr>
          <w:rFonts w:hint="eastAsia" w:ascii="宋体" w:hAnsi="宋体"/>
          <w:sz w:val="28"/>
          <w:szCs w:val="28"/>
        </w:rPr>
        <w:t>。</w:t>
      </w:r>
    </w:p>
    <w:p>
      <w:pPr>
        <w:numPr>
          <w:ilvl w:val="0"/>
          <w:numId w:val="6"/>
        </w:numPr>
        <w:spacing w:line="360" w:lineRule="auto"/>
        <w:ind w:left="0" w:firstLine="567"/>
        <w:rPr>
          <w:rFonts w:hint="eastAsia" w:ascii="宋体" w:hAnsi="宋体"/>
          <w:sz w:val="28"/>
          <w:szCs w:val="28"/>
        </w:rPr>
      </w:pPr>
      <w:r>
        <w:rPr>
          <w:rFonts w:hint="eastAsia" w:ascii="宋体" w:hAnsi="宋体"/>
          <w:b/>
          <w:sz w:val="28"/>
          <w:szCs w:val="28"/>
        </w:rPr>
        <w:t>招标项目简介</w:t>
      </w:r>
    </w:p>
    <w:tbl>
      <w:tblPr>
        <w:tblStyle w:val="42"/>
        <w:tblpPr w:leftFromText="180" w:rightFromText="180" w:vertAnchor="text" w:horzAnchor="page" w:tblpX="1733" w:tblpY="128"/>
        <w:tblOverlap w:val="never"/>
        <w:tblW w:w="8243" w:type="dxa"/>
        <w:tblInd w:w="0" w:type="dxa"/>
        <w:tblLayout w:type="fixed"/>
        <w:tblCellMar>
          <w:top w:w="15" w:type="dxa"/>
          <w:left w:w="15" w:type="dxa"/>
          <w:bottom w:w="15" w:type="dxa"/>
          <w:right w:w="15" w:type="dxa"/>
        </w:tblCellMar>
      </w:tblPr>
      <w:tblGrid>
        <w:gridCol w:w="1134"/>
        <w:gridCol w:w="2838"/>
        <w:gridCol w:w="1555"/>
        <w:gridCol w:w="1358"/>
        <w:gridCol w:w="1358"/>
      </w:tblGrid>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序号</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设备名称（标的名称）</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单位</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数量</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所属行业</w:t>
            </w:r>
          </w:p>
        </w:tc>
      </w:tr>
      <w:tr>
        <w:tblPrEx>
          <w:tblLayout w:type="fixed"/>
          <w:tblCellMar>
            <w:top w:w="15" w:type="dxa"/>
            <w:left w:w="15" w:type="dxa"/>
            <w:bottom w:w="15" w:type="dxa"/>
            <w:right w:w="15" w:type="dxa"/>
          </w:tblCellMar>
        </w:tblPrEx>
        <w:trPr>
          <w:trHeight w:val="431"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室内全彩屏</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eastAsia="宋体" w:cs="仿宋"/>
                <w:color w:val="000000"/>
                <w:sz w:val="24"/>
                <w:szCs w:val="24"/>
                <w:lang w:eastAsia="zh-CN"/>
              </w:rPr>
            </w:pPr>
            <w:r>
              <w:rPr>
                <w:rFonts w:hint="eastAsia" w:hAnsi="宋体" w:cs="仿宋"/>
                <w:color w:val="000000"/>
                <w:sz w:val="24"/>
                <w:szCs w:val="24"/>
              </w:rPr>
              <w:t>平方</w:t>
            </w:r>
            <w:r>
              <w:rPr>
                <w:rFonts w:hint="eastAsia" w:hAnsi="宋体" w:cs="仿宋"/>
                <w:color w:val="000000"/>
                <w:sz w:val="24"/>
                <w:szCs w:val="24"/>
                <w:lang w:eastAsia="zh-CN"/>
              </w:rPr>
              <w:t>米</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22.64</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2</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开关电源</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80</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3</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接收卡</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张</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52</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4</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视频处理器</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套</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5</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配电柜</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6</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音视频播放终端</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7</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线性阵列音箱</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只</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2</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8</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双通道功放</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9</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数字音频处理器</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10</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8路电源时序器</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11</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设备机柜</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个</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12</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jc w:val="center"/>
              <w:textAlignment w:val="center"/>
              <w:rPr>
                <w:rFonts w:hint="eastAsia" w:hAnsi="宋体" w:cs="仿宋"/>
                <w:color w:val="000000"/>
                <w:sz w:val="24"/>
                <w:szCs w:val="24"/>
              </w:rPr>
            </w:pPr>
            <w:r>
              <w:rPr>
                <w:rFonts w:hint="eastAsia" w:hAnsi="宋体" w:cs="仿宋"/>
                <w:color w:val="000000"/>
                <w:sz w:val="24"/>
                <w:szCs w:val="24"/>
              </w:rPr>
              <w:t>安装及调试</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项</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w:t>
            </w:r>
          </w:p>
        </w:tc>
      </w:tr>
    </w:tbl>
    <w:p>
      <w:pPr>
        <w:spacing w:line="360" w:lineRule="auto"/>
        <w:ind w:firstLine="560" w:firstLineChars="200"/>
        <w:rPr>
          <w:rFonts w:hint="eastAsia" w:ascii="宋体" w:hAnsi="宋体"/>
          <w:sz w:val="28"/>
          <w:szCs w:val="28"/>
        </w:rPr>
      </w:pPr>
      <w:r>
        <w:rPr>
          <w:rFonts w:hint="eastAsia" w:ascii="宋体" w:hAnsi="宋体"/>
          <w:sz w:val="28"/>
          <w:szCs w:val="28"/>
        </w:rPr>
        <w:t>注：可以不提供“安装及调试”此项的企业的中小企业声明。</w:t>
      </w:r>
    </w:p>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7"/>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本项目为专门面向中小企业采购项目，服务全部由符合政策要求的中小企业承接。（说明：监狱企业、残疾人福利性单位视同小型、微型企业）</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6"/>
        </w:numPr>
        <w:spacing w:line="360" w:lineRule="auto"/>
        <w:ind w:left="0" w:firstLine="567"/>
        <w:rPr>
          <w:rFonts w:ascii="宋体" w:hAnsi="宋体"/>
          <w:b/>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b/>
          <w:color w:val="0000FF"/>
          <w:sz w:val="28"/>
          <w:highlight w:val="none"/>
        </w:rPr>
      </w:pPr>
      <w:r>
        <w:rPr>
          <w:rFonts w:hint="eastAsia" w:ascii="宋体" w:hAnsi="宋体"/>
          <w:b/>
          <w:color w:val="0000FF"/>
          <w:sz w:val="28"/>
          <w:szCs w:val="28"/>
          <w:highlight w:val="none"/>
        </w:rPr>
        <w:t>招标文件获取时间：2021年</w:t>
      </w:r>
      <w:r>
        <w:rPr>
          <w:rFonts w:hint="eastAsia" w:ascii="宋体" w:hAnsi="宋体"/>
          <w:b/>
          <w:color w:val="0000FF"/>
          <w:sz w:val="28"/>
          <w:szCs w:val="28"/>
          <w:highlight w:val="none"/>
          <w:lang w:val="en-US" w:eastAsia="zh-CN"/>
        </w:rPr>
        <w:t>11</w:t>
      </w:r>
      <w:r>
        <w:rPr>
          <w:rFonts w:hint="eastAsia" w:ascii="宋体" w:hAnsi="宋体"/>
          <w:b/>
          <w:color w:val="0000FF"/>
          <w:sz w:val="28"/>
          <w:szCs w:val="28"/>
          <w:highlight w:val="none"/>
        </w:rPr>
        <w:t>月</w:t>
      </w:r>
      <w:r>
        <w:rPr>
          <w:rFonts w:hint="eastAsia" w:ascii="宋体" w:hAnsi="宋体"/>
          <w:b/>
          <w:color w:val="0000FF"/>
          <w:sz w:val="28"/>
          <w:szCs w:val="28"/>
          <w:highlight w:val="none"/>
          <w:lang w:val="en-US" w:eastAsia="zh-CN"/>
        </w:rPr>
        <w:t>27</w:t>
      </w:r>
      <w:r>
        <w:rPr>
          <w:rFonts w:hint="eastAsia" w:ascii="宋体" w:hAnsi="宋体"/>
          <w:b/>
          <w:color w:val="0000FF"/>
          <w:sz w:val="28"/>
          <w:szCs w:val="28"/>
          <w:highlight w:val="none"/>
        </w:rPr>
        <w:t>日至</w:t>
      </w:r>
      <w:r>
        <w:rPr>
          <w:rFonts w:hint="eastAsia" w:ascii="宋体" w:hAnsi="宋体"/>
          <w:b/>
          <w:color w:val="0000FF"/>
          <w:sz w:val="28"/>
          <w:szCs w:val="28"/>
          <w:highlight w:val="none"/>
          <w:lang w:val="en-US" w:eastAsia="zh-CN"/>
        </w:rPr>
        <w:t>2021年12</w:t>
      </w:r>
      <w:r>
        <w:rPr>
          <w:rFonts w:hint="eastAsia" w:ascii="宋体" w:hAnsi="宋体"/>
          <w:b/>
          <w:color w:val="0000FF"/>
          <w:sz w:val="28"/>
          <w:szCs w:val="28"/>
          <w:highlight w:val="none"/>
        </w:rPr>
        <w:t>月</w:t>
      </w:r>
      <w:r>
        <w:rPr>
          <w:rFonts w:hint="eastAsia" w:ascii="宋体" w:hAnsi="宋体"/>
          <w:b/>
          <w:color w:val="0000FF"/>
          <w:sz w:val="28"/>
          <w:szCs w:val="28"/>
          <w:highlight w:val="none"/>
          <w:lang w:val="en-US" w:eastAsia="zh-CN"/>
        </w:rPr>
        <w:t>16</w:t>
      </w:r>
      <w:r>
        <w:rPr>
          <w:rFonts w:hint="eastAsia" w:ascii="宋体" w:hAnsi="宋体"/>
          <w:b/>
          <w:color w:val="0000FF"/>
          <w:sz w:val="28"/>
          <w:szCs w:val="28"/>
          <w:highlight w:val="none"/>
        </w:rPr>
        <w:t>日。</w:t>
      </w:r>
    </w:p>
    <w:p>
      <w:pPr>
        <w:numPr>
          <w:ilvl w:val="0"/>
          <w:numId w:val="8"/>
        </w:numPr>
        <w:spacing w:line="360" w:lineRule="auto"/>
        <w:ind w:left="0" w:firstLine="567"/>
        <w:rPr>
          <w:rFonts w:ascii="宋体" w:hAnsi="宋体"/>
          <w:b/>
          <w:color w:val="0000FF"/>
          <w:sz w:val="28"/>
          <w:highlight w:val="none"/>
        </w:rPr>
      </w:pPr>
      <w:r>
        <w:rPr>
          <w:rFonts w:hint="eastAsia" w:ascii="宋体" w:hAnsi="宋体"/>
          <w:b/>
          <w:color w:val="0000FF"/>
          <w:sz w:val="28"/>
          <w:szCs w:val="28"/>
          <w:highlight w:val="none"/>
        </w:rPr>
        <w:t>公告期限：2021年</w:t>
      </w:r>
      <w:r>
        <w:rPr>
          <w:rFonts w:hint="eastAsia" w:ascii="宋体" w:hAnsi="宋体"/>
          <w:b/>
          <w:color w:val="0000FF"/>
          <w:sz w:val="28"/>
          <w:szCs w:val="28"/>
          <w:highlight w:val="none"/>
          <w:lang w:val="en-US" w:eastAsia="zh-CN"/>
        </w:rPr>
        <w:t>11</w:t>
      </w:r>
      <w:r>
        <w:rPr>
          <w:rFonts w:hint="eastAsia" w:ascii="宋体" w:hAnsi="宋体"/>
          <w:b/>
          <w:color w:val="0000FF"/>
          <w:sz w:val="28"/>
          <w:szCs w:val="28"/>
          <w:highlight w:val="none"/>
        </w:rPr>
        <w:t>月</w:t>
      </w:r>
      <w:r>
        <w:rPr>
          <w:rFonts w:hint="eastAsia" w:ascii="宋体" w:hAnsi="宋体"/>
          <w:b/>
          <w:color w:val="0000FF"/>
          <w:sz w:val="28"/>
          <w:szCs w:val="28"/>
          <w:highlight w:val="none"/>
          <w:lang w:val="en-US" w:eastAsia="zh-CN"/>
        </w:rPr>
        <w:t>27</w:t>
      </w:r>
      <w:r>
        <w:rPr>
          <w:rFonts w:hint="eastAsia" w:ascii="宋体" w:hAnsi="宋体"/>
          <w:b/>
          <w:color w:val="0000FF"/>
          <w:sz w:val="28"/>
          <w:szCs w:val="28"/>
          <w:highlight w:val="none"/>
        </w:rPr>
        <w:t>日至</w:t>
      </w:r>
      <w:r>
        <w:rPr>
          <w:rFonts w:hint="eastAsia" w:ascii="宋体" w:hAnsi="宋体"/>
          <w:b/>
          <w:color w:val="0000FF"/>
          <w:sz w:val="28"/>
          <w:szCs w:val="28"/>
          <w:highlight w:val="none"/>
          <w:lang w:val="en-US" w:eastAsia="zh-CN"/>
        </w:rPr>
        <w:t>2021年12</w:t>
      </w:r>
      <w:r>
        <w:rPr>
          <w:rFonts w:hint="eastAsia" w:ascii="宋体" w:hAnsi="宋体"/>
          <w:b/>
          <w:color w:val="0000FF"/>
          <w:sz w:val="28"/>
          <w:szCs w:val="28"/>
          <w:highlight w:val="none"/>
        </w:rPr>
        <w:t>月</w:t>
      </w:r>
      <w:r>
        <w:rPr>
          <w:rFonts w:hint="eastAsia" w:ascii="宋体" w:hAnsi="宋体"/>
          <w:b/>
          <w:color w:val="0000FF"/>
          <w:sz w:val="28"/>
          <w:szCs w:val="28"/>
          <w:highlight w:val="none"/>
          <w:lang w:val="en-US" w:eastAsia="zh-CN"/>
        </w:rPr>
        <w:t>3</w:t>
      </w:r>
      <w:r>
        <w:rPr>
          <w:rFonts w:hint="eastAsia" w:ascii="宋体" w:hAnsi="宋体"/>
          <w:b/>
          <w:color w:val="0000FF"/>
          <w:sz w:val="28"/>
          <w:szCs w:val="28"/>
          <w:highlight w:val="none"/>
        </w:rPr>
        <w:t>日。</w:t>
      </w:r>
    </w:p>
    <w:p>
      <w:pPr>
        <w:numPr>
          <w:ilvl w:val="0"/>
          <w:numId w:val="8"/>
        </w:numPr>
        <w:spacing w:line="360" w:lineRule="auto"/>
        <w:ind w:left="0" w:firstLine="567"/>
        <w:rPr>
          <w:rFonts w:ascii="宋体" w:hAnsi="宋体"/>
          <w:sz w:val="28"/>
          <w:szCs w:val="28"/>
        </w:rPr>
      </w:pPr>
      <w:r>
        <w:rPr>
          <w:rFonts w:hint="eastAsia" w:ascii="宋体" w:hAnsi="宋体"/>
          <w:sz w:val="28"/>
          <w:szCs w:val="28"/>
        </w:rPr>
        <w:t>供应商如对招标文件有质疑的，应于自招标文件公告期限届满之日起七个工作日内以书面形式提出。</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投标人要参加投标，应在“政府采购云平台（www.zcygov.cn）”获取采购文件。登录政府采购云平台(www.zcygov.cn)—我的工作台—项目采购—获取采购文件—申请获取采购文件。</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提示：</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（1）本项目采购文件免费获取。</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操作指南</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0" w:firstLineChars="200"/>
        <w:rPr>
          <w:rFonts w:hint="eastAsia" w:ascii="宋体" w:hAnsi="宋体" w:eastAsia="宋体" w:cs="Times New Roman"/>
          <w:sz w:val="28"/>
          <w:szCs w:val="28"/>
        </w:rPr>
      </w:pPr>
      <w:bookmarkStart w:id="8" w:name="_Toc174185149"/>
      <w:bookmarkStart w:id="9" w:name="_Toc186274101"/>
      <w:bookmarkStart w:id="10" w:name="_Toc180051012"/>
      <w:bookmarkStart w:id="11" w:name="_Toc184023104"/>
      <w:bookmarkStart w:id="12" w:name="_Toc184013605"/>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8" w:firstLineChars="202"/>
        <w:rPr>
          <w:rFonts w:ascii="宋体" w:hAnsi="宋体"/>
          <w:b/>
          <w:sz w:val="28"/>
          <w:szCs w:val="28"/>
        </w:rPr>
      </w:pPr>
      <w:r>
        <w:rPr>
          <w:rFonts w:hint="eastAsia" w:ascii="宋体" w:hAnsi="宋体"/>
          <w:b/>
          <w:sz w:val="28"/>
          <w:szCs w:val="28"/>
        </w:rPr>
        <w:t>（一）投标文件递交截止时间及开标时间：2021年</w:t>
      </w:r>
      <w:r>
        <w:rPr>
          <w:rFonts w:hint="eastAsia" w:ascii="宋体" w:hAnsi="宋体"/>
          <w:b/>
          <w:sz w:val="28"/>
          <w:szCs w:val="28"/>
          <w:lang w:val="en-US" w:eastAsia="zh-CN"/>
        </w:rPr>
        <w:t>12</w:t>
      </w:r>
      <w:r>
        <w:rPr>
          <w:rFonts w:hint="eastAsia" w:ascii="宋体" w:hAnsi="宋体"/>
          <w:b/>
          <w:sz w:val="28"/>
          <w:szCs w:val="28"/>
          <w:highlight w:val="none"/>
        </w:rPr>
        <w:t>月</w:t>
      </w:r>
      <w:r>
        <w:rPr>
          <w:rFonts w:hint="eastAsia" w:ascii="宋体" w:hAnsi="宋体"/>
          <w:b/>
          <w:sz w:val="28"/>
          <w:szCs w:val="28"/>
          <w:highlight w:val="none"/>
          <w:lang w:val="en-US" w:eastAsia="zh-CN"/>
        </w:rPr>
        <w:t>17</w:t>
      </w:r>
      <w:bookmarkStart w:id="221" w:name="_GoBack"/>
      <w:bookmarkEnd w:id="221"/>
      <w:r>
        <w:rPr>
          <w:rFonts w:hint="eastAsia" w:ascii="宋体" w:hAnsi="宋体"/>
          <w:b/>
          <w:sz w:val="28"/>
          <w:szCs w:val="28"/>
          <w:highlight w:val="none"/>
        </w:rPr>
        <w:t>日上午09:</w:t>
      </w:r>
      <w:r>
        <w:rPr>
          <w:rFonts w:hint="eastAsia" w:ascii="宋体" w:hAnsi="宋体"/>
          <w:b/>
          <w:sz w:val="28"/>
          <w:szCs w:val="28"/>
          <w:highlight w:val="none"/>
          <w:lang w:val="en-US" w:eastAsia="zh-CN"/>
        </w:rPr>
        <w:t>0</w:t>
      </w:r>
      <w:r>
        <w:rPr>
          <w:rFonts w:hint="eastAsia" w:ascii="宋体" w:hAnsi="宋体"/>
          <w:b/>
          <w:sz w:val="28"/>
          <w:szCs w:val="28"/>
        </w:rPr>
        <w:t>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w:t>
      </w:r>
    </w:p>
    <w:p>
      <w:pPr>
        <w:numPr>
          <w:ilvl w:val="0"/>
          <w:numId w:val="6"/>
        </w:numPr>
        <w:spacing w:line="360" w:lineRule="auto"/>
        <w:ind w:left="0" w:firstLine="567"/>
        <w:rPr>
          <w:rFonts w:hint="eastAsia" w:ascii="宋体" w:hAnsi="宋体"/>
          <w:b/>
          <w:sz w:val="28"/>
          <w:szCs w:val="28"/>
        </w:rPr>
      </w:pPr>
      <w:r>
        <w:rPr>
          <w:rFonts w:hint="eastAsia" w:ascii="宋体" w:hAnsi="宋体"/>
          <w:b/>
          <w:sz w:val="28"/>
          <w:szCs w:val="28"/>
        </w:rPr>
        <w:t>代理机构收费标准</w:t>
      </w:r>
    </w:p>
    <w:p>
      <w:pPr>
        <w:spacing w:line="560" w:lineRule="exact"/>
        <w:ind w:firstLine="565" w:firstLineChars="202"/>
        <w:rPr>
          <w:rFonts w:hint="eastAsia" w:ascii="宋体" w:hAnsi="宋体"/>
          <w:sz w:val="28"/>
          <w:szCs w:val="28"/>
        </w:rPr>
      </w:pPr>
      <w:r>
        <w:rPr>
          <w:rFonts w:hint="eastAsia" w:ascii="宋体" w:hAnsi="宋体"/>
          <w:sz w:val="28"/>
          <w:szCs w:val="28"/>
        </w:rPr>
        <w:t>本项目不收取代理费用。</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spacing w:line="560" w:lineRule="exact"/>
        <w:ind w:firstLine="565" w:firstLineChars="202"/>
        <w:rPr>
          <w:rFonts w:ascii="宋体" w:hAnsi="宋体"/>
          <w:sz w:val="28"/>
          <w:szCs w:val="28"/>
        </w:rPr>
      </w:pPr>
      <w:r>
        <w:rPr>
          <w:rFonts w:hint="eastAsia" w:ascii="宋体" w:hAnsi="宋体"/>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sz w:val="28"/>
          <w:szCs w:val="28"/>
        </w:rPr>
        <w:t>。</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hint="eastAsia" w:ascii="宋体" w:hAnsi="宋体" w:eastAsia="宋体"/>
          <w:b/>
          <w:sz w:val="28"/>
          <w:szCs w:val="28"/>
          <w:lang w:eastAsia="zh-CN"/>
        </w:rPr>
      </w:pPr>
      <w:r>
        <w:rPr>
          <w:rFonts w:hint="eastAsia" w:ascii="宋体" w:hAnsi="宋体"/>
          <w:b/>
          <w:sz w:val="28"/>
        </w:rPr>
        <w:t>采购人：</w:t>
      </w:r>
      <w:r>
        <w:rPr>
          <w:rFonts w:hint="eastAsia" w:ascii="宋体" w:hAnsi="宋体"/>
          <w:b/>
          <w:kern w:val="0"/>
          <w:sz w:val="28"/>
          <w:lang w:eastAsia="zh-CN"/>
        </w:rPr>
        <w:t>成都市新都区人民政府三河街道办事处</w:t>
      </w:r>
    </w:p>
    <w:p>
      <w:pPr>
        <w:pStyle w:val="148"/>
        <w:ind w:firstLine="560"/>
        <w:rPr>
          <w:rFonts w:ascii="宋体" w:hAnsi="宋体"/>
          <w:kern w:val="0"/>
          <w:sz w:val="28"/>
          <w:szCs w:val="22"/>
        </w:rPr>
      </w:pPr>
      <w:r>
        <w:rPr>
          <w:rFonts w:hint="eastAsia" w:ascii="宋体" w:hAnsi="宋体"/>
          <w:kern w:val="0"/>
          <w:sz w:val="28"/>
          <w:szCs w:val="22"/>
        </w:rPr>
        <w:t>地  址：</w:t>
      </w:r>
      <w:r>
        <w:rPr>
          <w:rFonts w:hint="eastAsia" w:ascii="宋体" w:hAnsi="宋体"/>
          <w:sz w:val="28"/>
          <w:szCs w:val="28"/>
        </w:rPr>
        <w:t>成都市新都区三河大道23号</w:t>
      </w:r>
    </w:p>
    <w:p>
      <w:pPr>
        <w:pStyle w:val="148"/>
        <w:ind w:firstLine="560"/>
        <w:rPr>
          <w:rFonts w:ascii="宋体" w:hAnsi="宋体"/>
          <w:kern w:val="0"/>
          <w:sz w:val="28"/>
          <w:szCs w:val="28"/>
        </w:rPr>
      </w:pPr>
      <w:r>
        <w:rPr>
          <w:rFonts w:hint="eastAsia" w:ascii="宋体" w:hAnsi="宋体"/>
          <w:kern w:val="0"/>
          <w:sz w:val="28"/>
          <w:szCs w:val="28"/>
        </w:rPr>
        <w:t>联系人：</w:t>
      </w:r>
      <w:r>
        <w:rPr>
          <w:rFonts w:hint="eastAsia" w:ascii="宋体" w:hAnsi="宋体"/>
          <w:sz w:val="28"/>
        </w:rPr>
        <w:t>谢聪</w:t>
      </w:r>
    </w:p>
    <w:p>
      <w:pPr>
        <w:spacing w:line="360" w:lineRule="auto"/>
        <w:ind w:firstLine="567"/>
        <w:rPr>
          <w:rFonts w:ascii="宋体" w:hAnsi="宋体"/>
          <w:b/>
          <w:bCs/>
          <w:kern w:val="0"/>
          <w:sz w:val="28"/>
          <w:szCs w:val="28"/>
        </w:rPr>
      </w:pPr>
      <w:r>
        <w:rPr>
          <w:rFonts w:hint="eastAsia" w:ascii="宋体" w:hAnsi="宋体"/>
          <w:sz w:val="28"/>
        </w:rPr>
        <w:t>联系电话：</w:t>
      </w:r>
      <w:r>
        <w:rPr>
          <w:rFonts w:hint="eastAsia" w:ascii="宋体" w:hAnsi="宋体"/>
          <w:kern w:val="0"/>
          <w:sz w:val="28"/>
        </w:rPr>
        <w:t>18782222874</w:t>
      </w:r>
    </w:p>
    <w:p>
      <w:pPr>
        <w:spacing w:line="360" w:lineRule="auto"/>
        <w:ind w:firstLine="568" w:firstLineChars="202"/>
        <w:rPr>
          <w:rFonts w:hint="eastAsia" w:ascii="宋体" w:hAnsi="宋体" w:eastAsia="宋体"/>
          <w:b/>
          <w:sz w:val="28"/>
          <w:lang w:eastAsia="zh-CN"/>
        </w:rPr>
      </w:pPr>
      <w:r>
        <w:rPr>
          <w:rFonts w:hint="eastAsia" w:ascii="宋体" w:hAnsi="宋体"/>
          <w:b/>
          <w:sz w:val="28"/>
          <w:lang w:eastAsia="zh-CN"/>
        </w:rPr>
        <w:t>集中采购机构：成都市新都区公共资源交易服务中心</w:t>
      </w:r>
    </w:p>
    <w:p>
      <w:pPr>
        <w:spacing w:line="360" w:lineRule="auto"/>
        <w:ind w:firstLine="565" w:firstLineChars="202"/>
        <w:rPr>
          <w:rFonts w:hint="eastAsia" w:ascii="宋体" w:hAnsi="宋体"/>
          <w:sz w:val="28"/>
        </w:rPr>
      </w:pPr>
      <w:r>
        <w:rPr>
          <w:rFonts w:hint="eastAsia" w:ascii="宋体" w:hAnsi="宋体"/>
          <w:sz w:val="28"/>
        </w:rPr>
        <w:t>地  址：成都市新都区育英路788政务中心C区4楼</w:t>
      </w:r>
    </w:p>
    <w:p>
      <w:pPr>
        <w:spacing w:line="360" w:lineRule="auto"/>
        <w:ind w:firstLine="565" w:firstLineChars="202"/>
        <w:rPr>
          <w:rFonts w:hint="eastAsia" w:ascii="宋体" w:hAnsi="宋体"/>
          <w:sz w:val="28"/>
        </w:rPr>
      </w:pPr>
      <w:r>
        <w:rPr>
          <w:rFonts w:hint="eastAsia" w:ascii="宋体" w:hAnsi="宋体"/>
          <w:sz w:val="28"/>
        </w:rPr>
        <w:t>邮  编：610500</w:t>
      </w:r>
    </w:p>
    <w:p>
      <w:pPr>
        <w:spacing w:line="360" w:lineRule="auto"/>
        <w:ind w:firstLine="565" w:firstLineChars="202"/>
        <w:rPr>
          <w:rFonts w:hint="eastAsia" w:ascii="宋体" w:hAnsi="宋体" w:eastAsia="宋体"/>
          <w:sz w:val="28"/>
          <w:lang w:eastAsia="zh-CN"/>
        </w:rPr>
      </w:pPr>
      <w:r>
        <w:rPr>
          <w:rFonts w:hint="eastAsia" w:ascii="宋体" w:hAnsi="宋体"/>
          <w:sz w:val="28"/>
        </w:rPr>
        <w:t>联系人：</w:t>
      </w:r>
      <w:r>
        <w:rPr>
          <w:rFonts w:hint="eastAsia" w:ascii="宋体" w:hAnsi="宋体"/>
          <w:sz w:val="28"/>
          <w:lang w:eastAsia="zh-CN"/>
        </w:rPr>
        <w:t>高玉凯</w:t>
      </w:r>
    </w:p>
    <w:p>
      <w:pPr>
        <w:spacing w:line="360" w:lineRule="auto"/>
        <w:ind w:firstLine="565" w:firstLineChars="202"/>
        <w:rPr>
          <w:rFonts w:hint="default" w:ascii="宋体" w:hAnsi="宋体" w:eastAsia="宋体"/>
          <w:sz w:val="28"/>
          <w:lang w:val="en-US" w:eastAsia="zh-CN"/>
        </w:rPr>
      </w:pPr>
      <w:r>
        <w:rPr>
          <w:rFonts w:hint="eastAsia" w:ascii="宋体" w:hAnsi="宋体"/>
          <w:sz w:val="28"/>
        </w:rPr>
        <w:t>联系电话：028-</w:t>
      </w:r>
      <w:r>
        <w:rPr>
          <w:rFonts w:hint="eastAsia" w:ascii="宋体" w:hAnsi="宋体"/>
          <w:sz w:val="28"/>
          <w:lang w:val="en-US" w:eastAsia="zh-CN"/>
        </w:rPr>
        <w:t>83003130</w:t>
      </w:r>
    </w:p>
    <w:p>
      <w:pPr>
        <w:spacing w:line="360" w:lineRule="auto"/>
        <w:ind w:firstLine="568" w:firstLineChars="202"/>
        <w:rPr>
          <w:rFonts w:ascii="宋体" w:hAnsi="宋体"/>
          <w:kern w:val="0"/>
          <w:sz w:val="28"/>
        </w:rPr>
      </w:pPr>
      <w:r>
        <w:rPr>
          <w:rFonts w:hint="eastAsia" w:ascii="宋体" w:hAnsi="宋体"/>
          <w:b/>
          <w:sz w:val="28"/>
          <w:szCs w:val="28"/>
        </w:rPr>
        <w:t>技术支持电话：</w:t>
      </w:r>
      <w:r>
        <w:rPr>
          <w:rFonts w:hint="eastAsia" w:ascii="宋体" w:hAnsi="宋体"/>
          <w:sz w:val="28"/>
          <w:szCs w:val="28"/>
        </w:rPr>
        <w:t>400-881-7190</w:t>
      </w:r>
    </w:p>
    <w:p>
      <w:pPr>
        <w:tabs>
          <w:tab w:val="left" w:pos="900"/>
        </w:tabs>
        <w:spacing w:line="360" w:lineRule="auto"/>
        <w:ind w:firstLine="562" w:firstLineChars="200"/>
        <w:rPr>
          <w:rFonts w:hint="eastAsia" w:ascii="宋体" w:hAnsi="宋体"/>
          <w:b/>
          <w:sz w:val="28"/>
          <w:szCs w:val="28"/>
        </w:rPr>
      </w:pPr>
      <w:r>
        <w:rPr>
          <w:rFonts w:hint="eastAsia" w:ascii="宋体" w:hAnsi="宋体"/>
          <w:b/>
          <w:sz w:val="28"/>
          <w:szCs w:val="28"/>
        </w:rPr>
        <w:t>集中采购监督机构：成都市新都区财政局</w:t>
      </w:r>
    </w:p>
    <w:p>
      <w:pPr>
        <w:tabs>
          <w:tab w:val="left" w:pos="900"/>
        </w:tabs>
        <w:spacing w:line="360" w:lineRule="auto"/>
        <w:ind w:firstLine="560" w:firstLineChars="200"/>
        <w:rPr>
          <w:rFonts w:hint="eastAsia" w:ascii="宋体" w:hAnsi="宋体"/>
          <w:b w:val="0"/>
          <w:bCs/>
          <w:sz w:val="28"/>
          <w:szCs w:val="28"/>
        </w:rPr>
      </w:pPr>
      <w:r>
        <w:rPr>
          <w:rFonts w:hint="eastAsia" w:ascii="宋体" w:hAnsi="宋体"/>
          <w:b w:val="0"/>
          <w:bCs/>
          <w:sz w:val="28"/>
          <w:szCs w:val="28"/>
          <w:lang w:eastAsia="zh-CN"/>
        </w:rPr>
        <w:t>地址</w:t>
      </w:r>
      <w:r>
        <w:rPr>
          <w:rFonts w:hint="eastAsia" w:ascii="宋体" w:hAnsi="宋体"/>
          <w:b w:val="0"/>
          <w:bCs/>
          <w:sz w:val="28"/>
          <w:szCs w:val="28"/>
        </w:rPr>
        <w:t>：成都市新都区马超东路289号金融服务中心7楼</w:t>
      </w:r>
    </w:p>
    <w:p>
      <w:pPr>
        <w:pStyle w:val="2"/>
        <w:ind w:firstLine="560" w:firstLineChars="200"/>
        <w:rPr>
          <w:rFonts w:hint="eastAsia" w:eastAsia="宋体"/>
          <w:lang w:eastAsia="zh-CN"/>
        </w:rPr>
      </w:pPr>
      <w:r>
        <w:rPr>
          <w:rFonts w:hint="eastAsia" w:ascii="宋体" w:hAnsi="宋体"/>
          <w:b w:val="0"/>
          <w:bCs/>
          <w:sz w:val="28"/>
          <w:szCs w:val="28"/>
          <w:lang w:eastAsia="zh-CN"/>
        </w:rPr>
        <w:t>联系人：代延训</w:t>
      </w:r>
    </w:p>
    <w:p>
      <w:pPr>
        <w:tabs>
          <w:tab w:val="left" w:pos="900"/>
        </w:tabs>
        <w:spacing w:line="360" w:lineRule="auto"/>
        <w:ind w:firstLine="560" w:firstLineChars="200"/>
        <w:rPr>
          <w:rFonts w:ascii="宋体" w:hAnsi="宋体" w:cstheme="minorBidi"/>
          <w:b w:val="0"/>
          <w:bCs/>
          <w:sz w:val="28"/>
          <w:szCs w:val="28"/>
        </w:rPr>
      </w:pPr>
      <w:r>
        <w:rPr>
          <w:rFonts w:hint="eastAsia" w:ascii="宋体" w:hAnsi="宋体"/>
          <w:b w:val="0"/>
          <w:bCs/>
          <w:sz w:val="28"/>
          <w:szCs w:val="28"/>
        </w:rPr>
        <w:t>联系电话：028-89396791</w:t>
      </w:r>
    </w:p>
    <w:p>
      <w:pPr>
        <w:rPr>
          <w:rFonts w:ascii="宋体" w:hAnsi="宋体" w:cstheme="minorBidi"/>
          <w:sz w:val="28"/>
          <w:szCs w:val="28"/>
        </w:rPr>
      </w:pPr>
      <w:r>
        <w:rPr>
          <w:rFonts w:ascii="宋体" w:hAnsi="宋体" w:cstheme="minorBidi"/>
          <w:sz w:val="28"/>
          <w:szCs w:val="28"/>
        </w:rPr>
        <w:br w:type="page"/>
      </w:r>
    </w:p>
    <w:p>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14070"/>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316462344"/>
      <w:bookmarkStart w:id="15" w:name="_Toc217446032"/>
      <w:bookmarkStart w:id="16" w:name="_Toc213396760"/>
      <w:bookmarkStart w:id="17" w:name="_Toc213496268"/>
      <w:bookmarkStart w:id="18" w:name="_Toc189727030"/>
      <w:bookmarkStart w:id="19" w:name="_Toc213396946"/>
      <w:bookmarkStart w:id="20" w:name="_Toc213397010"/>
      <w:bookmarkStart w:id="21" w:name="_Toc19909"/>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38" w:right="0"/>
              <w:jc w:val="center"/>
              <w:rPr>
                <w:rFonts w:hint="default"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210" w:rightChars="100"/>
              <w:rPr>
                <w:rFonts w:hint="default"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Lines="0" w:beforeAutospacing="0" w:after="0" w:afterLines="0" w:afterAutospacing="0" w:line="360" w:lineRule="auto"/>
              <w:ind w:left="0" w:right="210" w:rightChars="100"/>
              <w:rPr>
                <w:rFonts w:hint="default" w:eastAsia="仿宋_GB2312" w:cs="宋体"/>
                <w:b/>
                <w:highlight w:val="none"/>
                <w:lang w:val="zh-CN"/>
              </w:rPr>
            </w:pPr>
            <w:r>
              <w:rPr>
                <w:rFonts w:hint="eastAsia" w:ascii="宋体" w:hAnsi="宋体"/>
                <w:b/>
                <w:sz w:val="21"/>
                <w:lang w:val="zh-CN"/>
              </w:rPr>
              <w:t>人民币</w:t>
            </w:r>
            <w:r>
              <w:rPr>
                <w:rFonts w:hint="eastAsia" w:ascii="宋体" w:hAnsi="宋体"/>
                <w:b/>
                <w:sz w:val="21"/>
                <w:lang w:val="en-US" w:eastAsia="zh-CN"/>
              </w:rPr>
              <w:t>26.00万元</w:t>
            </w:r>
            <w:r>
              <w:rPr>
                <w:rFonts w:hint="eastAsia" w:ascii="宋体" w:hAnsi="宋体"/>
                <w:b/>
                <w:sz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Lines="0" w:beforeAutospacing="0" w:after="0" w:afterLines="0" w:afterAutospacing="0" w:line="360" w:lineRule="auto"/>
              <w:ind w:left="0" w:right="210" w:rightChars="100"/>
              <w:rPr>
                <w:rFonts w:hint="default" w:ascii="宋体" w:hAnsi="宋体" w:cs="宋体"/>
                <w:b/>
                <w:highlight w:val="none"/>
                <w:lang w:val="zh-CN"/>
              </w:rPr>
            </w:pPr>
            <w:r>
              <w:rPr>
                <w:rFonts w:hint="eastAsia" w:ascii="宋体" w:hAnsi="宋体"/>
                <w:b/>
                <w:sz w:val="21"/>
                <w:lang w:val="zh-CN"/>
              </w:rPr>
              <w:t>本项目最高限价为</w:t>
            </w:r>
            <w:r>
              <w:rPr>
                <w:rFonts w:hint="eastAsia" w:ascii="宋体" w:hAnsi="宋体"/>
                <w:b/>
                <w:sz w:val="21"/>
                <w:lang w:val="en-US" w:eastAsia="zh-CN"/>
              </w:rPr>
              <w:t>26.00万元</w:t>
            </w:r>
            <w:r>
              <w:rPr>
                <w:rFonts w:hint="eastAsia" w:ascii="宋体" w:hAnsi="宋体"/>
                <w:b/>
                <w:sz w:val="21"/>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详见投标人须知2.4.12</w:t>
            </w:r>
          </w:p>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b/>
                <w:bCs/>
              </w:rPr>
              <w:t>注：投标人使用</w:t>
            </w:r>
            <w:r>
              <w:rPr>
                <w:rFonts w:hint="default" w:ascii="宋体" w:hAnsi="宋体"/>
                <w:b/>
                <w:bCs/>
              </w:rPr>
              <w:t>CA证书在</w:t>
            </w:r>
            <w:r>
              <w:rPr>
                <w:rFonts w:hint="eastAsia" w:ascii="宋体" w:hAnsi="宋体"/>
                <w:b/>
                <w:bCs/>
              </w:rPr>
              <w:t>投标截止时间前，将投标文件上传至政府</w:t>
            </w:r>
            <w:r>
              <w:rPr>
                <w:rFonts w:hint="default" w:ascii="宋体" w:hAnsi="宋体"/>
                <w:b/>
                <w:bCs/>
              </w:rPr>
              <w:t>采购</w:t>
            </w:r>
            <w:r>
              <w:rPr>
                <w:rFonts w:hint="eastAsia" w:ascii="宋体" w:hAnsi="宋体"/>
                <w:b/>
                <w:bCs/>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详见投标人须知2.5.1。</w:t>
            </w:r>
          </w:p>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投标文件解密：开启解密后，投标人应在系统提示的解密开始时间后</w:t>
            </w:r>
            <w:r>
              <w:rPr>
                <w:rFonts w:hint="default" w:ascii="宋体" w:hAnsi="宋体"/>
                <w:b/>
              </w:rPr>
              <w:t>60</w:t>
            </w:r>
            <w:r>
              <w:rPr>
                <w:rFonts w:hint="eastAsia" w:ascii="宋体" w:hAnsi="宋体"/>
                <w:b/>
              </w:rPr>
              <w:t>分钟内，使用对投标文件进行加密的CA证书在线完成对投标人递交至政府采购云平台的投标文件的解密。</w:t>
            </w:r>
          </w:p>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210"/>
              <w:rPr>
                <w:rFonts w:hint="default"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210"/>
              <w:rPr>
                <w:rFonts w:hint="default" w:ascii="宋体" w:hAnsi="宋体" w:eastAsia="仿宋_GB2312" w:cs="宋体"/>
              </w:rPr>
            </w:pPr>
            <w:r>
              <w:rPr>
                <w:rFonts w:hint="eastAsia" w:ascii="宋体" w:hAnsi="宋体"/>
              </w:rPr>
              <w:t>向</w:t>
            </w:r>
            <w:r>
              <w:rPr>
                <w:rFonts w:hint="eastAsia" w:ascii="宋体" w:hAnsi="宋体"/>
                <w:lang w:eastAsia="zh-CN"/>
              </w:rPr>
              <w:t>区交易中心</w:t>
            </w:r>
            <w:r>
              <w:rPr>
                <w:rFonts w:hint="eastAsia" w:ascii="宋体" w:hAnsi="宋体"/>
              </w:rPr>
              <w:t>提出，并由</w:t>
            </w:r>
            <w:r>
              <w:rPr>
                <w:rFonts w:hint="eastAsia" w:ascii="宋体" w:hAnsi="宋体"/>
                <w:lang w:eastAsia="zh-CN"/>
              </w:rPr>
              <w:t>区交易中心</w:t>
            </w:r>
            <w:r>
              <w:rPr>
                <w:rFonts w:hint="eastAsia" w:ascii="宋体" w:hAnsi="宋体"/>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210" w:rightChars="100"/>
              <w:rPr>
                <w:rFonts w:hint="default"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eastAsia" w:ascii="宋体" w:hAnsi="宋体"/>
              </w:rPr>
            </w:pPr>
            <w:r>
              <w:rPr>
                <w:rFonts w:hint="eastAsia" w:ascii="宋体" w:hAnsi="宋体"/>
              </w:rPr>
              <w:t>投诉受理单位：本项目同级财政部门，即成都市新都区财政局。</w:t>
            </w:r>
          </w:p>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联系电话：028-89396791。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cs="宋体"/>
                <w:lang w:val="zh-CN"/>
              </w:rPr>
              <w:t>中标公告在四川政府采购网上公告后，中标供应商自行登录政府</w:t>
            </w:r>
            <w:r>
              <w:rPr>
                <w:rFonts w:hint="default"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eastAsia" w:ascii="宋体" w:hAnsi="宋体" w:eastAsia="宋体"/>
                <w:lang w:eastAsia="zh-CN"/>
              </w:rPr>
            </w:pPr>
            <w:r>
              <w:rPr>
                <w:rFonts w:hint="eastAsia" w:ascii="宋体" w:hAnsi="宋体"/>
              </w:rPr>
              <w:t>四川省成都市</w:t>
            </w:r>
            <w:r>
              <w:rPr>
                <w:rFonts w:hint="eastAsia" w:ascii="宋体" w:hAnsi="宋体"/>
                <w:lang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210" w:rightChars="100"/>
              <w:rPr>
                <w:rFonts w:hint="default"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4" w:leftChars="-2" w:right="210" w:firstLine="12" w:firstLineChars="6"/>
              <w:rPr>
                <w:rFonts w:hint="default"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政府采购合同签订之日起2个工作日内，采购人将在四川政府采购网公告政府采购合同；疫情防控期间，采购人原则上在5个工作日内与供应商签订政府采购合同及向本采购项目同级财政部门，即成都市</w:t>
            </w:r>
            <w:r>
              <w:rPr>
                <w:rFonts w:hint="eastAsia" w:ascii="宋体"/>
                <w:lang w:eastAsia="zh-CN"/>
              </w:rPr>
              <w:t>新都区</w:t>
            </w:r>
            <w:r>
              <w:rPr>
                <w:rFonts w:hint="eastAsia" w:asci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sz w:val="24"/>
              </w:rPr>
              <w:t>工作的通知》</w:t>
            </w:r>
            <w:r>
              <w:rPr>
                <w:rFonts w:hint="eastAsia" w:ascii="宋体" w:hAnsi="宋体"/>
              </w:rPr>
              <w:t>（成财采</w:t>
            </w:r>
            <w:r>
              <w:rPr>
                <w:rFonts w:hint="eastAsia" w:ascii="宋体" w:hAnsi="宋体"/>
                <w:lang w:eastAsia="zh-CN"/>
              </w:rPr>
              <w:t>发</w:t>
            </w:r>
            <w:r>
              <w:rPr>
                <w:rFonts w:hint="eastAsia" w:ascii="宋体" w:hAnsi="宋体"/>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sz w:val="24"/>
              </w:rPr>
              <w:t>见附件</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4661"/>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w:t>
      </w:r>
      <w:r>
        <w:rPr>
          <w:rFonts w:hint="eastAsia" w:ascii="宋体" w:hAnsi="宋体"/>
          <w:sz w:val="28"/>
          <w:szCs w:val="28"/>
          <w:lang w:eastAsia="zh-CN"/>
        </w:rPr>
        <w:t>区交易中心</w:t>
      </w:r>
      <w:r>
        <w:rPr>
          <w:rFonts w:hint="eastAsia" w:ascii="宋体" w:hAnsi="宋体"/>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sz w:val="28"/>
          <w:szCs w:val="28"/>
          <w:lang w:eastAsia="zh-CN"/>
        </w:rPr>
        <w:t>区交易中心</w:t>
      </w:r>
      <w:r>
        <w:rPr>
          <w:rFonts w:hint="eastAsia" w:ascii="宋体" w:hAnsi="宋体"/>
          <w:sz w:val="28"/>
          <w:szCs w:val="28"/>
        </w:rPr>
        <w:t>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w:t>
      </w:r>
      <w:r>
        <w:rPr>
          <w:rFonts w:hint="eastAsia" w:ascii="宋体" w:hAnsi="宋体"/>
          <w:sz w:val="28"/>
          <w:szCs w:val="28"/>
          <w:highlight w:val="none"/>
          <w:lang w:eastAsia="zh-CN"/>
        </w:rPr>
        <w:t>成都市新都区区级机关</w:t>
      </w:r>
      <w:r>
        <w:rPr>
          <w:rFonts w:hint="eastAsia" w:ascii="宋体" w:hAnsi="宋体"/>
          <w:sz w:val="28"/>
          <w:szCs w:val="28"/>
        </w:rPr>
        <w:t>、事业单位、团体组织。本次招标的采购人是</w:t>
      </w:r>
      <w:r>
        <w:rPr>
          <w:rFonts w:hint="eastAsia" w:ascii="宋体" w:hAnsi="宋体"/>
          <w:b/>
          <w:sz w:val="28"/>
          <w:szCs w:val="28"/>
          <w:lang w:eastAsia="zh-CN"/>
        </w:rPr>
        <w:t>成都市新都区人民政府三河街道办事处</w:t>
      </w:r>
      <w:r>
        <w:rPr>
          <w:rFonts w:hint="eastAsia" w:ascii="宋体" w:hAnsi="宋体"/>
          <w:sz w:val="28"/>
          <w:szCs w:val="28"/>
        </w:rPr>
        <w:t>。</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hint="eastAsia"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1"/>
        </w:numPr>
        <w:tabs>
          <w:tab w:val="left" w:pos="1134"/>
        </w:tabs>
        <w:spacing w:line="360" w:lineRule="auto"/>
        <w:ind w:left="0" w:firstLine="567"/>
        <w:rPr>
          <w:rFonts w:hint="eastAsia"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1"/>
        </w:numPr>
        <w:tabs>
          <w:tab w:val="left" w:pos="1134"/>
        </w:tabs>
        <w:spacing w:line="360" w:lineRule="auto"/>
        <w:ind w:left="0" w:firstLine="567"/>
        <w:rPr>
          <w:rFonts w:hint="eastAsia"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区交易中心</w:t>
      </w:r>
      <w:r>
        <w:rPr>
          <w:rFonts w:hint="eastAsia" w:ascii="宋体" w:hAnsi="宋体"/>
          <w:sz w:val="28"/>
          <w:szCs w:val="28"/>
        </w:rPr>
        <w:t>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217446036"/>
      <w:bookmarkStart w:id="25" w:name="_Toc183682344"/>
      <w:bookmarkStart w:id="26" w:name="_Toc217390843"/>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2"/>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13"/>
        </w:numPr>
        <w:tabs>
          <w:tab w:val="left" w:pos="1134"/>
        </w:tabs>
        <w:adjustRightInd w:val="0"/>
        <w:spacing w:line="560" w:lineRule="exact"/>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hAnsi="宋体"/>
          <w:sz w:val="28"/>
          <w:szCs w:val="28"/>
          <w:lang w:val="zh-CN"/>
        </w:rPr>
        <w:t>本项目</w:t>
      </w:r>
      <w:r>
        <w:rPr>
          <w:rFonts w:hint="eastAsia" w:asciiTheme="minorEastAsia" w:hAnsiTheme="minorEastAsia" w:eastAsiaTheme="minorEastAsia"/>
          <w:sz w:val="28"/>
          <w:szCs w:val="28"/>
          <w:highlight w:val="none"/>
          <w:lang w:val="zh-CN"/>
        </w:rPr>
        <w:t>核心产品为：</w:t>
      </w:r>
      <w:r>
        <w:rPr>
          <w:rFonts w:hint="eastAsia" w:hAnsi="宋体" w:eastAsia="宋体" w:cs="Times New Roman"/>
          <w:b/>
          <w:bCs/>
          <w:sz w:val="28"/>
          <w:szCs w:val="28"/>
        </w:rPr>
        <w:t>室内全彩屏</w:t>
      </w:r>
      <w:r>
        <w:rPr>
          <w:rFonts w:hint="eastAsia" w:asciiTheme="minorEastAsia" w:hAnsiTheme="minorEastAsia" w:eastAsiaTheme="minorEastAsia"/>
          <w:b/>
          <w:bCs/>
          <w:sz w:val="28"/>
          <w:szCs w:val="28"/>
          <w:highlight w:val="none"/>
        </w:rPr>
        <w:t>。</w:t>
      </w:r>
      <w:r>
        <w:rPr>
          <w:rFonts w:hint="eastAsia" w:hAnsi="宋体"/>
          <w:sz w:val="28"/>
          <w:szCs w:val="28"/>
          <w:highlight w:val="none"/>
        </w:rPr>
        <w:t>提供</w:t>
      </w:r>
      <w:r>
        <w:rPr>
          <w:rFonts w:hint="eastAsia" w:hAnsi="宋体"/>
          <w:sz w:val="28"/>
          <w:szCs w:val="28"/>
        </w:rPr>
        <w:t>核心产品品牌相</w:t>
      </w:r>
      <w:r>
        <w:rPr>
          <w:rFonts w:hint="eastAsia" w:hAnsi="宋体"/>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8"/>
          <w:szCs w:val="28"/>
        </w:rPr>
      </w:pPr>
      <w:bookmarkStart w:id="27" w:name="_Toc183582210"/>
      <w:bookmarkStart w:id="28" w:name="_Toc217446039"/>
      <w:bookmarkStart w:id="29" w:name="_Toc183682347"/>
      <w:bookmarkStart w:id="30" w:name="_Toc706"/>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183582214"/>
      <w:bookmarkStart w:id="35" w:name="_Toc77400780"/>
      <w:bookmarkStart w:id="36" w:name="_Toc89075876"/>
      <w:bookmarkStart w:id="37" w:name="_Toc183682351"/>
      <w:bookmarkStart w:id="38" w:name="_Toc217446042"/>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lang w:eastAsia="zh-CN"/>
        </w:rPr>
        <w:t>区交易中心</w:t>
      </w:r>
      <w:r>
        <w:rPr>
          <w:rFonts w:hint="eastAsia" w:ascii="宋体" w:hAnsi="宋体"/>
          <w:sz w:val="28"/>
          <w:szCs w:val="28"/>
        </w:rPr>
        <w:t>可以对已发出的招标文件进行必要的澄清或者修改。</w:t>
      </w:r>
    </w:p>
    <w:p>
      <w:pPr>
        <w:numPr>
          <w:ilvl w:val="0"/>
          <w:numId w:val="16"/>
        </w:numPr>
        <w:spacing w:after="200" w:line="360" w:lineRule="auto"/>
        <w:ind w:left="0" w:firstLine="567"/>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w:t>
      </w:r>
      <w:r>
        <w:rPr>
          <w:rFonts w:hint="eastAsia" w:ascii="宋体" w:hAnsi="宋体"/>
          <w:sz w:val="28"/>
          <w:szCs w:val="28"/>
          <w:lang w:eastAsia="zh-CN"/>
        </w:rPr>
        <w:t>区交易中心</w:t>
      </w:r>
      <w:r>
        <w:rPr>
          <w:rFonts w:hint="eastAsia" w:ascii="宋体" w:hAnsi="宋体"/>
          <w:sz w:val="28"/>
          <w:szCs w:val="28"/>
        </w:rPr>
        <w:t>应当在投标截止时间至少15日前，通过政府采购云平台通知所有获取招标文件的潜在投标人；不足15日的，采购人或</w:t>
      </w:r>
      <w:r>
        <w:rPr>
          <w:rFonts w:hint="eastAsia" w:ascii="宋体" w:hAnsi="宋体"/>
          <w:sz w:val="28"/>
          <w:szCs w:val="28"/>
          <w:lang w:eastAsia="zh-CN"/>
        </w:rPr>
        <w:t>区交易中心</w:t>
      </w:r>
      <w:r>
        <w:rPr>
          <w:rFonts w:hint="eastAsia" w:ascii="宋体" w:hAnsi="宋体"/>
          <w:sz w:val="28"/>
          <w:szCs w:val="28"/>
        </w:rPr>
        <w:t>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11824"/>
      <w:r>
        <w:rPr>
          <w:rFonts w:hint="eastAsia" w:ascii="宋体" w:hAnsi="宋体"/>
          <w:b/>
          <w:bCs/>
          <w:sz w:val="28"/>
          <w:szCs w:val="28"/>
        </w:rPr>
        <w:t>投标文件</w:t>
      </w:r>
      <w:bookmarkEnd w:id="34"/>
      <w:bookmarkEnd w:id="35"/>
      <w:bookmarkEnd w:id="36"/>
      <w:bookmarkEnd w:id="37"/>
      <w:bookmarkEnd w:id="38"/>
      <w:bookmarkEnd w:id="39"/>
      <w:r>
        <w:rPr>
          <w:rFonts w:hint="eastAsia" w:ascii="宋体" w:hAnsi="宋体"/>
          <w:b/>
          <w:bCs/>
          <w:sz w:val="28"/>
          <w:szCs w:val="28"/>
          <w:lang w:val="en-US" w:eastAsia="zh-CN"/>
        </w:rPr>
        <w:t xml:space="preserve"> </w:t>
      </w:r>
    </w:p>
    <w:p>
      <w:pPr>
        <w:keepNext/>
        <w:keepLines/>
        <w:numPr>
          <w:ilvl w:val="2"/>
          <w:numId w:val="5"/>
        </w:numPr>
        <w:spacing w:line="360" w:lineRule="auto"/>
        <w:ind w:left="0" w:firstLine="0"/>
        <w:outlineLvl w:val="2"/>
        <w:rPr>
          <w:rFonts w:ascii="宋体" w:hAnsi="宋体"/>
          <w:b/>
          <w:bCs/>
          <w:sz w:val="28"/>
          <w:szCs w:val="28"/>
        </w:rPr>
      </w:pPr>
      <w:bookmarkStart w:id="40" w:name="_Toc183582215"/>
      <w:bookmarkStart w:id="41" w:name="_Toc183682352"/>
      <w:bookmarkStart w:id="42" w:name="_Toc217446043"/>
      <w:r>
        <w:rPr>
          <w:rFonts w:hint="eastAsia" w:ascii="宋体" w:hAnsi="宋体"/>
          <w:b/>
          <w:bCs/>
          <w:sz w:val="28"/>
          <w:szCs w:val="28"/>
        </w:rPr>
        <w:t>投标文件的语言</w:t>
      </w:r>
      <w:bookmarkEnd w:id="40"/>
      <w:bookmarkEnd w:id="41"/>
      <w:bookmarkEnd w:id="42"/>
    </w:p>
    <w:p>
      <w:pPr>
        <w:tabs>
          <w:tab w:val="left" w:pos="1134"/>
        </w:tabs>
        <w:spacing w:line="360" w:lineRule="auto"/>
        <w:ind w:firstLine="560" w:firstLineChars="200"/>
        <w:rPr>
          <w:rFonts w:ascii="宋体" w:hAnsi="宋体"/>
          <w:sz w:val="28"/>
          <w:szCs w:val="28"/>
        </w:rPr>
      </w:pPr>
      <w:bookmarkStart w:id="43" w:name="_Toc217446044"/>
      <w:bookmarkStart w:id="44" w:name="_Toc183682353"/>
      <w:bookmarkStart w:id="45" w:name="_Toc183582216"/>
      <w:r>
        <w:rPr>
          <w:rFonts w:hint="eastAsia" w:ascii="宋体" w:hAnsi="宋体"/>
          <w:sz w:val="28"/>
          <w:szCs w:val="28"/>
        </w:rPr>
        <w:t>一</w:t>
      </w:r>
      <w:r>
        <w:rPr>
          <w:rFonts w:ascii="宋体" w:hAnsi="宋体"/>
          <w:sz w:val="28"/>
          <w:szCs w:val="28"/>
        </w:rPr>
        <w:t>、</w:t>
      </w:r>
      <w:r>
        <w:rPr>
          <w:rFonts w:hint="eastAsia" w:ascii="宋体" w:hAnsi="宋体"/>
          <w:sz w:val="28"/>
          <w:szCs w:val="28"/>
        </w:rPr>
        <w:t>投标人提交的投标文件以及投标人与采购人或</w:t>
      </w:r>
      <w:r>
        <w:rPr>
          <w:rFonts w:hint="eastAsia" w:ascii="宋体" w:hAnsi="宋体"/>
          <w:sz w:val="28"/>
          <w:szCs w:val="28"/>
          <w:lang w:eastAsia="zh-CN"/>
        </w:rPr>
        <w:t>区交易中心</w:t>
      </w:r>
      <w:r>
        <w:rPr>
          <w:rFonts w:hint="eastAsia" w:ascii="宋体" w:hAnsi="宋体"/>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w:t>
      </w:r>
      <w:r>
        <w:rPr>
          <w:rFonts w:ascii="宋体" w:hAnsi="宋体"/>
          <w:sz w:val="28"/>
          <w:szCs w:val="28"/>
        </w:rPr>
        <w:t>、</w:t>
      </w:r>
      <w:r>
        <w:rPr>
          <w:rFonts w:hint="eastAsia" w:ascii="宋体" w:hAnsi="宋体"/>
          <w:sz w:val="28"/>
          <w:szCs w:val="28"/>
        </w:rPr>
        <w:t>翻译的中文资料与外文资料如果出现差异和矛盾时，以中文为准。涉嫌提供虚假材料的按照相关法律法规处理。</w:t>
      </w:r>
    </w:p>
    <w:p>
      <w:pPr>
        <w:tabs>
          <w:tab w:val="left" w:pos="1134"/>
        </w:tabs>
        <w:spacing w:line="360" w:lineRule="auto"/>
        <w:ind w:left="560"/>
        <w:rPr>
          <w:rFonts w:ascii="宋体" w:hAnsi="宋体"/>
          <w:sz w:val="28"/>
          <w:szCs w:val="28"/>
        </w:rPr>
      </w:pPr>
      <w:r>
        <w:rPr>
          <w:rFonts w:hint="eastAsia" w:ascii="宋体" w:hAnsi="宋体" w:eastAsiaTheme="minorEastAsia" w:cstheme="minorBidi"/>
          <w:sz w:val="28"/>
          <w:szCs w:val="28"/>
        </w:rPr>
        <w:t>三、如因未翻译而造成对供应商的不利后果，由供应商承担。</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217446048"/>
      <w:bookmarkStart w:id="50" w:name="_Toc183582217"/>
      <w:bookmarkStart w:id="51" w:name="_Toc183682354"/>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pPr>
      <w:r>
        <w:rPr>
          <w:rFonts w:hint="eastAsia"/>
        </w:rPr>
        <w:t>资格响应文件：</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关于投标人申明的函；</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声明；</w:t>
      </w:r>
    </w:p>
    <w:p>
      <w:pPr>
        <w:numPr>
          <w:ilvl w:val="0"/>
          <w:numId w:val="18"/>
        </w:numPr>
        <w:tabs>
          <w:tab w:val="left" w:pos="1134"/>
        </w:tabs>
        <w:spacing w:line="360" w:lineRule="auto"/>
        <w:ind w:left="0" w:firstLine="565" w:firstLineChars="201"/>
        <w:rPr>
          <w:rFonts w:ascii="宋体" w:hAnsi="宋体"/>
          <w:b/>
          <w:sz w:val="28"/>
          <w:szCs w:val="28"/>
        </w:rPr>
      </w:pPr>
      <w:r>
        <w:rPr>
          <w:rFonts w:hint="eastAsia" w:ascii="宋体" w:hAnsi="宋体"/>
          <w:b/>
          <w:sz w:val="28"/>
          <w:szCs w:val="28"/>
        </w:rPr>
        <w:t>中小企业声明函（说明：提供了残疾人福利性单位声明函或监狱企业证明文件复印件的不需提供）；</w:t>
      </w:r>
    </w:p>
    <w:p>
      <w:pPr>
        <w:numPr>
          <w:ilvl w:val="0"/>
          <w:numId w:val="18"/>
        </w:numPr>
        <w:tabs>
          <w:tab w:val="left" w:pos="1134"/>
        </w:tabs>
        <w:spacing w:line="360" w:lineRule="auto"/>
        <w:ind w:left="0" w:firstLine="565" w:firstLineChars="201"/>
        <w:rPr>
          <w:rFonts w:ascii="宋体" w:hAnsi="宋体"/>
          <w:b/>
          <w:sz w:val="28"/>
          <w:szCs w:val="28"/>
        </w:rPr>
      </w:pPr>
      <w:r>
        <w:rPr>
          <w:rFonts w:hint="eastAsia" w:ascii="宋体" w:hAnsi="宋体"/>
          <w:b/>
          <w:sz w:val="28"/>
          <w:szCs w:val="28"/>
        </w:rPr>
        <w:t>残疾人福利性单位声明函（说明：提供了中小企业声明函或监狱企业证明文件复印件的不需提供）；</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投标人应提交的相关资格证明材料：</w:t>
      </w:r>
    </w:p>
    <w:p>
      <w:pPr>
        <w:pStyle w:val="15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 xml:space="preserve">由省级以上监狱管理局、戒毒管理局（含新疆生产建设兵团）出具的投标人属于监狱企业的证明文件复印件（说明：提供了中小企业声明函或残疾人福利性单位声明函的不需提供）； </w:t>
      </w:r>
    </w:p>
    <w:p>
      <w:pPr>
        <w:pStyle w:val="15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营业执照复印件（正本或副本）或法人证书复印件（正本或副本）或其他能够证明</w:t>
      </w:r>
      <w:r>
        <w:rPr>
          <w:rFonts w:ascii="宋体" w:hAnsi="宋体"/>
          <w:b/>
          <w:sz w:val="28"/>
          <w:szCs w:val="28"/>
        </w:rPr>
        <w:t>供应商具有独立承担民事责任能力的</w:t>
      </w:r>
      <w:r>
        <w:rPr>
          <w:rFonts w:hint="eastAsia" w:ascii="宋体" w:hAnsi="宋体"/>
          <w:b/>
          <w:sz w:val="28"/>
          <w:szCs w:val="28"/>
        </w:rPr>
        <w:t>相关证明材料复印件；</w:t>
      </w:r>
    </w:p>
    <w:p>
      <w:pPr>
        <w:pStyle w:val="15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提交采购人对投标人履行合同所必须的设备和专业技术能力无特殊要求，投标人可不提供证明材料；</w:t>
      </w:r>
    </w:p>
    <w:p>
      <w:pPr>
        <w:pStyle w:val="151"/>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采购人对法律、行政法规规定的其他条件无特殊要求，投标人可不提供证明材料；</w:t>
      </w:r>
    </w:p>
    <w:p>
      <w:pPr>
        <w:pStyle w:val="6"/>
      </w:pPr>
      <w:r>
        <w:rPr>
          <w:rFonts w:hint="eastAsia"/>
        </w:rPr>
        <w:t>商务技术响应文件</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法定代表人身份证明书；</w:t>
      </w:r>
    </w:p>
    <w:p>
      <w:pPr>
        <w:numPr>
          <w:ilvl w:val="0"/>
          <w:numId w:val="20"/>
        </w:numPr>
        <w:tabs>
          <w:tab w:val="left" w:pos="1134"/>
        </w:tabs>
        <w:spacing w:line="360" w:lineRule="auto"/>
        <w:ind w:hanging="279"/>
        <w:jc w:val="left"/>
        <w:rPr>
          <w:rFonts w:hint="eastAsia" w:ascii="宋体" w:hAnsi="宋体"/>
          <w:b/>
          <w:sz w:val="28"/>
          <w:szCs w:val="28"/>
        </w:rPr>
      </w:pPr>
      <w:r>
        <w:rPr>
          <w:rFonts w:hint="eastAsia" w:ascii="宋体" w:hAnsi="宋体"/>
          <w:b/>
          <w:sz w:val="28"/>
          <w:szCs w:val="28"/>
        </w:rPr>
        <w:t>投标人基本情况表；</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投标产品技术性能、技术参数和配置的详细描述；</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承诺函；</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售后服务及承诺。</w:t>
      </w:r>
    </w:p>
    <w:p>
      <w:pPr>
        <w:pStyle w:val="2"/>
        <w:rPr>
          <w:rFonts w:hint="default" w:eastAsia="宋体"/>
          <w:lang w:val="en-US" w:eastAsia="zh-CN"/>
        </w:rPr>
      </w:pPr>
      <w:r>
        <w:rPr>
          <w:rFonts w:hint="eastAsia" w:ascii="宋体" w:hAnsi="宋体"/>
          <w:b/>
          <w:sz w:val="28"/>
          <w:szCs w:val="28"/>
          <w:lang w:val="en-US" w:eastAsia="zh-CN"/>
        </w:rPr>
        <w:t xml:space="preserve">    七、项目实施方案</w:t>
      </w:r>
    </w:p>
    <w:p>
      <w:pPr>
        <w:pStyle w:val="6"/>
      </w:pPr>
      <w:r>
        <w:rPr>
          <w:rFonts w:hint="eastAsia"/>
        </w:rPr>
        <w:t>报价要求响应文件</w:t>
      </w:r>
    </w:p>
    <w:p>
      <w:pPr>
        <w:numPr>
          <w:ilvl w:val="0"/>
          <w:numId w:val="21"/>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21"/>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分项报价明细表（分项报价明细表格式中要求填写品牌、规格型号、制造商、进口或国产的，投标人必须载明其投标产品的品牌、规格型号、制造商、进口或国产）；</w:t>
      </w:r>
    </w:p>
    <w:p>
      <w:pPr>
        <w:keepNext/>
        <w:keepLines/>
        <w:numPr>
          <w:ilvl w:val="2"/>
          <w:numId w:val="5"/>
        </w:numPr>
        <w:spacing w:line="360" w:lineRule="auto"/>
        <w:ind w:left="0" w:firstLine="0"/>
        <w:outlineLvl w:val="2"/>
        <w:rPr>
          <w:rFonts w:ascii="宋体" w:hAnsi="宋体"/>
          <w:b/>
          <w:bCs/>
          <w:sz w:val="28"/>
          <w:szCs w:val="28"/>
        </w:rPr>
      </w:pPr>
      <w:bookmarkStart w:id="52" w:name="_Toc316291396"/>
      <w:bookmarkEnd w:id="52"/>
      <w:bookmarkStart w:id="53" w:name="_Toc316291395"/>
      <w:bookmarkEnd w:id="53"/>
      <w:bookmarkStart w:id="54" w:name="_Toc316292020"/>
      <w:bookmarkEnd w:id="54"/>
      <w:bookmarkStart w:id="55" w:name="_Toc316292019"/>
      <w:bookmarkEnd w:id="55"/>
      <w:bookmarkStart w:id="56" w:name="_Toc183682355"/>
      <w:bookmarkStart w:id="57" w:name="_Toc217446049"/>
      <w:bookmarkStart w:id="58" w:name="_Toc183582218"/>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3"/>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183682360"/>
      <w:bookmarkStart w:id="60" w:name="_Toc217446050"/>
      <w:bookmarkStart w:id="61" w:name="_Toc183582223"/>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1400"/>
      <w:bookmarkEnd w:id="62"/>
      <w:bookmarkStart w:id="63" w:name="_Toc316292024"/>
      <w:bookmarkEnd w:id="63"/>
      <w:bookmarkStart w:id="64" w:name="_Toc217446051"/>
      <w:bookmarkStart w:id="65" w:name="_Toc183582224"/>
      <w:bookmarkStart w:id="66" w:name="_Toc183682361"/>
      <w:r>
        <w:rPr>
          <w:rFonts w:hint="eastAsia" w:ascii="宋体" w:hAnsi="宋体"/>
          <w:b/>
          <w:bCs/>
          <w:sz w:val="28"/>
          <w:szCs w:val="28"/>
        </w:rPr>
        <w:t>投标有效期</w:t>
      </w:r>
      <w:bookmarkEnd w:id="64"/>
      <w:bookmarkEnd w:id="65"/>
      <w:bookmarkEnd w:id="66"/>
    </w:p>
    <w:p>
      <w:pPr>
        <w:numPr>
          <w:ilvl w:val="0"/>
          <w:numId w:val="24"/>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w:t>
      </w:r>
      <w:r>
        <w:rPr>
          <w:rFonts w:hint="eastAsia" w:ascii="宋体" w:hAnsi="宋体"/>
          <w:b/>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2" w:firstLineChars="200"/>
        <w:rPr>
          <w:rFonts w:ascii="宋体" w:hAnsi="宋体"/>
          <w:b/>
          <w:sz w:val="28"/>
          <w:szCs w:val="28"/>
        </w:rPr>
      </w:pPr>
      <w:r>
        <w:rPr>
          <w:rFonts w:hint="eastAsia" w:ascii="宋体" w:hAnsi="宋体"/>
          <w:b/>
          <w:sz w:val="28"/>
          <w:szCs w:val="28"/>
        </w:rPr>
        <w:t>3、投标人应使用本企业CA数字证书对投标文件进行加密。</w:t>
      </w:r>
    </w:p>
    <w:p>
      <w:pPr>
        <w:spacing w:line="360" w:lineRule="auto"/>
        <w:ind w:firstLine="562" w:firstLineChars="200"/>
        <w:rPr>
          <w:rFonts w:ascii="宋体" w:hAnsi="宋体"/>
          <w:b/>
          <w:sz w:val="28"/>
          <w:szCs w:val="28"/>
        </w:rPr>
      </w:pPr>
      <w:r>
        <w:rPr>
          <w:rFonts w:hint="eastAsia" w:ascii="宋体" w:hAnsi="宋体"/>
          <w:b/>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pStyle w:val="5"/>
        <w:numPr>
          <w:ilvl w:val="2"/>
          <w:numId w:val="5"/>
        </w:numPr>
        <w:spacing w:after="200" w:line="240" w:lineRule="auto"/>
        <w:ind w:left="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sz w:val="28"/>
          <w:szCs w:val="28"/>
        </w:rPr>
      </w:pPr>
      <w:bookmarkStart w:id="70" w:name="_Toc316475586"/>
      <w:bookmarkEnd w:id="70"/>
      <w:bookmarkStart w:id="71" w:name="_Toc316475587"/>
      <w:bookmarkEnd w:id="71"/>
      <w:bookmarkStart w:id="72" w:name="_Toc183582228"/>
      <w:bookmarkStart w:id="73" w:name="_Toc183682365"/>
      <w:bookmarkStart w:id="74" w:name="_Toc217446055"/>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w:t>
      </w:r>
      <w:r>
        <w:rPr>
          <w:rFonts w:hint="eastAsia" w:ascii="宋体" w:hAnsi="宋体" w:eastAsiaTheme="minorEastAsia" w:cstheme="minorBidi"/>
          <w:bCs/>
          <w:sz w:val="28"/>
          <w:szCs w:val="28"/>
          <w:lang w:eastAsia="zh-CN"/>
        </w:rPr>
        <w:t>区交易中心</w:t>
      </w:r>
      <w:r>
        <w:rPr>
          <w:rFonts w:hint="eastAsia" w:ascii="宋体" w:hAnsi="宋体" w:eastAsiaTheme="minorEastAsia" w:cstheme="minorBidi"/>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5"/>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5"/>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5"/>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5"/>
        <w:numPr>
          <w:ilvl w:val="2"/>
          <w:numId w:val="5"/>
        </w:numPr>
        <w:spacing w:after="200" w:line="276" w:lineRule="auto"/>
        <w:ind w:left="0" w:firstLine="0"/>
        <w:rPr>
          <w:color w:val="auto"/>
        </w:rPr>
      </w:pPr>
      <w:r>
        <w:rPr>
          <w:rFonts w:hint="eastAsia"/>
          <w:color w:val="auto"/>
        </w:rPr>
        <w:t>投标文件的撤回</w:t>
      </w:r>
    </w:p>
    <w:p>
      <w:pPr>
        <w:spacing w:before="120" w:after="200" w:line="360" w:lineRule="auto"/>
        <w:ind w:firstLine="565" w:firstLineChars="202"/>
        <w:rPr>
          <w:rFonts w:ascii="宋体" w:hAnsi="宋体"/>
          <w:bCs/>
          <w:sz w:val="28"/>
          <w:szCs w:val="28"/>
        </w:rPr>
      </w:pPr>
      <w:bookmarkStart w:id="75" w:name="_Toc89075878"/>
      <w:bookmarkStart w:id="76" w:name="_Toc183582231"/>
      <w:bookmarkStart w:id="77" w:name="_Toc183682368"/>
      <w:bookmarkStart w:id="78" w:name="_Toc77400782"/>
      <w:bookmarkStart w:id="79" w:name="_Toc217446056"/>
      <w:r>
        <w:rPr>
          <w:rFonts w:hint="eastAsia" w:ascii="宋体" w:hAnsi="宋体"/>
          <w:bCs/>
          <w:sz w:val="28"/>
          <w:szCs w:val="28"/>
        </w:rPr>
        <w:t>在投标截止时间之前，投标人可对已递交的投标文件进行撤回。在投标截止时间之后，投标人不得撤回投标文件。</w:t>
      </w:r>
    </w:p>
    <w:p>
      <w:pPr>
        <w:pStyle w:val="5"/>
        <w:numPr>
          <w:ilvl w:val="2"/>
          <w:numId w:val="5"/>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区交易中心</w:t>
      </w:r>
      <w:r>
        <w:rPr>
          <w:rFonts w:hint="eastAsia" w:ascii="宋体" w:hAnsi="宋体"/>
          <w:sz w:val="28"/>
          <w:szCs w:val="28"/>
        </w:rPr>
        <w:t>开启解密后，进行线上解密。</w:t>
      </w:r>
      <w:r>
        <w:rPr>
          <w:rFonts w:hint="eastAsia" w:ascii="宋体" w:hAnsi="宋体"/>
          <w:bCs/>
          <w:sz w:val="28"/>
          <w:szCs w:val="28"/>
        </w:rPr>
        <w:t>除因</w:t>
      </w:r>
      <w:r>
        <w:rPr>
          <w:rFonts w:hint="eastAsia" w:ascii="宋体" w:hAnsi="宋体"/>
          <w:sz w:val="28"/>
          <w:szCs w:val="28"/>
          <w:lang w:eastAsia="zh-CN"/>
        </w:rPr>
        <w:t>区交易中心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20628"/>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bookmarkStart w:id="81" w:name="_Toc183682369"/>
      <w:bookmarkStart w:id="82" w:name="_Toc217446057"/>
      <w:bookmarkStart w:id="83" w:name="_Toc183582232"/>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151"/>
        <w:numPr>
          <w:ilvl w:val="0"/>
          <w:numId w:val="26"/>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本项目为不见面开标项目。提交投标文件的投标人不足3家的，不予开标。</w:t>
      </w:r>
    </w:p>
    <w:p>
      <w:pPr>
        <w:pStyle w:val="151"/>
        <w:numPr>
          <w:ilvl w:val="0"/>
          <w:numId w:val="26"/>
        </w:numPr>
        <w:tabs>
          <w:tab w:val="left" w:pos="0"/>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151"/>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断电、断网、系统故障或其他不可抗力等因素，导致系统无法使用外，投标人在规定的解密时间内，未成功解密的投标文件将视为无效投标文件。</w:t>
      </w:r>
    </w:p>
    <w:p>
      <w:pPr>
        <w:pStyle w:val="151"/>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151"/>
        <w:numPr>
          <w:ilvl w:val="0"/>
          <w:numId w:val="26"/>
        </w:numPr>
        <w:tabs>
          <w:tab w:val="left" w:pos="1134"/>
        </w:tabs>
        <w:spacing w:before="120" w:after="200" w:line="360" w:lineRule="auto"/>
        <w:ind w:left="0" w:right="210" w:firstLine="567" w:firstLineChars="0"/>
        <w:rPr>
          <w:rFonts w:hint="eastAsia" w:ascii="宋体" w:hAnsi="宋体" w:eastAsia="宋体" w:cs="宋体"/>
          <w:b/>
          <w:sz w:val="28"/>
          <w:szCs w:val="28"/>
        </w:rPr>
      </w:pPr>
      <w:r>
        <w:rPr>
          <w:rFonts w:hint="eastAsia" w:ascii="宋体" w:hAnsi="宋体" w:eastAsia="宋体" w:cs="宋体"/>
          <w:b/>
          <w:sz w:val="28"/>
          <w:szCs w:val="28"/>
        </w:rPr>
        <w:t>投标人对开标过程和开标记录有疑义，以及认为采购人、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对投标人提出的询问或者回避申请应当及时处理。</w:t>
      </w:r>
    </w:p>
    <w:p>
      <w:pPr>
        <w:pStyle w:val="151"/>
        <w:numPr>
          <w:ilvl w:val="0"/>
          <w:numId w:val="26"/>
        </w:numPr>
        <w:tabs>
          <w:tab w:val="left" w:pos="1134"/>
        </w:tabs>
        <w:spacing w:before="120" w:after="200" w:line="360" w:lineRule="auto"/>
        <w:ind w:left="0" w:right="210" w:firstLine="567" w:firstLineChars="0"/>
        <w:rPr>
          <w:rFonts w:hint="eastAsia"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151"/>
        <w:numPr>
          <w:ilvl w:val="0"/>
          <w:numId w:val="26"/>
        </w:numPr>
        <w:tabs>
          <w:tab w:val="left" w:pos="1134"/>
        </w:tabs>
        <w:spacing w:before="120" w:after="200" w:line="360" w:lineRule="auto"/>
        <w:ind w:left="0" w:right="210" w:firstLine="567" w:firstLineChars="0"/>
        <w:rPr>
          <w:rFonts w:hint="eastAsia"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政府采购云平台运行基本环境要求：电脑应安装并顺利运行64位win7以上操作系统，谷歌浏览器；正确的CA及签章驱动等；能流畅访问互联网。</w:t>
      </w:r>
    </w:p>
    <w:p>
      <w:pPr>
        <w:pStyle w:val="151"/>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151"/>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rPr>
          <w:rFonts w:ascii="宋体" w:hAnsi="宋体"/>
          <w:sz w:val="28"/>
          <w:szCs w:val="28"/>
        </w:rPr>
      </w:pPr>
      <w:bookmarkStart w:id="87" w:name="_Toc217446064"/>
      <w:bookmarkStart w:id="88" w:name="_Toc183682377"/>
      <w:bookmarkStart w:id="89" w:name="_Toc183582240"/>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26512"/>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19"/>
        <w:spacing w:line="360" w:lineRule="auto"/>
        <w:ind w:firstLine="560" w:firstLineChars="200"/>
        <w:rPr>
          <w:rFonts w:cs="Times New Roman"/>
          <w:sz w:val="28"/>
          <w:szCs w:val="28"/>
          <w:lang w:val="zh-CN"/>
        </w:rPr>
      </w:pPr>
      <w:r>
        <w:rPr>
          <w:rFonts w:hint="eastAsia" w:cs="Times New Roman"/>
          <w:sz w:val="28"/>
          <w:szCs w:val="28"/>
          <w:lang w:val="zh-CN"/>
        </w:rPr>
        <w:t>本项目不允许分包。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p>
    <w:p>
      <w:pPr>
        <w:spacing w:line="360" w:lineRule="auto"/>
        <w:ind w:firstLine="495"/>
        <w:rPr>
          <w:rFonts w:ascii="宋体" w:hAnsi="宋体"/>
          <w:sz w:val="28"/>
          <w:szCs w:val="28"/>
        </w:rPr>
      </w:pPr>
      <w:r>
        <w:rPr>
          <w:rFonts w:hint="eastAsia" w:ascii="宋体" w:hAnsi="宋体"/>
          <w:sz w:val="28"/>
          <w:szCs w:val="28"/>
        </w:rPr>
        <w:t>本项目不收取履约保证金。</w:t>
      </w:r>
    </w:p>
    <w:p>
      <w:pPr>
        <w:keepNext/>
        <w:keepLines/>
        <w:numPr>
          <w:ilvl w:val="2"/>
          <w:numId w:val="5"/>
        </w:numPr>
        <w:spacing w:line="360" w:lineRule="auto"/>
        <w:ind w:left="0" w:firstLine="0"/>
        <w:outlineLvl w:val="2"/>
        <w:rPr>
          <w:rFonts w:ascii="宋体" w:hAnsi="宋体"/>
          <w:b/>
          <w:bCs/>
          <w:sz w:val="28"/>
          <w:szCs w:val="28"/>
        </w:rPr>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疫情防控期间，采购人原则上在5个工作日内与供应商签订政府采购合同及按成都市</w:t>
      </w:r>
      <w:r>
        <w:rPr>
          <w:rFonts w:hint="eastAsia" w:ascii="宋体" w:hAnsi="宋体"/>
          <w:sz w:val="28"/>
          <w:szCs w:val="28"/>
          <w:lang w:eastAsia="zh-CN"/>
        </w:rPr>
        <w:t>新都区</w:t>
      </w:r>
      <w:r>
        <w:rPr>
          <w:rFonts w:hint="eastAsia" w:ascii="宋体" w:hAnsi="宋体"/>
          <w:sz w:val="28"/>
          <w:szCs w:val="28"/>
        </w:rPr>
        <w:t>财政局的要求完成合同备案工作。</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或考核</w:t>
      </w:r>
    </w:p>
    <w:bookmarkEnd w:id="88"/>
    <w:bookmarkEnd w:id="89"/>
    <w:p>
      <w:pPr>
        <w:spacing w:line="360" w:lineRule="auto"/>
        <w:ind w:firstLine="560" w:firstLineChars="200"/>
        <w:rPr>
          <w:rFonts w:ascii="宋体" w:hAnsi="宋体"/>
          <w:sz w:val="28"/>
          <w:szCs w:val="28"/>
        </w:rPr>
      </w:pPr>
      <w:bookmarkStart w:id="98" w:name="_Toc217446074"/>
      <w:bookmarkStart w:id="99" w:name="_Toc183682380"/>
      <w:bookmarkStart w:id="100" w:name="_Toc183582243"/>
      <w:r>
        <w:rPr>
          <w:rFonts w:hint="eastAsia" w:ascii="宋体" w:hAnsi="宋体"/>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pacing w:line="360" w:lineRule="auto"/>
        <w:ind w:firstLine="560" w:firstLineChars="200"/>
        <w:rPr>
          <w:rFonts w:hint="eastAsia" w:ascii="宋体" w:hAnsi="宋体"/>
          <w:sz w:val="28"/>
          <w:szCs w:val="28"/>
        </w:rPr>
      </w:pPr>
      <w:r>
        <w:rPr>
          <w:rFonts w:hint="eastAsia" w:ascii="宋体" w:hAnsi="宋体"/>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9106"/>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lang w:eastAsia="zh-CN"/>
        </w:rPr>
        <w:t>区交易中心</w:t>
      </w:r>
      <w:r>
        <w:rPr>
          <w:rFonts w:hint="eastAsia" w:ascii="宋体" w:hAnsi="宋体"/>
          <w:sz w:val="28"/>
          <w:szCs w:val="28"/>
        </w:rPr>
        <w:t>、其他投标人恶意串通；</w:t>
      </w:r>
    </w:p>
    <w:p>
      <w:pPr>
        <w:numPr>
          <w:ilvl w:val="1"/>
          <w:numId w:val="27"/>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lang w:eastAsia="zh-CN"/>
        </w:rPr>
        <w:t>区交易中心</w:t>
      </w:r>
      <w:r>
        <w:rPr>
          <w:rFonts w:hint="eastAsia" w:ascii="宋体" w:hAnsi="宋体"/>
          <w:sz w:val="28"/>
          <w:szCs w:val="28"/>
        </w:rPr>
        <w:t>、评标委员会成员行贿或者提供其他不正当利益；</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lang w:eastAsia="zh-CN"/>
        </w:rPr>
        <w:t>区交易中心</w:t>
      </w:r>
      <w:r>
        <w:rPr>
          <w:rFonts w:hint="eastAsia" w:ascii="宋体" w:hAnsi="宋体"/>
          <w:sz w:val="28"/>
          <w:szCs w:val="28"/>
        </w:rPr>
        <w:t>进行协商谈判；</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7"/>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567"/>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8"/>
          <w:szCs w:val="28"/>
        </w:rPr>
      </w:pPr>
      <w:bookmarkStart w:id="103" w:name="_Toc314574786"/>
      <w:r>
        <w:rPr>
          <w:rFonts w:hint="eastAsia" w:ascii="宋体" w:hAnsi="宋体"/>
          <w:b/>
          <w:bCs/>
          <w:sz w:val="28"/>
          <w:szCs w:val="28"/>
        </w:rPr>
        <w:t>保密</w:t>
      </w:r>
      <w:bookmarkEnd w:id="103"/>
    </w:p>
    <w:p>
      <w:pPr>
        <w:numPr>
          <w:ilvl w:val="0"/>
          <w:numId w:val="28"/>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28"/>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pacing w:line="360" w:lineRule="auto"/>
        <w:ind w:firstLine="560" w:firstLineChars="200"/>
        <w:rPr>
          <w:rFonts w:hint="eastAsia" w:ascii="宋体" w:hAnsi="宋体"/>
          <w:sz w:val="28"/>
          <w:szCs w:val="28"/>
        </w:rPr>
      </w:pPr>
      <w:r>
        <w:rPr>
          <w:rFonts w:hint="eastAsia" w:ascii="宋体" w:hAnsi="宋体"/>
          <w:sz w:val="28"/>
          <w:szCs w:val="28"/>
        </w:rPr>
        <w:t>在政府采购活动中，采购人员（如采购人内部负责采购项目的具体经办工作人员或直接分管采购项目的负责人、</w:t>
      </w:r>
      <w:r>
        <w:rPr>
          <w:rFonts w:hint="eastAsia" w:ascii="宋体" w:hAnsi="宋体"/>
          <w:sz w:val="28"/>
          <w:szCs w:val="28"/>
          <w:lang w:eastAsia="zh-CN"/>
        </w:rPr>
        <w:t>区交易中心</w:t>
      </w:r>
      <w:r>
        <w:rPr>
          <w:rFonts w:hint="eastAsia" w:ascii="宋体" w:hAnsi="宋体"/>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sz w:val="28"/>
          <w:szCs w:val="28"/>
        </w:rPr>
      </w:pPr>
      <w:r>
        <w:rPr>
          <w:rFonts w:hint="eastAsia" w:ascii="宋体" w:hAnsi="宋体"/>
          <w:sz w:val="28"/>
          <w:szCs w:val="28"/>
        </w:rPr>
        <w:t>（一）参加采购活动前3年内与供应商存在劳动关系；</w:t>
      </w:r>
    </w:p>
    <w:p>
      <w:pPr>
        <w:spacing w:line="360" w:lineRule="auto"/>
        <w:ind w:firstLine="560" w:firstLineChars="200"/>
        <w:rPr>
          <w:rFonts w:hint="eastAsia" w:ascii="宋体" w:hAnsi="宋体"/>
          <w:sz w:val="28"/>
          <w:szCs w:val="28"/>
        </w:rPr>
      </w:pPr>
      <w:r>
        <w:rPr>
          <w:rFonts w:hint="eastAsia" w:ascii="宋体" w:hAnsi="宋体"/>
          <w:sz w:val="28"/>
          <w:szCs w:val="28"/>
        </w:rPr>
        <w:t>（二）参加采购活动前3年内担任供应商的董事、监事；</w:t>
      </w:r>
    </w:p>
    <w:p>
      <w:pPr>
        <w:spacing w:line="360" w:lineRule="auto"/>
        <w:ind w:firstLine="560" w:firstLineChars="200"/>
        <w:rPr>
          <w:rFonts w:hint="eastAsia" w:ascii="宋体" w:hAnsi="宋体"/>
          <w:sz w:val="28"/>
          <w:szCs w:val="28"/>
        </w:rPr>
      </w:pPr>
      <w:r>
        <w:rPr>
          <w:rFonts w:hint="eastAsia" w:ascii="宋体" w:hAnsi="宋体"/>
          <w:sz w:val="28"/>
          <w:szCs w:val="28"/>
        </w:rPr>
        <w:t>（三）参加采购活动前3年内是供应商的控股股东或者实际控制人；</w:t>
      </w:r>
    </w:p>
    <w:p>
      <w:pPr>
        <w:spacing w:line="360" w:lineRule="auto"/>
        <w:ind w:firstLine="560" w:firstLineChars="200"/>
        <w:rPr>
          <w:rFonts w:hint="eastAsia" w:ascii="宋体" w:hAnsi="宋体"/>
          <w:sz w:val="28"/>
          <w:szCs w:val="28"/>
        </w:rPr>
      </w:pPr>
      <w:r>
        <w:rPr>
          <w:rFonts w:hint="eastAsia" w:ascii="宋体" w:hAnsi="宋体"/>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sz w:val="28"/>
          <w:szCs w:val="28"/>
        </w:rPr>
      </w:pPr>
      <w:r>
        <w:rPr>
          <w:rFonts w:hint="eastAsia" w:ascii="宋体" w:hAnsi="宋体"/>
          <w:sz w:val="28"/>
          <w:szCs w:val="28"/>
        </w:rPr>
        <w:t>（五）与供应商有其他可能影响政府采购活动公平、公正进行的关系。</w:t>
      </w:r>
    </w:p>
    <w:p>
      <w:pPr>
        <w:spacing w:line="360" w:lineRule="auto"/>
        <w:ind w:firstLine="560" w:firstLineChars="200"/>
        <w:rPr>
          <w:rFonts w:hint="eastAsia" w:ascii="宋体" w:hAnsi="宋体"/>
          <w:sz w:val="28"/>
          <w:szCs w:val="28"/>
        </w:rPr>
      </w:pPr>
      <w:r>
        <w:rPr>
          <w:rFonts w:hint="eastAsia" w:ascii="宋体" w:hAnsi="宋体"/>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14934"/>
      <w:r>
        <w:rPr>
          <w:rFonts w:hint="eastAsia" w:ascii="宋体" w:hAnsi="宋体"/>
          <w:b/>
          <w:bCs/>
          <w:sz w:val="28"/>
          <w:szCs w:val="28"/>
        </w:rPr>
        <w:t>询问、质疑和投诉</w:t>
      </w:r>
      <w:bookmarkEnd w:id="104"/>
      <w:bookmarkEnd w:id="105"/>
      <w:bookmarkStart w:id="106" w:name="_Toc217446079"/>
    </w:p>
    <w:bookmarkEnd w:id="99"/>
    <w:bookmarkEnd w:id="100"/>
    <w:bookmarkEnd w:id="106"/>
    <w:p>
      <w:pPr>
        <w:numPr>
          <w:ilvl w:val="0"/>
          <w:numId w:val="29"/>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29"/>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30"/>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hint="eastAsia" w:ascii="宋体" w:hAnsi="宋体"/>
          <w:sz w:val="28"/>
          <w:szCs w:val="28"/>
        </w:rPr>
        <w:t>向采购人提出；</w:t>
      </w:r>
    </w:p>
    <w:p>
      <w:pPr>
        <w:numPr>
          <w:ilvl w:val="1"/>
          <w:numId w:val="30"/>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w:t>
      </w:r>
      <w:r>
        <w:rPr>
          <w:rFonts w:hint="eastAsia"/>
          <w:sz w:val="28"/>
          <w:szCs w:val="28"/>
          <w:lang w:eastAsia="zh-CN"/>
        </w:rPr>
        <w:t>区交易中心</w:t>
      </w:r>
      <w:r>
        <w:rPr>
          <w:rFonts w:hint="eastAsia"/>
          <w:sz w:val="28"/>
          <w:szCs w:val="28"/>
        </w:rPr>
        <w:t>提出</w:t>
      </w:r>
      <w:r>
        <w:rPr>
          <w:rFonts w:hint="eastAsia" w:ascii="宋体" w:hAnsi="宋体"/>
          <w:sz w:val="28"/>
          <w:szCs w:val="28"/>
        </w:rPr>
        <w:t>。</w:t>
      </w:r>
    </w:p>
    <w:p>
      <w:pPr>
        <w:numPr>
          <w:ilvl w:val="0"/>
          <w:numId w:val="29"/>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29"/>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29"/>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spacing w:line="360" w:lineRule="auto"/>
        <w:ind w:firstLine="560" w:firstLineChars="200"/>
        <w:rPr>
          <w:rFonts w:hint="eastAsia" w:ascii="宋体" w:hAnsi="宋体"/>
          <w:sz w:val="28"/>
          <w:szCs w:val="28"/>
        </w:rPr>
      </w:pPr>
      <w:r>
        <w:rPr>
          <w:rFonts w:hint="eastAsia" w:ascii="宋体" w:hAnsi="宋体"/>
          <w:sz w:val="28"/>
          <w:szCs w:val="28"/>
        </w:rPr>
        <w:t>（一）质疑书正本1份；</w:t>
      </w:r>
    </w:p>
    <w:p>
      <w:pPr>
        <w:spacing w:line="360" w:lineRule="auto"/>
        <w:ind w:firstLine="560" w:firstLineChars="200"/>
        <w:rPr>
          <w:rFonts w:hint="eastAsia"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（三）营业执照或法人证书复印件1份（加盖公章）；</w:t>
      </w:r>
    </w:p>
    <w:p>
      <w:pPr>
        <w:spacing w:line="360" w:lineRule="auto"/>
        <w:ind w:firstLine="560" w:firstLineChars="200"/>
        <w:rPr>
          <w:rFonts w:hint="eastAsia" w:ascii="宋体" w:hAnsi="宋体"/>
          <w:sz w:val="28"/>
          <w:szCs w:val="28"/>
        </w:rPr>
      </w:pPr>
      <w:r>
        <w:rPr>
          <w:rFonts w:hint="eastAsia" w:ascii="宋体" w:hAnsi="宋体"/>
          <w:sz w:val="28"/>
          <w:szCs w:val="28"/>
        </w:rPr>
        <w:t>（四）法定代表人身份证复印件1份；</w:t>
      </w:r>
    </w:p>
    <w:p>
      <w:pPr>
        <w:spacing w:line="360" w:lineRule="auto"/>
        <w:ind w:firstLine="560" w:firstLineChars="200"/>
        <w:rPr>
          <w:rFonts w:hint="eastAsia"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（六）针对质疑事项必要的证明材料。</w:t>
      </w:r>
    </w:p>
    <w:p>
      <w:pPr>
        <w:numPr>
          <w:ilvl w:val="0"/>
          <w:numId w:val="29"/>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的质疑答复不满意，或者采购人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sz w:val="28"/>
          <w:szCs w:val="28"/>
        </w:rPr>
      </w:pPr>
      <w:bookmarkStart w:id="107" w:name="_Toc27808"/>
      <w:r>
        <w:rPr>
          <w:rFonts w:hint="eastAsia" w:ascii="宋体" w:hAnsi="宋体"/>
          <w:b/>
          <w:bCs/>
          <w:sz w:val="28"/>
          <w:szCs w:val="28"/>
        </w:rPr>
        <w:t>中小企业政府采购信用融资</w:t>
      </w:r>
      <w:bookmarkEnd w:id="107"/>
    </w:p>
    <w:p>
      <w:pPr>
        <w:numPr>
          <w:ilvl w:val="0"/>
          <w:numId w:val="31"/>
        </w:numPr>
        <w:tabs>
          <w:tab w:val="left" w:pos="1134"/>
        </w:tabs>
        <w:spacing w:line="500" w:lineRule="exact"/>
        <w:ind w:left="0" w:firstLine="567"/>
        <w:rPr>
          <w:rFonts w:ascii="宋体" w:hAnsi="宋体"/>
          <w:sz w:val="28"/>
          <w:szCs w:val="28"/>
        </w:rPr>
      </w:pPr>
      <w:r>
        <w:rPr>
          <w:rFonts w:hint="eastAsia" w:ascii="宋体" w:hAnsi="宋体"/>
          <w:sz w:val="28"/>
          <w:szCs w:val="28"/>
        </w:rPr>
        <w:t>参与本次招标活动中标的中小企业投标人无需提供财产抵押或第三方担保，凭借政府采购合同可向融资机构申请融资。</w:t>
      </w:r>
    </w:p>
    <w:p>
      <w:pPr>
        <w:numPr>
          <w:ilvl w:val="0"/>
          <w:numId w:val="31"/>
        </w:numPr>
        <w:tabs>
          <w:tab w:val="left" w:pos="1134"/>
        </w:tabs>
        <w:spacing w:line="500" w:lineRule="exact"/>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sz w:val="28"/>
          <w:szCs w:val="28"/>
        </w:rPr>
        <w:t>见附件。</w:t>
      </w:r>
    </w:p>
    <w:p>
      <w:pPr>
        <w:rPr>
          <w:rFonts w:ascii="宋体" w:hAnsi="宋体"/>
          <w:sz w:val="28"/>
          <w:szCs w:val="28"/>
        </w:rPr>
      </w:pPr>
      <w:r>
        <w:rPr>
          <w:rFonts w:ascii="宋体" w:hAnsi="宋体"/>
          <w:sz w:val="28"/>
          <w:szCs w:val="28"/>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6292049"/>
      <w:bookmarkEnd w:id="108"/>
      <w:bookmarkStart w:id="109" w:name="_Toc316292048"/>
      <w:bookmarkEnd w:id="109"/>
      <w:bookmarkStart w:id="110" w:name="_Toc316292050"/>
      <w:bookmarkEnd w:id="110"/>
      <w:bookmarkStart w:id="111" w:name="_Toc315871047"/>
      <w:bookmarkEnd w:id="111"/>
      <w:bookmarkStart w:id="112" w:name="_Toc315871050"/>
      <w:bookmarkEnd w:id="112"/>
      <w:bookmarkStart w:id="113" w:name="_Toc315871045"/>
      <w:bookmarkEnd w:id="113"/>
      <w:bookmarkStart w:id="114" w:name="_Toc316292052"/>
      <w:bookmarkEnd w:id="114"/>
      <w:bookmarkStart w:id="115" w:name="_Toc315871046"/>
      <w:bookmarkEnd w:id="115"/>
      <w:bookmarkStart w:id="116" w:name="_Toc315871049"/>
      <w:bookmarkEnd w:id="116"/>
      <w:bookmarkStart w:id="117" w:name="_Toc316292051"/>
      <w:bookmarkEnd w:id="117"/>
      <w:bookmarkStart w:id="118" w:name="_Toc315871048"/>
      <w:bookmarkEnd w:id="118"/>
      <w:bookmarkStart w:id="119" w:name="_Toc11571"/>
      <w:r>
        <w:rPr>
          <w:rFonts w:hint="eastAsia" w:ascii="宋体" w:hAnsi="宋体"/>
          <w:b/>
          <w:bCs/>
          <w:spacing w:val="-20"/>
          <w:kern w:val="44"/>
          <w:sz w:val="32"/>
          <w:szCs w:val="32"/>
        </w:rPr>
        <w:t>投标文件格式</w:t>
      </w:r>
      <w:bookmarkEnd w:id="119"/>
    </w:p>
    <w:p>
      <w:pPr>
        <w:keepNext/>
        <w:keepLines/>
        <w:numPr>
          <w:ilvl w:val="1"/>
          <w:numId w:val="5"/>
        </w:numPr>
        <w:spacing w:before="260" w:after="260" w:line="360" w:lineRule="auto"/>
        <w:jc w:val="left"/>
        <w:outlineLvl w:val="1"/>
        <w:rPr>
          <w:rFonts w:ascii="宋体" w:hAnsi="宋体"/>
          <w:b/>
          <w:bCs/>
          <w:sz w:val="28"/>
          <w:szCs w:val="28"/>
        </w:rPr>
      </w:pPr>
      <w:bookmarkStart w:id="120" w:name="_Toc29592"/>
      <w:r>
        <w:rPr>
          <w:rFonts w:hint="eastAsia" w:ascii="宋体" w:hAnsi="宋体"/>
          <w:b/>
          <w:bCs/>
          <w:sz w:val="28"/>
          <w:szCs w:val="28"/>
        </w:rPr>
        <w:t>投标文件封面格式</w:t>
      </w:r>
      <w:bookmarkEnd w:id="120"/>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 xml:space="preserve">成都市新都区人民政府三河街道办事处市民文化中心LED显示屏采购项目（第二次） </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新都政采（2021）A0054号-1</w:t>
      </w: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5"/>
        </w:numPr>
        <w:spacing w:before="260" w:after="260" w:line="360" w:lineRule="auto"/>
        <w:jc w:val="left"/>
        <w:outlineLvl w:val="1"/>
        <w:rPr>
          <w:rFonts w:ascii="宋体" w:hAnsi="宋体"/>
          <w:b/>
          <w:bCs/>
          <w:sz w:val="28"/>
          <w:szCs w:val="28"/>
        </w:rPr>
      </w:pPr>
      <w:bookmarkStart w:id="121" w:name="_Toc7360"/>
      <w:r>
        <w:rPr>
          <w:rFonts w:hint="eastAsia" w:ascii="宋体" w:hAnsi="宋体"/>
          <w:b/>
          <w:bCs/>
          <w:sz w:val="28"/>
          <w:szCs w:val="28"/>
        </w:rPr>
        <w:t>资格响应文件</w:t>
      </w:r>
      <w:bookmarkEnd w:id="121"/>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关于投标人资格申明的函</w:t>
      </w:r>
    </w:p>
    <w:p>
      <w:pPr>
        <w:spacing w:line="360" w:lineRule="auto"/>
        <w:rPr>
          <w:rFonts w:hint="eastAsia" w:ascii="宋体" w:hAnsi="宋体" w:eastAsia="宋体"/>
          <w:sz w:val="28"/>
          <w:szCs w:val="28"/>
          <w:lang w:eastAsia="zh-CN"/>
        </w:rPr>
      </w:pPr>
      <w:bookmarkStart w:id="122" w:name="_Toc238581782"/>
      <w:bookmarkStart w:id="123" w:name="_Toc146903609"/>
      <w:bookmarkStart w:id="124" w:name="_Toc119296788"/>
      <w:bookmarkStart w:id="125" w:name="_Toc119203988"/>
      <w:bookmarkStart w:id="126" w:name="_Toc52184753"/>
      <w:bookmarkStart w:id="127" w:name="_Toc119295087"/>
      <w:r>
        <w:rPr>
          <w:rFonts w:hint="eastAsia" w:ascii="宋体" w:hAnsi="宋体"/>
          <w:sz w:val="28"/>
          <w:szCs w:val="28"/>
        </w:rPr>
        <w:t>致：</w:t>
      </w:r>
      <w:bookmarkEnd w:id="122"/>
      <w:r>
        <w:rPr>
          <w:rFonts w:hint="eastAsia" w:ascii="宋体" w:hAnsi="宋体"/>
          <w:sz w:val="28"/>
          <w:szCs w:val="28"/>
          <w:lang w:eastAsia="zh-CN"/>
        </w:rPr>
        <w:t>成都市新都区公共资源交易服务中心</w:t>
      </w:r>
    </w:p>
    <w:p>
      <w:pPr>
        <w:spacing w:line="360" w:lineRule="auto"/>
        <w:ind w:firstLine="565" w:firstLineChars="202"/>
        <w:rPr>
          <w:rFonts w:ascii="宋体" w:hAnsi="宋体"/>
          <w:sz w:val="28"/>
          <w:szCs w:val="28"/>
        </w:rPr>
      </w:pPr>
      <w:bookmarkStart w:id="128" w:name="_Toc238581783"/>
      <w:r>
        <w:rPr>
          <w:rFonts w:hint="eastAsia" w:ascii="宋体" w:hAnsi="宋体"/>
          <w:sz w:val="28"/>
          <w:szCs w:val="28"/>
        </w:rPr>
        <w:t>关于我方对</w:t>
      </w:r>
      <w:r>
        <w:rPr>
          <w:rFonts w:hint="eastAsia" w:ascii="宋体" w:hAnsi="宋体"/>
          <w:b/>
          <w:sz w:val="28"/>
          <w:szCs w:val="28"/>
          <w:u w:val="single"/>
          <w:lang w:eastAsia="zh-CN"/>
        </w:rPr>
        <w:t xml:space="preserve">成都市新都区人民政府三河街道办事处市民文化中心LED显示屏采购项目（第二次） </w:t>
      </w:r>
      <w:r>
        <w:rPr>
          <w:rFonts w:hint="eastAsia" w:ascii="宋体" w:hAnsi="宋体"/>
          <w:b/>
          <w:sz w:val="28"/>
          <w:szCs w:val="28"/>
          <w:u w:val="single"/>
        </w:rPr>
        <w:t>（项目编号：</w:t>
      </w:r>
      <w:r>
        <w:rPr>
          <w:rFonts w:hint="eastAsia" w:ascii="宋体" w:hAnsi="宋体"/>
          <w:b/>
          <w:sz w:val="28"/>
          <w:szCs w:val="28"/>
          <w:u w:val="single"/>
          <w:lang w:eastAsia="zh-CN"/>
        </w:rPr>
        <w:t>新都政采（2021）A0054号-1</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8"/>
    </w:p>
    <w:p>
      <w:pPr>
        <w:widowControl/>
        <w:numPr>
          <w:ilvl w:val="2"/>
          <w:numId w:val="32"/>
        </w:numPr>
        <w:spacing w:line="360" w:lineRule="auto"/>
        <w:ind w:left="0" w:firstLine="560" w:firstLineChars="200"/>
        <w:rPr>
          <w:rFonts w:ascii="宋体" w:hAnsi="宋体"/>
          <w:sz w:val="28"/>
          <w:szCs w:val="28"/>
        </w:rPr>
      </w:pPr>
      <w:bookmarkStart w:id="129" w:name="_Toc238581784"/>
      <w:r>
        <w:rPr>
          <w:rFonts w:hint="eastAsia" w:ascii="宋体" w:hAnsi="宋体"/>
          <w:sz w:val="28"/>
          <w:szCs w:val="28"/>
        </w:rPr>
        <w:t>投标人名称及概况：</w:t>
      </w:r>
      <w:bookmarkEnd w:id="123"/>
      <w:bookmarkEnd w:id="124"/>
      <w:bookmarkEnd w:id="125"/>
      <w:bookmarkEnd w:id="126"/>
      <w:bookmarkEnd w:id="127"/>
      <w:bookmarkEnd w:id="129"/>
    </w:p>
    <w:p>
      <w:pPr>
        <w:widowControl/>
        <w:numPr>
          <w:ilvl w:val="0"/>
          <w:numId w:val="33"/>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3"/>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3"/>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3"/>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2"/>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致：成都市公共资源交易服务中心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成都市新都区人民政府三河街道办事处市民文化中心LED显示屏采购项目（第二次）</w:t>
      </w:r>
      <w:r>
        <w:rPr>
          <w:rFonts w:hint="eastAsia" w:ascii="宋体" w:hAnsi="宋体"/>
          <w:b/>
          <w:sz w:val="28"/>
          <w:szCs w:val="28"/>
          <w:u w:val="single"/>
        </w:rPr>
        <w:t xml:space="preserve"> （项目编号：</w:t>
      </w:r>
      <w:r>
        <w:rPr>
          <w:rFonts w:hint="eastAsia" w:ascii="宋体" w:hAnsi="宋体"/>
          <w:b/>
          <w:sz w:val="28"/>
          <w:szCs w:val="28"/>
          <w:u w:val="single"/>
          <w:lang w:eastAsia="zh-CN"/>
        </w:rPr>
        <w:t>新都政采（2021）A0054号-1</w:t>
      </w:r>
      <w:r>
        <w:rPr>
          <w:rFonts w:hint="eastAsia" w:ascii="宋体" w:hAnsi="宋体"/>
          <w:b/>
          <w:sz w:val="28"/>
          <w:szCs w:val="28"/>
          <w:u w:val="single"/>
        </w:rPr>
        <w:t>）</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三、与我单位负责人为同一人或者存在直接控股、管理关系的不同供应商：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bCs/>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2"/>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2"/>
        <w:ind w:firstLine="560" w:firstLineChars="20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 xml:space="preserve"> </w:t>
      </w:r>
      <w:r>
        <w:rPr>
          <w:rFonts w:hint="eastAsia" w:ascii="宋体" w:hAnsi="宋体"/>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投标人</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，投标人投标文件将被认定为无效；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投标人无依法缴纳社会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560" w:firstLineChars="200"/>
        <w:rPr>
          <w:rFonts w:ascii="宋体" w:hAnsi="宋体"/>
          <w:szCs w:val="28"/>
        </w:rPr>
      </w:pPr>
      <w:r>
        <w:rPr>
          <w:rFonts w:ascii="宋体" w:hAnsi="宋体"/>
          <w:sz w:val="28"/>
          <w:szCs w:val="28"/>
        </w:rPr>
        <w:t>8</w:t>
      </w:r>
      <w:r>
        <w:rPr>
          <w:rFonts w:hint="eastAsia" w:ascii="宋体" w:hAnsi="宋体"/>
          <w:sz w:val="28"/>
          <w:szCs w:val="28"/>
        </w:rPr>
        <w:t>.</w:t>
      </w:r>
      <w:r>
        <w:rPr>
          <w:rFonts w:ascii="宋体" w:hAnsi="宋体"/>
          <w:sz w:val="28"/>
          <w:szCs w:val="28"/>
        </w:rPr>
        <w:t>对声明中第九条的说明：如</w:t>
      </w:r>
      <w:r>
        <w:rPr>
          <w:rFonts w:hint="eastAsia" w:ascii="宋体" w:hAnsi="宋体"/>
          <w:sz w:val="28"/>
          <w:szCs w:val="28"/>
        </w:rPr>
        <w:t>投标人无依法缴纳税收</w:t>
      </w:r>
      <w:r>
        <w:rPr>
          <w:rFonts w:ascii="宋体" w:hAnsi="宋体"/>
          <w:sz w:val="28"/>
          <w:szCs w:val="28"/>
        </w:rPr>
        <w:t>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pStyle w:val="5"/>
        <w:tabs>
          <w:tab w:val="left" w:pos="709"/>
        </w:tabs>
        <w:spacing w:beforeLines="0" w:after="200" w:afterLines="0"/>
        <w:ind w:left="1135" w:hanging="1135"/>
        <w:rPr>
          <w:rFonts w:hint="default"/>
          <w:color w:val="auto"/>
          <w:sz w:val="28"/>
        </w:rPr>
      </w:pPr>
      <w:r>
        <w:rPr>
          <w:rFonts w:hint="eastAsia" w:ascii="宋体" w:hAnsi="宋体"/>
          <w:b/>
          <w:bCs/>
          <w:sz w:val="28"/>
          <w:szCs w:val="28"/>
        </w:rPr>
        <w:br w:type="page"/>
      </w:r>
      <w:r>
        <w:rPr>
          <w:rFonts w:hint="default"/>
          <w:color w:val="auto"/>
          <w:sz w:val="28"/>
        </w:rPr>
        <w:t>中小企业声明函</w:t>
      </w:r>
    </w:p>
    <w:p>
      <w:pPr>
        <w:spacing w:beforeLines="0" w:afterLines="0" w:line="588" w:lineRule="exact"/>
        <w:ind w:firstLine="563"/>
        <w:jc w:val="center"/>
        <w:rPr>
          <w:rFonts w:hint="default" w:ascii="宋体" w:hAnsi="宋体"/>
          <w:b/>
          <w:bCs/>
          <w:sz w:val="32"/>
          <w:szCs w:val="24"/>
        </w:rPr>
      </w:pPr>
      <w:r>
        <w:rPr>
          <w:rFonts w:hint="default" w:ascii="宋体" w:hAnsi="宋体"/>
          <w:b/>
          <w:bCs/>
          <w:sz w:val="32"/>
          <w:szCs w:val="24"/>
        </w:rPr>
        <w:t>中小企业声明函</w:t>
      </w:r>
    </w:p>
    <w:p>
      <w:pPr>
        <w:spacing w:beforeLines="0" w:afterLines="0" w:line="588" w:lineRule="exact"/>
        <w:ind w:firstLine="563"/>
        <w:rPr>
          <w:rFonts w:hint="default" w:ascii="宋体" w:hAnsi="宋体"/>
          <w:sz w:val="28"/>
        </w:rPr>
      </w:pPr>
      <w:r>
        <w:rPr>
          <w:rFonts w:hint="default" w:ascii="宋体" w:hAnsi="宋体"/>
          <w:sz w:val="28"/>
        </w:rPr>
        <w:t>本公司郑重声明，根据《政府采购促进中小企业发展管理办法》（财库﹝2020﹞46 号）的规定，本公司参加</w:t>
      </w:r>
      <w:r>
        <w:rPr>
          <w:rFonts w:hint="eastAsia" w:ascii="宋体" w:hAnsi="宋体"/>
          <w:b/>
          <w:sz w:val="28"/>
          <w:u w:val="single"/>
          <w:lang w:eastAsia="zh-CN"/>
        </w:rPr>
        <w:t>成都市新都区人民政府三河街道办事处</w:t>
      </w:r>
      <w:r>
        <w:rPr>
          <w:rFonts w:hint="default" w:ascii="宋体" w:hAnsi="宋体"/>
          <w:sz w:val="28"/>
        </w:rPr>
        <w:t>（单位名称）的</w:t>
      </w:r>
      <w:r>
        <w:rPr>
          <w:rFonts w:hint="eastAsia" w:ascii="宋体" w:hAnsi="宋体"/>
          <w:b/>
          <w:sz w:val="28"/>
          <w:u w:val="single"/>
          <w:lang w:eastAsia="zh-CN"/>
        </w:rPr>
        <w:t xml:space="preserve">成都市新都区人民政府三河街道办事处市民文化中心LED显示屏采购项目（第二次） </w:t>
      </w:r>
      <w:r>
        <w:rPr>
          <w:rFonts w:hint="default" w:ascii="宋体" w:hAnsi="宋体"/>
          <w:sz w:val="28"/>
        </w:rPr>
        <w:t>（项目名称）采购活动，提供的货物全部由符合政策要求的中小企业制造。相关企业的具体情况如下：</w:t>
      </w:r>
    </w:p>
    <w:p>
      <w:pPr>
        <w:spacing w:beforeLines="0" w:afterLines="0" w:line="588" w:lineRule="exact"/>
        <w:ind w:firstLine="563"/>
        <w:rPr>
          <w:rFonts w:hint="default" w:ascii="宋体" w:hAnsi="宋体"/>
          <w:sz w:val="28"/>
        </w:rPr>
      </w:pPr>
      <w:r>
        <w:rPr>
          <w:rFonts w:hint="default" w:ascii="宋体" w:hAnsi="宋体"/>
          <w:sz w:val="28"/>
        </w:rPr>
        <w:t xml:space="preserve"> 1. </w:t>
      </w:r>
      <w:r>
        <w:rPr>
          <w:rFonts w:hint="default" w:ascii="宋体" w:hAnsi="宋体"/>
          <w:sz w:val="28"/>
          <w:u w:val="single"/>
        </w:rPr>
        <w:t>___XXXX____</w:t>
      </w:r>
      <w:r>
        <w:rPr>
          <w:rFonts w:hint="default" w:ascii="宋体" w:hAnsi="宋体"/>
          <w:sz w:val="28"/>
        </w:rPr>
        <w:t>（标的名称），属于</w:t>
      </w:r>
      <w:r>
        <w:rPr>
          <w:rFonts w:hint="default" w:ascii="宋体" w:hAnsi="宋体"/>
          <w:sz w:val="28"/>
          <w:u w:val="single"/>
        </w:rPr>
        <w:t>___XXXX____</w:t>
      </w:r>
      <w:r>
        <w:rPr>
          <w:rFonts w:hint="default" w:ascii="宋体" w:hAnsi="宋体"/>
          <w:sz w:val="28"/>
        </w:rPr>
        <w:t>（采购文件中明确的所属行业）行业；制造商为</w:t>
      </w:r>
      <w:r>
        <w:rPr>
          <w:rFonts w:hint="default" w:ascii="宋体" w:hAnsi="宋体"/>
          <w:sz w:val="28"/>
          <w:u w:val="single"/>
        </w:rPr>
        <w:t>___XXXX__</w:t>
      </w:r>
      <w:r>
        <w:rPr>
          <w:rFonts w:hint="default" w:ascii="宋体" w:hAnsi="宋体"/>
          <w:sz w:val="28"/>
        </w:rPr>
        <w:t>（企业名称），从业人员</w:t>
      </w:r>
      <w:r>
        <w:rPr>
          <w:rFonts w:hint="default" w:ascii="宋体" w:hAnsi="宋体"/>
          <w:sz w:val="28"/>
          <w:u w:val="single"/>
        </w:rPr>
        <w:t>___XXXX___</w:t>
      </w:r>
      <w:r>
        <w:rPr>
          <w:rFonts w:hint="default" w:ascii="宋体" w:hAnsi="宋体"/>
          <w:sz w:val="28"/>
        </w:rPr>
        <w:t>人，营业收入为</w:t>
      </w:r>
      <w:r>
        <w:rPr>
          <w:rFonts w:hint="default" w:ascii="宋体" w:hAnsi="宋体"/>
          <w:sz w:val="28"/>
          <w:u w:val="single"/>
        </w:rPr>
        <w:t>__XXXX__</w:t>
      </w:r>
      <w:r>
        <w:rPr>
          <w:rFonts w:hint="default" w:ascii="宋体" w:hAnsi="宋体"/>
          <w:sz w:val="28"/>
        </w:rPr>
        <w:t>万元，资产总额为</w:t>
      </w:r>
      <w:r>
        <w:rPr>
          <w:rFonts w:hint="default" w:ascii="宋体" w:hAnsi="宋体"/>
          <w:sz w:val="28"/>
          <w:u w:val="single"/>
        </w:rPr>
        <w:t>___XXXX___</w:t>
      </w:r>
      <w:r>
        <w:rPr>
          <w:rFonts w:hint="default" w:ascii="宋体" w:hAnsi="宋体"/>
          <w:sz w:val="28"/>
        </w:rPr>
        <w:t>万元</w:t>
      </w:r>
      <w:r>
        <w:rPr>
          <w:rFonts w:hint="default" w:ascii="宋体" w:hAnsi="宋体"/>
          <w:sz w:val="28"/>
          <w:vertAlign w:val="superscript"/>
        </w:rPr>
        <w:t>1</w:t>
      </w:r>
      <w:r>
        <w:rPr>
          <w:rFonts w:hint="default" w:ascii="宋体" w:hAnsi="宋体"/>
          <w:sz w:val="28"/>
        </w:rPr>
        <w:t>，属于</w:t>
      </w:r>
      <w:r>
        <w:rPr>
          <w:rFonts w:hint="eastAsia" w:ascii="宋体" w:hAnsi="宋体"/>
          <w:sz w:val="28"/>
          <w:u w:val="single"/>
          <w:lang w:val="en-US"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2.</w:t>
      </w:r>
      <w:r>
        <w:rPr>
          <w:rFonts w:hint="default" w:ascii="宋体" w:hAnsi="宋体"/>
          <w:sz w:val="28"/>
          <w:u w:val="single"/>
        </w:rPr>
        <w:t xml:space="preserve"> ___XXXX____</w:t>
      </w:r>
      <w:r>
        <w:rPr>
          <w:rFonts w:hint="default" w:ascii="宋体" w:hAnsi="宋体"/>
          <w:sz w:val="28"/>
        </w:rPr>
        <w:t>（标的名称），属于</w:t>
      </w:r>
      <w:r>
        <w:rPr>
          <w:rFonts w:hint="default" w:ascii="宋体" w:hAnsi="宋体"/>
          <w:sz w:val="28"/>
          <w:u w:val="single"/>
        </w:rPr>
        <w:t>___XXXX____</w:t>
      </w:r>
      <w:r>
        <w:rPr>
          <w:rFonts w:hint="default" w:ascii="宋体" w:hAnsi="宋体"/>
          <w:sz w:val="28"/>
        </w:rPr>
        <w:t>（采购文件中明确的所属行业） 行业；制造商为</w:t>
      </w:r>
      <w:r>
        <w:rPr>
          <w:rFonts w:hint="default" w:ascii="宋体" w:hAnsi="宋体"/>
          <w:sz w:val="28"/>
          <w:u w:val="single"/>
        </w:rPr>
        <w:t>___XXXX__</w:t>
      </w:r>
      <w:r>
        <w:rPr>
          <w:rFonts w:hint="default" w:ascii="宋体" w:hAnsi="宋体"/>
          <w:sz w:val="28"/>
        </w:rPr>
        <w:t>（企业名称），从业人员</w:t>
      </w:r>
      <w:r>
        <w:rPr>
          <w:rFonts w:hint="default" w:ascii="宋体" w:hAnsi="宋体"/>
          <w:sz w:val="28"/>
          <w:u w:val="single"/>
        </w:rPr>
        <w:t>___XXXX__</w:t>
      </w:r>
      <w:r>
        <w:rPr>
          <w:rFonts w:hint="default" w:ascii="宋体" w:hAnsi="宋体"/>
          <w:sz w:val="28"/>
        </w:rPr>
        <w:t>人，营业收入为</w:t>
      </w:r>
      <w:r>
        <w:rPr>
          <w:rFonts w:hint="default" w:ascii="宋体" w:hAnsi="宋体"/>
          <w:sz w:val="28"/>
          <w:u w:val="single"/>
        </w:rPr>
        <w:t>___XXXX__</w:t>
      </w:r>
      <w:r>
        <w:rPr>
          <w:rFonts w:hint="default" w:ascii="宋体" w:hAnsi="宋体"/>
          <w:sz w:val="28"/>
        </w:rPr>
        <w:t>万元，资产总额为</w:t>
      </w:r>
      <w:r>
        <w:rPr>
          <w:rFonts w:hint="default" w:ascii="宋体" w:hAnsi="宋体"/>
          <w:sz w:val="28"/>
          <w:u w:val="single"/>
        </w:rPr>
        <w:t>___XXXX____</w:t>
      </w:r>
      <w:r>
        <w:rPr>
          <w:rFonts w:hint="default" w:ascii="宋体" w:hAnsi="宋体"/>
          <w:sz w:val="28"/>
        </w:rPr>
        <w:t>万元，属于</w:t>
      </w:r>
      <w:r>
        <w:rPr>
          <w:rFonts w:hint="eastAsia" w:ascii="宋体" w:hAnsi="宋体"/>
          <w:sz w:val="28"/>
          <w:u w:val="single"/>
          <w:lang w:val="en-US"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 xml:space="preserve"> …… </w:t>
      </w:r>
    </w:p>
    <w:p>
      <w:pPr>
        <w:spacing w:beforeLines="0" w:afterLines="0" w:line="588" w:lineRule="exact"/>
        <w:ind w:firstLine="563"/>
        <w:rPr>
          <w:rFonts w:hint="default" w:ascii="宋体" w:hAnsi="宋体"/>
          <w:sz w:val="28"/>
        </w:rPr>
      </w:pPr>
      <w:r>
        <w:rPr>
          <w:rFonts w:hint="default" w:ascii="宋体" w:hAnsi="宋体"/>
          <w:sz w:val="28"/>
        </w:rPr>
        <w:t>以上企业，不属于大企业的分支机构，不存在控股股东 为大企业的情形，也不存在与大企业的负责人为同一人的情形。</w:t>
      </w:r>
    </w:p>
    <w:p>
      <w:pPr>
        <w:spacing w:beforeLines="0" w:afterLines="0" w:line="588" w:lineRule="exact"/>
        <w:ind w:firstLine="563"/>
        <w:rPr>
          <w:rFonts w:hint="default" w:ascii="宋体" w:hAnsi="宋体"/>
          <w:sz w:val="28"/>
        </w:rPr>
      </w:pPr>
      <w:r>
        <w:rPr>
          <w:rFonts w:hint="default" w:ascii="宋体" w:hAnsi="宋体"/>
          <w:sz w:val="28"/>
        </w:rPr>
        <w:t>本企业对上述声明内容的真实性负责。如有虚假，将依法承担相应责任。</w:t>
      </w:r>
    </w:p>
    <w:p>
      <w:pPr>
        <w:spacing w:beforeLines="0" w:afterLines="0" w:line="588" w:lineRule="exact"/>
        <w:ind w:right="280" w:firstLine="563"/>
        <w:jc w:val="right"/>
        <w:rPr>
          <w:rFonts w:hint="default" w:ascii="宋体" w:hAnsi="宋体"/>
          <w:sz w:val="28"/>
        </w:rPr>
      </w:pPr>
      <w:r>
        <w:rPr>
          <w:rFonts w:hint="default" w:ascii="宋体" w:hAnsi="宋体"/>
          <w:sz w:val="28"/>
        </w:rPr>
        <w:t>企业名称：</w:t>
      </w:r>
      <w:r>
        <w:rPr>
          <w:rFonts w:hint="default" w:ascii="宋体" w:hAnsi="宋体"/>
          <w:sz w:val="28"/>
          <w:u w:val="single"/>
        </w:rPr>
        <w:t>___XXXX____</w:t>
      </w:r>
    </w:p>
    <w:p>
      <w:pPr>
        <w:spacing w:beforeLines="0" w:afterLines="0" w:line="588" w:lineRule="exact"/>
        <w:ind w:firstLine="563"/>
        <w:rPr>
          <w:rFonts w:hint="default" w:ascii="宋体" w:hAnsi="宋体"/>
          <w:sz w:val="28"/>
        </w:rPr>
      </w:pPr>
      <w:r>
        <w:rPr>
          <w:rFonts w:hint="default" w:ascii="宋体" w:hAnsi="宋体"/>
          <w:sz w:val="28"/>
        </w:rPr>
        <w:t xml:space="preserve">                                日 期：202X年XX月XX日</w:t>
      </w:r>
    </w:p>
    <w:p>
      <w:pPr>
        <w:pStyle w:val="2"/>
        <w:rPr>
          <w:rFonts w:hint="default"/>
        </w:rPr>
      </w:pPr>
    </w:p>
    <w:p>
      <w:pPr>
        <w:tabs>
          <w:tab w:val="left" w:pos="3969"/>
        </w:tabs>
        <w:spacing w:beforeLines="0" w:afterLines="0" w:line="500" w:lineRule="exact"/>
        <w:ind w:right="-58" w:firstLine="560" w:firstLineChars="200"/>
        <w:jc w:val="left"/>
        <w:rPr>
          <w:rFonts w:hint="default"/>
          <w:sz w:val="28"/>
        </w:rPr>
      </w:pPr>
    </w:p>
    <w:p>
      <w:pPr>
        <w:pStyle w:val="199"/>
        <w:spacing w:beforeLines="0" w:afterLines="0"/>
        <w:ind w:firstLine="565" w:firstLineChars="201"/>
        <w:rPr>
          <w:rFonts w:hint="default" w:ascii="宋体"/>
          <w:b/>
          <w:sz w:val="28"/>
        </w:rPr>
      </w:pPr>
      <w:r>
        <w:rPr>
          <w:rFonts w:hint="default" w:ascii="宋体"/>
          <w:b/>
          <w:sz w:val="28"/>
        </w:rPr>
        <w:t>说明：1.提供了《残疾人福利性单位声明函》或监狱企业证明文件复印件的不需提供；</w:t>
      </w:r>
    </w:p>
    <w:p>
      <w:pPr>
        <w:pStyle w:val="199"/>
        <w:spacing w:beforeLines="0" w:afterLines="0"/>
        <w:ind w:firstLine="565" w:firstLineChars="201"/>
        <w:rPr>
          <w:rFonts w:hint="default"/>
          <w:b/>
          <w:sz w:val="28"/>
        </w:rPr>
      </w:pPr>
      <w:r>
        <w:rPr>
          <w:rFonts w:hint="default" w:ascii="宋体"/>
          <w:b/>
          <w:sz w:val="28"/>
        </w:rPr>
        <w:t>2.从业人员、营业收入、资产总额填报上一年度数据，无上一年度数据的新成立企业可不填报。</w:t>
      </w: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5"/>
        <w:tabs>
          <w:tab w:val="left" w:pos="709"/>
        </w:tabs>
        <w:spacing w:beforeLines="0" w:after="200" w:afterLines="0"/>
        <w:ind w:left="1135" w:hanging="1135"/>
        <w:rPr>
          <w:rFonts w:hint="default"/>
          <w:color w:val="auto"/>
          <w:sz w:val="28"/>
        </w:rPr>
      </w:pPr>
      <w:r>
        <w:rPr>
          <w:rFonts w:hint="default"/>
          <w:color w:val="auto"/>
          <w:sz w:val="28"/>
        </w:rPr>
        <w:t>残疾人福利性单位声明函</w:t>
      </w:r>
    </w:p>
    <w:p>
      <w:pPr>
        <w:spacing w:beforeLines="0" w:afterLines="0" w:line="588" w:lineRule="exact"/>
        <w:jc w:val="center"/>
        <w:rPr>
          <w:rFonts w:hint="default" w:ascii="宋体" w:hAnsi="宋体"/>
          <w:b/>
          <w:spacing w:val="6"/>
          <w:sz w:val="28"/>
        </w:rPr>
      </w:pPr>
      <w:r>
        <w:rPr>
          <w:rFonts w:hint="default" w:ascii="宋体" w:hAnsi="宋体"/>
          <w:b/>
          <w:spacing w:val="6"/>
          <w:sz w:val="28"/>
        </w:rPr>
        <w:t>残疾人福利性单位声明函</w:t>
      </w:r>
    </w:p>
    <w:p>
      <w:pPr>
        <w:spacing w:beforeLines="0" w:afterLines="0" w:line="588" w:lineRule="exact"/>
        <w:rPr>
          <w:rFonts w:hint="default" w:ascii="宋体" w:hAnsi="宋体"/>
          <w:spacing w:val="6"/>
          <w:sz w:val="28"/>
        </w:rPr>
      </w:pPr>
      <w:r>
        <w:rPr>
          <w:rFonts w:hint="default" w:ascii="宋体" w:hAnsi="宋体"/>
          <w:spacing w:val="6"/>
          <w:sz w:val="28"/>
        </w:rPr>
        <w:t>本单位郑重声明：</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spacing w:val="6"/>
          <w:sz w:val="28"/>
          <w:u w:val="single"/>
          <w:lang w:eastAsia="zh-CN"/>
        </w:rPr>
        <w:t>成都市新都区人民政府三河街道办事处</w:t>
      </w:r>
      <w:r>
        <w:rPr>
          <w:rFonts w:hint="default" w:ascii="宋体" w:hAnsi="宋体"/>
          <w:spacing w:val="6"/>
          <w:sz w:val="28"/>
        </w:rPr>
        <w:t>单位的</w:t>
      </w:r>
      <w:r>
        <w:rPr>
          <w:rFonts w:hint="eastAsia" w:ascii="宋体" w:hAnsi="宋体"/>
          <w:spacing w:val="6"/>
          <w:sz w:val="28"/>
          <w:highlight w:val="none"/>
          <w:u w:val="single"/>
          <w:lang w:eastAsia="zh-CN"/>
        </w:rPr>
        <w:t xml:space="preserve">成都市新都区人民政府三河街道办事处市民文化中心LED显示屏采购项目（第二次） </w:t>
      </w:r>
      <w:r>
        <w:rPr>
          <w:rFonts w:hint="default" w:ascii="宋体" w:hAnsi="宋体"/>
          <w:spacing w:val="6"/>
          <w:sz w:val="28"/>
        </w:rPr>
        <w:t>采购活动提供本单位制造的货物，或者提供其他残疾人福利性单位制造的货物（不包括使用非残疾人福利性单位注册商标的货物）。</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本单位对上述声明的真实性负责。如有虚假，将依法承担相应责任。</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供应商名称：</w:t>
      </w:r>
      <w:r>
        <w:rPr>
          <w:rFonts w:hint="default" w:ascii="宋体" w:hAnsi="宋体"/>
          <w:spacing w:val="6"/>
          <w:sz w:val="28"/>
          <w:u w:val="single"/>
        </w:rPr>
        <w:t xml:space="preserve"> XXXX </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日 期：</w:t>
      </w:r>
      <w:r>
        <w:rPr>
          <w:rFonts w:hint="default" w:ascii="宋体" w:hAnsi="宋体"/>
          <w:spacing w:val="6"/>
          <w:sz w:val="28"/>
          <w:u w:val="single"/>
        </w:rPr>
        <w:t>20XX</w:t>
      </w:r>
      <w:r>
        <w:rPr>
          <w:rFonts w:hint="default" w:ascii="宋体" w:hAnsi="宋体"/>
          <w:spacing w:val="6"/>
          <w:sz w:val="28"/>
        </w:rPr>
        <w:t>年</w:t>
      </w:r>
      <w:r>
        <w:rPr>
          <w:rFonts w:hint="default" w:ascii="宋体" w:hAnsi="宋体"/>
          <w:spacing w:val="6"/>
          <w:sz w:val="28"/>
          <w:u w:val="single"/>
        </w:rPr>
        <w:t>XX</w:t>
      </w:r>
      <w:r>
        <w:rPr>
          <w:rFonts w:hint="default" w:ascii="宋体" w:hAnsi="宋体"/>
          <w:spacing w:val="6"/>
          <w:sz w:val="28"/>
        </w:rPr>
        <w:t>月</w:t>
      </w:r>
      <w:r>
        <w:rPr>
          <w:rFonts w:hint="default" w:ascii="宋体" w:hAnsi="宋体"/>
          <w:spacing w:val="6"/>
          <w:sz w:val="28"/>
          <w:u w:val="single"/>
        </w:rPr>
        <w:t>XX</w:t>
      </w:r>
      <w:r>
        <w:rPr>
          <w:rFonts w:hint="default" w:ascii="宋体" w:hAnsi="宋体"/>
          <w:spacing w:val="6"/>
          <w:sz w:val="28"/>
        </w:rPr>
        <w:t>日</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63"/>
        <w:rPr>
          <w:rFonts w:hint="default" w:ascii="宋体" w:hAnsi="宋体"/>
          <w:b/>
          <w:sz w:val="28"/>
        </w:rPr>
      </w:pPr>
    </w:p>
    <w:p>
      <w:pPr>
        <w:spacing w:beforeLines="0" w:afterLines="0" w:line="588" w:lineRule="exact"/>
        <w:ind w:firstLine="563"/>
        <w:rPr>
          <w:rFonts w:hint="default" w:ascii="宋体" w:hAnsi="宋体"/>
          <w:b/>
          <w:sz w:val="28"/>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spacing w:beforeLines="0" w:afterLines="0"/>
        <w:rPr>
          <w:rFonts w:hint="default"/>
          <w:sz w:val="21"/>
        </w:rPr>
      </w:pPr>
    </w:p>
    <w:p>
      <w:pPr>
        <w:spacing w:beforeLines="0" w:afterLines="0"/>
        <w:rPr>
          <w:rFonts w:hint="default"/>
          <w:sz w:val="21"/>
        </w:rPr>
      </w:pPr>
    </w:p>
    <w:p>
      <w:pPr>
        <w:pStyle w:val="2"/>
        <w:rPr>
          <w:rFonts w:hint="default"/>
          <w:sz w:val="21"/>
        </w:rPr>
      </w:pPr>
    </w:p>
    <w:p>
      <w:pPr>
        <w:rPr>
          <w:rFonts w:hint="default"/>
          <w:sz w:val="21"/>
        </w:rPr>
      </w:pPr>
    </w:p>
    <w:p>
      <w:pPr>
        <w:pStyle w:val="2"/>
        <w:rPr>
          <w:rFonts w:hint="default"/>
        </w:rPr>
      </w:pPr>
    </w:p>
    <w:p>
      <w:pPr>
        <w:keepNext/>
        <w:keepLines/>
        <w:numPr>
          <w:ilvl w:val="2"/>
          <w:numId w:val="1"/>
        </w:numPr>
        <w:spacing w:beforeLines="0" w:afterLines="0" w:line="360" w:lineRule="auto"/>
        <w:ind w:left="3119" w:hanging="3119"/>
        <w:outlineLvl w:val="2"/>
        <w:rPr>
          <w:rFonts w:hint="default" w:ascii="宋体" w:hAnsi="宋体"/>
          <w:sz w:val="28"/>
        </w:rPr>
      </w:pPr>
      <w:r>
        <w:rPr>
          <w:rFonts w:hint="default" w:ascii="宋体" w:hAnsi="宋体"/>
          <w:b/>
          <w:sz w:val="28"/>
        </w:rPr>
        <w:t>报价产品制造商属于监狱企业的证明文件复印件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708" w:firstLineChars="253"/>
        <w:rPr>
          <w:rFonts w:hint="default" w:ascii="宋体" w:hAnsi="宋体"/>
          <w:spacing w:val="6"/>
          <w:sz w:val="28"/>
        </w:rPr>
      </w:pPr>
      <w:r>
        <w:rPr>
          <w:rFonts w:hint="default" w:ascii="宋体"/>
          <w:sz w:val="28"/>
        </w:rPr>
        <w:t>报价产品中为监狱企业制造的货物应提供由省级以上监狱管理局、戒毒管理局（含新疆生产建设兵团）出具的制造商属于监狱企业的证明文件复印件。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562" w:firstLineChars="200"/>
        <w:rPr>
          <w:rFonts w:hint="eastAsia" w:ascii="宋体" w:hAnsi="宋体" w:cs="Times New Roman"/>
          <w:b/>
          <w:sz w:val="28"/>
          <w:szCs w:val="28"/>
          <w:highlight w:val="none"/>
          <w:lang w:eastAsia="zh-CN"/>
        </w:rPr>
      </w:pPr>
      <w:r>
        <w:rPr>
          <w:rFonts w:hint="eastAsia" w:ascii="宋体" w:hAnsi="宋体" w:eastAsia="宋体" w:cs="Times New Roman"/>
          <w:b/>
          <w:sz w:val="28"/>
          <w:szCs w:val="28"/>
          <w:highlight w:val="none"/>
        </w:rPr>
        <w:t>说明：</w:t>
      </w:r>
      <w:r>
        <w:rPr>
          <w:rFonts w:hint="default" w:ascii="宋体" w:hAnsi="宋体" w:eastAsia="宋体" w:cs="Times New Roman"/>
          <w:b/>
          <w:sz w:val="28"/>
          <w:szCs w:val="28"/>
          <w:highlight w:val="none"/>
        </w:rPr>
        <w:t>提供了《中小企业声明函》或《残疾人福利性单位声明函》的不需提供</w:t>
      </w:r>
      <w:r>
        <w:rPr>
          <w:rFonts w:hint="eastAsia" w:ascii="宋体" w:hAnsi="宋体" w:cs="Times New Roman"/>
          <w:b/>
          <w:sz w:val="28"/>
          <w:szCs w:val="28"/>
          <w:highlight w:val="none"/>
          <w:lang w:eastAsia="zh-CN"/>
        </w:rPr>
        <w:t>。</w:t>
      </w:r>
    </w:p>
    <w:p>
      <w:pPr>
        <w:pStyle w:val="2"/>
        <w:rPr>
          <w:rFonts w:hint="eastAsia" w:ascii="宋体" w:hAnsi="宋体" w:cs="Times New Roman"/>
          <w:b/>
          <w:sz w:val="28"/>
          <w:szCs w:val="28"/>
          <w:highlight w:val="none"/>
          <w:lang w:eastAsia="zh-CN"/>
        </w:rPr>
      </w:pPr>
    </w:p>
    <w:p>
      <w:pPr>
        <w:rPr>
          <w:rFonts w:hint="eastAsia" w:ascii="宋体" w:hAnsi="宋体" w:cs="Times New Roman"/>
          <w:b/>
          <w:sz w:val="28"/>
          <w:szCs w:val="28"/>
          <w:highlight w:val="none"/>
          <w:lang w:eastAsia="zh-CN"/>
        </w:rPr>
      </w:pPr>
    </w:p>
    <w:p>
      <w:pPr>
        <w:pStyle w:val="2"/>
        <w:rPr>
          <w:rFonts w:hint="eastAsia" w:ascii="宋体" w:hAnsi="宋体" w:cs="Times New Roman"/>
          <w:b/>
          <w:sz w:val="28"/>
          <w:szCs w:val="28"/>
          <w:highlight w:val="none"/>
          <w:lang w:eastAsia="zh-CN"/>
        </w:rPr>
      </w:pPr>
    </w:p>
    <w:p>
      <w:pPr>
        <w:rPr>
          <w:rFonts w:hint="eastAsia" w:ascii="宋体" w:hAnsi="宋体" w:cs="Times New Roman"/>
          <w:b/>
          <w:sz w:val="28"/>
          <w:szCs w:val="28"/>
          <w:highlight w:val="none"/>
          <w:lang w:eastAsia="zh-CN"/>
        </w:rPr>
      </w:pPr>
    </w:p>
    <w:p>
      <w:pPr>
        <w:pStyle w:val="2"/>
        <w:rPr>
          <w:rFonts w:hint="eastAsia" w:ascii="宋体" w:hAnsi="宋体" w:cs="Times New Roman"/>
          <w:b/>
          <w:sz w:val="28"/>
          <w:szCs w:val="28"/>
          <w:highlight w:val="none"/>
          <w:lang w:eastAsia="zh-CN"/>
        </w:rPr>
      </w:pPr>
    </w:p>
    <w:p>
      <w:pPr>
        <w:rPr>
          <w:rFonts w:hint="eastAsia" w:ascii="宋体" w:hAnsi="宋体" w:cs="Times New Roman"/>
          <w:b/>
          <w:sz w:val="28"/>
          <w:szCs w:val="28"/>
          <w:highlight w:val="none"/>
          <w:lang w:eastAsia="zh-CN"/>
        </w:rPr>
      </w:pPr>
    </w:p>
    <w:p>
      <w:pPr>
        <w:pStyle w:val="2"/>
        <w:rPr>
          <w:rFonts w:hint="eastAsia"/>
          <w:lang w:eastAsia="zh-CN"/>
        </w:rPr>
      </w:pPr>
    </w:p>
    <w:p>
      <w:pPr>
        <w:rPr>
          <w:rFonts w:ascii="宋体" w:hAnsi="宋体"/>
          <w:b/>
          <w:bCs/>
          <w:sz w:val="28"/>
          <w:szCs w:val="28"/>
        </w:rPr>
      </w:pP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ind w:firstLine="560" w:firstLineChars="200"/>
        <w:rPr>
          <w:sz w:val="28"/>
          <w:szCs w:val="28"/>
        </w:rPr>
      </w:pPr>
      <w:r>
        <w:rPr>
          <w:rFonts w:hint="eastAsia" w:ascii="宋体" w:hAnsi="宋体"/>
          <w:sz w:val="28"/>
          <w:szCs w:val="28"/>
        </w:rPr>
        <w:t>投标人按招标文件要求，应提供以下相关资格证明材料：</w:t>
      </w:r>
    </w:p>
    <w:p>
      <w:pPr>
        <w:pStyle w:val="151"/>
        <w:numPr>
          <w:ilvl w:val="0"/>
          <w:numId w:val="34"/>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151"/>
        <w:numPr>
          <w:ilvl w:val="0"/>
          <w:numId w:val="34"/>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营业执照复印件（正本或副本）或法人证书复印件（正本或副本）</w:t>
      </w:r>
      <w:r>
        <w:rPr>
          <w:rFonts w:hint="eastAsia" w:ascii="宋体" w:hAnsi="宋体"/>
          <w:kern w:val="0"/>
          <w:sz w:val="28"/>
          <w:szCs w:val="28"/>
        </w:rPr>
        <w:t>或其他能够证明供应商具有独立承担民事责任能力的相关证明材料复印件；</w:t>
      </w:r>
      <w:r>
        <w:rPr>
          <w:rFonts w:hint="eastAsia" w:ascii="宋体" w:hAnsi="宋体"/>
          <w:sz w:val="28"/>
          <w:szCs w:val="28"/>
        </w:rPr>
        <w:t xml:space="preserve"> </w:t>
      </w:r>
    </w:p>
    <w:p>
      <w:pPr>
        <w:pStyle w:val="151"/>
        <w:numPr>
          <w:ilvl w:val="0"/>
          <w:numId w:val="34"/>
        </w:numPr>
        <w:tabs>
          <w:tab w:val="left" w:pos="1134"/>
        </w:tabs>
        <w:spacing w:before="60" w:line="360" w:lineRule="auto"/>
        <w:ind w:left="0" w:firstLine="567" w:firstLineChars="0"/>
        <w:rPr>
          <w:rFonts w:ascii="宋体" w:hAnsi="宋体"/>
          <w:sz w:val="28"/>
          <w:szCs w:val="28"/>
        </w:rPr>
      </w:pPr>
      <w:r>
        <w:rPr>
          <w:rFonts w:hint="eastAsia"/>
          <w:sz w:val="28"/>
          <w:szCs w:val="28"/>
        </w:rPr>
        <w:t>采购人对投标人履行合同所必须的设备和专业技术能力无其他特殊要求，投标人可不提供证明材料；</w:t>
      </w:r>
    </w:p>
    <w:p>
      <w:pPr>
        <w:pStyle w:val="151"/>
        <w:numPr>
          <w:ilvl w:val="0"/>
          <w:numId w:val="34"/>
        </w:numPr>
        <w:tabs>
          <w:tab w:val="left" w:pos="0"/>
          <w:tab w:val="left" w:pos="1134"/>
        </w:tabs>
        <w:spacing w:before="60" w:line="360" w:lineRule="auto"/>
        <w:ind w:left="0" w:firstLine="546" w:firstLineChars="0"/>
        <w:rPr>
          <w:rFonts w:ascii="宋体" w:hAnsi="宋体"/>
          <w:sz w:val="28"/>
          <w:szCs w:val="28"/>
        </w:rPr>
      </w:pPr>
      <w:r>
        <w:rPr>
          <w:rFonts w:hint="eastAsia" w:ascii="宋体" w:hAnsi="宋体"/>
          <w:sz w:val="28"/>
          <w:szCs w:val="28"/>
        </w:rPr>
        <w:t>采购人对法律、行政法规规定的其他条件无其他特殊要求，投标人可不提供证明材料；</w:t>
      </w:r>
    </w:p>
    <w:p>
      <w:pPr>
        <w:rPr>
          <w:rFonts w:ascii="宋体" w:hAnsi="宋体"/>
          <w:b/>
          <w:bCs/>
          <w:sz w:val="28"/>
          <w:szCs w:val="28"/>
        </w:rPr>
      </w:pPr>
      <w:r>
        <w:rPr>
          <w:rFonts w:hint="eastAsia" w:ascii="宋体" w:hAnsi="宋体"/>
          <w:b/>
          <w:bCs/>
          <w:sz w:val="28"/>
          <w:szCs w:val="28"/>
        </w:rPr>
        <w:br w:type="page"/>
      </w:r>
    </w:p>
    <w:p>
      <w:pPr>
        <w:keepNext/>
        <w:keepLines/>
        <w:numPr>
          <w:ilvl w:val="1"/>
          <w:numId w:val="5"/>
        </w:numPr>
        <w:spacing w:line="360" w:lineRule="auto"/>
        <w:jc w:val="left"/>
        <w:outlineLvl w:val="1"/>
        <w:rPr>
          <w:rFonts w:ascii="宋体" w:hAnsi="宋体"/>
          <w:b/>
          <w:bCs/>
          <w:sz w:val="28"/>
          <w:szCs w:val="28"/>
        </w:rPr>
      </w:pPr>
      <w:bookmarkStart w:id="130" w:name="_Toc11825"/>
      <w:r>
        <w:rPr>
          <w:rFonts w:hint="eastAsia" w:ascii="宋体" w:hAnsi="宋体"/>
          <w:b/>
          <w:bCs/>
          <w:sz w:val="28"/>
          <w:szCs w:val="28"/>
        </w:rPr>
        <w:t>商务技术响应文件</w:t>
      </w:r>
      <w:bookmarkEnd w:id="130"/>
    </w:p>
    <w:p>
      <w:pPr>
        <w:keepNext/>
        <w:keepLines/>
        <w:numPr>
          <w:ilvl w:val="2"/>
          <w:numId w:val="5"/>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lang w:eastAsia="zh-CN"/>
        </w:rPr>
        <w:t>成都市新都区公共资源交易服务中心</w:t>
      </w:r>
      <w:r>
        <w:rPr>
          <w:rFonts w:hint="eastAsia" w:ascii="宋体" w:hAnsi="宋体"/>
          <w:bCs/>
          <w:sz w:val="28"/>
          <w:szCs w:val="28"/>
        </w:rPr>
        <w:t>：</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 xml:space="preserve">成都市新都区人民政府三河街道办事处市民文化中心LED显示屏采购项目（第二次） </w:t>
      </w:r>
      <w:r>
        <w:rPr>
          <w:rFonts w:hint="eastAsia" w:ascii="宋体" w:hAnsi="宋体"/>
          <w:b/>
          <w:bCs/>
          <w:sz w:val="28"/>
          <w:szCs w:val="28"/>
          <w:u w:val="single"/>
        </w:rPr>
        <w:t>”（项目编号：</w:t>
      </w:r>
      <w:r>
        <w:rPr>
          <w:rFonts w:hint="eastAsia" w:ascii="宋体" w:hAnsi="宋体"/>
          <w:b/>
          <w:bCs/>
          <w:sz w:val="28"/>
          <w:szCs w:val="28"/>
          <w:u w:val="single"/>
          <w:lang w:eastAsia="zh-CN"/>
        </w:rPr>
        <w:t>新都政采（2021）A0054号-1</w:t>
      </w:r>
      <w:r>
        <w:rPr>
          <w:rFonts w:hint="eastAsia" w:ascii="宋体" w:hAnsi="宋体"/>
          <w:b/>
          <w:bCs/>
          <w:sz w:val="28"/>
          <w:szCs w:val="28"/>
          <w:u w:val="single"/>
        </w:rPr>
        <w:t>）</w:t>
      </w:r>
      <w:r>
        <w:rPr>
          <w:rFonts w:hint="eastAsia" w:ascii="宋体" w:hAnsi="宋体"/>
          <w:bCs/>
          <w:sz w:val="28"/>
          <w:szCs w:val="28"/>
        </w:rPr>
        <w:t>招标文件，决定参加贵单位组织的本项目投标。我方授权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XXXX（投标人名称）</w:t>
      </w:r>
      <w:r>
        <w:rPr>
          <w:rFonts w:hint="eastAsia" w:ascii="宋体" w:hAnsi="宋体"/>
          <w:bCs/>
          <w:sz w:val="28"/>
          <w:szCs w:val="28"/>
        </w:rPr>
        <w:t>全权处理本项目投标的有关事宜。</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5"/>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sz w:val="28"/>
          <w:szCs w:val="28"/>
        </w:rPr>
      </w:pPr>
      <w:bookmarkStart w:id="131" w:name="_Toc240367172"/>
      <w:bookmarkStart w:id="132" w:name="_Toc265494342"/>
      <w:bookmarkStart w:id="133" w:name="_Toc314574804"/>
      <w:bookmarkStart w:id="134" w:name="_Toc240865266"/>
      <w:bookmarkStart w:id="135" w:name="_Toc229802674"/>
      <w:bookmarkStart w:id="136" w:name="_Toc239846734"/>
      <w:bookmarkStart w:id="137" w:name="_Toc237145395"/>
      <w:bookmarkStart w:id="138" w:name="_Toc239849853"/>
      <w:bookmarkStart w:id="139" w:name="_Toc231030275"/>
      <w:r>
        <w:rPr>
          <w:rFonts w:ascii="宋体" w:hAnsi="宋体"/>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0" w:name="_Toc263768866"/>
      <w:r>
        <w:rPr>
          <w:rFonts w:hint="eastAsia" w:ascii="宋体" w:hAnsi="宋体"/>
          <w:sz w:val="28"/>
          <w:lang w:val="zh-CN"/>
        </w:rPr>
        <w:t>特此证明。</w:t>
      </w:r>
      <w:bookmarkEnd w:id="140"/>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bookmarkEnd w:id="131"/>
    <w:bookmarkEnd w:id="132"/>
    <w:bookmarkEnd w:id="133"/>
    <w:bookmarkEnd w:id="134"/>
    <w:bookmarkEnd w:id="135"/>
    <w:bookmarkEnd w:id="136"/>
    <w:bookmarkEnd w:id="137"/>
    <w:bookmarkEnd w:id="138"/>
    <w:bookmarkEnd w:id="139"/>
    <w:p>
      <w:pPr>
        <w:rPr>
          <w:rFonts w:ascii="宋体" w:hAnsi="宋体"/>
          <w:b/>
          <w:bCs/>
          <w:sz w:val="28"/>
          <w:szCs w:val="28"/>
        </w:rPr>
      </w:pPr>
      <w:bookmarkStart w:id="141" w:name="_Toc302997926"/>
      <w:bookmarkStart w:id="142" w:name="_Toc263753605"/>
      <w:bookmarkStart w:id="143" w:name="_Toc263768870"/>
      <w:bookmarkStart w:id="144" w:name="_Toc220299393"/>
      <w:bookmarkStart w:id="145" w:name="_Toc217446083"/>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highlight w:val="none"/>
        </w:rPr>
      </w:pPr>
      <w:r>
        <w:rPr>
          <w:rFonts w:hint="eastAsia" w:ascii="宋体" w:hAnsi="宋体"/>
          <w:b/>
          <w:bCs/>
          <w:sz w:val="28"/>
          <w:szCs w:val="28"/>
          <w:highlight w:val="none"/>
        </w:rPr>
        <w:t>投标人基本情况表</w:t>
      </w:r>
      <w:bookmarkEnd w:id="141"/>
    </w:p>
    <w:tbl>
      <w:tblPr>
        <w:tblStyle w:val="4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firstLine="1470" w:firstLineChars="700"/>
              <w:rPr>
                <w:rFonts w:hint="default"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bookmarkEnd w:id="142"/>
    <w:bookmarkEnd w:id="143"/>
    <w:bookmarkEnd w:id="144"/>
    <w:bookmarkEnd w:id="145"/>
    <w:p>
      <w:pPr>
        <w:rPr>
          <w:rFonts w:ascii="宋体" w:hAnsi="宋体"/>
          <w:b/>
          <w:bCs/>
          <w:sz w:val="28"/>
          <w:szCs w:val="28"/>
        </w:rPr>
      </w:pPr>
      <w:bookmarkStart w:id="146" w:name="_Toc68703944"/>
      <w:bookmarkStart w:id="147" w:name="_Toc316475719"/>
      <w:r>
        <w:rPr>
          <w:rFonts w:hint="eastAsia" w:ascii="宋体" w:hAnsi="宋体"/>
          <w:b/>
          <w:bCs/>
          <w:sz w:val="28"/>
          <w:szCs w:val="28"/>
        </w:rPr>
        <w:br w:type="page"/>
      </w:r>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投标产品技术性能、技术参数和配置的详细描述</w:t>
      </w:r>
      <w:bookmarkEnd w:id="146"/>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 xml:space="preserve">成都市新都区人民政府三河街道办事处市民文化中心LED显示屏采购项目（第二次） </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新都政采（2021）A0054号-1</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5"/>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 xml:space="preserve">成都市新都区人民政府三河街道办事处市民文化中心LED显示屏采购项目（第二次） </w:t>
      </w:r>
    </w:p>
    <w:p>
      <w:pPr>
        <w:snapToGrid w:val="0"/>
        <w:spacing w:line="360" w:lineRule="auto"/>
        <w:rPr>
          <w:rFonts w:hint="eastAsia"/>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新都政采（2021）A0054号-1</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pStyle w:val="79"/>
        <w:numPr>
          <w:ilvl w:val="0"/>
          <w:numId w:val="36"/>
        </w:numPr>
        <w:tabs>
          <w:tab w:val="left" w:pos="1134"/>
        </w:tabs>
        <w:snapToGrid w:val="0"/>
        <w:spacing w:line="360" w:lineRule="auto"/>
        <w:ind w:left="68" w:leftChars="0" w:firstLine="562" w:firstLineChars="0"/>
        <w:rPr>
          <w:rFonts w:hint="eastAsia" w:ascii="宋体" w:hAnsi="宋体" w:eastAsia="宋体" w:cs="Times New Roman"/>
          <w:kern w:val="2"/>
          <w:sz w:val="28"/>
          <w:szCs w:val="22"/>
          <w:lang w:val="en-US" w:eastAsia="zh-CN" w:bidi="ar-SA"/>
        </w:rPr>
      </w:pPr>
      <w:r>
        <w:rPr>
          <w:rFonts w:hint="eastAsia" w:ascii="宋体" w:hAnsi="宋体" w:eastAsia="宋体" w:cs="Times New Roman"/>
          <w:kern w:val="2"/>
          <w:sz w:val="28"/>
          <w:szCs w:val="22"/>
          <w:lang w:val="zh-CN" w:eastAsia="zh-CN" w:bidi="ar-SA"/>
        </w:rPr>
        <w:t>为本项目提供的所有产品、辅材中属于《国家强制性产品认证目录》范围内产品的，均通过国家强制性产品认证并取得认证证书。</w:t>
      </w:r>
    </w:p>
    <w:p>
      <w:pPr>
        <w:pStyle w:val="79"/>
        <w:numPr>
          <w:ilvl w:val="0"/>
          <w:numId w:val="36"/>
        </w:numPr>
        <w:tabs>
          <w:tab w:val="left" w:pos="1134"/>
        </w:tabs>
        <w:snapToGrid w:val="0"/>
        <w:spacing w:line="360" w:lineRule="auto"/>
        <w:ind w:left="68" w:leftChars="0" w:firstLine="562" w:firstLineChars="0"/>
        <w:rPr>
          <w:rFonts w:ascii="宋体" w:hAnsi="宋体"/>
          <w:b/>
          <w:sz w:val="28"/>
          <w:szCs w:val="28"/>
          <w:highlight w:val="none"/>
        </w:rPr>
      </w:pPr>
      <w:r>
        <w:rPr>
          <w:rFonts w:hint="eastAsia"/>
          <w:sz w:val="28"/>
          <w:szCs w:val="28"/>
          <w:highlight w:val="none"/>
        </w:rPr>
        <w:t>为本项目提供的所有产品、辅材符合现行的强制性国家相关标准、行业标准。</w:t>
      </w:r>
    </w:p>
    <w:p>
      <w:pPr>
        <w:pStyle w:val="79"/>
        <w:numPr>
          <w:ilvl w:val="0"/>
          <w:numId w:val="36"/>
        </w:numPr>
        <w:tabs>
          <w:tab w:val="left" w:pos="1134"/>
        </w:tabs>
        <w:snapToGrid w:val="0"/>
        <w:spacing w:line="360" w:lineRule="auto"/>
        <w:ind w:left="68" w:leftChars="0" w:firstLine="562" w:firstLineChars="0"/>
        <w:rPr>
          <w:rFonts w:hint="eastAsia" w:ascii="宋体" w:hAnsi="宋体"/>
          <w:sz w:val="28"/>
          <w:szCs w:val="28"/>
          <w:highlight w:val="none"/>
        </w:rPr>
      </w:pPr>
      <w:r>
        <w:rPr>
          <w:rFonts w:hint="eastAsia" w:ascii="宋体" w:hAnsi="宋体"/>
          <w:sz w:val="28"/>
          <w:szCs w:val="28"/>
          <w:highlight w:val="none"/>
          <w:lang w:val="zh-CN"/>
        </w:rPr>
        <w:t>我方承诺完全响应招标文件</w:t>
      </w:r>
      <w:r>
        <w:rPr>
          <w:rFonts w:hint="eastAsia" w:ascii="宋体" w:hAnsi="宋体"/>
          <w:sz w:val="28"/>
          <w:szCs w:val="28"/>
          <w:highlight w:val="none"/>
          <w:lang w:val="en-US" w:eastAsia="zh-CN"/>
        </w:rPr>
        <w:t>4.4.1</w:t>
      </w:r>
      <w:r>
        <w:rPr>
          <w:rFonts w:hint="eastAsia" w:ascii="宋体" w:hAnsi="宋体"/>
          <w:sz w:val="28"/>
          <w:szCs w:val="28"/>
          <w:highlight w:val="none"/>
        </w:rPr>
        <w:t>交货时间</w:t>
      </w:r>
      <w:r>
        <w:rPr>
          <w:rFonts w:hint="eastAsia" w:ascii="宋体" w:hAnsi="宋体"/>
          <w:sz w:val="28"/>
          <w:szCs w:val="28"/>
          <w:highlight w:val="none"/>
          <w:lang w:val="en-US" w:eastAsia="zh-CN"/>
        </w:rPr>
        <w:t>4.4.2</w:t>
      </w:r>
      <w:r>
        <w:rPr>
          <w:rFonts w:hint="eastAsia" w:ascii="宋体" w:hAnsi="宋体"/>
          <w:sz w:val="28"/>
          <w:szCs w:val="28"/>
          <w:highlight w:val="none"/>
        </w:rPr>
        <w:t>交货地点</w:t>
      </w:r>
      <w:r>
        <w:rPr>
          <w:rFonts w:hint="eastAsia" w:ascii="宋体" w:hAnsi="宋体"/>
          <w:sz w:val="28"/>
          <w:szCs w:val="28"/>
          <w:highlight w:val="none"/>
          <w:lang w:val="en-US" w:eastAsia="zh-CN"/>
        </w:rPr>
        <w:t>4.4.3</w:t>
      </w:r>
      <w:r>
        <w:rPr>
          <w:rFonts w:hint="eastAsia" w:ascii="宋体" w:hAnsi="宋体"/>
          <w:sz w:val="28"/>
          <w:szCs w:val="28"/>
          <w:highlight w:val="none"/>
        </w:rPr>
        <w:t>付款进度和支付方式</w:t>
      </w:r>
      <w:r>
        <w:rPr>
          <w:rFonts w:hint="eastAsia" w:ascii="宋体" w:hAnsi="宋体"/>
          <w:sz w:val="28"/>
          <w:szCs w:val="28"/>
          <w:highlight w:val="none"/>
          <w:lang w:val="en-US" w:eastAsia="zh-CN"/>
        </w:rPr>
        <w:t>4.4.4</w:t>
      </w:r>
      <w:r>
        <w:rPr>
          <w:rFonts w:hint="eastAsia" w:ascii="宋体" w:hAnsi="宋体"/>
          <w:sz w:val="28"/>
          <w:szCs w:val="28"/>
          <w:highlight w:val="none"/>
        </w:rPr>
        <w:t>验收标准和方法</w:t>
      </w:r>
      <w:r>
        <w:rPr>
          <w:rFonts w:hint="eastAsia" w:ascii="宋体" w:hAnsi="宋体"/>
          <w:sz w:val="28"/>
          <w:szCs w:val="28"/>
          <w:highlight w:val="none"/>
          <w:lang w:val="en-US" w:eastAsia="zh-CN"/>
        </w:rPr>
        <w:t>4.4.5</w:t>
      </w:r>
      <w:r>
        <w:rPr>
          <w:rFonts w:hint="eastAsia" w:ascii="宋体" w:hAnsi="宋体"/>
          <w:sz w:val="28"/>
          <w:szCs w:val="28"/>
          <w:highlight w:val="none"/>
          <w:lang w:val="zh-CN"/>
        </w:rPr>
        <w:t>包装环保要求</w:t>
      </w:r>
      <w:r>
        <w:rPr>
          <w:rFonts w:hint="eastAsia" w:ascii="宋体" w:hAnsi="宋体"/>
          <w:sz w:val="28"/>
          <w:szCs w:val="28"/>
          <w:highlight w:val="none"/>
          <w:lang w:val="en-US" w:eastAsia="zh-CN"/>
        </w:rPr>
        <w:t>4.4.6</w:t>
      </w:r>
      <w:r>
        <w:rPr>
          <w:rFonts w:hint="eastAsia" w:ascii="宋体" w:hAnsi="宋体"/>
          <w:sz w:val="28"/>
          <w:szCs w:val="28"/>
          <w:highlight w:val="none"/>
        </w:rPr>
        <w:t>质量保修范围和保修期</w:t>
      </w:r>
      <w:r>
        <w:rPr>
          <w:rFonts w:hint="eastAsia" w:ascii="宋体" w:hAnsi="宋体"/>
          <w:sz w:val="28"/>
          <w:szCs w:val="28"/>
          <w:highlight w:val="none"/>
          <w:lang w:val="en-US" w:eastAsia="zh-CN"/>
        </w:rPr>
        <w:t>4.4.7</w:t>
      </w:r>
      <w:r>
        <w:rPr>
          <w:rFonts w:hint="eastAsia" w:ascii="宋体" w:hAnsi="宋体"/>
          <w:sz w:val="28"/>
          <w:szCs w:val="28"/>
          <w:highlight w:val="none"/>
        </w:rPr>
        <w:t>售后服务内容及要求</w:t>
      </w:r>
      <w:r>
        <w:rPr>
          <w:rFonts w:hint="eastAsia" w:ascii="宋体" w:hAnsi="宋体"/>
          <w:sz w:val="28"/>
          <w:szCs w:val="28"/>
          <w:highlight w:val="none"/>
          <w:lang w:val="en-US" w:eastAsia="zh-CN"/>
        </w:rPr>
        <w:t>4.4.8</w:t>
      </w:r>
      <w:r>
        <w:rPr>
          <w:rFonts w:hint="eastAsia" w:ascii="宋体" w:hAnsi="宋体"/>
          <w:sz w:val="28"/>
          <w:szCs w:val="28"/>
          <w:highlight w:val="none"/>
        </w:rPr>
        <w:t>违约责任</w:t>
      </w:r>
    </w:p>
    <w:p>
      <w:pPr>
        <w:pStyle w:val="79"/>
        <w:numPr>
          <w:ilvl w:val="0"/>
          <w:numId w:val="0"/>
        </w:numPr>
        <w:tabs>
          <w:tab w:val="left" w:pos="1134"/>
        </w:tabs>
        <w:snapToGrid w:val="0"/>
        <w:spacing w:line="360" w:lineRule="auto"/>
        <w:ind w:left="562" w:leftChars="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p>
    <w:p>
      <w:pPr>
        <w:rPr>
          <w:rFonts w:hint="eastAsia" w:ascii="宋体" w:hAnsi="宋体"/>
          <w:bCs/>
          <w:sz w:val="28"/>
        </w:rPr>
      </w:pPr>
      <w:r>
        <w:rPr>
          <w:rFonts w:hint="eastAsia" w:ascii="宋体" w:hAnsi="宋体"/>
          <w:bCs/>
          <w:sz w:val="28"/>
        </w:rPr>
        <w:br w:type="page"/>
      </w:r>
    </w:p>
    <w:p>
      <w:pPr>
        <w:keepNext/>
        <w:keepLines/>
        <w:numPr>
          <w:ilvl w:val="2"/>
          <w:numId w:val="5"/>
        </w:numPr>
        <w:spacing w:line="360" w:lineRule="auto"/>
        <w:outlineLvl w:val="2"/>
        <w:rPr>
          <w:rFonts w:ascii="宋体" w:hAnsi="宋体"/>
          <w:b/>
          <w:sz w:val="28"/>
          <w:szCs w:val="28"/>
        </w:rPr>
      </w:pPr>
      <w:bookmarkStart w:id="148" w:name="_Toc68703946"/>
      <w:r>
        <w:rPr>
          <w:rFonts w:hint="eastAsia" w:ascii="宋体" w:hAnsi="宋体"/>
          <w:b/>
          <w:sz w:val="28"/>
          <w:szCs w:val="28"/>
        </w:rPr>
        <w:t>售后服务方案</w:t>
      </w:r>
      <w:bookmarkEnd w:id="148"/>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 xml:space="preserve">成都市新都区人民政府三河街道办事处市民文化中心LED显示屏采购项目（第二次） </w:t>
      </w:r>
    </w:p>
    <w:p>
      <w:pPr>
        <w:pStyle w:val="13"/>
        <w:tabs>
          <w:tab w:val="left" w:pos="7560"/>
        </w:tabs>
        <w:spacing w:line="360" w:lineRule="auto"/>
        <w:ind w:firstLine="0"/>
        <w:rPr>
          <w:rFonts w:ascii="宋体" w:hAnsi="宋体"/>
          <w:sz w:val="28"/>
        </w:rPr>
      </w:pPr>
      <w:r>
        <w:rPr>
          <w:rFonts w:hint="eastAsia" w:ascii="宋体" w:hAnsi="宋体" w:eastAsia="宋体"/>
          <w:b/>
          <w:sz w:val="28"/>
        </w:rPr>
        <w:t>项目编号：</w:t>
      </w:r>
      <w:r>
        <w:rPr>
          <w:rFonts w:hint="eastAsia" w:ascii="宋体" w:hAnsi="宋体" w:eastAsia="宋体"/>
          <w:b/>
          <w:sz w:val="28"/>
          <w:u w:val="single"/>
          <w:lang w:eastAsia="zh-CN"/>
        </w:rPr>
        <w:t>新都政采（2021）A0054号-1</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adjustRightInd w:val="0"/>
        <w:spacing w:line="400" w:lineRule="exact"/>
        <w:ind w:firstLine="420" w:firstLineChars="150"/>
        <w:rPr>
          <w:rFonts w:ascii="宋体" w:hAnsi="宋体"/>
          <w:bCs/>
          <w:sz w:val="28"/>
          <w:u w:val="single"/>
        </w:rPr>
      </w:pPr>
    </w:p>
    <w:p>
      <w:pPr>
        <w:keepNext/>
        <w:keepLines/>
        <w:numPr>
          <w:ilvl w:val="2"/>
          <w:numId w:val="5"/>
        </w:numPr>
        <w:spacing w:line="360" w:lineRule="auto"/>
        <w:outlineLvl w:val="2"/>
        <w:rPr>
          <w:rFonts w:ascii="宋体" w:hAnsi="宋体"/>
          <w:b/>
          <w:sz w:val="28"/>
          <w:szCs w:val="28"/>
        </w:rPr>
      </w:pPr>
      <w:r>
        <w:rPr>
          <w:rFonts w:hint="eastAsia" w:ascii="宋体" w:hAnsi="宋体"/>
          <w:b/>
          <w:sz w:val="28"/>
        </w:rPr>
        <w:br w:type="page"/>
      </w:r>
      <w:r>
        <w:rPr>
          <w:rFonts w:hint="eastAsia" w:ascii="宋体" w:hAnsi="宋体"/>
          <w:b/>
          <w:sz w:val="28"/>
          <w:szCs w:val="28"/>
          <w:lang w:val="en-US" w:eastAsia="zh-CN"/>
        </w:rPr>
        <w:t>项目实施方案</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 xml:space="preserve">成都市新都区人民政府三河街道办事处市民文化中心LED显示屏采购项目（第二次） </w:t>
      </w:r>
    </w:p>
    <w:p>
      <w:pPr>
        <w:pStyle w:val="13"/>
        <w:tabs>
          <w:tab w:val="left" w:pos="7560"/>
        </w:tabs>
        <w:spacing w:line="360" w:lineRule="auto"/>
        <w:ind w:firstLine="0"/>
        <w:rPr>
          <w:rFonts w:ascii="宋体" w:hAnsi="宋体"/>
          <w:sz w:val="28"/>
        </w:rPr>
      </w:pPr>
      <w:r>
        <w:rPr>
          <w:rFonts w:hint="eastAsia" w:ascii="宋体" w:hAnsi="宋体" w:eastAsia="宋体"/>
          <w:b/>
          <w:sz w:val="28"/>
        </w:rPr>
        <w:t>项目编号：</w:t>
      </w:r>
      <w:r>
        <w:rPr>
          <w:rFonts w:hint="eastAsia" w:ascii="宋体" w:hAnsi="宋体" w:eastAsia="宋体"/>
          <w:b/>
          <w:sz w:val="28"/>
          <w:u w:val="single"/>
          <w:lang w:eastAsia="zh-CN"/>
        </w:rPr>
        <w:t>新都政采（2021）A0054号-1</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rPr>
          <w:rFonts w:ascii="宋体" w:hAnsi="宋体"/>
          <w:b/>
          <w:sz w:val="28"/>
        </w:rPr>
      </w:pPr>
    </w:p>
    <w:p>
      <w:pPr>
        <w:pStyle w:val="2"/>
        <w:rPr>
          <w:rFonts w:ascii="宋体" w:hAnsi="宋体"/>
          <w:b/>
          <w:sz w:val="28"/>
        </w:rPr>
      </w:pPr>
    </w:p>
    <w:p>
      <w:pPr>
        <w:rPr>
          <w:rFonts w:ascii="宋体" w:hAnsi="宋体"/>
          <w:b/>
          <w:sz w:val="28"/>
        </w:rPr>
      </w:pPr>
    </w:p>
    <w:p>
      <w:pPr>
        <w:pStyle w:val="2"/>
        <w:rPr>
          <w:rFonts w:ascii="宋体" w:hAnsi="宋体"/>
          <w:b/>
          <w:sz w:val="28"/>
        </w:rPr>
      </w:pPr>
    </w:p>
    <w:p>
      <w:pPr>
        <w:rPr>
          <w:rFonts w:ascii="宋体" w:hAnsi="宋体"/>
          <w:b/>
          <w:sz w:val="28"/>
        </w:rPr>
      </w:pPr>
    </w:p>
    <w:p>
      <w:pPr>
        <w:pStyle w:val="2"/>
      </w:pPr>
    </w:p>
    <w:p>
      <w:pPr>
        <w:keepNext/>
        <w:keepLines/>
        <w:numPr>
          <w:ilvl w:val="1"/>
          <w:numId w:val="5"/>
        </w:numPr>
        <w:spacing w:before="260" w:after="260" w:line="360" w:lineRule="auto"/>
        <w:jc w:val="left"/>
        <w:outlineLvl w:val="1"/>
        <w:rPr>
          <w:rFonts w:ascii="宋体" w:hAnsi="宋体"/>
          <w:b/>
          <w:sz w:val="28"/>
        </w:rPr>
      </w:pPr>
      <w:bookmarkStart w:id="149" w:name="_Toc3410"/>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149"/>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 xml:space="preserve">成都市新都区人民政府三河街道办事处市民文化中心LED显示屏采购项目（第二次） </w:t>
      </w:r>
    </w:p>
    <w:p>
      <w:pPr>
        <w:pStyle w:val="13"/>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新都政采（2021）A0054号-1</w:t>
      </w:r>
    </w:p>
    <w:p>
      <w:pPr>
        <w:tabs>
          <w:tab w:val="left" w:pos="1134"/>
        </w:tabs>
        <w:spacing w:line="560" w:lineRule="exact"/>
        <w:rPr>
          <w:rFonts w:ascii="宋体" w:hAnsi="宋体"/>
          <w:b/>
          <w:bCs/>
          <w:sz w:val="28"/>
          <w:szCs w:val="28"/>
        </w:rPr>
      </w:pP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jc w:val="center"/>
              <w:rPr>
                <w:rFonts w:hint="default"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rPr>
                <w:rFonts w:hint="default" w:ascii="宋体" w:hAnsi="宋体"/>
                <w:kern w:val="0"/>
                <w:sz w:val="28"/>
                <w:szCs w:val="28"/>
              </w:rPr>
            </w:pPr>
          </w:p>
        </w:tc>
      </w:tr>
    </w:tbl>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rPr>
          <w:rFonts w:ascii="宋体" w:hAnsi="宋体"/>
          <w:b/>
          <w:bCs/>
          <w:sz w:val="28"/>
          <w:szCs w:val="28"/>
        </w:rPr>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 xml:space="preserve">成都市新都区人民政府三河街道办事处市民文化中心LED显示屏采购项目（第二次） </w:t>
      </w:r>
    </w:p>
    <w:p>
      <w:pPr>
        <w:pStyle w:val="13"/>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新都政采（2021）A0054号-1</w:t>
      </w:r>
    </w:p>
    <w:p>
      <w:pPr>
        <w:numPr>
          <w:ilvl w:val="0"/>
          <w:numId w:val="0"/>
        </w:numPr>
        <w:tabs>
          <w:tab w:val="left" w:pos="630"/>
          <w:tab w:val="left" w:pos="7560"/>
        </w:tabs>
        <w:spacing w:after="200" w:line="360" w:lineRule="auto"/>
        <w:ind w:leftChars="0" w:firstLine="562" w:firstLineChars="200"/>
        <w:rPr>
          <w:rFonts w:hint="eastAsia" w:ascii="宋体" w:hAnsi="宋体"/>
          <w:b/>
          <w:sz w:val="28"/>
        </w:rPr>
      </w:pPr>
      <w:r>
        <w:rPr>
          <w:rFonts w:hint="eastAsia" w:ascii="宋体" w:hAnsi="宋体"/>
          <w:b/>
          <w:sz w:val="28"/>
        </w:rPr>
        <w:t>分项报价明细表（说明：投标人应根据其投标报价的构成提供详细的分项价格明细表。）</w:t>
      </w:r>
    </w:p>
    <w:tbl>
      <w:tblPr>
        <w:tblStyle w:val="42"/>
        <w:tblW w:w="9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024"/>
        <w:gridCol w:w="730"/>
        <w:gridCol w:w="731"/>
        <w:gridCol w:w="664"/>
        <w:gridCol w:w="808"/>
        <w:gridCol w:w="1004"/>
        <w:gridCol w:w="1691"/>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序号</w:t>
            </w:r>
          </w:p>
        </w:tc>
        <w:tc>
          <w:tcPr>
            <w:tcW w:w="20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eastAsia" w:ascii="宋体" w:hAnsi="宋体"/>
                <w:b/>
                <w:bCs/>
                <w:szCs w:val="21"/>
              </w:rPr>
              <w:t>标的名称</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品牌</w:t>
            </w: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规格型号</w:t>
            </w: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制造商</w:t>
            </w: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进口或国产</w:t>
            </w:r>
          </w:p>
        </w:tc>
        <w:tc>
          <w:tcPr>
            <w:tcW w:w="100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数量</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单价</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Cs w:val="21"/>
              </w:rPr>
            </w:pPr>
            <w:r>
              <w:rPr>
                <w:rFonts w:hint="default" w:ascii="宋体" w:hAnsi="宋体"/>
                <w:b/>
                <w:bCs/>
                <w:szCs w:val="21"/>
              </w:rPr>
              <w:t>总价</w:t>
            </w:r>
            <w:r>
              <w:rPr>
                <w:rFonts w:hint="eastAsia" w:ascii="宋体" w:hAnsi="宋体"/>
                <w:b/>
                <w:bCs/>
                <w:szCs w:val="21"/>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1</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室内全彩屏</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eastAsia="宋体"/>
                <w:lang w:eastAsia="zh-CN"/>
              </w:rPr>
            </w:pPr>
            <w:r>
              <w:rPr>
                <w:rFonts w:hint="eastAsia" w:hAnsi="宋体" w:cs="仿宋"/>
                <w:color w:val="000000"/>
                <w:sz w:val="24"/>
                <w:szCs w:val="24"/>
              </w:rPr>
              <w:t>22.64平方</w:t>
            </w:r>
            <w:r>
              <w:rPr>
                <w:rFonts w:hint="eastAsia" w:hAnsi="宋体" w:cs="仿宋"/>
                <w:color w:val="000000"/>
                <w:sz w:val="24"/>
                <w:szCs w:val="24"/>
                <w:lang w:eastAsia="zh-CN"/>
              </w:rPr>
              <w:t>米</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u w:val="single"/>
                <w:lang w:eastAsia="zh-CN"/>
              </w:rPr>
            </w:pPr>
            <w:r>
              <w:rPr>
                <w:rFonts w:hint="default" w:ascii="宋体" w:hAnsi="宋体"/>
                <w:bCs/>
                <w:sz w:val="24"/>
                <w:szCs w:val="28"/>
                <w:u w:val="single"/>
              </w:rPr>
              <w:t>xx</w:t>
            </w:r>
            <w:r>
              <w:rPr>
                <w:rFonts w:hint="eastAsia" w:ascii="宋体" w:hAnsi="宋体"/>
                <w:bCs/>
                <w:sz w:val="24"/>
                <w:szCs w:val="28"/>
              </w:rPr>
              <w:t>元/</w:t>
            </w:r>
            <w:r>
              <w:rPr>
                <w:rFonts w:hint="eastAsia" w:ascii="宋体" w:hAnsi="宋体"/>
                <w:bCs/>
                <w:sz w:val="24"/>
                <w:szCs w:val="28"/>
                <w:lang w:eastAsia="zh-CN"/>
              </w:rPr>
              <w:t>平方米</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2</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开关电源</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80台</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元/台</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3</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接收卡</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52张</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lang w:eastAsia="zh-CN"/>
              </w:rPr>
            </w:pPr>
            <w:r>
              <w:rPr>
                <w:rFonts w:hint="default" w:ascii="宋体" w:hAnsi="宋体"/>
                <w:bCs/>
                <w:sz w:val="24"/>
                <w:szCs w:val="28"/>
                <w:u w:val="single"/>
              </w:rPr>
              <w:t>xx</w:t>
            </w:r>
            <w:r>
              <w:rPr>
                <w:rFonts w:hint="eastAsia" w:ascii="宋体" w:hAnsi="宋体"/>
                <w:bCs/>
                <w:sz w:val="24"/>
                <w:szCs w:val="28"/>
              </w:rPr>
              <w:t>元/</w:t>
            </w:r>
            <w:r>
              <w:rPr>
                <w:rFonts w:hint="eastAsia" w:ascii="宋体" w:hAnsi="宋体"/>
                <w:bCs/>
                <w:sz w:val="24"/>
                <w:szCs w:val="28"/>
                <w:lang w:eastAsia="zh-CN"/>
              </w:rPr>
              <w:t>张</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4</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视频处理器</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1套</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lang w:eastAsia="zh-CN"/>
              </w:rPr>
            </w:pPr>
            <w:r>
              <w:rPr>
                <w:rFonts w:hint="default" w:ascii="宋体" w:hAnsi="宋体"/>
                <w:bCs/>
                <w:sz w:val="24"/>
                <w:szCs w:val="28"/>
                <w:u w:val="single"/>
              </w:rPr>
              <w:t>xx</w:t>
            </w:r>
            <w:r>
              <w:rPr>
                <w:rFonts w:hint="eastAsia" w:ascii="宋体" w:hAnsi="宋体"/>
                <w:bCs/>
                <w:sz w:val="24"/>
                <w:szCs w:val="28"/>
              </w:rPr>
              <w:t>元/</w:t>
            </w:r>
            <w:r>
              <w:rPr>
                <w:rFonts w:hint="eastAsia" w:ascii="宋体" w:hAnsi="宋体"/>
                <w:bCs/>
                <w:sz w:val="24"/>
                <w:szCs w:val="28"/>
                <w:lang w:eastAsia="zh-CN"/>
              </w:rPr>
              <w:t>套</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5</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配电柜</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1台</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元/台</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6</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音视频播放终端</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1台</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元/台</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7</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线性阵列音箱</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lang w:val="en-US" w:eastAsia="zh-CN"/>
              </w:rPr>
              <w:t>2</w:t>
            </w:r>
            <w:r>
              <w:rPr>
                <w:rFonts w:hint="eastAsia" w:hAnsi="宋体" w:cs="仿宋"/>
                <w:color w:val="000000"/>
                <w:sz w:val="24"/>
                <w:szCs w:val="24"/>
              </w:rPr>
              <w:t>只</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lang w:eastAsia="zh-CN"/>
              </w:rPr>
            </w:pPr>
            <w:r>
              <w:rPr>
                <w:rFonts w:hint="default" w:ascii="宋体" w:hAnsi="宋体"/>
                <w:bCs/>
                <w:sz w:val="24"/>
                <w:szCs w:val="28"/>
                <w:u w:val="single"/>
              </w:rPr>
              <w:t>xx</w:t>
            </w:r>
            <w:r>
              <w:rPr>
                <w:rFonts w:hint="eastAsia" w:ascii="宋体" w:hAnsi="宋体"/>
                <w:bCs/>
                <w:sz w:val="24"/>
                <w:szCs w:val="28"/>
              </w:rPr>
              <w:t>元/</w:t>
            </w:r>
            <w:r>
              <w:rPr>
                <w:rFonts w:hint="eastAsia" w:ascii="宋体" w:hAnsi="宋体"/>
                <w:bCs/>
                <w:sz w:val="24"/>
                <w:szCs w:val="28"/>
                <w:lang w:eastAsia="zh-CN"/>
              </w:rPr>
              <w:t>只</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8</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双通道功放</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lang w:val="en-US" w:eastAsia="zh-CN"/>
              </w:rPr>
              <w:t>1</w:t>
            </w:r>
            <w:r>
              <w:rPr>
                <w:rFonts w:hint="eastAsia" w:hAnsi="宋体" w:cs="仿宋"/>
                <w:color w:val="000000"/>
                <w:sz w:val="24"/>
                <w:szCs w:val="24"/>
              </w:rPr>
              <w:t>台</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元/台</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9</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数字音频处理器</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lang w:val="en-US" w:eastAsia="zh-CN"/>
              </w:rPr>
              <w:t>1</w:t>
            </w:r>
            <w:r>
              <w:rPr>
                <w:rFonts w:hint="eastAsia" w:hAnsi="宋体" w:cs="仿宋"/>
                <w:color w:val="000000"/>
                <w:sz w:val="24"/>
                <w:szCs w:val="24"/>
              </w:rPr>
              <w:t>台</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元/台</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10</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8路电源时序器</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lang w:val="en-US" w:eastAsia="zh-CN"/>
              </w:rPr>
              <w:t>1</w:t>
            </w:r>
            <w:r>
              <w:rPr>
                <w:rFonts w:hint="eastAsia" w:hAnsi="宋体" w:cs="仿宋"/>
                <w:color w:val="000000"/>
                <w:sz w:val="24"/>
                <w:szCs w:val="24"/>
              </w:rPr>
              <w:t>台</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元/台</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11</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rPr>
              <w:t>设备机柜</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lang w:val="en-US" w:eastAsia="zh-CN"/>
              </w:rPr>
              <w:t>1</w:t>
            </w:r>
            <w:r>
              <w:rPr>
                <w:rFonts w:hint="eastAsia" w:hAnsi="宋体" w:cs="仿宋"/>
                <w:color w:val="000000"/>
                <w:sz w:val="24"/>
                <w:szCs w:val="24"/>
              </w:rPr>
              <w:t>个</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lang w:eastAsia="zh-CN"/>
              </w:rPr>
            </w:pPr>
            <w:r>
              <w:rPr>
                <w:rFonts w:hint="default" w:ascii="宋体" w:hAnsi="宋体"/>
                <w:bCs/>
                <w:sz w:val="24"/>
                <w:szCs w:val="28"/>
                <w:u w:val="single"/>
              </w:rPr>
              <w:t>xx</w:t>
            </w:r>
            <w:r>
              <w:rPr>
                <w:rFonts w:hint="eastAsia" w:ascii="宋体" w:hAnsi="宋体"/>
                <w:bCs/>
                <w:sz w:val="24"/>
                <w:szCs w:val="28"/>
              </w:rPr>
              <w:t>元/</w:t>
            </w:r>
            <w:r>
              <w:rPr>
                <w:rFonts w:hint="eastAsia" w:ascii="宋体" w:hAnsi="宋体"/>
                <w:bCs/>
                <w:sz w:val="24"/>
                <w:szCs w:val="28"/>
                <w:lang w:eastAsia="zh-CN"/>
              </w:rPr>
              <w:t>个</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12</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126" w:rightChars="60"/>
              <w:jc w:val="center"/>
              <w:textAlignment w:val="center"/>
              <w:rPr>
                <w:rFonts w:hint="default"/>
              </w:rPr>
            </w:pPr>
            <w:r>
              <w:rPr>
                <w:rFonts w:hint="eastAsia" w:hAnsi="宋体" w:cs="仿宋"/>
                <w:color w:val="000000"/>
                <w:sz w:val="24"/>
                <w:szCs w:val="24"/>
              </w:rPr>
              <w:t>安装及调试</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eastAsia"/>
                <w:sz w:val="24"/>
                <w:szCs w:val="24"/>
              </w:rPr>
              <w:t>/</w:t>
            </w: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eastAsia"/>
                <w:sz w:val="24"/>
                <w:szCs w:val="24"/>
              </w:rPr>
              <w:t>/</w:t>
            </w: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eastAsia"/>
                <w:sz w:val="24"/>
                <w:szCs w:val="24"/>
              </w:rPr>
              <w:t>/</w:t>
            </w: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eastAsia"/>
                <w:sz w:val="24"/>
                <w:szCs w:val="24"/>
              </w:rPr>
              <w:t>/</w:t>
            </w: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rPr>
            </w:pPr>
            <w:r>
              <w:rPr>
                <w:rFonts w:hint="eastAsia" w:hAnsi="宋体" w:cs="仿宋"/>
                <w:color w:val="000000"/>
                <w:sz w:val="24"/>
                <w:szCs w:val="24"/>
                <w:lang w:val="en-US" w:eastAsia="zh-CN"/>
              </w:rPr>
              <w:t>1</w:t>
            </w:r>
            <w:r>
              <w:rPr>
                <w:rFonts w:hint="eastAsia" w:hAnsi="宋体" w:cs="仿宋"/>
                <w:color w:val="000000"/>
                <w:sz w:val="24"/>
                <w:szCs w:val="24"/>
              </w:rPr>
              <w:t>项</w:t>
            </w:r>
          </w:p>
        </w:tc>
        <w:tc>
          <w:tcPr>
            <w:tcW w:w="169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lang w:eastAsia="zh-CN"/>
              </w:rPr>
            </w:pPr>
            <w:r>
              <w:rPr>
                <w:rFonts w:hint="default" w:ascii="宋体" w:hAnsi="宋体"/>
                <w:bCs/>
                <w:sz w:val="24"/>
                <w:szCs w:val="28"/>
                <w:u w:val="single"/>
              </w:rPr>
              <w:t>xx</w:t>
            </w:r>
            <w:r>
              <w:rPr>
                <w:rFonts w:hint="eastAsia" w:ascii="宋体" w:hAnsi="宋体"/>
                <w:bCs/>
                <w:sz w:val="24"/>
                <w:szCs w:val="28"/>
              </w:rPr>
              <w:t>元/</w:t>
            </w:r>
            <w:r>
              <w:rPr>
                <w:rFonts w:hint="eastAsia" w:ascii="宋体" w:hAnsi="宋体"/>
                <w:bCs/>
                <w:sz w:val="24"/>
                <w:szCs w:val="28"/>
                <w:lang w:eastAsia="zh-CN"/>
              </w:rPr>
              <w:t>项</w:t>
            </w:r>
          </w:p>
        </w:tc>
        <w:tc>
          <w:tcPr>
            <w:tcW w:w="78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1" w:type="dxa"/>
            <w:gridSpan w:val="8"/>
            <w:tcBorders>
              <w:top w:val="single" w:color="auto" w:sz="2" w:space="0"/>
              <w:left w:val="single" w:color="auto" w:sz="2" w:space="0"/>
              <w:bottom w:val="single" w:color="auto" w:sz="2" w:space="0"/>
              <w:right w:val="single" w:color="auto" w:sz="4"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eastAsia" w:ascii="宋体" w:hAnsi="宋体"/>
                <w:bCs/>
                <w:sz w:val="24"/>
                <w:szCs w:val="28"/>
              </w:rPr>
              <w:t>投标报价（总价合计）</w:t>
            </w:r>
          </w:p>
        </w:tc>
        <w:tc>
          <w:tcPr>
            <w:tcW w:w="785" w:type="dxa"/>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bl>
    <w:p>
      <w:pPr>
        <w:pStyle w:val="2"/>
      </w:pPr>
    </w:p>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bookmarkEnd w:id="147"/>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217446093"/>
      <w:bookmarkStart w:id="151" w:name="_Toc18176"/>
      <w:bookmarkStart w:id="152" w:name="_Toc321382057"/>
      <w:bookmarkStart w:id="153" w:name="_Toc316292231"/>
      <w:r>
        <w:rPr>
          <w:rFonts w:hint="eastAsia" w:ascii="宋体" w:hAnsi="宋体"/>
          <w:b/>
          <w:bCs/>
          <w:spacing w:val="-20"/>
          <w:kern w:val="44"/>
          <w:sz w:val="32"/>
          <w:szCs w:val="32"/>
        </w:rPr>
        <w:t>招标项目技术、服务、商务及其他要求</w:t>
      </w:r>
      <w:bookmarkEnd w:id="150"/>
      <w:bookmarkEnd w:id="151"/>
    </w:p>
    <w:p>
      <w:pPr>
        <w:keepNext/>
        <w:keepLines/>
        <w:numPr>
          <w:ilvl w:val="1"/>
          <w:numId w:val="37"/>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4" w:name="_Toc85122591"/>
      <w:bookmarkStart w:id="155" w:name="_Toc8311"/>
      <w:r>
        <w:rPr>
          <w:rFonts w:hint="eastAsia" w:ascii="宋体" w:hAnsi="宋体"/>
          <w:b/>
          <w:bCs/>
          <w:sz w:val="32"/>
          <w:szCs w:val="32"/>
        </w:rPr>
        <w:t>项目概况</w:t>
      </w:r>
      <w:bookmarkEnd w:id="154"/>
      <w:bookmarkEnd w:id="155"/>
    </w:p>
    <w:p>
      <w:pPr>
        <w:ind w:firstLine="480" w:firstLineChars="200"/>
        <w:rPr>
          <w:rFonts w:hint="eastAsia" w:hAnsi="宋体" w:eastAsia="宋体" w:cs="仿宋"/>
          <w:color w:val="000000"/>
          <w:sz w:val="24"/>
          <w:szCs w:val="24"/>
          <w:lang w:eastAsia="zh-CN" w:bidi="ar"/>
        </w:rPr>
      </w:pPr>
      <w:bookmarkStart w:id="156" w:name="_Toc85122592"/>
      <w:r>
        <w:rPr>
          <w:rFonts w:hint="eastAsia" w:hAnsi="宋体" w:cs="仿宋"/>
          <w:color w:val="000000"/>
          <w:sz w:val="24"/>
          <w:szCs w:val="24"/>
          <w:lang w:bidi="ar"/>
        </w:rPr>
        <w:t>成都市新都区人民政府三河街道办事处市民文化中心 LED显示屏采购项目</w:t>
      </w:r>
      <w:r>
        <w:rPr>
          <w:rFonts w:hint="eastAsia" w:hAnsi="宋体" w:cs="仿宋"/>
          <w:color w:val="000000"/>
          <w:sz w:val="24"/>
          <w:szCs w:val="24"/>
          <w:lang w:eastAsia="zh-CN" w:bidi="ar"/>
        </w:rPr>
        <w:t>，本次政府采购项目共一个包件。</w:t>
      </w:r>
    </w:p>
    <w:p>
      <w:pPr>
        <w:keepNext/>
        <w:keepLines/>
        <w:numPr>
          <w:ilvl w:val="1"/>
          <w:numId w:val="37"/>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7" w:name="_Toc7546"/>
      <w:r>
        <w:rPr>
          <w:rFonts w:hint="eastAsia" w:ascii="宋体" w:hAnsi="宋体"/>
          <w:b/>
          <w:bCs/>
          <w:sz w:val="32"/>
          <w:szCs w:val="32"/>
        </w:rPr>
        <w:t>采购内容</w:t>
      </w:r>
      <w:bookmarkEnd w:id="156"/>
      <w:bookmarkEnd w:id="157"/>
    </w:p>
    <w:tbl>
      <w:tblPr>
        <w:tblStyle w:val="42"/>
        <w:tblpPr w:leftFromText="180" w:rightFromText="180" w:vertAnchor="text" w:horzAnchor="page" w:tblpX="1738" w:tblpY="142"/>
        <w:tblOverlap w:val="never"/>
        <w:tblW w:w="8243" w:type="dxa"/>
        <w:tblInd w:w="0" w:type="dxa"/>
        <w:tblLayout w:type="fixed"/>
        <w:tblCellMar>
          <w:top w:w="15" w:type="dxa"/>
          <w:left w:w="15" w:type="dxa"/>
          <w:bottom w:w="15" w:type="dxa"/>
          <w:right w:w="15" w:type="dxa"/>
        </w:tblCellMar>
      </w:tblPr>
      <w:tblGrid>
        <w:gridCol w:w="1134"/>
        <w:gridCol w:w="2838"/>
        <w:gridCol w:w="1555"/>
        <w:gridCol w:w="1358"/>
        <w:gridCol w:w="1358"/>
      </w:tblGrid>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bookmarkStart w:id="158" w:name="_Toc85122593"/>
            <w:r>
              <w:rPr>
                <w:rFonts w:hint="eastAsia" w:hAnsi="宋体" w:cs="仿宋"/>
                <w:color w:val="000000"/>
                <w:sz w:val="24"/>
                <w:szCs w:val="24"/>
              </w:rPr>
              <w:t>序号</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设备名称（标的名称）</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单位</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数量</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所属行业</w:t>
            </w:r>
          </w:p>
        </w:tc>
      </w:tr>
      <w:tr>
        <w:tblPrEx>
          <w:tblLayout w:type="fixed"/>
          <w:tblCellMar>
            <w:top w:w="15" w:type="dxa"/>
            <w:left w:w="15" w:type="dxa"/>
            <w:bottom w:w="15" w:type="dxa"/>
            <w:right w:w="15" w:type="dxa"/>
          </w:tblCellMar>
        </w:tblPrEx>
        <w:trPr>
          <w:trHeight w:val="431"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室内全彩屏</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eastAsia="宋体" w:cs="仿宋"/>
                <w:color w:val="000000"/>
                <w:sz w:val="24"/>
                <w:szCs w:val="24"/>
                <w:lang w:eastAsia="zh-CN"/>
              </w:rPr>
            </w:pPr>
            <w:r>
              <w:rPr>
                <w:rFonts w:hint="eastAsia" w:hAnsi="宋体" w:cs="仿宋"/>
                <w:color w:val="000000"/>
                <w:sz w:val="24"/>
                <w:szCs w:val="24"/>
              </w:rPr>
              <w:t>平方</w:t>
            </w:r>
            <w:r>
              <w:rPr>
                <w:rFonts w:hint="eastAsia" w:hAnsi="宋体" w:cs="仿宋"/>
                <w:color w:val="000000"/>
                <w:sz w:val="24"/>
                <w:szCs w:val="24"/>
                <w:lang w:eastAsia="zh-CN"/>
              </w:rPr>
              <w:t>米</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22.64</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2</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开关电源</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80</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3</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接收卡</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张</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52</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4</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视频处理器</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套</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5</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配电柜</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6</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音视频播放终端</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7</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线性阵列音箱</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只</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2</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8</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双通道功放</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9</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数字音频处理器</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10</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8路电源时序器</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11</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设备机柜</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个</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12</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jc w:val="center"/>
              <w:textAlignment w:val="center"/>
              <w:rPr>
                <w:rFonts w:hint="eastAsia" w:hAnsi="宋体" w:cs="仿宋"/>
                <w:color w:val="000000"/>
                <w:sz w:val="24"/>
                <w:szCs w:val="24"/>
              </w:rPr>
            </w:pPr>
            <w:r>
              <w:rPr>
                <w:rFonts w:hint="eastAsia" w:hAnsi="宋体" w:cs="仿宋"/>
                <w:color w:val="000000"/>
                <w:sz w:val="24"/>
                <w:szCs w:val="24"/>
              </w:rPr>
              <w:t>安装及调试</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项</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w:t>
            </w:r>
          </w:p>
        </w:tc>
      </w:tr>
    </w:tbl>
    <w:p>
      <w:pPr>
        <w:keepNext/>
        <w:keepLines/>
        <w:numPr>
          <w:ilvl w:val="1"/>
          <w:numId w:val="37"/>
        </w:numPr>
        <w:tabs>
          <w:tab w:val="left" w:pos="0"/>
          <w:tab w:val="left" w:pos="426"/>
          <w:tab w:val="left" w:pos="576"/>
          <w:tab w:val="left" w:pos="786"/>
        </w:tabs>
        <w:spacing w:line="360" w:lineRule="auto"/>
        <w:ind w:left="0" w:firstLine="0"/>
        <w:outlineLvl w:val="1"/>
        <w:rPr>
          <w:rFonts w:ascii="宋体" w:hAnsi="宋体"/>
          <w:b/>
          <w:bCs/>
          <w:sz w:val="28"/>
          <w:szCs w:val="32"/>
        </w:rPr>
      </w:pPr>
      <w:bookmarkStart w:id="159" w:name="_Toc29544"/>
      <w:r>
        <w:rPr>
          <w:rFonts w:hint="eastAsia" w:ascii="宋体" w:hAnsi="宋体"/>
          <w:b/>
          <w:bCs/>
          <w:sz w:val="28"/>
          <w:szCs w:val="32"/>
        </w:rPr>
        <w:t>技术参数及要求</w:t>
      </w:r>
      <w:bookmarkEnd w:id="158"/>
      <w:bookmarkEnd w:id="159"/>
    </w:p>
    <w:tbl>
      <w:tblPr>
        <w:tblStyle w:val="42"/>
        <w:tblpPr w:leftFromText="180" w:rightFromText="180" w:vertAnchor="text" w:horzAnchor="page" w:tblpXSpec="center" w:tblpY="423"/>
        <w:tblOverlap w:val="never"/>
        <w:tblW w:w="9595" w:type="dxa"/>
        <w:jc w:val="center"/>
        <w:tblInd w:w="0" w:type="dxa"/>
        <w:tblLayout w:type="fixed"/>
        <w:tblCellMar>
          <w:top w:w="15" w:type="dxa"/>
          <w:left w:w="15" w:type="dxa"/>
          <w:bottom w:w="15" w:type="dxa"/>
          <w:right w:w="15" w:type="dxa"/>
        </w:tblCellMar>
      </w:tblPr>
      <w:tblGrid>
        <w:gridCol w:w="423"/>
        <w:gridCol w:w="1960"/>
        <w:gridCol w:w="5792"/>
        <w:gridCol w:w="704"/>
        <w:gridCol w:w="716"/>
      </w:tblGrid>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bookmarkStart w:id="160" w:name="_Toc85122594"/>
            <w:bookmarkStart w:id="161" w:name="_Toc3882"/>
            <w:bookmarkStart w:id="162" w:name="_Toc529173741"/>
            <w:bookmarkStart w:id="163" w:name="_Toc533672602"/>
            <w:r>
              <w:rPr>
                <w:rFonts w:hint="eastAsia" w:hAnsi="宋体" w:cs="仿宋"/>
                <w:color w:val="000000"/>
                <w:sz w:val="24"/>
                <w:szCs w:val="24"/>
              </w:rPr>
              <w:t>序号</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设备名称</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技术参数</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单位</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数量</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p>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室内全彩屏</w:t>
            </w:r>
          </w:p>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1.点间距离：≤2.5mm。</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2.物理密度：≥160000/㎡。</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3.发光点颜色:1R1G1B。</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4.封装尺寸:SMD2121。</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5.驱动方式：恒流驱动；</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6.模组尺寸：(W)320mm×(H)160mm。</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7.模组平整度：≤0.1mm。</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8.像素中心距相对偏差：≤2%。</w:t>
            </w:r>
          </w:p>
          <w:p>
            <w:pPr>
              <w:keepNext w:val="0"/>
              <w:keepLines w:val="0"/>
              <w:suppressLineNumbers w:val="0"/>
              <w:spacing w:before="0" w:beforeAutospacing="0" w:after="0" w:afterAutospacing="0"/>
              <w:ind w:left="0" w:right="126" w:rightChars="60"/>
              <w:rPr>
                <w:rFonts w:hint="eastAsia" w:hAnsi="宋体" w:cs="仿宋"/>
                <w:color w:val="000000"/>
                <w:sz w:val="24"/>
                <w:szCs w:val="24"/>
                <w:highlight w:val="yellow"/>
              </w:rPr>
            </w:pPr>
            <w:r>
              <w:rPr>
                <w:rFonts w:hint="eastAsia" w:hAnsi="宋体" w:cs="仿宋"/>
                <w:color w:val="000000"/>
                <w:sz w:val="24"/>
                <w:szCs w:val="24"/>
              </w:rPr>
              <w:t>▲9.亮度：≥1000cd/㎡可调。（提供公安部安全与警用电子产品质量检测中心出具的具有CMA或ilac-MRA或CNAS标识的检测报告并加盖制造厂商公章。）</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▲10.水平视角：≥170°，垂直视角：≥170°。（</w:t>
            </w:r>
            <w:r>
              <w:rPr>
                <w:rFonts w:hint="eastAsia" w:hAnsi="宋体" w:cs="仿宋"/>
                <w:color w:val="000000"/>
                <w:sz w:val="24"/>
                <w:szCs w:val="24"/>
                <w:lang w:eastAsia="zh-CN"/>
              </w:rPr>
              <w:t>提供公安部安全与警用电子产品质量检测中心出具的具有CMA或ilac-MRA或CNAS标识的检测报告并加盖制造厂商公章。</w:t>
            </w:r>
            <w:r>
              <w:rPr>
                <w:rFonts w:hint="eastAsia" w:hAnsi="宋体" w:cs="仿宋"/>
                <w:color w:val="000000"/>
                <w:sz w:val="24"/>
                <w:szCs w:val="24"/>
              </w:rPr>
              <w:t>）</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bCs/>
                <w:color w:val="000000"/>
                <w:sz w:val="24"/>
                <w:szCs w:val="24"/>
              </w:rPr>
              <w:t>11.</w:t>
            </w:r>
            <w:r>
              <w:rPr>
                <w:rFonts w:hint="eastAsia" w:hAnsi="宋体" w:cs="仿宋"/>
                <w:color w:val="000000"/>
                <w:sz w:val="24"/>
                <w:szCs w:val="24"/>
              </w:rPr>
              <w:t>色温：2000-18000。</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12.DCI-P3色域覆盖率：≥95%。</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13.最高对比度：≥8000:1。</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14.亮度均匀性：≥97%。</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15.色度均匀度：±0.003CxCy之内。</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16.换帧频率：≥60Hz，刷新频率：3840Hz。</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17.像素失控点：≤1/100000，无连续失控点。</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18.温度（-10±2）°C，（４０±2）°C，持续时间2h，LED显示屏正常工作。</w:t>
            </w:r>
          </w:p>
          <w:p>
            <w:pPr>
              <w:pStyle w:val="2"/>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19.</w:t>
            </w:r>
            <w:r>
              <w:rPr>
                <w:rFonts w:hint="eastAsia" w:hAnsi="宋体" w:cs="仿宋"/>
                <w:color w:val="000000"/>
                <w:sz w:val="24"/>
                <w:szCs w:val="24"/>
                <w:lang w:eastAsia="zh-Hans"/>
              </w:rPr>
              <w:t>在产品使用过程中，确保观看时人眼的舒适度，</w:t>
            </w:r>
            <w:r>
              <w:rPr>
                <w:rFonts w:hint="eastAsia" w:hAnsi="宋体" w:cs="仿宋"/>
                <w:color w:val="000000"/>
                <w:sz w:val="24"/>
                <w:szCs w:val="24"/>
              </w:rPr>
              <w:t>所提供的LED显示屏智能光感护眼，可自动识别环境光的强弱，调节屏幕亮度，符合标准要求。</w:t>
            </w:r>
          </w:p>
          <w:p>
            <w:pPr>
              <w:keepNext w:val="0"/>
              <w:keepLines w:val="0"/>
              <w:suppressLineNumbers w:val="0"/>
              <w:spacing w:before="0" w:beforeAutospacing="0" w:after="0" w:afterAutospacing="0"/>
              <w:ind w:left="0" w:right="126" w:rightChars="60"/>
              <w:rPr>
                <w:rFonts w:hint="eastAsia" w:hAnsi="宋体" w:cs="仿宋"/>
                <w:bCs/>
                <w:color w:val="000000"/>
                <w:sz w:val="24"/>
                <w:szCs w:val="24"/>
              </w:rPr>
            </w:pPr>
            <w:r>
              <w:rPr>
                <w:rFonts w:hint="eastAsia" w:hAnsi="宋体" w:cs="仿宋"/>
                <w:color w:val="000000"/>
                <w:sz w:val="24"/>
                <w:szCs w:val="24"/>
              </w:rPr>
              <w:t>▲20</w:t>
            </w:r>
            <w:r>
              <w:rPr>
                <w:rFonts w:hint="eastAsia" w:hAnsi="宋体" w:cs="仿宋"/>
                <w:bCs/>
                <w:color w:val="000000"/>
                <w:sz w:val="24"/>
                <w:szCs w:val="24"/>
              </w:rPr>
              <w:t>.</w:t>
            </w:r>
            <w:r>
              <w:rPr>
                <w:rFonts w:hint="eastAsia" w:hAnsi="宋体" w:cs="仿宋"/>
                <w:color w:val="000000"/>
                <w:sz w:val="24"/>
                <w:szCs w:val="24"/>
              </w:rPr>
              <w:t>抗电强度满足安全防范报警设备的电源插头或电源引入端与外壳裸漏金属部件之间的绝缘电阻，经过相对湿热度为９１％－９５％、温度为４０°C、４８ｈ的受潮预处理后，加强绝缘的设备不小于５MΩ，基本绝缘的设备不小于２MΩ，Ⅲ类设备不小于１MΩ。工作电压超过５００V的设备，上述绝缘电阻的阻值数应乘以一个系数，该系数等于工作电压除以５００V。</w:t>
            </w:r>
            <w:r>
              <w:rPr>
                <w:rFonts w:hint="eastAsia" w:hAnsi="宋体" w:cs="仿宋"/>
                <w:bCs/>
                <w:color w:val="000000"/>
                <w:sz w:val="24"/>
                <w:szCs w:val="24"/>
              </w:rPr>
              <w:t>（</w:t>
            </w:r>
            <w:r>
              <w:rPr>
                <w:rFonts w:hint="eastAsia" w:hAnsi="宋体" w:cs="仿宋"/>
                <w:color w:val="000000"/>
                <w:sz w:val="24"/>
                <w:szCs w:val="24"/>
              </w:rPr>
              <w:t>提供公安部安全与警用电子产品质量检测中心出具的具有CMA或ilac-MRA或CNAS标识的检测报告并加盖制造厂商公章。</w:t>
            </w:r>
            <w:r>
              <w:rPr>
                <w:rFonts w:hint="eastAsia" w:hAnsi="宋体" w:cs="仿宋"/>
                <w:bCs/>
                <w:color w:val="000000"/>
                <w:sz w:val="24"/>
                <w:szCs w:val="24"/>
              </w:rPr>
              <w:t>）</w:t>
            </w:r>
          </w:p>
          <w:p>
            <w:pPr>
              <w:pStyle w:val="2"/>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w:t>
            </w:r>
            <w:r>
              <w:rPr>
                <w:rFonts w:hint="eastAsia" w:hAnsi="宋体" w:cs="仿宋"/>
                <w:bCs/>
                <w:color w:val="000000"/>
                <w:sz w:val="24"/>
                <w:szCs w:val="24"/>
              </w:rPr>
              <w:t>21.提供LED显示屏蓝光危害检测报告。</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w:t>
            </w:r>
            <w:r>
              <w:rPr>
                <w:rFonts w:hint="eastAsia" w:hAnsi="宋体" w:cs="仿宋"/>
                <w:bCs/>
                <w:color w:val="000000"/>
                <w:sz w:val="24"/>
                <w:szCs w:val="24"/>
              </w:rPr>
              <w:t>22.</w:t>
            </w:r>
            <w:r>
              <w:rPr>
                <w:rFonts w:hint="eastAsia" w:hAnsi="宋体" w:cs="仿宋"/>
                <w:bCs/>
                <w:color w:val="000000"/>
                <w:sz w:val="24"/>
                <w:szCs w:val="24"/>
                <w:lang w:eastAsia="zh-Hans"/>
              </w:rPr>
              <w:t>为了保证显示屏安装的平整度和美观性，</w:t>
            </w:r>
            <w:r>
              <w:rPr>
                <w:rFonts w:hint="eastAsia" w:hAnsi="宋体" w:cs="仿宋"/>
                <w:color w:val="000000"/>
                <w:sz w:val="24"/>
                <w:szCs w:val="24"/>
              </w:rPr>
              <w:t>LED显示屏模组内部配有六轴向精密微调结构器件，显示屏表面平整度调整合理方便，</w:t>
            </w:r>
            <w:r>
              <w:rPr>
                <w:rFonts w:hint="eastAsia" w:hAnsi="宋体" w:cs="仿宋"/>
                <w:color w:val="000000"/>
                <w:sz w:val="24"/>
                <w:szCs w:val="24"/>
                <w:lang w:eastAsia="zh-Hans"/>
              </w:rPr>
              <w:t>上下模组之间的空隙P</w:t>
            </w:r>
            <w:r>
              <w:rPr>
                <w:rFonts w:hint="eastAsia" w:hAnsi="宋体" w:cs="仿宋"/>
                <w:color w:val="000000"/>
                <w:sz w:val="24"/>
                <w:szCs w:val="24"/>
              </w:rPr>
              <w:t>≤0</w:t>
            </w:r>
            <w:r>
              <w:rPr>
                <w:rFonts w:hint="eastAsia" w:hAnsi="宋体" w:cs="仿宋"/>
                <w:color w:val="000000"/>
                <w:sz w:val="24"/>
                <w:szCs w:val="24"/>
                <w:lang w:eastAsia="zh-Hans"/>
              </w:rPr>
              <w:t>.02mm;相邻模组的平面之间的最大空隙即平整度P</w:t>
            </w:r>
            <w:r>
              <w:rPr>
                <w:rFonts w:hint="eastAsia" w:hAnsi="宋体" w:cs="仿宋"/>
                <w:color w:val="000000"/>
                <w:sz w:val="24"/>
                <w:szCs w:val="24"/>
              </w:rPr>
              <w:t>≤0</w:t>
            </w:r>
            <w:r>
              <w:rPr>
                <w:rFonts w:hint="eastAsia" w:hAnsi="宋体" w:cs="仿宋"/>
                <w:color w:val="000000"/>
                <w:sz w:val="24"/>
                <w:szCs w:val="24"/>
                <w:lang w:eastAsia="zh-Hans"/>
              </w:rPr>
              <w:t>.02mm</w:t>
            </w:r>
            <w:r>
              <w:rPr>
                <w:rFonts w:hint="eastAsia" w:hAnsi="宋体" w:cs="仿宋"/>
                <w:color w:val="000000"/>
                <w:sz w:val="24"/>
                <w:szCs w:val="24"/>
              </w:rPr>
              <w:t>。</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rPr>
                <w:rFonts w:hint="eastAsia" w:hAnsi="宋体" w:cs="仿宋"/>
                <w:color w:val="FF0000"/>
                <w:kern w:val="2"/>
                <w:sz w:val="24"/>
                <w:szCs w:val="24"/>
                <w:lang w:val="en-US" w:eastAsia="zh-CN" w:bidi="ar-SA"/>
              </w:rPr>
            </w:pPr>
            <w:r>
              <w:rPr>
                <w:rFonts w:hint="eastAsia" w:hAnsi="宋体" w:cs="仿宋"/>
                <w:color w:val="000000"/>
                <w:sz w:val="24"/>
                <w:szCs w:val="24"/>
              </w:rPr>
              <w:t>▲23.LED显示屏必须可消“鬼影”，无拖尾现象。</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rPr>
                <w:rFonts w:hint="eastAsia" w:hAnsi="宋体" w:cs="仿宋"/>
                <w:color w:val="FF0000"/>
                <w:kern w:val="2"/>
                <w:sz w:val="24"/>
                <w:szCs w:val="24"/>
                <w:lang w:val="en-US" w:eastAsia="zh-CN" w:bidi="ar-SA"/>
              </w:rPr>
            </w:pPr>
            <w:r>
              <w:rPr>
                <w:rFonts w:hint="eastAsia" w:hAnsi="宋体" w:cs="仿宋"/>
                <w:color w:val="000000"/>
                <w:sz w:val="24"/>
                <w:szCs w:val="24"/>
              </w:rPr>
              <w:t>▲24.LED模块表面无塑胶结构件，采用电喷技术，模块表面墨色一致，符合标准要求。</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▲25.LED显示屏图像质量主观评价整体符合为优级要求。</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▲26.LED显示屏的正弦震动检测，抗震10</w:t>
            </w:r>
            <w:r>
              <w:rPr>
                <w:rFonts w:hint="eastAsia" w:hAnsi="宋体" w:cs="仿宋"/>
                <w:color w:val="000000"/>
                <w:sz w:val="24"/>
                <w:szCs w:val="24"/>
                <w:lang w:eastAsia="zh-Hans"/>
              </w:rPr>
              <w:t>级</w:t>
            </w:r>
            <w:r>
              <w:rPr>
                <w:rFonts w:hint="eastAsia" w:hAnsi="宋体" w:cs="仿宋"/>
                <w:color w:val="000000"/>
                <w:sz w:val="24"/>
                <w:szCs w:val="24"/>
              </w:rPr>
              <w:t>检测结果符合标准要求。</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rPr>
                <w:rFonts w:hint="eastAsia" w:hAnsi="宋体" w:cs="仿宋"/>
                <w:color w:val="FF0000"/>
                <w:kern w:val="2"/>
                <w:sz w:val="24"/>
                <w:szCs w:val="24"/>
                <w:lang w:val="en-US" w:eastAsia="zh-CN" w:bidi="ar-SA"/>
              </w:rPr>
            </w:pPr>
            <w:r>
              <w:rPr>
                <w:rFonts w:hint="eastAsia" w:hAnsi="宋体" w:cs="仿宋"/>
                <w:color w:val="000000"/>
                <w:sz w:val="24"/>
                <w:szCs w:val="24"/>
              </w:rPr>
              <w:t>▲27.产品视觉舒适度（VICO指数）范围在0-1级，对人眼基本无疲劳感，指标符合。</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▲28.PCB采用4层线路板设计，采用玻璃化温度Ｔg≥150℃的ＦＲ４覆铜板，铜厚为1盎司，表面沉金工艺，ＰＣＢ地分离，ＰＣＢ抗干扰设计，ＰＣＢ采用三防漆表面处理技术，ＰＣＢ防火阻燃等级为：UL94 V-0。</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pStyle w:val="2"/>
              <w:keepNext w:val="0"/>
              <w:keepLines w:val="0"/>
              <w:suppressLineNumbers w:val="0"/>
              <w:spacing w:before="0" w:beforeAutospacing="0" w:after="0" w:afterAutospacing="0"/>
              <w:ind w:left="0" w:right="126" w:rightChars="60"/>
              <w:rPr>
                <w:rFonts w:hint="eastAsia" w:hAnsi="宋体" w:cs="仿宋"/>
                <w:color w:val="FF0000"/>
                <w:kern w:val="2"/>
                <w:sz w:val="24"/>
                <w:szCs w:val="24"/>
                <w:lang w:val="en-US" w:eastAsia="zh-CN" w:bidi="ar-SA"/>
              </w:rPr>
            </w:pPr>
            <w:r>
              <w:rPr>
                <w:rFonts w:hint="eastAsia" w:hAnsi="宋体" w:cs="仿宋"/>
                <w:color w:val="000000"/>
                <w:sz w:val="24"/>
                <w:szCs w:val="24"/>
              </w:rPr>
              <w:t>▲29.LED显示屏具有平均无故障时间≥60000H的检测报告。</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pStyle w:val="2"/>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30、显示尺寸：8.32米（宽）*2.72米（高）。</w:t>
            </w:r>
          </w:p>
          <w:p>
            <w:pPr>
              <w:pStyle w:val="2"/>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31、安装方式：根据现场情况定制钢结构，平面固定安装。</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spacing w:before="0" w:beforeAutospacing="0" w:afterAutospacing="0"/>
              <w:ind w:left="0" w:right="0"/>
              <w:jc w:val="center"/>
              <w:rPr>
                <w:rFonts w:hint="eastAsia" w:hAnsi="宋体" w:eastAsia="宋体" w:cs="仿宋"/>
                <w:color w:val="000000"/>
                <w:sz w:val="24"/>
                <w:szCs w:val="24"/>
                <w:lang w:eastAsia="zh-CN"/>
              </w:rPr>
            </w:pPr>
            <w:r>
              <w:rPr>
                <w:rFonts w:hint="eastAsia" w:hAnsi="宋体" w:cs="仿宋"/>
                <w:color w:val="000000"/>
                <w:sz w:val="24"/>
                <w:szCs w:val="24"/>
              </w:rPr>
              <w:t>平方</w:t>
            </w:r>
            <w:r>
              <w:rPr>
                <w:rFonts w:hint="eastAsia" w:hAnsi="宋体" w:cs="仿宋"/>
                <w:color w:val="000000"/>
                <w:sz w:val="24"/>
                <w:szCs w:val="24"/>
                <w:lang w:eastAsia="zh-CN"/>
              </w:rPr>
              <w:t>米</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22.64</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2</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开关电源</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1.显示屏专用电源。</w:t>
            </w:r>
          </w:p>
          <w:p>
            <w:pPr>
              <w:pStyle w:val="2"/>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2.采用5V40A品牌节能电源，为保证屏体供电稳定性，电源最大带载为一拖六。</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80</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3</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接收卡</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1.单卡支持16组和32组数据输出模式。</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2.单卡自带16个HUB75 16P接口。</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3.单卡带载像素128*1024/256*512。</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4.支持逐点亮色度校正、多批次、亮暗线调节和显示屏效果调节等功能，与3D控制器搭配支持3D效果。</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5.支持灯板flash管理。</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6.支持5pin液晶模块。</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7.支持接收卡参数及程序包回读。</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8.接收卡具有与灯板一致的电源接口。</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9.设备电路的连接类型采用SELV电路与其他电路连接。</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10.设备通过电气绝缘测试、机械损伤防护测试、结构设计测试、功能绝缘测试。</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11.通过电源指示灯和状态指示灯不同闪烁状态可以判断，屏体工作状态，无需软件。</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张</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52</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4</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视频处理器</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1.输入接口：2×HDMI 1.4，1×DVI，1×3G-SDI（IN+LOOP），1×3.5mm音频输入接口，输出接口：10路千兆网口。</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2.最大带载650万像素，单台设备输出最大宽度10240，高度8192。</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3.1路HDMI 1.3输出接口，可用作输出预监或视频输出音频输入输出。</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4.支持HDMI伴随音频输入。</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5.支持3.5mm的独立音频输入、支持3.5mm独立音频输出。</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6.支持通过多功能卡进行音频输出。</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7.低至1帧延迟输出，在低延迟开关开启、输入源同步开启，输入源到接收卡之间的延时可减少至帧。</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8.3个图层，图层大小和位置可单独调节。</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9.支持图层按照Z序优先级调整。</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10.强大视频处理能力，搭载SuperView III画质处理技术、支持输出画面无极缩放。</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11.支持一键全屏缩放、支持输入源任意截取画质调整。</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12.支持输入画质管理，包括亮度、对比度、饱和度和色度调整。</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13.多场景保存和调用，支持10个用户可自定义场景保存和调用热备份。</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14.支持输入源热备功能，支持网口间备份，同步输出支持使用内部输入源作为同步源，保证输入输出画面同步。</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15.支持逐点亮色度校正，对每个灯点的亮度和色度进行校正，有效消除色差，使整屏的亮度和色度达到高度均匀一致，提高显示屏的画质。</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16.设备的接地和连接保护措施，可触及导体部件已经可靠接入保护接地，设备内的保护接地导体和保护连接导体中的元器件未串接开关或过流保护装置，并且所有的接地装置通过耐腐蚀性测试。</w:t>
            </w:r>
          </w:p>
          <w:p>
            <w:pPr>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17.保证产品安全使用，操作人员接触区无可接触的能量危险，无裸露的电压危险部件在维修人员接触区域，设备内电容器的放电、Up=389Vp，1秒后0V。</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套</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5</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配电柜</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1.30KW。</w:t>
            </w:r>
          </w:p>
          <w:p>
            <w:pPr>
              <w:pStyle w:val="2"/>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2.带远程控制。</w:t>
            </w:r>
          </w:p>
          <w:p>
            <w:pPr>
              <w:pStyle w:val="2"/>
              <w:keepNext w:val="0"/>
              <w:keepLines w:val="0"/>
              <w:suppressLineNumbers w:val="0"/>
              <w:spacing w:before="0" w:beforeAutospacing="0" w:after="0" w:afterAutospacing="0"/>
              <w:ind w:left="0" w:right="126" w:rightChars="60"/>
              <w:rPr>
                <w:rFonts w:hint="eastAsia" w:hAnsi="宋体" w:cs="仿宋"/>
                <w:color w:val="000000"/>
                <w:sz w:val="24"/>
                <w:szCs w:val="24"/>
              </w:rPr>
            </w:pPr>
            <w:r>
              <w:rPr>
                <w:rFonts w:hint="eastAsia" w:hAnsi="宋体" w:cs="仿宋"/>
                <w:color w:val="000000"/>
                <w:sz w:val="24"/>
                <w:szCs w:val="24"/>
              </w:rPr>
              <w:t>3.支持漏电保护及逐级上电功能。</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6</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音视频播放终端</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jc w:val="both"/>
              <w:textAlignment w:val="center"/>
              <w:rPr>
                <w:rFonts w:hint="eastAsia" w:hAnsi="宋体" w:cs="仿宋"/>
                <w:color w:val="000000"/>
                <w:sz w:val="24"/>
                <w:szCs w:val="24"/>
              </w:rPr>
            </w:pPr>
            <w:r>
              <w:rPr>
                <w:rFonts w:hint="eastAsia" w:hAnsi="宋体" w:cs="仿宋"/>
                <w:color w:val="000000"/>
                <w:sz w:val="24"/>
                <w:szCs w:val="24"/>
              </w:rPr>
              <w:t>1.屏幕显示尺寸≥55寸，LED液晶A规屏；</w:t>
            </w:r>
          </w:p>
          <w:p>
            <w:pPr>
              <w:keepNext w:val="0"/>
              <w:keepLines w:val="0"/>
              <w:suppressLineNumbers w:val="0"/>
              <w:spacing w:before="0" w:beforeAutospacing="0" w:after="0" w:afterAutospacing="0"/>
              <w:ind w:left="0" w:right="126" w:rightChars="60"/>
              <w:jc w:val="both"/>
              <w:textAlignment w:val="center"/>
              <w:rPr>
                <w:rFonts w:hint="eastAsia" w:hAnsi="宋体" w:cs="仿宋"/>
                <w:color w:val="000000"/>
                <w:sz w:val="24"/>
                <w:szCs w:val="24"/>
              </w:rPr>
            </w:pPr>
            <w:r>
              <w:rPr>
                <w:rFonts w:hint="eastAsia" w:hAnsi="宋体" w:cs="仿宋"/>
                <w:color w:val="000000"/>
                <w:sz w:val="24"/>
                <w:szCs w:val="24"/>
              </w:rPr>
              <w:t>2.图像物理高清分辨率不低于3840 * 2160；</w:t>
            </w:r>
          </w:p>
          <w:p>
            <w:pPr>
              <w:keepNext w:val="0"/>
              <w:keepLines w:val="0"/>
              <w:suppressLineNumbers w:val="0"/>
              <w:spacing w:before="0" w:beforeAutospacing="0" w:after="0" w:afterAutospacing="0"/>
              <w:ind w:left="0" w:right="126" w:rightChars="60"/>
              <w:jc w:val="both"/>
              <w:textAlignment w:val="center"/>
              <w:rPr>
                <w:rFonts w:hint="default" w:hAnsi="宋体" w:cs="仿宋"/>
                <w:color w:val="000000"/>
                <w:sz w:val="24"/>
                <w:szCs w:val="24"/>
              </w:rPr>
            </w:pPr>
            <w:r>
              <w:rPr>
                <w:rFonts w:hint="eastAsia" w:hAnsi="宋体" w:cs="仿宋"/>
                <w:color w:val="000000"/>
                <w:sz w:val="24"/>
                <w:szCs w:val="24"/>
              </w:rPr>
              <w:t>3.显示比例16:9，亮度≥450cd/m2，对比度≥5000：1，可视角度≥178°；</w:t>
            </w:r>
          </w:p>
          <w:p>
            <w:pPr>
              <w:keepNext w:val="0"/>
              <w:keepLines w:val="0"/>
              <w:suppressLineNumbers w:val="0"/>
              <w:spacing w:before="0" w:beforeAutospacing="0" w:after="0" w:afterAutospacing="0"/>
              <w:ind w:left="0" w:right="126" w:rightChars="60"/>
              <w:jc w:val="both"/>
              <w:textAlignment w:val="center"/>
              <w:rPr>
                <w:rFonts w:hint="eastAsia" w:hAnsi="宋体" w:cs="仿宋"/>
                <w:color w:val="000000"/>
                <w:sz w:val="24"/>
                <w:szCs w:val="24"/>
              </w:rPr>
            </w:pPr>
            <w:r>
              <w:rPr>
                <w:rFonts w:hint="eastAsia" w:hAnsi="宋体" w:cs="仿宋"/>
                <w:color w:val="000000"/>
                <w:sz w:val="24"/>
                <w:szCs w:val="24"/>
              </w:rPr>
              <w:t>4.使用外接 VGA 或 HDMI 等设备时，信号源可以自动切换至相应设备，拔出后自动返回原通道；</w:t>
            </w:r>
          </w:p>
          <w:p>
            <w:pPr>
              <w:keepNext w:val="0"/>
              <w:keepLines w:val="0"/>
              <w:suppressLineNumbers w:val="0"/>
              <w:spacing w:before="0" w:beforeAutospacing="0" w:after="0" w:afterAutospacing="0"/>
              <w:ind w:left="0" w:right="126" w:rightChars="60"/>
              <w:jc w:val="both"/>
              <w:textAlignment w:val="center"/>
              <w:rPr>
                <w:rFonts w:hint="eastAsia" w:hAnsi="宋体" w:cs="仿宋"/>
                <w:color w:val="000000"/>
                <w:sz w:val="24"/>
                <w:szCs w:val="24"/>
              </w:rPr>
            </w:pPr>
            <w:r>
              <w:rPr>
                <w:rFonts w:hint="eastAsia" w:hAnsi="宋体" w:cs="仿宋"/>
                <w:color w:val="000000"/>
                <w:sz w:val="24"/>
                <w:szCs w:val="24"/>
              </w:rPr>
              <w:t>5.整机遥控器支持电脑键盘常用的 F1—F12 功能键及 Alt+F4、Alt+Tab、Space、Enter、windows 等快捷按键，可实现一键开启电子白板软件、一键切换分辨率、一键切换显示模式、PPT 上下翻页、PPT 退出等功能；</w:t>
            </w:r>
          </w:p>
          <w:p>
            <w:pPr>
              <w:keepNext w:val="0"/>
              <w:keepLines w:val="0"/>
              <w:suppressLineNumbers w:val="0"/>
              <w:spacing w:before="0" w:beforeAutospacing="0" w:after="0" w:afterAutospacing="0"/>
              <w:ind w:left="0" w:right="126" w:rightChars="60"/>
              <w:jc w:val="both"/>
              <w:textAlignment w:val="center"/>
              <w:rPr>
                <w:rFonts w:hint="default" w:hAnsi="宋体" w:cs="仿宋"/>
                <w:color w:val="000000"/>
                <w:sz w:val="24"/>
                <w:szCs w:val="24"/>
              </w:rPr>
            </w:pPr>
            <w:r>
              <w:rPr>
                <w:rFonts w:hint="eastAsia" w:hAnsi="宋体" w:cs="仿宋"/>
                <w:color w:val="000000"/>
                <w:sz w:val="24"/>
                <w:szCs w:val="24"/>
              </w:rPr>
              <w:t>6.整机系统具备高清电视处理能力，4K 高清画质输出，使画面亮丽、清晰、流畅，保证显示效果；且具有自动优化运动图像功能,可有效解决图像抖动问题；</w:t>
            </w:r>
          </w:p>
          <w:p>
            <w:pPr>
              <w:keepNext w:val="0"/>
              <w:keepLines w:val="0"/>
              <w:suppressLineNumbers w:val="0"/>
              <w:spacing w:before="0" w:beforeAutospacing="0" w:after="0" w:afterAutospacing="0"/>
              <w:ind w:left="0" w:right="126" w:rightChars="60"/>
              <w:jc w:val="both"/>
              <w:textAlignment w:val="center"/>
              <w:rPr>
                <w:rFonts w:hint="eastAsia" w:hAnsi="宋体" w:cs="仿宋"/>
                <w:color w:val="000000"/>
                <w:sz w:val="24"/>
                <w:szCs w:val="24"/>
              </w:rPr>
            </w:pPr>
            <w:r>
              <w:rPr>
                <w:rFonts w:hint="eastAsia" w:hAnsi="宋体" w:cs="仿宋"/>
                <w:color w:val="000000"/>
                <w:sz w:val="24"/>
                <w:szCs w:val="24"/>
              </w:rPr>
              <w:t>7.整机智能亮度调节：可根据外界环境光和显示内容的亮度变化自动调节背光亮度；</w:t>
            </w:r>
          </w:p>
          <w:p>
            <w:pPr>
              <w:keepNext w:val="0"/>
              <w:keepLines w:val="0"/>
              <w:suppressLineNumbers w:val="0"/>
              <w:spacing w:before="0" w:beforeAutospacing="0" w:after="0" w:afterAutospacing="0"/>
              <w:ind w:left="0" w:right="126" w:rightChars="60"/>
              <w:jc w:val="both"/>
              <w:textAlignment w:val="center"/>
              <w:rPr>
                <w:rFonts w:hint="default" w:hAnsi="宋体" w:cs="仿宋"/>
                <w:color w:val="000000"/>
                <w:sz w:val="24"/>
                <w:szCs w:val="24"/>
              </w:rPr>
            </w:pPr>
            <w:r>
              <w:rPr>
                <w:rFonts w:hint="eastAsia" w:hAnsi="宋体" w:cs="仿宋"/>
                <w:color w:val="000000"/>
                <w:sz w:val="24"/>
                <w:szCs w:val="24"/>
              </w:rPr>
              <w:t>8.整机前置接口至少1路HDMI、 1路USB-TOUCH、至少3路前置USB；</w:t>
            </w:r>
          </w:p>
          <w:p>
            <w:pPr>
              <w:keepNext w:val="0"/>
              <w:keepLines w:val="0"/>
              <w:suppressLineNumbers w:val="0"/>
              <w:spacing w:before="0" w:beforeAutospacing="0" w:after="0" w:afterAutospacing="0"/>
              <w:ind w:left="0" w:right="126" w:rightChars="60"/>
              <w:jc w:val="both"/>
              <w:textAlignment w:val="center"/>
              <w:rPr>
                <w:rFonts w:hint="default" w:hAnsi="宋体" w:cs="仿宋"/>
                <w:color w:val="000000"/>
                <w:sz w:val="24"/>
                <w:szCs w:val="24"/>
              </w:rPr>
            </w:pPr>
            <w:r>
              <w:rPr>
                <w:rFonts w:hint="eastAsia" w:hAnsi="宋体" w:cs="仿宋"/>
                <w:color w:val="000000"/>
                <w:sz w:val="24"/>
                <w:szCs w:val="24"/>
              </w:rPr>
              <w:t>9.输入端口：网络端口≥1，HDMI≥2，RS232串口≥1，RF(ATV+DTV)≥1，视频≥2，VGA≥1，分量≥1，音频≥1，TF卡≥1。输出端口：USB-TOUCH≥1，AV≥1，Earphone≥1；</w:t>
            </w:r>
          </w:p>
          <w:p>
            <w:pPr>
              <w:keepNext w:val="0"/>
              <w:keepLines w:val="0"/>
              <w:suppressLineNumbers w:val="0"/>
              <w:spacing w:before="0" w:beforeAutospacing="0" w:after="0" w:afterAutospacing="0"/>
              <w:ind w:left="0" w:right="126" w:rightChars="60"/>
              <w:jc w:val="both"/>
              <w:textAlignment w:val="center"/>
              <w:rPr>
                <w:rFonts w:hint="default" w:hAnsi="宋体" w:cs="仿宋"/>
                <w:color w:val="000000"/>
                <w:sz w:val="24"/>
                <w:szCs w:val="24"/>
              </w:rPr>
            </w:pPr>
            <w:r>
              <w:rPr>
                <w:rFonts w:hint="eastAsia" w:hAnsi="宋体" w:cs="仿宋"/>
                <w:color w:val="000000"/>
                <w:sz w:val="24"/>
                <w:szCs w:val="24"/>
              </w:rPr>
              <w:t>10.嵌入式系统支持内置 WIFI 模块和蓝牙，支持无线连接，方便媒体文件、网络资源快速浏览共享；</w:t>
            </w:r>
          </w:p>
          <w:p>
            <w:pPr>
              <w:keepNext w:val="0"/>
              <w:keepLines w:val="0"/>
              <w:suppressLineNumbers w:val="0"/>
              <w:spacing w:before="0" w:beforeAutospacing="0" w:after="0" w:afterAutospacing="0"/>
              <w:ind w:left="0" w:right="126" w:rightChars="60"/>
              <w:jc w:val="both"/>
              <w:textAlignment w:val="center"/>
              <w:rPr>
                <w:rFonts w:hint="default" w:hAnsi="宋体" w:cs="仿宋"/>
                <w:color w:val="000000"/>
                <w:sz w:val="24"/>
                <w:szCs w:val="24"/>
              </w:rPr>
            </w:pPr>
            <w:r>
              <w:rPr>
                <w:rFonts w:hint="eastAsia" w:hAnsi="宋体" w:cs="仿宋"/>
                <w:color w:val="000000"/>
                <w:sz w:val="24"/>
                <w:szCs w:val="24"/>
              </w:rPr>
              <w:t>11.自带无线 AP 模块，支持一键自建热点（覆盖5G、2.4G双频模式），一边连 WiFi 上网，一边开热点共享；</w:t>
            </w:r>
          </w:p>
          <w:p>
            <w:pPr>
              <w:keepNext w:val="0"/>
              <w:keepLines w:val="0"/>
              <w:suppressLineNumbers w:val="0"/>
              <w:spacing w:before="0" w:beforeAutospacing="0" w:after="0" w:afterAutospacing="0"/>
              <w:ind w:left="0" w:right="126" w:rightChars="60"/>
              <w:jc w:val="both"/>
              <w:textAlignment w:val="center"/>
              <w:rPr>
                <w:rFonts w:hint="eastAsia" w:hAnsi="宋体" w:cs="仿宋"/>
                <w:color w:val="FF0000"/>
                <w:kern w:val="2"/>
                <w:sz w:val="24"/>
                <w:szCs w:val="24"/>
                <w:lang w:val="en-US" w:eastAsia="zh-CN" w:bidi="ar-SA"/>
              </w:rPr>
            </w:pPr>
            <w:r>
              <w:rPr>
                <w:rFonts w:hint="eastAsia" w:hAnsi="宋体" w:cs="仿宋"/>
                <w:color w:val="000000"/>
                <w:sz w:val="24"/>
                <w:szCs w:val="24"/>
              </w:rPr>
              <w:t>▲12.低蓝光保护，可有效过滤LED光源发出的可见光中含有的大量有害蓝光，保护视力健康；</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jc w:val="both"/>
              <w:textAlignment w:val="center"/>
              <w:rPr>
                <w:rFonts w:hint="default" w:hAnsi="宋体" w:cs="仿宋"/>
                <w:color w:val="000000"/>
                <w:sz w:val="24"/>
                <w:szCs w:val="24"/>
              </w:rPr>
            </w:pPr>
            <w:r>
              <w:rPr>
                <w:rFonts w:hint="eastAsia" w:hAnsi="宋体" w:cs="仿宋"/>
                <w:color w:val="000000"/>
                <w:sz w:val="24"/>
                <w:szCs w:val="24"/>
              </w:rPr>
              <w:t>13.采用红外触控技术，完全支持多点触摸及书写；</w:t>
            </w:r>
          </w:p>
          <w:p>
            <w:pPr>
              <w:keepNext w:val="0"/>
              <w:keepLines w:val="0"/>
              <w:suppressLineNumbers w:val="0"/>
              <w:spacing w:before="0" w:beforeAutospacing="0" w:after="0" w:afterAutospacing="0"/>
              <w:ind w:left="0" w:right="126" w:rightChars="60"/>
              <w:jc w:val="both"/>
              <w:textAlignment w:val="center"/>
              <w:rPr>
                <w:rFonts w:hint="eastAsia" w:hAnsi="宋体"/>
                <w:color w:val="000000"/>
              </w:rPr>
            </w:pPr>
            <w:r>
              <w:rPr>
                <w:rFonts w:hint="eastAsia" w:hAnsi="宋体" w:cs="仿宋"/>
                <w:color w:val="000000"/>
                <w:sz w:val="24"/>
                <w:szCs w:val="24"/>
              </w:rPr>
              <w:t>14.内置安卓嵌入式系统，不低于Android 8.0版本，高清智能8核处理器。机身内存为8G ROM，运行内存为2G RAM，并拥有128G可扩展存储；</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7</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线性阵列音箱</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1.8单元密闭式全频箱；8x3"全频驱动器。</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2.线性阵列音柱设计，满足线性声源柱面波扩声特性（距离每增加一倍，声压级衰减3dB)。</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3.可通过叠加阵列长度，增强阵列特性表现。</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4.灵敏度≥99dB。</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5.额定功率≥250W。</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6.频率范围（-6 dB）：130Hz—18KHz。</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7.最大连续声压级≥123dB。</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8.标称指向性(-6dB)：H100°×V30°。</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只</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2</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8</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双通道功放</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1.开关H类三阶谐振电源转换技术。</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2.保护功能：压限保护、过热保护、短路保护、直流保护、开关机零冲击。</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3.输入灵敏度调节及输入模式选择。</w:t>
            </w:r>
          </w:p>
          <w:p>
            <w:pPr>
              <w:keepNext w:val="0"/>
              <w:keepLines w:val="0"/>
              <w:suppressLineNumbers w:val="0"/>
              <w:spacing w:before="0" w:beforeAutospacing="0" w:after="0" w:afterAutospacing="0"/>
              <w:ind w:left="0" w:right="126" w:rightChars="60"/>
              <w:textAlignment w:val="center"/>
              <w:rPr>
                <w:rFonts w:hint="eastAsia" w:hAnsi="宋体" w:cs="仿宋"/>
                <w:color w:val="FF0000"/>
                <w:kern w:val="2"/>
                <w:sz w:val="24"/>
                <w:szCs w:val="24"/>
                <w:lang w:val="en-US" w:eastAsia="zh-CN" w:bidi="ar-SA"/>
              </w:rPr>
            </w:pPr>
            <w:r>
              <w:rPr>
                <w:rFonts w:hint="eastAsia" w:hAnsi="宋体" w:cs="仿宋"/>
                <w:color w:val="000000"/>
                <w:sz w:val="24"/>
                <w:szCs w:val="24"/>
              </w:rPr>
              <w:t>▲4.谐振软开关技术，又称零电压开通零电压关断技术,杜绝常规电源开关产生的di/dt冲击。</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textAlignment w:val="center"/>
              <w:rPr>
                <w:rFonts w:hint="eastAsia" w:hAnsi="宋体" w:cs="仿宋"/>
                <w:color w:val="FF0000"/>
                <w:kern w:val="2"/>
                <w:sz w:val="24"/>
                <w:szCs w:val="24"/>
                <w:lang w:val="en-US" w:eastAsia="zh-CN" w:bidi="ar-SA"/>
              </w:rPr>
            </w:pPr>
            <w:r>
              <w:rPr>
                <w:rFonts w:hint="eastAsia" w:hAnsi="宋体" w:cs="仿宋"/>
                <w:color w:val="000000"/>
                <w:sz w:val="24"/>
                <w:szCs w:val="24"/>
              </w:rPr>
              <w:t>▲5.隧道式冷风散热技术，将功放模块散热工作在隧道式状态,极大的提高了散热效率和稳定性。</w:t>
            </w:r>
            <w:r>
              <w:rPr>
                <w:rFonts w:hint="eastAsia" w:hAnsi="宋体" w:cs="仿宋"/>
                <w:color w:val="FF0000"/>
                <w:kern w:val="2"/>
                <w:sz w:val="24"/>
                <w:szCs w:val="24"/>
                <w:lang w:val="en-US" w:eastAsia="zh-CN" w:bidi="ar-SA"/>
              </w:rPr>
              <w:t>（提供具有CMA或ilac-MRA或CNAS标识的第三方检测机构出具的检测报告并加盖制造厂商公章。）</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6.采用智能温控调速散热系统及功率智能恒定技术提升功放的稳定性。</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7.专门选用配对性能优异对管。</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8.立体声模式（双信道同时驱动）≥300W(8Ω)，450W(4Ω)；</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9.总谐波失真：&lt;0.025%@8Ω2KHz。</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10.信噪比：≥110dB。</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11.输入灵敏度：0.775V/1.44V。</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12.输入阻抗：20K/10K。</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13.阻尼系数：≥300@8Ω。</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14.频率响应：20Hz~20 kHz，+0/-0.5dB 1W/8Ω。</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15.转换速率：≥30 V/us。</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9</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数字音频</w:t>
            </w:r>
          </w:p>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处理器</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1.4路输入/8路输出，96kHz采样率。</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2.提供高信噪比，精准频率响应。</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3.可以通过一个USB连接线或网线连接处理器结合配套的pc调试软件来进行处理器的控制和预设存储与调用。</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4.每个输入通道提供：增益，8段参量均衡，极性调整和最高340毫秒的延时。</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5.每个输出通道提供：增益，压缩/限幅，9段参量均衡，极性调整，最高680毫秒的延时。</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10</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8路电源时</w:t>
            </w:r>
          </w:p>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序器</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1.配备3.5寸彩色TFT-LCD可触控显示屏，可实时显示当前电压，日期时间，信道开关状态。</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2.8路开关通道输出，每路延时开启和关闭时间可自由设置（范围0~999秒）。</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3.每通道可以独立设置开启/关闭，方便设备灵活使用。</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4.每通道独立滤波器，提供稳定，无干忧电流。</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5.内置时钟芯片，可根据日期时间定时设置自动开启/关闭每一通道；。</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6.欠压、过压保护，可自定义设置保护值。</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7.配置RS232和RS485接口，支持级联、中央设备控制。</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8.额定输出总电流：40A，单路输出电流：20A。</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台</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11</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设备机柜</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1.12U机柜</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个</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r>
      <w:tr>
        <w:tblPrEx>
          <w:tblLayout w:type="fixed"/>
          <w:tblCellMar>
            <w:top w:w="15" w:type="dxa"/>
            <w:left w:w="15" w:type="dxa"/>
            <w:bottom w:w="15" w:type="dxa"/>
            <w:right w:w="15" w:type="dxa"/>
          </w:tblCellMar>
        </w:tblPrEx>
        <w:trPr>
          <w:trHeight w:val="23" w:hRule="atLeast"/>
          <w:jc w:val="center"/>
        </w:trPr>
        <w:tc>
          <w:tcPr>
            <w:tcW w:w="4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12</w:t>
            </w:r>
          </w:p>
        </w:tc>
        <w:tc>
          <w:tcPr>
            <w:tcW w:w="1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jc w:val="center"/>
              <w:textAlignment w:val="center"/>
              <w:rPr>
                <w:rFonts w:hint="default" w:hAnsi="宋体" w:cs="仿宋"/>
                <w:color w:val="000000"/>
                <w:sz w:val="24"/>
                <w:szCs w:val="24"/>
              </w:rPr>
            </w:pPr>
            <w:r>
              <w:rPr>
                <w:rFonts w:hint="eastAsia" w:hAnsi="宋体" w:cs="仿宋"/>
                <w:color w:val="000000"/>
                <w:sz w:val="24"/>
                <w:szCs w:val="24"/>
              </w:rPr>
              <w:t>安装及调试</w:t>
            </w:r>
          </w:p>
        </w:tc>
        <w:tc>
          <w:tcPr>
            <w:tcW w:w="57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1、根据现场环境定制室内全彩屏钢结构，全彩屏正面包边边框≤5CM，美观大方；</w:t>
            </w:r>
          </w:p>
          <w:p>
            <w:pPr>
              <w:keepNext w:val="0"/>
              <w:keepLines w:val="0"/>
              <w:suppressLineNumbers w:val="0"/>
              <w:spacing w:before="0" w:beforeAutospacing="0" w:after="0" w:afterAutospacing="0"/>
              <w:ind w:left="0" w:right="126" w:rightChars="60"/>
              <w:textAlignment w:val="center"/>
              <w:rPr>
                <w:rFonts w:hint="eastAsia" w:hAnsi="宋体" w:cs="仿宋"/>
                <w:color w:val="000000"/>
                <w:sz w:val="24"/>
                <w:szCs w:val="24"/>
              </w:rPr>
            </w:pPr>
            <w:r>
              <w:rPr>
                <w:rFonts w:hint="eastAsia" w:hAnsi="宋体" w:cs="仿宋"/>
                <w:color w:val="000000"/>
                <w:sz w:val="24"/>
                <w:szCs w:val="24"/>
              </w:rPr>
              <w:t>2、</w:t>
            </w:r>
            <w:r>
              <w:rPr>
                <w:rFonts w:hint="eastAsia" w:hAnsi="宋体" w:cs="宋体"/>
                <w:color w:val="000000"/>
                <w:sz w:val="24"/>
                <w:szCs w:val="24"/>
                <w:lang w:bidi="ar"/>
              </w:rPr>
              <w:t>包含线材，管材等辅材；</w:t>
            </w:r>
          </w:p>
          <w:p>
            <w:pPr>
              <w:keepNext w:val="0"/>
              <w:keepLines w:val="0"/>
              <w:suppressLineNumbers w:val="0"/>
              <w:spacing w:before="0" w:beforeAutospacing="0" w:after="0" w:afterAutospacing="0"/>
              <w:ind w:left="0" w:right="0"/>
              <w:rPr>
                <w:rFonts w:hint="eastAsia" w:hAnsi="宋体" w:cs="仿宋"/>
                <w:color w:val="000000"/>
                <w:sz w:val="24"/>
                <w:szCs w:val="24"/>
              </w:rPr>
            </w:pPr>
            <w:r>
              <w:rPr>
                <w:rFonts w:hint="eastAsia" w:hAnsi="宋体" w:cs="仿宋"/>
                <w:color w:val="000000"/>
                <w:sz w:val="24"/>
                <w:szCs w:val="24"/>
              </w:rPr>
              <w:t>3、</w:t>
            </w:r>
            <w:r>
              <w:rPr>
                <w:rFonts w:hint="eastAsia" w:hAnsi="宋体" w:cs="宋体"/>
                <w:color w:val="000000"/>
                <w:sz w:val="24"/>
                <w:szCs w:val="24"/>
                <w:lang w:bidi="ar"/>
              </w:rPr>
              <w:t>运输、安装及调试。</w:t>
            </w:r>
          </w:p>
        </w:tc>
        <w:tc>
          <w:tcPr>
            <w:tcW w:w="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项</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r>
    </w:tbl>
    <w:p>
      <w:pPr>
        <w:keepNext/>
        <w:keepLines/>
        <w:numPr>
          <w:ilvl w:val="0"/>
          <w:numId w:val="0"/>
        </w:numPr>
        <w:tabs>
          <w:tab w:val="left" w:pos="0"/>
          <w:tab w:val="left" w:pos="426"/>
          <w:tab w:val="left" w:pos="576"/>
          <w:tab w:val="left" w:pos="786"/>
        </w:tabs>
        <w:spacing w:line="360" w:lineRule="auto"/>
        <w:ind w:leftChars="0"/>
        <w:outlineLvl w:val="1"/>
        <w:rPr>
          <w:rFonts w:hint="eastAsia" w:hAnsi="宋体" w:cs="仿宋"/>
          <w:color w:val="000000"/>
          <w:sz w:val="24"/>
          <w:szCs w:val="24"/>
        </w:rPr>
      </w:pPr>
      <w:r>
        <w:rPr>
          <w:rFonts w:hint="eastAsia" w:ascii="宋体" w:hAnsi="宋体"/>
          <w:b/>
          <w:bCs/>
          <w:sz w:val="28"/>
          <w:szCs w:val="28"/>
        </w:rPr>
        <w:t>核心产品</w:t>
      </w:r>
      <w:bookmarkEnd w:id="160"/>
      <w:r>
        <w:rPr>
          <w:rFonts w:hint="eastAsia" w:ascii="宋体" w:hAnsi="宋体"/>
          <w:b/>
          <w:bCs/>
          <w:sz w:val="28"/>
          <w:szCs w:val="28"/>
          <w:lang w:eastAsia="zh-CN"/>
        </w:rPr>
        <w:t>：</w:t>
      </w:r>
      <w:r>
        <w:rPr>
          <w:rFonts w:hint="eastAsia" w:hAnsi="宋体" w:cs="仿宋"/>
          <w:color w:val="000000"/>
          <w:sz w:val="24"/>
          <w:szCs w:val="24"/>
        </w:rPr>
        <w:t>室内全彩屏</w:t>
      </w:r>
      <w:bookmarkEnd w:id="161"/>
    </w:p>
    <w:p>
      <w:pPr>
        <w:wordWrap w:val="0"/>
        <w:rPr>
          <w:rFonts w:hint="eastAsia" w:eastAsia="宋体" w:cs="Times New Roman" w:asciiTheme="minorEastAsia" w:hAnsiTheme="minorEastAsia"/>
          <w:b/>
          <w:sz w:val="28"/>
          <w:szCs w:val="28"/>
        </w:rPr>
      </w:pPr>
      <w:r>
        <w:rPr>
          <w:rFonts w:hint="eastAsia" w:hAnsi="宋体" w:cs="仿宋"/>
          <w:b/>
          <w:color w:val="000000"/>
          <w:sz w:val="24"/>
          <w:szCs w:val="24"/>
          <w:shd w:val="clear" w:color="auto" w:fill="FFFFFF"/>
          <w:lang w:bidi="ar"/>
        </w:rPr>
        <w:t>说明：</w:t>
      </w:r>
      <w:r>
        <w:rPr>
          <w:rFonts w:hint="eastAsia" w:eastAsia="宋体" w:cs="Times New Roman" w:asciiTheme="minorEastAsia" w:hAnsiTheme="minorEastAsia"/>
          <w:b/>
          <w:sz w:val="28"/>
          <w:szCs w:val="28"/>
        </w:rPr>
        <w:t>▲条款为本项目重要参数，按要求提供相关证明材料。</w:t>
      </w:r>
    </w:p>
    <w:p>
      <w:pPr>
        <w:keepNext/>
        <w:keepLines/>
        <w:numPr>
          <w:ilvl w:val="1"/>
          <w:numId w:val="37"/>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64" w:name="_Toc85122595"/>
      <w:bookmarkStart w:id="165" w:name="_Toc5613"/>
      <w:r>
        <w:rPr>
          <w:rFonts w:hint="eastAsia" w:ascii="宋体" w:hAnsi="宋体"/>
          <w:b/>
          <w:bCs/>
          <w:sz w:val="28"/>
          <w:szCs w:val="28"/>
        </w:rPr>
        <w:t>商务</w:t>
      </w:r>
      <w:r>
        <w:rPr>
          <w:rFonts w:ascii="宋体" w:hAnsi="宋体"/>
          <w:b/>
          <w:bCs/>
          <w:sz w:val="28"/>
          <w:szCs w:val="28"/>
        </w:rPr>
        <w:t>要求</w:t>
      </w:r>
      <w:bookmarkEnd w:id="164"/>
      <w:bookmarkEnd w:id="165"/>
    </w:p>
    <w:p>
      <w:pPr>
        <w:pStyle w:val="5"/>
        <w:numPr>
          <w:ilvl w:val="2"/>
          <w:numId w:val="37"/>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交货时间</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tabs>
          <w:tab w:val="left" w:pos="851"/>
        </w:tabs>
        <w:spacing w:line="360" w:lineRule="auto"/>
        <w:ind w:firstLine="484" w:firstLineChars="202"/>
        <w:rPr>
          <w:rFonts w:ascii="宋体" w:hAnsi="宋体"/>
          <w:sz w:val="28"/>
          <w:szCs w:val="28"/>
        </w:rPr>
      </w:pPr>
      <w:r>
        <w:rPr>
          <w:rFonts w:hint="eastAsia" w:hAnsi="宋体" w:cs="仿宋"/>
          <w:color w:val="000000"/>
          <w:sz w:val="24"/>
          <w:shd w:val="clear" w:color="auto" w:fill="FFFFFF"/>
          <w:lang w:bidi="ar"/>
        </w:rPr>
        <w:t>签订合同后10日内完成安装调试并交付采购人使用。</w:t>
      </w:r>
    </w:p>
    <w:p>
      <w:pPr>
        <w:pStyle w:val="5"/>
        <w:numPr>
          <w:ilvl w:val="2"/>
          <w:numId w:val="37"/>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交货地点</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tabs>
          <w:tab w:val="left" w:pos="851"/>
        </w:tabs>
        <w:spacing w:line="360" w:lineRule="auto"/>
        <w:ind w:firstLine="484" w:firstLineChars="202"/>
        <w:rPr>
          <w:rFonts w:ascii="宋体" w:hAnsi="宋体"/>
          <w:sz w:val="28"/>
          <w:szCs w:val="28"/>
        </w:rPr>
      </w:pPr>
      <w:r>
        <w:rPr>
          <w:rFonts w:hint="eastAsia" w:hAnsi="宋体" w:cs="仿宋"/>
          <w:color w:val="000000"/>
          <w:sz w:val="24"/>
          <w:shd w:val="clear" w:color="auto" w:fill="FFFFFF"/>
          <w:lang w:bidi="ar"/>
        </w:rPr>
        <w:t>采购人指定地点</w:t>
      </w:r>
      <w:r>
        <w:rPr>
          <w:rFonts w:hint="eastAsia" w:ascii="宋体" w:hAnsi="宋体"/>
          <w:sz w:val="28"/>
          <w:szCs w:val="28"/>
        </w:rPr>
        <w:t>。</w:t>
      </w:r>
    </w:p>
    <w:p>
      <w:pPr>
        <w:pStyle w:val="5"/>
        <w:numPr>
          <w:ilvl w:val="2"/>
          <w:numId w:val="37"/>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付款进度和</w:t>
      </w:r>
      <w:r>
        <w:rPr>
          <w:color w:val="auto"/>
        </w:rPr>
        <w:t>支付方式</w:t>
      </w:r>
      <w:r>
        <w:rPr>
          <w:rFonts w:hint="eastAsia"/>
          <w:color w:val="auto"/>
        </w:rPr>
        <w:t>（说明：按照招标文件3.3.5承诺函内容进行承诺）</w:t>
      </w:r>
    </w:p>
    <w:p>
      <w:pPr>
        <w:tabs>
          <w:tab w:val="left" w:pos="851"/>
        </w:tabs>
        <w:spacing w:line="360" w:lineRule="auto"/>
        <w:ind w:firstLine="565" w:firstLineChars="202"/>
        <w:rPr>
          <w:rFonts w:ascii="宋体" w:hAnsi="宋体"/>
          <w:sz w:val="28"/>
          <w:szCs w:val="28"/>
        </w:rPr>
      </w:pPr>
      <w:r>
        <w:rPr>
          <w:rFonts w:hint="eastAsia" w:ascii="宋体" w:hAnsi="宋体" w:eastAsia="宋体" w:cs="宋体"/>
          <w:kern w:val="0"/>
          <w:sz w:val="28"/>
          <w:szCs w:val="28"/>
        </w:rPr>
        <w:t>签订合同后采购人在3个工作日内支付合同金额的30%预付款，验收合格后10个工作日内由采购人支付合同金额的70%。采购人付款前，供应商须提供合法有效完整的完税发票及凭证资料。</w:t>
      </w:r>
    </w:p>
    <w:p>
      <w:pPr>
        <w:pStyle w:val="5"/>
        <w:numPr>
          <w:ilvl w:val="2"/>
          <w:numId w:val="37"/>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验收标准</w:t>
      </w:r>
      <w:r>
        <w:rPr>
          <w:color w:val="auto"/>
        </w:rPr>
        <w:t>和方法</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eastAsia="宋体" w:cs="宋体"/>
          <w:bCs/>
          <w:color w:val="000000"/>
          <w:kern w:val="0"/>
          <w:sz w:val="28"/>
          <w:szCs w:val="28"/>
          <w:lang w:eastAsia="zh-CN"/>
        </w:rPr>
        <w:t>（1）货物在乙方发出验收申请后7个工作日内验收。</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eastAsia="宋体" w:cs="宋体"/>
          <w:bCs/>
          <w:color w:val="000000"/>
          <w:kern w:val="0"/>
          <w:sz w:val="28"/>
          <w:szCs w:val="28"/>
          <w:lang w:eastAsia="zh-CN"/>
        </w:rPr>
        <w:t xml:space="preserve">（2）验收办法：乙方与甲方应按照《财政部关于进一步加强政府采购需求和履约验收管理的指导意见》（财库〔2016〕205号）规定，并参照《四川省政府采购项目需求论证和履约验收管理办法》（川财采〔2015〕32号）的要求进行验收。 </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eastAsia="宋体" w:cs="宋体"/>
          <w:bCs/>
          <w:color w:val="000000"/>
          <w:kern w:val="0"/>
          <w:sz w:val="28"/>
          <w:szCs w:val="28"/>
          <w:lang w:eastAsia="zh-CN"/>
        </w:rPr>
        <w:t>（3）验收标准：按国家有关规定、招标文件的技术服务要求、乙方的响应文件及承诺以及合同约定标准进行验收。</w:t>
      </w:r>
    </w:p>
    <w:p>
      <w:pPr>
        <w:ind w:firstLine="560" w:firstLineChars="200"/>
        <w:rPr>
          <w:rFonts w:hint="eastAsia" w:eastAsia="宋体"/>
          <w:lang w:eastAsia="zh-CN"/>
        </w:rPr>
      </w:pPr>
      <w:r>
        <w:rPr>
          <w:rFonts w:hint="eastAsia" w:ascii="宋体" w:hAnsi="宋体" w:eastAsia="宋体" w:cs="宋体"/>
          <w:bCs/>
          <w:color w:val="000000"/>
          <w:kern w:val="0"/>
          <w:sz w:val="28"/>
          <w:szCs w:val="28"/>
          <w:lang w:eastAsia="zh-CN"/>
        </w:rPr>
        <w:t>（4）乙方交货后，甲方自行组织产品验收。验收内容包括：产品经试运行后无故障，可正常使用。若出现任何数量或质量问题，由乙方承担所有责任，同时甲方有权追究乙方的经济和法律责任。</w:t>
      </w:r>
    </w:p>
    <w:p>
      <w:pPr>
        <w:pStyle w:val="5"/>
        <w:numPr>
          <w:ilvl w:val="2"/>
          <w:numId w:val="37"/>
        </w:numPr>
        <w:tabs>
          <w:tab w:val="left" w:pos="0"/>
          <w:tab w:val="left" w:pos="426"/>
          <w:tab w:val="left" w:pos="576"/>
          <w:tab w:val="left" w:pos="786"/>
        </w:tabs>
        <w:rPr>
          <w:rFonts w:hint="eastAsia" w:ascii="宋体" w:hAnsi="宋体" w:eastAsia="宋体" w:cs="宋体"/>
          <w:color w:val="auto"/>
          <w:lang w:val="zh-CN"/>
        </w:rPr>
      </w:pPr>
      <w:r>
        <w:rPr>
          <w:rFonts w:hint="eastAsia" w:ascii="宋体" w:hAnsi="宋体" w:eastAsia="宋体" w:cs="宋体"/>
          <w:color w:val="auto"/>
        </w:rPr>
        <w:t>★</w:t>
      </w:r>
      <w:r>
        <w:rPr>
          <w:rFonts w:hint="eastAsia" w:ascii="宋体" w:hAnsi="宋体" w:eastAsia="宋体" w:cs="宋体"/>
          <w:color w:val="auto"/>
          <w:lang w:val="zh-CN"/>
        </w:rPr>
        <w:t>包装环保要求</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1.商品包装层数不得超过3层，空隙率不大于40%；</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2.商品包装尽可能使用单一材质的包装材料，如因功能需求必需使用不同材质，不同材质间应便于分离；</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3.商品包装中铅、汞、镉、六价铬的总含量应不大于100mg/kg；</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4.商品包装印刷使用的油墨中挥发性有机化合物(VOCs)含量应不大于5%（以重量计）；</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5.塑料材质商品包装上呈现的印刷颜色不得超过6色；</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6.纸质商品包装应使用75%以上的可再生纤维原料生产；</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7.木质商品包装的原料应来源于可持续性森林。</w:t>
      </w:r>
    </w:p>
    <w:p>
      <w:pPr>
        <w:pStyle w:val="5"/>
        <w:numPr>
          <w:ilvl w:val="2"/>
          <w:numId w:val="37"/>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质量保修范围</w:t>
      </w:r>
      <w:r>
        <w:rPr>
          <w:color w:val="auto"/>
        </w:rPr>
        <w:t>和保修期</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pStyle w:val="102"/>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1.供应商须提供全新的货物（含零部件、配件等），表面无划伤、无碰撞痕迹，且权属清楚，不得侵害他人的知识产权。</w:t>
      </w:r>
    </w:p>
    <w:p>
      <w:pPr>
        <w:pStyle w:val="102"/>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2.货物必须符合或优于国家（行业）标准，以及本项目招标文件的质量要求和技术指标与出厂标准。</w:t>
      </w:r>
    </w:p>
    <w:p>
      <w:pPr>
        <w:pStyle w:val="102"/>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3.在使用过程中，货物质量出现问题，供应商应负责三包（包修、包换、包退），费用由供应商负担，采购人有权实地了解和检查供应商的货物质量和供货进度。</w:t>
      </w:r>
    </w:p>
    <w:p>
      <w:pPr>
        <w:pStyle w:val="102"/>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4.货到现场后交付采购人使用前由于供应商运输、装卸、保管不当造成的质量问题，采购人不负责修理，费用由供应商负担。</w:t>
      </w:r>
    </w:p>
    <w:p>
      <w:pPr>
        <w:pStyle w:val="102"/>
        <w:ind w:firstLine="480"/>
        <w:rPr>
          <w:rFonts w:hint="default"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5.质量保修期1年，自项目验收合格之日起计算。</w:t>
      </w:r>
    </w:p>
    <w:p>
      <w:pPr>
        <w:pStyle w:val="5"/>
        <w:numPr>
          <w:ilvl w:val="2"/>
          <w:numId w:val="37"/>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售后服务</w:t>
      </w:r>
      <w:r>
        <w:rPr>
          <w:rFonts w:hint="eastAsia" w:ascii="宋体" w:hAnsi="宋体" w:eastAsia="宋体" w:cs="宋体"/>
          <w:color w:val="auto"/>
        </w:rPr>
        <w:t>内容及要求（说明：按照招标文件3.3.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pStyle w:val="102"/>
        <w:numPr>
          <w:ilvl w:val="0"/>
          <w:numId w:val="0"/>
        </w:numPr>
        <w:ind w:firstLine="560" w:firstLineChars="200"/>
        <w:rPr>
          <w:rFonts w:hint="eastAsia" w:ascii="宋体" w:hAnsi="宋体" w:eastAsia="宋体" w:cs="Times New Roman"/>
          <w:kern w:val="2"/>
          <w:sz w:val="28"/>
          <w:szCs w:val="28"/>
          <w:lang w:val="en-US" w:eastAsia="zh-CN" w:bidi="ar-SA"/>
        </w:rPr>
      </w:pPr>
      <w:r>
        <w:rPr>
          <w:rFonts w:hint="eastAsia" w:ascii="宋体" w:hAnsi="宋体" w:cs="Times New Roman"/>
          <w:kern w:val="2"/>
          <w:sz w:val="28"/>
          <w:szCs w:val="28"/>
          <w:lang w:val="en-US" w:eastAsia="zh-CN" w:bidi="ar-SA"/>
        </w:rPr>
        <w:t>1.</w:t>
      </w:r>
      <w:r>
        <w:rPr>
          <w:rFonts w:hint="eastAsia" w:ascii="宋体" w:hAnsi="宋体" w:eastAsia="宋体" w:cs="Times New Roman"/>
          <w:kern w:val="2"/>
          <w:sz w:val="28"/>
          <w:szCs w:val="28"/>
          <w:lang w:val="en-US" w:eastAsia="zh-CN" w:bidi="ar-SA"/>
        </w:rPr>
        <w:t>供应商需为本项目制定详尽的实施方案（至少包含：项目进度计划、货源组织、人员配备及职责分工、培训方案、质量保障方案等）；售后服务方案（至少包含：售后服务体系、售后服务流程、售后服务范围、应急方案、现场技术服务支持等）。</w:t>
      </w:r>
    </w:p>
    <w:p>
      <w:pPr>
        <w:pStyle w:val="102"/>
        <w:numPr>
          <w:ilvl w:val="0"/>
          <w:numId w:val="0"/>
        </w:numPr>
        <w:ind w:firstLine="560" w:firstLineChars="20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质保期为验收合格后1年，质保期内出现质量问题，乙方在接到通知后1小时内响应到场，4小时内完成维修或更换，并承担修理调换的费用；如货物经乙方2次维修仍不能达到本合同约定的质量标准，视作乙方未能按时交货，甲方有权退货并追究乙方的违约责任。货到现场后由于甲方保管不当造成的问题，乙方亦应负责修复，但费用由甲方负担。</w:t>
      </w:r>
    </w:p>
    <w:p>
      <w:pPr>
        <w:pStyle w:val="102"/>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3.乙方须指派专人负责与甲方联系售后服务事宜。</w:t>
      </w:r>
    </w:p>
    <w:p>
      <w:pPr>
        <w:pStyle w:val="102"/>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4.采购人可对供应商提供的货物进行抽检，由采购方随机抽样，送国家法定质量检验机构进行检测，提供的产品如果不符合招标文件要求及国家相关法律法规要求，采购人可终止采购合同，相应损失由供应商负责。</w:t>
      </w:r>
    </w:p>
    <w:p>
      <w:pPr>
        <w:pStyle w:val="5"/>
        <w:numPr>
          <w:ilvl w:val="2"/>
          <w:numId w:val="37"/>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违约责任</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pStyle w:val="102"/>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一、因采购人原因导致变更、中止或者终止政府采购合同的，采购人应对供应商受到的损失据实给予赔偿或者补偿。</w:t>
      </w:r>
    </w:p>
    <w:p>
      <w:pPr>
        <w:pStyle w:val="102"/>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二、无质量问题和违约行为的，采购人应准时支付供应商货款。如逾期的，除应及时付足货款外，应按应付金额每日1‰标准向供应商赔付违约金。</w:t>
      </w:r>
    </w:p>
    <w:p>
      <w:pPr>
        <w:keepNext/>
        <w:keepLines/>
        <w:numPr>
          <w:ilvl w:val="1"/>
          <w:numId w:val="37"/>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66" w:name="_Toc7033"/>
      <w:bookmarkStart w:id="167" w:name="_Toc85122596"/>
      <w:r>
        <w:rPr>
          <w:rFonts w:hint="eastAsia" w:ascii="宋体" w:hAnsi="宋体"/>
          <w:b/>
          <w:bCs/>
          <w:sz w:val="28"/>
          <w:szCs w:val="28"/>
        </w:rPr>
        <w:t>最高限价</w:t>
      </w:r>
      <w:bookmarkEnd w:id="166"/>
      <w:bookmarkEnd w:id="167"/>
    </w:p>
    <w:p>
      <w:pPr>
        <w:spacing w:line="360" w:lineRule="auto"/>
        <w:ind w:firstLine="551" w:firstLineChars="196"/>
        <w:rPr>
          <w:rFonts w:ascii="宋体" w:hAnsi="宋体"/>
          <w:b/>
          <w:sz w:val="28"/>
          <w:szCs w:val="28"/>
          <w:lang w:val="zh-CN"/>
        </w:rPr>
      </w:pPr>
      <w:r>
        <w:rPr>
          <w:rFonts w:hint="eastAsia" w:ascii="宋体" w:hAnsi="宋体"/>
          <w:b/>
          <w:sz w:val="28"/>
          <w:szCs w:val="28"/>
        </w:rPr>
        <w:t>★本项目投标</w:t>
      </w:r>
      <w:r>
        <w:rPr>
          <w:rFonts w:ascii="宋体" w:hAnsi="宋体"/>
          <w:b/>
          <w:sz w:val="28"/>
          <w:szCs w:val="28"/>
        </w:rPr>
        <w:t>报价</w:t>
      </w:r>
      <w:r>
        <w:rPr>
          <w:rFonts w:hint="eastAsia" w:ascii="宋体" w:hAnsi="宋体"/>
          <w:b/>
          <w:sz w:val="28"/>
          <w:szCs w:val="28"/>
        </w:rPr>
        <w:t>最高限价为人民币</w:t>
      </w:r>
      <w:r>
        <w:rPr>
          <w:rFonts w:hint="eastAsia" w:ascii="宋体" w:hAnsi="宋体"/>
          <w:b/>
          <w:sz w:val="28"/>
          <w:szCs w:val="28"/>
          <w:lang w:val="en-US" w:eastAsia="zh-CN"/>
        </w:rPr>
        <w:t>26万</w:t>
      </w:r>
      <w:r>
        <w:rPr>
          <w:rFonts w:hint="eastAsia" w:ascii="宋体" w:hAnsi="宋体"/>
          <w:b/>
          <w:sz w:val="28"/>
          <w:szCs w:val="28"/>
          <w:lang w:val="zh-CN"/>
        </w:rPr>
        <w:t>元。</w:t>
      </w:r>
      <w:r>
        <w:rPr>
          <w:rFonts w:hint="eastAsia" w:ascii="宋体" w:hAnsi="宋体" w:cstheme="minorBidi"/>
          <w:b/>
          <w:sz w:val="28"/>
          <w:szCs w:val="28"/>
          <w:lang w:val="zh-CN"/>
        </w:rPr>
        <w:t>如投标人投标报价高于最高限价的则其投标文件将按无效投标文件处理。</w:t>
      </w:r>
    </w:p>
    <w:p>
      <w:pPr>
        <w:keepNext/>
        <w:keepLines/>
        <w:numPr>
          <w:ilvl w:val="1"/>
          <w:numId w:val="37"/>
        </w:numPr>
        <w:tabs>
          <w:tab w:val="left" w:pos="0"/>
          <w:tab w:val="left" w:pos="426"/>
          <w:tab w:val="left" w:pos="576"/>
          <w:tab w:val="left" w:pos="786"/>
        </w:tabs>
        <w:spacing w:line="360" w:lineRule="auto"/>
        <w:ind w:left="0" w:firstLine="0"/>
        <w:outlineLvl w:val="1"/>
        <w:rPr>
          <w:rFonts w:ascii="宋体" w:hAnsi="宋体"/>
          <w:b/>
          <w:sz w:val="28"/>
          <w:szCs w:val="28"/>
        </w:rPr>
      </w:pPr>
      <w:bookmarkStart w:id="168" w:name="_Toc85122597"/>
      <w:bookmarkStart w:id="169" w:name="_Toc1418"/>
      <w:r>
        <w:rPr>
          <w:rFonts w:hint="eastAsia" w:ascii="宋体" w:hAnsi="宋体"/>
          <w:b/>
          <w:sz w:val="28"/>
          <w:szCs w:val="28"/>
        </w:rPr>
        <w:t>其他要求</w:t>
      </w:r>
      <w:bookmarkEnd w:id="168"/>
      <w:bookmarkEnd w:id="169"/>
    </w:p>
    <w:p>
      <w:pPr>
        <w:pStyle w:val="151"/>
        <w:numPr>
          <w:ilvl w:val="0"/>
          <w:numId w:val="38"/>
        </w:numPr>
        <w:tabs>
          <w:tab w:val="left" w:pos="1134"/>
        </w:tabs>
        <w:snapToGrid w:val="0"/>
        <w:spacing w:line="360" w:lineRule="auto"/>
        <w:ind w:left="0" w:firstLine="567" w:firstLineChars="0"/>
        <w:rPr>
          <w:rFonts w:asciiTheme="minorEastAsia" w:hAnsiTheme="minorEastAsia"/>
          <w:b/>
          <w:sz w:val="28"/>
          <w:szCs w:val="28"/>
        </w:rPr>
      </w:pPr>
      <w:r>
        <w:rPr>
          <w:rFonts w:hint="eastAsia" w:asciiTheme="minorEastAsia" w:hAnsiTheme="minorEastAsia"/>
          <w:b/>
          <w:sz w:val="28"/>
          <w:szCs w:val="28"/>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151"/>
        <w:numPr>
          <w:ilvl w:val="0"/>
          <w:numId w:val="38"/>
        </w:numPr>
        <w:tabs>
          <w:tab w:val="left" w:pos="1134"/>
        </w:tabs>
        <w:snapToGrid w:val="0"/>
        <w:spacing w:line="360" w:lineRule="auto"/>
        <w:ind w:left="11" w:firstLine="629" w:firstLineChars="0"/>
        <w:rPr>
          <w:rFonts w:asciiTheme="minorEastAsia" w:hAnsiTheme="minorEastAsia"/>
          <w:b/>
          <w:sz w:val="28"/>
          <w:szCs w:val="28"/>
        </w:rPr>
      </w:pPr>
      <w:r>
        <w:rPr>
          <w:rFonts w:hint="eastAsia" w:asciiTheme="minorEastAsia" w:hAnsiTheme="minorEastAsia"/>
          <w:b/>
          <w:sz w:val="28"/>
          <w:szCs w:val="28"/>
        </w:rPr>
        <w:t>★投标人为本项目提供的所有产品、辅材中属于《国家强制性产品认证目录》范围内产品的，均通过国家强制性产品认证并取得认证证书。（说明：按照招标文件3.3.</w:t>
      </w:r>
      <w:r>
        <w:rPr>
          <w:rFonts w:hint="eastAsia" w:asciiTheme="minorEastAsia" w:hAnsiTheme="minorEastAsia"/>
          <w:b/>
          <w:sz w:val="28"/>
          <w:szCs w:val="28"/>
          <w:lang w:val="en-US" w:eastAsia="zh-CN"/>
        </w:rPr>
        <w:t>5</w:t>
      </w:r>
      <w:r>
        <w:rPr>
          <w:rFonts w:hint="eastAsia" w:asciiTheme="minorEastAsia" w:hAnsiTheme="minorEastAsia"/>
          <w:b/>
          <w:sz w:val="28"/>
          <w:szCs w:val="28"/>
        </w:rPr>
        <w:t>承诺函内容进行承诺）</w:t>
      </w:r>
    </w:p>
    <w:p>
      <w:pPr>
        <w:pStyle w:val="151"/>
        <w:numPr>
          <w:ilvl w:val="0"/>
          <w:numId w:val="38"/>
        </w:numPr>
        <w:tabs>
          <w:tab w:val="left" w:pos="1134"/>
        </w:tabs>
        <w:snapToGrid w:val="0"/>
        <w:spacing w:line="360" w:lineRule="auto"/>
        <w:ind w:left="11" w:firstLine="629" w:firstLineChars="0"/>
        <w:rPr>
          <w:rFonts w:asciiTheme="minorEastAsia" w:hAnsiTheme="minorEastAsia"/>
          <w:b/>
          <w:sz w:val="28"/>
          <w:szCs w:val="28"/>
        </w:rPr>
      </w:pPr>
      <w:r>
        <w:rPr>
          <w:rFonts w:hint="eastAsia" w:asciiTheme="minorEastAsia" w:hAnsiTheme="minorEastAsia"/>
          <w:b/>
          <w:sz w:val="28"/>
          <w:szCs w:val="28"/>
        </w:rPr>
        <w:t>★投标人为本项目提供的所有产品、辅材符合现行的强制性国家相关标准、行业标准。（说明：按照招标文件3.3.</w:t>
      </w:r>
      <w:r>
        <w:rPr>
          <w:rFonts w:hint="eastAsia" w:asciiTheme="minorEastAsia" w:hAnsiTheme="minorEastAsia"/>
          <w:b/>
          <w:sz w:val="28"/>
          <w:szCs w:val="28"/>
          <w:lang w:val="en-US" w:eastAsia="zh-CN"/>
        </w:rPr>
        <w:t>5</w:t>
      </w:r>
      <w:r>
        <w:rPr>
          <w:rFonts w:hint="eastAsia" w:asciiTheme="minorEastAsia" w:hAnsiTheme="minorEastAsia"/>
          <w:b/>
          <w:sz w:val="28"/>
          <w:szCs w:val="28"/>
        </w:rPr>
        <w:t>承诺函内容进行承诺）</w:t>
      </w:r>
    </w:p>
    <w:bookmarkEnd w:id="162"/>
    <w:bookmarkEnd w:id="163"/>
    <w:p>
      <w:pPr>
        <w:pStyle w:val="119"/>
        <w:numPr>
          <w:ilvl w:val="0"/>
          <w:numId w:val="39"/>
        </w:numPr>
        <w:tabs>
          <w:tab w:val="left" w:pos="1134"/>
        </w:tabs>
        <w:spacing w:before="156" w:beforeLines="0" w:afterLines="0" w:line="360" w:lineRule="auto"/>
        <w:ind w:left="0" w:right="210" w:firstLine="562"/>
        <w:jc w:val="both"/>
        <w:rPr>
          <w:rFonts w:ascii="宋体" w:hAnsi="宋体"/>
          <w:b/>
          <w:bCs/>
          <w:spacing w:val="-20"/>
          <w:kern w:val="44"/>
          <w:sz w:val="32"/>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0" w:name="_Toc16046"/>
      <w:r>
        <w:rPr>
          <w:rFonts w:hint="eastAsia" w:ascii="宋体" w:hAnsi="宋体"/>
          <w:b/>
          <w:bCs/>
          <w:spacing w:val="-20"/>
          <w:kern w:val="44"/>
          <w:sz w:val="32"/>
          <w:szCs w:val="32"/>
        </w:rPr>
        <w:t>资格性审查</w:t>
      </w:r>
      <w:bookmarkEnd w:id="170"/>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w:t>
      </w:r>
      <w:r>
        <w:rPr>
          <w:rFonts w:hint="eastAsia" w:ascii="宋体" w:hAnsi="宋体"/>
          <w:sz w:val="28"/>
          <w:szCs w:val="28"/>
          <w:lang w:eastAsia="zh-CN"/>
        </w:rPr>
        <w:t>区交易中心</w:t>
      </w:r>
      <w:r>
        <w:rPr>
          <w:rFonts w:hint="eastAsia" w:ascii="宋体" w:hAnsi="宋体"/>
          <w:sz w:val="28"/>
          <w:szCs w:val="28"/>
        </w:rPr>
        <w:t>出具的</w:t>
      </w:r>
      <w:r>
        <w:rPr>
          <w:rFonts w:hint="eastAsia" w:ascii="宋体" w:hAnsi="宋体"/>
          <w:b/>
          <w:sz w:val="28"/>
          <w:szCs w:val="28"/>
        </w:rPr>
        <w:t>《新都区政府采购项目供应商参与及保证金交纳情况表》或投标人递交的投标保函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sz w:val="28"/>
          <w:szCs w:val="28"/>
          <w:lang w:eastAsia="zh-CN"/>
        </w:rPr>
        <w:t>区交易中心</w:t>
      </w:r>
      <w:r>
        <w:rPr>
          <w:rFonts w:hint="eastAsia" w:ascii="宋体" w:hAnsi="宋体"/>
          <w:sz w:val="28"/>
          <w:szCs w:val="28"/>
        </w:rPr>
        <w:t>将以电子邮件形式通知各投标人。资格性审查标准见下表：</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b/>
                <w:sz w:val="20"/>
                <w:szCs w:val="22"/>
              </w:rPr>
            </w:pPr>
            <w:r>
              <w:rPr>
                <w:rFonts w:hint="eastAsia" w:ascii="Calibri" w:hAnsi="Calibri" w:eastAsia="宋体" w:cs="Times New Roman"/>
                <w:b/>
                <w:sz w:val="20"/>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b/>
                <w:sz w:val="20"/>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highlight w:val="none"/>
              </w:rPr>
            </w:pPr>
            <w:r>
              <w:rPr>
                <w:rFonts w:hint="default"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highlight w:val="none"/>
              </w:rPr>
            </w:pPr>
            <w:r>
              <w:rPr>
                <w:rFonts w:hint="eastAsia"/>
                <w:sz w:val="20"/>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highlight w:val="none"/>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rPr>
              <w:t>①</w:t>
            </w:r>
            <w:r>
              <w:rPr>
                <w:rFonts w:hint="eastAsia"/>
                <w:sz w:val="20"/>
              </w:rPr>
              <w:t>营业执照或法人登记证或其他证明材料载明有期限的，应在有效期限内；</w:t>
            </w:r>
            <w:r>
              <w:rPr>
                <w:rFonts w:hint="eastAsia" w:ascii="宋体" w:hAnsi="宋体"/>
                <w:sz w:val="20"/>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default" w:ascii="Calibri" w:hAnsi="Calibri" w:eastAsia="宋体" w:cs="Times New Roman"/>
                <w:sz w:val="20"/>
                <w:szCs w:val="22"/>
              </w:rPr>
              <w:t>2</w:t>
            </w:r>
          </w:p>
        </w:tc>
        <w:tc>
          <w:tcPr>
            <w:tcW w:w="427"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投标人具有良好的商业信誉的书面声明材料。【说明：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sz w:val="20"/>
              </w:rPr>
            </w:pPr>
            <w:r>
              <w:rPr>
                <w:rFonts w:hint="default"/>
                <w:sz w:val="20"/>
              </w:rPr>
              <w:t>1.</w:t>
            </w:r>
            <w:r>
              <w:rPr>
                <w:rFonts w:hint="eastAsia"/>
                <w:sz w:val="20"/>
              </w:rPr>
              <w:t>投标人参加政府采购活动前三年内，在经营活动中没有重大违法记录的书面声明材料。【说明：</w:t>
            </w:r>
            <w:r>
              <w:rPr>
                <w:rFonts w:hint="eastAsia" w:ascii="宋体" w:hAnsi="宋体"/>
                <w:sz w:val="20"/>
              </w:rPr>
              <w:t>①</w:t>
            </w:r>
            <w:r>
              <w:rPr>
                <w:rFonts w:hint="eastAsia"/>
                <w:sz w:val="20"/>
              </w:rPr>
              <w:t>按第</w:t>
            </w:r>
            <w:r>
              <w:rPr>
                <w:rFonts w:hint="default"/>
                <w:sz w:val="20"/>
              </w:rPr>
              <w:t>3</w:t>
            </w:r>
            <w:r>
              <w:rPr>
                <w:rFonts w:hint="eastAsia"/>
                <w:sz w:val="20"/>
              </w:rPr>
              <w:t>章的内容及要求提供书面声明材料；</w:t>
            </w:r>
            <w:r>
              <w:rPr>
                <w:rFonts w:hint="eastAsia" w:ascii="宋体" w:hAnsi="宋体"/>
                <w:sz w:val="20"/>
              </w:rPr>
              <w:t>②供应商参加政府采购活动前三年内，在经营活动中没有重大违法记录</w:t>
            </w:r>
            <w:r>
              <w:rPr>
                <w:rFonts w:hint="eastAsia"/>
                <w:sz w:val="20"/>
              </w:rPr>
              <w:t>。】</w:t>
            </w:r>
          </w:p>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sz w:val="20"/>
              </w:rPr>
            </w:pPr>
            <w:r>
              <w:rPr>
                <w:rFonts w:hint="default"/>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rPr>
              <w:t>①</w:t>
            </w:r>
            <w:r>
              <w:rPr>
                <w:rFonts w:hint="eastAsia"/>
                <w:sz w:val="20"/>
              </w:rPr>
              <w:t>投标人未列入失信被执行人、重大税收违法案件当事人名单、政府采购严重违法失信行为记录名单；</w:t>
            </w:r>
            <w:r>
              <w:rPr>
                <w:rFonts w:hint="eastAsia" w:ascii="宋体" w:hAnsi="宋体"/>
                <w:sz w:val="20"/>
              </w:rPr>
              <w:t>②</w:t>
            </w:r>
            <w:r>
              <w:rPr>
                <w:rFonts w:hint="eastAsia"/>
                <w:sz w:val="20"/>
              </w:rPr>
              <w:t>按第</w:t>
            </w:r>
            <w:r>
              <w:rPr>
                <w:rFonts w:hint="default"/>
                <w:sz w:val="20"/>
              </w:rPr>
              <w:t>3</w:t>
            </w:r>
            <w:r>
              <w:rPr>
                <w:rFonts w:hint="eastAsia"/>
                <w:sz w:val="20"/>
              </w:rPr>
              <w:t>章的内容及要求提供书面声明材料。】</w:t>
            </w:r>
          </w:p>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投标人未处于被行政部门禁止参与政府采购活动的期限内。【说明：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在行贿犯罪信息查询期限内，投标人及其现任法定代表人、主要负责人没有行贿犯罪记录的书面声明材料。【说明：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章的内容及要求提供书面声明材料，投标文件中不需提供中国裁判文书网（</w:t>
            </w:r>
            <w:r>
              <w:rPr>
                <w:rFonts w:hint="default"/>
                <w:sz w:val="20"/>
              </w:rPr>
              <w:t>https://wenshu.court.gov.cn</w:t>
            </w:r>
            <w:r>
              <w:rPr>
                <w:rFonts w:hint="eastAsia"/>
                <w:sz w:val="20"/>
              </w:rPr>
              <w:t>）查询结果的证明材料；</w:t>
            </w:r>
            <w:r>
              <w:rPr>
                <w:rFonts w:hint="eastAsia" w:ascii="宋体" w:hAnsi="宋体"/>
                <w:sz w:val="20"/>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1"/>
              </w:rPr>
              <w:t>负责人为同一人或者存在直接控股、管理关系的不同投标人未同时参加本项目书面声明材料。【说明：</w:t>
            </w:r>
            <w:r>
              <w:rPr>
                <w:rFonts w:hint="eastAsia" w:ascii="宋体" w:hAnsi="宋体"/>
                <w:sz w:val="20"/>
              </w:rPr>
              <w:t>①</w:t>
            </w:r>
            <w:r>
              <w:rPr>
                <w:rFonts w:hint="eastAsia"/>
                <w:sz w:val="21"/>
              </w:rPr>
              <w:t>按招标文件3.2.2声明内容提供书面声明材料；</w:t>
            </w:r>
            <w:r>
              <w:rPr>
                <w:rFonts w:hint="eastAsia" w:ascii="宋体" w:hAnsi="宋体"/>
                <w:sz w:val="20"/>
              </w:rPr>
              <w:t>②</w:t>
            </w:r>
            <w:r>
              <w:rPr>
                <w:rFonts w:hint="eastAsia"/>
                <w:sz w:val="21"/>
              </w:rPr>
              <w:t>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3</w:t>
            </w:r>
          </w:p>
        </w:tc>
        <w:tc>
          <w:tcPr>
            <w:tcW w:w="427"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具有履行合同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采购人对投标人履行合同所必须的设备和专业技术能力无其他特殊要求，投标人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采购人对法律、行政法规规定的其他条件无其他特殊要求，投标人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default" w:ascii="Calibri" w:hAnsi="Calibri" w:eastAsia="宋体" w:cs="Times New Roman"/>
                <w:sz w:val="20"/>
                <w:szCs w:val="22"/>
              </w:rPr>
              <w:t>1</w:t>
            </w:r>
            <w:r>
              <w:rPr>
                <w:rFonts w:hint="eastAsia" w:ascii="Calibri" w:hAnsi="Calibri" w:eastAsia="宋体" w:cs="Times New Roman"/>
                <w:sz w:val="20"/>
                <w:szCs w:val="22"/>
              </w:rPr>
              <w:t>、根据招标文件的要求不属于禁止参加投标或投标无效的供应商；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default" w:ascii="Calibri" w:hAnsi="Calibri" w:eastAsia="宋体" w:cs="Times New Roman"/>
                <w:sz w:val="20"/>
                <w:szCs w:val="22"/>
              </w:rPr>
              <w:t>2</w:t>
            </w:r>
            <w:r>
              <w:rPr>
                <w:rFonts w:hint="eastAsia" w:ascii="Calibri" w:hAnsi="Calibri" w:eastAsia="宋体" w:cs="Times New Roman"/>
                <w:sz w:val="20"/>
                <w:szCs w:val="22"/>
              </w:rPr>
              <w:t>、资格审查小组未发现或者未知晓投标人存在属于国家相关法律法规规定的禁止参加投标或投标无效的供应商。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4</w:t>
            </w:r>
          </w:p>
        </w:tc>
        <w:tc>
          <w:tcPr>
            <w:tcW w:w="2108" w:type="dxa"/>
            <w:gridSpan w:val="2"/>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宋体" w:hAnsi="宋体" w:eastAsia="宋体" w:cs="Times New Roman"/>
                <w:sz w:val="20"/>
                <w:szCs w:val="28"/>
              </w:rPr>
              <w:t>符合招标文件“</w:t>
            </w:r>
            <w:r>
              <w:rPr>
                <w:rFonts w:hint="default" w:ascii="宋体" w:hAnsi="宋体" w:eastAsia="宋体" w:cs="Times New Roman"/>
                <w:sz w:val="20"/>
                <w:szCs w:val="28"/>
              </w:rPr>
              <w:t>2.4.</w:t>
            </w:r>
            <w:r>
              <w:rPr>
                <w:rFonts w:hint="eastAsia" w:ascii="宋体" w:hAnsi="宋体" w:eastAsia="宋体" w:cs="Times New Roman"/>
                <w:sz w:val="20"/>
                <w:szCs w:val="28"/>
              </w:rPr>
              <w:t>6投标</w:t>
            </w:r>
            <w:r>
              <w:rPr>
                <w:rFonts w:hint="default" w:ascii="宋体" w:hAnsi="宋体" w:eastAsia="宋体" w:cs="Times New Roman"/>
                <w:sz w:val="20"/>
                <w:szCs w:val="28"/>
              </w:rPr>
              <w:t>文件的组成”规定要求。</w:t>
            </w:r>
            <w:r>
              <w:rPr>
                <w:rFonts w:hint="eastAsia" w:ascii="宋体" w:hAnsi="宋体" w:eastAsia="宋体" w:cs="Times New Roman"/>
                <w:sz w:val="20"/>
                <w:szCs w:val="28"/>
              </w:rPr>
              <w:t>【说明：投标人按招标文件3.2.1关于投标人资格申明的</w:t>
            </w:r>
            <w:r>
              <w:rPr>
                <w:rFonts w:hint="eastAsia" w:ascii="Calibri" w:hAnsi="Calibri" w:eastAsia="宋体" w:cs="Times New Roman"/>
                <w:sz w:val="20"/>
                <w:szCs w:val="22"/>
              </w:rPr>
              <w:t>内容</w:t>
            </w:r>
            <w:r>
              <w:rPr>
                <w:rFonts w:hint="eastAsia" w:ascii="宋体" w:hAnsi="宋体" w:eastAsia="宋体" w:cs="Times New Roman"/>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宋体" w:hAnsi="宋体" w:eastAsia="宋体" w:cs="Times New Roman"/>
                <w:sz w:val="20"/>
                <w:szCs w:val="28"/>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eastAsia="宋体" w:cs="Times New Roman"/>
                <w:sz w:val="20"/>
                <w:szCs w:val="28"/>
              </w:rPr>
            </w:pPr>
            <w:r>
              <w:rPr>
                <w:rFonts w:hint="eastAsia" w:ascii="宋体" w:hAnsi="宋体" w:eastAsia="宋体" w:cs="Times New Roman"/>
                <w:sz w:val="20"/>
                <w:szCs w:val="28"/>
              </w:rPr>
              <w:t>专门面向中小企业采购项目:</w:t>
            </w:r>
          </w:p>
          <w:p>
            <w:pPr>
              <w:keepNext w:val="0"/>
              <w:keepLines w:val="0"/>
              <w:suppressLineNumbers w:val="0"/>
              <w:tabs>
                <w:tab w:val="left" w:pos="851"/>
              </w:tabs>
              <w:spacing w:before="0" w:beforeAutospacing="0" w:after="0" w:afterAutospacing="0" w:line="360" w:lineRule="auto"/>
              <w:ind w:left="0" w:right="0"/>
              <w:rPr>
                <w:rFonts w:hint="default" w:ascii="宋体" w:hAnsi="宋体" w:eastAsia="宋体" w:cs="Times New Roman"/>
                <w:sz w:val="20"/>
                <w:szCs w:val="28"/>
              </w:rPr>
            </w:pPr>
            <w:r>
              <w:rPr>
                <w:rFonts w:hint="eastAsia" w:ascii="宋体" w:hAnsi="宋体" w:eastAsia="宋体" w:cs="Times New Roman"/>
                <w:sz w:val="20"/>
                <w:szCs w:val="28"/>
              </w:rPr>
              <w:t>1.《中小企业声明函》中声明提供的服务全部由符合政策要求的中小企业承接；</w:t>
            </w:r>
          </w:p>
          <w:p>
            <w:pPr>
              <w:keepNext w:val="0"/>
              <w:keepLines w:val="0"/>
              <w:suppressLineNumbers w:val="0"/>
              <w:tabs>
                <w:tab w:val="left" w:pos="851"/>
              </w:tabs>
              <w:spacing w:before="0" w:beforeAutospacing="0" w:after="0" w:afterAutospacing="0" w:line="360" w:lineRule="auto"/>
              <w:ind w:left="0" w:right="0"/>
              <w:rPr>
                <w:rFonts w:hint="default" w:ascii="宋体" w:hAnsi="宋体" w:eastAsia="宋体" w:cs="Times New Roman"/>
                <w:sz w:val="20"/>
                <w:szCs w:val="28"/>
              </w:rPr>
            </w:pPr>
            <w:r>
              <w:rPr>
                <w:rFonts w:hint="eastAsia" w:ascii="宋体" w:hAnsi="宋体" w:eastAsia="宋体" w:cs="Times New Roman"/>
                <w:sz w:val="20"/>
                <w:szCs w:val="28"/>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u w:val="single"/>
              </w:rPr>
              <w:t>本</w:t>
            </w:r>
            <w:r>
              <w:rPr>
                <w:rFonts w:hint="eastAsia" w:ascii="宋体" w:hAnsi="宋体" w:eastAsia="宋体" w:cs="Times New Roman"/>
                <w:sz w:val="20"/>
                <w:szCs w:val="28"/>
              </w:rPr>
              <w:t>项目采购活动由本单位提供服务；</w:t>
            </w:r>
          </w:p>
          <w:p>
            <w:pPr>
              <w:keepNext w:val="0"/>
              <w:keepLines w:val="0"/>
              <w:suppressLineNumbers w:val="0"/>
              <w:tabs>
                <w:tab w:val="left" w:pos="851"/>
              </w:tabs>
              <w:spacing w:before="0" w:beforeAutospacing="0" w:after="0" w:afterAutospacing="0" w:line="360" w:lineRule="auto"/>
              <w:ind w:left="0" w:right="0"/>
              <w:rPr>
                <w:rFonts w:hint="eastAsia" w:ascii="宋体" w:hAnsi="宋体" w:eastAsia="宋体" w:cs="Times New Roman"/>
                <w:sz w:val="20"/>
                <w:szCs w:val="28"/>
              </w:rPr>
            </w:pPr>
            <w:r>
              <w:rPr>
                <w:rFonts w:hint="eastAsia" w:ascii="宋体" w:hAnsi="宋体" w:eastAsia="宋体" w:cs="Times New Roman"/>
                <w:sz w:val="20"/>
                <w:szCs w:val="28"/>
              </w:rPr>
              <w:t>3.监狱企业视同为小型、微型企业，提供由省级以上监狱管理局、戒毒管理局（含新疆生产建设兵团）出具的</w:t>
            </w:r>
            <w:r>
              <w:rPr>
                <w:rFonts w:hint="eastAsia" w:ascii="Calibri" w:hAnsi="Calibri" w:eastAsia="宋体" w:cs="Times New Roman"/>
                <w:sz w:val="20"/>
                <w:szCs w:val="22"/>
              </w:rPr>
              <w:t>投标人</w:t>
            </w:r>
            <w:r>
              <w:rPr>
                <w:rFonts w:hint="eastAsia" w:ascii="宋体" w:hAnsi="宋体" w:eastAsia="宋体" w:cs="Times New Roman"/>
                <w:sz w:val="20"/>
                <w:szCs w:val="28"/>
              </w:rPr>
              <w:t>属于监狱企业的证明文件复印件。</w:t>
            </w:r>
          </w:p>
          <w:p>
            <w:pPr>
              <w:keepNext w:val="0"/>
              <w:keepLines w:val="0"/>
              <w:suppressLineNumbers w:val="0"/>
              <w:tabs>
                <w:tab w:val="left" w:pos="851"/>
              </w:tabs>
              <w:spacing w:before="0" w:beforeAutospacing="0" w:after="0" w:afterAutospacing="0" w:line="360" w:lineRule="auto"/>
              <w:ind w:left="0" w:right="0"/>
              <w:rPr>
                <w:rFonts w:hint="eastAsia" w:ascii="宋体" w:hAnsi="宋体" w:eastAsia="宋体" w:cs="Times New Roman"/>
                <w:sz w:val="20"/>
                <w:szCs w:val="28"/>
              </w:rPr>
            </w:pPr>
            <w:r>
              <w:rPr>
                <w:rFonts w:hint="eastAsia" w:ascii="宋体" w:hAnsi="宋体" w:eastAsia="宋体" w:cs="Times New Roman"/>
                <w:sz w:val="20"/>
                <w:szCs w:val="28"/>
              </w:rPr>
              <w:t>（说明：供应商可以只提供其中一份）</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w:t>
      </w:r>
      <w:r>
        <w:rPr>
          <w:rFonts w:hint="eastAsia" w:ascii="宋体" w:hAnsi="宋体"/>
          <w:sz w:val="28"/>
          <w:szCs w:val="28"/>
          <w:highlight w:val="none"/>
        </w:rPr>
        <w:t>电子介质的形式留存</w:t>
      </w:r>
      <w:r>
        <w:rPr>
          <w:rFonts w:hint="eastAsia" w:ascii="宋体" w:hAnsi="宋体"/>
          <w:sz w:val="28"/>
          <w:szCs w:val="28"/>
        </w:rPr>
        <w:t>。</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将通知投标人（以短信、现场公示、电话、“政府采购云平台”等任一方式）。投标人如对资格审查结论有异议的，应及时向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将及时告知资格审查小组。（说明：无论投标人是否收到通知或提供反馈意见，均不影响资格审查和评标工作，且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
      <w:pPr>
        <w:tabs>
          <w:tab w:val="left" w:pos="851"/>
        </w:tabs>
        <w:spacing w:line="360" w:lineRule="auto"/>
        <w:ind w:firstLine="565" w:firstLineChars="202"/>
        <w:rPr>
          <w:rFonts w:ascii="宋体" w:hAnsi="宋体"/>
          <w:sz w:val="28"/>
          <w:szCs w:val="28"/>
        </w:rPr>
      </w:pP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1" w:name="_Toc14060"/>
      <w:r>
        <w:rPr>
          <w:rFonts w:hint="eastAsia" w:ascii="宋体" w:hAnsi="宋体"/>
          <w:b/>
          <w:bCs/>
          <w:spacing w:val="-20"/>
          <w:kern w:val="44"/>
          <w:sz w:val="32"/>
          <w:szCs w:val="32"/>
        </w:rPr>
        <w:t>评标办法</w:t>
      </w:r>
      <w:bookmarkEnd w:id="171"/>
    </w:p>
    <w:p>
      <w:pPr>
        <w:keepNext/>
        <w:keepLines/>
        <w:numPr>
          <w:ilvl w:val="1"/>
          <w:numId w:val="5"/>
        </w:numPr>
        <w:spacing w:line="360" w:lineRule="auto"/>
        <w:jc w:val="left"/>
        <w:outlineLvl w:val="1"/>
        <w:rPr>
          <w:rFonts w:ascii="宋体" w:hAnsi="宋体"/>
          <w:b/>
          <w:bCs/>
          <w:sz w:val="28"/>
          <w:szCs w:val="28"/>
        </w:rPr>
      </w:pPr>
      <w:bookmarkStart w:id="172" w:name="_Toc1566"/>
      <w:r>
        <w:rPr>
          <w:rFonts w:hint="eastAsia" w:ascii="宋体" w:hAnsi="宋体"/>
          <w:b/>
          <w:bCs/>
          <w:sz w:val="28"/>
          <w:szCs w:val="28"/>
        </w:rPr>
        <w:t>总则</w:t>
      </w:r>
      <w:bookmarkEnd w:id="172"/>
    </w:p>
    <w:p>
      <w:pPr>
        <w:numPr>
          <w:ilvl w:val="0"/>
          <w:numId w:val="4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4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lang w:eastAsia="zh-CN"/>
        </w:rPr>
        <w:t>区交易中心</w:t>
      </w:r>
      <w:r>
        <w:rPr>
          <w:rFonts w:hint="eastAsia" w:ascii="宋体" w:hAnsi="宋体"/>
          <w:sz w:val="28"/>
          <w:szCs w:val="28"/>
        </w:rPr>
        <w:t>负责组织，具体评标事务由采购人或</w:t>
      </w:r>
      <w:r>
        <w:rPr>
          <w:rFonts w:hint="eastAsia" w:cs="Arial"/>
          <w:sz w:val="28"/>
          <w:szCs w:val="28"/>
          <w:lang w:eastAsia="zh-CN"/>
        </w:rPr>
        <w:t>区交易中心</w:t>
      </w:r>
      <w:r>
        <w:rPr>
          <w:rFonts w:hint="eastAsia" w:ascii="宋体" w:hAnsi="宋体"/>
          <w:sz w:val="28"/>
          <w:szCs w:val="28"/>
        </w:rPr>
        <w:t>依法组建的评标委员会负责。评标委员会由采购人代表和评审专家组成。</w:t>
      </w:r>
    </w:p>
    <w:p>
      <w:pPr>
        <w:numPr>
          <w:ilvl w:val="0"/>
          <w:numId w:val="4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4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41"/>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1"/>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1"/>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1"/>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1"/>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41"/>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1"/>
        </w:numPr>
        <w:spacing w:line="360" w:lineRule="auto"/>
        <w:ind w:left="0" w:firstLine="567"/>
        <w:rPr>
          <w:rFonts w:ascii="宋体" w:hAnsi="宋体"/>
          <w:sz w:val="28"/>
          <w:szCs w:val="28"/>
        </w:rPr>
      </w:pPr>
      <w:r>
        <w:rPr>
          <w:rFonts w:hint="eastAsia" w:ascii="宋体" w:hAnsi="宋体"/>
          <w:sz w:val="28"/>
          <w:szCs w:val="28"/>
        </w:rPr>
        <w:t>向采购人、</w:t>
      </w:r>
      <w:r>
        <w:rPr>
          <w:rFonts w:hint="eastAsia" w:ascii="宋体" w:hAnsi="宋体"/>
          <w:sz w:val="28"/>
          <w:szCs w:val="28"/>
          <w:lang w:eastAsia="zh-CN"/>
        </w:rPr>
        <w:t>区交易中心</w:t>
      </w:r>
      <w:r>
        <w:rPr>
          <w:rFonts w:hint="eastAsia" w:ascii="宋体" w:hAnsi="宋体"/>
          <w:sz w:val="28"/>
          <w:szCs w:val="28"/>
        </w:rPr>
        <w:t>构或者财政、监察等有关部门报告或举报非法干预评标工作的行为；</w:t>
      </w:r>
    </w:p>
    <w:p>
      <w:pPr>
        <w:numPr>
          <w:ilvl w:val="1"/>
          <w:numId w:val="41"/>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lang w:eastAsia="zh-CN"/>
        </w:rPr>
        <w:t>区交易中心</w:t>
      </w:r>
      <w:r>
        <w:rPr>
          <w:rFonts w:hint="eastAsia" w:ascii="宋体" w:hAnsi="宋体"/>
          <w:sz w:val="28"/>
          <w:szCs w:val="28"/>
        </w:rPr>
        <w:t>或者有关部门报告评标中发现的违法行为。</w:t>
      </w:r>
    </w:p>
    <w:p>
      <w:pPr>
        <w:numPr>
          <w:ilvl w:val="1"/>
          <w:numId w:val="41"/>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4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4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4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w:t>
      </w:r>
      <w:r>
        <w:rPr>
          <w:rFonts w:hint="eastAsia" w:ascii="宋体" w:hAnsi="宋体"/>
          <w:sz w:val="28"/>
          <w:szCs w:val="28"/>
          <w:lang w:eastAsia="zh-CN"/>
        </w:rPr>
        <w:t>区交易中心</w:t>
      </w:r>
      <w:r>
        <w:rPr>
          <w:rFonts w:hint="eastAsia" w:ascii="宋体" w:hAnsi="宋体"/>
          <w:sz w:val="28"/>
          <w:szCs w:val="28"/>
        </w:rPr>
        <w:t>书面解释说明。</w:t>
      </w:r>
    </w:p>
    <w:p>
      <w:pPr>
        <w:keepNext/>
        <w:keepLines/>
        <w:numPr>
          <w:ilvl w:val="1"/>
          <w:numId w:val="5"/>
        </w:numPr>
        <w:spacing w:line="360" w:lineRule="auto"/>
        <w:jc w:val="left"/>
        <w:outlineLvl w:val="1"/>
        <w:rPr>
          <w:rFonts w:ascii="宋体" w:hAnsi="宋体"/>
          <w:b/>
          <w:bCs/>
          <w:sz w:val="28"/>
          <w:szCs w:val="28"/>
        </w:rPr>
      </w:pPr>
      <w:bookmarkStart w:id="173" w:name="_Toc18420"/>
      <w:r>
        <w:rPr>
          <w:rFonts w:hint="eastAsia" w:ascii="宋体" w:hAnsi="宋体"/>
          <w:b/>
          <w:bCs/>
          <w:sz w:val="28"/>
          <w:szCs w:val="28"/>
        </w:rPr>
        <w:t>评标方法</w:t>
      </w:r>
      <w:bookmarkEnd w:id="173"/>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74" w:name="_Toc11934"/>
      <w:r>
        <w:rPr>
          <w:rFonts w:hint="eastAsia" w:ascii="宋体" w:hAnsi="宋体"/>
          <w:b/>
          <w:bCs/>
          <w:sz w:val="28"/>
          <w:szCs w:val="28"/>
        </w:rPr>
        <w:t>评标程序</w:t>
      </w:r>
      <w:bookmarkEnd w:id="174"/>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符合性审查标准见下表（按以下顺序审查）：</w:t>
      </w:r>
      <w:r>
        <w:rPr>
          <w:rFonts w:hint="eastAsia" w:ascii="宋体" w:hAnsi="宋体"/>
          <w:sz w:val="28"/>
          <w:szCs w:val="28"/>
          <w:lang w:eastAsia="zh-CN"/>
        </w:rPr>
        <w:t>（包</w:t>
      </w:r>
      <w:r>
        <w:rPr>
          <w:rFonts w:hint="eastAsia" w:ascii="宋体" w:hAnsi="宋体"/>
          <w:sz w:val="28"/>
          <w:szCs w:val="28"/>
          <w:lang w:val="en-US" w:eastAsia="zh-CN"/>
        </w:rPr>
        <w:t>1、包2</w:t>
      </w:r>
      <w:r>
        <w:rPr>
          <w:rFonts w:hint="eastAsia" w:ascii="宋体" w:hAnsi="宋体"/>
          <w:sz w:val="28"/>
          <w:szCs w:val="28"/>
          <w:lang w:eastAsia="zh-CN"/>
        </w:rPr>
        <w:t>）</w:t>
      </w:r>
    </w:p>
    <w:tbl>
      <w:tblPr>
        <w:tblStyle w:val="4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sz w:val="24"/>
                <w:szCs w:val="28"/>
              </w:rPr>
            </w:pPr>
            <w:r>
              <w:rPr>
                <w:rFonts w:hint="eastAsia" w:ascii="宋体" w:hAnsi="宋体"/>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sz w:val="24"/>
                <w:szCs w:val="28"/>
              </w:rPr>
            </w:pPr>
            <w:r>
              <w:rPr>
                <w:rFonts w:hint="eastAsia" w:ascii="宋体" w:hAnsi="宋体"/>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firstLine="487" w:firstLineChars="202"/>
              <w:jc w:val="center"/>
              <w:rPr>
                <w:rFonts w:hint="default"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第4章打★号的技术、服务、商务及其他要求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（1）根据招标文件的要求不属于禁止参加投标或投标无效的供应商；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法定代表人身份证复印件或护照复印件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lang w:val="en-US" w:eastAsia="zh-CN"/>
              </w:rPr>
              <w:t>1.</w:t>
            </w:r>
            <w:r>
              <w:rPr>
                <w:rFonts w:hint="default" w:cs="仿宋_GB2312" w:asciiTheme="minorEastAsia" w:hAnsiTheme="minorEastAsia" w:eastAsiaTheme="minorEastAsia"/>
                <w:sz w:val="24"/>
                <w:szCs w:val="24"/>
              </w:rPr>
              <w:t>承诺函【说明：①按3.3.</w:t>
            </w:r>
            <w:r>
              <w:rPr>
                <w:rFonts w:hint="eastAsia" w:cs="仿宋_GB2312" w:asciiTheme="minorEastAsia" w:hAnsiTheme="minorEastAsia" w:eastAsiaTheme="minorEastAsia"/>
                <w:sz w:val="24"/>
                <w:szCs w:val="24"/>
              </w:rPr>
              <w:t>5</w:t>
            </w:r>
            <w:r>
              <w:rPr>
                <w:rFonts w:hint="default" w:cs="仿宋_GB2312" w:asciiTheme="minorEastAsia" w:hAnsiTheme="minorEastAsia" w:eastAsiaTheme="minorEastAsia"/>
                <w:sz w:val="24"/>
                <w:szCs w:val="24"/>
              </w:rPr>
              <w:t>承诺函</w:t>
            </w:r>
            <w:r>
              <w:rPr>
                <w:rFonts w:hint="eastAsia" w:cs="仿宋_GB2312" w:asciiTheme="minorEastAsia" w:hAnsiTheme="minorEastAsia" w:eastAsiaTheme="minorEastAsia"/>
                <w:sz w:val="24"/>
                <w:szCs w:val="24"/>
              </w:rPr>
              <w:t>内容</w:t>
            </w:r>
            <w:r>
              <w:rPr>
                <w:rFonts w:hint="default" w:cs="仿宋_GB2312" w:asciiTheme="minorEastAsia" w:hAnsiTheme="minorEastAsia" w:eastAsiaTheme="minorEastAsia"/>
                <w:sz w:val="24"/>
                <w:szCs w:val="24"/>
              </w:rPr>
              <w:t>提供承诺函；②承诺的内容满足招标文件的要求。】。</w:t>
            </w:r>
          </w:p>
          <w:p>
            <w:pPr>
              <w:keepNext w:val="0"/>
              <w:keepLines w:val="0"/>
              <w:suppressLineNumbers w:val="0"/>
              <w:tabs>
                <w:tab w:val="left" w:pos="851"/>
              </w:tabs>
              <w:spacing w:before="0" w:beforeAutospacing="0" w:after="0" w:afterAutospacing="0" w:line="360"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ascii="宋体" w:hAnsi="宋体"/>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hint="default"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ascii="宋体" w:hAnsi="宋体"/>
                <w:sz w:val="24"/>
                <w:szCs w:val="28"/>
              </w:rPr>
              <w:t>招标文件中未载明“允许采购进口产品”的产品，投标产品为国产产品。</w:t>
            </w:r>
          </w:p>
        </w:tc>
      </w:tr>
    </w:tbl>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将通知投标人（以短信、现场公示、电话、“政府采购云平台”等任一方式）。投标人如对评审结论有异议的，应及时向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在评审结束前将收到的反馈意见及时告知评标委员会。（说明：无论投标人是否收到通知或提供反馈意见，均不影响评标委员会的评标工作，且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2"/>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w:t>
      </w:r>
      <w:r>
        <w:rPr>
          <w:rFonts w:hint="eastAsia" w:ascii="宋体" w:hAnsi="宋体"/>
          <w:sz w:val="28"/>
          <w:szCs w:val="28"/>
          <w:lang w:eastAsia="zh-CN"/>
        </w:rPr>
        <w:t>区交易中心</w:t>
      </w:r>
      <w:r>
        <w:rPr>
          <w:rFonts w:hint="eastAsia" w:ascii="宋体" w:hAnsi="宋体"/>
          <w:sz w:val="28"/>
          <w:szCs w:val="28"/>
        </w:rPr>
        <w:t>书面解释。</w:t>
      </w:r>
      <w:r>
        <w:rPr>
          <w:rFonts w:hint="eastAsia" w:ascii="宋体" w:hAnsi="宋体"/>
          <w:sz w:val="28"/>
          <w:szCs w:val="28"/>
          <w:lang w:eastAsia="zh-CN"/>
        </w:rPr>
        <w:t>区交易中心</w:t>
      </w:r>
      <w:r>
        <w:rPr>
          <w:rFonts w:hint="eastAsia" w:ascii="宋体" w:hAnsi="宋体"/>
          <w:sz w:val="28"/>
          <w:szCs w:val="28"/>
        </w:rPr>
        <w:t>的解释不得改变招标文件的原义或者影响公平、公正，解释事项如果涉及投标人权益的以有利于投标人的原则进行解释。</w:t>
      </w:r>
    </w:p>
    <w:p>
      <w:pPr>
        <w:numPr>
          <w:ilvl w:val="0"/>
          <w:numId w:val="42"/>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2"/>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3"/>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3"/>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3"/>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2"/>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lang w:eastAsia="zh-CN"/>
        </w:rPr>
        <w:t>区交易中心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4"/>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4"/>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4"/>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4"/>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7665"/>
        </w:tabs>
        <w:spacing w:line="360" w:lineRule="auto"/>
        <w:ind w:firstLine="560" w:firstLineChars="200"/>
        <w:rPr>
          <w:rFonts w:ascii="Helvetica" w:hAnsi="Helvetica" w:eastAsia="宋体" w:cs="Helvetica"/>
          <w:kern w:val="0"/>
          <w:sz w:val="28"/>
          <w:szCs w:val="28"/>
        </w:rPr>
      </w:pPr>
      <w:r>
        <w:rPr>
          <w:rFonts w:hint="eastAsia" w:ascii="宋体" w:hAnsi="宋体" w:eastAsia="宋体" w:cs="Times New Roman"/>
          <w:sz w:val="28"/>
          <w:szCs w:val="28"/>
        </w:rPr>
        <w:t>按投标人综合得分从高到低进行排序，确定1至3名中标候选人。综合得分相同的，则在排名并列的投标人中优先</w:t>
      </w:r>
      <w:r>
        <w:rPr>
          <w:rFonts w:hint="eastAsia" w:ascii="宋体" w:hAnsi="宋体" w:cs="Times New Roman"/>
          <w:sz w:val="28"/>
          <w:szCs w:val="28"/>
          <w:lang w:eastAsia="zh-CN"/>
        </w:rPr>
        <w:t>推荐</w:t>
      </w:r>
      <w:r>
        <w:rPr>
          <w:rFonts w:hint="eastAsia" w:ascii="宋体" w:hAnsi="宋体" w:eastAsia="宋体" w:cs="Times New Roman"/>
          <w:sz w:val="28"/>
          <w:szCs w:val="28"/>
        </w:rPr>
        <w:t>不发达地区或少数民族地区的供应商。综合得分相同</w:t>
      </w:r>
      <w:r>
        <w:rPr>
          <w:rFonts w:hint="eastAsia" w:ascii="宋体" w:hAnsi="宋体" w:cs="Times New Roman"/>
          <w:sz w:val="28"/>
          <w:szCs w:val="28"/>
          <w:lang w:eastAsia="zh-CN"/>
        </w:rPr>
        <w:t>、是否属于不发达地区或少数民族地区的情况一致</w:t>
      </w:r>
      <w:r>
        <w:rPr>
          <w:rFonts w:hint="eastAsia" w:ascii="宋体" w:hAnsi="宋体" w:eastAsia="宋体" w:cs="Times New Roman"/>
          <w:sz w:val="28"/>
          <w:szCs w:val="28"/>
        </w:rPr>
        <w:t>的投标人按投标报价由低到高顺序排列确定中标</w:t>
      </w:r>
      <w:r>
        <w:rPr>
          <w:rFonts w:hint="eastAsia" w:ascii="宋体" w:hAnsi="宋体" w:cs="Times New Roman"/>
          <w:sz w:val="28"/>
          <w:szCs w:val="28"/>
          <w:lang w:eastAsia="zh-CN"/>
        </w:rPr>
        <w:t>候选人</w:t>
      </w:r>
      <w:r>
        <w:rPr>
          <w:rFonts w:hint="eastAsia" w:ascii="宋体" w:hAnsi="宋体" w:eastAsia="宋体" w:cs="Times New Roman"/>
          <w:sz w:val="28"/>
          <w:szCs w:val="28"/>
        </w:rPr>
        <w:t>。综合得分相同、</w:t>
      </w:r>
      <w:r>
        <w:rPr>
          <w:rFonts w:hint="eastAsia" w:ascii="宋体" w:hAnsi="宋体" w:cs="Times New Roman"/>
          <w:sz w:val="28"/>
          <w:szCs w:val="28"/>
          <w:lang w:eastAsia="zh-CN"/>
        </w:rPr>
        <w:t>是否属于不发达地区或少数民族地区的情况一致、</w:t>
      </w:r>
      <w:r>
        <w:rPr>
          <w:rFonts w:hint="eastAsia" w:ascii="宋体" w:hAnsi="宋体" w:eastAsia="宋体" w:cs="Times New Roman"/>
          <w:sz w:val="28"/>
          <w:szCs w:val="28"/>
        </w:rPr>
        <w:t>报价相同</w:t>
      </w:r>
      <w:r>
        <w:rPr>
          <w:rFonts w:hint="eastAsia" w:ascii="宋体" w:hAnsi="宋体" w:cs="Times New Roman"/>
          <w:sz w:val="28"/>
          <w:szCs w:val="28"/>
          <w:lang w:eastAsia="zh-CN"/>
        </w:rPr>
        <w:t>的</w:t>
      </w:r>
      <w:r>
        <w:rPr>
          <w:rFonts w:hint="eastAsia" w:ascii="宋体" w:hAnsi="宋体" w:eastAsia="宋体" w:cs="Times New Roman"/>
          <w:sz w:val="28"/>
          <w:szCs w:val="28"/>
        </w:rPr>
        <w:t>并列</w:t>
      </w:r>
      <w:r>
        <w:rPr>
          <w:rFonts w:hint="eastAsia" w:ascii="宋体" w:hAnsi="宋体" w:cs="Times New Roman"/>
          <w:sz w:val="28"/>
          <w:szCs w:val="28"/>
          <w:lang w:eastAsia="zh-CN"/>
        </w:rPr>
        <w:t>。</w:t>
      </w:r>
      <w:r>
        <w:rPr>
          <w:rFonts w:hint="eastAsia" w:ascii="宋体" w:hAnsi="宋体" w:eastAsia="宋体" w:cs="Times New Roman"/>
          <w:sz w:val="28"/>
          <w:szCs w:val="28"/>
        </w:rPr>
        <w:t>（不发达地区或少数民族地区的投标人指投标人注册地在民族自治州、自治县、自治乡等不发达地区或少数民族地区）</w:t>
      </w:r>
      <w:r>
        <w:rPr>
          <w:rFonts w:hint="eastAsia" w:ascii="宋体" w:hAnsi="宋体" w:cs="Times New Roman"/>
          <w:sz w:val="28"/>
          <w:szCs w:val="28"/>
          <w:lang w:eastAsia="zh-CN"/>
        </w:rPr>
        <w:t>。</w:t>
      </w:r>
      <w:r>
        <w:rPr>
          <w:rFonts w:hint="eastAsia" w:ascii="宋体" w:hAnsi="宋体" w:eastAsia="宋体" w:cs="Times New Roman"/>
          <w:sz w:val="28"/>
          <w:szCs w:val="28"/>
        </w:rPr>
        <w:t>投标文件满足招标文件全部实质性要求，且按照评审因素的量化指标评审得分最高的投标人为排名第一的中标候选人。</w:t>
      </w:r>
    </w:p>
    <w:p>
      <w:pPr>
        <w:tabs>
          <w:tab w:val="left" w:pos="851"/>
        </w:tabs>
        <w:spacing w:line="560" w:lineRule="exact"/>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提供核心产品品牌相同且通过资格检查和符合性检查的不同投标人参加同一项目投标的，按一家投标人计算，评审后得分最高的投标人获得中标候选人推荐资格；评审得分相同的，属于</w:t>
      </w:r>
      <w:r>
        <w:rPr>
          <w:rFonts w:hint="eastAsia" w:ascii="宋体" w:hAnsi="宋体" w:eastAsia="宋体" w:cs="Times New Roman"/>
          <w:sz w:val="28"/>
          <w:szCs w:val="28"/>
          <w:lang w:val="en-US" w:eastAsia="zh-CN"/>
        </w:rPr>
        <w:t>不发达地区或少数民族地区的供应商</w:t>
      </w:r>
      <w:r>
        <w:rPr>
          <w:rFonts w:hint="eastAsia" w:ascii="宋体" w:hAnsi="宋体"/>
          <w:sz w:val="28"/>
          <w:szCs w:val="28"/>
          <w:lang w:val="zh-CN"/>
        </w:rPr>
        <w:t>的投标人获得中标候选人推荐资格；评审得分相同且都属于</w:t>
      </w:r>
      <w:r>
        <w:rPr>
          <w:rFonts w:hint="eastAsia" w:ascii="宋体" w:hAnsi="宋体" w:eastAsia="宋体" w:cs="Times New Roman"/>
          <w:sz w:val="28"/>
          <w:szCs w:val="28"/>
          <w:lang w:val="en-US" w:eastAsia="zh-CN"/>
        </w:rPr>
        <w:t>不发达地区或少数民族地区的供应商</w:t>
      </w:r>
      <w:r>
        <w:rPr>
          <w:rFonts w:hint="eastAsia" w:ascii="宋体" w:hAnsi="宋体"/>
          <w:sz w:val="28"/>
          <w:szCs w:val="28"/>
          <w:lang w:val="zh-CN"/>
        </w:rPr>
        <w:t>，由评标委员会采取随机抽取的方式确定一个投标人获得中标候选人推荐资格。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75" w:name="_Toc1741"/>
      <w:r>
        <w:rPr>
          <w:rFonts w:hint="eastAsia" w:ascii="宋体" w:hAnsi="宋体"/>
          <w:b/>
          <w:bCs/>
          <w:sz w:val="28"/>
          <w:szCs w:val="28"/>
        </w:rPr>
        <w:t>评标争议处理规则</w:t>
      </w:r>
      <w:bookmarkEnd w:id="175"/>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lang w:eastAsia="zh-CN"/>
        </w:rPr>
        <w:t>区交易中心</w:t>
      </w:r>
      <w:r>
        <w:rPr>
          <w:rFonts w:hint="eastAsia" w:ascii="宋体" w:hAnsi="宋体"/>
          <w:sz w:val="28"/>
          <w:szCs w:val="28"/>
        </w:rPr>
        <w:t>书面反映。采购人或</w:t>
      </w:r>
      <w:r>
        <w:rPr>
          <w:rFonts w:hint="eastAsia" w:cs="Arial"/>
          <w:sz w:val="28"/>
          <w:szCs w:val="28"/>
          <w:lang w:eastAsia="zh-CN"/>
        </w:rPr>
        <w:t>区交易中心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76" w:name="_Toc26543"/>
      <w:r>
        <w:rPr>
          <w:rFonts w:hint="eastAsia" w:ascii="宋体" w:hAnsi="宋体"/>
          <w:b/>
          <w:bCs/>
          <w:sz w:val="28"/>
          <w:szCs w:val="28"/>
        </w:rPr>
        <w:t>评标细则及标准</w:t>
      </w:r>
      <w:bookmarkEnd w:id="176"/>
    </w:p>
    <w:p>
      <w:pPr>
        <w:numPr>
          <w:ilvl w:val="0"/>
          <w:numId w:val="46"/>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46"/>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46"/>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361"/>
        <w:gridCol w:w="5226"/>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评委类别</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评审项目</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评分标准</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投标报价得分</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200" w:afterAutospacing="0" w:line="360" w:lineRule="exact"/>
              <w:ind w:left="0" w:right="0"/>
              <w:rPr>
                <w:rFonts w:hint="default" w:ascii="宋体" w:hAnsi="宋体"/>
                <w:kern w:val="0"/>
                <w:sz w:val="24"/>
                <w:szCs w:val="24"/>
              </w:rPr>
            </w:pPr>
            <w:r>
              <w:rPr>
                <w:rFonts w:hint="default" w:ascii="宋体" w:hAnsi="宋体"/>
                <w:kern w:val="0"/>
                <w:sz w:val="24"/>
                <w:szCs w:val="24"/>
              </w:rPr>
              <w:t>1、</w:t>
            </w:r>
            <w:r>
              <w:rPr>
                <w:rFonts w:hint="eastAsia" w:asciiTheme="minorEastAsia" w:hAnsiTheme="minorEastAsia"/>
                <w:kern w:val="0"/>
                <w:sz w:val="24"/>
                <w:szCs w:val="24"/>
              </w:rPr>
              <w:t>经评标委员会评审，通过资格性和符合性审查，且投标报价最低的投标人的投标报价作为评标基准价.</w:t>
            </w:r>
          </w:p>
          <w:p>
            <w:pPr>
              <w:keepNext w:val="0"/>
              <w:keepLines w:val="0"/>
              <w:suppressLineNumbers w:val="0"/>
              <w:spacing w:before="0" w:beforeAutospacing="0" w:after="0" w:afterAutospacing="0"/>
              <w:ind w:left="0" w:right="0"/>
              <w:rPr>
                <w:rFonts w:hint="default"/>
                <w:sz w:val="20"/>
              </w:rPr>
            </w:pPr>
            <w:r>
              <w:rPr>
                <w:rFonts w:hint="eastAsia" w:ascii="宋体" w:hAnsi="宋体"/>
                <w:kern w:val="0"/>
                <w:sz w:val="24"/>
                <w:szCs w:val="24"/>
                <w:lang w:val="en-US" w:eastAsia="zh-CN"/>
              </w:rPr>
              <w:t>2</w:t>
            </w:r>
            <w:r>
              <w:rPr>
                <w:rFonts w:hint="default" w:ascii="宋体" w:hAnsi="宋体"/>
                <w:kern w:val="0"/>
                <w:sz w:val="24"/>
                <w:szCs w:val="24"/>
              </w:rPr>
              <w:t>、报价得分=(评</w:t>
            </w:r>
            <w:r>
              <w:rPr>
                <w:rFonts w:hint="eastAsia" w:ascii="宋体" w:hAnsi="宋体"/>
                <w:kern w:val="0"/>
                <w:sz w:val="24"/>
                <w:szCs w:val="24"/>
              </w:rPr>
              <w:t>审</w:t>
            </w:r>
            <w:r>
              <w:rPr>
                <w:rFonts w:hint="default" w:ascii="宋体" w:hAnsi="宋体"/>
                <w:kern w:val="0"/>
                <w:sz w:val="24"/>
                <w:szCs w:val="24"/>
              </w:rPr>
              <w:t>基准价／</w:t>
            </w:r>
            <w:r>
              <w:rPr>
                <w:rFonts w:hint="eastAsia" w:ascii="宋体" w:hAnsi="宋体"/>
                <w:kern w:val="0"/>
                <w:sz w:val="24"/>
                <w:szCs w:val="24"/>
              </w:rPr>
              <w:t>最后</w:t>
            </w:r>
            <w:r>
              <w:rPr>
                <w:rFonts w:hint="default" w:ascii="宋体" w:hAnsi="宋体"/>
                <w:kern w:val="0"/>
                <w:sz w:val="24"/>
                <w:szCs w:val="24"/>
              </w:rPr>
              <w:t>报价)×</w:t>
            </w:r>
            <w:r>
              <w:rPr>
                <w:rFonts w:hint="eastAsia" w:ascii="宋体" w:hAnsi="宋体"/>
                <w:kern w:val="0"/>
                <w:sz w:val="24"/>
                <w:szCs w:val="24"/>
                <w:lang w:val="en-US" w:eastAsia="zh-CN"/>
              </w:rPr>
              <w:t>30</w:t>
            </w:r>
            <w:r>
              <w:rPr>
                <w:rFonts w:hint="default" w:ascii="宋体" w:hAnsi="宋体"/>
                <w:kern w:val="0"/>
                <w:sz w:val="24"/>
                <w:szCs w:val="24"/>
              </w:rPr>
              <w:t>。</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30</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3" w:hRule="atLeast"/>
        </w:trPr>
        <w:tc>
          <w:tcPr>
            <w:tcW w:w="1345" w:type="dxa"/>
            <w:vMerge w:val="restart"/>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技术类评审</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技术参数及要求</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eastAsia" w:eastAsia="宋体" w:cs="Times New Roman" w:asciiTheme="minorEastAsia" w:hAnsiTheme="minorEastAsia"/>
                <w:kern w:val="0"/>
                <w:sz w:val="24"/>
                <w:szCs w:val="24"/>
                <w:lang w:eastAsia="en-US"/>
              </w:rPr>
            </w:pPr>
            <w:r>
              <w:rPr>
                <w:rFonts w:hint="eastAsia" w:eastAsia="宋体" w:cs="Times New Roman" w:asciiTheme="minorEastAsia" w:hAnsiTheme="minorEastAsia"/>
                <w:kern w:val="0"/>
                <w:sz w:val="24"/>
                <w:szCs w:val="24"/>
                <w:lang w:eastAsia="en-US"/>
              </w:rPr>
              <w:t>完全满足</w:t>
            </w:r>
            <w:r>
              <w:rPr>
                <w:rFonts w:hint="eastAsia" w:eastAsia="宋体" w:cs="Times New Roman" w:asciiTheme="minorEastAsia" w:hAnsiTheme="minorEastAsia"/>
                <w:kern w:val="0"/>
                <w:sz w:val="24"/>
                <w:szCs w:val="24"/>
                <w:lang w:eastAsia="zh-CN"/>
              </w:rPr>
              <w:t>招标</w:t>
            </w:r>
            <w:r>
              <w:rPr>
                <w:rFonts w:hint="eastAsia" w:eastAsia="宋体" w:cs="Times New Roman" w:asciiTheme="minorEastAsia" w:hAnsiTheme="minorEastAsia"/>
                <w:kern w:val="0"/>
                <w:sz w:val="24"/>
                <w:szCs w:val="24"/>
                <w:lang w:eastAsia="en-US"/>
              </w:rPr>
              <w:t>文件参数要求得45 分，带▲项为重要参数</w:t>
            </w:r>
            <w:r>
              <w:rPr>
                <w:rFonts w:hint="eastAsia" w:eastAsia="宋体" w:cs="Times New Roman" w:asciiTheme="minorEastAsia" w:hAnsiTheme="minorEastAsia"/>
                <w:kern w:val="0"/>
                <w:sz w:val="24"/>
                <w:szCs w:val="24"/>
                <w:lang w:eastAsia="zh-CN"/>
              </w:rPr>
              <w:t>，</w:t>
            </w:r>
            <w:r>
              <w:rPr>
                <w:rFonts w:hint="eastAsia" w:eastAsia="宋体" w:cs="Times New Roman" w:asciiTheme="minorEastAsia" w:hAnsiTheme="minorEastAsia"/>
                <w:kern w:val="0"/>
                <w:sz w:val="24"/>
                <w:szCs w:val="24"/>
                <w:lang w:eastAsia="en-US"/>
              </w:rPr>
              <w:t>负偏离每项扣2分</w:t>
            </w:r>
            <w:r>
              <w:rPr>
                <w:rFonts w:hint="eastAsia" w:eastAsia="宋体" w:cs="Times New Roman" w:asciiTheme="minorEastAsia" w:hAnsiTheme="minorEastAsia"/>
                <w:kern w:val="0"/>
                <w:sz w:val="24"/>
                <w:szCs w:val="24"/>
                <w:lang w:eastAsia="zh-CN"/>
              </w:rPr>
              <w:t>；</w:t>
            </w:r>
            <w:r>
              <w:rPr>
                <w:rFonts w:hint="eastAsia" w:eastAsia="宋体" w:cs="Times New Roman" w:asciiTheme="minorEastAsia" w:hAnsiTheme="minorEastAsia"/>
                <w:kern w:val="0"/>
                <w:sz w:val="24"/>
                <w:szCs w:val="24"/>
                <w:lang w:eastAsia="en-US"/>
              </w:rPr>
              <w:t>未带▲每项负偏离扣 0.15分，扣完为止。（▲条款</w:t>
            </w:r>
            <w:r>
              <w:rPr>
                <w:rFonts w:hint="eastAsia" w:eastAsia="宋体" w:cs="Times New Roman" w:asciiTheme="minorEastAsia" w:hAnsiTheme="minorEastAsia"/>
                <w:kern w:val="0"/>
                <w:sz w:val="24"/>
                <w:szCs w:val="24"/>
                <w:lang w:val="en-US" w:eastAsia="zh-CN"/>
              </w:rPr>
              <w:t>共15项</w:t>
            </w:r>
            <w:r>
              <w:rPr>
                <w:rFonts w:hint="eastAsia" w:eastAsia="宋体" w:cs="Times New Roman" w:asciiTheme="minorEastAsia" w:hAnsiTheme="minorEastAsia"/>
                <w:kern w:val="0"/>
                <w:sz w:val="24"/>
                <w:szCs w:val="24"/>
                <w:lang w:eastAsia="en-US"/>
              </w:rPr>
              <w:t>，非▲条款</w:t>
            </w:r>
            <w:r>
              <w:rPr>
                <w:rFonts w:hint="eastAsia" w:eastAsia="宋体" w:cs="Times New Roman" w:asciiTheme="minorEastAsia" w:hAnsiTheme="minorEastAsia"/>
                <w:kern w:val="0"/>
                <w:sz w:val="24"/>
                <w:szCs w:val="24"/>
                <w:lang w:val="en-US" w:eastAsia="zh-CN"/>
              </w:rPr>
              <w:t>共</w:t>
            </w:r>
            <w:r>
              <w:rPr>
                <w:rFonts w:hint="eastAsia" w:eastAsia="宋体" w:cs="Times New Roman" w:asciiTheme="minorEastAsia" w:hAnsiTheme="minorEastAsia"/>
                <w:kern w:val="0"/>
                <w:sz w:val="24"/>
                <w:szCs w:val="24"/>
                <w:lang w:eastAsia="en-US"/>
              </w:rPr>
              <w:t>10</w:t>
            </w:r>
            <w:r>
              <w:rPr>
                <w:rFonts w:hint="eastAsia" w:eastAsia="宋体" w:cs="Times New Roman" w:asciiTheme="minorEastAsia" w:hAnsiTheme="minorEastAsia"/>
                <w:kern w:val="0"/>
                <w:sz w:val="24"/>
                <w:szCs w:val="24"/>
                <w:lang w:val="en-US" w:eastAsia="zh-CN"/>
              </w:rPr>
              <w:t>3项</w:t>
            </w:r>
            <w:r>
              <w:rPr>
                <w:rFonts w:hint="eastAsia" w:eastAsia="宋体" w:cs="Times New Roman" w:asciiTheme="minorEastAsia" w:hAnsiTheme="minorEastAsia"/>
                <w:kern w:val="0"/>
                <w:sz w:val="24"/>
                <w:szCs w:val="24"/>
                <w:lang w:eastAsia="en-US"/>
              </w:rPr>
              <w:t>）</w:t>
            </w:r>
            <w:r>
              <w:rPr>
                <w:rFonts w:hint="eastAsia" w:eastAsia="宋体" w:cs="Times New Roman" w:asciiTheme="minorEastAsia" w:hAnsiTheme="minorEastAsia"/>
                <w:kern w:val="0"/>
                <w:sz w:val="24"/>
                <w:szCs w:val="24"/>
                <w:lang w:eastAsia="zh-CN"/>
              </w:rPr>
              <w:t>（</w:t>
            </w:r>
            <w:r>
              <w:rPr>
                <w:rFonts w:hint="eastAsia" w:eastAsia="宋体" w:cs="Times New Roman" w:asciiTheme="minorEastAsia" w:hAnsiTheme="minorEastAsia"/>
                <w:kern w:val="0"/>
                <w:sz w:val="24"/>
                <w:szCs w:val="24"/>
                <w:lang w:eastAsia="en-US"/>
              </w:rPr>
              <w:t>▲技术条款响应需提供带CMA或ilac-MRA或CNAS标识标识的检测报告复印件，并加盖制造厂商公章。</w:t>
            </w:r>
          </w:p>
          <w:p>
            <w:pPr>
              <w:keepNext w:val="0"/>
              <w:keepLines w:val="0"/>
              <w:suppressLineNumbers w:val="0"/>
              <w:spacing w:before="0" w:beforeAutospacing="0" w:after="0" w:afterAutospacing="0"/>
              <w:ind w:left="0" w:right="0"/>
              <w:rPr>
                <w:rFonts w:hint="eastAsia" w:eastAsia="宋体" w:cs="Times New Roman" w:asciiTheme="minorEastAsia" w:hAnsiTheme="minorEastAsia"/>
                <w:kern w:val="0"/>
                <w:sz w:val="24"/>
                <w:szCs w:val="24"/>
                <w:lang w:eastAsia="zh-CN"/>
              </w:rPr>
            </w:pPr>
            <w:r>
              <w:rPr>
                <w:rFonts w:hint="eastAsia" w:eastAsia="宋体" w:cs="Times New Roman" w:asciiTheme="minorEastAsia" w:hAnsiTheme="minorEastAsia"/>
                <w:kern w:val="0"/>
                <w:sz w:val="24"/>
                <w:szCs w:val="24"/>
                <w:lang w:eastAsia="en-US"/>
              </w:rPr>
              <w:t>非▲条款参数响应以产品技术偏离表为准。</w:t>
            </w:r>
            <w:r>
              <w:rPr>
                <w:rFonts w:hint="eastAsia" w:eastAsia="宋体" w:cs="Times New Roman" w:asciiTheme="minorEastAsia" w:hAnsiTheme="minorEastAsia"/>
                <w:kern w:val="0"/>
                <w:sz w:val="24"/>
                <w:szCs w:val="24"/>
                <w:lang w:eastAsia="zh-CN"/>
              </w:rPr>
              <w:t>）</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45</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trPr>
        <w:tc>
          <w:tcPr>
            <w:tcW w:w="134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产品质量及信誉</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eastAsia"/>
                <w:lang w:eastAsia="zh-CN"/>
              </w:rPr>
            </w:pPr>
            <w:r>
              <w:rPr>
                <w:rFonts w:hint="eastAsia"/>
              </w:rPr>
              <w:t>1、</w:t>
            </w:r>
            <w:r>
              <w:rPr>
                <w:rFonts w:hint="eastAsia"/>
                <w:lang w:val="en-US" w:eastAsia="zh-CN"/>
              </w:rPr>
              <w:t>全彩</w:t>
            </w:r>
            <w:r>
              <w:rPr>
                <w:rFonts w:hint="eastAsia"/>
              </w:rPr>
              <w:t>屏制造厂商具有CMMI3成熟度开发模型认证证书</w:t>
            </w:r>
            <w:r>
              <w:rPr>
                <w:rFonts w:hint="eastAsia"/>
                <w:lang w:val="en-US" w:eastAsia="zh-CN"/>
              </w:rPr>
              <w:t>得3</w:t>
            </w:r>
            <w:r>
              <w:rPr>
                <w:rFonts w:hint="eastAsia"/>
              </w:rPr>
              <w:t>分）</w:t>
            </w:r>
            <w:r>
              <w:rPr>
                <w:rFonts w:hint="eastAsia"/>
                <w:lang w:eastAsia="zh-CN"/>
              </w:rPr>
              <w:t>。</w:t>
            </w:r>
          </w:p>
          <w:p>
            <w:pPr>
              <w:keepNext w:val="0"/>
              <w:keepLines w:val="0"/>
              <w:suppressLineNumbers w:val="0"/>
              <w:spacing w:before="0" w:beforeAutospacing="0" w:after="0" w:afterAutospacing="0"/>
              <w:ind w:left="0" w:right="0"/>
              <w:rPr>
                <w:rFonts w:hint="eastAsia"/>
                <w:lang w:eastAsia="zh-CN"/>
              </w:rPr>
            </w:pPr>
            <w:r>
              <w:rPr>
                <w:rFonts w:hint="eastAsia"/>
              </w:rPr>
              <w:t>2、</w:t>
            </w:r>
            <w:r>
              <w:rPr>
                <w:rFonts w:hint="eastAsia"/>
                <w:lang w:val="en-US" w:eastAsia="zh-CN"/>
              </w:rPr>
              <w:t>全彩</w:t>
            </w:r>
            <w:r>
              <w:rPr>
                <w:rFonts w:hint="eastAsia"/>
              </w:rPr>
              <w:t>屏制造厂商具</w:t>
            </w:r>
            <w:r>
              <w:rPr>
                <w:rFonts w:hint="eastAsia"/>
                <w:lang w:eastAsia="zh-Hans"/>
              </w:rPr>
              <w:t>有ITSS信息技术服务标准运行维护服务证书</w:t>
            </w:r>
            <w:r>
              <w:rPr>
                <w:rFonts w:hint="eastAsia"/>
              </w:rPr>
              <w:t>。（提供三级或四级或五级证书得3分，提供一级或二级证书不得分）</w:t>
            </w:r>
            <w:r>
              <w:rPr>
                <w:rFonts w:hint="eastAsia"/>
                <w:lang w:eastAsia="zh-CN"/>
              </w:rPr>
              <w:t>。</w:t>
            </w:r>
          </w:p>
          <w:p>
            <w:pPr>
              <w:keepNext w:val="0"/>
              <w:keepLines w:val="0"/>
              <w:suppressLineNumbers w:val="0"/>
              <w:spacing w:before="0" w:beforeAutospacing="0" w:after="200" w:afterAutospacing="0" w:line="360" w:lineRule="exact"/>
              <w:ind w:left="0" w:right="0"/>
              <w:rPr>
                <w:rFonts w:hint="eastAsia"/>
                <w:lang w:val="en-US" w:eastAsia="zh-CN"/>
              </w:rPr>
            </w:pPr>
            <w:r>
              <w:rPr>
                <w:rFonts w:hint="eastAsia"/>
              </w:rPr>
              <w:t>3、</w:t>
            </w:r>
            <w:r>
              <w:rPr>
                <w:rFonts w:hint="eastAsia"/>
                <w:lang w:val="en-US" w:eastAsia="zh-CN"/>
              </w:rPr>
              <w:t>全彩</w:t>
            </w:r>
            <w:r>
              <w:rPr>
                <w:rFonts w:hint="eastAsia"/>
              </w:rPr>
              <w:t>屏制造厂商具有电器电子产品国推ROHS认证证书</w:t>
            </w:r>
            <w:r>
              <w:rPr>
                <w:rFonts w:hint="eastAsia"/>
                <w:lang w:val="en-US" w:eastAsia="zh-CN"/>
              </w:rPr>
              <w:t>得3分。</w:t>
            </w:r>
          </w:p>
          <w:p>
            <w:pPr>
              <w:pStyle w:val="2"/>
              <w:keepNext w:val="0"/>
              <w:keepLines w:val="0"/>
              <w:suppressLineNumbers w:val="0"/>
              <w:spacing w:before="0" w:beforeAutospacing="0" w:afterAutospacing="0"/>
              <w:ind w:left="0" w:right="0"/>
              <w:rPr>
                <w:rFonts w:hint="eastAsia"/>
                <w:lang w:eastAsia="zh-CN"/>
              </w:rPr>
            </w:pPr>
            <w:r>
              <w:rPr>
                <w:rFonts w:hint="eastAsia"/>
                <w:lang w:eastAsia="zh-CN"/>
              </w:rPr>
              <w:t>（</w:t>
            </w:r>
            <w:r>
              <w:rPr>
                <w:rFonts w:hint="eastAsia" w:hAnsi="宋体" w:cs="仿宋"/>
                <w:color w:val="000000"/>
                <w:sz w:val="24"/>
                <w:szCs w:val="24"/>
              </w:rPr>
              <w:t>提供有效的证书复印件，并加盖制造厂商</w:t>
            </w:r>
            <w:r>
              <w:rPr>
                <w:rFonts w:hint="eastAsia" w:hAnsi="宋体" w:cs="仿宋"/>
                <w:color w:val="000000"/>
                <w:sz w:val="24"/>
                <w:szCs w:val="24"/>
                <w:lang w:eastAsia="en-US"/>
              </w:rPr>
              <w:t>公章。</w:t>
            </w:r>
            <w:r>
              <w:rPr>
                <w:rFonts w:hint="eastAsia"/>
                <w:lang w:eastAsia="zh-CN"/>
              </w:rPr>
              <w:t>）</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9</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项目实施方案</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200" w:afterAutospacing="0" w:line="360" w:lineRule="exact"/>
              <w:ind w:left="0" w:right="0"/>
              <w:rPr>
                <w:rFonts w:hint="default"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lang w:eastAsia="zh-CN"/>
              </w:rPr>
              <w:t>供应商提供的实施方案，方案中应</w:t>
            </w:r>
            <w:r>
              <w:rPr>
                <w:rFonts w:hint="eastAsia" w:eastAsia="宋体" w:cs="Times New Roman" w:asciiTheme="minorEastAsia" w:hAnsiTheme="minorEastAsia"/>
                <w:kern w:val="0"/>
                <w:sz w:val="24"/>
                <w:szCs w:val="24"/>
                <w:lang w:val="en-US" w:eastAsia="zh-CN"/>
              </w:rPr>
              <w:t>至少</w:t>
            </w:r>
            <w:r>
              <w:rPr>
                <w:rFonts w:hint="eastAsia" w:eastAsia="宋体" w:cs="Times New Roman" w:asciiTheme="minorEastAsia" w:hAnsiTheme="minorEastAsia"/>
                <w:kern w:val="0"/>
                <w:sz w:val="24"/>
                <w:szCs w:val="24"/>
                <w:lang w:eastAsia="zh-CN"/>
              </w:rPr>
              <w:t>包含：项目进度计划、货源组织、人员配备及职责分工、培训方案、质量保障方案</w:t>
            </w:r>
            <w:r>
              <w:rPr>
                <w:rFonts w:hint="eastAsia" w:eastAsia="宋体" w:cs="Times New Roman" w:asciiTheme="minorEastAsia" w:hAnsiTheme="minorEastAsia"/>
                <w:kern w:val="0"/>
                <w:sz w:val="24"/>
                <w:szCs w:val="24"/>
                <w:lang w:val="en-US" w:eastAsia="zh-CN"/>
              </w:rPr>
              <w:t>等</w:t>
            </w:r>
            <w:r>
              <w:rPr>
                <w:rFonts w:hint="eastAsia" w:eastAsia="宋体" w:cs="Times New Roman" w:asciiTheme="minorEastAsia" w:hAnsiTheme="minorEastAsia"/>
                <w:kern w:val="0"/>
                <w:sz w:val="24"/>
                <w:szCs w:val="24"/>
                <w:lang w:eastAsia="zh-CN"/>
              </w:rPr>
              <w:t>。以上</w:t>
            </w:r>
            <w:r>
              <w:rPr>
                <w:rFonts w:hint="eastAsia" w:cs="Times New Roman" w:asciiTheme="minorEastAsia" w:hAnsiTheme="minorEastAsia"/>
                <w:kern w:val="0"/>
                <w:sz w:val="24"/>
                <w:szCs w:val="24"/>
                <w:lang w:val="en-US" w:eastAsia="zh-CN"/>
              </w:rPr>
              <w:t>5</w:t>
            </w:r>
            <w:r>
              <w:rPr>
                <w:rFonts w:hint="eastAsia" w:eastAsia="宋体" w:cs="Times New Roman" w:asciiTheme="minorEastAsia" w:hAnsiTheme="minorEastAsia"/>
                <w:kern w:val="0"/>
                <w:sz w:val="24"/>
                <w:szCs w:val="24"/>
                <w:lang w:eastAsia="zh-CN"/>
              </w:rPr>
              <w:t>个要素符合采购需求得</w:t>
            </w:r>
            <w:r>
              <w:rPr>
                <w:rFonts w:hint="eastAsia" w:eastAsia="宋体" w:cs="Times New Roman" w:asciiTheme="minorEastAsia" w:hAnsiTheme="minorEastAsia"/>
                <w:kern w:val="0"/>
                <w:sz w:val="24"/>
                <w:szCs w:val="24"/>
                <w:lang w:val="en-US" w:eastAsia="zh-CN"/>
              </w:rPr>
              <w:t>3</w:t>
            </w:r>
            <w:r>
              <w:rPr>
                <w:rFonts w:hint="eastAsia" w:eastAsia="宋体" w:cs="Times New Roman" w:asciiTheme="minorEastAsia" w:hAnsiTheme="minorEastAsia"/>
                <w:kern w:val="0"/>
                <w:sz w:val="24"/>
                <w:szCs w:val="24"/>
                <w:lang w:eastAsia="zh-CN"/>
              </w:rPr>
              <w:t>分，有任意一个要素缺失或不符合采购需求扣</w:t>
            </w:r>
            <w:r>
              <w:rPr>
                <w:rFonts w:hint="eastAsia" w:eastAsia="宋体" w:cs="Times New Roman" w:asciiTheme="minorEastAsia" w:hAnsiTheme="minorEastAsia"/>
                <w:kern w:val="0"/>
                <w:sz w:val="24"/>
                <w:szCs w:val="24"/>
                <w:lang w:val="en-US" w:eastAsia="zh-CN"/>
              </w:rPr>
              <w:t>0.</w:t>
            </w:r>
            <w:r>
              <w:rPr>
                <w:rFonts w:hint="eastAsia" w:cs="Times New Roman" w:asciiTheme="minorEastAsia" w:hAnsiTheme="minorEastAsia"/>
                <w:kern w:val="0"/>
                <w:sz w:val="24"/>
                <w:szCs w:val="24"/>
                <w:lang w:val="en-US" w:eastAsia="zh-CN"/>
              </w:rPr>
              <w:t>6</w:t>
            </w:r>
            <w:r>
              <w:rPr>
                <w:rFonts w:hint="eastAsia" w:eastAsia="宋体" w:cs="Times New Roman" w:asciiTheme="minorEastAsia" w:hAnsiTheme="minorEastAsia"/>
                <w:kern w:val="0"/>
                <w:sz w:val="24"/>
                <w:szCs w:val="24"/>
                <w:lang w:eastAsia="zh-CN"/>
              </w:rPr>
              <w:t>分，</w:t>
            </w:r>
            <w:r>
              <w:rPr>
                <w:rFonts w:hint="eastAsia" w:eastAsia="宋体" w:cs="Times New Roman" w:asciiTheme="minorEastAsia" w:hAnsiTheme="minorEastAsia"/>
                <w:kern w:val="0"/>
                <w:sz w:val="24"/>
                <w:szCs w:val="24"/>
                <w:lang w:val="en-US" w:eastAsia="zh-CN"/>
              </w:rPr>
              <w:t>3</w:t>
            </w:r>
            <w:r>
              <w:rPr>
                <w:rFonts w:hint="eastAsia" w:eastAsia="宋体" w:cs="Times New Roman" w:asciiTheme="minorEastAsia" w:hAnsiTheme="minorEastAsia"/>
                <w:kern w:val="0"/>
                <w:sz w:val="24"/>
                <w:szCs w:val="24"/>
                <w:lang w:eastAsia="zh-CN"/>
              </w:rPr>
              <w:t>分扣完为止。</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3</w:t>
            </w:r>
            <w:r>
              <w:rPr>
                <w:rFonts w:hint="eastAsia"/>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restart"/>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eastAsia"/>
                <w:b/>
                <w:sz w:val="20"/>
              </w:rPr>
            </w:pPr>
            <w:r>
              <w:rPr>
                <w:rFonts w:hint="eastAsia" w:hAnsi="宋体" w:cs="仿宋"/>
                <w:color w:val="000000"/>
                <w:sz w:val="24"/>
                <w:szCs w:val="24"/>
              </w:rPr>
              <w:t>履约能力</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200" w:afterAutospacing="0" w:line="360" w:lineRule="exact"/>
              <w:ind w:left="0" w:right="0"/>
              <w:rPr>
                <w:rFonts w:hint="eastAsia" w:eastAsia="宋体" w:cs="Times New Roman" w:asciiTheme="minorEastAsia" w:hAnsiTheme="minorEastAsia"/>
                <w:kern w:val="0"/>
                <w:sz w:val="24"/>
                <w:szCs w:val="24"/>
                <w:lang w:eastAsia="zh-CN"/>
              </w:rPr>
            </w:pPr>
            <w:r>
              <w:rPr>
                <w:rFonts w:hint="eastAsia" w:hAnsi="宋体" w:cs="仿宋"/>
                <w:color w:val="000000"/>
                <w:sz w:val="24"/>
                <w:szCs w:val="24"/>
                <w:lang w:bidi="ar"/>
              </w:rPr>
              <w:t>供应商2018年1月1日（含）至今每有一个类似业绩的得1分，最多得2分，未提供则不得分。</w:t>
            </w:r>
            <w:r>
              <w:rPr>
                <w:rFonts w:hint="eastAsia" w:hAnsi="宋体" w:cs="仿宋"/>
                <w:color w:val="000000"/>
                <w:sz w:val="24"/>
                <w:szCs w:val="24"/>
                <w:lang w:eastAsia="zh-CN" w:bidi="ar"/>
              </w:rPr>
              <w:t>（</w:t>
            </w:r>
            <w:r>
              <w:rPr>
                <w:rFonts w:hint="eastAsia" w:hAnsi="宋体" w:cs="仿宋"/>
                <w:color w:val="000000"/>
                <w:sz w:val="24"/>
                <w:szCs w:val="24"/>
              </w:rPr>
              <w:t>提供中标（成交）通知书或有效合同复印件，并加盖供应商公章。</w:t>
            </w:r>
            <w:r>
              <w:rPr>
                <w:rFonts w:hint="eastAsia" w:hAnsi="宋体" w:cs="仿宋"/>
                <w:color w:val="000000"/>
                <w:sz w:val="24"/>
                <w:szCs w:val="24"/>
                <w:lang w:eastAsia="zh-CN" w:bidi="ar"/>
              </w:rPr>
              <w:t>）</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lang w:val="en-US" w:eastAsia="zh-CN"/>
              </w:rPr>
            </w:pPr>
            <w:r>
              <w:rPr>
                <w:rFonts w:hint="eastAsia"/>
                <w:sz w:val="20"/>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售后服务</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ascii="宋体" w:hAnsi="宋体"/>
                <w:kern w:val="0"/>
                <w:sz w:val="24"/>
                <w:szCs w:val="24"/>
                <w:lang w:eastAsia="zh-CN"/>
              </w:rPr>
              <w:t>供应商提供的售后服务方案，方案中</w:t>
            </w:r>
            <w:r>
              <w:rPr>
                <w:rFonts w:hint="eastAsia" w:ascii="宋体" w:hAnsi="宋体"/>
                <w:kern w:val="0"/>
                <w:sz w:val="24"/>
                <w:szCs w:val="24"/>
                <w:lang w:val="en-US" w:eastAsia="zh-CN"/>
              </w:rPr>
              <w:t>至少</w:t>
            </w:r>
            <w:r>
              <w:rPr>
                <w:rFonts w:hint="eastAsia" w:ascii="宋体" w:hAnsi="宋体"/>
                <w:kern w:val="0"/>
                <w:sz w:val="24"/>
                <w:szCs w:val="24"/>
                <w:lang w:eastAsia="zh-CN"/>
              </w:rPr>
              <w:t>应包含：售后服务体系、售后服务流程、售后服务范围、应急方案、现场技术服务支持</w:t>
            </w:r>
            <w:r>
              <w:rPr>
                <w:rFonts w:hint="eastAsia" w:ascii="宋体" w:hAnsi="宋体"/>
                <w:kern w:val="0"/>
                <w:sz w:val="24"/>
                <w:szCs w:val="24"/>
                <w:lang w:val="en-US" w:eastAsia="zh-CN"/>
              </w:rPr>
              <w:t>等</w:t>
            </w:r>
            <w:r>
              <w:rPr>
                <w:rFonts w:hint="eastAsia" w:ascii="宋体" w:hAnsi="宋体"/>
                <w:kern w:val="0"/>
                <w:sz w:val="24"/>
                <w:szCs w:val="24"/>
                <w:lang w:eastAsia="zh-CN"/>
              </w:rPr>
              <w:t>。以上</w:t>
            </w:r>
            <w:r>
              <w:rPr>
                <w:rFonts w:hint="eastAsia" w:ascii="宋体" w:hAnsi="宋体"/>
                <w:kern w:val="0"/>
                <w:sz w:val="24"/>
                <w:szCs w:val="24"/>
                <w:lang w:val="en-US" w:eastAsia="zh-CN"/>
              </w:rPr>
              <w:t>5</w:t>
            </w:r>
            <w:r>
              <w:rPr>
                <w:rFonts w:hint="eastAsia" w:ascii="宋体" w:hAnsi="宋体"/>
                <w:kern w:val="0"/>
                <w:sz w:val="24"/>
                <w:szCs w:val="24"/>
                <w:lang w:eastAsia="zh-CN"/>
              </w:rPr>
              <w:t>个要素符合采购需求得</w:t>
            </w:r>
            <w:r>
              <w:rPr>
                <w:rFonts w:hint="eastAsia" w:ascii="宋体" w:hAnsi="宋体"/>
                <w:kern w:val="0"/>
                <w:sz w:val="24"/>
                <w:szCs w:val="24"/>
                <w:lang w:val="en-US" w:eastAsia="zh-CN"/>
              </w:rPr>
              <w:t>10</w:t>
            </w:r>
            <w:r>
              <w:rPr>
                <w:rFonts w:hint="eastAsia" w:ascii="宋体" w:hAnsi="宋体"/>
                <w:kern w:val="0"/>
                <w:sz w:val="24"/>
                <w:szCs w:val="24"/>
                <w:lang w:eastAsia="zh-CN"/>
              </w:rPr>
              <w:t>分，有任意一个要素缺失或不符合采购需求扣</w:t>
            </w:r>
            <w:r>
              <w:rPr>
                <w:rFonts w:hint="eastAsia" w:ascii="宋体" w:hAnsi="宋体"/>
                <w:kern w:val="0"/>
                <w:sz w:val="24"/>
                <w:szCs w:val="24"/>
                <w:lang w:val="en-US" w:eastAsia="zh-CN"/>
              </w:rPr>
              <w:t>2</w:t>
            </w:r>
            <w:r>
              <w:rPr>
                <w:rFonts w:hint="eastAsia" w:ascii="宋体" w:hAnsi="宋体"/>
                <w:kern w:val="0"/>
                <w:sz w:val="24"/>
                <w:szCs w:val="24"/>
                <w:lang w:eastAsia="zh-CN"/>
              </w:rPr>
              <w:t>分，</w:t>
            </w:r>
            <w:r>
              <w:rPr>
                <w:rFonts w:hint="eastAsia" w:ascii="宋体" w:hAnsi="宋体"/>
                <w:kern w:val="0"/>
                <w:sz w:val="24"/>
                <w:szCs w:val="24"/>
                <w:lang w:val="en-US" w:eastAsia="zh-CN"/>
              </w:rPr>
              <w:t>10</w:t>
            </w:r>
            <w:r>
              <w:rPr>
                <w:rFonts w:hint="eastAsia" w:ascii="宋体" w:hAnsi="宋体"/>
                <w:kern w:val="0"/>
                <w:sz w:val="24"/>
                <w:szCs w:val="24"/>
                <w:lang w:eastAsia="zh-CN"/>
              </w:rPr>
              <w:t>分扣完为止。</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1</w:t>
            </w:r>
            <w:r>
              <w:rPr>
                <w:rFonts w:hint="eastAsia"/>
                <w:sz w:val="20"/>
                <w:lang w:val="en-US" w:eastAsia="zh-CN"/>
              </w:rPr>
              <w:t>0</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trPr>
        <w:tc>
          <w:tcPr>
            <w:tcW w:w="134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hAnsi="宋体" w:cs="仿宋"/>
                <w:color w:val="000000"/>
                <w:kern w:val="2"/>
                <w:sz w:val="24"/>
                <w:szCs w:val="24"/>
                <w:lang w:eastAsia="en-US"/>
              </w:rPr>
              <w:t>节能、环境标志产品</w:t>
            </w:r>
          </w:p>
        </w:tc>
        <w:tc>
          <w:tcPr>
            <w:tcW w:w="5226" w:type="dxa"/>
            <w:tcBorders>
              <w:top w:val="single" w:color="auto" w:sz="2" w:space="0"/>
              <w:left w:val="single" w:color="auto" w:sz="2" w:space="0"/>
              <w:right w:val="single" w:color="auto" w:sz="2" w:space="0"/>
            </w:tcBorders>
            <w:vAlign w:val="center"/>
          </w:tcPr>
          <w:p>
            <w:pPr>
              <w:keepNext w:val="0"/>
              <w:keepLines w:val="0"/>
              <w:suppressLineNumbers w:val="0"/>
              <w:autoSpaceDE w:val="0"/>
              <w:spacing w:before="0" w:beforeAutospacing="0" w:after="0" w:afterAutospacing="0"/>
              <w:ind w:left="0" w:right="0"/>
              <w:rPr>
                <w:rFonts w:hint="eastAsia" w:hAnsi="宋体" w:eastAsia="宋体" w:cs="仿宋"/>
                <w:color w:val="000000"/>
                <w:kern w:val="2"/>
                <w:sz w:val="24"/>
                <w:szCs w:val="24"/>
                <w:lang w:eastAsia="zh-CN"/>
              </w:rPr>
            </w:pPr>
            <w:r>
              <w:rPr>
                <w:rFonts w:hint="eastAsia" w:hAnsi="宋体" w:cs="仿宋"/>
                <w:color w:val="000000"/>
                <w:kern w:val="2"/>
                <w:sz w:val="24"/>
                <w:szCs w:val="24"/>
              </w:rPr>
              <w:t>供应商提供的</w:t>
            </w:r>
            <w:r>
              <w:rPr>
                <w:rFonts w:hint="eastAsia" w:hAnsi="宋体" w:cs="仿宋"/>
                <w:color w:val="000000"/>
                <w:kern w:val="2"/>
                <w:sz w:val="24"/>
                <w:szCs w:val="24"/>
                <w:lang w:eastAsia="en-US"/>
              </w:rPr>
              <w:t>产品中每有一个为节能产品（国家强制节能产品除外）或者环境标志产品的得</w:t>
            </w:r>
            <w:r>
              <w:rPr>
                <w:rFonts w:hint="eastAsia" w:hAnsi="宋体" w:cs="仿宋"/>
                <w:color w:val="000000"/>
                <w:kern w:val="2"/>
                <w:sz w:val="24"/>
                <w:szCs w:val="24"/>
              </w:rPr>
              <w:t>0.5</w:t>
            </w:r>
            <w:r>
              <w:rPr>
                <w:rFonts w:hint="eastAsia" w:hAnsi="宋体" w:cs="仿宋"/>
                <w:color w:val="000000"/>
                <w:kern w:val="2"/>
                <w:sz w:val="24"/>
                <w:szCs w:val="24"/>
                <w:lang w:eastAsia="en-US"/>
              </w:rPr>
              <w:t>分，非政府采购节能、环境标志产品的不得分。本项最多得</w:t>
            </w:r>
            <w:r>
              <w:rPr>
                <w:rFonts w:hint="eastAsia" w:hAnsi="宋体" w:cs="仿宋"/>
                <w:color w:val="000000"/>
                <w:kern w:val="2"/>
                <w:sz w:val="24"/>
                <w:szCs w:val="24"/>
              </w:rPr>
              <w:t>1</w:t>
            </w:r>
            <w:r>
              <w:rPr>
                <w:rFonts w:hint="eastAsia" w:hAnsi="宋体" w:cs="仿宋"/>
                <w:color w:val="000000"/>
                <w:kern w:val="2"/>
                <w:sz w:val="24"/>
                <w:szCs w:val="24"/>
                <w:lang w:eastAsia="en-US"/>
              </w:rPr>
              <w:t>分。</w:t>
            </w:r>
            <w:r>
              <w:rPr>
                <w:rFonts w:hint="eastAsia" w:hAnsi="宋体" w:cs="仿宋"/>
                <w:color w:val="000000"/>
                <w:kern w:val="2"/>
                <w:sz w:val="24"/>
                <w:szCs w:val="24"/>
                <w:lang w:eastAsia="zh-CN"/>
              </w:rPr>
              <w:t>（</w:t>
            </w:r>
            <w:r>
              <w:rPr>
                <w:rFonts w:hint="eastAsia" w:hAnsi="宋体" w:cs="仿宋"/>
                <w:color w:val="000000"/>
                <w:kern w:val="2"/>
                <w:sz w:val="24"/>
                <w:szCs w:val="24"/>
                <w:lang w:eastAsia="en-US"/>
              </w:rPr>
              <w:t>提供相关证明材料复印件</w:t>
            </w:r>
            <w:r>
              <w:rPr>
                <w:rFonts w:hint="eastAsia" w:hAnsi="宋体" w:cs="仿宋"/>
                <w:color w:val="000000"/>
                <w:kern w:val="2"/>
                <w:sz w:val="24"/>
                <w:szCs w:val="24"/>
              </w:rPr>
              <w:t>，</w:t>
            </w:r>
            <w:r>
              <w:rPr>
                <w:rFonts w:hint="eastAsia" w:hAnsi="宋体" w:cs="仿宋"/>
                <w:color w:val="000000"/>
                <w:sz w:val="24"/>
                <w:szCs w:val="24"/>
              </w:rPr>
              <w:t>并加盖供应商公章。</w:t>
            </w:r>
            <w:r>
              <w:rPr>
                <w:rFonts w:hint="eastAsia" w:hAnsi="宋体" w:cs="仿宋"/>
                <w:color w:val="000000"/>
                <w:kern w:val="2"/>
                <w:sz w:val="24"/>
                <w:szCs w:val="24"/>
                <w:lang w:eastAsia="zh-CN"/>
              </w:rPr>
              <w:t>）</w:t>
            </w:r>
          </w:p>
          <w:p>
            <w:pPr>
              <w:keepNext w:val="0"/>
              <w:keepLines w:val="0"/>
              <w:suppressLineNumbers w:val="0"/>
              <w:spacing w:before="0" w:beforeAutospacing="0" w:after="0" w:afterAutospacing="0"/>
              <w:ind w:left="0" w:right="0"/>
              <w:rPr>
                <w:rFonts w:hint="default"/>
                <w:sz w:val="20"/>
              </w:rPr>
            </w:pP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1</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rPr>
                <w:rFonts w:hint="default"/>
                <w:b/>
                <w:sz w:val="20"/>
              </w:rPr>
            </w:pPr>
            <w:r>
              <w:rPr>
                <w:rFonts w:hint="eastAsia"/>
                <w:b/>
                <w:sz w:val="20"/>
              </w:rPr>
              <w:t>合计</w:t>
            </w:r>
          </w:p>
        </w:tc>
        <w:tc>
          <w:tcPr>
            <w:tcW w:w="581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rPr>
                <w:rFonts w:hint="default"/>
                <w:sz w:val="20"/>
              </w:rPr>
            </w:pPr>
            <w:r>
              <w:rPr>
                <w:rFonts w:hint="eastAsia"/>
                <w:sz w:val="20"/>
              </w:rPr>
              <w:t>100分</w:t>
            </w:r>
          </w:p>
        </w:tc>
      </w:tr>
    </w:tbl>
    <w:p>
      <w:pPr>
        <w:ind w:firstLine="560" w:firstLineChars="200"/>
        <w:rPr>
          <w:rFonts w:hint="eastAsia" w:ascii="宋体" w:hAnsi="宋体"/>
          <w:sz w:val="28"/>
        </w:rPr>
      </w:pPr>
    </w:p>
    <w:p>
      <w:pPr>
        <w:ind w:firstLine="560" w:firstLineChars="200"/>
        <w:rPr>
          <w:rFonts w:ascii="宋体" w:hAnsi="宋体"/>
          <w:sz w:val="28"/>
        </w:rPr>
      </w:pPr>
      <w:r>
        <w:rPr>
          <w:rFonts w:hint="eastAsia" w:ascii="宋体" w:hAnsi="宋体"/>
          <w:sz w:val="28"/>
        </w:rPr>
        <w:t>说明：</w:t>
      </w:r>
    </w:p>
    <w:p>
      <w:pPr>
        <w:spacing w:line="360" w:lineRule="auto"/>
        <w:ind w:firstLine="560" w:firstLineChars="200"/>
        <w:rPr>
          <w:rFonts w:ascii="宋体" w:hAnsi="宋体"/>
          <w:sz w:val="28"/>
        </w:rPr>
      </w:pPr>
      <w:r>
        <w:rPr>
          <w:rFonts w:hint="eastAsia" w:ascii="宋体" w:hAnsi="宋体"/>
          <w:sz w:val="28"/>
        </w:rPr>
        <w:t>1、评分的取值按四舍五入法，保留小数点后两位；</w:t>
      </w:r>
    </w:p>
    <w:p>
      <w:pPr>
        <w:spacing w:line="360" w:lineRule="auto"/>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177" w:name="_Toc7913"/>
      <w:r>
        <w:rPr>
          <w:rFonts w:hint="eastAsia" w:ascii="宋体" w:hAnsi="宋体"/>
          <w:b/>
          <w:bCs/>
          <w:sz w:val="28"/>
          <w:szCs w:val="28"/>
        </w:rPr>
        <w:t>废标</w:t>
      </w:r>
      <w:bookmarkEnd w:id="177"/>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废标后，</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178" w:name="_Toc26891"/>
      <w:r>
        <w:rPr>
          <w:rFonts w:hint="eastAsia" w:ascii="宋体" w:hAnsi="宋体"/>
          <w:b/>
          <w:bCs/>
          <w:sz w:val="28"/>
          <w:szCs w:val="28"/>
        </w:rPr>
        <w:t>定标</w:t>
      </w:r>
      <w:bookmarkEnd w:id="178"/>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rPr>
        <w:t>5</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w:t>
      </w:r>
      <w:r>
        <w:rPr>
          <w:rFonts w:hint="eastAsia" w:ascii="宋体" w:hAnsi="宋体" w:cs="Helvetica"/>
          <w:sz w:val="28"/>
          <w:szCs w:val="28"/>
          <w:lang w:eastAsia="zh-CN"/>
        </w:rPr>
        <w:t>区交易中心</w:t>
      </w:r>
      <w:r>
        <w:rPr>
          <w:rFonts w:hint="eastAsia" w:ascii="宋体" w:hAnsi="宋体" w:cs="Helvetica"/>
          <w:sz w:val="28"/>
          <w:szCs w:val="28"/>
        </w:rPr>
        <w:t>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w:t>
      </w:r>
      <w:r>
        <w:rPr>
          <w:rFonts w:hint="eastAsia" w:ascii="宋体" w:hAnsi="宋体" w:cs="Helvetica"/>
          <w:sz w:val="28"/>
          <w:szCs w:val="28"/>
          <w:lang w:eastAsia="zh-CN"/>
        </w:rPr>
        <w:t>区交易中心</w:t>
      </w:r>
      <w:r>
        <w:rPr>
          <w:rFonts w:hint="eastAsia" w:ascii="宋体" w:hAnsi="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w:t>
      </w:r>
      <w:r>
        <w:rPr>
          <w:rFonts w:hint="eastAsia" w:ascii="宋体" w:hAnsi="宋体" w:cs="Helvetica"/>
          <w:sz w:val="28"/>
          <w:szCs w:val="28"/>
          <w:lang w:eastAsia="zh-CN"/>
        </w:rPr>
        <w:t>区交易中心</w:t>
      </w:r>
      <w:r>
        <w:rPr>
          <w:rFonts w:hint="eastAsia" w:ascii="宋体" w:hAnsi="宋体" w:cs="Helvetica"/>
          <w:sz w:val="28"/>
          <w:szCs w:val="28"/>
        </w:rPr>
        <w:t>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79" w:name="_Toc746"/>
      <w:r>
        <w:rPr>
          <w:rFonts w:hint="eastAsia" w:ascii="宋体" w:hAnsi="宋体"/>
          <w:b/>
          <w:bCs/>
          <w:sz w:val="28"/>
          <w:szCs w:val="28"/>
        </w:rPr>
        <w:t>评标专家在政府采购活动中承担以下义务</w:t>
      </w:r>
      <w:bookmarkEnd w:id="179"/>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保守秘密。不得泄漏投标人的投标文件及知悉的商业秘密，不得向投标人透露评审情况。</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区交易中心</w:t>
      </w:r>
      <w:r>
        <w:rPr>
          <w:rFonts w:hint="eastAsia" w:ascii="宋体" w:hAnsi="宋体"/>
          <w:sz w:val="28"/>
          <w:szCs w:val="28"/>
        </w:rPr>
        <w:t>及其工作人员在政府采购活动中有干预评审、发表倾向性和歧视性言论、受贿或者接受投标人的其他好处及其他违法违规行为，及时向财政部门报告。</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区交易中心</w:t>
      </w:r>
      <w:r>
        <w:rPr>
          <w:rFonts w:hint="eastAsia" w:ascii="宋体" w:hAnsi="宋体"/>
          <w:sz w:val="28"/>
          <w:szCs w:val="28"/>
        </w:rPr>
        <w:t>答复投标人的询问、质疑，配合财政部门的投诉处理工作等事宜。</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5"/>
        </w:numPr>
        <w:spacing w:line="360" w:lineRule="auto"/>
        <w:jc w:val="left"/>
        <w:outlineLvl w:val="1"/>
        <w:rPr>
          <w:rFonts w:ascii="宋体" w:hAnsi="宋体"/>
          <w:b/>
          <w:bCs/>
          <w:sz w:val="28"/>
          <w:szCs w:val="28"/>
        </w:rPr>
      </w:pPr>
      <w:bookmarkStart w:id="180" w:name="_Toc13675"/>
      <w:r>
        <w:rPr>
          <w:rFonts w:hint="eastAsia" w:ascii="宋体" w:hAnsi="宋体"/>
          <w:b/>
          <w:bCs/>
          <w:sz w:val="28"/>
          <w:szCs w:val="28"/>
        </w:rPr>
        <w:t>评标委员会及其成员不得有下列行为</w:t>
      </w:r>
      <w:bookmarkEnd w:id="180"/>
    </w:p>
    <w:p>
      <w:pPr>
        <w:numPr>
          <w:ilvl w:val="0"/>
          <w:numId w:val="49"/>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49"/>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49"/>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49"/>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49"/>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49"/>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49"/>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sz w:val="28"/>
          <w:szCs w:val="28"/>
        </w:rPr>
      </w:pPr>
      <w:bookmarkStart w:id="181" w:name="_Toc8890"/>
      <w:r>
        <w:rPr>
          <w:rFonts w:hint="eastAsia" w:ascii="宋体" w:hAnsi="宋体"/>
          <w:b/>
          <w:bCs/>
          <w:sz w:val="28"/>
          <w:szCs w:val="28"/>
        </w:rPr>
        <w:t>评审专家在政府采购活动中应当遵守以下工作纪律</w:t>
      </w:r>
      <w:bookmarkEnd w:id="181"/>
    </w:p>
    <w:p>
      <w:pPr>
        <w:numPr>
          <w:ilvl w:val="0"/>
          <w:numId w:val="50"/>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50"/>
        </w:numPr>
        <w:tabs>
          <w:tab w:val="left" w:pos="1155"/>
        </w:tabs>
        <w:spacing w:line="580" w:lineRule="exact"/>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50"/>
        </w:numPr>
        <w:tabs>
          <w:tab w:val="left" w:pos="1155"/>
        </w:tabs>
        <w:spacing w:line="580" w:lineRule="exact"/>
        <w:ind w:left="0" w:firstLine="527"/>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eastAsia="zh-CN"/>
        </w:rPr>
        <w:t>区</w:t>
      </w:r>
      <w:r>
        <w:rPr>
          <w:rFonts w:hint="eastAsia" w:ascii="宋体" w:hAnsi="宋体"/>
          <w:sz w:val="28"/>
          <w:szCs w:val="28"/>
        </w:rPr>
        <w:t>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lang w:eastAsia="zh-CN"/>
        </w:rPr>
        <w:t>区交易中心</w:t>
      </w:r>
      <w:r>
        <w:rPr>
          <w:rFonts w:hint="eastAsia" w:ascii="宋体" w:hAnsi="宋体"/>
          <w:sz w:val="28"/>
          <w:szCs w:val="28"/>
        </w:rPr>
        <w:t>，不得私自转托他人。</w:t>
      </w:r>
    </w:p>
    <w:p>
      <w:pPr>
        <w:numPr>
          <w:ilvl w:val="0"/>
          <w:numId w:val="50"/>
        </w:numPr>
        <w:tabs>
          <w:tab w:val="left" w:pos="1155"/>
        </w:tabs>
        <w:spacing w:line="580" w:lineRule="exact"/>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lang w:eastAsia="zh-CN"/>
        </w:rPr>
        <w:t>区交易中心</w:t>
      </w:r>
      <w:r>
        <w:rPr>
          <w:rFonts w:hint="eastAsia" w:ascii="宋体" w:hAnsi="宋体"/>
          <w:sz w:val="28"/>
          <w:szCs w:val="28"/>
        </w:rPr>
        <w:t>也可要求该评审专家回避。</w:t>
      </w:r>
    </w:p>
    <w:p>
      <w:pPr>
        <w:numPr>
          <w:ilvl w:val="0"/>
          <w:numId w:val="50"/>
        </w:numPr>
        <w:tabs>
          <w:tab w:val="left" w:pos="1155"/>
        </w:tabs>
        <w:spacing w:line="580" w:lineRule="exact"/>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w:t>
      </w:r>
      <w:r>
        <w:rPr>
          <w:rFonts w:hint="eastAsia" w:ascii="宋体" w:hAnsi="宋体"/>
          <w:sz w:val="28"/>
          <w:szCs w:val="28"/>
          <w:lang w:eastAsia="zh-CN"/>
        </w:rPr>
        <w:t>区</w:t>
      </w:r>
      <w:r>
        <w:rPr>
          <w:rFonts w:hint="eastAsia" w:ascii="宋体" w:hAnsi="宋体"/>
          <w:sz w:val="28"/>
          <w:szCs w:val="28"/>
        </w:rPr>
        <w:t>交易中心提供的通信设备，在监督人员监督之下办理。</w:t>
      </w:r>
    </w:p>
    <w:p>
      <w:pPr>
        <w:numPr>
          <w:ilvl w:val="0"/>
          <w:numId w:val="50"/>
        </w:numPr>
        <w:tabs>
          <w:tab w:val="left" w:pos="1155"/>
        </w:tabs>
        <w:spacing w:line="580" w:lineRule="exact"/>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50"/>
        </w:numPr>
        <w:tabs>
          <w:tab w:val="left" w:pos="1155"/>
        </w:tabs>
        <w:spacing w:line="580" w:lineRule="exact"/>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50"/>
        </w:numPr>
        <w:tabs>
          <w:tab w:val="left" w:pos="1155"/>
        </w:tabs>
        <w:spacing w:line="580" w:lineRule="exact"/>
        <w:ind w:left="0" w:firstLine="527"/>
        <w:rPr>
          <w:rFonts w:ascii="宋体" w:hAnsi="宋体"/>
          <w:sz w:val="28"/>
          <w:szCs w:val="28"/>
        </w:rPr>
      </w:pPr>
      <w:r>
        <w:rPr>
          <w:rFonts w:hint="eastAsia" w:ascii="宋体" w:hAnsi="宋体"/>
          <w:sz w:val="28"/>
          <w:szCs w:val="28"/>
        </w:rPr>
        <w:t>服从评标现场</w:t>
      </w:r>
      <w:r>
        <w:rPr>
          <w:rFonts w:hint="eastAsia" w:cs="Arial"/>
          <w:sz w:val="28"/>
          <w:szCs w:val="28"/>
          <w:lang w:eastAsia="zh-CN"/>
        </w:rPr>
        <w:t>区交易中心</w:t>
      </w:r>
      <w:r>
        <w:rPr>
          <w:rFonts w:hint="eastAsia" w:ascii="宋体" w:hAnsi="宋体"/>
          <w:sz w:val="28"/>
          <w:szCs w:val="28"/>
        </w:rPr>
        <w:t>的现场秩序管理，接受评标现场监督人员的合法监督。</w:t>
      </w:r>
    </w:p>
    <w:p>
      <w:pPr>
        <w:numPr>
          <w:ilvl w:val="0"/>
          <w:numId w:val="50"/>
        </w:numPr>
        <w:tabs>
          <w:tab w:val="left" w:pos="1155"/>
        </w:tabs>
        <w:spacing w:line="580" w:lineRule="exact"/>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50"/>
        </w:numPr>
        <w:tabs>
          <w:tab w:val="left" w:pos="1155"/>
        </w:tabs>
        <w:spacing w:line="580" w:lineRule="exact"/>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50"/>
        </w:numPr>
        <w:tabs>
          <w:tab w:val="left" w:pos="1155"/>
          <w:tab w:val="left" w:pos="1276"/>
          <w:tab w:val="left" w:pos="1418"/>
        </w:tabs>
        <w:spacing w:line="580" w:lineRule="exact"/>
        <w:ind w:left="527" w:firstLine="40"/>
        <w:rPr>
          <w:rFonts w:ascii="宋体" w:hAnsi="宋体"/>
          <w:sz w:val="28"/>
          <w:szCs w:val="28"/>
        </w:rPr>
      </w:pPr>
      <w:r>
        <w:rPr>
          <w:rFonts w:hint="eastAsia" w:ascii="宋体" w:hAnsi="宋体"/>
          <w:sz w:val="28"/>
          <w:szCs w:val="28"/>
        </w:rPr>
        <w:t>有关部门（机构）制定的其他评审工作纪律。</w:t>
      </w:r>
    </w:p>
    <w:bookmarkEnd w:id="152"/>
    <w:bookmarkEnd w:id="153"/>
    <w:p>
      <w:pPr>
        <w:rPr>
          <w:rFonts w:ascii="宋体" w:hAnsi="宋体"/>
          <w:b/>
          <w:bCs/>
          <w:spacing w:val="-20"/>
          <w:kern w:val="44"/>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Cs w:val="32"/>
        </w:rPr>
      </w:pPr>
      <w:bookmarkStart w:id="182" w:name="_Toc31946"/>
      <w:r>
        <w:rPr>
          <w:rFonts w:hint="eastAsia" w:ascii="宋体" w:hAnsi="宋体"/>
          <w:b/>
          <w:bCs/>
          <w:spacing w:val="-20"/>
          <w:kern w:val="44"/>
          <w:sz w:val="32"/>
          <w:szCs w:val="32"/>
        </w:rPr>
        <w:t>拟签订合同</w:t>
      </w:r>
      <w:bookmarkEnd w:id="0"/>
      <w:bookmarkEnd w:id="1"/>
      <w:bookmarkEnd w:id="2"/>
      <w:bookmarkEnd w:id="3"/>
      <w:bookmarkStart w:id="183" w:name="_Toc316475764"/>
      <w:bookmarkEnd w:id="183"/>
      <w:bookmarkStart w:id="184" w:name="_Toc316475667"/>
      <w:bookmarkEnd w:id="184"/>
      <w:bookmarkStart w:id="185" w:name="_Toc316475751"/>
      <w:bookmarkEnd w:id="185"/>
      <w:bookmarkStart w:id="186" w:name="_Toc316475758"/>
      <w:bookmarkEnd w:id="186"/>
      <w:bookmarkStart w:id="187" w:name="_Toc316475757"/>
      <w:bookmarkEnd w:id="187"/>
      <w:bookmarkStart w:id="188" w:name="_Toc316475670"/>
      <w:bookmarkEnd w:id="188"/>
      <w:bookmarkStart w:id="189" w:name="_Toc316475669"/>
      <w:bookmarkEnd w:id="189"/>
      <w:bookmarkStart w:id="190" w:name="_Toc316475761"/>
      <w:bookmarkEnd w:id="190"/>
      <w:bookmarkStart w:id="191" w:name="_Toc316475756"/>
      <w:bookmarkEnd w:id="191"/>
      <w:bookmarkStart w:id="192" w:name="_Toc316475676"/>
      <w:bookmarkEnd w:id="192"/>
      <w:bookmarkStart w:id="193" w:name="_Toc316475665"/>
      <w:bookmarkEnd w:id="193"/>
      <w:bookmarkStart w:id="194" w:name="_Toc316475752"/>
      <w:bookmarkEnd w:id="194"/>
      <w:bookmarkStart w:id="195" w:name="_Toc316475754"/>
      <w:bookmarkEnd w:id="195"/>
      <w:bookmarkStart w:id="196" w:name="_Toc316475673"/>
      <w:bookmarkEnd w:id="196"/>
      <w:bookmarkStart w:id="197" w:name="_Toc316475763"/>
      <w:bookmarkEnd w:id="197"/>
      <w:bookmarkStart w:id="198" w:name="_Toc316475675"/>
      <w:bookmarkEnd w:id="198"/>
      <w:bookmarkStart w:id="199" w:name="_Toc316475755"/>
      <w:bookmarkEnd w:id="199"/>
      <w:bookmarkStart w:id="200" w:name="_Toc316475674"/>
      <w:bookmarkEnd w:id="200"/>
      <w:bookmarkStart w:id="201" w:name="_Toc316475666"/>
      <w:bookmarkEnd w:id="201"/>
      <w:bookmarkStart w:id="202" w:name="_Toc277152521"/>
      <w:bookmarkEnd w:id="202"/>
      <w:bookmarkStart w:id="203" w:name="_Toc316475759"/>
      <w:bookmarkEnd w:id="203"/>
      <w:bookmarkStart w:id="204" w:name="_Toc316475760"/>
      <w:bookmarkEnd w:id="204"/>
      <w:bookmarkStart w:id="205" w:name="_Toc316475762"/>
      <w:bookmarkEnd w:id="205"/>
      <w:bookmarkStart w:id="206" w:name="_Toc214858832"/>
      <w:bookmarkEnd w:id="206"/>
      <w:bookmarkStart w:id="207" w:name="_Toc277152522"/>
      <w:bookmarkEnd w:id="207"/>
      <w:bookmarkStart w:id="208" w:name="_Toc316475671"/>
      <w:bookmarkEnd w:id="208"/>
      <w:bookmarkStart w:id="209" w:name="_Toc316475664"/>
      <w:bookmarkEnd w:id="209"/>
      <w:bookmarkStart w:id="210" w:name="_Toc316475677"/>
      <w:bookmarkEnd w:id="210"/>
      <w:bookmarkStart w:id="211" w:name="_Toc277152523"/>
      <w:bookmarkEnd w:id="211"/>
      <w:bookmarkStart w:id="212" w:name="_Toc277152520"/>
      <w:bookmarkEnd w:id="212"/>
      <w:bookmarkStart w:id="213" w:name="_Toc299975364"/>
      <w:bookmarkEnd w:id="213"/>
      <w:bookmarkStart w:id="214" w:name="_Toc316475668"/>
      <w:bookmarkEnd w:id="214"/>
      <w:bookmarkStart w:id="215" w:name="_Toc299975392"/>
      <w:bookmarkEnd w:id="215"/>
      <w:bookmarkStart w:id="216" w:name="_Toc316475753"/>
      <w:bookmarkEnd w:id="216"/>
      <w:bookmarkStart w:id="217" w:name="_Toc316475672"/>
      <w:bookmarkEnd w:id="217"/>
      <w:bookmarkStart w:id="218" w:name="_Toc8573798"/>
      <w:bookmarkStart w:id="219" w:name="_Toc217446108"/>
      <w:bookmarkStart w:id="220" w:name="_Toc34729074"/>
      <w:r>
        <w:rPr>
          <w:rFonts w:hint="eastAsia" w:ascii="宋体" w:hAnsi="宋体"/>
          <w:b/>
          <w:bCs/>
          <w:spacing w:val="-20"/>
          <w:kern w:val="44"/>
          <w:sz w:val="32"/>
          <w:szCs w:val="32"/>
        </w:rPr>
        <w:t>文本</w:t>
      </w:r>
      <w:bookmarkEnd w:id="182"/>
    </w:p>
    <w:p>
      <w:pPr>
        <w:pStyle w:val="102"/>
        <w:ind w:firstLine="480"/>
        <w:rPr>
          <w:rFonts w:hint="eastAsia" w:hAnsi="宋体" w:cs="仿宋"/>
          <w:color w:val="000000"/>
        </w:rPr>
      </w:pPr>
      <w:r>
        <w:rPr>
          <w:rFonts w:hint="eastAsia" w:hAnsi="宋体" w:cs="仿宋"/>
          <w:color w:val="000000"/>
        </w:rPr>
        <w:t xml:space="preserve">合同编号：XXX                                         </w:t>
      </w:r>
    </w:p>
    <w:p>
      <w:pPr>
        <w:pStyle w:val="102"/>
        <w:ind w:firstLine="480"/>
        <w:rPr>
          <w:rFonts w:hint="eastAsia" w:hAnsi="宋体" w:cs="仿宋"/>
          <w:color w:val="000000"/>
        </w:rPr>
      </w:pPr>
      <w:r>
        <w:rPr>
          <w:rFonts w:hint="eastAsia" w:hAnsi="宋体" w:cs="仿宋"/>
          <w:color w:val="000000"/>
        </w:rPr>
        <w:t xml:space="preserve">签订地点：XXX                                         </w:t>
      </w:r>
    </w:p>
    <w:p>
      <w:pPr>
        <w:pStyle w:val="102"/>
        <w:ind w:firstLine="480"/>
        <w:rPr>
          <w:rFonts w:hint="eastAsia" w:hAnsi="宋体" w:cs="仿宋"/>
          <w:color w:val="000000"/>
        </w:rPr>
      </w:pPr>
      <w:r>
        <w:rPr>
          <w:rFonts w:hint="eastAsia" w:hAnsi="宋体" w:cs="仿宋"/>
          <w:color w:val="000000"/>
        </w:rPr>
        <w:t xml:space="preserve">签订时间：XXX年XXX月XXX日                                         </w:t>
      </w:r>
    </w:p>
    <w:p>
      <w:pPr>
        <w:pStyle w:val="102"/>
        <w:ind w:firstLine="480"/>
        <w:rPr>
          <w:rFonts w:hint="eastAsia" w:hAnsi="宋体" w:cs="仿宋"/>
          <w:color w:val="000000"/>
        </w:rPr>
      </w:pPr>
      <w:r>
        <w:rPr>
          <w:rFonts w:hint="eastAsia" w:hAnsi="宋体" w:cs="仿宋"/>
          <w:color w:val="000000"/>
        </w:rPr>
        <w:t xml:space="preserve">采购人（甲方）：XXX                                          </w:t>
      </w:r>
    </w:p>
    <w:p>
      <w:pPr>
        <w:pStyle w:val="102"/>
        <w:ind w:firstLine="480"/>
        <w:rPr>
          <w:rFonts w:hint="eastAsia" w:hAnsi="宋体" w:cs="仿宋"/>
          <w:color w:val="000000"/>
        </w:rPr>
      </w:pPr>
      <w:r>
        <w:rPr>
          <w:rFonts w:hint="eastAsia" w:hAnsi="宋体" w:cs="仿宋"/>
          <w:color w:val="000000"/>
        </w:rPr>
        <w:t xml:space="preserve">供应商（乙方）：XXX                                          </w:t>
      </w:r>
    </w:p>
    <w:p>
      <w:pPr>
        <w:spacing w:line="400" w:lineRule="exact"/>
        <w:rPr>
          <w:rFonts w:hint="eastAsia" w:hAnsi="宋体" w:cs="仿宋"/>
          <w:color w:val="000000"/>
          <w:sz w:val="24"/>
        </w:rPr>
      </w:pPr>
    </w:p>
    <w:p>
      <w:pPr>
        <w:pStyle w:val="102"/>
        <w:ind w:firstLine="480"/>
        <w:rPr>
          <w:rFonts w:hint="eastAsia" w:hAnsi="宋体" w:cs="仿宋"/>
          <w:color w:val="000000"/>
        </w:rPr>
      </w:pPr>
      <w:r>
        <w:rPr>
          <w:rFonts w:hint="eastAsia" w:hAnsi="宋体" w:cs="仿宋"/>
          <w:color w:val="000000"/>
        </w:rPr>
        <w:t>根据《中华人民共和国政府采购法》、《中华人民共和国民法典》及“成都市新都区人民政府三河街道办事处市民文化中心（项目编号：***********）”的《招标文件》、乙方的《响应文件》及《成交通知书》，甲、乙双方同意签订本合同。详细技术说明及其他有关合同项目的特定信息由合同附件予以说明，合同附件及本项目的招标文件、响应文件、《成交通知书》等均为本合同不可分割的部分。双方同意共同遵守如下条款：</w:t>
      </w:r>
    </w:p>
    <w:p>
      <w:pPr>
        <w:pStyle w:val="102"/>
        <w:ind w:firstLine="480"/>
        <w:rPr>
          <w:rFonts w:hint="eastAsia" w:hAnsi="宋体" w:cs="仿宋"/>
          <w:color w:val="000000"/>
        </w:rPr>
      </w:pPr>
    </w:p>
    <w:p>
      <w:pPr>
        <w:numPr>
          <w:ilvl w:val="0"/>
          <w:numId w:val="51"/>
        </w:numPr>
        <w:rPr>
          <w:rFonts w:hint="eastAsia" w:hAnsi="宋体" w:cs="仿宋"/>
          <w:b/>
          <w:color w:val="000000"/>
          <w:sz w:val="24"/>
        </w:rPr>
      </w:pPr>
      <w:r>
        <w:rPr>
          <w:rFonts w:hint="eastAsia" w:hAnsi="宋体" w:cs="仿宋"/>
          <w:b/>
          <w:color w:val="000000"/>
          <w:sz w:val="24"/>
        </w:rPr>
        <w:t>合同货物</w:t>
      </w:r>
    </w:p>
    <w:tbl>
      <w:tblPr>
        <w:tblStyle w:val="42"/>
        <w:tblW w:w="939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6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240" w:firstLineChars="100"/>
              <w:rPr>
                <w:rFonts w:hint="default" w:hAnsi="宋体" w:cs="仿宋"/>
                <w:color w:val="000000"/>
                <w:sz w:val="24"/>
                <w:szCs w:val="24"/>
              </w:rPr>
            </w:pPr>
            <w:r>
              <w:rPr>
                <w:rFonts w:hint="eastAsia" w:hAnsi="宋体" w:cs="仿宋"/>
                <w:color w:val="000000"/>
                <w:sz w:val="24"/>
                <w:szCs w:val="24"/>
              </w:rPr>
              <w:t>货物</w:t>
            </w:r>
          </w:p>
          <w:p>
            <w:pPr>
              <w:keepNext w:val="0"/>
              <w:keepLines w:val="0"/>
              <w:suppressLineNumbers w:val="0"/>
              <w:spacing w:before="0" w:beforeAutospacing="0" w:after="0" w:afterAutospacing="0"/>
              <w:ind w:left="0" w:right="0" w:firstLine="240" w:firstLineChars="100"/>
              <w:rPr>
                <w:rFonts w:hint="eastAsia" w:hAnsi="宋体" w:cs="仿宋"/>
                <w:color w:val="000000"/>
                <w:sz w:val="24"/>
                <w:szCs w:val="24"/>
              </w:rPr>
            </w:pPr>
            <w:r>
              <w:rPr>
                <w:rFonts w:hint="eastAsia" w:hAnsi="宋体" w:cs="仿宋"/>
                <w:color w:val="000000"/>
                <w:sz w:val="24"/>
                <w:szCs w:val="24"/>
              </w:rPr>
              <w:t>品名</w:t>
            </w:r>
          </w:p>
        </w:tc>
        <w:tc>
          <w:tcPr>
            <w:tcW w:w="1027"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hAnsi="宋体" w:cs="仿宋"/>
                <w:color w:val="000000"/>
                <w:sz w:val="24"/>
                <w:szCs w:val="24"/>
              </w:rPr>
            </w:pPr>
            <w:r>
              <w:rPr>
                <w:rFonts w:hint="eastAsia" w:hAnsi="宋体" w:cs="仿宋"/>
                <w:color w:val="000000"/>
                <w:sz w:val="24"/>
                <w:szCs w:val="24"/>
              </w:rPr>
              <w:t>规格</w:t>
            </w:r>
          </w:p>
          <w:p>
            <w:pPr>
              <w:keepNext w:val="0"/>
              <w:keepLines w:val="0"/>
              <w:suppressLineNumbers w:val="0"/>
              <w:spacing w:before="0" w:beforeAutospacing="0" w:after="0" w:afterAutospacing="0"/>
              <w:ind w:left="0" w:right="0"/>
              <w:jc w:val="center"/>
              <w:rPr>
                <w:rFonts w:hint="eastAsia" w:hAnsi="宋体" w:cs="仿宋"/>
                <w:color w:val="000000"/>
                <w:sz w:val="24"/>
                <w:szCs w:val="24"/>
              </w:rPr>
            </w:pPr>
            <w:r>
              <w:rPr>
                <w:rFonts w:hint="eastAsia" w:hAnsi="宋体" w:cs="仿宋"/>
                <w:color w:val="000000"/>
                <w:sz w:val="24"/>
                <w:szCs w:val="24"/>
              </w:rPr>
              <w:t>型号</w:t>
            </w:r>
          </w:p>
        </w:tc>
        <w:tc>
          <w:tcPr>
            <w:tcW w:w="604"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hAnsi="宋体" w:cs="仿宋"/>
                <w:color w:val="000000"/>
                <w:sz w:val="24"/>
                <w:szCs w:val="24"/>
              </w:rPr>
            </w:pPr>
            <w:r>
              <w:rPr>
                <w:rFonts w:hint="eastAsia" w:hAnsi="宋体" w:cs="仿宋"/>
                <w:color w:val="000000"/>
                <w:sz w:val="24"/>
                <w:szCs w:val="24"/>
              </w:rPr>
              <w:t>单位</w:t>
            </w:r>
          </w:p>
        </w:tc>
        <w:tc>
          <w:tcPr>
            <w:tcW w:w="53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hAnsi="宋体" w:cs="仿宋"/>
                <w:color w:val="000000"/>
                <w:sz w:val="24"/>
                <w:szCs w:val="24"/>
              </w:rPr>
            </w:pPr>
            <w:r>
              <w:rPr>
                <w:rFonts w:hint="eastAsia" w:hAnsi="宋体" w:cs="仿宋"/>
                <w:color w:val="000000"/>
                <w:sz w:val="24"/>
                <w:szCs w:val="24"/>
              </w:rPr>
              <w:t>数量</w:t>
            </w:r>
          </w:p>
        </w:tc>
        <w:tc>
          <w:tcPr>
            <w:tcW w:w="1064"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firstLine="120" w:firstLineChars="50"/>
              <w:jc w:val="center"/>
              <w:rPr>
                <w:rFonts w:hint="eastAsia" w:hAnsi="宋体" w:cs="仿宋"/>
                <w:color w:val="000000"/>
                <w:sz w:val="24"/>
                <w:szCs w:val="24"/>
              </w:rPr>
            </w:pPr>
            <w:r>
              <w:rPr>
                <w:rFonts w:hint="eastAsia" w:hAnsi="宋体" w:cs="仿宋"/>
                <w:color w:val="000000"/>
                <w:sz w:val="24"/>
                <w:szCs w:val="24"/>
              </w:rPr>
              <w:t>单价</w:t>
            </w:r>
          </w:p>
          <w:p>
            <w:pPr>
              <w:keepNext w:val="0"/>
              <w:keepLines w:val="0"/>
              <w:suppressLineNumbers w:val="0"/>
              <w:spacing w:before="0" w:beforeAutospacing="0" w:after="0" w:afterAutospacing="0"/>
              <w:ind w:left="0" w:right="0"/>
              <w:jc w:val="center"/>
              <w:rPr>
                <w:rFonts w:hint="eastAsia" w:hAnsi="宋体" w:cs="仿宋"/>
                <w:color w:val="000000"/>
                <w:sz w:val="24"/>
                <w:szCs w:val="24"/>
              </w:rPr>
            </w:pPr>
            <w:r>
              <w:rPr>
                <w:rFonts w:hint="eastAsia" w:hAnsi="宋体" w:cs="仿宋"/>
                <w:color w:val="000000"/>
                <w:sz w:val="24"/>
                <w:szCs w:val="24"/>
              </w:rPr>
              <w:t>（元）</w:t>
            </w:r>
          </w:p>
        </w:tc>
        <w:tc>
          <w:tcPr>
            <w:tcW w:w="888"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1" w:right="-88" w:rightChars="-42" w:hanging="2" w:hangingChars="1"/>
              <w:jc w:val="center"/>
              <w:rPr>
                <w:rFonts w:hint="eastAsia" w:hAnsi="宋体" w:cs="仿宋"/>
                <w:color w:val="000000"/>
                <w:sz w:val="24"/>
                <w:szCs w:val="24"/>
              </w:rPr>
            </w:pPr>
            <w:r>
              <w:rPr>
                <w:rFonts w:hint="eastAsia" w:hAnsi="宋体" w:cs="仿宋"/>
                <w:color w:val="000000"/>
                <w:sz w:val="24"/>
                <w:szCs w:val="24"/>
              </w:rPr>
              <w:t>总价</w:t>
            </w:r>
          </w:p>
          <w:p>
            <w:pPr>
              <w:keepNext w:val="0"/>
              <w:keepLines w:val="0"/>
              <w:suppressLineNumbers w:val="0"/>
              <w:spacing w:before="0" w:beforeAutospacing="0" w:after="0" w:afterAutospacing="0"/>
              <w:ind w:left="0" w:leftChars="-1" w:right="-88" w:rightChars="-42" w:hanging="2" w:hangingChars="1"/>
              <w:jc w:val="center"/>
              <w:rPr>
                <w:rFonts w:hint="eastAsia" w:hAnsi="宋体" w:cs="仿宋"/>
                <w:color w:val="000000"/>
                <w:sz w:val="24"/>
                <w:szCs w:val="24"/>
              </w:rPr>
            </w:pPr>
            <w:r>
              <w:rPr>
                <w:rFonts w:hint="eastAsia" w:hAnsi="宋体" w:cs="仿宋"/>
                <w:color w:val="000000"/>
                <w:sz w:val="24"/>
                <w:szCs w:val="24"/>
              </w:rPr>
              <w:t>（元）</w:t>
            </w:r>
          </w:p>
        </w:tc>
        <w:tc>
          <w:tcPr>
            <w:tcW w:w="917"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hAnsi="宋体" w:cs="仿宋"/>
                <w:color w:val="000000"/>
                <w:sz w:val="24"/>
                <w:szCs w:val="24"/>
              </w:rPr>
            </w:pPr>
            <w:r>
              <w:rPr>
                <w:rFonts w:hint="eastAsia" w:hAnsi="宋体" w:cs="仿宋"/>
                <w:color w:val="000000"/>
                <w:sz w:val="24"/>
                <w:szCs w:val="24"/>
              </w:rPr>
              <w:t>随机</w:t>
            </w:r>
          </w:p>
          <w:p>
            <w:pPr>
              <w:keepNext w:val="0"/>
              <w:keepLines w:val="0"/>
              <w:suppressLineNumbers w:val="0"/>
              <w:spacing w:before="0" w:beforeAutospacing="0" w:after="0" w:afterAutospacing="0"/>
              <w:ind w:left="0" w:right="0"/>
              <w:jc w:val="center"/>
              <w:rPr>
                <w:rFonts w:hint="eastAsia" w:hAnsi="宋体" w:cs="仿宋"/>
                <w:color w:val="000000"/>
                <w:sz w:val="24"/>
                <w:szCs w:val="24"/>
              </w:rPr>
            </w:pPr>
            <w:r>
              <w:rPr>
                <w:rFonts w:hint="eastAsia" w:hAnsi="宋体" w:cs="仿宋"/>
                <w:color w:val="000000"/>
                <w:sz w:val="24"/>
                <w:szCs w:val="24"/>
              </w:rPr>
              <w:t>配件</w:t>
            </w:r>
          </w:p>
        </w:tc>
        <w:tc>
          <w:tcPr>
            <w:tcW w:w="932"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6" w:leftChars="-22" w:right="0" w:hanging="52" w:hangingChars="22"/>
              <w:rPr>
                <w:rFonts w:hint="eastAsia" w:hAnsi="宋体" w:cs="仿宋"/>
                <w:color w:val="000000"/>
                <w:sz w:val="24"/>
                <w:szCs w:val="24"/>
              </w:rPr>
            </w:pPr>
            <w:r>
              <w:rPr>
                <w:rFonts w:hint="eastAsia" w:hAnsi="宋体" w:cs="仿宋"/>
                <w:color w:val="000000"/>
                <w:sz w:val="24"/>
                <w:szCs w:val="24"/>
              </w:rPr>
              <w:t>交货期</w:t>
            </w:r>
          </w:p>
        </w:tc>
        <w:tc>
          <w:tcPr>
            <w:tcW w:w="214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hAnsi="宋体" w:cs="仿宋"/>
                <w:color w:val="000000"/>
                <w:sz w:val="24"/>
                <w:szCs w:val="24"/>
                <w:lang w:val="zh-CN"/>
              </w:rPr>
            </w:pPr>
            <w:r>
              <w:rPr>
                <w:rFonts w:hint="eastAsia" w:hAnsi="宋体" w:cs="仿宋"/>
                <w:color w:val="000000"/>
                <w:sz w:val="24"/>
                <w:szCs w:val="24"/>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firstLine="240" w:firstLineChars="100"/>
              <w:rPr>
                <w:rFonts w:hint="eastAsia" w:hAnsi="宋体" w:cs="仿宋"/>
                <w:color w:val="000000"/>
                <w:sz w:val="24"/>
                <w:szCs w:val="24"/>
              </w:rPr>
            </w:pPr>
          </w:p>
        </w:tc>
        <w:tc>
          <w:tcPr>
            <w:tcW w:w="1027"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szCs w:val="24"/>
              </w:rPr>
            </w:pPr>
          </w:p>
        </w:tc>
        <w:tc>
          <w:tcPr>
            <w:tcW w:w="604"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hAnsi="宋体" w:cs="仿宋"/>
                <w:color w:val="000000"/>
                <w:sz w:val="24"/>
                <w:szCs w:val="24"/>
              </w:rPr>
            </w:pPr>
          </w:p>
        </w:tc>
        <w:tc>
          <w:tcPr>
            <w:tcW w:w="531"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firstLine="120" w:firstLineChars="50"/>
              <w:rPr>
                <w:rFonts w:hint="eastAsia" w:hAnsi="宋体" w:cs="仿宋"/>
                <w:color w:val="000000"/>
                <w:sz w:val="24"/>
                <w:szCs w:val="24"/>
              </w:rPr>
            </w:pPr>
          </w:p>
        </w:tc>
        <w:tc>
          <w:tcPr>
            <w:tcW w:w="1064"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firstLine="120" w:firstLineChars="50"/>
              <w:jc w:val="center"/>
              <w:rPr>
                <w:rFonts w:hint="eastAsia" w:hAnsi="宋体" w:cs="仿宋"/>
                <w:color w:val="000000"/>
                <w:sz w:val="24"/>
                <w:szCs w:val="24"/>
              </w:rPr>
            </w:pPr>
          </w:p>
        </w:tc>
        <w:tc>
          <w:tcPr>
            <w:tcW w:w="888"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firstLine="240" w:firstLineChars="100"/>
              <w:rPr>
                <w:rFonts w:hint="eastAsia" w:hAnsi="宋体" w:cs="仿宋"/>
                <w:color w:val="000000"/>
                <w:sz w:val="24"/>
                <w:szCs w:val="24"/>
              </w:rPr>
            </w:pPr>
          </w:p>
        </w:tc>
        <w:tc>
          <w:tcPr>
            <w:tcW w:w="917"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szCs w:val="24"/>
              </w:rPr>
            </w:pPr>
          </w:p>
        </w:tc>
        <w:tc>
          <w:tcPr>
            <w:tcW w:w="932"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firstLine="120" w:firstLineChars="50"/>
              <w:rPr>
                <w:rFonts w:hint="eastAsia" w:hAnsi="宋体" w:cs="仿宋"/>
                <w:color w:val="000000"/>
                <w:sz w:val="24"/>
                <w:szCs w:val="24"/>
              </w:rPr>
            </w:pP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hAnsi="宋体" w:cs="仿宋"/>
                <w:color w:val="000000"/>
                <w:sz w:val="24"/>
                <w:szCs w:val="24"/>
                <w:lang w:val="zh-CN"/>
              </w:rPr>
            </w:pPr>
            <w:r>
              <w:rPr>
                <w:rFonts w:hint="eastAsia" w:hAnsi="宋体" w:cs="仿宋"/>
                <w:color w:val="000000"/>
                <w:sz w:val="24"/>
                <w:szCs w:val="24"/>
                <w:lang w:val="zh-CN"/>
              </w:rPr>
              <w:t>预算内</w:t>
            </w: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hAnsi="宋体" w:cs="仿宋"/>
                <w:color w:val="000000"/>
                <w:sz w:val="24"/>
                <w:szCs w:val="24"/>
                <w:lang w:val="zh-CN"/>
              </w:rPr>
            </w:pPr>
            <w:r>
              <w:rPr>
                <w:rFonts w:hint="eastAsia" w:hAnsi="宋体" w:cs="仿宋"/>
                <w:color w:val="000000"/>
                <w:sz w:val="24"/>
                <w:szCs w:val="24"/>
                <w:lang w:val="zh-CN"/>
              </w:rPr>
              <w:t>预算外</w:t>
            </w: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hAnsi="宋体" w:cs="仿宋"/>
                <w:color w:val="000000"/>
                <w:sz w:val="24"/>
                <w:szCs w:val="24"/>
                <w:lang w:val="zh-CN"/>
              </w:rPr>
            </w:pPr>
            <w:r>
              <w:rPr>
                <w:rFonts w:hint="eastAsia" w:hAnsi="宋体" w:cs="仿宋"/>
                <w:color w:val="000000"/>
                <w:sz w:val="24"/>
                <w:szCs w:val="24"/>
                <w:lang w:val="zh-CN"/>
              </w:rPr>
              <w:t>自</w:t>
            </w:r>
          </w:p>
          <w:p>
            <w:pPr>
              <w:keepNext w:val="0"/>
              <w:keepLines w:val="0"/>
              <w:suppressLineNumbers w:val="0"/>
              <w:autoSpaceDE w:val="0"/>
              <w:autoSpaceDN w:val="0"/>
              <w:adjustRightInd w:val="0"/>
              <w:spacing w:before="0" w:beforeAutospacing="0" w:after="0" w:afterAutospacing="0"/>
              <w:ind w:left="0" w:right="0"/>
              <w:jc w:val="center"/>
              <w:rPr>
                <w:rFonts w:hint="eastAsia" w:hAnsi="宋体" w:cs="仿宋"/>
                <w:color w:val="000000"/>
                <w:sz w:val="24"/>
                <w:szCs w:val="24"/>
                <w:lang w:val="zh-CN"/>
              </w:rPr>
            </w:pPr>
          </w:p>
          <w:p>
            <w:pPr>
              <w:keepNext w:val="0"/>
              <w:keepLines w:val="0"/>
              <w:suppressLineNumbers w:val="0"/>
              <w:autoSpaceDE w:val="0"/>
              <w:autoSpaceDN w:val="0"/>
              <w:adjustRightInd w:val="0"/>
              <w:spacing w:before="0" w:beforeAutospacing="0" w:after="0" w:afterAutospacing="0"/>
              <w:ind w:left="0" w:right="0"/>
              <w:jc w:val="center"/>
              <w:rPr>
                <w:rFonts w:hint="eastAsia" w:hAnsi="宋体" w:cs="仿宋"/>
                <w:color w:val="000000"/>
                <w:sz w:val="24"/>
                <w:szCs w:val="24"/>
                <w:lang w:val="zh-CN"/>
              </w:rPr>
            </w:pPr>
            <w:r>
              <w:rPr>
                <w:rFonts w:hint="eastAsia" w:hAnsi="宋体" w:cs="仿宋"/>
                <w:color w:val="000000"/>
                <w:sz w:val="24"/>
                <w:szCs w:val="24"/>
                <w:lang w:val="zh-CN"/>
              </w:rPr>
              <w:t>筹</w:t>
            </w:r>
          </w:p>
        </w:tc>
        <w:tc>
          <w:tcPr>
            <w:tcW w:w="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hAnsi="宋体" w:cs="仿宋"/>
                <w:color w:val="000000"/>
                <w:sz w:val="24"/>
                <w:szCs w:val="24"/>
                <w:lang w:val="zh-CN"/>
              </w:rPr>
            </w:pPr>
            <w:r>
              <w:rPr>
                <w:rFonts w:hint="eastAsia" w:hAnsi="宋体" w:cs="仿宋"/>
                <w:color w:val="000000"/>
                <w:sz w:val="24"/>
                <w:szCs w:val="24"/>
                <w:lang w:val="zh-CN"/>
              </w:rPr>
              <w:t>其</w:t>
            </w:r>
          </w:p>
          <w:p>
            <w:pPr>
              <w:keepNext w:val="0"/>
              <w:keepLines w:val="0"/>
              <w:suppressLineNumbers w:val="0"/>
              <w:autoSpaceDE w:val="0"/>
              <w:autoSpaceDN w:val="0"/>
              <w:adjustRightInd w:val="0"/>
              <w:spacing w:before="0" w:beforeAutospacing="0" w:after="0" w:afterAutospacing="0"/>
              <w:ind w:left="0" w:right="0"/>
              <w:jc w:val="center"/>
              <w:rPr>
                <w:rFonts w:hint="eastAsia" w:hAnsi="宋体" w:cs="仿宋"/>
                <w:color w:val="000000"/>
                <w:sz w:val="24"/>
                <w:szCs w:val="24"/>
                <w:lang w:val="zh-CN"/>
              </w:rPr>
            </w:pPr>
          </w:p>
          <w:p>
            <w:pPr>
              <w:keepNext w:val="0"/>
              <w:keepLines w:val="0"/>
              <w:suppressLineNumbers w:val="0"/>
              <w:autoSpaceDE w:val="0"/>
              <w:autoSpaceDN w:val="0"/>
              <w:adjustRightInd w:val="0"/>
              <w:spacing w:before="0" w:beforeAutospacing="0" w:after="0" w:afterAutospacing="0"/>
              <w:ind w:left="0" w:right="0"/>
              <w:jc w:val="center"/>
              <w:rPr>
                <w:rFonts w:hint="eastAsia" w:hAnsi="宋体" w:cs="仿宋"/>
                <w:color w:val="000000"/>
                <w:sz w:val="24"/>
                <w:szCs w:val="24"/>
                <w:lang w:val="zh-CN"/>
              </w:rPr>
            </w:pPr>
            <w:r>
              <w:rPr>
                <w:rFonts w:hint="eastAsia" w:hAnsi="宋体" w:cs="仿宋"/>
                <w:color w:val="000000"/>
                <w:sz w:val="24"/>
                <w:szCs w:val="24"/>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5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p>
        </w:tc>
        <w:tc>
          <w:tcPr>
            <w:tcW w:w="69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5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r>
              <w:rPr>
                <w:rFonts w:hint="eastAsia" w:hAnsi="宋体" w:cs="仿宋"/>
                <w:color w:val="000000"/>
                <w:sz w:val="24"/>
              </w:rPr>
              <w:t> </w:t>
            </w: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p>
        </w:tc>
        <w:tc>
          <w:tcPr>
            <w:tcW w:w="69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hAnsi="宋体" w:cs="仿宋"/>
                <w:color w:val="000000"/>
                <w:sz w:val="24"/>
              </w:rPr>
            </w:pPr>
          </w:p>
        </w:tc>
      </w:tr>
    </w:tbl>
    <w:p>
      <w:pPr>
        <w:rPr>
          <w:rFonts w:hint="eastAsia" w:hAnsi="宋体" w:cs="仿宋"/>
          <w:b/>
          <w:color w:val="000000"/>
          <w:sz w:val="28"/>
          <w:szCs w:val="28"/>
        </w:rPr>
      </w:pPr>
    </w:p>
    <w:p>
      <w:pPr>
        <w:spacing w:line="400" w:lineRule="exact"/>
        <w:rPr>
          <w:rFonts w:hint="eastAsia" w:hAnsi="宋体" w:cs="仿宋"/>
          <w:b/>
          <w:color w:val="000000"/>
          <w:sz w:val="24"/>
        </w:rPr>
      </w:pPr>
      <w:r>
        <w:rPr>
          <w:rFonts w:hint="eastAsia" w:hAnsi="宋体" w:cs="仿宋"/>
          <w:b/>
          <w:color w:val="000000"/>
          <w:sz w:val="24"/>
        </w:rPr>
        <w:t>二、合同总价</w:t>
      </w:r>
    </w:p>
    <w:p>
      <w:pPr>
        <w:pStyle w:val="13"/>
        <w:spacing w:line="400" w:lineRule="exact"/>
        <w:ind w:firstLine="480"/>
        <w:rPr>
          <w:rFonts w:hint="eastAsia" w:hAnsi="宋体" w:cs="仿宋"/>
          <w:color w:val="000000"/>
          <w:sz w:val="24"/>
        </w:rPr>
      </w:pPr>
      <w:r>
        <w:rPr>
          <w:rFonts w:hint="eastAsia" w:hAnsi="宋体" w:cs="仿宋"/>
          <w:color w:val="000000"/>
          <w:sz w:val="24"/>
        </w:rPr>
        <w:t>合同总价为人民币大写：</w:t>
      </w:r>
      <w:r>
        <w:rPr>
          <w:rFonts w:hint="eastAsia" w:hAnsi="宋体" w:cs="仿宋"/>
          <w:color w:val="000000"/>
          <w:kern w:val="2"/>
          <w:sz w:val="24"/>
          <w:szCs w:val="24"/>
        </w:rPr>
        <w:t>XXX元，即RMB￥XXX元；</w:t>
      </w:r>
      <w:r>
        <w:rPr>
          <w:rFonts w:hint="eastAsia" w:hAnsi="宋体" w:cs="仿宋"/>
          <w:color w:val="000000"/>
          <w:sz w:val="24"/>
        </w:rPr>
        <w:t>该合同总价已包括货物设计、材料、制造、包装、运输、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400" w:lineRule="exact"/>
        <w:rPr>
          <w:rFonts w:hint="eastAsia" w:hAnsi="宋体" w:cs="仿宋"/>
          <w:b/>
          <w:color w:val="000000"/>
          <w:sz w:val="24"/>
        </w:rPr>
      </w:pPr>
    </w:p>
    <w:p>
      <w:pPr>
        <w:tabs>
          <w:tab w:val="left" w:pos="2145"/>
        </w:tabs>
        <w:rPr>
          <w:rFonts w:hint="eastAsia" w:hAnsi="宋体" w:cs="仿宋"/>
          <w:b/>
          <w:color w:val="000000"/>
          <w:sz w:val="24"/>
        </w:rPr>
      </w:pPr>
      <w:r>
        <w:rPr>
          <w:rFonts w:hint="eastAsia" w:hAnsi="宋体" w:cs="仿宋"/>
          <w:b/>
          <w:color w:val="000000"/>
          <w:sz w:val="24"/>
        </w:rPr>
        <w:t>三、质量要求</w:t>
      </w:r>
      <w:r>
        <w:rPr>
          <w:rFonts w:hint="eastAsia" w:hAnsi="宋体" w:cs="仿宋"/>
          <w:b/>
          <w:color w:val="000000"/>
          <w:sz w:val="24"/>
        </w:rPr>
        <w:tab/>
      </w:r>
    </w:p>
    <w:p>
      <w:pPr>
        <w:pStyle w:val="102"/>
        <w:ind w:firstLine="480"/>
        <w:rPr>
          <w:rFonts w:hint="eastAsia" w:hAnsi="宋体" w:cs="仿宋"/>
          <w:color w:val="000000"/>
        </w:rPr>
      </w:pPr>
      <w:r>
        <w:rPr>
          <w:rFonts w:hint="eastAsia" w:hAnsi="宋体" w:cs="仿宋"/>
          <w:color w:val="000000"/>
        </w:rPr>
        <w:t>1.乙方须提供全新的货物（含零部件、配件等），表面无划伤、无碰撞痕迹，且权属清楚，不得侵害他人的知识产权。</w:t>
      </w:r>
    </w:p>
    <w:p>
      <w:pPr>
        <w:pStyle w:val="102"/>
        <w:ind w:firstLine="480"/>
        <w:rPr>
          <w:rFonts w:hint="eastAsia" w:hAnsi="宋体" w:cs="仿宋"/>
          <w:color w:val="000000"/>
        </w:rPr>
      </w:pPr>
      <w:r>
        <w:rPr>
          <w:rFonts w:hint="eastAsia" w:hAnsi="宋体" w:cs="仿宋"/>
          <w:color w:val="000000"/>
        </w:rPr>
        <w:t>2.货物必须符合或优于国家（行业）标准，以及本项目招标文件的质量要求和技术指标与出厂标准。</w:t>
      </w:r>
    </w:p>
    <w:p>
      <w:pPr>
        <w:pStyle w:val="102"/>
        <w:ind w:firstLine="480"/>
        <w:rPr>
          <w:rFonts w:hint="eastAsia" w:hAnsi="宋体" w:cs="仿宋"/>
          <w:color w:val="000000"/>
        </w:rPr>
      </w:pPr>
      <w:r>
        <w:rPr>
          <w:rFonts w:hint="eastAsia" w:hAnsi="宋体" w:cs="仿宋"/>
          <w:color w:val="000000"/>
        </w:rPr>
        <w:t>3.在使用过程中，货物质量出现问题，乙方应负责三包（包修、包换、包退），费用由乙方负担，甲方有权实地了解和检查乙方的货物质量和供货进度。</w:t>
      </w:r>
    </w:p>
    <w:p>
      <w:pPr>
        <w:pStyle w:val="102"/>
        <w:ind w:firstLine="480"/>
        <w:rPr>
          <w:rFonts w:hint="eastAsia" w:hAnsi="宋体" w:cs="仿宋"/>
          <w:color w:val="000000"/>
        </w:rPr>
      </w:pPr>
      <w:r>
        <w:rPr>
          <w:rFonts w:hint="eastAsia" w:hAnsi="宋体" w:cs="仿宋"/>
          <w:color w:val="000000"/>
        </w:rPr>
        <w:t>4.货到现场后交付甲方使用前由于乙方运输、装卸、保管不当造成的质量问题，采购人不负责修理，费用由乙方负担。</w:t>
      </w:r>
    </w:p>
    <w:p>
      <w:pPr>
        <w:pStyle w:val="102"/>
        <w:ind w:firstLine="480"/>
        <w:rPr>
          <w:rFonts w:hint="eastAsia" w:hAnsi="宋体" w:cs="仿宋"/>
          <w:color w:val="000000"/>
        </w:rPr>
      </w:pPr>
      <w:r>
        <w:rPr>
          <w:rFonts w:hint="eastAsia" w:hAnsi="宋体" w:cs="仿宋"/>
          <w:color w:val="000000"/>
        </w:rPr>
        <w:t>5.乙方须按照甲方提供的项目清单要求进行施工，达到或超过国家规范和相关质量要求，材料设备符合设计要求，乙方可根据现场情况对方案作细微调整，调整的内容须经采购人确认。</w:t>
      </w:r>
    </w:p>
    <w:p>
      <w:pPr>
        <w:pStyle w:val="102"/>
        <w:ind w:firstLine="480"/>
        <w:rPr>
          <w:rFonts w:hint="eastAsia" w:hAnsi="宋体" w:cs="仿宋"/>
          <w:color w:val="000000"/>
        </w:rPr>
      </w:pPr>
      <w:r>
        <w:rPr>
          <w:rFonts w:hint="eastAsia" w:hAnsi="宋体" w:cs="仿宋"/>
          <w:color w:val="000000"/>
        </w:rPr>
        <w:t>6.乙方在项目实施过程中如果维修质量不符合设计要求和有关规定，甲方要求停工和返工的必须立即执行，并承担由此产生的各种费用，总期限不予顺延。</w:t>
      </w:r>
    </w:p>
    <w:p>
      <w:pPr>
        <w:pStyle w:val="102"/>
        <w:ind w:firstLine="480"/>
        <w:rPr>
          <w:rFonts w:hint="eastAsia" w:hAnsi="宋体" w:cs="仿宋"/>
          <w:color w:val="000000"/>
        </w:rPr>
      </w:pPr>
      <w:r>
        <w:rPr>
          <w:rFonts w:hint="eastAsia" w:hAnsi="宋体" w:cs="仿宋"/>
          <w:color w:val="000000"/>
        </w:rPr>
        <w:t>7.乙方在项目实施过程中应严格遵守国家、省、市有关防火、爆破和安全以及文明、深夜施工、环卫城管等规定，建立规章制度和防护措施。否则，由此造成的经济和法律责任，均由供应商负责。</w:t>
      </w:r>
    </w:p>
    <w:p>
      <w:pPr>
        <w:pStyle w:val="102"/>
        <w:ind w:firstLine="480"/>
        <w:rPr>
          <w:rFonts w:hint="eastAsia" w:hAnsi="宋体" w:cs="仿宋"/>
          <w:color w:val="000000"/>
        </w:rPr>
      </w:pPr>
      <w:r>
        <w:rPr>
          <w:rFonts w:hint="eastAsia" w:hAnsi="宋体" w:cs="仿宋"/>
          <w:color w:val="000000"/>
        </w:rPr>
        <w:t>8.乙方应按安全施工的要求，采取严格科学的安全措施，确保施工安全和第三者的安全，承担由于自身安全措施不力所造成的事故责任和发生的费用。</w:t>
      </w:r>
    </w:p>
    <w:p>
      <w:pPr>
        <w:pStyle w:val="102"/>
        <w:ind w:firstLine="480"/>
        <w:rPr>
          <w:rFonts w:hint="eastAsia" w:hAnsi="宋体" w:cs="仿宋"/>
          <w:b/>
          <w:color w:val="000000"/>
          <w:sz w:val="28"/>
          <w:szCs w:val="28"/>
        </w:rPr>
      </w:pPr>
      <w:r>
        <w:rPr>
          <w:rFonts w:hint="eastAsia" w:hAnsi="宋体" w:cs="仿宋"/>
          <w:color w:val="000000"/>
        </w:rPr>
        <w:t>9.甲方可对乙方提供的货物进行抽检，由甲方随机抽样，送国家法定质量检验机构进行检测，提供的产品如果不符合招标文件要求及国家相关法律法规要求，甲方可终止采购合同，相应损失由乙方负责。</w:t>
      </w:r>
    </w:p>
    <w:p>
      <w:pPr>
        <w:rPr>
          <w:rFonts w:hint="eastAsia" w:hAnsi="宋体" w:cs="仿宋"/>
          <w:b/>
          <w:color w:val="000000"/>
          <w:sz w:val="24"/>
        </w:rPr>
      </w:pPr>
    </w:p>
    <w:p>
      <w:pPr>
        <w:rPr>
          <w:rFonts w:hint="eastAsia" w:hAnsi="宋体" w:cs="仿宋"/>
          <w:b/>
          <w:color w:val="000000"/>
          <w:sz w:val="24"/>
        </w:rPr>
      </w:pPr>
      <w:r>
        <w:rPr>
          <w:rFonts w:hint="eastAsia" w:hAnsi="宋体" w:cs="仿宋"/>
          <w:b/>
          <w:color w:val="000000"/>
          <w:sz w:val="24"/>
        </w:rPr>
        <w:t>四、交货及验收</w:t>
      </w:r>
    </w:p>
    <w:p>
      <w:pPr>
        <w:pStyle w:val="102"/>
        <w:ind w:firstLine="480"/>
        <w:rPr>
          <w:rFonts w:hint="eastAsia" w:hAnsi="宋体" w:cs="仿宋"/>
          <w:color w:val="000000"/>
        </w:rPr>
      </w:pPr>
      <w:r>
        <w:rPr>
          <w:rFonts w:hint="eastAsia" w:hAnsi="宋体" w:cs="仿宋"/>
          <w:color w:val="000000"/>
        </w:rPr>
        <w:t>1.签订合同后于2021年*月*日前完成安装并交付甲方使用。</w:t>
      </w:r>
    </w:p>
    <w:p>
      <w:pPr>
        <w:pStyle w:val="102"/>
        <w:ind w:firstLine="480"/>
        <w:rPr>
          <w:rFonts w:hint="eastAsia" w:hAnsi="宋体" w:cs="仿宋"/>
          <w:color w:val="000000"/>
        </w:rPr>
      </w:pPr>
      <w:r>
        <w:rPr>
          <w:rFonts w:hint="eastAsia" w:hAnsi="宋体" w:cs="仿宋"/>
          <w:color w:val="000000"/>
        </w:rPr>
        <w:t>2.验收由甲方组织，乙方配合进行：</w:t>
      </w:r>
    </w:p>
    <w:p>
      <w:pPr>
        <w:pStyle w:val="102"/>
        <w:ind w:firstLine="480"/>
        <w:rPr>
          <w:rFonts w:hint="eastAsia" w:hAnsi="宋体" w:cs="仿宋"/>
          <w:color w:val="000000"/>
        </w:rPr>
      </w:pPr>
      <w:r>
        <w:rPr>
          <w:rFonts w:hint="eastAsia" w:hAnsi="宋体" w:cs="仿宋"/>
          <w:color w:val="000000"/>
        </w:rPr>
        <w:t>(1）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102"/>
        <w:ind w:firstLine="480"/>
        <w:rPr>
          <w:rFonts w:hint="eastAsia" w:hAnsi="宋体" w:cs="仿宋"/>
          <w:color w:val="000000"/>
        </w:rPr>
      </w:pPr>
      <w:r>
        <w:rPr>
          <w:rFonts w:hint="eastAsia" w:hAnsi="宋体" w:cs="仿宋"/>
          <w:color w:val="000000"/>
        </w:rPr>
        <w:t>(2）验收标准：按国家有关规定以及甲方招标文件的质量要求和技术指标、乙方的响应文件及承诺与本合同约定标准进行验收；甲乙双方如对质量要求和技术指标的约定标准有相互抵触或异议的事项，由甲方在招标文件与响应文件中按质量要求和技术指标比较优胜的原则确定该项的约定标准进行验收；</w:t>
      </w:r>
    </w:p>
    <w:p>
      <w:pPr>
        <w:pStyle w:val="102"/>
        <w:ind w:firstLine="480"/>
        <w:rPr>
          <w:rFonts w:hint="eastAsia" w:hAnsi="宋体" w:cs="仿宋"/>
          <w:color w:val="000000"/>
        </w:rPr>
      </w:pPr>
      <w:r>
        <w:rPr>
          <w:rFonts w:hint="eastAsia" w:hAnsi="宋体" w:cs="仿宋"/>
          <w:color w:val="000000"/>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02"/>
        <w:ind w:firstLine="480"/>
        <w:rPr>
          <w:rFonts w:hint="eastAsia" w:hAnsi="宋体" w:cs="仿宋"/>
          <w:color w:val="000000"/>
        </w:rPr>
      </w:pPr>
      <w:r>
        <w:rPr>
          <w:rFonts w:hint="eastAsia" w:hAnsi="宋体" w:cs="仿宋"/>
          <w:color w:val="000000"/>
        </w:rPr>
        <w:t>（4）如质量验收合格，双方签署质量验收报告。</w:t>
      </w:r>
    </w:p>
    <w:p>
      <w:pPr>
        <w:pStyle w:val="102"/>
        <w:ind w:firstLine="480"/>
        <w:rPr>
          <w:rFonts w:hint="eastAsia" w:hAnsi="宋体" w:cs="仿宋"/>
          <w:color w:val="000000"/>
        </w:rPr>
      </w:pPr>
      <w:r>
        <w:rPr>
          <w:rFonts w:hint="eastAsia" w:hAnsi="宋体" w:cs="仿宋"/>
          <w:color w:val="000000"/>
        </w:rPr>
        <w:t>3.货物安装调试完毕后XXX日内，甲方无故不进行验收工作并已使用货物的，视同验收合格。</w:t>
      </w:r>
    </w:p>
    <w:p>
      <w:pPr>
        <w:pStyle w:val="102"/>
        <w:ind w:firstLine="480"/>
        <w:rPr>
          <w:rFonts w:hint="eastAsia" w:hAnsi="宋体" w:cs="仿宋"/>
          <w:color w:val="000000"/>
        </w:rPr>
      </w:pPr>
      <w:r>
        <w:rPr>
          <w:rFonts w:hint="eastAsia" w:hAnsi="宋体" w:cs="仿宋"/>
          <w:color w:val="000000"/>
        </w:rPr>
        <w:t>4.乙方应将所提供货物的装箱清单、配件、随机工具、用户使用手册、原厂保修卡等资料交付给甲方；乙方不能完整交付货物及本款规定的单证和工具的，必须负责补齐，否则视为未按合同约定交货。</w:t>
      </w:r>
    </w:p>
    <w:p>
      <w:pPr>
        <w:pStyle w:val="102"/>
        <w:ind w:firstLine="480"/>
        <w:rPr>
          <w:rFonts w:hint="eastAsia" w:hAnsi="宋体" w:cs="仿宋"/>
          <w:color w:val="000000"/>
        </w:rPr>
      </w:pPr>
      <w:r>
        <w:rPr>
          <w:rFonts w:hint="eastAsia" w:hAnsi="宋体" w:cs="仿宋"/>
          <w:color w:val="000000"/>
        </w:rPr>
        <w:t>5.如货物经乙方XXX次维修仍不能达到合同约定的质量标准，甲方有权退货，并视作乙方不能交付货物且须支付违约赔偿金给甲方，甲方还可依法追究乙方的违约责任。</w:t>
      </w:r>
    </w:p>
    <w:p>
      <w:pPr>
        <w:pStyle w:val="102"/>
        <w:ind w:firstLine="480"/>
        <w:rPr>
          <w:rFonts w:hint="eastAsia" w:hAnsi="宋体" w:cs="仿宋"/>
          <w:color w:val="000000"/>
        </w:rPr>
      </w:pPr>
      <w:r>
        <w:rPr>
          <w:rFonts w:hint="eastAsia" w:hAnsi="宋体" w:cs="仿宋"/>
          <w:color w:val="000000"/>
        </w:rPr>
        <w:t>6.其他未尽事宜应严格按照《四川省政府采购项目需求论证和履约验收管理办法》（川财采〔2015〕32号）的要求进行。</w:t>
      </w:r>
    </w:p>
    <w:p>
      <w:pPr>
        <w:ind w:firstLine="472" w:firstLineChars="196"/>
        <w:rPr>
          <w:rFonts w:hint="eastAsia" w:hAnsi="宋体" w:cs="仿宋"/>
          <w:b/>
          <w:color w:val="000000"/>
          <w:sz w:val="24"/>
        </w:rPr>
      </w:pPr>
    </w:p>
    <w:p>
      <w:pPr>
        <w:ind w:firstLine="472" w:firstLineChars="196"/>
        <w:rPr>
          <w:rFonts w:hint="eastAsia" w:hAnsi="宋体" w:cs="仿宋"/>
          <w:b/>
          <w:color w:val="000000"/>
          <w:sz w:val="24"/>
        </w:rPr>
      </w:pPr>
      <w:r>
        <w:rPr>
          <w:rFonts w:hint="eastAsia" w:hAnsi="宋体" w:cs="仿宋"/>
          <w:b/>
          <w:color w:val="000000"/>
          <w:sz w:val="24"/>
        </w:rPr>
        <w:t>五、付款方式</w:t>
      </w:r>
    </w:p>
    <w:p>
      <w:pPr>
        <w:spacing w:line="460" w:lineRule="exact"/>
        <w:ind w:firstLine="480" w:firstLineChars="200"/>
        <w:rPr>
          <w:rFonts w:hint="eastAsia" w:hAnsi="宋体"/>
          <w:color w:val="000000"/>
        </w:rPr>
      </w:pPr>
      <w:r>
        <w:rPr>
          <w:rFonts w:hint="eastAsia" w:hAnsi="宋体" w:cs="仿宋"/>
          <w:color w:val="000000"/>
          <w:sz w:val="24"/>
          <w:shd w:val="clear" w:color="auto" w:fill="FFFFFF"/>
          <w:lang w:bidi="ar"/>
        </w:rPr>
        <w:t>签订合同后采购人在3个工作日内支付合同金额的30%预付款，验收合格后10个工作日内由采购人支付合同金额的70%。采购人付款前，供应商须提供合法有效完整的完税发票及凭证资料。</w:t>
      </w:r>
    </w:p>
    <w:p>
      <w:pPr>
        <w:pStyle w:val="102"/>
        <w:ind w:firstLine="482"/>
        <w:rPr>
          <w:rFonts w:hint="eastAsia" w:hAnsi="宋体" w:cs="仿宋"/>
          <w:b/>
          <w:color w:val="000000"/>
        </w:rPr>
      </w:pPr>
    </w:p>
    <w:p>
      <w:pPr>
        <w:pStyle w:val="102"/>
        <w:ind w:firstLine="482"/>
        <w:rPr>
          <w:rFonts w:hint="eastAsia" w:hAnsi="宋体" w:cs="仿宋"/>
          <w:b/>
          <w:color w:val="000000"/>
        </w:rPr>
      </w:pPr>
      <w:r>
        <w:rPr>
          <w:rFonts w:hint="eastAsia" w:hAnsi="宋体" w:cs="仿宋"/>
          <w:b/>
          <w:color w:val="000000"/>
        </w:rPr>
        <w:t>六、售后服务</w:t>
      </w:r>
    </w:p>
    <w:p>
      <w:pPr>
        <w:pStyle w:val="102"/>
        <w:ind w:firstLine="480"/>
        <w:rPr>
          <w:rFonts w:hint="eastAsia" w:hAnsi="宋体" w:cs="仿宋"/>
          <w:color w:val="000000"/>
        </w:rPr>
      </w:pPr>
      <w:r>
        <w:rPr>
          <w:rFonts w:hint="eastAsia" w:hAnsi="宋体" w:cs="仿宋"/>
          <w:color w:val="000000"/>
        </w:rPr>
        <w:t>1.质保期为验收合格后</w:t>
      </w:r>
      <w:r>
        <w:rPr>
          <w:rFonts w:hAnsi="宋体" w:cs="仿宋"/>
          <w:color w:val="000000"/>
          <w:kern w:val="2"/>
          <w:szCs w:val="24"/>
        </w:rPr>
        <w:t>1</w:t>
      </w:r>
      <w:r>
        <w:rPr>
          <w:rFonts w:hint="eastAsia" w:hAnsi="宋体" w:cs="仿宋"/>
          <w:color w:val="000000"/>
          <w:kern w:val="2"/>
          <w:szCs w:val="24"/>
        </w:rPr>
        <w:t>年</w:t>
      </w:r>
      <w:r>
        <w:rPr>
          <w:rFonts w:hint="eastAsia" w:hAnsi="宋体" w:cs="仿宋"/>
          <w:color w:val="000000"/>
        </w:rPr>
        <w:t>，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102"/>
        <w:ind w:firstLine="480"/>
        <w:rPr>
          <w:rFonts w:hint="eastAsia" w:hAnsi="宋体" w:cs="仿宋"/>
          <w:b/>
          <w:color w:val="000000"/>
        </w:rPr>
      </w:pPr>
      <w:r>
        <w:rPr>
          <w:rFonts w:hint="eastAsia" w:hAnsi="宋体" w:cs="仿宋"/>
          <w:color w:val="000000"/>
        </w:rPr>
        <w:t>2.乙方须指派专人负责与甲方联系售后服务事宜。</w:t>
      </w:r>
    </w:p>
    <w:p>
      <w:pPr>
        <w:ind w:firstLine="472" w:firstLineChars="196"/>
        <w:rPr>
          <w:rFonts w:hint="eastAsia" w:hAnsi="宋体" w:cs="仿宋"/>
          <w:b/>
          <w:color w:val="000000"/>
          <w:sz w:val="24"/>
        </w:rPr>
      </w:pPr>
    </w:p>
    <w:p>
      <w:pPr>
        <w:ind w:firstLine="472" w:firstLineChars="196"/>
        <w:rPr>
          <w:rFonts w:hint="eastAsia" w:hAnsi="宋体" w:cs="仿宋"/>
          <w:b/>
          <w:color w:val="000000"/>
          <w:sz w:val="24"/>
        </w:rPr>
      </w:pPr>
      <w:r>
        <w:rPr>
          <w:rFonts w:hint="eastAsia" w:hAnsi="宋体" w:cs="仿宋"/>
          <w:b/>
          <w:color w:val="000000"/>
          <w:sz w:val="24"/>
        </w:rPr>
        <w:t>七、违约责任</w:t>
      </w:r>
    </w:p>
    <w:p>
      <w:pPr>
        <w:pStyle w:val="102"/>
        <w:widowControl w:val="0"/>
        <w:spacing w:line="360" w:lineRule="auto"/>
        <w:ind w:firstLine="480"/>
        <w:rPr>
          <w:rFonts w:hint="eastAsia" w:hAnsi="宋体" w:cs="仿宋"/>
          <w:color w:val="000000"/>
        </w:rPr>
      </w:pPr>
      <w:r>
        <w:rPr>
          <w:rFonts w:hint="eastAsia" w:hAnsi="宋体" w:cs="仿宋"/>
          <w:color w:val="000000"/>
        </w:rPr>
        <w:t>1.甲方违约责任</w:t>
      </w:r>
    </w:p>
    <w:p>
      <w:pPr>
        <w:pStyle w:val="102"/>
        <w:widowControl w:val="0"/>
        <w:wordWrap w:val="0"/>
        <w:spacing w:line="360" w:lineRule="auto"/>
        <w:ind w:firstLine="480"/>
        <w:rPr>
          <w:rFonts w:hint="eastAsia" w:hAnsi="宋体" w:cs="仿宋"/>
          <w:color w:val="000000"/>
        </w:rPr>
      </w:pPr>
      <w:r>
        <w:rPr>
          <w:rFonts w:hint="eastAsia" w:hAnsi="宋体" w:cs="仿宋"/>
          <w:color w:val="000000"/>
        </w:rPr>
        <w:t>（1）甲方无正当理由拒收货物的，甲方应偿付合同总价百分之</w:t>
      </w:r>
      <w:r>
        <w:rPr>
          <w:rFonts w:hint="eastAsia" w:hAnsi="宋体" w:cs="仿宋"/>
          <w:color w:val="000000"/>
          <w:u w:val="single"/>
        </w:rPr>
        <w:t xml:space="preserve">    </w:t>
      </w:r>
      <w:r>
        <w:rPr>
          <w:rFonts w:hint="eastAsia" w:hAnsi="宋体" w:cs="仿宋"/>
          <w:color w:val="000000"/>
        </w:rPr>
        <w:t>的违约金；</w:t>
      </w:r>
    </w:p>
    <w:p>
      <w:pPr>
        <w:pStyle w:val="102"/>
        <w:widowControl w:val="0"/>
        <w:wordWrap w:val="0"/>
        <w:spacing w:line="360" w:lineRule="auto"/>
        <w:ind w:firstLine="480"/>
        <w:rPr>
          <w:rFonts w:hint="eastAsia" w:hAnsi="宋体" w:cs="仿宋"/>
          <w:color w:val="000000"/>
        </w:rPr>
      </w:pPr>
      <w:r>
        <w:rPr>
          <w:rFonts w:hint="eastAsia" w:hAnsi="宋体" w:cs="仿宋"/>
          <w:color w:val="000000"/>
        </w:rPr>
        <w:t>（2）甲方逾期支付货款的，除应及时付足货款外，应向乙方偿付欠款总额万分之</w:t>
      </w:r>
      <w:r>
        <w:rPr>
          <w:rFonts w:hint="eastAsia" w:hAnsi="宋体" w:cs="仿宋"/>
          <w:color w:val="000000"/>
          <w:u w:val="single"/>
        </w:rPr>
        <w:t xml:space="preserve">   /天</w:t>
      </w:r>
      <w:r>
        <w:rPr>
          <w:rFonts w:hint="eastAsia" w:hAnsi="宋体" w:cs="仿宋"/>
          <w:color w:val="000000"/>
        </w:rPr>
        <w:t>的违约金；逾期付款超过</w:t>
      </w:r>
      <w:r>
        <w:rPr>
          <w:rFonts w:hint="eastAsia" w:hAnsi="宋体" w:cs="仿宋"/>
          <w:color w:val="000000"/>
          <w:u w:val="single"/>
        </w:rPr>
        <w:t xml:space="preserve">   </w:t>
      </w:r>
      <w:r>
        <w:rPr>
          <w:rFonts w:hint="eastAsia" w:hAnsi="宋体" w:cs="仿宋"/>
          <w:color w:val="000000"/>
        </w:rPr>
        <w:t>天的，乙方有权终止合同；</w:t>
      </w:r>
    </w:p>
    <w:p>
      <w:pPr>
        <w:pStyle w:val="102"/>
        <w:widowControl w:val="0"/>
        <w:wordWrap w:val="0"/>
        <w:spacing w:line="360" w:lineRule="auto"/>
        <w:ind w:firstLine="480"/>
        <w:rPr>
          <w:rFonts w:hint="eastAsia" w:hAnsi="宋体" w:cs="仿宋"/>
          <w:color w:val="000000"/>
        </w:rPr>
      </w:pPr>
      <w:r>
        <w:rPr>
          <w:rFonts w:hint="eastAsia" w:hAnsi="宋体" w:cs="仿宋"/>
          <w:color w:val="000000"/>
        </w:rPr>
        <w:t>（3）甲方偿付的违约金不足以弥补乙方损失的，还应按乙方损失尚未弥补的部分，支付赔偿金给乙方。</w:t>
      </w:r>
    </w:p>
    <w:p>
      <w:pPr>
        <w:pStyle w:val="102"/>
        <w:widowControl w:val="0"/>
        <w:wordWrap w:val="0"/>
        <w:spacing w:line="360" w:lineRule="auto"/>
        <w:ind w:firstLine="480"/>
        <w:rPr>
          <w:rFonts w:hint="eastAsia" w:hAnsi="宋体" w:cs="仿宋"/>
          <w:color w:val="000000"/>
        </w:rPr>
      </w:pPr>
      <w:r>
        <w:rPr>
          <w:rFonts w:hint="eastAsia" w:hAnsi="宋体" w:cs="仿宋"/>
          <w:color w:val="000000"/>
        </w:rPr>
        <w:t>2.乙方违约责任</w:t>
      </w:r>
    </w:p>
    <w:p>
      <w:pPr>
        <w:pStyle w:val="102"/>
        <w:widowControl w:val="0"/>
        <w:wordWrap w:val="0"/>
        <w:spacing w:line="360" w:lineRule="auto"/>
        <w:ind w:firstLine="480"/>
        <w:rPr>
          <w:rFonts w:hint="eastAsia" w:hAnsi="宋体" w:cs="仿宋"/>
          <w:color w:val="000000"/>
        </w:rPr>
      </w:pPr>
      <w:r>
        <w:rPr>
          <w:rFonts w:hint="eastAsia" w:hAnsi="宋体" w:cs="仿宋"/>
          <w:color w:val="000000"/>
        </w:rPr>
        <w:t>（1）乙方交付的货物质量不符合合同规定的，乙方应向甲方支付合同总价的百分之</w:t>
      </w:r>
      <w:r>
        <w:rPr>
          <w:rFonts w:hint="eastAsia" w:hAnsi="宋体" w:cs="仿宋"/>
          <w:color w:val="000000"/>
          <w:u w:val="single"/>
        </w:rPr>
        <w:t xml:space="preserve">      </w:t>
      </w:r>
      <w:r>
        <w:rPr>
          <w:rFonts w:hint="eastAsia" w:hAnsi="宋体" w:cs="仿宋"/>
          <w:color w:val="000000"/>
        </w:rPr>
        <w:t>的违约金，并须在合同规定的交货时间内更换合格的货物给甲方，否则，视作乙方不能交付货物而违约，按本条本款下述第“（2）”项规定由乙方偿付违约赔偿金给甲方。</w:t>
      </w:r>
    </w:p>
    <w:p>
      <w:pPr>
        <w:pStyle w:val="102"/>
        <w:widowControl w:val="0"/>
        <w:wordWrap w:val="0"/>
        <w:spacing w:line="360" w:lineRule="auto"/>
        <w:ind w:firstLine="480"/>
        <w:rPr>
          <w:rFonts w:hint="eastAsia" w:hAnsi="宋体" w:cs="仿宋"/>
          <w:color w:val="000000"/>
        </w:rPr>
      </w:pPr>
      <w:r>
        <w:rPr>
          <w:rFonts w:hint="eastAsia" w:hAnsi="宋体" w:cs="仿宋"/>
          <w:color w:val="000000"/>
        </w:rPr>
        <w:t>（2）乙方不能交付货物或逾期交付货物而违约的，除应及时交足货物外，应向甲方偿付逾期交货部分货款总额的万分之</w:t>
      </w:r>
      <w:r>
        <w:rPr>
          <w:rFonts w:hint="eastAsia" w:hAnsi="宋体" w:cs="仿宋"/>
          <w:color w:val="000000"/>
          <w:u w:val="single"/>
        </w:rPr>
        <w:t xml:space="preserve">   </w:t>
      </w:r>
      <w:r>
        <w:rPr>
          <w:rFonts w:hint="eastAsia" w:hAnsi="宋体" w:cs="仿宋"/>
          <w:color w:val="000000"/>
        </w:rPr>
        <w:t>/天的违约金；逾期交货超过</w:t>
      </w:r>
      <w:r>
        <w:rPr>
          <w:rFonts w:hint="eastAsia" w:hAnsi="宋体" w:cs="仿宋"/>
          <w:color w:val="000000"/>
          <w:u w:val="single"/>
        </w:rPr>
        <w:t xml:space="preserve">     </w:t>
      </w:r>
      <w:r>
        <w:rPr>
          <w:rFonts w:hint="eastAsia" w:hAnsi="宋体" w:cs="仿宋"/>
          <w:color w:val="000000"/>
        </w:rPr>
        <w:t>天，甲方有权终止合同，乙方则应按合同总价的百分之</w:t>
      </w:r>
      <w:r>
        <w:rPr>
          <w:rFonts w:hint="eastAsia" w:hAnsi="宋体" w:cs="仿宋"/>
          <w:color w:val="000000"/>
          <w:u w:val="single"/>
        </w:rPr>
        <w:t xml:space="preserve">      </w:t>
      </w:r>
      <w:r>
        <w:rPr>
          <w:rFonts w:hint="eastAsia" w:hAnsi="宋体" w:cs="仿宋"/>
          <w:color w:val="000000"/>
        </w:rPr>
        <w:t>的款额向甲方偿付赔偿金，并须全额退还甲方已经付给乙方的货款及其利息。</w:t>
      </w:r>
    </w:p>
    <w:p>
      <w:pPr>
        <w:pStyle w:val="102"/>
        <w:widowControl w:val="0"/>
        <w:wordWrap w:val="0"/>
        <w:spacing w:line="360" w:lineRule="auto"/>
        <w:ind w:firstLine="480"/>
        <w:rPr>
          <w:rFonts w:hint="eastAsia" w:hAnsi="宋体" w:cs="仿宋"/>
          <w:color w:val="000000"/>
        </w:rPr>
      </w:pPr>
      <w:r>
        <w:rPr>
          <w:rFonts w:hint="eastAsia" w:hAnsi="宋体" w:cs="仿宋"/>
          <w:color w:val="000000"/>
        </w:rPr>
        <w:t>（3）乙方货物经甲方送交具有法定资格条件的质量技术监督机构检测后，如检测结果认定货物质量不符合本合同规定标准的，则视为乙方没有按时交货而违约，乙方须在</w:t>
      </w:r>
      <w:r>
        <w:rPr>
          <w:rFonts w:hint="eastAsia" w:hAnsi="宋体" w:cs="仿宋"/>
          <w:color w:val="000000"/>
          <w:u w:val="single"/>
        </w:rPr>
        <w:t xml:space="preserve">   </w:t>
      </w:r>
      <w:r>
        <w:rPr>
          <w:rFonts w:hint="eastAsia" w:hAnsi="宋体" w:cs="仿宋"/>
          <w:color w:val="000000"/>
        </w:rPr>
        <w:t>天内无条件更换合格的货物，如逾期不能更换合格的货物，甲方有权终止本合同，乙方应另付合同总价的百分之</w:t>
      </w:r>
      <w:r>
        <w:rPr>
          <w:rFonts w:hint="eastAsia" w:hAnsi="宋体" w:cs="仿宋"/>
          <w:color w:val="000000"/>
          <w:u w:val="single"/>
        </w:rPr>
        <w:t xml:space="preserve">     </w:t>
      </w:r>
      <w:r>
        <w:rPr>
          <w:rFonts w:hint="eastAsia" w:hAnsi="宋体" w:cs="仿宋"/>
          <w:color w:val="000000"/>
        </w:rPr>
        <w:t>的赔偿金给甲方。</w:t>
      </w:r>
    </w:p>
    <w:p>
      <w:pPr>
        <w:pStyle w:val="102"/>
        <w:widowControl w:val="0"/>
        <w:wordWrap w:val="0"/>
        <w:spacing w:line="360" w:lineRule="auto"/>
        <w:ind w:firstLine="480"/>
        <w:rPr>
          <w:rFonts w:hint="eastAsia" w:hAnsi="宋体" w:cs="仿宋"/>
          <w:color w:val="000000"/>
        </w:rPr>
      </w:pPr>
      <w:r>
        <w:rPr>
          <w:rFonts w:hint="eastAsia" w:hAnsi="宋体" w:cs="仿宋"/>
          <w:color w:val="000000"/>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hAnsi="宋体" w:cs="仿宋"/>
          <w:color w:val="000000"/>
          <w:u w:val="single"/>
        </w:rPr>
        <w:t xml:space="preserve">   </w:t>
      </w:r>
      <w:r>
        <w:rPr>
          <w:rFonts w:hint="eastAsia" w:hAnsi="宋体" w:cs="仿宋"/>
          <w:color w:val="000000"/>
        </w:rPr>
        <w:t>向甲方支付违约金并赔偿因此给甲方造成的一切损失。</w:t>
      </w:r>
    </w:p>
    <w:p>
      <w:pPr>
        <w:pStyle w:val="102"/>
        <w:widowControl w:val="0"/>
        <w:wordWrap w:val="0"/>
        <w:spacing w:line="360" w:lineRule="auto"/>
        <w:ind w:firstLine="480"/>
        <w:rPr>
          <w:rFonts w:hint="eastAsia" w:hAnsi="宋体" w:cs="仿宋"/>
          <w:color w:val="000000"/>
        </w:rPr>
      </w:pPr>
      <w:r>
        <w:rPr>
          <w:rFonts w:hint="eastAsia" w:hAnsi="宋体" w:cs="仿宋"/>
          <w:color w:val="000000"/>
        </w:rPr>
        <w:t>（5）乙方偿付的违约金不足以弥补甲方损失的，还应按甲方损失尚未弥补的部分，支付赔偿金给甲方。</w:t>
      </w:r>
    </w:p>
    <w:p>
      <w:pPr>
        <w:ind w:firstLine="361" w:firstLineChars="150"/>
        <w:rPr>
          <w:rFonts w:hint="eastAsia" w:hAnsi="宋体" w:cs="仿宋"/>
          <w:b/>
          <w:color w:val="000000"/>
          <w:sz w:val="24"/>
        </w:rPr>
      </w:pPr>
    </w:p>
    <w:p>
      <w:pPr>
        <w:ind w:firstLine="479" w:firstLineChars="199"/>
        <w:rPr>
          <w:rFonts w:hint="eastAsia" w:hAnsi="宋体" w:cs="仿宋"/>
          <w:b/>
          <w:color w:val="000000"/>
          <w:sz w:val="24"/>
        </w:rPr>
      </w:pPr>
      <w:r>
        <w:rPr>
          <w:rFonts w:hint="eastAsia" w:hAnsi="宋体" w:cs="仿宋"/>
          <w:b/>
          <w:color w:val="000000"/>
          <w:sz w:val="24"/>
        </w:rPr>
        <w:t>八、争议解决办法</w:t>
      </w:r>
    </w:p>
    <w:p>
      <w:pPr>
        <w:pStyle w:val="102"/>
        <w:ind w:firstLine="480"/>
        <w:rPr>
          <w:rFonts w:hint="eastAsia" w:hAnsi="宋体" w:cs="仿宋"/>
          <w:color w:val="000000"/>
        </w:rPr>
      </w:pPr>
      <w:r>
        <w:rPr>
          <w:rFonts w:hint="eastAsia" w:hAnsi="宋体" w:cs="仿宋"/>
          <w:color w:val="000000"/>
        </w:rPr>
        <w:t>1.因货物的质量问题发生争议，由质量技术监督部门或其指定的质量鉴定机构进行质量鉴定。货物符合标准的，鉴定费由甲方承担；货物不符合质量标准的，鉴定费由乙方承担。</w:t>
      </w:r>
    </w:p>
    <w:p>
      <w:pPr>
        <w:pStyle w:val="102"/>
        <w:ind w:firstLine="480"/>
        <w:rPr>
          <w:rFonts w:hint="eastAsia" w:hAnsi="宋体" w:cs="仿宋"/>
          <w:color w:val="000000"/>
        </w:rPr>
      </w:pPr>
      <w:r>
        <w:rPr>
          <w:rFonts w:hint="eastAsia" w:hAnsi="宋体" w:cs="仿宋"/>
          <w:color w:val="000000"/>
        </w:rPr>
        <w:t>2.合同履行期间，若双方发生争议，可协商或由有关部门调解解决，协商或调解不成的，由当事人依法维护其合法权益。</w:t>
      </w:r>
    </w:p>
    <w:p>
      <w:pPr>
        <w:ind w:firstLine="361" w:firstLineChars="150"/>
        <w:rPr>
          <w:rFonts w:hint="eastAsia" w:hAnsi="宋体" w:cs="仿宋"/>
          <w:b/>
          <w:color w:val="000000"/>
          <w:sz w:val="24"/>
        </w:rPr>
      </w:pPr>
    </w:p>
    <w:p>
      <w:pPr>
        <w:ind w:firstLine="479" w:firstLineChars="199"/>
        <w:rPr>
          <w:rFonts w:hint="eastAsia" w:hAnsi="宋体" w:cs="仿宋"/>
          <w:b/>
          <w:color w:val="000000"/>
          <w:sz w:val="24"/>
        </w:rPr>
      </w:pPr>
      <w:r>
        <w:rPr>
          <w:rFonts w:hint="eastAsia" w:hAnsi="宋体" w:cs="仿宋"/>
          <w:b/>
          <w:color w:val="000000"/>
          <w:sz w:val="24"/>
        </w:rPr>
        <w:t>九、其他</w:t>
      </w:r>
    </w:p>
    <w:p>
      <w:pPr>
        <w:pStyle w:val="102"/>
        <w:ind w:firstLine="480"/>
        <w:rPr>
          <w:rFonts w:hint="eastAsia" w:hAnsi="宋体" w:cs="仿宋"/>
          <w:color w:val="000000"/>
        </w:rPr>
      </w:pPr>
      <w:r>
        <w:rPr>
          <w:rFonts w:hint="eastAsia" w:hAnsi="宋体" w:cs="仿宋"/>
          <w:color w:val="000000"/>
        </w:rPr>
        <w:t>1.若本次采购项目涉及商品包装和快递包装的，乙方应当按照（财办库〔2020〕123号）和采购文件规定的具体包装要求执行。甲方也应当按照（财办库〔2020〕123号）和采购文件规定的具体包装要求进行验收，必要时可要求乙方在履约验收环节出具检测报告。</w:t>
      </w:r>
    </w:p>
    <w:p>
      <w:pPr>
        <w:pStyle w:val="102"/>
        <w:ind w:firstLine="480"/>
        <w:rPr>
          <w:rFonts w:hint="eastAsia" w:hAnsi="宋体" w:cs="仿宋"/>
          <w:color w:val="000000"/>
        </w:rPr>
      </w:pPr>
      <w:r>
        <w:rPr>
          <w:rFonts w:hint="eastAsia" w:hAnsi="宋体" w:cs="仿宋"/>
          <w:color w:val="000000"/>
        </w:rPr>
        <w:t>2.如有未尽事宜，由双方依法订立补充合同。</w:t>
      </w:r>
    </w:p>
    <w:p>
      <w:pPr>
        <w:pStyle w:val="102"/>
        <w:ind w:firstLine="480"/>
        <w:rPr>
          <w:rFonts w:hint="eastAsia" w:hAnsi="宋体" w:cs="仿宋"/>
          <w:color w:val="000000"/>
        </w:rPr>
      </w:pPr>
      <w:r>
        <w:rPr>
          <w:rFonts w:hint="eastAsia" w:hAnsi="宋体" w:cs="仿宋"/>
          <w:color w:val="000000"/>
        </w:rPr>
        <w:t>3.本合同一式四份，自双方签章后生效。甲方、乙方、政府采购管理部门、采购代理机构各一份。</w:t>
      </w:r>
    </w:p>
    <w:p>
      <w:pPr>
        <w:pStyle w:val="79"/>
        <w:spacing w:line="360" w:lineRule="auto"/>
        <w:ind w:firstLine="0" w:firstLineChars="0"/>
        <w:rPr>
          <w:rFonts w:hint="eastAsia" w:hAnsi="宋体" w:cs="仿宋"/>
          <w:color w:val="000000"/>
          <w:sz w:val="24"/>
        </w:rPr>
      </w:pPr>
    </w:p>
    <w:p>
      <w:pPr>
        <w:spacing w:line="400" w:lineRule="exact"/>
        <w:ind w:firstLine="480" w:firstLineChars="200"/>
        <w:rPr>
          <w:rFonts w:hint="eastAsia" w:hAnsi="宋体" w:cs="仿宋"/>
          <w:color w:val="000000"/>
          <w:sz w:val="24"/>
        </w:rPr>
      </w:pPr>
      <w:r>
        <w:rPr>
          <w:rFonts w:hint="eastAsia" w:hAnsi="宋体" w:cs="仿宋"/>
          <w:color w:val="000000"/>
          <w:sz w:val="24"/>
        </w:rPr>
        <w:t xml:space="preserve">甲方：   （盖公章）   </w:t>
      </w:r>
      <w:r>
        <w:rPr>
          <w:rFonts w:hint="eastAsia" w:hAnsi="宋体" w:cs="仿宋"/>
          <w:color w:val="000000"/>
          <w:sz w:val="24"/>
        </w:rPr>
        <w:tab/>
      </w:r>
      <w:r>
        <w:rPr>
          <w:rFonts w:hint="eastAsia" w:hAnsi="宋体" w:cs="仿宋"/>
          <w:color w:val="000000"/>
          <w:sz w:val="24"/>
        </w:rPr>
        <w:tab/>
      </w:r>
      <w:r>
        <w:rPr>
          <w:rFonts w:hint="eastAsia" w:hAnsi="宋体" w:cs="仿宋"/>
          <w:color w:val="000000"/>
          <w:sz w:val="24"/>
        </w:rPr>
        <w:t xml:space="preserve">        乙方：   （盖公章）</w:t>
      </w:r>
    </w:p>
    <w:p>
      <w:pPr>
        <w:spacing w:line="400" w:lineRule="exact"/>
        <w:ind w:firstLine="480" w:firstLineChars="200"/>
        <w:rPr>
          <w:rFonts w:hint="eastAsia" w:hAnsi="宋体" w:cs="仿宋"/>
          <w:color w:val="000000"/>
          <w:sz w:val="24"/>
        </w:rPr>
      </w:pPr>
      <w:r>
        <w:rPr>
          <w:rFonts w:hint="eastAsia" w:hAnsi="宋体" w:cs="仿宋"/>
          <w:color w:val="000000"/>
          <w:sz w:val="24"/>
        </w:rPr>
        <w:t>法定代表人（授权代表）：           法定代表人（授权代表）：</w:t>
      </w:r>
    </w:p>
    <w:p>
      <w:pPr>
        <w:spacing w:line="400" w:lineRule="exact"/>
        <w:ind w:firstLine="480" w:firstLineChars="200"/>
        <w:rPr>
          <w:rFonts w:hint="eastAsia" w:hAnsi="宋体" w:cs="仿宋"/>
          <w:color w:val="000000"/>
          <w:sz w:val="24"/>
        </w:rPr>
      </w:pPr>
      <w:r>
        <w:rPr>
          <w:rFonts w:hint="eastAsia" w:hAnsi="宋体" w:cs="仿宋"/>
          <w:color w:val="000000"/>
          <w:sz w:val="24"/>
        </w:rPr>
        <w:t>地    址：                         地    址：</w:t>
      </w:r>
    </w:p>
    <w:p>
      <w:pPr>
        <w:spacing w:line="400" w:lineRule="exact"/>
        <w:ind w:firstLine="480" w:firstLineChars="200"/>
        <w:rPr>
          <w:rFonts w:hint="eastAsia" w:hAnsi="宋体" w:cs="仿宋"/>
          <w:color w:val="000000"/>
          <w:sz w:val="24"/>
        </w:rPr>
      </w:pPr>
      <w:r>
        <w:rPr>
          <w:rFonts w:hint="eastAsia" w:hAnsi="宋体" w:cs="仿宋"/>
          <w:color w:val="000000"/>
          <w:sz w:val="24"/>
        </w:rPr>
        <w:t>开户银行：                         开户银行：</w:t>
      </w:r>
    </w:p>
    <w:p>
      <w:pPr>
        <w:spacing w:line="400" w:lineRule="exact"/>
        <w:ind w:firstLine="480" w:firstLineChars="200"/>
        <w:rPr>
          <w:rFonts w:hint="eastAsia" w:hAnsi="宋体" w:cs="仿宋"/>
          <w:color w:val="000000"/>
          <w:sz w:val="24"/>
        </w:rPr>
      </w:pPr>
      <w:r>
        <w:rPr>
          <w:rFonts w:hint="eastAsia" w:hAnsi="宋体" w:cs="仿宋"/>
          <w:color w:val="000000"/>
          <w:sz w:val="24"/>
        </w:rPr>
        <w:t>账号：                             账号：</w:t>
      </w:r>
    </w:p>
    <w:p>
      <w:pPr>
        <w:spacing w:line="400" w:lineRule="exact"/>
        <w:ind w:firstLine="480" w:firstLineChars="200"/>
        <w:rPr>
          <w:rFonts w:hint="eastAsia" w:hAnsi="宋体" w:cs="仿宋"/>
          <w:color w:val="000000"/>
          <w:sz w:val="24"/>
        </w:rPr>
      </w:pPr>
      <w:r>
        <w:rPr>
          <w:rFonts w:hint="eastAsia" w:hAnsi="宋体" w:cs="仿宋"/>
          <w:color w:val="000000"/>
          <w:sz w:val="24"/>
        </w:rPr>
        <w:t>电    话：                         电    话：</w:t>
      </w:r>
    </w:p>
    <w:p>
      <w:pPr>
        <w:spacing w:line="400" w:lineRule="exact"/>
        <w:ind w:firstLine="480" w:firstLineChars="200"/>
        <w:rPr>
          <w:rFonts w:hint="eastAsia" w:hAnsi="宋体" w:cs="仿宋"/>
          <w:color w:val="000000"/>
          <w:sz w:val="24"/>
        </w:rPr>
      </w:pPr>
      <w:r>
        <w:rPr>
          <w:rFonts w:hint="eastAsia" w:hAnsi="宋体" w:cs="仿宋"/>
          <w:color w:val="000000"/>
          <w:sz w:val="24"/>
        </w:rPr>
        <w:t>传    真：                         传    真：</w:t>
      </w:r>
    </w:p>
    <w:p>
      <w:pPr>
        <w:spacing w:line="400" w:lineRule="exact"/>
        <w:ind w:firstLine="480" w:firstLineChars="200"/>
        <w:rPr>
          <w:rFonts w:hAnsi="宋体"/>
          <w:color w:val="000000"/>
        </w:rPr>
      </w:pPr>
      <w:r>
        <w:rPr>
          <w:rFonts w:hint="eastAsia" w:hAnsi="宋体" w:cs="仿宋"/>
          <w:color w:val="000000"/>
          <w:sz w:val="24"/>
        </w:rPr>
        <w:t xml:space="preserve">签约日期：XX年XX月XX日 </w:t>
      </w:r>
      <w:r>
        <w:rPr>
          <w:rFonts w:hint="eastAsia" w:hAnsi="宋体" w:cs="仿宋"/>
          <w:color w:val="000000"/>
          <w:sz w:val="24"/>
        </w:rPr>
        <w:tab/>
      </w:r>
      <w:r>
        <w:rPr>
          <w:rFonts w:hint="eastAsia" w:hAnsi="宋体" w:cs="仿宋"/>
          <w:color w:val="000000"/>
          <w:sz w:val="24"/>
        </w:rPr>
        <w:tab/>
      </w:r>
      <w:r>
        <w:rPr>
          <w:rFonts w:hint="eastAsia" w:hAnsi="宋体" w:cs="仿宋"/>
          <w:color w:val="000000"/>
          <w:sz w:val="24"/>
        </w:rPr>
        <w:tab/>
      </w:r>
      <w:r>
        <w:rPr>
          <w:rFonts w:hint="eastAsia" w:hAnsi="宋体" w:cs="仿宋"/>
          <w:color w:val="000000"/>
          <w:sz w:val="24"/>
        </w:rPr>
        <w:t>签约日期：XX年XX月XX日</w:t>
      </w:r>
    </w:p>
    <w:p>
      <w:pPr>
        <w:tabs>
          <w:tab w:val="left" w:pos="1155"/>
          <w:tab w:val="left" w:pos="1276"/>
          <w:tab w:val="left" w:pos="1418"/>
        </w:tabs>
        <w:spacing w:line="580" w:lineRule="exact"/>
        <w:rPr>
          <w:rFonts w:eastAsia="仿宋"/>
          <w:szCs w:val="21"/>
        </w:rPr>
      </w:pPr>
    </w:p>
    <w:bookmarkEnd w:id="218"/>
    <w:bookmarkEnd w:id="219"/>
    <w:bookmarkEnd w:id="220"/>
    <w:p>
      <w:pPr>
        <w:rPr>
          <w:rFonts w:ascii="宋体" w:hAnsi="宋体" w:cs="Tahoma"/>
          <w:b/>
          <w:sz w:val="30"/>
          <w:szCs w:val="30"/>
        </w:rPr>
      </w:pPr>
      <w:r>
        <w:rPr>
          <w:rFonts w:hint="eastAsia" w:ascii="宋体" w:hAnsi="宋体" w:cs="Tahoma"/>
          <w:b/>
          <w:sz w:val="30"/>
          <w:szCs w:val="30"/>
        </w:rPr>
        <w:t>附件</w:t>
      </w:r>
    </w:p>
    <w:p>
      <w: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p/>
    <w:p/>
    <w:p/>
    <w:p/>
    <w:p>
      <w: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
    <w:p/>
    <w:p/>
    <w:p/>
    <w:p/>
    <w:p/>
    <w:p>
      <w: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
    <w:p/>
    <w:p/>
    <w:p/>
    <w:p/>
    <w:p/>
    <w:p/>
    <w:p/>
    <w:p/>
    <w:p>
      <w: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
    <w:p/>
    <w:p/>
    <w:p/>
    <w:p>
      <w: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
    <w:p/>
    <w:p/>
    <w:p/>
    <w:p/>
    <w:p/>
    <w:p/>
    <w:p/>
    <w:p/>
    <w:p/>
    <w:p>
      <w: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
    <w:p/>
    <w:p/>
    <w:p/>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1">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2">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9">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B246E06"/>
    <w:multiLevelType w:val="multilevel"/>
    <w:tmpl w:val="1B246E06"/>
    <w:lvl w:ilvl="0" w:tentative="0">
      <w:start w:val="1"/>
      <w:numFmt w:val="japaneseCounting"/>
      <w:lvlText w:val="%1、"/>
      <w:lvlJc w:val="left"/>
      <w:pPr>
        <w:ind w:left="1356"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2">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2B883668"/>
    <w:multiLevelType w:val="multilevel"/>
    <w:tmpl w:val="2B883668"/>
    <w:lvl w:ilvl="0" w:tentative="0">
      <w:start w:val="1"/>
      <w:numFmt w:val="chineseCountingThousand"/>
      <w:lvlText w:val="(%1)"/>
      <w:lvlJc w:val="left"/>
      <w:pPr>
        <w:ind w:left="297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6">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0">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1">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54410692"/>
    <w:multiLevelType w:val="multilevel"/>
    <w:tmpl w:val="54410692"/>
    <w:lvl w:ilvl="0" w:tentative="0">
      <w:start w:val="1"/>
      <w:numFmt w:val="japaneseCounting"/>
      <w:lvlText w:val="%1、"/>
      <w:lvlJc w:val="left"/>
      <w:pPr>
        <w:ind w:left="3394" w:hanging="1125"/>
      </w:pPr>
      <w:rPr>
        <w:rFonts w:hint="default"/>
        <w:b/>
        <w:sz w:val="28"/>
      </w:rPr>
    </w:lvl>
    <w:lvl w:ilvl="1" w:tentative="0">
      <w:start w:val="1"/>
      <w:numFmt w:val="lowerLetter"/>
      <w:lvlText w:val="%2)"/>
      <w:lvlJc w:val="left"/>
      <w:pPr>
        <w:ind w:left="2242" w:hanging="420"/>
      </w:pPr>
    </w:lvl>
    <w:lvl w:ilvl="2" w:tentative="0">
      <w:start w:val="1"/>
      <w:numFmt w:val="lowerRoman"/>
      <w:lvlText w:val="%3."/>
      <w:lvlJc w:val="right"/>
      <w:pPr>
        <w:ind w:left="2662" w:hanging="420"/>
      </w:pPr>
    </w:lvl>
    <w:lvl w:ilvl="3" w:tentative="0">
      <w:start w:val="1"/>
      <w:numFmt w:val="decimal"/>
      <w:lvlText w:val="%4."/>
      <w:lvlJc w:val="left"/>
      <w:pPr>
        <w:ind w:left="3082" w:hanging="420"/>
      </w:pPr>
    </w:lvl>
    <w:lvl w:ilvl="4" w:tentative="0">
      <w:start w:val="1"/>
      <w:numFmt w:val="lowerLetter"/>
      <w:lvlText w:val="%5)"/>
      <w:lvlJc w:val="left"/>
      <w:pPr>
        <w:ind w:left="3502" w:hanging="420"/>
      </w:pPr>
    </w:lvl>
    <w:lvl w:ilvl="5" w:tentative="0">
      <w:start w:val="1"/>
      <w:numFmt w:val="lowerRoman"/>
      <w:lvlText w:val="%6."/>
      <w:lvlJc w:val="right"/>
      <w:pPr>
        <w:ind w:left="3922" w:hanging="420"/>
      </w:pPr>
    </w:lvl>
    <w:lvl w:ilvl="6" w:tentative="0">
      <w:start w:val="1"/>
      <w:numFmt w:val="decimal"/>
      <w:lvlText w:val="%7."/>
      <w:lvlJc w:val="left"/>
      <w:pPr>
        <w:ind w:left="4342" w:hanging="420"/>
      </w:pPr>
    </w:lvl>
    <w:lvl w:ilvl="7" w:tentative="0">
      <w:start w:val="1"/>
      <w:numFmt w:val="lowerLetter"/>
      <w:lvlText w:val="%8)"/>
      <w:lvlJc w:val="left"/>
      <w:pPr>
        <w:ind w:left="4762" w:hanging="420"/>
      </w:pPr>
    </w:lvl>
    <w:lvl w:ilvl="8" w:tentative="0">
      <w:start w:val="1"/>
      <w:numFmt w:val="lowerRoman"/>
      <w:lvlText w:val="%9."/>
      <w:lvlJc w:val="right"/>
      <w:pPr>
        <w:ind w:left="5182" w:hanging="420"/>
      </w:pPr>
    </w:lvl>
  </w:abstractNum>
  <w:abstractNum w:abstractNumId="37">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617229B6"/>
    <w:multiLevelType w:val="multilevel"/>
    <w:tmpl w:val="617229B6"/>
    <w:lvl w:ilvl="0" w:tentative="0">
      <w:start w:val="1"/>
      <w:numFmt w:val="chineseCountingThousand"/>
      <w:lvlText w:val="%1、"/>
      <w:lvlJc w:val="left"/>
      <w:pPr>
        <w:ind w:left="96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3">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5">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7">
    <w:nsid w:val="79C5583B"/>
    <w:multiLevelType w:val="multilevel"/>
    <w:tmpl w:val="79C5583B"/>
    <w:lvl w:ilvl="0" w:tentative="0">
      <w:start w:val="1"/>
      <w:numFmt w:val="chineseCountingThousand"/>
      <w:lvlText w:val="%1、"/>
      <w:lvlJc w:val="left"/>
      <w:pPr>
        <w:ind w:left="982" w:hanging="420"/>
      </w:pPr>
      <w:rPr>
        <w:rFonts w:hint="eastAsia"/>
        <w:b w:val="0"/>
        <w:highlight w:val="none"/>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8">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1"/>
  </w:num>
  <w:num w:numId="2">
    <w:abstractNumId w:val="6"/>
  </w:num>
  <w:num w:numId="3">
    <w:abstractNumId w:val="2"/>
  </w:num>
  <w:num w:numId="4">
    <w:abstractNumId w:val="2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47"/>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72A27"/>
    <w:rsid w:val="000042B8"/>
    <w:rsid w:val="000174E4"/>
    <w:rsid w:val="00026529"/>
    <w:rsid w:val="00026B21"/>
    <w:rsid w:val="00027703"/>
    <w:rsid w:val="0005344D"/>
    <w:rsid w:val="0006474F"/>
    <w:rsid w:val="00065981"/>
    <w:rsid w:val="00072234"/>
    <w:rsid w:val="000777D1"/>
    <w:rsid w:val="00086E37"/>
    <w:rsid w:val="000A0B0A"/>
    <w:rsid w:val="000B33FA"/>
    <w:rsid w:val="000B3D82"/>
    <w:rsid w:val="000C688A"/>
    <w:rsid w:val="001346A7"/>
    <w:rsid w:val="001565CC"/>
    <w:rsid w:val="0016758C"/>
    <w:rsid w:val="00183360"/>
    <w:rsid w:val="0019367D"/>
    <w:rsid w:val="001B7C8D"/>
    <w:rsid w:val="001D56CD"/>
    <w:rsid w:val="001F73B0"/>
    <w:rsid w:val="00202454"/>
    <w:rsid w:val="0020671B"/>
    <w:rsid w:val="002067B1"/>
    <w:rsid w:val="0021701C"/>
    <w:rsid w:val="00262433"/>
    <w:rsid w:val="002A261C"/>
    <w:rsid w:val="002A3A1C"/>
    <w:rsid w:val="002B2023"/>
    <w:rsid w:val="002C764F"/>
    <w:rsid w:val="002E123D"/>
    <w:rsid w:val="002E4801"/>
    <w:rsid w:val="00305097"/>
    <w:rsid w:val="003420BA"/>
    <w:rsid w:val="003646B9"/>
    <w:rsid w:val="003710A5"/>
    <w:rsid w:val="00374619"/>
    <w:rsid w:val="00383D6E"/>
    <w:rsid w:val="003944EB"/>
    <w:rsid w:val="003B165F"/>
    <w:rsid w:val="003D27CA"/>
    <w:rsid w:val="003D2A89"/>
    <w:rsid w:val="003D2F7D"/>
    <w:rsid w:val="003D7BD8"/>
    <w:rsid w:val="003E2110"/>
    <w:rsid w:val="003E3793"/>
    <w:rsid w:val="003F0EDE"/>
    <w:rsid w:val="00402344"/>
    <w:rsid w:val="00404442"/>
    <w:rsid w:val="00411516"/>
    <w:rsid w:val="004357C7"/>
    <w:rsid w:val="0043700B"/>
    <w:rsid w:val="00437E6C"/>
    <w:rsid w:val="0044346E"/>
    <w:rsid w:val="00445184"/>
    <w:rsid w:val="00445E0E"/>
    <w:rsid w:val="00452ACF"/>
    <w:rsid w:val="0047177D"/>
    <w:rsid w:val="00495010"/>
    <w:rsid w:val="00497555"/>
    <w:rsid w:val="004B06E4"/>
    <w:rsid w:val="004F4893"/>
    <w:rsid w:val="00504133"/>
    <w:rsid w:val="0052113C"/>
    <w:rsid w:val="00523994"/>
    <w:rsid w:val="00531A79"/>
    <w:rsid w:val="00531B44"/>
    <w:rsid w:val="00556F88"/>
    <w:rsid w:val="005570C1"/>
    <w:rsid w:val="0056027F"/>
    <w:rsid w:val="00564FA0"/>
    <w:rsid w:val="00582B28"/>
    <w:rsid w:val="0059336C"/>
    <w:rsid w:val="005C3C4F"/>
    <w:rsid w:val="005D7B75"/>
    <w:rsid w:val="005E269C"/>
    <w:rsid w:val="005E43E2"/>
    <w:rsid w:val="005E599B"/>
    <w:rsid w:val="00611A72"/>
    <w:rsid w:val="00624151"/>
    <w:rsid w:val="00633F88"/>
    <w:rsid w:val="0067729F"/>
    <w:rsid w:val="006A5E19"/>
    <w:rsid w:val="006B54C4"/>
    <w:rsid w:val="006C10D5"/>
    <w:rsid w:val="006C3900"/>
    <w:rsid w:val="006D4AEC"/>
    <w:rsid w:val="00733724"/>
    <w:rsid w:val="0073713B"/>
    <w:rsid w:val="007407F8"/>
    <w:rsid w:val="00761A8D"/>
    <w:rsid w:val="0076602A"/>
    <w:rsid w:val="00780DA1"/>
    <w:rsid w:val="007970C5"/>
    <w:rsid w:val="007B1592"/>
    <w:rsid w:val="007B3969"/>
    <w:rsid w:val="007B3BB8"/>
    <w:rsid w:val="007D69A9"/>
    <w:rsid w:val="007E017C"/>
    <w:rsid w:val="007F6422"/>
    <w:rsid w:val="00812794"/>
    <w:rsid w:val="00825CAB"/>
    <w:rsid w:val="00834A7F"/>
    <w:rsid w:val="008361D5"/>
    <w:rsid w:val="00865F44"/>
    <w:rsid w:val="008716D3"/>
    <w:rsid w:val="00872312"/>
    <w:rsid w:val="00872B11"/>
    <w:rsid w:val="008835ED"/>
    <w:rsid w:val="008900B3"/>
    <w:rsid w:val="00890F59"/>
    <w:rsid w:val="0089574F"/>
    <w:rsid w:val="008A78E9"/>
    <w:rsid w:val="008F4D64"/>
    <w:rsid w:val="00922252"/>
    <w:rsid w:val="00932889"/>
    <w:rsid w:val="009358AF"/>
    <w:rsid w:val="00962A42"/>
    <w:rsid w:val="0096458D"/>
    <w:rsid w:val="00965A4C"/>
    <w:rsid w:val="00970A58"/>
    <w:rsid w:val="009710C8"/>
    <w:rsid w:val="0097213B"/>
    <w:rsid w:val="009D0BEB"/>
    <w:rsid w:val="009D62EA"/>
    <w:rsid w:val="009F3945"/>
    <w:rsid w:val="00A0136A"/>
    <w:rsid w:val="00A11E40"/>
    <w:rsid w:val="00A35F40"/>
    <w:rsid w:val="00A43C7A"/>
    <w:rsid w:val="00A446EB"/>
    <w:rsid w:val="00A752AC"/>
    <w:rsid w:val="00A916FD"/>
    <w:rsid w:val="00A9315A"/>
    <w:rsid w:val="00A94DE0"/>
    <w:rsid w:val="00AA3CE3"/>
    <w:rsid w:val="00AE029F"/>
    <w:rsid w:val="00AE1EE1"/>
    <w:rsid w:val="00B412D3"/>
    <w:rsid w:val="00B51B2E"/>
    <w:rsid w:val="00B56BFB"/>
    <w:rsid w:val="00B86086"/>
    <w:rsid w:val="00C04ECC"/>
    <w:rsid w:val="00C43381"/>
    <w:rsid w:val="00C71725"/>
    <w:rsid w:val="00C74E87"/>
    <w:rsid w:val="00CA26DF"/>
    <w:rsid w:val="00CA2CC5"/>
    <w:rsid w:val="00CB719B"/>
    <w:rsid w:val="00CC4F73"/>
    <w:rsid w:val="00CC6F6B"/>
    <w:rsid w:val="00CD5760"/>
    <w:rsid w:val="00CF3593"/>
    <w:rsid w:val="00D23FF0"/>
    <w:rsid w:val="00D258C2"/>
    <w:rsid w:val="00D325E8"/>
    <w:rsid w:val="00D44B46"/>
    <w:rsid w:val="00D559E0"/>
    <w:rsid w:val="00D6455E"/>
    <w:rsid w:val="00D80945"/>
    <w:rsid w:val="00D817FC"/>
    <w:rsid w:val="00DA2476"/>
    <w:rsid w:val="00DB5AD9"/>
    <w:rsid w:val="00DD4E54"/>
    <w:rsid w:val="00DF6252"/>
    <w:rsid w:val="00E13610"/>
    <w:rsid w:val="00E13888"/>
    <w:rsid w:val="00E170E6"/>
    <w:rsid w:val="00E27149"/>
    <w:rsid w:val="00E37998"/>
    <w:rsid w:val="00E572D4"/>
    <w:rsid w:val="00E6373B"/>
    <w:rsid w:val="00E8589B"/>
    <w:rsid w:val="00EA2B43"/>
    <w:rsid w:val="00EA3447"/>
    <w:rsid w:val="00EB7F88"/>
    <w:rsid w:val="00EC75AF"/>
    <w:rsid w:val="00ED4215"/>
    <w:rsid w:val="00ED469C"/>
    <w:rsid w:val="00EF045D"/>
    <w:rsid w:val="00F00A4F"/>
    <w:rsid w:val="00F04B7A"/>
    <w:rsid w:val="00F12B8A"/>
    <w:rsid w:val="00F1576F"/>
    <w:rsid w:val="00F2508D"/>
    <w:rsid w:val="00F4485C"/>
    <w:rsid w:val="00F61D52"/>
    <w:rsid w:val="00F62EAD"/>
    <w:rsid w:val="00F72F70"/>
    <w:rsid w:val="00F7371D"/>
    <w:rsid w:val="00F85A7B"/>
    <w:rsid w:val="00FA318B"/>
    <w:rsid w:val="00FB7100"/>
    <w:rsid w:val="01310C45"/>
    <w:rsid w:val="029049BB"/>
    <w:rsid w:val="02AB41B1"/>
    <w:rsid w:val="02B86697"/>
    <w:rsid w:val="02D26C30"/>
    <w:rsid w:val="030A6E00"/>
    <w:rsid w:val="03794948"/>
    <w:rsid w:val="04642267"/>
    <w:rsid w:val="04737EB4"/>
    <w:rsid w:val="053A5904"/>
    <w:rsid w:val="053D351E"/>
    <w:rsid w:val="05E00B12"/>
    <w:rsid w:val="06107AA7"/>
    <w:rsid w:val="07315BED"/>
    <w:rsid w:val="07804F11"/>
    <w:rsid w:val="09221D85"/>
    <w:rsid w:val="09A56D4C"/>
    <w:rsid w:val="09F03C3F"/>
    <w:rsid w:val="09F619A8"/>
    <w:rsid w:val="0A9550A3"/>
    <w:rsid w:val="0AE06942"/>
    <w:rsid w:val="0AF53F76"/>
    <w:rsid w:val="0B635895"/>
    <w:rsid w:val="0B8E3961"/>
    <w:rsid w:val="0BB82DC5"/>
    <w:rsid w:val="0BFB6263"/>
    <w:rsid w:val="0C77508A"/>
    <w:rsid w:val="0CF045E4"/>
    <w:rsid w:val="0D874F12"/>
    <w:rsid w:val="0DAC1BFE"/>
    <w:rsid w:val="0DF95D9B"/>
    <w:rsid w:val="0E9D6386"/>
    <w:rsid w:val="0ED87118"/>
    <w:rsid w:val="0EE12DFC"/>
    <w:rsid w:val="10532787"/>
    <w:rsid w:val="111B7642"/>
    <w:rsid w:val="114D5C0D"/>
    <w:rsid w:val="12097942"/>
    <w:rsid w:val="1221473D"/>
    <w:rsid w:val="12340489"/>
    <w:rsid w:val="126F141B"/>
    <w:rsid w:val="126F474C"/>
    <w:rsid w:val="12BF308B"/>
    <w:rsid w:val="12DC0B17"/>
    <w:rsid w:val="130D3883"/>
    <w:rsid w:val="13F30C1E"/>
    <w:rsid w:val="14F01D5F"/>
    <w:rsid w:val="155940A4"/>
    <w:rsid w:val="16164726"/>
    <w:rsid w:val="1AFD4121"/>
    <w:rsid w:val="1B92735C"/>
    <w:rsid w:val="1BE22802"/>
    <w:rsid w:val="1D9E65AC"/>
    <w:rsid w:val="1E19108E"/>
    <w:rsid w:val="1E29272B"/>
    <w:rsid w:val="1EA94F3C"/>
    <w:rsid w:val="1F6F3CAC"/>
    <w:rsid w:val="1FAC20E5"/>
    <w:rsid w:val="1FB51152"/>
    <w:rsid w:val="206A43DF"/>
    <w:rsid w:val="219224A4"/>
    <w:rsid w:val="21B71445"/>
    <w:rsid w:val="22D440E0"/>
    <w:rsid w:val="22FD773E"/>
    <w:rsid w:val="233524B1"/>
    <w:rsid w:val="241E5432"/>
    <w:rsid w:val="24503330"/>
    <w:rsid w:val="246B1D67"/>
    <w:rsid w:val="24AC1923"/>
    <w:rsid w:val="24F54939"/>
    <w:rsid w:val="252706C3"/>
    <w:rsid w:val="27B500DA"/>
    <w:rsid w:val="28187E45"/>
    <w:rsid w:val="28743A54"/>
    <w:rsid w:val="291F16B5"/>
    <w:rsid w:val="2A7D4682"/>
    <w:rsid w:val="2BC1711F"/>
    <w:rsid w:val="2BD76BA5"/>
    <w:rsid w:val="2D1D383C"/>
    <w:rsid w:val="2D6724C3"/>
    <w:rsid w:val="2DB514F7"/>
    <w:rsid w:val="2DE01EE3"/>
    <w:rsid w:val="2E657FD3"/>
    <w:rsid w:val="2F2F6DBB"/>
    <w:rsid w:val="2FA74377"/>
    <w:rsid w:val="2FBD3A0F"/>
    <w:rsid w:val="301E6F52"/>
    <w:rsid w:val="311A1D97"/>
    <w:rsid w:val="31C119F4"/>
    <w:rsid w:val="3212433E"/>
    <w:rsid w:val="32D35A11"/>
    <w:rsid w:val="33360F18"/>
    <w:rsid w:val="34AE707E"/>
    <w:rsid w:val="34DA14BC"/>
    <w:rsid w:val="356F0D7F"/>
    <w:rsid w:val="35914949"/>
    <w:rsid w:val="366E7492"/>
    <w:rsid w:val="377B2E71"/>
    <w:rsid w:val="38214DE4"/>
    <w:rsid w:val="38622085"/>
    <w:rsid w:val="387E59A5"/>
    <w:rsid w:val="38EE7620"/>
    <w:rsid w:val="3909148A"/>
    <w:rsid w:val="39787EA5"/>
    <w:rsid w:val="39843584"/>
    <w:rsid w:val="39860889"/>
    <w:rsid w:val="399E6F86"/>
    <w:rsid w:val="3A6D3FF0"/>
    <w:rsid w:val="3B9857A6"/>
    <w:rsid w:val="3C6B1770"/>
    <w:rsid w:val="3CB77336"/>
    <w:rsid w:val="3CC93245"/>
    <w:rsid w:val="3EF01B88"/>
    <w:rsid w:val="3FF91C32"/>
    <w:rsid w:val="40E136C3"/>
    <w:rsid w:val="4123030E"/>
    <w:rsid w:val="415D45F5"/>
    <w:rsid w:val="4186569C"/>
    <w:rsid w:val="41CD1574"/>
    <w:rsid w:val="422A4945"/>
    <w:rsid w:val="43652F72"/>
    <w:rsid w:val="43746510"/>
    <w:rsid w:val="43B20145"/>
    <w:rsid w:val="443B37DB"/>
    <w:rsid w:val="446432CC"/>
    <w:rsid w:val="449D3DA5"/>
    <w:rsid w:val="44BD6052"/>
    <w:rsid w:val="44C00E0A"/>
    <w:rsid w:val="44D35781"/>
    <w:rsid w:val="46C9644F"/>
    <w:rsid w:val="478A01DC"/>
    <w:rsid w:val="487151E2"/>
    <w:rsid w:val="49AC3802"/>
    <w:rsid w:val="4B2F37A1"/>
    <w:rsid w:val="4B7C0A51"/>
    <w:rsid w:val="4BBF4A34"/>
    <w:rsid w:val="4CC41E2A"/>
    <w:rsid w:val="4CF578C8"/>
    <w:rsid w:val="4D0D59F0"/>
    <w:rsid w:val="4EA90980"/>
    <w:rsid w:val="4EBA3761"/>
    <w:rsid w:val="4F15149A"/>
    <w:rsid w:val="4F8451FD"/>
    <w:rsid w:val="5098173B"/>
    <w:rsid w:val="519D047A"/>
    <w:rsid w:val="51A10508"/>
    <w:rsid w:val="535F3453"/>
    <w:rsid w:val="53C06DC5"/>
    <w:rsid w:val="53C66E76"/>
    <w:rsid w:val="53D03A14"/>
    <w:rsid w:val="54987F52"/>
    <w:rsid w:val="549D42A6"/>
    <w:rsid w:val="54AC7E2E"/>
    <w:rsid w:val="55E14E60"/>
    <w:rsid w:val="5821570C"/>
    <w:rsid w:val="59213F5F"/>
    <w:rsid w:val="598824F5"/>
    <w:rsid w:val="5A3C5807"/>
    <w:rsid w:val="5AD10E10"/>
    <w:rsid w:val="5C192E76"/>
    <w:rsid w:val="5CD04E79"/>
    <w:rsid w:val="5D024211"/>
    <w:rsid w:val="5E7B05C6"/>
    <w:rsid w:val="5F4179B6"/>
    <w:rsid w:val="5F5163E4"/>
    <w:rsid w:val="61207FCA"/>
    <w:rsid w:val="62030602"/>
    <w:rsid w:val="62151EB7"/>
    <w:rsid w:val="621B5169"/>
    <w:rsid w:val="62F334AD"/>
    <w:rsid w:val="635D584E"/>
    <w:rsid w:val="636242B7"/>
    <w:rsid w:val="6375625E"/>
    <w:rsid w:val="6382536B"/>
    <w:rsid w:val="643F0C4A"/>
    <w:rsid w:val="64D1086B"/>
    <w:rsid w:val="6515618E"/>
    <w:rsid w:val="655353BA"/>
    <w:rsid w:val="65A81199"/>
    <w:rsid w:val="65E91E8B"/>
    <w:rsid w:val="66461D04"/>
    <w:rsid w:val="68676194"/>
    <w:rsid w:val="6867667B"/>
    <w:rsid w:val="68A65E92"/>
    <w:rsid w:val="68C95212"/>
    <w:rsid w:val="68D26278"/>
    <w:rsid w:val="699C4DD4"/>
    <w:rsid w:val="69B21AC9"/>
    <w:rsid w:val="69C82DF6"/>
    <w:rsid w:val="6A161FBF"/>
    <w:rsid w:val="6A6A219E"/>
    <w:rsid w:val="6A7D4F16"/>
    <w:rsid w:val="6ABC533F"/>
    <w:rsid w:val="6B895C48"/>
    <w:rsid w:val="6B8F0DA2"/>
    <w:rsid w:val="6C510D82"/>
    <w:rsid w:val="6C7D655D"/>
    <w:rsid w:val="6C7E73FB"/>
    <w:rsid w:val="6D666821"/>
    <w:rsid w:val="6D7D6246"/>
    <w:rsid w:val="6D962E08"/>
    <w:rsid w:val="6E207D48"/>
    <w:rsid w:val="6F717CE7"/>
    <w:rsid w:val="6F8025E5"/>
    <w:rsid w:val="70D72AEC"/>
    <w:rsid w:val="71571EAA"/>
    <w:rsid w:val="71944872"/>
    <w:rsid w:val="72724783"/>
    <w:rsid w:val="73367D0C"/>
    <w:rsid w:val="738343A2"/>
    <w:rsid w:val="73C21472"/>
    <w:rsid w:val="73D50C15"/>
    <w:rsid w:val="73E265C0"/>
    <w:rsid w:val="74481307"/>
    <w:rsid w:val="74741325"/>
    <w:rsid w:val="74D2239C"/>
    <w:rsid w:val="74EE63FF"/>
    <w:rsid w:val="757E00C9"/>
    <w:rsid w:val="759D3722"/>
    <w:rsid w:val="76057D07"/>
    <w:rsid w:val="784F3E06"/>
    <w:rsid w:val="786778B4"/>
    <w:rsid w:val="799767DD"/>
    <w:rsid w:val="79C60085"/>
    <w:rsid w:val="79D614E6"/>
    <w:rsid w:val="7A7A5379"/>
    <w:rsid w:val="7B0A7194"/>
    <w:rsid w:val="7B184787"/>
    <w:rsid w:val="7BA01133"/>
    <w:rsid w:val="7CD06A53"/>
    <w:rsid w:val="7E2D1E02"/>
    <w:rsid w:val="7F6B0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uiPriority="99" w:name="Body Text First Indent 2"/>
    <w:lsdException w:unhideWhenUsed="0" w:uiPriority="99" w:semiHidden="0"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6"/>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unhideWhenUsed/>
    <w:qFormat/>
    <w:uiPriority w:val="9"/>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unhideWhenUsed/>
    <w:qFormat/>
    <w:uiPriority w:val="9"/>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w:basedOn w:val="1"/>
    <w:next w:val="1"/>
    <w:link w:val="185"/>
    <w:semiHidden/>
    <w:unhideWhenUsed/>
    <w:qFormat/>
    <w:uiPriority w:val="99"/>
    <w:pPr>
      <w:spacing w:after="120"/>
    </w:pPr>
  </w:style>
  <w:style w:type="paragraph" w:styleId="12">
    <w:name w:val="toc 7"/>
    <w:basedOn w:val="1"/>
    <w:next w:val="1"/>
    <w:semiHidden/>
    <w:unhideWhenUsed/>
    <w:qFormat/>
    <w:uiPriority w:val="99"/>
    <w:pPr>
      <w:ind w:left="2520" w:leftChars="1200"/>
    </w:pPr>
    <w:rPr>
      <w:rFonts w:ascii="Times New Roman" w:hAnsi="Times New Roman"/>
      <w:szCs w:val="24"/>
    </w:rPr>
  </w:style>
  <w:style w:type="paragraph" w:styleId="13">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99"/>
    <w:pPr>
      <w:spacing w:before="152" w:after="160" w:line="360" w:lineRule="auto"/>
    </w:pPr>
    <w:rPr>
      <w:rFonts w:ascii="Arial" w:hAnsi="Arial" w:eastAsia="黑体" w:cs="Arial"/>
      <w:sz w:val="20"/>
      <w:szCs w:val="20"/>
    </w:rPr>
  </w:style>
  <w:style w:type="paragraph" w:styleId="15">
    <w:name w:val="Document Map"/>
    <w:basedOn w:val="1"/>
    <w:link w:val="73"/>
    <w:semiHidden/>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1"/>
    <w:unhideWhenUsed/>
    <w:qFormat/>
    <w:uiPriority w:val="99"/>
    <w:pPr>
      <w:jc w:val="left"/>
    </w:pPr>
    <w:rPr>
      <w:rFonts w:ascii="Times New Roman" w:hAnsi="Times New Roman"/>
      <w:kern w:val="0"/>
      <w:sz w:val="18"/>
      <w:szCs w:val="18"/>
    </w:rPr>
  </w:style>
  <w:style w:type="paragraph" w:styleId="17">
    <w:name w:val="Body Text 3"/>
    <w:basedOn w:val="1"/>
    <w:link w:val="70"/>
    <w:semiHidden/>
    <w:unhideWhenUsed/>
    <w:qFormat/>
    <w:uiPriority w:val="99"/>
    <w:pPr>
      <w:jc w:val="center"/>
    </w:pPr>
    <w:rPr>
      <w:rFonts w:ascii="Times New Roman" w:hAnsi="Times New Roman" w:eastAsia="黑体"/>
      <w:sz w:val="44"/>
      <w:szCs w:val="24"/>
    </w:rPr>
  </w:style>
  <w:style w:type="paragraph" w:styleId="18">
    <w:name w:val="Body Text Indent"/>
    <w:basedOn w:val="1"/>
    <w:link w:val="65"/>
    <w:semiHidden/>
    <w:unhideWhenUsed/>
    <w:qFormat/>
    <w:uiPriority w:val="99"/>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99"/>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99"/>
    <w:pPr>
      <w:ind w:left="1680" w:leftChars="800"/>
    </w:pPr>
    <w:rPr>
      <w:rFonts w:ascii="Times New Roman" w:hAnsi="Times New Roman"/>
      <w:sz w:val="18"/>
      <w:szCs w:val="18"/>
    </w:rPr>
  </w:style>
  <w:style w:type="paragraph" w:styleId="21">
    <w:name w:val="toc 3"/>
    <w:basedOn w:val="1"/>
    <w:next w:val="1"/>
    <w:semiHidden/>
    <w:unhideWhenUsed/>
    <w:qFormat/>
    <w:uiPriority w:val="99"/>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next w:val="13"/>
    <w:link w:val="190"/>
    <w:semiHidden/>
    <w:unhideWhenUsed/>
    <w:qFormat/>
    <w:uiPriority w:val="99"/>
    <w:rPr>
      <w:rFonts w:ascii="宋体" w:hAnsi="Courier New"/>
      <w:kern w:val="0"/>
      <w:sz w:val="20"/>
      <w:szCs w:val="18"/>
    </w:rPr>
  </w:style>
  <w:style w:type="paragraph" w:styleId="23">
    <w:name w:val="toc 8"/>
    <w:basedOn w:val="1"/>
    <w:next w:val="1"/>
    <w:semiHidden/>
    <w:unhideWhenUsed/>
    <w:qFormat/>
    <w:uiPriority w:val="99"/>
    <w:pPr>
      <w:ind w:left="2940" w:leftChars="1400"/>
    </w:pPr>
    <w:rPr>
      <w:rFonts w:ascii="Times New Roman" w:hAnsi="Times New Roman"/>
      <w:szCs w:val="24"/>
    </w:rPr>
  </w:style>
  <w:style w:type="paragraph" w:styleId="24">
    <w:name w:val="Date"/>
    <w:basedOn w:val="1"/>
    <w:next w:val="1"/>
    <w:link w:val="67"/>
    <w:semiHidden/>
    <w:unhideWhenUsed/>
    <w:qFormat/>
    <w:uiPriority w:val="99"/>
    <w:pPr>
      <w:ind w:left="100" w:leftChars="2500"/>
    </w:pPr>
    <w:rPr>
      <w:rFonts w:ascii="Times New Roman" w:hAnsi="Times New Roman"/>
      <w:kern w:val="0"/>
      <w:sz w:val="24"/>
      <w:szCs w:val="24"/>
    </w:rPr>
  </w:style>
  <w:style w:type="paragraph" w:styleId="25">
    <w:name w:val="Body Text Indent 2"/>
    <w:basedOn w:val="1"/>
    <w:link w:val="71"/>
    <w:unhideWhenUsed/>
    <w:qFormat/>
    <w:uiPriority w:val="99"/>
    <w:pPr>
      <w:spacing w:after="120" w:line="480" w:lineRule="auto"/>
      <w:ind w:left="420" w:leftChars="200"/>
    </w:pPr>
  </w:style>
  <w:style w:type="paragraph" w:styleId="26">
    <w:name w:val="Balloon Text"/>
    <w:basedOn w:val="1"/>
    <w:link w:val="76"/>
    <w:semiHidden/>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99"/>
    <w:pPr>
      <w:ind w:left="1260" w:leftChars="600"/>
    </w:pPr>
    <w:rPr>
      <w:rFonts w:ascii="Times New Roman" w:hAnsi="Times New Roman"/>
      <w:sz w:val="18"/>
      <w:szCs w:val="18"/>
    </w:rPr>
  </w:style>
  <w:style w:type="paragraph" w:styleId="31">
    <w:name w:val="Subtitle"/>
    <w:basedOn w:val="1"/>
    <w:next w:val="1"/>
    <w:link w:val="66"/>
    <w:qFormat/>
    <w:uiPriority w:val="99"/>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semiHidden/>
    <w:unhideWhenUsed/>
    <w:qFormat/>
    <w:uiPriority w:val="99"/>
    <w:pPr>
      <w:snapToGrid w:val="0"/>
      <w:jc w:val="left"/>
    </w:pPr>
    <w:rPr>
      <w:sz w:val="18"/>
      <w:szCs w:val="18"/>
    </w:rPr>
  </w:style>
  <w:style w:type="paragraph" w:styleId="33">
    <w:name w:val="toc 6"/>
    <w:basedOn w:val="1"/>
    <w:next w:val="1"/>
    <w:semiHidden/>
    <w:unhideWhenUsed/>
    <w:qFormat/>
    <w:uiPriority w:val="99"/>
    <w:pPr>
      <w:ind w:left="2100" w:leftChars="1000"/>
    </w:pPr>
    <w:rPr>
      <w:rFonts w:ascii="Times New Roman" w:hAnsi="Times New Roman"/>
      <w:szCs w:val="24"/>
    </w:rPr>
  </w:style>
  <w:style w:type="paragraph" w:styleId="34">
    <w:name w:val="Body Text Indent 3"/>
    <w:basedOn w:val="1"/>
    <w:link w:val="72"/>
    <w:semiHidden/>
    <w:unhideWhenUsed/>
    <w:qFormat/>
    <w:uiPriority w:val="99"/>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99"/>
    <w:pPr>
      <w:ind w:left="3360" w:leftChars="1600"/>
    </w:pPr>
    <w:rPr>
      <w:rFonts w:ascii="Times New Roman" w:hAnsi="Times New Roman"/>
      <w:szCs w:val="24"/>
    </w:rPr>
  </w:style>
  <w:style w:type="paragraph" w:styleId="37">
    <w:name w:val="Body Text 2"/>
    <w:basedOn w:val="1"/>
    <w:link w:val="69"/>
    <w:semiHidden/>
    <w:unhideWhenUsed/>
    <w:qFormat/>
    <w:uiPriority w:val="99"/>
    <w:pPr>
      <w:spacing w:after="120" w:line="480" w:lineRule="auto"/>
    </w:pPr>
    <w:rPr>
      <w:rFonts w:ascii="Times New Roman" w:hAnsi="Times New Roman"/>
      <w:kern w:val="0"/>
      <w:sz w:val="18"/>
      <w:szCs w:val="18"/>
    </w:rPr>
  </w:style>
  <w:style w:type="paragraph" w:styleId="38">
    <w:name w:val="HTML Preformatted"/>
    <w:basedOn w:val="1"/>
    <w:link w:val="20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6"/>
    <w:next w:val="16"/>
    <w:link w:val="75"/>
    <w:semiHidden/>
    <w:unhideWhenUsed/>
    <w:qFormat/>
    <w:uiPriority w:val="99"/>
    <w:rPr>
      <w:rFonts w:ascii="Calibri" w:hAnsi="Calibri"/>
      <w:b/>
      <w:bCs/>
      <w:kern w:val="2"/>
      <w:sz w:val="21"/>
      <w:szCs w:val="22"/>
    </w:rPr>
  </w:style>
  <w:style w:type="paragraph" w:styleId="41">
    <w:name w:val="Body Text First Indent"/>
    <w:basedOn w:val="2"/>
    <w:link w:val="68"/>
    <w:semiHidden/>
    <w:unhideWhenUsed/>
    <w:qFormat/>
    <w:uiPriority w:val="99"/>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page number"/>
    <w:unhideWhenUsed/>
    <w:qFormat/>
    <w:uiPriority w:val="0"/>
  </w:style>
  <w:style w:type="character" w:styleId="46">
    <w:name w:val="FollowedHyperlink"/>
    <w:basedOn w:val="44"/>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Char"/>
    <w:basedOn w:val="44"/>
    <w:link w:val="3"/>
    <w:qFormat/>
    <w:uiPriority w:val="9"/>
    <w:rPr>
      <w:rFonts w:ascii="宋体" w:hAnsi="宋体" w:eastAsia="宋体" w:cs="宋体"/>
      <w:b/>
      <w:bCs/>
      <w:spacing w:val="-20"/>
      <w:kern w:val="44"/>
      <w:sz w:val="32"/>
      <w:szCs w:val="32"/>
    </w:rPr>
  </w:style>
  <w:style w:type="character" w:customStyle="1" w:styleId="51">
    <w:name w:val="标题 2 Char"/>
    <w:basedOn w:val="44"/>
    <w:link w:val="4"/>
    <w:qFormat/>
    <w:uiPriority w:val="0"/>
    <w:rPr>
      <w:rFonts w:ascii="宋体" w:hAnsi="宋体" w:eastAsia="宋体" w:cs="宋体"/>
      <w:b/>
      <w:bCs/>
      <w:sz w:val="28"/>
      <w:szCs w:val="28"/>
    </w:rPr>
  </w:style>
  <w:style w:type="character" w:customStyle="1" w:styleId="52">
    <w:name w:val="标题 3 Char"/>
    <w:basedOn w:val="44"/>
    <w:link w:val="5"/>
    <w:qFormat/>
    <w:uiPriority w:val="0"/>
    <w:rPr>
      <w:rFonts w:ascii="宋体" w:hAnsi="宋体" w:eastAsia="宋体" w:cs="宋体"/>
      <w:b/>
      <w:bCs/>
      <w:color w:val="000000"/>
      <w:kern w:val="0"/>
      <w:sz w:val="28"/>
      <w:szCs w:val="28"/>
    </w:rPr>
  </w:style>
  <w:style w:type="character" w:customStyle="1" w:styleId="53">
    <w:name w:val="标题 4 Char"/>
    <w:basedOn w:val="44"/>
    <w:link w:val="6"/>
    <w:qFormat/>
    <w:uiPriority w:val="0"/>
    <w:rPr>
      <w:rFonts w:ascii="Arial" w:hAnsi="Arial" w:eastAsia="宋体" w:cs="Times New Roman"/>
      <w:b/>
      <w:bCs/>
      <w:kern w:val="0"/>
      <w:sz w:val="28"/>
      <w:szCs w:val="28"/>
    </w:rPr>
  </w:style>
  <w:style w:type="character" w:customStyle="1" w:styleId="54">
    <w:name w:val="标题 5 Char"/>
    <w:basedOn w:val="44"/>
    <w:link w:val="7"/>
    <w:qFormat/>
    <w:uiPriority w:val="9"/>
    <w:rPr>
      <w:rFonts w:ascii="Calibri" w:hAnsi="Calibri" w:eastAsia="宋体" w:cs="宋体"/>
      <w:b/>
      <w:bCs/>
      <w:kern w:val="0"/>
      <w:sz w:val="28"/>
      <w:szCs w:val="28"/>
    </w:rPr>
  </w:style>
  <w:style w:type="character" w:customStyle="1" w:styleId="55">
    <w:name w:val="标题 6 Char"/>
    <w:basedOn w:val="44"/>
    <w:link w:val="8"/>
    <w:qFormat/>
    <w:uiPriority w:val="0"/>
    <w:rPr>
      <w:rFonts w:ascii="Arial" w:hAnsi="Arial" w:eastAsia="宋体" w:cs="Times New Roman"/>
      <w:b/>
      <w:bCs/>
      <w:kern w:val="0"/>
      <w:sz w:val="28"/>
      <w:szCs w:val="18"/>
    </w:rPr>
  </w:style>
  <w:style w:type="character" w:customStyle="1" w:styleId="56">
    <w:name w:val="标题 7 Char"/>
    <w:basedOn w:val="44"/>
    <w:link w:val="9"/>
    <w:semiHidden/>
    <w:qFormat/>
    <w:uiPriority w:val="99"/>
    <w:rPr>
      <w:rFonts w:ascii="Arial Narrow" w:hAnsi="Arial Narrow" w:eastAsia="宋体" w:cs="Times New Roman"/>
      <w:b/>
      <w:bCs/>
      <w:iCs/>
      <w:kern w:val="0"/>
      <w:sz w:val="20"/>
      <w:szCs w:val="24"/>
      <w:lang w:eastAsia="en-US"/>
    </w:rPr>
  </w:style>
  <w:style w:type="character" w:customStyle="1" w:styleId="57">
    <w:name w:val="标题 8 Char"/>
    <w:basedOn w:val="44"/>
    <w:link w:val="10"/>
    <w:semiHidden/>
    <w:qFormat/>
    <w:uiPriority w:val="99"/>
    <w:rPr>
      <w:rFonts w:ascii="Arial" w:hAnsi="Arial" w:eastAsia="黑体" w:cs="Times New Roman"/>
      <w:kern w:val="0"/>
      <w:sz w:val="24"/>
      <w:szCs w:val="24"/>
    </w:rPr>
  </w:style>
  <w:style w:type="character" w:customStyle="1" w:styleId="58">
    <w:name w:val="标题 9 Char"/>
    <w:basedOn w:val="44"/>
    <w:link w:val="11"/>
    <w:semiHidden/>
    <w:qFormat/>
    <w:uiPriority w:val="99"/>
    <w:rPr>
      <w:rFonts w:ascii="Arial" w:hAnsi="Arial" w:eastAsia="黑体" w:cs="Times New Roman"/>
      <w:kern w:val="0"/>
      <w:sz w:val="20"/>
      <w:szCs w:val="21"/>
    </w:rPr>
  </w:style>
  <w:style w:type="character" w:customStyle="1" w:styleId="59">
    <w:name w:val="正文缩进 Char1"/>
    <w:link w:val="13"/>
    <w:qFormat/>
    <w:locked/>
    <w:uiPriority w:val="0"/>
  </w:style>
  <w:style w:type="character" w:customStyle="1" w:styleId="60">
    <w:name w:val="脚注文本 Char"/>
    <w:basedOn w:val="44"/>
    <w:link w:val="32"/>
    <w:semiHidden/>
    <w:qFormat/>
    <w:uiPriority w:val="99"/>
    <w:rPr>
      <w:rFonts w:ascii="Calibri" w:hAnsi="Calibri" w:eastAsia="宋体" w:cs="Times New Roman"/>
      <w:sz w:val="18"/>
      <w:szCs w:val="18"/>
    </w:rPr>
  </w:style>
  <w:style w:type="character" w:customStyle="1" w:styleId="61">
    <w:name w:val="批注文字 Char"/>
    <w:basedOn w:val="44"/>
    <w:link w:val="16"/>
    <w:qFormat/>
    <w:uiPriority w:val="99"/>
    <w:rPr>
      <w:rFonts w:ascii="Times New Roman" w:hAnsi="Times New Roman" w:eastAsia="宋体" w:cs="Times New Roman"/>
      <w:kern w:val="0"/>
      <w:sz w:val="18"/>
      <w:szCs w:val="18"/>
    </w:rPr>
  </w:style>
  <w:style w:type="character" w:customStyle="1" w:styleId="62">
    <w:name w:val="页眉 Char"/>
    <w:basedOn w:val="44"/>
    <w:link w:val="28"/>
    <w:qFormat/>
    <w:uiPriority w:val="99"/>
    <w:rPr>
      <w:rFonts w:ascii="Calibri" w:hAnsi="Calibri" w:eastAsia="宋体" w:cs="Times New Roman"/>
      <w:kern w:val="0"/>
      <w:sz w:val="18"/>
      <w:szCs w:val="18"/>
    </w:rPr>
  </w:style>
  <w:style w:type="character" w:customStyle="1" w:styleId="63">
    <w:name w:val="页脚 Char"/>
    <w:basedOn w:val="44"/>
    <w:link w:val="27"/>
    <w:qFormat/>
    <w:uiPriority w:val="99"/>
    <w:rPr>
      <w:rFonts w:ascii="Calibri" w:hAnsi="Calibri" w:eastAsia="宋体" w:cs="Times New Roman"/>
      <w:kern w:val="0"/>
      <w:sz w:val="18"/>
      <w:szCs w:val="18"/>
    </w:rPr>
  </w:style>
  <w:style w:type="character" w:customStyle="1" w:styleId="64">
    <w:name w:val="正文文本 Char"/>
    <w:basedOn w:val="44"/>
    <w:qFormat/>
    <w:uiPriority w:val="0"/>
    <w:rPr>
      <w:rFonts w:ascii="Calibri" w:hAnsi="Calibri" w:eastAsia="宋体" w:cs="Times New Roman"/>
    </w:rPr>
  </w:style>
  <w:style w:type="character" w:customStyle="1" w:styleId="65">
    <w:name w:val="正文文本缩进 Char"/>
    <w:basedOn w:val="44"/>
    <w:link w:val="18"/>
    <w:semiHidden/>
    <w:qFormat/>
    <w:uiPriority w:val="99"/>
    <w:rPr>
      <w:rFonts w:ascii="Times New Roman" w:hAnsi="Times New Roman" w:eastAsia="宋体" w:cs="Times New Roman"/>
      <w:kern w:val="0"/>
      <w:sz w:val="20"/>
      <w:szCs w:val="24"/>
    </w:rPr>
  </w:style>
  <w:style w:type="character" w:customStyle="1" w:styleId="66">
    <w:name w:val="副标题 Char"/>
    <w:basedOn w:val="44"/>
    <w:link w:val="31"/>
    <w:qFormat/>
    <w:uiPriority w:val="99"/>
    <w:rPr>
      <w:rFonts w:ascii="Cambria" w:hAnsi="Cambria" w:eastAsia="宋体" w:cs="Times New Roman"/>
      <w:b/>
      <w:bCs/>
      <w:kern w:val="28"/>
      <w:sz w:val="32"/>
      <w:szCs w:val="32"/>
    </w:rPr>
  </w:style>
  <w:style w:type="character" w:customStyle="1" w:styleId="67">
    <w:name w:val="日期 Char"/>
    <w:basedOn w:val="44"/>
    <w:link w:val="24"/>
    <w:semiHidden/>
    <w:qFormat/>
    <w:uiPriority w:val="99"/>
    <w:rPr>
      <w:rFonts w:ascii="Times New Roman" w:hAnsi="Times New Roman" w:eastAsia="宋体" w:cs="Times New Roman"/>
      <w:kern w:val="0"/>
      <w:sz w:val="24"/>
      <w:szCs w:val="24"/>
    </w:rPr>
  </w:style>
  <w:style w:type="character" w:customStyle="1" w:styleId="68">
    <w:name w:val="正文首行缩进 Char"/>
    <w:basedOn w:val="64"/>
    <w:link w:val="41"/>
    <w:semiHidden/>
    <w:qFormat/>
    <w:uiPriority w:val="99"/>
    <w:rPr>
      <w:rFonts w:ascii="Times New Roman" w:hAnsi="Times New Roman" w:eastAsia="宋体" w:cs="Times New Roman"/>
      <w:kern w:val="0"/>
      <w:sz w:val="18"/>
      <w:szCs w:val="18"/>
    </w:rPr>
  </w:style>
  <w:style w:type="character" w:customStyle="1" w:styleId="69">
    <w:name w:val="正文文本 2 Char"/>
    <w:basedOn w:val="44"/>
    <w:link w:val="37"/>
    <w:semiHidden/>
    <w:qFormat/>
    <w:uiPriority w:val="99"/>
    <w:rPr>
      <w:rFonts w:ascii="Times New Roman" w:hAnsi="Times New Roman" w:eastAsia="宋体" w:cs="Times New Roman"/>
      <w:kern w:val="0"/>
      <w:sz w:val="18"/>
      <w:szCs w:val="18"/>
    </w:rPr>
  </w:style>
  <w:style w:type="character" w:customStyle="1" w:styleId="70">
    <w:name w:val="正文文本 3 Char"/>
    <w:basedOn w:val="44"/>
    <w:link w:val="17"/>
    <w:semiHidden/>
    <w:qFormat/>
    <w:uiPriority w:val="99"/>
    <w:rPr>
      <w:rFonts w:ascii="Times New Roman" w:hAnsi="Times New Roman" w:eastAsia="黑体" w:cs="Times New Roman"/>
      <w:sz w:val="44"/>
      <w:szCs w:val="24"/>
    </w:rPr>
  </w:style>
  <w:style w:type="character" w:customStyle="1" w:styleId="71">
    <w:name w:val="正文文本缩进 2 Char"/>
    <w:basedOn w:val="44"/>
    <w:link w:val="25"/>
    <w:qFormat/>
    <w:uiPriority w:val="99"/>
    <w:rPr>
      <w:rFonts w:ascii="Calibri" w:hAnsi="Calibri" w:eastAsia="宋体" w:cs="Times New Roman"/>
    </w:rPr>
  </w:style>
  <w:style w:type="character" w:customStyle="1" w:styleId="72">
    <w:name w:val="正文文本缩进 3 Char"/>
    <w:basedOn w:val="44"/>
    <w:link w:val="34"/>
    <w:semiHidden/>
    <w:qFormat/>
    <w:uiPriority w:val="99"/>
    <w:rPr>
      <w:rFonts w:ascii="宋体" w:hAnsi="宋体" w:eastAsia="宋体" w:cs="Times New Roman"/>
      <w:kern w:val="0"/>
      <w:sz w:val="28"/>
      <w:szCs w:val="28"/>
    </w:rPr>
  </w:style>
  <w:style w:type="character" w:customStyle="1" w:styleId="73">
    <w:name w:val="文档结构图 Char"/>
    <w:basedOn w:val="44"/>
    <w:link w:val="15"/>
    <w:semiHidden/>
    <w:qFormat/>
    <w:uiPriority w:val="99"/>
    <w:rPr>
      <w:rFonts w:ascii="Times New Roman" w:hAnsi="Times New Roman" w:eastAsia="宋体" w:cs="Times New Roman"/>
      <w:kern w:val="0"/>
      <w:sz w:val="18"/>
      <w:szCs w:val="18"/>
      <w:shd w:val="clear" w:color="auto" w:fill="000080"/>
    </w:rPr>
  </w:style>
  <w:style w:type="character" w:customStyle="1" w:styleId="74">
    <w:name w:val="纯文本 Char"/>
    <w:basedOn w:val="44"/>
    <w:qFormat/>
    <w:uiPriority w:val="0"/>
    <w:rPr>
      <w:rFonts w:ascii="宋体" w:hAnsi="Courier New" w:eastAsia="宋体" w:cs="Courier New"/>
      <w:szCs w:val="21"/>
    </w:rPr>
  </w:style>
  <w:style w:type="character" w:customStyle="1" w:styleId="75">
    <w:name w:val="批注主题 Char"/>
    <w:basedOn w:val="61"/>
    <w:link w:val="40"/>
    <w:semiHidden/>
    <w:qFormat/>
    <w:uiPriority w:val="99"/>
    <w:rPr>
      <w:rFonts w:ascii="Calibri" w:hAnsi="Calibri" w:eastAsia="宋体" w:cs="Times New Roman"/>
      <w:b/>
      <w:bCs/>
      <w:kern w:val="0"/>
      <w:sz w:val="18"/>
      <w:szCs w:val="18"/>
    </w:rPr>
  </w:style>
  <w:style w:type="character" w:customStyle="1" w:styleId="76">
    <w:name w:val="批注框文本 Char"/>
    <w:basedOn w:val="44"/>
    <w:link w:val="26"/>
    <w:semiHidden/>
    <w:qFormat/>
    <w:uiPriority w:val="99"/>
    <w:rPr>
      <w:rFonts w:ascii="Times New Roman" w:hAnsi="Times New Roman" w:eastAsia="宋体" w:cs="Times New Roman"/>
      <w:kern w:val="0"/>
      <w:sz w:val="18"/>
      <w:szCs w:val="18"/>
    </w:rPr>
  </w:style>
  <w:style w:type="paragraph"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Char"/>
    <w:link w:val="79"/>
    <w:qFormat/>
    <w:locked/>
    <w:uiPriority w:val="0"/>
    <w:rPr>
      <w:rFonts w:ascii="Calibri" w:hAnsi="Calibri"/>
    </w:rPr>
  </w:style>
  <w:style w:type="paragraph" w:styleId="79">
    <w:name w:val="List Paragraph"/>
    <w:basedOn w:val="1"/>
    <w:link w:val="78"/>
    <w:qFormat/>
    <w:uiPriority w:val="0"/>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99"/>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99"/>
    <w:pPr>
      <w:spacing w:before="240" w:after="60"/>
      <w:jc w:val="center"/>
      <w:outlineLvl w:val="0"/>
    </w:pPr>
    <w:rPr>
      <w:rFonts w:ascii="Arial" w:hAnsi="Arial" w:cs="Arial"/>
      <w:b/>
      <w:bCs/>
      <w:sz w:val="32"/>
      <w:szCs w:val="32"/>
    </w:rPr>
  </w:style>
  <w:style w:type="paragraph" w:customStyle="1" w:styleId="84">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99"/>
    <w:pPr>
      <w:ind w:firstLine="200" w:firstLineChars="200"/>
    </w:pPr>
    <w:rPr>
      <w:rFonts w:ascii="Times New Roman" w:hAnsi="Times New Roman"/>
      <w:szCs w:val="24"/>
    </w:rPr>
  </w:style>
  <w:style w:type="paragraph" w:customStyle="1" w:styleId="87">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8">
    <w:name w:val="无间隔1"/>
    <w:qFormat/>
    <w:uiPriority w:val="1"/>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99"/>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99"/>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99"/>
    <w:rPr>
      <w:rFonts w:ascii="Tahoma" w:hAnsi="Tahoma"/>
      <w:sz w:val="24"/>
      <w:szCs w:val="20"/>
    </w:rPr>
  </w:style>
  <w:style w:type="paragraph" w:customStyle="1" w:styleId="93">
    <w:name w:val="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99"/>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3"/>
    <w:qFormat/>
    <w:uiPriority w:val="99"/>
    <w:pPr>
      <w:spacing w:after="0" w:line="360" w:lineRule="auto"/>
      <w:ind w:firstLine="480" w:firstLineChars="200"/>
    </w:pPr>
    <w:rPr>
      <w:rFonts w:ascii="宋体" w:hAnsi="宋体"/>
      <w:sz w:val="24"/>
      <w:szCs w:val="24"/>
    </w:rPr>
  </w:style>
  <w:style w:type="paragraph" w:customStyle="1" w:styleId="96">
    <w:name w:val="表格文字"/>
    <w:basedOn w:val="1"/>
    <w:qFormat/>
    <w:uiPriority w:val="99"/>
    <w:pPr>
      <w:spacing w:beforeLines="25"/>
    </w:pPr>
    <w:rPr>
      <w:rFonts w:ascii="Times New (W1)" w:hAnsi="Times New (W1)"/>
      <w:spacing w:val="10"/>
      <w:szCs w:val="24"/>
    </w:rPr>
  </w:style>
  <w:style w:type="paragraph" w:customStyle="1" w:styleId="97">
    <w:name w:val="文章正文"/>
    <w:basedOn w:val="1"/>
    <w:qFormat/>
    <w:uiPriority w:val="99"/>
    <w:pPr>
      <w:spacing w:line="360" w:lineRule="auto"/>
      <w:ind w:firstLine="420"/>
    </w:pPr>
    <w:rPr>
      <w:rFonts w:ascii="Times New Roman" w:hAnsi="Times New Roman"/>
      <w:sz w:val="24"/>
      <w:szCs w:val="24"/>
    </w:rPr>
  </w:style>
  <w:style w:type="paragraph" w:customStyle="1" w:styleId="98">
    <w:name w:val="标书正文:  0.74 厘米"/>
    <w:basedOn w:val="1"/>
    <w:qFormat/>
    <w:uiPriority w:val="99"/>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99"/>
    <w:rPr>
      <w:rFonts w:ascii="Times New Roman" w:hAnsi="Times New Roman"/>
      <w:szCs w:val="24"/>
    </w:rPr>
  </w:style>
  <w:style w:type="paragraph" w:customStyle="1" w:styleId="100">
    <w:name w:val="MM Topic 6"/>
    <w:basedOn w:val="8"/>
    <w:qFormat/>
    <w:uiPriority w:val="99"/>
    <w:pPr>
      <w:tabs>
        <w:tab w:val="left" w:pos="3260"/>
        <w:tab w:val="clear" w:pos="1702"/>
      </w:tabs>
      <w:ind w:left="0" w:firstLine="0"/>
    </w:pPr>
    <w:rPr>
      <w:rFonts w:eastAsia="黑体"/>
    </w:rPr>
  </w:style>
  <w:style w:type="paragraph" w:customStyle="1" w:styleId="101">
    <w:name w:val="Char1 Char Char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99"/>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7"/>
    <w:next w:val="18"/>
    <w:qFormat/>
    <w:uiPriority w:val="99"/>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99"/>
    <w:rPr>
      <w:rFonts w:ascii="仿宋_GB2312" w:hAnsi="Times New Roman"/>
      <w:b/>
      <w:sz w:val="30"/>
      <w:szCs w:val="32"/>
    </w:rPr>
  </w:style>
  <w:style w:type="paragraph" w:customStyle="1" w:styleId="106">
    <w:name w:val="MM Topic 2"/>
    <w:basedOn w:val="4"/>
    <w:qFormat/>
    <w:uiPriority w:val="99"/>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99"/>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99"/>
    <w:pPr>
      <w:spacing w:line="360" w:lineRule="auto"/>
      <w:ind w:firstLine="480"/>
    </w:pPr>
    <w:rPr>
      <w:rFonts w:ascii="Times New Roman" w:hAnsi="Times New Roman" w:cs="宋体"/>
      <w:sz w:val="24"/>
      <w:szCs w:val="20"/>
    </w:rPr>
  </w:style>
  <w:style w:type="paragraph" w:customStyle="1" w:styleId="109">
    <w:name w:val="MM Topic 8"/>
    <w:basedOn w:val="10"/>
    <w:qFormat/>
    <w:uiPriority w:val="99"/>
    <w:pPr>
      <w:tabs>
        <w:tab w:val="left" w:pos="4394"/>
      </w:tabs>
    </w:pPr>
  </w:style>
  <w:style w:type="paragraph" w:customStyle="1" w:styleId="110">
    <w:name w:val="Char1 Char Char Char Char Char Char"/>
    <w:basedOn w:val="1"/>
    <w:qFormat/>
    <w:uiPriority w:val="99"/>
    <w:rPr>
      <w:rFonts w:ascii="Tahoma" w:hAnsi="Tahoma"/>
      <w:sz w:val="24"/>
      <w:szCs w:val="20"/>
    </w:rPr>
  </w:style>
  <w:style w:type="paragraph" w:customStyle="1" w:styleId="111">
    <w:name w:val="RFI Heading 3rd Level"/>
    <w:basedOn w:val="1"/>
    <w:qFormat/>
    <w:uiPriority w:val="99"/>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99"/>
    <w:rPr>
      <w:rFonts w:ascii="宋体" w:hAnsi="宋体"/>
      <w:sz w:val="24"/>
      <w:szCs w:val="24"/>
    </w:rPr>
  </w:style>
  <w:style w:type="paragraph" w:customStyle="1" w:styleId="113">
    <w:name w:val="正文1"/>
    <w:qFormat/>
    <w:uiPriority w:val="99"/>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4">
    <w:name w:val="Char Char1"/>
    <w:basedOn w:val="1"/>
    <w:next w:val="1"/>
    <w:qFormat/>
    <w:uiPriority w:val="99"/>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99"/>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99"/>
    <w:pPr>
      <w:spacing w:line="360" w:lineRule="auto"/>
      <w:ind w:firstLine="420"/>
    </w:pPr>
    <w:rPr>
      <w:rFonts w:ascii="Times New Roman" w:hAnsi="Times New Roman"/>
      <w:sz w:val="24"/>
      <w:szCs w:val="24"/>
    </w:rPr>
  </w:style>
  <w:style w:type="paragraph" w:customStyle="1" w:styleId="118">
    <w:name w:val="标题2-1"/>
    <w:basedOn w:val="1"/>
    <w:qFormat/>
    <w:uiPriority w:val="99"/>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03"/>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0">
    <w:name w:val="图"/>
    <w:basedOn w:val="1"/>
    <w:qFormat/>
    <w:uiPriority w:val="99"/>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99"/>
    <w:rPr>
      <w:rFonts w:ascii="Tahoma" w:hAnsi="Tahoma"/>
      <w:sz w:val="24"/>
      <w:szCs w:val="20"/>
    </w:rPr>
  </w:style>
  <w:style w:type="paragraph" w:customStyle="1" w:styleId="122">
    <w:name w:val="zw1"/>
    <w:basedOn w:val="1"/>
    <w:qFormat/>
    <w:uiPriority w:val="99"/>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99"/>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3"/>
    <w:qFormat/>
    <w:uiPriority w:val="99"/>
    <w:pPr>
      <w:tabs>
        <w:tab w:val="left" w:pos="425"/>
      </w:tabs>
    </w:pPr>
    <w:rPr>
      <w:rFonts w:cs="Times New Roman"/>
      <w:sz w:val="44"/>
    </w:rPr>
  </w:style>
  <w:style w:type="paragraph" w:customStyle="1" w:styleId="125">
    <w:name w:val="样式 标题 5 + 倾斜"/>
    <w:basedOn w:val="7"/>
    <w:qFormat/>
    <w:uiPriority w:val="99"/>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99"/>
    <w:pPr>
      <w:spacing w:line="360" w:lineRule="auto"/>
      <w:ind w:firstLine="420" w:firstLineChars="200"/>
    </w:pPr>
    <w:rPr>
      <w:rFonts w:ascii="宋体" w:hAnsi="宋体"/>
      <w:szCs w:val="24"/>
    </w:rPr>
  </w:style>
  <w:style w:type="paragraph" w:customStyle="1" w:styleId="127">
    <w:name w:val="MM Topic 7"/>
    <w:basedOn w:val="9"/>
    <w:qFormat/>
    <w:uiPriority w:val="99"/>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99"/>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5"/>
    <w:qFormat/>
    <w:uiPriority w:val="99"/>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99"/>
    <w:pPr>
      <w:spacing w:line="360" w:lineRule="auto"/>
      <w:ind w:firstLine="700" w:firstLineChars="250"/>
    </w:pPr>
    <w:rPr>
      <w:rFonts w:ascii="宋体" w:hAnsi="宋体"/>
      <w:bCs/>
      <w:sz w:val="28"/>
      <w:szCs w:val="28"/>
    </w:rPr>
  </w:style>
  <w:style w:type="paragraph" w:customStyle="1" w:styleId="131">
    <w:name w:val="样式1"/>
    <w:basedOn w:val="1"/>
    <w:qFormat/>
    <w:uiPriority w:val="99"/>
    <w:rPr>
      <w:rFonts w:ascii="Times New Roman" w:hAnsi="Times New Roman" w:eastAsia="隶书"/>
      <w:i/>
      <w:dstrike/>
      <w:sz w:val="28"/>
      <w:szCs w:val="18"/>
    </w:rPr>
  </w:style>
  <w:style w:type="paragraph" w:customStyle="1" w:styleId="132">
    <w:name w:val="表格"/>
    <w:basedOn w:val="1"/>
    <w:qFormat/>
    <w:uiPriority w:val="99"/>
    <w:pPr>
      <w:spacing w:line="400" w:lineRule="exact"/>
    </w:pPr>
    <w:rPr>
      <w:rFonts w:ascii="Times New Roman" w:hAnsi="Times New Roman"/>
      <w:sz w:val="24"/>
      <w:szCs w:val="24"/>
    </w:rPr>
  </w:style>
  <w:style w:type="paragraph" w:customStyle="1" w:styleId="133">
    <w:name w:val="彩色底纹 - 强调文字颜色 11"/>
    <w:qFormat/>
    <w:uiPriority w:val="99"/>
    <w:rPr>
      <w:rFonts w:ascii="Calibri" w:hAnsi="Calibri" w:eastAsia="宋体" w:cs="Times New Roman"/>
      <w:kern w:val="2"/>
      <w:sz w:val="21"/>
      <w:szCs w:val="22"/>
      <w:lang w:val="en-US" w:eastAsia="zh-CN" w:bidi="ar-SA"/>
    </w:rPr>
  </w:style>
  <w:style w:type="paragraph" w:customStyle="1" w:styleId="134">
    <w:name w:val="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5"/>
    <w:qFormat/>
    <w:uiPriority w:val="99"/>
    <w:rPr>
      <w:rFonts w:ascii="Tahoma" w:hAnsi="Tahoma"/>
      <w:sz w:val="24"/>
      <w:szCs w:val="24"/>
    </w:rPr>
  </w:style>
  <w:style w:type="paragraph" w:customStyle="1" w:styleId="136">
    <w:name w:val="MM Topic 3"/>
    <w:basedOn w:val="5"/>
    <w:qFormat/>
    <w:uiPriority w:val="99"/>
    <w:pPr>
      <w:numPr>
        <w:ilvl w:val="0"/>
        <w:numId w:val="0"/>
      </w:numPr>
      <w:tabs>
        <w:tab w:val="left" w:pos="1418"/>
      </w:tabs>
    </w:pPr>
    <w:rPr>
      <w:rFonts w:cs="Times New Roman"/>
    </w:rPr>
  </w:style>
  <w:style w:type="paragraph" w:customStyle="1" w:styleId="137">
    <w:name w:val="样式 仿宋_GB2312 小四 左侧:  0.63 厘米"/>
    <w:basedOn w:val="1"/>
    <w:qFormat/>
    <w:uiPriority w:val="99"/>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99"/>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99"/>
    <w:rPr>
      <w:rFonts w:ascii="Tahoma" w:hAnsi="Tahoma"/>
      <w:sz w:val="24"/>
      <w:szCs w:val="20"/>
    </w:rPr>
  </w:style>
  <w:style w:type="paragraph" w:customStyle="1" w:styleId="140">
    <w:name w:val="Style8"/>
    <w:basedOn w:val="1"/>
    <w:qFormat/>
    <w:uiPriority w:val="99"/>
    <w:pPr>
      <w:tabs>
        <w:tab w:val="left" w:pos="1304"/>
      </w:tabs>
      <w:spacing w:beforeLines="50" w:line="276" w:lineRule="auto"/>
      <w:ind w:left="1304" w:hanging="397"/>
    </w:pPr>
    <w:rPr>
      <w:rFonts w:ascii="Arial" w:hAnsi="Arial"/>
      <w:sz w:val="24"/>
      <w:szCs w:val="24"/>
    </w:rPr>
  </w:style>
  <w:style w:type="paragraph" w:customStyle="1" w:styleId="141">
    <w:name w:val="MM Topic 9"/>
    <w:basedOn w:val="11"/>
    <w:qFormat/>
    <w:uiPriority w:val="0"/>
    <w:pPr>
      <w:tabs>
        <w:tab w:val="left" w:pos="5102"/>
      </w:tabs>
    </w:pPr>
  </w:style>
  <w:style w:type="paragraph" w:customStyle="1" w:styleId="142">
    <w:name w:val="MM Topic 5"/>
    <w:basedOn w:val="7"/>
    <w:qFormat/>
    <w:uiPriority w:val="99"/>
    <w:pPr>
      <w:tabs>
        <w:tab w:val="left" w:pos="2551"/>
        <w:tab w:val="clear" w:pos="1134"/>
        <w:tab w:val="clear" w:pos="1560"/>
      </w:tabs>
      <w:ind w:left="0" w:firstLine="0"/>
    </w:pPr>
    <w:rPr>
      <w:rFonts w:cs="Times New Roman"/>
    </w:rPr>
  </w:style>
  <w:style w:type="paragraph" w:customStyle="1" w:styleId="143">
    <w:name w:val="大纲正文"/>
    <w:basedOn w:val="1"/>
    <w:qFormat/>
    <w:uiPriority w:val="99"/>
    <w:pPr>
      <w:spacing w:line="360" w:lineRule="auto"/>
      <w:ind w:firstLine="480" w:firstLineChars="200"/>
    </w:pPr>
    <w:rPr>
      <w:rFonts w:ascii="Times New Roman" w:hAnsi="Times New Roman"/>
      <w:sz w:val="24"/>
      <w:szCs w:val="20"/>
    </w:rPr>
  </w:style>
  <w:style w:type="paragraph" w:customStyle="1" w:styleId="144">
    <w:name w:val="MM Topic 4"/>
    <w:basedOn w:val="6"/>
    <w:qFormat/>
    <w:uiPriority w:val="99"/>
    <w:pPr>
      <w:tabs>
        <w:tab w:val="left" w:pos="1984"/>
      </w:tabs>
      <w:ind w:left="0" w:firstLine="0"/>
    </w:pPr>
  </w:style>
  <w:style w:type="paragraph" w:customStyle="1" w:styleId="145">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46">
    <w:name w:val="样式 小四 首行缩进:  0.74 厘米"/>
    <w:basedOn w:val="1"/>
    <w:qFormat/>
    <w:uiPriority w:val="99"/>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4"/>
    <w:qFormat/>
    <w:uiPriority w:val="99"/>
    <w:pPr>
      <w:tabs>
        <w:tab w:val="left" w:pos="-2493"/>
      </w:tabs>
    </w:pPr>
    <w:rPr>
      <w:rFonts w:cs="Times New Roman"/>
      <w:szCs w:val="20"/>
    </w:rPr>
  </w:style>
  <w:style w:type="paragraph" w:customStyle="1" w:styleId="148">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49">
    <w:name w:val="列出段落2"/>
    <w:basedOn w:val="1"/>
    <w:qFormat/>
    <w:uiPriority w:val="99"/>
    <w:pPr>
      <w:ind w:firstLine="420" w:firstLineChars="200"/>
    </w:pPr>
  </w:style>
  <w:style w:type="paragraph" w:customStyle="1" w:styleId="150">
    <w:name w:val="列出段落4"/>
    <w:basedOn w:val="1"/>
    <w:qFormat/>
    <w:uiPriority w:val="99"/>
    <w:pPr>
      <w:ind w:firstLine="420" w:firstLineChars="200"/>
    </w:pPr>
    <w:rPr>
      <w:rFonts w:ascii="Times New Roman" w:hAnsi="Times New Roman"/>
      <w:szCs w:val="24"/>
    </w:rPr>
  </w:style>
  <w:style w:type="paragraph" w:customStyle="1" w:styleId="151">
    <w:name w:val="列出段落1"/>
    <w:basedOn w:val="1"/>
    <w:qFormat/>
    <w:uiPriority w:val="34"/>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99"/>
    <w:pPr>
      <w:ind w:firstLine="420" w:firstLineChars="200"/>
    </w:pPr>
  </w:style>
  <w:style w:type="paragraph" w:customStyle="1" w:styleId="154">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4"/>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4"/>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4"/>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Char2"/>
    <w:basedOn w:val="44"/>
    <w:link w:val="2"/>
    <w:semiHidden/>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Char1"/>
    <w:link w:val="22"/>
    <w:semiHidden/>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4"/>
    <w:qFormat/>
    <w:uiPriority w:val="0"/>
    <w:rPr>
      <w:rFonts w:hint="eastAsia" w:ascii="宋体" w:hAnsi="宋体" w:eastAsia="宋体" w:cs="宋体"/>
      <w:b/>
      <w:color w:val="000000"/>
      <w:sz w:val="22"/>
      <w:szCs w:val="22"/>
      <w:u w:val="none"/>
    </w:rPr>
  </w:style>
  <w:style w:type="character" w:customStyle="1" w:styleId="195">
    <w:name w:val="font01"/>
    <w:basedOn w:val="44"/>
    <w:qFormat/>
    <w:uiPriority w:val="0"/>
    <w:rPr>
      <w:rFonts w:hint="eastAsia" w:ascii="宋体" w:hAnsi="宋体" w:eastAsia="宋体" w:cs="宋体"/>
      <w:color w:val="000000"/>
      <w:sz w:val="22"/>
      <w:szCs w:val="22"/>
      <w:u w:val="none"/>
    </w:rPr>
  </w:style>
  <w:style w:type="character" w:customStyle="1" w:styleId="196">
    <w:name w:val="页脚 Char1"/>
    <w:basedOn w:val="44"/>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7"/>
    <w:link w:val="204"/>
    <w:qFormat/>
    <w:uiPriority w:val="0"/>
  </w:style>
  <w:style w:type="paragraph" w:customStyle="1" w:styleId="200">
    <w:name w:val="项目符号：一级"/>
    <w:basedOn w:val="84"/>
    <w:next w:val="84"/>
    <w:qFormat/>
    <w:uiPriority w:val="99"/>
  </w:style>
  <w:style w:type="character" w:customStyle="1" w:styleId="201">
    <w:name w:val="HTML 预设格式 Char"/>
    <w:basedOn w:val="44"/>
    <w:link w:val="38"/>
    <w:semiHidden/>
    <w:qFormat/>
    <w:uiPriority w:val="99"/>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19"/>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kern w:val="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99"/>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4"/>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99"/>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29">
    <w:name w:val="Char1 Char Char Char Char Char Char_0"/>
    <w:basedOn w:val="1"/>
    <w:qFormat/>
    <w:uiPriority w:val="99"/>
    <w:rPr>
      <w:rFonts w:ascii="Tahoma" w:hAnsi="Tahoma"/>
      <w:sz w:val="24"/>
      <w:szCs w:val="20"/>
    </w:rPr>
  </w:style>
  <w:style w:type="paragraph" w:customStyle="1" w:styleId="230">
    <w:name w:val="样式 标题 2 + Times New Roman 四号 非加粗 段前: 5 磅 段后: 0 磅 行距: 固定值 20..."/>
    <w:basedOn w:val="4"/>
    <w:qFormat/>
    <w:uiPriority w:val="99"/>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kern w:val="0"/>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styleId="241">
    <w:name w:val="Placeholder Text"/>
    <w:basedOn w:val="44"/>
    <w:semiHidden/>
    <w:qFormat/>
    <w:uiPriority w:val="99"/>
    <w:rPr>
      <w:color w:val="808080"/>
    </w:rPr>
  </w:style>
  <w:style w:type="character" w:customStyle="1" w:styleId="242">
    <w:name w:val="页眉 字符1"/>
    <w:basedOn w:val="44"/>
    <w:semiHidden/>
    <w:qFormat/>
    <w:locked/>
    <w:uiPriority w:val="99"/>
    <w:rPr>
      <w:rFonts w:ascii="Calibri" w:hAnsi="Calibri" w:eastAsia="宋体" w:cs="Times New Roman"/>
      <w:kern w:val="0"/>
      <w:sz w:val="18"/>
      <w:szCs w:val="18"/>
    </w:rPr>
  </w:style>
  <w:style w:type="character" w:customStyle="1" w:styleId="243">
    <w:name w:val="正文文本 字符1"/>
    <w:basedOn w:val="44"/>
    <w:semiHidden/>
    <w:qFormat/>
    <w:locked/>
    <w:uiPriority w:val="99"/>
    <w:rPr>
      <w:rFonts w:ascii="Calibri" w:hAnsi="Calibri" w:eastAsia="宋体" w:cs="Times New Roman"/>
    </w:rPr>
  </w:style>
  <w:style w:type="character" w:customStyle="1" w:styleId="244">
    <w:name w:val="批注框文本 字符1"/>
    <w:basedOn w:val="44"/>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4"/>
    <w:link w:val="246"/>
    <w:qFormat/>
    <w:locked/>
    <w:uiPriority w:val="0"/>
    <w:rPr>
      <w:rFonts w:ascii="Calibri" w:hAnsi="Calibri" w:eastAsia="宋体" w:cs="Times New Roman"/>
    </w:rPr>
  </w:style>
  <w:style w:type="character" w:customStyle="1" w:styleId="248">
    <w:name w:val="15"/>
    <w:basedOn w:val="44"/>
    <w:qFormat/>
    <w:uiPriority w:val="0"/>
    <w:rPr>
      <w:rFonts w:hint="default" w:ascii="Calibri" w:hAnsi="Calibri"/>
    </w:rPr>
  </w:style>
  <w:style w:type="character" w:customStyle="1" w:styleId="249">
    <w:name w:val="批注文字 Char1"/>
    <w:basedOn w:val="44"/>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4"/>
    <w:qFormat/>
    <w:uiPriority w:val="0"/>
  </w:style>
  <w:style w:type="character" w:customStyle="1" w:styleId="253">
    <w:name w:val="l-btn-icon-left1"/>
    <w:basedOn w:val="44"/>
    <w:qFormat/>
    <w:uiPriority w:val="0"/>
  </w:style>
  <w:style w:type="character" w:customStyle="1" w:styleId="254">
    <w:name w:val="l-btn-empty"/>
    <w:basedOn w:val="44"/>
    <w:qFormat/>
    <w:uiPriority w:val="0"/>
  </w:style>
  <w:style w:type="character" w:customStyle="1" w:styleId="255">
    <w:name w:val="l-btn-icon-right"/>
    <w:basedOn w:val="44"/>
    <w:qFormat/>
    <w:uiPriority w:val="0"/>
  </w:style>
  <w:style w:type="character" w:customStyle="1" w:styleId="256">
    <w:name w:val="l-btn-left2"/>
    <w:basedOn w:val="44"/>
    <w:qFormat/>
    <w:uiPriority w:val="0"/>
  </w:style>
  <w:style w:type="character" w:customStyle="1" w:styleId="257">
    <w:name w:val="l-btn-left3"/>
    <w:basedOn w:val="44"/>
    <w:qFormat/>
    <w:uiPriority w:val="0"/>
  </w:style>
  <w:style w:type="character" w:customStyle="1" w:styleId="258">
    <w:name w:val="l-btn-left4"/>
    <w:basedOn w:val="44"/>
    <w:qFormat/>
    <w:uiPriority w:val="0"/>
  </w:style>
  <w:style w:type="character" w:customStyle="1" w:styleId="259">
    <w:name w:val="l-btn-left5"/>
    <w:basedOn w:val="44"/>
    <w:qFormat/>
    <w:uiPriority w:val="0"/>
  </w:style>
  <w:style w:type="character" w:customStyle="1" w:styleId="260">
    <w:name w:val="l-btn-left6"/>
    <w:basedOn w:val="44"/>
    <w:qFormat/>
    <w:uiPriority w:val="0"/>
  </w:style>
  <w:style w:type="character" w:customStyle="1" w:styleId="261">
    <w:name w:val="l-btn-text"/>
    <w:basedOn w:val="44"/>
    <w:qFormat/>
    <w:uiPriority w:val="0"/>
    <w:rPr>
      <w:vertAlign w:val="baseline"/>
    </w:rPr>
  </w:style>
  <w:style w:type="character" w:customStyle="1" w:styleId="262">
    <w:name w:val="l-btn-text1"/>
    <w:basedOn w:val="44"/>
    <w:qFormat/>
    <w:uiPriority w:val="0"/>
    <w:rPr>
      <w:vertAlign w:val="baseline"/>
    </w:rPr>
  </w:style>
  <w:style w:type="character" w:customStyle="1" w:styleId="263">
    <w:name w:val="ajaxtitle"/>
    <w:basedOn w:val="44"/>
    <w:qFormat/>
    <w:uiPriority w:val="0"/>
  </w:style>
  <w:style w:type="character" w:customStyle="1" w:styleId="264">
    <w:name w:val="json_key"/>
    <w:basedOn w:val="44"/>
    <w:qFormat/>
    <w:uiPriority w:val="0"/>
  </w:style>
  <w:style w:type="character" w:customStyle="1" w:styleId="265">
    <w:name w:val="json_string"/>
    <w:basedOn w:val="44"/>
    <w:qFormat/>
    <w:uiPriority w:val="0"/>
  </w:style>
  <w:style w:type="character" w:customStyle="1" w:styleId="266">
    <w:name w:val="标题 2 Char1"/>
    <w:basedOn w:val="44"/>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4"/>
    <w:semiHidden/>
    <w:qFormat/>
    <w:uiPriority w:val="99"/>
    <w:rPr>
      <w:rFonts w:hint="default" w:ascii="Calibri" w:hAnsi="Calibri"/>
      <w:b/>
      <w:bCs/>
      <w:kern w:val="2"/>
      <w:sz w:val="32"/>
      <w:szCs w:val="32"/>
    </w:rPr>
  </w:style>
  <w:style w:type="character" w:customStyle="1" w:styleId="268">
    <w:name w:val="标题 4 Char1"/>
    <w:basedOn w:val="44"/>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4"/>
    <w:semiHidden/>
    <w:qFormat/>
    <w:uiPriority w:val="99"/>
    <w:rPr>
      <w:rFonts w:hint="default" w:ascii="Calibri" w:hAnsi="Calibri" w:cs="Calibri"/>
      <w:kern w:val="2"/>
      <w:sz w:val="21"/>
      <w:szCs w:val="22"/>
    </w:rPr>
  </w:style>
  <w:style w:type="character" w:customStyle="1" w:styleId="270">
    <w:name w:val="正文文本缩进 Char1"/>
    <w:basedOn w:val="44"/>
    <w:semiHidden/>
    <w:qFormat/>
    <w:uiPriority w:val="99"/>
    <w:rPr>
      <w:rFonts w:hint="default" w:ascii="Calibri" w:hAnsi="Calibri" w:cs="Calibri"/>
      <w:kern w:val="2"/>
      <w:sz w:val="21"/>
      <w:szCs w:val="22"/>
    </w:rPr>
  </w:style>
  <w:style w:type="character" w:customStyle="1" w:styleId="271">
    <w:name w:val="正文文本 3 Char1"/>
    <w:basedOn w:val="44"/>
    <w:semiHidden/>
    <w:qFormat/>
    <w:uiPriority w:val="99"/>
    <w:rPr>
      <w:rFonts w:hint="default" w:ascii="Calibri" w:hAnsi="Calibri" w:cs="Calibri"/>
      <w:kern w:val="2"/>
      <w:sz w:val="16"/>
      <w:szCs w:val="16"/>
    </w:rPr>
  </w:style>
  <w:style w:type="character" w:customStyle="1" w:styleId="272">
    <w:name w:val="正文文本缩进 3 Char1"/>
    <w:basedOn w:val="44"/>
    <w:semiHidden/>
    <w:qFormat/>
    <w:uiPriority w:val="99"/>
    <w:rPr>
      <w:rFonts w:hint="default" w:ascii="Calibri" w:hAnsi="Calibri" w:cs="Calibri"/>
      <w:kern w:val="2"/>
      <w:sz w:val="16"/>
      <w:szCs w:val="16"/>
    </w:rPr>
  </w:style>
  <w:style w:type="character" w:customStyle="1" w:styleId="273">
    <w:name w:val="批注框文本 Char1"/>
    <w:basedOn w:val="44"/>
    <w:semiHidden/>
    <w:qFormat/>
    <w:uiPriority w:val="99"/>
    <w:rPr>
      <w:rFonts w:hint="default" w:ascii="Calibri" w:hAnsi="Calibri" w:cs="Calibri"/>
      <w:kern w:val="2"/>
      <w:sz w:val="18"/>
      <w:szCs w:val="18"/>
    </w:rPr>
  </w:style>
  <w:style w:type="character" w:customStyle="1" w:styleId="274">
    <w:name w:val="文档结构图 Char1"/>
    <w:basedOn w:val="44"/>
    <w:semiHidden/>
    <w:qFormat/>
    <w:uiPriority w:val="99"/>
    <w:rPr>
      <w:rFonts w:hint="eastAsia" w:ascii="宋体" w:hAnsi="Calibri" w:eastAsia="宋体"/>
      <w:kern w:val="2"/>
      <w:sz w:val="18"/>
      <w:szCs w:val="18"/>
    </w:rPr>
  </w:style>
  <w:style w:type="character" w:customStyle="1" w:styleId="275">
    <w:name w:val="页眉 Char1"/>
    <w:basedOn w:val="44"/>
    <w:semiHidden/>
    <w:qFormat/>
    <w:uiPriority w:val="99"/>
    <w:rPr>
      <w:rFonts w:hint="default" w:ascii="Calibri" w:hAnsi="Calibri" w:cs="Calibri"/>
      <w:kern w:val="2"/>
      <w:sz w:val="18"/>
      <w:szCs w:val="18"/>
    </w:rPr>
  </w:style>
  <w:style w:type="character" w:customStyle="1" w:styleId="276">
    <w:name w:val="日期 Char1"/>
    <w:basedOn w:val="44"/>
    <w:semiHidden/>
    <w:qFormat/>
    <w:uiPriority w:val="99"/>
    <w:rPr>
      <w:rFonts w:hint="default" w:ascii="Calibri" w:hAnsi="Calibri" w:cs="Calibri"/>
      <w:kern w:val="2"/>
      <w:sz w:val="21"/>
      <w:szCs w:val="22"/>
    </w:rPr>
  </w:style>
  <w:style w:type="character" w:customStyle="1" w:styleId="277">
    <w:name w:val="正文文本 Char3"/>
    <w:basedOn w:val="44"/>
    <w:qFormat/>
    <w:uiPriority w:val="99"/>
    <w:rPr>
      <w:rFonts w:hint="default" w:ascii="Calibri" w:hAnsi="Calibri" w:cs="Calibri"/>
      <w:kern w:val="2"/>
      <w:sz w:val="21"/>
      <w:szCs w:val="22"/>
    </w:rPr>
  </w:style>
  <w:style w:type="character" w:customStyle="1" w:styleId="278">
    <w:name w:val="纯文本 Char2"/>
    <w:basedOn w:val="44"/>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4"/>
    <w:semiHidden/>
    <w:qFormat/>
    <w:uiPriority w:val="99"/>
    <w:rPr>
      <w:rFonts w:hint="default" w:ascii="Calibri" w:hAnsi="Calibri" w:cs="Calibri"/>
      <w:kern w:val="2"/>
      <w:sz w:val="21"/>
      <w:szCs w:val="22"/>
    </w:rPr>
  </w:style>
  <w:style w:type="character" w:customStyle="1" w:styleId="281">
    <w:name w:val="副标题 Char2"/>
    <w:basedOn w:val="44"/>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4"/>
    <w:qFormat/>
    <w:uiPriority w:val="0"/>
    <w:rPr>
      <w:rFonts w:hint="eastAsia" w:ascii="宋体" w:hAnsi="宋体" w:eastAsia="宋体" w:cs="宋体"/>
      <w:color w:val="000000"/>
      <w:sz w:val="22"/>
      <w:szCs w:val="22"/>
      <w:u w:val="none"/>
    </w:rPr>
  </w:style>
  <w:style w:type="character" w:customStyle="1" w:styleId="286">
    <w:name w:val="font41"/>
    <w:basedOn w:val="44"/>
    <w:qFormat/>
    <w:uiPriority w:val="0"/>
    <w:rPr>
      <w:rFonts w:hint="eastAsia" w:ascii="宋体" w:hAnsi="宋体" w:eastAsia="宋体" w:cs="宋体"/>
      <w:b/>
      <w:color w:val="000000"/>
      <w:sz w:val="22"/>
      <w:szCs w:val="22"/>
      <w:u w:val="none"/>
    </w:rPr>
  </w:style>
  <w:style w:type="character" w:customStyle="1" w:styleId="287">
    <w:name w:val="font71"/>
    <w:basedOn w:val="44"/>
    <w:qFormat/>
    <w:uiPriority w:val="0"/>
    <w:rPr>
      <w:rFonts w:hint="eastAsia" w:ascii="宋体" w:hAnsi="宋体" w:eastAsia="宋体" w:cs="宋体"/>
      <w:color w:val="0D0D0D"/>
      <w:sz w:val="22"/>
      <w:szCs w:val="22"/>
      <w:u w:val="none"/>
    </w:rPr>
  </w:style>
  <w:style w:type="character" w:customStyle="1" w:styleId="288">
    <w:name w:val="qowt-font2"/>
    <w:basedOn w:val="44"/>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2"/>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1">
    <w:name w:val="标题 1 字符1"/>
    <w:basedOn w:val="44"/>
    <w:qFormat/>
    <w:uiPriority w:val="0"/>
    <w:rPr>
      <w:rFonts w:eastAsia="宋体" w:cs="Times New Roman"/>
      <w:b/>
      <w:bCs/>
      <w:kern w:val="44"/>
      <w:sz w:val="44"/>
      <w:szCs w:val="44"/>
    </w:rPr>
  </w:style>
  <w:style w:type="character" w:customStyle="1" w:styleId="292">
    <w:name w:val="标题 2 字符1"/>
    <w:basedOn w:val="44"/>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4"/>
    <w:semiHidden/>
    <w:qFormat/>
    <w:uiPriority w:val="9"/>
    <w:rPr>
      <w:rFonts w:eastAsia="宋体" w:cs="Times New Roman"/>
      <w:b/>
      <w:bCs/>
      <w:kern w:val="2"/>
      <w:sz w:val="32"/>
      <w:szCs w:val="32"/>
    </w:rPr>
  </w:style>
  <w:style w:type="table" w:customStyle="1" w:styleId="294">
    <w:name w:val="网格型1"/>
    <w:basedOn w:val="42"/>
    <w:qFormat/>
    <w:uiPriority w:val="0"/>
    <w:pPr>
      <w:widowControl w:val="0"/>
      <w:spacing w:after="200" w:line="276" w:lineRule="auto"/>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E3CA9-8F50-4AFB-90A4-BF397FB3C7B2}">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37116</Words>
  <Characters>39542</Characters>
  <Lines>1</Lines>
  <Paragraphs>1</Paragraphs>
  <TotalTime>119</TotalTime>
  <ScaleCrop>false</ScaleCrop>
  <LinksUpToDate>false</LinksUpToDate>
  <CharactersWithSpaces>40575</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2021-05-31T04:02:00Z</dcterms:created>
  <dc:creator>高文豪</dc:creator>
  <cp:lastModifiedBy>茄子</cp:lastModifiedBy>
  <cp:lastPrinted>2021-11-22T05:27:00Z</cp:lastPrinted>
  <dcterms:modified xsi:type="dcterms:W3CDTF">2021-11-26T02:46:40Z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