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cs="宋体"/>
          <w:sz w:val="32"/>
          <w:szCs w:val="32"/>
          <w:lang w:eastAsia="zh-CN"/>
        </w:rPr>
        <w:t>成都市新都区人民政府办公室黄桷树广场会议厅LED显示屏采购项目（第二次）</w:t>
      </w:r>
    </w:p>
    <w:p>
      <w:pPr>
        <w:spacing w:line="360" w:lineRule="auto"/>
        <w:ind w:left="2409" w:leftChars="338" w:hanging="1699" w:hangingChars="531"/>
        <w:rPr>
          <w:rFonts w:hint="default" w:ascii="宋体" w:hAnsi="宋体" w:eastAsia="宋体" w:cs="宋体"/>
          <w:sz w:val="32"/>
          <w:szCs w:val="32"/>
          <w:lang w:val="en-US" w:eastAsia="zh-CN"/>
        </w:rPr>
      </w:pPr>
      <w:r>
        <w:rPr>
          <w:rFonts w:hint="eastAsia" w:ascii="宋体" w:hAnsi="宋体" w:eastAsia="宋体" w:cs="宋体"/>
          <w:sz w:val="32"/>
          <w:szCs w:val="32"/>
        </w:rPr>
        <w:t>项目编号：</w:t>
      </w:r>
      <w:r>
        <w:rPr>
          <w:rFonts w:hint="eastAsia" w:ascii="宋体" w:hAnsi="宋体" w:cs="宋体"/>
          <w:sz w:val="32"/>
          <w:szCs w:val="32"/>
          <w:lang w:eastAsia="zh-CN"/>
        </w:rPr>
        <w:t>新都政采（2021）A005</w:t>
      </w:r>
      <w:r>
        <w:rPr>
          <w:rFonts w:hint="eastAsia" w:ascii="宋体" w:hAnsi="宋体" w:cs="宋体"/>
          <w:sz w:val="32"/>
          <w:szCs w:val="32"/>
          <w:lang w:val="en-US" w:eastAsia="zh-CN"/>
        </w:rPr>
        <w:t>3</w:t>
      </w:r>
      <w:r>
        <w:rPr>
          <w:rFonts w:hint="eastAsia" w:ascii="宋体" w:hAnsi="宋体" w:cs="宋体"/>
          <w:sz w:val="32"/>
          <w:szCs w:val="32"/>
          <w:lang w:eastAsia="zh-CN"/>
        </w:rPr>
        <w:t>号</w:t>
      </w:r>
      <w:r>
        <w:rPr>
          <w:rFonts w:hint="eastAsia" w:ascii="宋体" w:hAnsi="宋体" w:cs="宋体"/>
          <w:sz w:val="32"/>
          <w:szCs w:val="32"/>
          <w:lang w:val="en-US" w:eastAsia="zh-CN"/>
        </w:rPr>
        <w:t>-1</w:t>
      </w:r>
    </w:p>
    <w:p>
      <w:pPr>
        <w:spacing w:line="360" w:lineRule="auto"/>
        <w:ind w:firstLine="1280" w:firstLineChars="400"/>
        <w:rPr>
          <w:rFonts w:hint="eastAsia" w:ascii="宋体" w:hAnsi="宋体" w:eastAsia="宋体" w:cs="宋体"/>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cs="宋体"/>
          <w:sz w:val="32"/>
          <w:szCs w:val="32"/>
          <w:lang w:eastAsia="zh-CN"/>
        </w:rPr>
        <w:t>成都市新都区人民政府办公室</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w:t>
      </w:r>
      <w:r>
        <w:rPr>
          <w:rFonts w:hint="eastAsia" w:ascii="宋体" w:hAnsi="宋体" w:cs="宋体"/>
          <w:sz w:val="32"/>
          <w:szCs w:val="32"/>
          <w:lang w:eastAsia="zh-CN"/>
        </w:rPr>
        <w:t>新都区</w:t>
      </w:r>
      <w:r>
        <w:rPr>
          <w:rFonts w:hint="eastAsia" w:ascii="宋体" w:hAnsi="宋体" w:eastAsia="宋体" w:cs="宋体"/>
          <w:sz w:val="32"/>
          <w:szCs w:val="32"/>
        </w:rPr>
        <w:t>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十</w:t>
      </w:r>
      <w:r>
        <w:rPr>
          <w:rFonts w:hint="eastAsia" w:ascii="宋体" w:hAnsi="宋体" w:cs="宋体"/>
          <w:sz w:val="32"/>
          <w:szCs w:val="32"/>
          <w:lang w:eastAsia="zh-CN"/>
        </w:rPr>
        <w:t>二</w:t>
      </w:r>
      <w:r>
        <w:rPr>
          <w:rFonts w:hint="eastAsia" w:ascii="宋体" w:hAnsi="宋体" w:eastAsia="宋体" w:cs="宋体"/>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01328520"/>
      <w:bookmarkStart w:id="1" w:name="_Toc148505181"/>
      <w:bookmarkStart w:id="2" w:name="_Toc101247312"/>
      <w:bookmarkStart w:id="3" w:name="_Toc101234248"/>
      <w:r>
        <w:rPr>
          <w:rFonts w:hint="eastAsia" w:ascii="宋体" w:hAnsi="宋体"/>
          <w:b/>
          <w:sz w:val="32"/>
          <w:szCs w:val="32"/>
        </w:rPr>
        <w:t>目 录</w:t>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smallCaps/>
        </w:rPr>
        <w:instrText xml:space="preserve"> TOC \o "1-2"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_Toc23615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_Toc23615 \h </w:instrText>
      </w:r>
      <w:r>
        <w:fldChar w:fldCharType="separate"/>
      </w:r>
      <w:r>
        <w:t>3</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_Toc6839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_Toc6839 \h </w:instrText>
      </w:r>
      <w:r>
        <w:fldChar w:fldCharType="separate"/>
      </w:r>
      <w:r>
        <w:t>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_Toc27515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_Toc27515 \h </w:instrText>
      </w:r>
      <w:r>
        <w:fldChar w:fldCharType="separate"/>
      </w:r>
      <w:r>
        <w:t>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_Toc21271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_Toc21271 \h </w:instrText>
      </w:r>
      <w:r>
        <w:fldChar w:fldCharType="separate"/>
      </w:r>
      <w:r>
        <w:t>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_Toc21304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_Toc21304 \h </w:instrText>
      </w:r>
      <w:r>
        <w:fldChar w:fldCharType="separate"/>
      </w:r>
      <w:r>
        <w:t>11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_Toc8168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_Toc8168 \h </w:instrText>
      </w:r>
      <w:r>
        <w:fldChar w:fldCharType="separate"/>
      </w:r>
      <w:r>
        <w:t>12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_Toc15563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_Toc15563 \h </w:instrText>
      </w:r>
      <w:r>
        <w:fldChar w:fldCharType="separate"/>
      </w:r>
      <w:r>
        <w:t>18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_Toc24253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_Toc24253 \h </w:instrText>
      </w:r>
      <w:r>
        <w:fldChar w:fldCharType="separate"/>
      </w:r>
      <w:r>
        <w:t>20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_Toc19143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_Toc19143 \h </w:instrText>
      </w:r>
      <w:r>
        <w:fldChar w:fldCharType="separate"/>
      </w:r>
      <w:r>
        <w:t>22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_Toc7678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_Toc7678 \h </w:instrText>
      </w:r>
      <w:r>
        <w:fldChar w:fldCharType="separate"/>
      </w:r>
      <w:r>
        <w:t>24</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_Toc30603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_Toc30603 \h </w:instrText>
      </w:r>
      <w:r>
        <w:fldChar w:fldCharType="separate"/>
      </w:r>
      <w:r>
        <w:t>25</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_Toc26044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_Toc26044 \h </w:instrText>
      </w:r>
      <w:r>
        <w:fldChar w:fldCharType="separate"/>
      </w:r>
      <w:r>
        <w:t>27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_Toc3405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_Toc3405 \h </w:instrText>
      </w:r>
      <w:r>
        <w:fldChar w:fldCharType="separate"/>
      </w:r>
      <w:r>
        <w:t>27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_Toc22555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_Toc22555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_Toc11105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商务技术响应文件</w:t>
      </w:r>
      <w:r>
        <w:tab/>
      </w:r>
      <w:r>
        <w:fldChar w:fldCharType="begin"/>
      </w:r>
      <w:r>
        <w:instrText xml:space="preserve"> PAGEREF _Toc11105 \h </w:instrText>
      </w:r>
      <w:r>
        <w:fldChar w:fldCharType="separate"/>
      </w:r>
      <w:r>
        <w:t>36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_Toc28144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3.4 </w:t>
      </w:r>
      <w:r>
        <w:rPr>
          <w:rFonts w:hint="eastAsia" w:ascii="宋体" w:hAnsi="宋体"/>
        </w:rPr>
        <w:t>报价</w:t>
      </w:r>
      <w:r>
        <w:rPr>
          <w:rFonts w:hint="eastAsia" w:ascii="宋体" w:hAnsi="宋体"/>
          <w:bCs/>
          <w:szCs w:val="28"/>
        </w:rPr>
        <w:t>要求</w:t>
      </w:r>
      <w:r>
        <w:rPr>
          <w:rFonts w:hint="eastAsia" w:ascii="宋体" w:hAnsi="宋体"/>
        </w:rPr>
        <w:t>响应文件</w:t>
      </w:r>
      <w:r>
        <w:tab/>
      </w:r>
      <w:r>
        <w:fldChar w:fldCharType="begin"/>
      </w:r>
      <w:r>
        <w:instrText xml:space="preserve"> PAGEREF _Toc28144 \h </w:instrText>
      </w:r>
      <w:r>
        <w:fldChar w:fldCharType="separate"/>
      </w:r>
      <w:r>
        <w:t>44</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_Toc10955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_Toc10955 \h </w:instrText>
      </w:r>
      <w:r>
        <w:fldChar w:fldCharType="separate"/>
      </w:r>
      <w:r>
        <w:t>47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_Toc31123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4.1 </w:t>
      </w:r>
      <w:r>
        <w:rPr>
          <w:rFonts w:hint="eastAsia" w:ascii="宋体" w:hAnsi="宋体"/>
          <w:bCs/>
          <w:szCs w:val="32"/>
        </w:rPr>
        <w:t>项目概况</w:t>
      </w:r>
      <w:r>
        <w:tab/>
      </w:r>
      <w:r>
        <w:fldChar w:fldCharType="begin"/>
      </w:r>
      <w:r>
        <w:instrText xml:space="preserve"> PAGEREF _Toc31123 \h </w:instrText>
      </w:r>
      <w:r>
        <w:fldChar w:fldCharType="separate"/>
      </w:r>
      <w:r>
        <w:t>47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_Toc1122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4.2 </w:t>
      </w:r>
      <w:r>
        <w:rPr>
          <w:rFonts w:hint="eastAsia" w:ascii="宋体" w:hAnsi="宋体"/>
          <w:bCs/>
          <w:szCs w:val="32"/>
        </w:rPr>
        <w:t>采购内容</w:t>
      </w:r>
      <w:r>
        <w:tab/>
      </w:r>
      <w:r>
        <w:fldChar w:fldCharType="begin"/>
      </w:r>
      <w:r>
        <w:instrText xml:space="preserve"> PAGEREF _Toc1122 \h </w:instrText>
      </w:r>
      <w:r>
        <w:fldChar w:fldCharType="separate"/>
      </w:r>
      <w:r>
        <w:t>47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_Toc10479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4.3 </w:t>
      </w:r>
      <w:r>
        <w:rPr>
          <w:rFonts w:hint="eastAsia" w:ascii="宋体" w:hAnsi="宋体"/>
          <w:bCs/>
          <w:szCs w:val="32"/>
        </w:rPr>
        <w:t>技术参数及要求</w:t>
      </w:r>
      <w:r>
        <w:tab/>
      </w:r>
      <w:r>
        <w:fldChar w:fldCharType="begin"/>
      </w:r>
      <w:r>
        <w:instrText xml:space="preserve"> PAGEREF _Toc10479 \h </w:instrText>
      </w:r>
      <w:r>
        <w:fldChar w:fldCharType="separate"/>
      </w:r>
      <w:r>
        <w:t>47</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_Toc16607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4.4 </w:t>
      </w:r>
      <w:r>
        <w:rPr>
          <w:rFonts w:hint="eastAsia" w:ascii="宋体" w:hAnsi="宋体"/>
          <w:bCs/>
          <w:szCs w:val="28"/>
        </w:rPr>
        <w:t>商务</w:t>
      </w:r>
      <w:r>
        <w:rPr>
          <w:rFonts w:ascii="宋体" w:hAnsi="宋体"/>
          <w:bCs/>
          <w:szCs w:val="28"/>
        </w:rPr>
        <w:t>要求</w:t>
      </w:r>
      <w:r>
        <w:tab/>
      </w:r>
      <w:r>
        <w:fldChar w:fldCharType="begin"/>
      </w:r>
      <w:r>
        <w:instrText xml:space="preserve"> PAGEREF _Toc16607 \h </w:instrText>
      </w:r>
      <w:r>
        <w:fldChar w:fldCharType="separate"/>
      </w:r>
      <w:r>
        <w:t>51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_Toc25231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4.5 </w:t>
      </w:r>
      <w:r>
        <w:rPr>
          <w:rFonts w:hint="eastAsia" w:ascii="宋体" w:hAnsi="宋体"/>
          <w:bCs/>
          <w:szCs w:val="28"/>
        </w:rPr>
        <w:t>最高限价</w:t>
      </w:r>
      <w:r>
        <w:tab/>
      </w:r>
      <w:r>
        <w:fldChar w:fldCharType="begin"/>
      </w:r>
      <w:r>
        <w:instrText xml:space="preserve"> PAGEREF _Toc25231 \h </w:instrText>
      </w:r>
      <w:r>
        <w:fldChar w:fldCharType="separate"/>
      </w:r>
      <w:r>
        <w:t>52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_Toc23585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4.6 </w:t>
      </w:r>
      <w:r>
        <w:rPr>
          <w:rFonts w:hint="eastAsia" w:ascii="宋体" w:hAnsi="宋体"/>
          <w:szCs w:val="28"/>
        </w:rPr>
        <w:t>其他要求</w:t>
      </w:r>
      <w:r>
        <w:tab/>
      </w:r>
      <w:r>
        <w:fldChar w:fldCharType="begin"/>
      </w:r>
      <w:r>
        <w:instrText xml:space="preserve"> PAGEREF _Toc23585 \h </w:instrText>
      </w:r>
      <w:r>
        <w:fldChar w:fldCharType="separate"/>
      </w:r>
      <w:r>
        <w:t>53</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_Toc11383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_Toc11383 \h </w:instrText>
      </w:r>
      <w:r>
        <w:fldChar w:fldCharType="separate"/>
      </w:r>
      <w:r>
        <w:t>54</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_Toc14722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_Toc14722 \h </w:instrText>
      </w:r>
      <w:r>
        <w:fldChar w:fldCharType="separate"/>
      </w:r>
      <w:r>
        <w:t>58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_Toc14505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_Toc14505 \h </w:instrText>
      </w:r>
      <w:r>
        <w:fldChar w:fldCharType="separate"/>
      </w:r>
      <w:r>
        <w:t>58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_Toc9998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_Toc9998 \h </w:instrText>
      </w:r>
      <w:r>
        <w:fldChar w:fldCharType="separate"/>
      </w:r>
      <w:r>
        <w:t>59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_Toc15429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_Toc15429 \h </w:instrText>
      </w:r>
      <w:r>
        <w:fldChar w:fldCharType="separate"/>
      </w:r>
      <w:r>
        <w:t>59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_Toc12186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_Toc12186 \h </w:instrText>
      </w:r>
      <w:r>
        <w:fldChar w:fldCharType="separate"/>
      </w:r>
      <w:r>
        <w:t>66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_Toc28 \h </w:instrText>
      </w:r>
      <w:r>
        <w:fldChar w:fldCharType="separate"/>
      </w:r>
      <w:r>
        <w:t>66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_Toc1219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_Toc1219 \h </w:instrText>
      </w:r>
      <w:r>
        <w:fldChar w:fldCharType="separate"/>
      </w:r>
      <w:r>
        <w:t>69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_Toc29500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_Toc29500 \h </w:instrText>
      </w:r>
      <w:r>
        <w:fldChar w:fldCharType="separate"/>
      </w:r>
      <w:r>
        <w:t>69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_Toc21940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_Toc21940 \h </w:instrText>
      </w:r>
      <w:r>
        <w:fldChar w:fldCharType="separate"/>
      </w:r>
      <w:r>
        <w:t>70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_Toc31508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_Toc31508 \h </w:instrText>
      </w:r>
      <w:r>
        <w:fldChar w:fldCharType="separate"/>
      </w:r>
      <w:r>
        <w:t>71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_Toc24910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评审专家在政府采购活动中应当遵守以下工作纪律</w:t>
      </w:r>
      <w:r>
        <w:tab/>
      </w:r>
      <w:r>
        <w:fldChar w:fldCharType="begin"/>
      </w:r>
      <w:r>
        <w:instrText xml:space="preserve"> PAGEREF _Toc24910 \h </w:instrText>
      </w:r>
      <w:r>
        <w:fldChar w:fldCharType="separate"/>
      </w:r>
      <w:r>
        <w:t>72</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_Toc13699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拟签订合同文本</w:t>
      </w:r>
      <w:r>
        <w:tab/>
      </w:r>
      <w:r>
        <w:fldChar w:fldCharType="begin"/>
      </w:r>
      <w:r>
        <w:instrText xml:space="preserve"> PAGEREF _Toc13699 \h </w:instrText>
      </w:r>
      <w:r>
        <w:fldChar w:fldCharType="separate"/>
      </w:r>
      <w:r>
        <w:t>74</w:t>
      </w:r>
      <w:r>
        <w:fldChar w:fldCharType="end"/>
      </w:r>
      <w:r>
        <w:rPr>
          <w:rFonts w:hint="eastAsia" w:ascii="宋体" w:hAnsi="宋体" w:eastAsia="宋体" w:cs="宋体"/>
        </w:rPr>
        <w:fldChar w:fldCharType="end"/>
      </w:r>
    </w:p>
    <w:p>
      <w:pPr>
        <w:tabs>
          <w:tab w:val="left" w:pos="620"/>
          <w:tab w:val="right" w:leader="dot" w:pos="8364"/>
        </w:tabs>
        <w:ind w:left="180"/>
        <w:rPr>
          <w:rFonts w:hint="eastAsia" w:ascii="宋体" w:hAnsi="宋体" w:eastAsia="宋体" w:cs="宋体"/>
          <w:b/>
          <w:bCs/>
          <w:caps/>
          <w:smallCaps/>
          <w:sz w:val="20"/>
          <w:szCs w:val="20"/>
        </w:rPr>
      </w:pPr>
      <w:r>
        <w:rPr>
          <w:rFonts w:hint="eastAsia" w:ascii="宋体" w:hAnsi="宋体" w:eastAsia="宋体" w:cs="宋体"/>
        </w:rPr>
        <w:fldChar w:fldCharType="end"/>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204575871"/>
      <w:bookmarkStart w:id="5" w:name="_Toc23615"/>
      <w:bookmarkStart w:id="6" w:name="_Toc181610856"/>
      <w:bookmarkStart w:id="7" w:name="_Toc181591102"/>
      <w:r>
        <w:rPr>
          <w:rFonts w:hint="eastAsia" w:ascii="宋体" w:hAnsi="宋体"/>
          <w:b/>
          <w:bCs/>
          <w:spacing w:val="-20"/>
          <w:kern w:val="44"/>
          <w:sz w:val="32"/>
          <w:szCs w:val="32"/>
        </w:rPr>
        <w:t>投标邀请</w:t>
      </w:r>
      <w:bookmarkEnd w:id="4"/>
      <w:bookmarkEnd w:id="5"/>
      <w:bookmarkEnd w:id="6"/>
      <w:bookmarkEnd w:id="7"/>
    </w:p>
    <w:p>
      <w:pPr>
        <w:spacing w:line="360" w:lineRule="auto"/>
        <w:ind w:firstLine="568" w:firstLineChars="202"/>
        <w:rPr>
          <w:rFonts w:ascii="宋体" w:hAnsi="宋体"/>
          <w:sz w:val="28"/>
          <w:szCs w:val="28"/>
        </w:rPr>
      </w:pPr>
      <w:r>
        <w:rPr>
          <w:rFonts w:hint="eastAsia" w:ascii="宋体" w:hAnsi="宋体"/>
          <w:b/>
          <w:bCs/>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宋体" w:hAnsi="宋体"/>
          <w:b/>
          <w:bCs/>
          <w:sz w:val="28"/>
          <w:szCs w:val="28"/>
          <w:lang w:eastAsia="zh-CN"/>
        </w:rPr>
        <w:t>成都市新都区人民政府办公室</w:t>
      </w:r>
      <w:r>
        <w:rPr>
          <w:rFonts w:hint="eastAsia" w:ascii="宋体" w:hAnsi="宋体"/>
          <w:sz w:val="28"/>
          <w:szCs w:val="28"/>
        </w:rPr>
        <w:t>委托，拟对</w:t>
      </w:r>
      <w:r>
        <w:rPr>
          <w:rFonts w:hint="eastAsia" w:ascii="宋体" w:hAnsi="宋体"/>
          <w:b/>
          <w:bCs/>
          <w:sz w:val="28"/>
          <w:szCs w:val="28"/>
          <w:lang w:eastAsia="zh-CN"/>
        </w:rPr>
        <w:t>成都市新都区人民政府办公室黄桷树广场会议厅LED显示屏采购项目（第二次）</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新都政采（2021）A0053号-1</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（采购项目编号：5101142021003</w:t>
      </w:r>
      <w:r>
        <w:rPr>
          <w:rFonts w:hint="eastAsia" w:ascii="宋体" w:hAnsi="宋体"/>
          <w:b/>
          <w:sz w:val="28"/>
          <w:szCs w:val="28"/>
          <w:lang w:val="en-US" w:eastAsia="zh-CN"/>
        </w:rPr>
        <w:t>13</w:t>
      </w:r>
      <w:r>
        <w:rPr>
          <w:rFonts w:hint="eastAsia" w:ascii="宋体" w:hAnsi="宋体"/>
          <w:b/>
          <w:sz w:val="28"/>
          <w:szCs w:val="28"/>
        </w:rPr>
        <w:t>）</w:t>
      </w:r>
    </w:p>
    <w:p>
      <w:pPr>
        <w:numPr>
          <w:ilvl w:val="0"/>
          <w:numId w:val="6"/>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成都市新都区人民政府办公室黄桷树广场会议厅LED显示屏采购项目（第二次）</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hint="eastAsia" w:ascii="宋体" w:hAnsi="宋体"/>
          <w:sz w:val="28"/>
          <w:szCs w:val="28"/>
          <w:lang w:eastAsia="zh-CN"/>
        </w:rPr>
        <w:t>（2021）05</w:t>
      </w:r>
      <w:r>
        <w:rPr>
          <w:rFonts w:hint="eastAsia" w:ascii="宋体" w:hAnsi="宋体"/>
          <w:sz w:val="28"/>
          <w:szCs w:val="28"/>
          <w:lang w:val="en-US" w:eastAsia="zh-CN"/>
        </w:rPr>
        <w:t>96</w:t>
      </w:r>
      <w:r>
        <w:rPr>
          <w:rFonts w:hint="eastAsia" w:ascii="宋体" w:hAnsi="宋体"/>
          <w:sz w:val="28"/>
          <w:szCs w:val="28"/>
          <w:lang w:eastAsia="zh-CN"/>
        </w:rPr>
        <w:t>号</w:t>
      </w:r>
      <w:r>
        <w:rPr>
          <w:rFonts w:hint="eastAsia" w:ascii="宋体" w:hAnsi="宋体"/>
          <w:sz w:val="28"/>
          <w:szCs w:val="28"/>
        </w:rPr>
        <w:t>；预算品目：A020207LED显示屏；预算总金额：</w:t>
      </w:r>
      <w:r>
        <w:rPr>
          <w:rFonts w:hint="eastAsia" w:ascii="宋体" w:hAnsi="宋体"/>
          <w:sz w:val="28"/>
          <w:szCs w:val="28"/>
          <w:lang w:val="en-US" w:eastAsia="zh-CN"/>
        </w:rPr>
        <w:t>49.00</w:t>
      </w:r>
      <w:r>
        <w:rPr>
          <w:rFonts w:hint="eastAsia" w:ascii="宋体" w:hAnsi="宋体"/>
          <w:sz w:val="28"/>
          <w:szCs w:val="28"/>
        </w:rPr>
        <w:t>万元；最高限价：</w:t>
      </w:r>
      <w:r>
        <w:rPr>
          <w:rFonts w:hint="eastAsia" w:ascii="宋体" w:hAnsi="宋体"/>
          <w:sz w:val="28"/>
          <w:szCs w:val="28"/>
          <w:lang w:val="en-US" w:eastAsia="zh-CN"/>
        </w:rPr>
        <w:t>49.00万元</w:t>
      </w:r>
      <w:r>
        <w:rPr>
          <w:rFonts w:hint="eastAsia" w:ascii="宋体" w:hAnsi="宋体"/>
          <w:sz w:val="28"/>
          <w:szCs w:val="28"/>
        </w:rPr>
        <w:t>。</w:t>
      </w:r>
    </w:p>
    <w:p>
      <w:pPr>
        <w:numPr>
          <w:ilvl w:val="0"/>
          <w:numId w:val="6"/>
        </w:numPr>
        <w:spacing w:line="360" w:lineRule="auto"/>
        <w:ind w:left="0" w:firstLine="567"/>
        <w:rPr>
          <w:rFonts w:hint="eastAsia" w:ascii="宋体" w:hAnsi="宋体"/>
          <w:sz w:val="28"/>
          <w:szCs w:val="28"/>
        </w:rPr>
      </w:pPr>
      <w:r>
        <w:rPr>
          <w:rFonts w:hint="eastAsia" w:ascii="宋体" w:hAnsi="宋体"/>
          <w:b/>
          <w:sz w:val="28"/>
          <w:szCs w:val="28"/>
        </w:rPr>
        <w:t>招标项目简介</w:t>
      </w:r>
    </w:p>
    <w:tbl>
      <w:tblPr>
        <w:tblStyle w:val="42"/>
        <w:tblpPr w:leftFromText="180" w:rightFromText="180" w:vertAnchor="text" w:horzAnchor="page" w:tblpX="1733" w:tblpY="128"/>
        <w:tblOverlap w:val="never"/>
        <w:tblW w:w="8243" w:type="dxa"/>
        <w:tblInd w:w="0" w:type="dxa"/>
        <w:tblLayout w:type="fixed"/>
        <w:tblCellMar>
          <w:top w:w="15" w:type="dxa"/>
          <w:left w:w="15" w:type="dxa"/>
          <w:bottom w:w="15" w:type="dxa"/>
          <w:right w:w="15" w:type="dxa"/>
        </w:tblCellMar>
      </w:tblPr>
      <w:tblGrid>
        <w:gridCol w:w="1134"/>
        <w:gridCol w:w="2838"/>
        <w:gridCol w:w="1555"/>
        <w:gridCol w:w="1358"/>
        <w:gridCol w:w="1358"/>
      </w:tblGrid>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序号</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设备名称（标的名称）</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单位</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数量</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所属行业</w:t>
            </w:r>
          </w:p>
        </w:tc>
      </w:tr>
      <w:tr>
        <w:tblPrEx>
          <w:tblLayout w:type="fixed"/>
          <w:tblCellMar>
            <w:top w:w="15" w:type="dxa"/>
            <w:left w:w="15" w:type="dxa"/>
            <w:bottom w:w="15" w:type="dxa"/>
            <w:right w:w="15" w:type="dxa"/>
          </w:tblCellMar>
        </w:tblPrEx>
        <w:trPr>
          <w:trHeight w:val="431"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室内P2全彩屏</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30.16</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2</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室内P1.86全彩副屏</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val="en-US" w:eastAsia="zh-CN"/>
              </w:rPr>
              <w:t>2</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视频处理器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4</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数据接收卡</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125</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5</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供电电源</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195</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6</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播控软件</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7</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电缆线</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米</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300</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8</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配电柜</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9</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钢结构</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38.76</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bl>
    <w:p>
      <w:pPr>
        <w:spacing w:line="360" w:lineRule="auto"/>
        <w:rPr>
          <w:rFonts w:hint="eastAsia"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7"/>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w:t>
      </w:r>
      <w:r>
        <w:rPr>
          <w:rFonts w:hint="eastAsia" w:ascii="宋体" w:hAnsi="宋体" w:cs="Times New Roman"/>
          <w:b/>
          <w:sz w:val="28"/>
          <w:szCs w:val="28"/>
          <w:highlight w:val="none"/>
          <w:lang w:eastAsia="zh-CN"/>
        </w:rPr>
        <w:t>货物</w:t>
      </w:r>
      <w:r>
        <w:rPr>
          <w:rFonts w:hint="eastAsia" w:ascii="宋体" w:hAnsi="宋体" w:eastAsia="宋体" w:cs="Times New Roman"/>
          <w:b/>
          <w:sz w:val="28"/>
          <w:szCs w:val="28"/>
          <w:highlight w:val="none"/>
        </w:rPr>
        <w:t>全部由符合政策要求的中小企业承接。（说明：监狱企业、残疾人福利性单位视同小型、微型企业）</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7"/>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color w:val="0000FF"/>
          <w:sz w:val="28"/>
          <w:highlight w:val="none"/>
        </w:rPr>
      </w:pPr>
      <w:r>
        <w:rPr>
          <w:rFonts w:hint="eastAsia" w:ascii="宋体" w:hAnsi="宋体"/>
          <w:b/>
          <w:color w:val="0000FF"/>
          <w:sz w:val="28"/>
          <w:szCs w:val="28"/>
          <w:highlight w:val="none"/>
        </w:rPr>
        <w:t>招标文件获取时间：2021年</w:t>
      </w:r>
      <w:r>
        <w:rPr>
          <w:rFonts w:hint="eastAsia" w:ascii="宋体" w:hAnsi="宋体"/>
          <w:b/>
          <w:color w:val="0000FF"/>
          <w:sz w:val="28"/>
          <w:szCs w:val="28"/>
          <w:highlight w:val="none"/>
          <w:lang w:val="en-US" w:eastAsia="zh-CN"/>
        </w:rPr>
        <w:t>12</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23</w:t>
      </w:r>
      <w:r>
        <w:rPr>
          <w:rFonts w:hint="eastAsia" w:ascii="宋体" w:hAnsi="宋体"/>
          <w:b/>
          <w:color w:val="0000FF"/>
          <w:sz w:val="28"/>
          <w:szCs w:val="28"/>
          <w:highlight w:val="none"/>
        </w:rPr>
        <w:t>日至</w:t>
      </w:r>
      <w:r>
        <w:rPr>
          <w:rFonts w:hint="eastAsia" w:ascii="宋体" w:hAnsi="宋体"/>
          <w:b/>
          <w:color w:val="0000FF"/>
          <w:sz w:val="28"/>
          <w:szCs w:val="28"/>
          <w:highlight w:val="none"/>
          <w:lang w:val="en-US" w:eastAsia="zh-CN"/>
        </w:rPr>
        <w:t>2022年1</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11</w:t>
      </w:r>
      <w:r>
        <w:rPr>
          <w:rFonts w:hint="eastAsia" w:ascii="宋体" w:hAnsi="宋体"/>
          <w:b/>
          <w:color w:val="0000FF"/>
          <w:sz w:val="28"/>
          <w:szCs w:val="28"/>
          <w:highlight w:val="none"/>
        </w:rPr>
        <w:t>日。</w:t>
      </w:r>
    </w:p>
    <w:p>
      <w:pPr>
        <w:numPr>
          <w:ilvl w:val="0"/>
          <w:numId w:val="8"/>
        </w:numPr>
        <w:spacing w:line="360" w:lineRule="auto"/>
        <w:ind w:left="0" w:firstLine="567"/>
        <w:rPr>
          <w:rFonts w:ascii="宋体" w:hAnsi="宋体"/>
          <w:b/>
          <w:color w:val="0000FF"/>
          <w:sz w:val="28"/>
          <w:highlight w:val="none"/>
        </w:rPr>
      </w:pPr>
      <w:r>
        <w:rPr>
          <w:rFonts w:hint="eastAsia" w:ascii="宋体" w:hAnsi="宋体"/>
          <w:b/>
          <w:color w:val="0000FF"/>
          <w:sz w:val="28"/>
          <w:szCs w:val="28"/>
          <w:highlight w:val="none"/>
        </w:rPr>
        <w:t>公告期限：2021年</w:t>
      </w:r>
      <w:r>
        <w:rPr>
          <w:rFonts w:hint="eastAsia" w:ascii="宋体" w:hAnsi="宋体"/>
          <w:b/>
          <w:color w:val="0000FF"/>
          <w:sz w:val="28"/>
          <w:szCs w:val="28"/>
          <w:highlight w:val="none"/>
          <w:lang w:val="en-US" w:eastAsia="zh-CN"/>
        </w:rPr>
        <w:t>12</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23</w:t>
      </w:r>
      <w:r>
        <w:rPr>
          <w:rFonts w:hint="eastAsia" w:ascii="宋体" w:hAnsi="宋体"/>
          <w:b/>
          <w:color w:val="0000FF"/>
          <w:sz w:val="28"/>
          <w:szCs w:val="28"/>
          <w:highlight w:val="none"/>
        </w:rPr>
        <w:t>日至</w:t>
      </w:r>
      <w:r>
        <w:rPr>
          <w:rFonts w:hint="eastAsia" w:ascii="宋体" w:hAnsi="宋体"/>
          <w:b/>
          <w:color w:val="0000FF"/>
          <w:sz w:val="28"/>
          <w:szCs w:val="28"/>
          <w:highlight w:val="none"/>
          <w:lang w:val="en-US" w:eastAsia="zh-CN"/>
        </w:rPr>
        <w:t>2022年12</w:t>
      </w:r>
      <w:r>
        <w:rPr>
          <w:rFonts w:hint="eastAsia" w:ascii="宋体" w:hAnsi="宋体"/>
          <w:b/>
          <w:color w:val="0000FF"/>
          <w:sz w:val="28"/>
          <w:szCs w:val="28"/>
          <w:highlight w:val="none"/>
        </w:rPr>
        <w:t>月</w:t>
      </w:r>
      <w:r>
        <w:rPr>
          <w:rFonts w:hint="eastAsia" w:ascii="宋体" w:hAnsi="宋体"/>
          <w:b/>
          <w:color w:val="0000FF"/>
          <w:sz w:val="28"/>
          <w:szCs w:val="28"/>
          <w:highlight w:val="none"/>
          <w:lang w:val="en-US" w:eastAsia="zh-CN"/>
        </w:rPr>
        <w:t>29</w:t>
      </w:r>
      <w:r>
        <w:rPr>
          <w:rFonts w:hint="eastAsia" w:ascii="宋体" w:hAnsi="宋体"/>
          <w:b/>
          <w:color w:val="0000FF"/>
          <w:sz w:val="28"/>
          <w:szCs w:val="28"/>
          <w:highlight w:val="none"/>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投标人要参加投标，应在“政府采购云平台（www.zcygov.cn）”获取采购文件。登录政府采购云平台(www.zcygov.cn)—我的工作台—项目采购—获取采购文件—申请获取采购文件。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提示：</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（1）本项目采购文件免费获取。</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操作指南</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0" w:firstLineChars="200"/>
        <w:rPr>
          <w:rFonts w:hint="eastAsia" w:ascii="宋体" w:hAnsi="宋体" w:eastAsia="宋体" w:cs="Times New Roman"/>
          <w:sz w:val="28"/>
          <w:szCs w:val="28"/>
        </w:rPr>
      </w:pPr>
      <w:bookmarkStart w:id="8" w:name="_Toc186274101"/>
      <w:bookmarkStart w:id="9" w:name="_Toc174185149"/>
      <w:bookmarkStart w:id="10" w:name="_Toc184013605"/>
      <w:bookmarkStart w:id="11" w:name="_Toc184023104"/>
      <w:bookmarkStart w:id="12" w:name="_Toc180051012"/>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（一）投标文件递交截止时间及开标时间：202</w:t>
      </w:r>
      <w:r>
        <w:rPr>
          <w:rFonts w:hint="eastAsia" w:ascii="宋体" w:hAnsi="宋体"/>
          <w:b/>
          <w:sz w:val="28"/>
          <w:szCs w:val="28"/>
          <w:lang w:val="en-US" w:eastAsia="zh-CN"/>
        </w:rPr>
        <w:t>2</w:t>
      </w:r>
      <w:r>
        <w:rPr>
          <w:rFonts w:hint="eastAsia" w:ascii="宋体" w:hAnsi="宋体"/>
          <w:b/>
          <w:sz w:val="28"/>
          <w:szCs w:val="28"/>
        </w:rPr>
        <w:t>年</w:t>
      </w:r>
      <w:r>
        <w:rPr>
          <w:rFonts w:hint="eastAsia" w:ascii="宋体" w:hAnsi="宋体"/>
          <w:b/>
          <w:sz w:val="28"/>
          <w:szCs w:val="28"/>
          <w:lang w:val="en-US" w:eastAsia="zh-CN"/>
        </w:rPr>
        <w:t>1</w:t>
      </w:r>
      <w:r>
        <w:rPr>
          <w:rFonts w:hint="eastAsia" w:ascii="宋体" w:hAnsi="宋体"/>
          <w:b/>
          <w:sz w:val="28"/>
          <w:szCs w:val="28"/>
          <w:highlight w:val="none"/>
        </w:rPr>
        <w:t>月</w:t>
      </w:r>
      <w:r>
        <w:rPr>
          <w:rFonts w:hint="eastAsia" w:ascii="宋体" w:hAnsi="宋体"/>
          <w:b/>
          <w:sz w:val="28"/>
          <w:szCs w:val="28"/>
          <w:highlight w:val="none"/>
          <w:lang w:val="en-US" w:eastAsia="zh-CN"/>
        </w:rPr>
        <w:t>12</w:t>
      </w:r>
      <w:r>
        <w:rPr>
          <w:rFonts w:hint="eastAsia" w:ascii="宋体" w:hAnsi="宋体"/>
          <w:b/>
          <w:sz w:val="28"/>
          <w:szCs w:val="28"/>
          <w:highlight w:val="none"/>
        </w:rPr>
        <w:t>日上午09:</w:t>
      </w:r>
      <w:r>
        <w:rPr>
          <w:rFonts w:hint="eastAsia" w:ascii="宋体" w:hAnsi="宋体"/>
          <w:b/>
          <w:sz w:val="28"/>
          <w:szCs w:val="28"/>
          <w:highlight w:val="none"/>
          <w:lang w:val="en-US" w:eastAsia="zh-CN"/>
        </w:rPr>
        <w:t>3</w:t>
      </w:r>
      <w:r>
        <w:rPr>
          <w:rFonts w:hint="eastAsia" w:ascii="宋体" w:hAnsi="宋体"/>
          <w:b/>
          <w:sz w:val="28"/>
          <w:szCs w:val="28"/>
        </w:rPr>
        <w:t>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w:t>
      </w:r>
    </w:p>
    <w:p>
      <w:pPr>
        <w:numPr>
          <w:ilvl w:val="0"/>
          <w:numId w:val="6"/>
        </w:numPr>
        <w:spacing w:line="360" w:lineRule="auto"/>
        <w:ind w:left="0" w:firstLine="567"/>
        <w:rPr>
          <w:rFonts w:hint="eastAsia" w:ascii="宋体" w:hAnsi="宋体"/>
          <w:b/>
          <w:sz w:val="28"/>
          <w:szCs w:val="28"/>
        </w:rPr>
      </w:pPr>
      <w:r>
        <w:rPr>
          <w:rFonts w:hint="eastAsia" w:ascii="宋体" w:hAnsi="宋体"/>
          <w:b/>
          <w:sz w:val="28"/>
          <w:szCs w:val="28"/>
        </w:rPr>
        <w:t>代理机构收费标准</w:t>
      </w:r>
    </w:p>
    <w:p>
      <w:pPr>
        <w:spacing w:line="560" w:lineRule="exact"/>
        <w:ind w:firstLine="565" w:firstLineChars="202"/>
        <w:rPr>
          <w:rFonts w:hint="eastAsia" w:ascii="宋体" w:hAnsi="宋体"/>
          <w:sz w:val="28"/>
          <w:szCs w:val="28"/>
        </w:rPr>
      </w:pPr>
      <w:r>
        <w:rPr>
          <w:rFonts w:hint="eastAsia" w:ascii="宋体" w:hAnsi="宋体"/>
          <w:sz w:val="28"/>
          <w:szCs w:val="28"/>
        </w:rPr>
        <w:t>本项目不收取代理费用。</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560" w:lineRule="exact"/>
        <w:ind w:firstLine="565" w:firstLineChars="202"/>
        <w:rPr>
          <w:rFonts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sz w:val="28"/>
          <w:szCs w:val="28"/>
        </w:rPr>
        <w:t>。</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rPr>
        <w:t>采购人：</w:t>
      </w:r>
      <w:r>
        <w:rPr>
          <w:rFonts w:hint="eastAsia" w:ascii="宋体" w:hAnsi="宋体"/>
          <w:b/>
          <w:kern w:val="0"/>
          <w:sz w:val="28"/>
          <w:lang w:eastAsia="zh-CN"/>
        </w:rPr>
        <w:t>成都市新都区人民政府办公室</w:t>
      </w:r>
    </w:p>
    <w:p>
      <w:pPr>
        <w:pStyle w:val="149"/>
        <w:ind w:firstLine="560"/>
        <w:rPr>
          <w:rFonts w:hint="eastAsia" w:ascii="宋体" w:hAnsi="宋体"/>
          <w:sz w:val="28"/>
          <w:szCs w:val="28"/>
        </w:rPr>
      </w:pPr>
      <w:r>
        <w:rPr>
          <w:rFonts w:hint="eastAsia" w:ascii="宋体" w:hAnsi="宋体"/>
          <w:kern w:val="0"/>
          <w:sz w:val="28"/>
          <w:szCs w:val="22"/>
        </w:rPr>
        <w:t>地  址：</w:t>
      </w:r>
      <w:r>
        <w:rPr>
          <w:rFonts w:hint="eastAsia" w:ascii="宋体" w:hAnsi="宋体"/>
          <w:sz w:val="28"/>
          <w:szCs w:val="28"/>
        </w:rPr>
        <w:t>成都市新都区</w:t>
      </w:r>
      <w:r>
        <w:rPr>
          <w:rFonts w:hint="eastAsia" w:ascii="宋体" w:hAnsi="宋体"/>
          <w:sz w:val="28"/>
          <w:szCs w:val="28"/>
          <w:lang w:eastAsia="zh-CN"/>
        </w:rPr>
        <w:t>桂</w:t>
      </w:r>
      <w:r>
        <w:rPr>
          <w:rFonts w:hint="eastAsia" w:ascii="宋体" w:hAnsi="宋体"/>
          <w:sz w:val="28"/>
          <w:szCs w:val="28"/>
        </w:rPr>
        <w:t>湖中路92号</w:t>
      </w:r>
    </w:p>
    <w:p>
      <w:pPr>
        <w:pStyle w:val="149"/>
        <w:ind w:firstLine="560"/>
        <w:rPr>
          <w:rFonts w:hint="eastAsia" w:ascii="宋体" w:hAnsi="宋体" w:eastAsia="宋体"/>
          <w:kern w:val="0"/>
          <w:sz w:val="28"/>
          <w:szCs w:val="28"/>
          <w:lang w:eastAsia="zh-CN"/>
        </w:rPr>
      </w:pPr>
      <w:r>
        <w:rPr>
          <w:rFonts w:hint="eastAsia" w:ascii="宋体" w:hAnsi="宋体"/>
          <w:kern w:val="0"/>
          <w:sz w:val="28"/>
          <w:szCs w:val="28"/>
        </w:rPr>
        <w:t>联系人：</w:t>
      </w:r>
      <w:r>
        <w:rPr>
          <w:rFonts w:hint="eastAsia" w:ascii="宋体" w:hAnsi="宋体"/>
          <w:sz w:val="28"/>
          <w:lang w:eastAsia="zh-CN"/>
        </w:rPr>
        <w:t>李承柳</w:t>
      </w:r>
    </w:p>
    <w:p>
      <w:pPr>
        <w:spacing w:line="360" w:lineRule="auto"/>
        <w:ind w:firstLine="567"/>
        <w:rPr>
          <w:rFonts w:hint="default" w:ascii="宋体" w:hAnsi="宋体" w:eastAsia="宋体"/>
          <w:b/>
          <w:bCs/>
          <w:kern w:val="0"/>
          <w:sz w:val="28"/>
          <w:szCs w:val="28"/>
          <w:lang w:val="en-US" w:eastAsia="zh-CN"/>
        </w:rPr>
      </w:pPr>
      <w:r>
        <w:rPr>
          <w:rFonts w:hint="eastAsia" w:ascii="宋体" w:hAnsi="宋体"/>
          <w:sz w:val="28"/>
        </w:rPr>
        <w:t>联系电话：</w:t>
      </w:r>
      <w:r>
        <w:rPr>
          <w:rFonts w:hint="eastAsia" w:ascii="宋体" w:hAnsi="宋体"/>
          <w:kern w:val="0"/>
          <w:sz w:val="28"/>
        </w:rPr>
        <w:t>1</w:t>
      </w:r>
      <w:r>
        <w:rPr>
          <w:rFonts w:hint="eastAsia" w:ascii="宋体" w:hAnsi="宋体"/>
          <w:kern w:val="0"/>
          <w:sz w:val="28"/>
          <w:lang w:val="en-US" w:eastAsia="zh-CN"/>
        </w:rPr>
        <w:t>5202828530</w:t>
      </w:r>
    </w:p>
    <w:p>
      <w:pPr>
        <w:spacing w:line="360" w:lineRule="auto"/>
        <w:ind w:firstLine="568" w:firstLineChars="202"/>
        <w:rPr>
          <w:rFonts w:hint="eastAsia" w:ascii="宋体" w:hAnsi="宋体" w:eastAsia="宋体"/>
          <w:b/>
          <w:sz w:val="28"/>
          <w:lang w:eastAsia="zh-CN"/>
        </w:rPr>
      </w:pPr>
      <w:r>
        <w:rPr>
          <w:rFonts w:hint="eastAsia" w:ascii="宋体" w:hAnsi="宋体"/>
          <w:b/>
          <w:sz w:val="28"/>
          <w:lang w:eastAsia="zh-CN"/>
        </w:rPr>
        <w:t>集中采购机构：成都市新都区公共资源交易服务中心</w:t>
      </w:r>
    </w:p>
    <w:p>
      <w:pPr>
        <w:spacing w:line="360" w:lineRule="auto"/>
        <w:ind w:firstLine="565" w:firstLineChars="202"/>
        <w:rPr>
          <w:rFonts w:hint="eastAsia" w:ascii="宋体" w:hAnsi="宋体"/>
          <w:sz w:val="28"/>
        </w:rPr>
      </w:pPr>
      <w:r>
        <w:rPr>
          <w:rFonts w:hint="eastAsia" w:ascii="宋体" w:hAnsi="宋体"/>
          <w:sz w:val="28"/>
        </w:rPr>
        <w:t>地  址：成都市新都区育英路788政务中心C区4楼</w:t>
      </w:r>
    </w:p>
    <w:p>
      <w:pPr>
        <w:spacing w:line="360" w:lineRule="auto"/>
        <w:ind w:firstLine="565" w:firstLineChars="202"/>
        <w:rPr>
          <w:rFonts w:hint="eastAsia" w:ascii="宋体" w:hAnsi="宋体"/>
          <w:sz w:val="28"/>
        </w:rPr>
      </w:pPr>
      <w:r>
        <w:rPr>
          <w:rFonts w:hint="eastAsia" w:ascii="宋体" w:hAnsi="宋体"/>
          <w:sz w:val="28"/>
        </w:rPr>
        <w:t>邮  编：610500</w:t>
      </w:r>
    </w:p>
    <w:p>
      <w:pPr>
        <w:spacing w:line="360" w:lineRule="auto"/>
        <w:ind w:firstLine="565" w:firstLineChars="202"/>
        <w:rPr>
          <w:rFonts w:hint="eastAsia" w:ascii="宋体" w:hAnsi="宋体" w:eastAsia="宋体"/>
          <w:sz w:val="28"/>
          <w:lang w:eastAsia="zh-CN"/>
        </w:rPr>
      </w:pPr>
      <w:r>
        <w:rPr>
          <w:rFonts w:hint="eastAsia" w:ascii="宋体" w:hAnsi="宋体"/>
          <w:sz w:val="28"/>
        </w:rPr>
        <w:t>联系人：</w:t>
      </w:r>
      <w:r>
        <w:rPr>
          <w:rFonts w:hint="eastAsia" w:ascii="宋体" w:hAnsi="宋体"/>
          <w:sz w:val="28"/>
          <w:lang w:eastAsia="zh-CN"/>
        </w:rPr>
        <w:t>魏婷</w:t>
      </w:r>
    </w:p>
    <w:p>
      <w:pPr>
        <w:spacing w:line="360" w:lineRule="auto"/>
        <w:ind w:firstLine="565" w:firstLineChars="202"/>
        <w:rPr>
          <w:rFonts w:hint="default" w:ascii="宋体" w:hAnsi="宋体" w:eastAsia="宋体"/>
          <w:sz w:val="28"/>
          <w:lang w:val="en-US" w:eastAsia="zh-CN"/>
        </w:rPr>
      </w:pPr>
      <w:r>
        <w:rPr>
          <w:rFonts w:hint="eastAsia" w:ascii="宋体" w:hAnsi="宋体"/>
          <w:sz w:val="28"/>
        </w:rPr>
        <w:t>联系电话：028-</w:t>
      </w:r>
      <w:r>
        <w:rPr>
          <w:rFonts w:hint="eastAsia" w:ascii="宋体" w:hAnsi="宋体"/>
          <w:sz w:val="28"/>
          <w:lang w:val="en-US" w:eastAsia="zh-CN"/>
        </w:rPr>
        <w:t>61790025</w:t>
      </w:r>
    </w:p>
    <w:p>
      <w:pPr>
        <w:spacing w:line="360" w:lineRule="auto"/>
        <w:ind w:firstLine="568" w:firstLineChars="202"/>
        <w:rPr>
          <w:rFonts w:ascii="宋体" w:hAnsi="宋体"/>
          <w:kern w:val="0"/>
          <w:sz w:val="28"/>
        </w:rPr>
      </w:pPr>
      <w:r>
        <w:rPr>
          <w:rFonts w:hint="eastAsia" w:ascii="宋体" w:hAnsi="宋体"/>
          <w:b/>
          <w:sz w:val="28"/>
          <w:szCs w:val="28"/>
        </w:rPr>
        <w:t>技术支持电话：</w:t>
      </w:r>
      <w:r>
        <w:rPr>
          <w:rFonts w:hint="eastAsia" w:ascii="宋体" w:hAnsi="宋体"/>
          <w:sz w:val="28"/>
          <w:szCs w:val="28"/>
        </w:rPr>
        <w:t>400-881-7190</w:t>
      </w:r>
    </w:p>
    <w:p>
      <w:pPr>
        <w:tabs>
          <w:tab w:val="left" w:pos="900"/>
        </w:tabs>
        <w:spacing w:line="360" w:lineRule="auto"/>
        <w:ind w:firstLine="562" w:firstLineChars="200"/>
        <w:rPr>
          <w:rFonts w:hint="eastAsia" w:ascii="宋体" w:hAnsi="宋体"/>
          <w:b/>
          <w:sz w:val="28"/>
          <w:szCs w:val="28"/>
        </w:rPr>
      </w:pPr>
      <w:r>
        <w:rPr>
          <w:rFonts w:hint="eastAsia" w:ascii="宋体" w:hAnsi="宋体"/>
          <w:b/>
          <w:sz w:val="28"/>
          <w:szCs w:val="28"/>
        </w:rPr>
        <w:t>集中采购监督机构：成都市新都区财政局</w:t>
      </w:r>
    </w:p>
    <w:p>
      <w:pPr>
        <w:tabs>
          <w:tab w:val="left" w:pos="900"/>
        </w:tabs>
        <w:spacing w:line="360" w:lineRule="auto"/>
        <w:ind w:firstLine="560" w:firstLineChars="200"/>
        <w:rPr>
          <w:rFonts w:hint="eastAsia" w:ascii="宋体" w:hAnsi="宋体"/>
          <w:b w:val="0"/>
          <w:bCs/>
          <w:sz w:val="28"/>
          <w:szCs w:val="28"/>
        </w:rPr>
      </w:pPr>
      <w:r>
        <w:rPr>
          <w:rFonts w:hint="eastAsia" w:ascii="宋体" w:hAnsi="宋体"/>
          <w:b w:val="0"/>
          <w:bCs/>
          <w:sz w:val="28"/>
          <w:szCs w:val="28"/>
          <w:lang w:eastAsia="zh-CN"/>
        </w:rPr>
        <w:t>地址</w:t>
      </w:r>
      <w:r>
        <w:rPr>
          <w:rFonts w:hint="eastAsia" w:ascii="宋体" w:hAnsi="宋体"/>
          <w:b w:val="0"/>
          <w:bCs/>
          <w:sz w:val="28"/>
          <w:szCs w:val="28"/>
        </w:rPr>
        <w:t>：成都市新都区马超东路289号金融服务中心7楼</w:t>
      </w:r>
    </w:p>
    <w:p>
      <w:pPr>
        <w:pStyle w:val="2"/>
        <w:ind w:firstLine="560" w:firstLineChars="200"/>
        <w:rPr>
          <w:rFonts w:hint="eastAsia" w:eastAsia="宋体"/>
          <w:lang w:eastAsia="zh-CN"/>
        </w:rPr>
      </w:pPr>
      <w:r>
        <w:rPr>
          <w:rFonts w:hint="eastAsia" w:ascii="宋体" w:hAnsi="宋体"/>
          <w:b w:val="0"/>
          <w:bCs/>
          <w:sz w:val="28"/>
          <w:szCs w:val="28"/>
          <w:lang w:eastAsia="zh-CN"/>
        </w:rPr>
        <w:t>联系人：代延训</w:t>
      </w:r>
    </w:p>
    <w:p>
      <w:pPr>
        <w:tabs>
          <w:tab w:val="left" w:pos="900"/>
        </w:tabs>
        <w:spacing w:line="360" w:lineRule="auto"/>
        <w:ind w:firstLine="560" w:firstLineChars="200"/>
        <w:rPr>
          <w:rFonts w:ascii="宋体" w:hAnsi="宋体" w:cstheme="minorBidi"/>
          <w:b w:val="0"/>
          <w:bCs/>
          <w:sz w:val="28"/>
          <w:szCs w:val="28"/>
        </w:rPr>
      </w:pPr>
      <w:r>
        <w:rPr>
          <w:rFonts w:hint="eastAsia" w:ascii="宋体" w:hAnsi="宋体"/>
          <w:b w:val="0"/>
          <w:bCs/>
          <w:sz w:val="28"/>
          <w:szCs w:val="28"/>
        </w:rPr>
        <w:t>联系电话：028-89396791</w:t>
      </w:r>
    </w:p>
    <w:p>
      <w:pPr>
        <w:rPr>
          <w:rFonts w:ascii="宋体" w:hAnsi="宋体" w:cstheme="minorBidi"/>
          <w:sz w:val="28"/>
          <w:szCs w:val="28"/>
        </w:rPr>
      </w:pPr>
      <w:r>
        <w:rPr>
          <w:rFonts w:ascii="宋体" w:hAnsi="宋体" w:cstheme="minorBidi"/>
          <w:sz w:val="28"/>
          <w:szCs w:val="28"/>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6839"/>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213496268"/>
      <w:bookmarkStart w:id="15" w:name="_Toc213396760"/>
      <w:bookmarkStart w:id="16" w:name="_Toc213396946"/>
      <w:bookmarkStart w:id="17" w:name="_Toc316462344"/>
      <w:bookmarkStart w:id="18" w:name="_Toc27515"/>
      <w:bookmarkStart w:id="19" w:name="_Toc213397010"/>
      <w:bookmarkStart w:id="20" w:name="_Toc189727030"/>
      <w:bookmarkStart w:id="21" w:name="_Toc217446032"/>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ind w:left="0" w:right="0"/>
              <w:jc w:val="center"/>
              <w:rPr>
                <w:rFonts w:hint="default"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38" w:right="0"/>
              <w:jc w:val="center"/>
              <w:rPr>
                <w:rFonts w:hint="default"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210" w:rightChars="100"/>
              <w:rPr>
                <w:rFonts w:hint="default"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eastAsia="仿宋_GB2312" w:cs="宋体"/>
                <w:b/>
                <w:highlight w:val="none"/>
                <w:lang w:val="zh-CN"/>
              </w:rPr>
            </w:pPr>
            <w:r>
              <w:rPr>
                <w:rFonts w:hint="eastAsia" w:ascii="宋体" w:hAnsi="宋体"/>
                <w:b/>
                <w:sz w:val="21"/>
                <w:lang w:val="zh-CN"/>
              </w:rPr>
              <w:t>人民币</w:t>
            </w:r>
            <w:r>
              <w:rPr>
                <w:rFonts w:hint="eastAsia" w:ascii="宋体" w:hAnsi="宋体"/>
                <w:b/>
                <w:sz w:val="21"/>
                <w:lang w:val="en-US" w:eastAsia="zh-CN"/>
              </w:rPr>
              <w:t>49.00万元</w:t>
            </w:r>
            <w:r>
              <w:rPr>
                <w:rFonts w:hint="eastAsia" w:ascii="宋体" w:hAnsi="宋体"/>
                <w:b/>
                <w:sz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Lines="0" w:beforeAutospacing="0" w:after="0" w:afterLines="0" w:afterAutospacing="0" w:line="360" w:lineRule="auto"/>
              <w:ind w:left="0" w:right="210" w:rightChars="100"/>
              <w:rPr>
                <w:rFonts w:hint="default" w:ascii="宋体" w:hAnsi="宋体" w:cs="宋体"/>
                <w:b/>
                <w:highlight w:val="none"/>
                <w:lang w:val="zh-CN"/>
              </w:rPr>
            </w:pPr>
            <w:r>
              <w:rPr>
                <w:rFonts w:hint="eastAsia" w:ascii="宋体" w:hAnsi="宋体"/>
                <w:b/>
                <w:sz w:val="21"/>
                <w:lang w:val="zh-CN"/>
              </w:rPr>
              <w:t>本项目最高限价为</w:t>
            </w:r>
            <w:r>
              <w:rPr>
                <w:rFonts w:hint="eastAsia" w:ascii="宋体" w:hAnsi="宋体"/>
                <w:b/>
                <w:sz w:val="21"/>
                <w:lang w:val="en-US" w:eastAsia="zh-CN"/>
              </w:rPr>
              <w:t>49.00万元</w:t>
            </w:r>
            <w:r>
              <w:rPr>
                <w:rFonts w:hint="eastAsia" w:ascii="宋体" w:hAnsi="宋体"/>
                <w:b/>
                <w:sz w:val="21"/>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210" w:rightChars="100"/>
              <w:rPr>
                <w:rFonts w:hint="default"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utoSpaceDE w:val="0"/>
              <w:autoSpaceDN w:val="0"/>
              <w:adjustRightIn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详见投标人须知2.4.12</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b/>
                <w:bCs/>
              </w:rPr>
              <w:t>注：投标人使用</w:t>
            </w:r>
            <w:r>
              <w:rPr>
                <w:rFonts w:hint="default" w:ascii="宋体" w:hAnsi="宋体"/>
                <w:b/>
                <w:bCs/>
              </w:rPr>
              <w:t>CA证书在</w:t>
            </w:r>
            <w:r>
              <w:rPr>
                <w:rFonts w:hint="eastAsia" w:ascii="宋体" w:hAnsi="宋体"/>
                <w:b/>
                <w:bCs/>
              </w:rPr>
              <w:t>投标截止时间前，将投标文件上传至政府</w:t>
            </w:r>
            <w:r>
              <w:rPr>
                <w:rFonts w:hint="default" w:ascii="宋体" w:hAnsi="宋体"/>
                <w:b/>
                <w:bCs/>
              </w:rPr>
              <w:t>采购</w:t>
            </w:r>
            <w:r>
              <w:rPr>
                <w:rFonts w:hint="eastAsia" w:ascii="宋体" w:hAnsi="宋体"/>
                <w:b/>
                <w:bCs/>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详见投标人须知2.5.1。</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投标文件解密：开启解密后，投标人应在系统提示的解密开始时间后</w:t>
            </w:r>
            <w:r>
              <w:rPr>
                <w:rFonts w:hint="default" w:ascii="宋体" w:hAnsi="宋体"/>
                <w:b/>
              </w:rPr>
              <w:t>60</w:t>
            </w:r>
            <w:r>
              <w:rPr>
                <w:rFonts w:hint="eastAsia" w:ascii="宋体" w:hAnsi="宋体"/>
                <w:b/>
              </w:rPr>
              <w:t>分钟内，使用对投标文件进行加密的CA证书在线完成对投标人递交至政府采购云平台的投标文件的解密。</w:t>
            </w:r>
          </w:p>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keepNext w:val="0"/>
              <w:keepLines w:val="0"/>
              <w:suppressLineNumbers w:val="0"/>
              <w:tabs>
                <w:tab w:val="left" w:pos="7665"/>
              </w:tabs>
              <w:snapToGrid w:val="0"/>
              <w:spacing w:before="0" w:beforeAutospacing="0" w:after="0" w:afterAutospacing="0"/>
              <w:ind w:left="0" w:right="0"/>
              <w:jc w:val="left"/>
              <w:rPr>
                <w:rFonts w:hint="default"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210"/>
              <w:rPr>
                <w:rFonts w:hint="default" w:ascii="宋体" w:hAnsi="宋体" w:eastAsia="仿宋_GB2312" w:cs="宋体"/>
              </w:rPr>
            </w:pPr>
            <w:r>
              <w:rPr>
                <w:rFonts w:hint="eastAsia" w:ascii="宋体" w:hAnsi="宋体"/>
              </w:rPr>
              <w:t>向</w:t>
            </w:r>
            <w:r>
              <w:rPr>
                <w:rFonts w:hint="eastAsia" w:ascii="宋体" w:hAnsi="宋体"/>
                <w:lang w:eastAsia="zh-CN"/>
              </w:rPr>
              <w:t>区交易中心</w:t>
            </w:r>
            <w:r>
              <w:rPr>
                <w:rFonts w:hint="eastAsia" w:ascii="宋体" w:hAnsi="宋体"/>
              </w:rPr>
              <w:t>提出，并由</w:t>
            </w:r>
            <w:r>
              <w:rPr>
                <w:rFonts w:hint="eastAsia" w:ascii="宋体" w:hAnsi="宋体"/>
                <w:lang w:eastAsia="zh-CN"/>
              </w:rPr>
              <w:t>区交易中心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420" w:right="0"/>
              <w:jc w:val="center"/>
              <w:rPr>
                <w:rFonts w:hint="default"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rPr>
            </w:pPr>
            <w:r>
              <w:rPr>
                <w:rFonts w:hint="eastAsia" w:ascii="宋体" w:hAnsi="宋体"/>
              </w:rPr>
              <w:t>投诉受理单位：本项目同级财政部门，即成都市新都区财政局。</w:t>
            </w:r>
          </w:p>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pacing w:before="0" w:beforeAutospacing="0" w:after="0" w:afterAutospacing="0" w:line="360" w:lineRule="auto"/>
              <w:ind w:left="0" w:right="0"/>
              <w:rPr>
                <w:rFonts w:hint="default"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cs="宋体"/>
                <w:lang w:val="zh-CN"/>
              </w:rPr>
              <w:t>中标公告在四川政府采购网上公告后，中标供应商自行登录政府</w:t>
            </w:r>
            <w:r>
              <w:rPr>
                <w:rFonts w:hint="default"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eastAsia="宋体"/>
                <w:lang w:eastAsia="zh-CN"/>
              </w:rPr>
            </w:pPr>
            <w:r>
              <w:rPr>
                <w:rFonts w:hint="eastAsia" w:ascii="宋体" w:hAnsi="宋体"/>
              </w:rPr>
              <w:t>四川省成都市</w:t>
            </w:r>
            <w:r>
              <w:rPr>
                <w:rFonts w:hint="eastAsia" w:ascii="宋体" w:hAnsi="宋体"/>
                <w:lang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210" w:rightChars="100"/>
              <w:rPr>
                <w:rFonts w:hint="default"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4" w:leftChars="-2" w:right="210" w:firstLine="12" w:firstLineChars="6"/>
              <w:rPr>
                <w:rFonts w:hint="default"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lang w:eastAsia="zh-CN"/>
              </w:rPr>
              <w:t>新都区</w:t>
            </w:r>
            <w:r>
              <w:rPr>
                <w:rFonts w:hint="eastAsia" w:asci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b/>
              </w:rPr>
            </w:pPr>
            <w:r>
              <w:rPr>
                <w:rFonts w:hint="eastAsia" w:ascii="宋体" w:hAnsi="宋体"/>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sz w:val="24"/>
              </w:rPr>
              <w:t>工作的通知》</w:t>
            </w:r>
            <w:r>
              <w:rPr>
                <w:rFonts w:hint="eastAsia" w:ascii="宋体" w:hAnsi="宋体"/>
              </w:rPr>
              <w:t>（成财采</w:t>
            </w:r>
            <w:r>
              <w:rPr>
                <w:rFonts w:hint="eastAsia" w:ascii="宋体" w:hAnsi="宋体"/>
                <w:lang w:eastAsia="zh-CN"/>
              </w:rPr>
              <w:t>发</w:t>
            </w:r>
            <w:r>
              <w:rPr>
                <w:rFonts w:hint="eastAsia" w:ascii="宋体" w:hAnsi="宋体"/>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sz w:val="24"/>
              </w:rPr>
              <w:t>见附件</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default"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keepNext w:val="0"/>
              <w:keepLines w:val="0"/>
              <w:suppressLineNumbers w:val="0"/>
              <w:snapToGrid w:val="0"/>
              <w:spacing w:before="0" w:beforeAutospacing="0" w:after="0" w:afterAutospacing="0" w:line="360" w:lineRule="auto"/>
              <w:ind w:left="0" w:right="0"/>
              <w:rPr>
                <w:rFonts w:hint="eastAsia" w:ascii="宋体" w:hAnsi="宋体"/>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eastAsia" w:ascii="宋体" w:hAnsi="宋体"/>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keepNext w:val="0"/>
              <w:keepLines w:val="0"/>
              <w:numPr>
                <w:ilvl w:val="0"/>
                <w:numId w:val="9"/>
              </w:numPr>
              <w:suppressLineNumbers w:val="0"/>
              <w:snapToGrid w:val="0"/>
              <w:spacing w:before="0" w:beforeAutospacing="0" w:after="0" w:afterAutospacing="0" w:line="360" w:lineRule="auto"/>
              <w:ind w:left="0" w:right="0" w:firstLine="0"/>
              <w:jc w:val="center"/>
              <w:rPr>
                <w:rFonts w:hint="default"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keepNext w:val="0"/>
              <w:keepLines w:val="0"/>
              <w:suppressLineNumbers w:val="0"/>
              <w:tabs>
                <w:tab w:val="left" w:pos="7665"/>
              </w:tabs>
              <w:snapToGrid w:val="0"/>
              <w:spacing w:before="0" w:beforeAutospacing="0" w:after="0" w:afterAutospacing="0" w:line="360" w:lineRule="auto"/>
              <w:ind w:left="0" w:right="0"/>
              <w:rPr>
                <w:rFonts w:hint="default"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21271"/>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区交易中心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区交易中心</w:t>
      </w:r>
      <w:r>
        <w:rPr>
          <w:rFonts w:hint="eastAsia" w:ascii="宋体" w:hAnsi="宋体"/>
          <w:sz w:val="28"/>
          <w:szCs w:val="28"/>
        </w:rPr>
        <w:t>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highlight w:val="none"/>
          <w:lang w:eastAsia="zh-CN"/>
        </w:rPr>
        <w:t>成都市新都区区级机关</w:t>
      </w:r>
      <w:r>
        <w:rPr>
          <w:rFonts w:hint="eastAsia" w:ascii="宋体" w:hAnsi="宋体"/>
          <w:sz w:val="28"/>
          <w:szCs w:val="28"/>
        </w:rPr>
        <w:t>、事业单位、团体组织。本次招标的采购人是</w:t>
      </w:r>
      <w:r>
        <w:rPr>
          <w:rFonts w:hint="eastAsia" w:ascii="宋体" w:hAnsi="宋体"/>
          <w:b/>
          <w:sz w:val="28"/>
          <w:szCs w:val="28"/>
          <w:lang w:eastAsia="zh-CN"/>
        </w:rPr>
        <w:t>成都市新都区人民政府办公室</w:t>
      </w:r>
      <w:r>
        <w:rPr>
          <w:rFonts w:hint="eastAsia" w:ascii="宋体" w:hAnsi="宋体"/>
          <w:sz w:val="28"/>
          <w:szCs w:val="28"/>
        </w:rPr>
        <w:t>。</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“投标人”系指在按照招标文件“投标邀请”中第六、七、八条规定获取了招标文件，拟参加投标和向采购人提供货物的供应商。“乙方”是指本项目的中标供应商。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hint="eastAsia"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hint="eastAsia"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numPr>
          <w:ilvl w:val="0"/>
          <w:numId w:val="11"/>
        </w:numPr>
        <w:tabs>
          <w:tab w:val="left" w:pos="1134"/>
        </w:tabs>
        <w:spacing w:line="360" w:lineRule="auto"/>
        <w:ind w:left="0" w:firstLine="567"/>
        <w:rPr>
          <w:rFonts w:hint="eastAsia"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217446036"/>
      <w:bookmarkStart w:id="24" w:name="_Toc217390843"/>
      <w:bookmarkStart w:id="25" w:name="_Toc183582207"/>
      <w:bookmarkStart w:id="26" w:name="_Toc183682344"/>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hAnsi="宋体"/>
          <w:sz w:val="28"/>
          <w:szCs w:val="28"/>
          <w:lang w:val="zh-CN"/>
        </w:rPr>
        <w:t>本项目</w:t>
      </w:r>
      <w:r>
        <w:rPr>
          <w:rFonts w:hint="eastAsia" w:asciiTheme="minorEastAsia" w:hAnsiTheme="minorEastAsia" w:eastAsiaTheme="minorEastAsia"/>
          <w:sz w:val="28"/>
          <w:szCs w:val="28"/>
          <w:highlight w:val="none"/>
          <w:lang w:val="zh-CN"/>
        </w:rPr>
        <w:t>核心产品为：</w:t>
      </w:r>
      <w:r>
        <w:rPr>
          <w:rFonts w:hint="eastAsia" w:ascii="宋体" w:hAnsi="宋体"/>
          <w:b/>
          <w:sz w:val="28"/>
          <w:szCs w:val="28"/>
        </w:rPr>
        <w:t>室内P2全彩屏</w:t>
      </w:r>
      <w:r>
        <w:rPr>
          <w:rFonts w:hint="eastAsia" w:asciiTheme="minorEastAsia" w:hAnsiTheme="minorEastAsia" w:eastAsiaTheme="minorEastAsia"/>
          <w:b/>
          <w:bCs/>
          <w:sz w:val="28"/>
          <w:szCs w:val="28"/>
          <w:highlight w:val="none"/>
        </w:rPr>
        <w:t>。</w:t>
      </w:r>
      <w:r>
        <w:rPr>
          <w:rFonts w:hint="eastAsia" w:hAnsi="宋体"/>
          <w:sz w:val="28"/>
          <w:szCs w:val="28"/>
          <w:highlight w:val="none"/>
        </w:rPr>
        <w:t>提供</w:t>
      </w:r>
      <w:r>
        <w:rPr>
          <w:rFonts w:hint="eastAsia" w:hAnsi="宋体"/>
          <w:sz w:val="28"/>
          <w:szCs w:val="28"/>
        </w:rPr>
        <w:t>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183682347"/>
      <w:bookmarkStart w:id="28" w:name="_Toc217446039"/>
      <w:bookmarkStart w:id="29" w:name="_Toc183582210"/>
      <w:bookmarkStart w:id="30" w:name="_Toc21304"/>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183582214"/>
      <w:bookmarkStart w:id="35" w:name="_Toc77400780"/>
      <w:bookmarkStart w:id="36" w:name="_Toc89075876"/>
      <w:bookmarkStart w:id="37" w:name="_Toc183682351"/>
      <w:bookmarkStart w:id="38" w:name="_Toc217446042"/>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区交易中心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区交易中心</w:t>
      </w:r>
      <w:r>
        <w:rPr>
          <w:rFonts w:hint="eastAsia" w:ascii="宋体" w:hAnsi="宋体"/>
          <w:sz w:val="28"/>
          <w:szCs w:val="28"/>
        </w:rPr>
        <w:t>应当在投标截止时间至少15日前，通过政府采购云平台通知所有获取招标文件的潜在投标人；不足15日的，采购人或</w:t>
      </w:r>
      <w:r>
        <w:rPr>
          <w:rFonts w:hint="eastAsia" w:ascii="宋体" w:hAnsi="宋体"/>
          <w:sz w:val="28"/>
          <w:szCs w:val="28"/>
          <w:lang w:eastAsia="zh-CN"/>
        </w:rPr>
        <w:t>区交易中心</w:t>
      </w:r>
      <w:r>
        <w:rPr>
          <w:rFonts w:hint="eastAsia" w:ascii="宋体" w:hAnsi="宋体"/>
          <w:sz w:val="28"/>
          <w:szCs w:val="28"/>
        </w:rPr>
        <w:t>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8168"/>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183582215"/>
      <w:bookmarkStart w:id="42" w:name="_Toc217446043"/>
      <w:r>
        <w:rPr>
          <w:rFonts w:hint="eastAsia" w:ascii="宋体" w:hAnsi="宋体"/>
          <w:b/>
          <w:bCs/>
          <w:sz w:val="28"/>
          <w:szCs w:val="28"/>
        </w:rPr>
        <w:t>投标文件的语言</w:t>
      </w:r>
      <w:bookmarkEnd w:id="40"/>
      <w:bookmarkEnd w:id="41"/>
      <w:bookmarkEnd w:id="42"/>
    </w:p>
    <w:p>
      <w:pPr>
        <w:tabs>
          <w:tab w:val="left" w:pos="1134"/>
        </w:tabs>
        <w:spacing w:line="360" w:lineRule="auto"/>
        <w:ind w:firstLine="560" w:firstLineChars="200"/>
        <w:rPr>
          <w:rFonts w:ascii="宋体" w:hAnsi="宋体"/>
          <w:sz w:val="28"/>
          <w:szCs w:val="28"/>
        </w:rPr>
      </w:pPr>
      <w:bookmarkStart w:id="43" w:name="_Toc183682353"/>
      <w:bookmarkStart w:id="44" w:name="_Toc183582216"/>
      <w:bookmarkStart w:id="45" w:name="_Toc217446044"/>
      <w:r>
        <w:rPr>
          <w:rFonts w:hint="eastAsia" w:ascii="宋体" w:hAnsi="宋体"/>
          <w:sz w:val="28"/>
          <w:szCs w:val="28"/>
        </w:rPr>
        <w:t>一</w:t>
      </w:r>
      <w:r>
        <w:rPr>
          <w:rFonts w:ascii="宋体" w:hAnsi="宋体"/>
          <w:sz w:val="28"/>
          <w:szCs w:val="28"/>
        </w:rPr>
        <w:t>、</w:t>
      </w:r>
      <w:r>
        <w:rPr>
          <w:rFonts w:hint="eastAsia" w:ascii="宋体" w:hAnsi="宋体"/>
          <w:sz w:val="28"/>
          <w:szCs w:val="28"/>
        </w:rPr>
        <w:t>投标人提交的投标文件以及投标人与采购人或</w:t>
      </w:r>
      <w:r>
        <w:rPr>
          <w:rFonts w:hint="eastAsia" w:ascii="宋体" w:hAnsi="宋体"/>
          <w:sz w:val="28"/>
          <w:szCs w:val="28"/>
          <w:lang w:eastAsia="zh-CN"/>
        </w:rPr>
        <w:t>区交易中心</w:t>
      </w:r>
      <w:r>
        <w:rPr>
          <w:rFonts w:hint="eastAsia" w:ascii="宋体" w:hAnsi="宋体"/>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w:t>
      </w:r>
      <w:r>
        <w:rPr>
          <w:rFonts w:ascii="宋体" w:hAnsi="宋体"/>
          <w:sz w:val="28"/>
          <w:szCs w:val="28"/>
        </w:rPr>
        <w:t>、</w:t>
      </w:r>
      <w:r>
        <w:rPr>
          <w:rFonts w:hint="eastAsia" w:ascii="宋体" w:hAnsi="宋体"/>
          <w:sz w:val="28"/>
          <w:szCs w:val="28"/>
        </w:rPr>
        <w:t>翻译的中文资料与外文资料如果出现差异和矛盾时，以中文为准。涉嫌提供虚假材料的按照相关法律法规处理。</w:t>
      </w:r>
    </w:p>
    <w:p>
      <w:pPr>
        <w:tabs>
          <w:tab w:val="left" w:pos="1134"/>
        </w:tabs>
        <w:spacing w:line="360" w:lineRule="auto"/>
        <w:ind w:left="560"/>
        <w:rPr>
          <w:rFonts w:ascii="宋体" w:hAnsi="宋体"/>
          <w:sz w:val="28"/>
          <w:szCs w:val="28"/>
        </w:rPr>
      </w:pPr>
      <w:r>
        <w:rPr>
          <w:rFonts w:hint="eastAsia" w:ascii="宋体" w:hAnsi="宋体" w:eastAsiaTheme="minorEastAsia" w:cstheme="minorBidi"/>
          <w:sz w:val="28"/>
          <w:szCs w:val="28"/>
        </w:rPr>
        <w:t>三、如因未翻译而造成对供应商的不利后果，由供应商承担。</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7"/>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6"/>
      </w:pPr>
      <w:r>
        <w:rPr>
          <w:rFonts w:hint="eastAsia"/>
        </w:rPr>
        <w:t>资格响应文件：</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关于投标人申明的函；</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声明；</w:t>
      </w:r>
    </w:p>
    <w:p>
      <w:pPr>
        <w:numPr>
          <w:ilvl w:val="0"/>
          <w:numId w:val="18"/>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中小企业声明函（说明：提供了残疾人福利性单位声明函或监狱企业证明文件复印件的不需提供）；</w:t>
      </w:r>
    </w:p>
    <w:p>
      <w:pPr>
        <w:numPr>
          <w:ilvl w:val="0"/>
          <w:numId w:val="18"/>
        </w:numPr>
        <w:tabs>
          <w:tab w:val="left" w:pos="1134"/>
        </w:tabs>
        <w:spacing w:line="360" w:lineRule="auto"/>
        <w:ind w:left="0" w:firstLine="565" w:firstLineChars="201"/>
        <w:rPr>
          <w:rFonts w:ascii="宋体" w:hAnsi="宋体"/>
          <w:b/>
          <w:sz w:val="28"/>
          <w:szCs w:val="28"/>
        </w:rPr>
      </w:pPr>
      <w:r>
        <w:rPr>
          <w:rFonts w:hint="eastAsia" w:ascii="宋体" w:hAnsi="宋体"/>
          <w:b/>
          <w:sz w:val="28"/>
          <w:szCs w:val="28"/>
        </w:rPr>
        <w:t>残疾人福利性单位声明函（说明：提供了中小企业声明函或监狱企业证明文件复印件的不需提供）；</w:t>
      </w:r>
    </w:p>
    <w:p>
      <w:pPr>
        <w:numPr>
          <w:ilvl w:val="0"/>
          <w:numId w:val="18"/>
        </w:numPr>
        <w:tabs>
          <w:tab w:val="left" w:pos="1134"/>
        </w:tabs>
        <w:spacing w:line="360" w:lineRule="auto"/>
        <w:ind w:left="0" w:firstLine="546"/>
        <w:rPr>
          <w:rFonts w:ascii="宋体" w:hAnsi="宋体"/>
          <w:b/>
          <w:sz w:val="28"/>
          <w:szCs w:val="28"/>
        </w:rPr>
      </w:pPr>
      <w:r>
        <w:rPr>
          <w:rFonts w:hint="eastAsia" w:ascii="宋体" w:hAnsi="宋体"/>
          <w:b/>
          <w:sz w:val="28"/>
          <w:szCs w:val="28"/>
        </w:rPr>
        <w:t>投标人应提交的相关资格证明材料：</w:t>
      </w:r>
    </w:p>
    <w:p>
      <w:pPr>
        <w:pStyle w:val="152"/>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 xml:space="preserve">由省级以上监狱管理局、戒毒管理局（含新疆生产建设兵团）出具的投标人属于监狱企业的证明文件复印件（说明：提供了中小企业声明函或残疾人福利性单位声明函的不需提供）； </w:t>
      </w:r>
    </w:p>
    <w:p>
      <w:pPr>
        <w:pStyle w:val="152"/>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营业执照复印件（正本或副本）或法人证书复印件（正本或副本）或其他能够证明</w:t>
      </w:r>
      <w:r>
        <w:rPr>
          <w:rFonts w:ascii="宋体" w:hAnsi="宋体"/>
          <w:b/>
          <w:sz w:val="28"/>
          <w:szCs w:val="28"/>
        </w:rPr>
        <w:t>供应商具有独立承担民事责任能力的</w:t>
      </w:r>
      <w:r>
        <w:rPr>
          <w:rFonts w:hint="eastAsia" w:ascii="宋体" w:hAnsi="宋体"/>
          <w:b/>
          <w:sz w:val="28"/>
          <w:szCs w:val="28"/>
        </w:rPr>
        <w:t>相关证明材料复印件；</w:t>
      </w:r>
    </w:p>
    <w:p>
      <w:pPr>
        <w:pStyle w:val="152"/>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提交采购人对投标人履行合同所必须的设备和专业技术能力无特殊要求，投标人可不提供证明材料；</w:t>
      </w:r>
    </w:p>
    <w:p>
      <w:pPr>
        <w:pStyle w:val="152"/>
        <w:numPr>
          <w:ilvl w:val="0"/>
          <w:numId w:val="19"/>
        </w:numPr>
        <w:spacing w:before="60" w:line="360" w:lineRule="auto"/>
        <w:ind w:left="0" w:firstLine="546" w:firstLineChars="0"/>
        <w:rPr>
          <w:rFonts w:ascii="宋体" w:hAnsi="宋体"/>
          <w:b/>
          <w:sz w:val="28"/>
          <w:szCs w:val="28"/>
        </w:rPr>
      </w:pPr>
      <w:r>
        <w:rPr>
          <w:rFonts w:hint="eastAsia" w:ascii="宋体" w:hAnsi="宋体"/>
          <w:b/>
          <w:sz w:val="28"/>
          <w:szCs w:val="28"/>
        </w:rPr>
        <w:t>采购人对法律、行政法规规定的其他条件无特殊要求，投标人可不提供证明材料；</w:t>
      </w:r>
    </w:p>
    <w:p>
      <w:pPr>
        <w:pStyle w:val="6"/>
      </w:pPr>
      <w:r>
        <w:rPr>
          <w:rFonts w:hint="eastAsia"/>
        </w:rPr>
        <w:t>商务技术响应文件</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法定代表人或主要负责人身份证明书（说明：主要负责人为供应商提供的其具有独立承担民事责任能力的证明材料中的主要负责人员。）；</w:t>
      </w:r>
    </w:p>
    <w:p>
      <w:pPr>
        <w:numPr>
          <w:ilvl w:val="0"/>
          <w:numId w:val="20"/>
        </w:numPr>
        <w:tabs>
          <w:tab w:val="left" w:pos="1134"/>
        </w:tabs>
        <w:spacing w:line="360" w:lineRule="auto"/>
        <w:ind w:hanging="279"/>
        <w:jc w:val="left"/>
        <w:rPr>
          <w:rFonts w:hint="eastAsia" w:ascii="宋体" w:hAnsi="宋体"/>
          <w:b/>
          <w:sz w:val="28"/>
          <w:szCs w:val="28"/>
        </w:rPr>
      </w:pPr>
      <w:r>
        <w:rPr>
          <w:rFonts w:hint="eastAsia" w:ascii="宋体" w:hAnsi="宋体"/>
          <w:b/>
          <w:sz w:val="28"/>
          <w:szCs w:val="28"/>
        </w:rPr>
        <w:t>投标人基本情况表；</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投标产品技术性能、技术参数和配置的详细描述；</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numPr>
          <w:ilvl w:val="0"/>
          <w:numId w:val="20"/>
        </w:numPr>
        <w:tabs>
          <w:tab w:val="left" w:pos="1134"/>
        </w:tabs>
        <w:spacing w:line="360" w:lineRule="auto"/>
        <w:ind w:hanging="279"/>
        <w:jc w:val="left"/>
        <w:rPr>
          <w:rFonts w:ascii="宋体" w:hAnsi="宋体"/>
          <w:b/>
          <w:sz w:val="28"/>
          <w:szCs w:val="28"/>
        </w:rPr>
      </w:pPr>
      <w:r>
        <w:rPr>
          <w:rFonts w:hint="eastAsia" w:ascii="宋体" w:hAnsi="宋体"/>
          <w:b/>
          <w:sz w:val="28"/>
          <w:szCs w:val="28"/>
        </w:rPr>
        <w:t>售后服务及承诺。</w:t>
      </w:r>
    </w:p>
    <w:p>
      <w:pPr>
        <w:pStyle w:val="2"/>
        <w:rPr>
          <w:rFonts w:hint="default" w:eastAsia="宋体"/>
          <w:lang w:val="en-US" w:eastAsia="zh-CN"/>
        </w:rPr>
      </w:pPr>
      <w:r>
        <w:rPr>
          <w:rFonts w:hint="eastAsia" w:ascii="宋体" w:hAnsi="宋体"/>
          <w:b/>
          <w:sz w:val="28"/>
          <w:szCs w:val="28"/>
          <w:lang w:val="en-US" w:eastAsia="zh-CN"/>
        </w:rPr>
        <w:t xml:space="preserve">    七、项目实施方案</w:t>
      </w:r>
    </w:p>
    <w:p>
      <w:pPr>
        <w:pStyle w:val="6"/>
      </w:pPr>
      <w:r>
        <w:rPr>
          <w:rFonts w:hint="eastAsia"/>
        </w:rPr>
        <w:t>报价要求响应文件</w:t>
      </w:r>
    </w:p>
    <w:p>
      <w:pPr>
        <w:numPr>
          <w:ilvl w:val="0"/>
          <w:numId w:val="21"/>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1"/>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分项报价明细表（分项报价明细表格式中要求填写品牌、规格型号、制造商、进口或国产的，投标人必须载明其投标产品的品牌、规格型号、制造商、进口或国产）；</w:t>
      </w:r>
    </w:p>
    <w:p>
      <w:pPr>
        <w:keepNext/>
        <w:keepLines/>
        <w:numPr>
          <w:ilvl w:val="2"/>
          <w:numId w:val="5"/>
        </w:numPr>
        <w:spacing w:line="360" w:lineRule="auto"/>
        <w:ind w:left="0" w:firstLine="0"/>
        <w:outlineLvl w:val="2"/>
        <w:rPr>
          <w:rFonts w:ascii="宋体" w:hAnsi="宋体"/>
          <w:b/>
          <w:bCs/>
          <w:sz w:val="28"/>
          <w:szCs w:val="28"/>
        </w:rPr>
      </w:pPr>
      <w:bookmarkStart w:id="52" w:name="_Toc316291396"/>
      <w:bookmarkEnd w:id="52"/>
      <w:bookmarkStart w:id="53" w:name="_Toc316291395"/>
      <w:bookmarkEnd w:id="53"/>
      <w:bookmarkStart w:id="54" w:name="_Toc316292019"/>
      <w:bookmarkEnd w:id="54"/>
      <w:bookmarkStart w:id="55" w:name="_Toc316292020"/>
      <w:bookmarkEnd w:id="55"/>
      <w:bookmarkStart w:id="56" w:name="_Toc217446049"/>
      <w:bookmarkStart w:id="57" w:name="_Toc183582218"/>
      <w:bookmarkStart w:id="58" w:name="_Toc183682355"/>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183582223"/>
      <w:bookmarkStart w:id="60" w:name="_Toc183682360"/>
      <w:bookmarkStart w:id="61" w:name="_Toc217446050"/>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0" w:firstLine="0"/>
        <w:rPr>
          <w:color w:val="auto"/>
        </w:rPr>
      </w:pPr>
      <w:bookmarkStart w:id="67" w:name="_Toc183582227"/>
      <w:bookmarkStart w:id="68" w:name="_Toc183682364"/>
      <w:bookmarkStart w:id="69" w:name="_Toc21744605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hint="eastAsia"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0" w:firstLineChars="200"/>
        <w:rPr>
          <w:rFonts w:hint="eastAsia" w:ascii="宋体" w:hAnsi="宋体"/>
          <w:sz w:val="28"/>
          <w:szCs w:val="28"/>
        </w:rPr>
      </w:pPr>
      <w:r>
        <w:rPr>
          <w:rFonts w:hint="eastAsia" w:ascii="宋体" w:hAnsi="宋体"/>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hint="eastAsia"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hint="eastAsia"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pStyle w:val="5"/>
        <w:numPr>
          <w:ilvl w:val="2"/>
          <w:numId w:val="5"/>
        </w:numPr>
        <w:spacing w:after="200" w:line="240" w:lineRule="auto"/>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bookmarkStart w:id="70" w:name="_Toc316475586"/>
      <w:bookmarkEnd w:id="70"/>
      <w:bookmarkStart w:id="71" w:name="_Toc316475587"/>
      <w:bookmarkEnd w:id="71"/>
      <w:bookmarkStart w:id="72" w:name="_Toc183582228"/>
      <w:bookmarkStart w:id="73" w:name="_Toc183682365"/>
      <w:bookmarkStart w:id="74" w:name="_Toc217446055"/>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区交易中心</w:t>
      </w:r>
      <w:r>
        <w:rPr>
          <w:rFonts w:hint="eastAsia" w:ascii="宋体" w:hAnsi="宋体" w:eastAsiaTheme="minorEastAsia" w:cstheme="minorBidi"/>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5"/>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5"/>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sz w:val="28"/>
          <w:szCs w:val="28"/>
        </w:rPr>
      </w:pPr>
      <w:bookmarkStart w:id="75" w:name="_Toc89075878"/>
      <w:bookmarkStart w:id="76" w:name="_Toc77400782"/>
      <w:bookmarkStart w:id="77" w:name="_Toc183582231"/>
      <w:bookmarkStart w:id="78" w:name="_Toc217446056"/>
      <w:bookmarkStart w:id="79" w:name="_Toc183682368"/>
      <w:r>
        <w:rPr>
          <w:rFonts w:hint="eastAsia" w:ascii="宋体" w:hAnsi="宋体"/>
          <w:bCs/>
          <w:sz w:val="28"/>
          <w:szCs w:val="28"/>
        </w:rPr>
        <w:t>在投标截止时间之前，投标人可对已递交的投标文件进行撤回。在投标截止时间之后，投标人不得撤回投标文件。</w:t>
      </w:r>
    </w:p>
    <w:p>
      <w:pPr>
        <w:pStyle w:val="5"/>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15563"/>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217446057"/>
      <w:bookmarkStart w:id="83" w:name="_Toc183682369"/>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152"/>
        <w:numPr>
          <w:ilvl w:val="0"/>
          <w:numId w:val="26"/>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本项目为不见面开标项目。提交投标文件的投标人不足3家的，不予开标。</w:t>
      </w:r>
    </w:p>
    <w:p>
      <w:pPr>
        <w:pStyle w:val="152"/>
        <w:numPr>
          <w:ilvl w:val="0"/>
          <w:numId w:val="26"/>
        </w:numPr>
        <w:tabs>
          <w:tab w:val="left" w:pos="0"/>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152"/>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断电、断网、系统故障或其他不可抗力等因素，导致系统无法使用外，投标人在规定的解密时间内，未成功解密的投标文件将视为无效投标文件。</w:t>
      </w:r>
    </w:p>
    <w:p>
      <w:pPr>
        <w:pStyle w:val="152"/>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152"/>
        <w:numPr>
          <w:ilvl w:val="0"/>
          <w:numId w:val="26"/>
        </w:numPr>
        <w:tabs>
          <w:tab w:val="left" w:pos="1134"/>
        </w:tabs>
        <w:spacing w:before="120" w:after="200" w:line="360" w:lineRule="auto"/>
        <w:ind w:left="0" w:right="210" w:firstLine="567" w:firstLineChars="0"/>
        <w:rPr>
          <w:rFonts w:hint="eastAsia" w:ascii="宋体" w:hAnsi="宋体" w:eastAsia="宋体" w:cs="宋体"/>
          <w:b/>
          <w:sz w:val="28"/>
          <w:szCs w:val="28"/>
        </w:rPr>
      </w:pPr>
      <w:r>
        <w:rPr>
          <w:rFonts w:hint="eastAsia" w:ascii="宋体" w:hAnsi="宋体" w:eastAsia="宋体" w:cs="宋体"/>
          <w:b/>
          <w:sz w:val="28"/>
          <w:szCs w:val="28"/>
        </w:rPr>
        <w:t>投标人对开标过程和开标记录有疑义，以及认为采购人、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对投标人提出的询问或者回避申请应当及时处理。</w:t>
      </w:r>
    </w:p>
    <w:p>
      <w:pPr>
        <w:pStyle w:val="152"/>
        <w:numPr>
          <w:ilvl w:val="0"/>
          <w:numId w:val="26"/>
        </w:numPr>
        <w:tabs>
          <w:tab w:val="left" w:pos="1134"/>
        </w:tabs>
        <w:spacing w:before="120" w:after="200" w:line="360" w:lineRule="auto"/>
        <w:ind w:left="0" w:right="210" w:firstLine="567" w:firstLineChars="0"/>
        <w:rPr>
          <w:rFonts w:hint="eastAsia"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152"/>
        <w:numPr>
          <w:ilvl w:val="0"/>
          <w:numId w:val="26"/>
        </w:numPr>
        <w:tabs>
          <w:tab w:val="left" w:pos="1134"/>
        </w:tabs>
        <w:spacing w:before="120" w:after="200" w:line="360" w:lineRule="auto"/>
        <w:ind w:left="0" w:right="210" w:firstLine="567" w:firstLineChars="0"/>
        <w:rPr>
          <w:rFonts w:hint="eastAsia"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政府采购云平台运行基本环境要求：电脑应安装并顺利运行64位win7以上操作系统，谷歌浏览器；正确的CA及签章驱动等；能流畅访问互联网。</w:t>
      </w:r>
    </w:p>
    <w:p>
      <w:pPr>
        <w:pStyle w:val="152"/>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152"/>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582238"/>
      <w:bookmarkStart w:id="85" w:name="_Toc183682375"/>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582240"/>
      <w:bookmarkStart w:id="89"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24253"/>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20"/>
        <w:spacing w:line="360" w:lineRule="auto"/>
        <w:ind w:firstLine="560" w:firstLineChars="200"/>
        <w:rPr>
          <w:rFonts w:cs="Times New Roman"/>
          <w:sz w:val="28"/>
          <w:szCs w:val="28"/>
          <w:lang w:val="zh-CN"/>
        </w:rPr>
      </w:pPr>
      <w:r>
        <w:rPr>
          <w:rFonts w:hint="eastAsia" w:cs="Times New Roman"/>
          <w:sz w:val="28"/>
          <w:szCs w:val="28"/>
          <w:lang w:val="zh-CN"/>
        </w:rPr>
        <w:t>本项目不允许分包。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spacing w:line="360" w:lineRule="auto"/>
        <w:ind w:firstLine="560" w:firstLineChars="200"/>
        <w:rPr>
          <w:rFonts w:ascii="宋体" w:hAnsi="宋体"/>
          <w:sz w:val="28"/>
          <w:szCs w:val="28"/>
        </w:rPr>
      </w:pPr>
      <w:bookmarkStart w:id="98" w:name="_Toc217446074"/>
      <w:bookmarkStart w:id="99" w:name="_Toc183682380"/>
      <w:bookmarkStart w:id="100" w:name="_Toc183582243"/>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60" w:firstLineChars="200"/>
        <w:rPr>
          <w:rFonts w:hint="eastAsia" w:ascii="宋体" w:hAnsi="宋体"/>
          <w:sz w:val="28"/>
          <w:szCs w:val="28"/>
        </w:rPr>
      </w:pPr>
      <w:r>
        <w:rPr>
          <w:rFonts w:hint="eastAsia" w:ascii="宋体" w:hAnsi="宋体"/>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19143"/>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区交易中心</w:t>
      </w:r>
      <w:r>
        <w:rPr>
          <w:rFonts w:hint="eastAsia" w:ascii="宋体" w:hAnsi="宋体"/>
          <w:sz w:val="28"/>
          <w:szCs w:val="28"/>
        </w:rPr>
        <w:t>、其他投标人恶意串通；</w:t>
      </w:r>
    </w:p>
    <w:p>
      <w:pPr>
        <w:numPr>
          <w:ilvl w:val="1"/>
          <w:numId w:val="27"/>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区交易中心</w:t>
      </w:r>
      <w:r>
        <w:rPr>
          <w:rFonts w:hint="eastAsia" w:ascii="宋体" w:hAnsi="宋体"/>
          <w:sz w:val="28"/>
          <w:szCs w:val="28"/>
        </w:rPr>
        <w:t>、评标委员会成员行贿或者提供其他不正当利益；</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区交易中心</w:t>
      </w:r>
      <w:r>
        <w:rPr>
          <w:rFonts w:hint="eastAsia" w:ascii="宋体" w:hAnsi="宋体"/>
          <w:sz w:val="28"/>
          <w:szCs w:val="28"/>
        </w:rPr>
        <w:t>进行协商谈判；</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7"/>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hint="eastAsia"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w:t>
      </w:r>
      <w:r>
        <w:rPr>
          <w:rFonts w:hint="eastAsia" w:ascii="宋体" w:hAnsi="宋体"/>
          <w:sz w:val="28"/>
          <w:szCs w:val="28"/>
          <w:lang w:eastAsia="zh-CN"/>
        </w:rPr>
        <w:t>区交易中心</w:t>
      </w:r>
      <w:r>
        <w:rPr>
          <w:rFonts w:hint="eastAsia" w:ascii="宋体" w:hAnsi="宋体"/>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hint="eastAsia"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hint="eastAsia"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hint="eastAsia"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hint="eastAsia"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3" w:name="_Toc7678"/>
      <w:bookmarkStart w:id="104" w:name="_Toc217446078"/>
      <w:r>
        <w:rPr>
          <w:rFonts w:hint="eastAsia" w:ascii="宋体" w:hAnsi="宋体"/>
          <w:b/>
          <w:bCs/>
          <w:sz w:val="28"/>
          <w:szCs w:val="28"/>
        </w:rPr>
        <w:t>询问、质疑和投诉</w:t>
      </w:r>
      <w:bookmarkEnd w:id="103"/>
      <w:bookmarkEnd w:id="104"/>
      <w:bookmarkStart w:id="105" w:name="_Toc217446079"/>
    </w:p>
    <w:bookmarkEnd w:id="99"/>
    <w:bookmarkEnd w:id="100"/>
    <w:bookmarkEnd w:id="105"/>
    <w:p>
      <w:pPr>
        <w:numPr>
          <w:ilvl w:val="0"/>
          <w:numId w:val="28"/>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28"/>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29"/>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hint="eastAsia" w:ascii="宋体" w:hAnsi="宋体"/>
          <w:sz w:val="28"/>
          <w:szCs w:val="28"/>
        </w:rPr>
        <w:t>向采购人提出；</w:t>
      </w:r>
    </w:p>
    <w:p>
      <w:pPr>
        <w:numPr>
          <w:ilvl w:val="1"/>
          <w:numId w:val="29"/>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Pr>
          <w:rFonts w:hint="eastAsia"/>
          <w:sz w:val="28"/>
          <w:szCs w:val="28"/>
          <w:lang w:eastAsia="zh-CN"/>
        </w:rPr>
        <w:t>区交易中心</w:t>
      </w:r>
      <w:r>
        <w:rPr>
          <w:rFonts w:hint="eastAsia"/>
          <w:sz w:val="28"/>
          <w:szCs w:val="28"/>
        </w:rPr>
        <w:t>提出</w:t>
      </w:r>
      <w:r>
        <w:rPr>
          <w:rFonts w:hint="eastAsia" w:ascii="宋体" w:hAnsi="宋体"/>
          <w:sz w:val="28"/>
          <w:szCs w:val="28"/>
        </w:rPr>
        <w:t>。</w:t>
      </w:r>
    </w:p>
    <w:p>
      <w:pPr>
        <w:numPr>
          <w:ilvl w:val="0"/>
          <w:numId w:val="28"/>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pStyle w:val="50"/>
      </w:pPr>
    </w:p>
    <w:p>
      <w:pPr>
        <w:numPr>
          <w:ilvl w:val="0"/>
          <w:numId w:val="28"/>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hint="eastAsia" w:ascii="宋体" w:hAnsi="宋体"/>
          <w:sz w:val="28"/>
          <w:szCs w:val="28"/>
        </w:rPr>
      </w:pPr>
      <w:r>
        <w:rPr>
          <w:rFonts w:hint="eastAsia" w:ascii="宋体" w:hAnsi="宋体"/>
          <w:sz w:val="28"/>
          <w:szCs w:val="28"/>
        </w:rPr>
        <w:t>（一）质疑书正本1份；</w:t>
      </w:r>
    </w:p>
    <w:p>
      <w:pPr>
        <w:spacing w:line="360" w:lineRule="auto"/>
        <w:ind w:firstLine="560" w:firstLineChars="200"/>
        <w:rPr>
          <w:rFonts w:hint="eastAsia"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hint="eastAsia"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hint="eastAsia"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（六）针对质疑事项必要的证明材料。</w:t>
      </w:r>
    </w:p>
    <w:p>
      <w:pPr>
        <w:numPr>
          <w:ilvl w:val="0"/>
          <w:numId w:val="28"/>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的质疑答复不满意，或者采购人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6" w:name="_Toc30603"/>
      <w:r>
        <w:rPr>
          <w:rFonts w:hint="eastAsia" w:ascii="宋体" w:hAnsi="宋体"/>
          <w:b/>
          <w:bCs/>
          <w:sz w:val="28"/>
          <w:szCs w:val="28"/>
        </w:rPr>
        <w:t>中小企业政府采购信用融资</w:t>
      </w:r>
      <w:bookmarkEnd w:id="106"/>
    </w:p>
    <w:p>
      <w:pPr>
        <w:numPr>
          <w:ilvl w:val="0"/>
          <w:numId w:val="30"/>
        </w:numPr>
        <w:tabs>
          <w:tab w:val="left" w:pos="1134"/>
        </w:tabs>
        <w:spacing w:line="500" w:lineRule="exact"/>
        <w:ind w:left="0" w:firstLine="567"/>
        <w:rPr>
          <w:rFonts w:ascii="宋体" w:hAnsi="宋体"/>
          <w:sz w:val="28"/>
          <w:szCs w:val="28"/>
        </w:rPr>
      </w:pPr>
      <w:r>
        <w:rPr>
          <w:rFonts w:hint="eastAsia" w:ascii="宋体" w:hAnsi="宋体"/>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sz w:val="28"/>
          <w:szCs w:val="28"/>
        </w:rPr>
        <w:t>见附件。</w:t>
      </w:r>
    </w:p>
    <w:p>
      <w:pPr>
        <w:rPr>
          <w:rFonts w:ascii="宋体" w:hAnsi="宋体"/>
          <w:sz w:val="28"/>
          <w:szCs w:val="28"/>
        </w:rPr>
      </w:pPr>
      <w:r>
        <w:rPr>
          <w:rFonts w:ascii="宋体" w:hAnsi="宋体"/>
          <w:sz w:val="28"/>
          <w:szCs w:val="28"/>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7" w:name="_Toc316292049"/>
      <w:bookmarkEnd w:id="107"/>
      <w:bookmarkStart w:id="108" w:name="_Toc316292052"/>
      <w:bookmarkEnd w:id="108"/>
      <w:bookmarkStart w:id="109" w:name="_Toc316292048"/>
      <w:bookmarkEnd w:id="109"/>
      <w:bookmarkStart w:id="110" w:name="_Toc315871046"/>
      <w:bookmarkEnd w:id="110"/>
      <w:bookmarkStart w:id="111" w:name="_Toc315871049"/>
      <w:bookmarkEnd w:id="111"/>
      <w:bookmarkStart w:id="112" w:name="_Toc316292050"/>
      <w:bookmarkEnd w:id="112"/>
      <w:bookmarkStart w:id="113" w:name="_Toc315871048"/>
      <w:bookmarkEnd w:id="113"/>
      <w:bookmarkStart w:id="114" w:name="_Toc316292051"/>
      <w:bookmarkEnd w:id="114"/>
      <w:bookmarkStart w:id="115" w:name="_Toc315871047"/>
      <w:bookmarkEnd w:id="115"/>
      <w:bookmarkStart w:id="116" w:name="_Toc315871045"/>
      <w:bookmarkEnd w:id="116"/>
      <w:bookmarkStart w:id="117" w:name="_Toc315871050"/>
      <w:bookmarkEnd w:id="117"/>
      <w:bookmarkStart w:id="118" w:name="_Toc26044"/>
      <w:r>
        <w:rPr>
          <w:rFonts w:hint="eastAsia" w:ascii="宋体" w:hAnsi="宋体"/>
          <w:b/>
          <w:bCs/>
          <w:spacing w:val="-20"/>
          <w:kern w:val="44"/>
          <w:sz w:val="32"/>
          <w:szCs w:val="32"/>
        </w:rPr>
        <w:t>投标文件格式</w:t>
      </w:r>
      <w:bookmarkEnd w:id="118"/>
    </w:p>
    <w:p>
      <w:pPr>
        <w:keepNext/>
        <w:keepLines/>
        <w:numPr>
          <w:ilvl w:val="1"/>
          <w:numId w:val="5"/>
        </w:numPr>
        <w:spacing w:before="260" w:after="260" w:line="360" w:lineRule="auto"/>
        <w:jc w:val="left"/>
        <w:outlineLvl w:val="1"/>
        <w:rPr>
          <w:rFonts w:ascii="宋体" w:hAnsi="宋体"/>
          <w:b/>
          <w:bCs/>
          <w:sz w:val="28"/>
          <w:szCs w:val="28"/>
        </w:rPr>
      </w:pPr>
      <w:bookmarkStart w:id="119" w:name="_Toc3405"/>
      <w:r>
        <w:rPr>
          <w:rFonts w:hint="eastAsia" w:ascii="宋体" w:hAnsi="宋体"/>
          <w:b/>
          <w:bCs/>
          <w:sz w:val="28"/>
          <w:szCs w:val="28"/>
        </w:rPr>
        <w:t>投标文件封面格式</w:t>
      </w:r>
      <w:bookmarkEnd w:id="119"/>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成都市新都区人民政府办公室黄桷树广场会议厅LED显示屏采购项目（第二次）</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新都政采（2021）A0053号-1</w:t>
      </w: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20" w:name="_Toc22555"/>
      <w:r>
        <w:rPr>
          <w:rFonts w:hint="eastAsia" w:ascii="宋体" w:hAnsi="宋体"/>
          <w:b/>
          <w:bCs/>
          <w:sz w:val="28"/>
          <w:szCs w:val="28"/>
        </w:rPr>
        <w:t>资格响应文件</w:t>
      </w:r>
      <w:bookmarkEnd w:id="120"/>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关于投标人资格申明的函</w:t>
      </w:r>
    </w:p>
    <w:p>
      <w:pPr>
        <w:spacing w:line="360" w:lineRule="auto"/>
        <w:rPr>
          <w:rFonts w:hint="eastAsia" w:ascii="宋体" w:hAnsi="宋体" w:eastAsia="宋体"/>
          <w:sz w:val="28"/>
          <w:szCs w:val="28"/>
          <w:lang w:eastAsia="zh-CN"/>
        </w:rPr>
      </w:pPr>
      <w:bookmarkStart w:id="121" w:name="_Toc238581782"/>
      <w:bookmarkStart w:id="122" w:name="_Toc119203988"/>
      <w:bookmarkStart w:id="123" w:name="_Toc119295087"/>
      <w:bookmarkStart w:id="124" w:name="_Toc146903609"/>
      <w:bookmarkStart w:id="125" w:name="_Toc119296788"/>
      <w:bookmarkStart w:id="126" w:name="_Toc52184753"/>
      <w:r>
        <w:rPr>
          <w:rFonts w:hint="eastAsia" w:ascii="宋体" w:hAnsi="宋体"/>
          <w:sz w:val="28"/>
          <w:szCs w:val="28"/>
        </w:rPr>
        <w:t>致：</w:t>
      </w:r>
      <w:bookmarkEnd w:id="121"/>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127" w:name="_Toc238581783"/>
      <w:r>
        <w:rPr>
          <w:rFonts w:hint="eastAsia" w:ascii="宋体" w:hAnsi="宋体"/>
          <w:sz w:val="28"/>
          <w:szCs w:val="28"/>
        </w:rPr>
        <w:t>关于我方对</w:t>
      </w:r>
      <w:r>
        <w:rPr>
          <w:rFonts w:hint="eastAsia" w:ascii="宋体" w:hAnsi="宋体"/>
          <w:b/>
          <w:sz w:val="28"/>
          <w:szCs w:val="28"/>
          <w:u w:val="single"/>
          <w:lang w:eastAsia="zh-CN"/>
        </w:rPr>
        <w:t>成都市新都区人民政府办公室黄桷树广场会议厅LED显示屏采购项目（第二次）</w:t>
      </w:r>
      <w:r>
        <w:rPr>
          <w:rFonts w:hint="eastAsia" w:ascii="宋体" w:hAnsi="宋体"/>
          <w:b/>
          <w:sz w:val="28"/>
          <w:szCs w:val="28"/>
          <w:u w:val="single"/>
        </w:rPr>
        <w:t>（项目编号：</w:t>
      </w:r>
      <w:r>
        <w:rPr>
          <w:rFonts w:hint="eastAsia" w:ascii="宋体" w:hAnsi="宋体"/>
          <w:b/>
          <w:sz w:val="28"/>
          <w:szCs w:val="28"/>
          <w:u w:val="single"/>
          <w:lang w:eastAsia="zh-CN"/>
        </w:rPr>
        <w:t>新都政采（2021）A0053号-1</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7"/>
    </w:p>
    <w:p>
      <w:pPr>
        <w:widowControl/>
        <w:numPr>
          <w:ilvl w:val="2"/>
          <w:numId w:val="31"/>
        </w:numPr>
        <w:spacing w:line="360" w:lineRule="auto"/>
        <w:ind w:left="0" w:firstLine="560" w:firstLineChars="200"/>
        <w:rPr>
          <w:rFonts w:ascii="宋体" w:hAnsi="宋体"/>
          <w:sz w:val="28"/>
          <w:szCs w:val="28"/>
        </w:rPr>
      </w:pPr>
      <w:bookmarkStart w:id="128" w:name="_Toc238581784"/>
      <w:r>
        <w:rPr>
          <w:rFonts w:hint="eastAsia" w:ascii="宋体" w:hAnsi="宋体"/>
          <w:sz w:val="28"/>
          <w:szCs w:val="28"/>
        </w:rPr>
        <w:t>投标人名称及概况：</w:t>
      </w:r>
      <w:bookmarkEnd w:id="122"/>
      <w:bookmarkEnd w:id="123"/>
      <w:bookmarkEnd w:id="124"/>
      <w:bookmarkEnd w:id="125"/>
      <w:bookmarkEnd w:id="126"/>
      <w:bookmarkEnd w:id="128"/>
    </w:p>
    <w:p>
      <w:pPr>
        <w:widowControl/>
        <w:numPr>
          <w:ilvl w:val="0"/>
          <w:numId w:val="32"/>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2"/>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2"/>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2"/>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1"/>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highlight w:val="none"/>
        </w:rPr>
      </w:pPr>
      <w:r>
        <w:rPr>
          <w:rFonts w:hint="eastAsia" w:ascii="宋体" w:hAnsi="宋体"/>
          <w:sz w:val="28"/>
          <w:szCs w:val="28"/>
          <w:highlight w:val="none"/>
        </w:rPr>
        <w:t>致：成都市</w:t>
      </w:r>
      <w:r>
        <w:rPr>
          <w:rFonts w:hint="eastAsia" w:ascii="宋体" w:hAnsi="宋体"/>
          <w:sz w:val="28"/>
          <w:szCs w:val="28"/>
          <w:highlight w:val="none"/>
          <w:lang w:eastAsia="zh-CN"/>
        </w:rPr>
        <w:t>新都区</w:t>
      </w:r>
      <w:r>
        <w:rPr>
          <w:rFonts w:hint="eastAsia" w:ascii="宋体" w:hAnsi="宋体"/>
          <w:sz w:val="28"/>
          <w:szCs w:val="28"/>
          <w:highlight w:val="none"/>
        </w:rPr>
        <w:t>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成都市新都区人民政府办公室黄桷树广场会议厅LED显示屏采购项目（第二次）</w:t>
      </w:r>
      <w:r>
        <w:rPr>
          <w:rFonts w:hint="eastAsia" w:ascii="宋体" w:hAnsi="宋体"/>
          <w:b/>
          <w:sz w:val="28"/>
          <w:szCs w:val="28"/>
          <w:u w:val="single"/>
        </w:rPr>
        <w:t>（项目编号：</w:t>
      </w:r>
      <w:r>
        <w:rPr>
          <w:rFonts w:hint="eastAsia" w:ascii="宋体" w:hAnsi="宋体"/>
          <w:b/>
          <w:sz w:val="28"/>
          <w:szCs w:val="28"/>
          <w:u w:val="single"/>
          <w:lang w:eastAsia="zh-CN"/>
        </w:rPr>
        <w:t>新都政采（2021）A0053号-1</w:t>
      </w:r>
      <w:r>
        <w:rPr>
          <w:rFonts w:hint="eastAsia" w:ascii="宋体" w:hAnsi="宋体"/>
          <w:b/>
          <w:sz w:val="28"/>
          <w:szCs w:val="28"/>
          <w:u w:val="single"/>
        </w:rPr>
        <w:t>）</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三、与我单位负责人为同一人或者存在直接控股、管理关系的不同供应商：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bCs/>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2"/>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2"/>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w:t>
      </w:r>
      <w:r>
        <w:rPr>
          <w:rFonts w:ascii="宋体" w:hAnsi="宋体"/>
          <w:sz w:val="28"/>
          <w:szCs w:val="28"/>
        </w:rPr>
        <w:t xml:space="preserve"> </w:t>
      </w:r>
      <w:r>
        <w:rPr>
          <w:rFonts w:hint="eastAsia" w:ascii="宋体" w:hAnsi="宋体"/>
          <w:sz w:val="28"/>
          <w:szCs w:val="28"/>
        </w:rPr>
        <w:t>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投标人</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，投标人投标文件将被认定为无效；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投标人无依法缴纳社会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Cs w:val="28"/>
        </w:rPr>
      </w:pPr>
      <w:r>
        <w:rPr>
          <w:rFonts w:ascii="宋体" w:hAnsi="宋体"/>
          <w:sz w:val="28"/>
          <w:szCs w:val="28"/>
        </w:rPr>
        <w:t>8</w:t>
      </w:r>
      <w:r>
        <w:rPr>
          <w:rFonts w:hint="eastAsia" w:ascii="宋体" w:hAnsi="宋体"/>
          <w:sz w:val="28"/>
          <w:szCs w:val="28"/>
        </w:rPr>
        <w:t>.</w:t>
      </w:r>
      <w:r>
        <w:rPr>
          <w:rFonts w:ascii="宋体" w:hAnsi="宋体"/>
          <w:sz w:val="28"/>
          <w:szCs w:val="28"/>
        </w:rPr>
        <w:t>对声明中第九条的说明：如</w:t>
      </w:r>
      <w:r>
        <w:rPr>
          <w:rFonts w:hint="eastAsia" w:ascii="宋体" w:hAnsi="宋体"/>
          <w:sz w:val="28"/>
          <w:szCs w:val="28"/>
        </w:rPr>
        <w:t>投标人无依法缴纳税收</w:t>
      </w:r>
      <w:r>
        <w:rPr>
          <w:rFonts w:ascii="宋体" w:hAnsi="宋体"/>
          <w:sz w:val="28"/>
          <w:szCs w:val="28"/>
        </w:rPr>
        <w:t>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pStyle w:val="5"/>
        <w:tabs>
          <w:tab w:val="left" w:pos="709"/>
        </w:tabs>
        <w:spacing w:beforeLines="0" w:after="200" w:afterLines="0"/>
        <w:ind w:left="1135" w:hanging="1135"/>
        <w:rPr>
          <w:rFonts w:hint="default"/>
          <w:color w:val="auto"/>
          <w:sz w:val="28"/>
        </w:rPr>
      </w:pPr>
      <w:r>
        <w:rPr>
          <w:rFonts w:hint="eastAsia" w:ascii="宋体" w:hAnsi="宋体"/>
          <w:b/>
          <w:bCs/>
          <w:sz w:val="28"/>
          <w:szCs w:val="28"/>
        </w:rPr>
        <w:br w:type="page"/>
      </w:r>
      <w:r>
        <w:rPr>
          <w:rFonts w:hint="default"/>
          <w:color w:val="auto"/>
          <w:sz w:val="28"/>
        </w:rPr>
        <w:t>中小企业声明函</w:t>
      </w:r>
    </w:p>
    <w:p>
      <w:pPr>
        <w:spacing w:beforeLines="0" w:afterLines="0" w:line="588" w:lineRule="exact"/>
        <w:ind w:firstLine="563"/>
        <w:jc w:val="center"/>
        <w:rPr>
          <w:rFonts w:hint="default" w:ascii="宋体" w:hAnsi="宋体"/>
          <w:b/>
          <w:bCs/>
          <w:sz w:val="32"/>
          <w:szCs w:val="24"/>
        </w:rPr>
      </w:pPr>
      <w:r>
        <w:rPr>
          <w:rFonts w:hint="default" w:ascii="宋体" w:hAnsi="宋体"/>
          <w:b/>
          <w:bCs/>
          <w:sz w:val="32"/>
          <w:szCs w:val="24"/>
        </w:rPr>
        <w:t>中小企业声明函</w:t>
      </w:r>
    </w:p>
    <w:p>
      <w:pPr>
        <w:spacing w:beforeLines="0" w:afterLines="0" w:line="588" w:lineRule="exact"/>
        <w:ind w:firstLine="563"/>
        <w:rPr>
          <w:rFonts w:hint="default" w:ascii="宋体" w:hAnsi="宋体"/>
          <w:sz w:val="28"/>
        </w:rPr>
      </w:pPr>
      <w:r>
        <w:rPr>
          <w:rFonts w:hint="default" w:ascii="宋体" w:hAnsi="宋体"/>
          <w:sz w:val="28"/>
        </w:rPr>
        <w:t>本公司郑重声明，根据《政府采购促进中小企业发展管理办法》（财库﹝2020﹞46 号）的规定，本公司参加</w:t>
      </w:r>
      <w:r>
        <w:rPr>
          <w:rFonts w:hint="eastAsia" w:ascii="宋体" w:hAnsi="宋体"/>
          <w:b/>
          <w:sz w:val="28"/>
          <w:u w:val="single"/>
          <w:lang w:eastAsia="zh-CN"/>
        </w:rPr>
        <w:t>成都市新都区人民政府办公室</w:t>
      </w:r>
      <w:r>
        <w:rPr>
          <w:rFonts w:hint="default" w:ascii="宋体" w:hAnsi="宋体"/>
          <w:sz w:val="28"/>
        </w:rPr>
        <w:t>（单位名称）的</w:t>
      </w:r>
      <w:r>
        <w:rPr>
          <w:rFonts w:hint="eastAsia" w:ascii="宋体" w:hAnsi="宋体"/>
          <w:b/>
          <w:sz w:val="28"/>
          <w:u w:val="single"/>
          <w:lang w:eastAsia="zh-CN"/>
        </w:rPr>
        <w:t>成都市新都区人民政府办公室黄桷树广场会议厅LED显示屏采购项目（第二次）</w:t>
      </w:r>
      <w:r>
        <w:rPr>
          <w:rFonts w:hint="default" w:ascii="宋体" w:hAnsi="宋体"/>
          <w:sz w:val="28"/>
        </w:rPr>
        <w:t>（项目名称）采购活动，提供的货物全部由符合政策要求的中小企业制造。相关企业的具体情况如下：</w:t>
      </w:r>
    </w:p>
    <w:p>
      <w:pPr>
        <w:spacing w:beforeLines="0" w:afterLines="0" w:line="588" w:lineRule="exact"/>
        <w:ind w:firstLine="563"/>
        <w:rPr>
          <w:rFonts w:hint="default" w:ascii="宋体" w:hAnsi="宋体"/>
          <w:sz w:val="28"/>
        </w:rPr>
      </w:pPr>
      <w:r>
        <w:rPr>
          <w:rFonts w:hint="default" w:ascii="宋体" w:hAnsi="宋体"/>
          <w:sz w:val="28"/>
        </w:rPr>
        <w:t xml:space="preserve"> 1. </w:t>
      </w:r>
      <w:r>
        <w:rPr>
          <w:rFonts w:hint="default" w:ascii="宋体" w:hAnsi="宋体"/>
          <w:sz w:val="28"/>
          <w:u w:val="single"/>
        </w:rPr>
        <w:t>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___XXXX___</w:t>
      </w:r>
      <w:r>
        <w:rPr>
          <w:rFonts w:hint="default" w:ascii="宋体" w:hAnsi="宋体"/>
          <w:sz w:val="28"/>
        </w:rPr>
        <w:t>人，营业收入为</w:t>
      </w:r>
      <w:r>
        <w:rPr>
          <w:rFonts w:hint="default" w:ascii="宋体" w:hAnsi="宋体"/>
          <w:sz w:val="28"/>
          <w:u w:val="single"/>
        </w:rPr>
        <w:t>__XXXX__</w:t>
      </w:r>
      <w:r>
        <w:rPr>
          <w:rFonts w:hint="default" w:ascii="宋体" w:hAnsi="宋体"/>
          <w:sz w:val="28"/>
        </w:rPr>
        <w:t>万元，资产总额为</w:t>
      </w:r>
      <w:r>
        <w:rPr>
          <w:rFonts w:hint="default" w:ascii="宋体" w:hAnsi="宋体"/>
          <w:sz w:val="28"/>
          <w:u w:val="single"/>
        </w:rPr>
        <w:t>___XXXX___</w:t>
      </w:r>
      <w:r>
        <w:rPr>
          <w:rFonts w:hint="default" w:ascii="宋体" w:hAnsi="宋体"/>
          <w:sz w:val="28"/>
        </w:rPr>
        <w:t>万元</w:t>
      </w:r>
      <w:r>
        <w:rPr>
          <w:rFonts w:hint="default" w:ascii="宋体" w:hAnsi="宋体"/>
          <w:sz w:val="28"/>
          <w:vertAlign w:val="superscript"/>
        </w:rPr>
        <w:t>1</w:t>
      </w:r>
      <w:r>
        <w:rPr>
          <w:rFonts w:hint="default" w:ascii="宋体" w:hAnsi="宋体"/>
          <w:sz w:val="28"/>
        </w:rPr>
        <w:t>，属于</w:t>
      </w:r>
      <w:r>
        <w:rPr>
          <w:rFonts w:hint="eastAsia" w:ascii="宋体" w:hAnsi="宋体"/>
          <w:sz w:val="28"/>
          <w:u w:val="single"/>
          <w:lang w:val="en-US"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2.</w:t>
      </w:r>
      <w:r>
        <w:rPr>
          <w:rFonts w:hint="default" w:ascii="宋体" w:hAnsi="宋体"/>
          <w:sz w:val="28"/>
          <w:u w:val="single"/>
        </w:rPr>
        <w:t xml:space="preserve"> ___XXXX____</w:t>
      </w:r>
      <w:r>
        <w:rPr>
          <w:rFonts w:hint="default" w:ascii="宋体" w:hAnsi="宋体"/>
          <w:sz w:val="28"/>
        </w:rPr>
        <w:t>（标的名称），属于</w:t>
      </w:r>
      <w:r>
        <w:rPr>
          <w:rFonts w:hint="default" w:ascii="宋体" w:hAnsi="宋体"/>
          <w:sz w:val="28"/>
          <w:u w:val="single"/>
        </w:rPr>
        <w:t>___XXXX____</w:t>
      </w:r>
      <w:r>
        <w:rPr>
          <w:rFonts w:hint="default" w:ascii="宋体" w:hAnsi="宋体"/>
          <w:sz w:val="28"/>
        </w:rPr>
        <w:t>（采购文件中明确的所属行业） 行业；制造商为</w:t>
      </w:r>
      <w:r>
        <w:rPr>
          <w:rFonts w:hint="default" w:ascii="宋体" w:hAnsi="宋体"/>
          <w:sz w:val="28"/>
          <w:u w:val="single"/>
        </w:rPr>
        <w:t>___XXXX__</w:t>
      </w:r>
      <w:r>
        <w:rPr>
          <w:rFonts w:hint="default" w:ascii="宋体" w:hAnsi="宋体"/>
          <w:sz w:val="28"/>
        </w:rPr>
        <w:t>（企业名称），从业人员</w:t>
      </w:r>
      <w:r>
        <w:rPr>
          <w:rFonts w:hint="default" w:ascii="宋体" w:hAnsi="宋体"/>
          <w:sz w:val="28"/>
          <w:u w:val="single"/>
        </w:rPr>
        <w:t>___XXXX__</w:t>
      </w:r>
      <w:r>
        <w:rPr>
          <w:rFonts w:hint="default" w:ascii="宋体" w:hAnsi="宋体"/>
          <w:sz w:val="28"/>
        </w:rPr>
        <w:t>人，营业收入为</w:t>
      </w:r>
      <w:r>
        <w:rPr>
          <w:rFonts w:hint="default" w:ascii="宋体" w:hAnsi="宋体"/>
          <w:sz w:val="28"/>
          <w:u w:val="single"/>
        </w:rPr>
        <w:t>___XXXX__</w:t>
      </w:r>
      <w:r>
        <w:rPr>
          <w:rFonts w:hint="default" w:ascii="宋体" w:hAnsi="宋体"/>
          <w:sz w:val="28"/>
        </w:rPr>
        <w:t>万元，资产总额为</w:t>
      </w:r>
      <w:r>
        <w:rPr>
          <w:rFonts w:hint="default" w:ascii="宋体" w:hAnsi="宋体"/>
          <w:sz w:val="28"/>
          <w:u w:val="single"/>
        </w:rPr>
        <w:t>___XXXX____</w:t>
      </w:r>
      <w:r>
        <w:rPr>
          <w:rFonts w:hint="default" w:ascii="宋体" w:hAnsi="宋体"/>
          <w:sz w:val="28"/>
        </w:rPr>
        <w:t>万元，属于</w:t>
      </w:r>
      <w:r>
        <w:rPr>
          <w:rFonts w:hint="eastAsia" w:ascii="宋体" w:hAnsi="宋体"/>
          <w:sz w:val="28"/>
          <w:u w:val="single"/>
          <w:lang w:val="en-US" w:eastAsia="zh-CN"/>
        </w:rPr>
        <w:t xml:space="preserve">  </w:t>
      </w:r>
      <w:r>
        <w:rPr>
          <w:rFonts w:hint="default" w:ascii="宋体" w:hAnsi="宋体"/>
          <w:sz w:val="28"/>
          <w:u w:val="single"/>
        </w:rPr>
        <w:t>XXXX</w:t>
      </w:r>
      <w:r>
        <w:rPr>
          <w:rFonts w:hint="eastAsia" w:ascii="宋体" w:hAnsi="宋体"/>
          <w:sz w:val="28"/>
          <w:u w:val="single"/>
          <w:lang w:val="en-US" w:eastAsia="zh-CN"/>
        </w:rPr>
        <w:t xml:space="preserve">  </w:t>
      </w:r>
      <w:r>
        <w:rPr>
          <w:rFonts w:hint="default" w:ascii="宋体" w:hAnsi="宋体"/>
          <w:sz w:val="28"/>
        </w:rPr>
        <w:t>（中型企业、小型企业、微型企业）；</w:t>
      </w:r>
    </w:p>
    <w:p>
      <w:pPr>
        <w:spacing w:beforeLines="0" w:afterLines="0" w:line="588" w:lineRule="exact"/>
        <w:ind w:firstLine="563"/>
        <w:rPr>
          <w:rFonts w:hint="default" w:ascii="宋体" w:hAnsi="宋体"/>
          <w:sz w:val="28"/>
        </w:rPr>
      </w:pPr>
      <w:r>
        <w:rPr>
          <w:rFonts w:hint="default" w:ascii="宋体" w:hAnsi="宋体"/>
          <w:sz w:val="28"/>
        </w:rPr>
        <w:t xml:space="preserve"> …… </w:t>
      </w:r>
    </w:p>
    <w:p>
      <w:pPr>
        <w:spacing w:beforeLines="0" w:afterLines="0" w:line="588" w:lineRule="exact"/>
        <w:ind w:firstLine="563"/>
        <w:rPr>
          <w:rFonts w:hint="default" w:ascii="宋体" w:hAnsi="宋体"/>
          <w:sz w:val="28"/>
        </w:rPr>
      </w:pPr>
      <w:r>
        <w:rPr>
          <w:rFonts w:hint="default" w:ascii="宋体" w:hAnsi="宋体"/>
          <w:sz w:val="28"/>
        </w:rPr>
        <w:t>以上企业，不属于大企业的分支机构，不存在控股股东 为大企业的情形，也不存在与大企业的负责人为同一人的情形。</w:t>
      </w:r>
    </w:p>
    <w:p>
      <w:pPr>
        <w:spacing w:beforeLines="0" w:afterLines="0" w:line="588" w:lineRule="exact"/>
        <w:ind w:firstLine="563"/>
        <w:rPr>
          <w:rFonts w:hint="default" w:ascii="宋体" w:hAnsi="宋体"/>
          <w:sz w:val="28"/>
        </w:rPr>
      </w:pPr>
      <w:r>
        <w:rPr>
          <w:rFonts w:hint="default" w:ascii="宋体" w:hAnsi="宋体"/>
          <w:sz w:val="28"/>
        </w:rPr>
        <w:t>本企业对上述声明内容的真实性负责。如有虚假，将依法承担相应责任。</w:t>
      </w:r>
    </w:p>
    <w:p>
      <w:pPr>
        <w:spacing w:beforeLines="0" w:afterLines="0" w:line="588" w:lineRule="exact"/>
        <w:ind w:right="280" w:firstLine="563"/>
        <w:jc w:val="right"/>
        <w:rPr>
          <w:rFonts w:hint="default" w:ascii="宋体" w:hAnsi="宋体"/>
          <w:sz w:val="28"/>
        </w:rPr>
      </w:pPr>
      <w:r>
        <w:rPr>
          <w:rFonts w:hint="default" w:ascii="宋体" w:hAnsi="宋体"/>
          <w:sz w:val="28"/>
        </w:rPr>
        <w:t>企业名称：</w:t>
      </w:r>
      <w:r>
        <w:rPr>
          <w:rFonts w:hint="default" w:ascii="宋体" w:hAnsi="宋体"/>
          <w:sz w:val="28"/>
          <w:u w:val="single"/>
        </w:rPr>
        <w:t>___XXXX____</w:t>
      </w:r>
    </w:p>
    <w:p>
      <w:pPr>
        <w:spacing w:beforeLines="0" w:afterLines="0" w:line="588" w:lineRule="exact"/>
        <w:ind w:firstLine="563"/>
        <w:rPr>
          <w:rFonts w:hint="default" w:ascii="宋体" w:hAnsi="宋体"/>
          <w:sz w:val="28"/>
        </w:rPr>
      </w:pPr>
      <w:r>
        <w:rPr>
          <w:rFonts w:hint="default" w:ascii="宋体" w:hAnsi="宋体"/>
          <w:sz w:val="28"/>
        </w:rPr>
        <w:t xml:space="preserve">                                日 期：202X年XX月XX日</w:t>
      </w:r>
    </w:p>
    <w:p>
      <w:pPr>
        <w:pStyle w:val="2"/>
        <w:rPr>
          <w:rFonts w:hint="default"/>
        </w:rPr>
      </w:pPr>
    </w:p>
    <w:p>
      <w:pPr>
        <w:tabs>
          <w:tab w:val="left" w:pos="3969"/>
        </w:tabs>
        <w:spacing w:beforeLines="0" w:afterLines="0" w:line="500" w:lineRule="exact"/>
        <w:ind w:right="-58" w:firstLine="560" w:firstLineChars="200"/>
        <w:jc w:val="left"/>
        <w:rPr>
          <w:rFonts w:hint="default"/>
          <w:sz w:val="28"/>
        </w:rPr>
      </w:pPr>
    </w:p>
    <w:p>
      <w:pPr>
        <w:pStyle w:val="199"/>
        <w:spacing w:beforeLines="0" w:afterLines="0"/>
        <w:ind w:firstLine="565" w:firstLineChars="201"/>
        <w:rPr>
          <w:rFonts w:hint="default" w:ascii="宋体"/>
          <w:b/>
          <w:sz w:val="28"/>
        </w:rPr>
      </w:pPr>
      <w:r>
        <w:rPr>
          <w:rFonts w:hint="default" w:ascii="宋体"/>
          <w:b/>
          <w:sz w:val="28"/>
        </w:rPr>
        <w:t>说明：1.提供了《残疾人福利性单位声明函》或监狱企业证明文件复印件的不需提供；</w:t>
      </w:r>
    </w:p>
    <w:p>
      <w:pPr>
        <w:pStyle w:val="199"/>
        <w:spacing w:beforeLines="0" w:afterLines="0"/>
        <w:ind w:firstLine="565" w:firstLineChars="201"/>
        <w:rPr>
          <w:rFonts w:hint="default"/>
          <w:b/>
          <w:sz w:val="28"/>
        </w:rPr>
      </w:pPr>
      <w:r>
        <w:rPr>
          <w:rFonts w:hint="default" w:ascii="宋体"/>
          <w:b/>
          <w:sz w:val="28"/>
        </w:rPr>
        <w:t>2.从业人员、营业收入、资产总额填报上一年度数据，无上一年度数据的新成立企业可不填报。</w:t>
      </w: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199"/>
        <w:spacing w:beforeLines="0" w:afterLines="0"/>
        <w:ind w:firstLine="0"/>
        <w:rPr>
          <w:rFonts w:hint="default"/>
          <w:b/>
          <w:sz w:val="28"/>
        </w:rPr>
      </w:pPr>
    </w:p>
    <w:p>
      <w:pPr>
        <w:pStyle w:val="5"/>
        <w:tabs>
          <w:tab w:val="left" w:pos="709"/>
        </w:tabs>
        <w:spacing w:beforeLines="0" w:after="200" w:afterLines="0"/>
        <w:ind w:left="1135" w:hanging="1135"/>
        <w:rPr>
          <w:rFonts w:hint="default"/>
          <w:color w:val="auto"/>
          <w:sz w:val="28"/>
        </w:rPr>
      </w:pPr>
      <w:r>
        <w:rPr>
          <w:rFonts w:hint="default"/>
          <w:color w:val="auto"/>
          <w:sz w:val="28"/>
        </w:rPr>
        <w:t>残疾人福利性单位声明函</w:t>
      </w:r>
    </w:p>
    <w:p>
      <w:pPr>
        <w:spacing w:beforeLines="0" w:afterLines="0" w:line="588" w:lineRule="exact"/>
        <w:jc w:val="center"/>
        <w:rPr>
          <w:rFonts w:hint="default" w:ascii="宋体" w:hAnsi="宋体"/>
          <w:b/>
          <w:spacing w:val="6"/>
          <w:sz w:val="28"/>
        </w:rPr>
      </w:pPr>
      <w:r>
        <w:rPr>
          <w:rFonts w:hint="default" w:ascii="宋体" w:hAnsi="宋体"/>
          <w:b/>
          <w:spacing w:val="6"/>
          <w:sz w:val="28"/>
        </w:rPr>
        <w:t>残疾人福利性单位声明函</w:t>
      </w:r>
    </w:p>
    <w:p>
      <w:pPr>
        <w:spacing w:beforeLines="0" w:afterLines="0" w:line="588" w:lineRule="exact"/>
        <w:rPr>
          <w:rFonts w:hint="default" w:ascii="宋体" w:hAnsi="宋体"/>
          <w:spacing w:val="6"/>
          <w:sz w:val="28"/>
        </w:rPr>
      </w:pPr>
      <w:r>
        <w:rPr>
          <w:rFonts w:hint="default" w:ascii="宋体" w:hAnsi="宋体"/>
          <w:spacing w:val="6"/>
          <w:sz w:val="28"/>
        </w:rPr>
        <w:t>本单位郑重声明：</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spacing w:val="6"/>
          <w:sz w:val="28"/>
          <w:u w:val="single"/>
          <w:lang w:eastAsia="zh-CN"/>
        </w:rPr>
        <w:t>成都市新都区人民政府办公室</w:t>
      </w:r>
      <w:r>
        <w:rPr>
          <w:rFonts w:hint="default" w:ascii="宋体" w:hAnsi="宋体"/>
          <w:spacing w:val="6"/>
          <w:sz w:val="28"/>
        </w:rPr>
        <w:t>单位的</w:t>
      </w:r>
      <w:r>
        <w:rPr>
          <w:rFonts w:hint="eastAsia" w:ascii="宋体" w:hAnsi="宋体"/>
          <w:spacing w:val="6"/>
          <w:sz w:val="28"/>
          <w:highlight w:val="none"/>
          <w:u w:val="single"/>
          <w:lang w:eastAsia="zh-CN"/>
        </w:rPr>
        <w:t>成都市新都区人民政府办公室黄桷树广场会议厅LED显示屏采购项目（第二次）</w:t>
      </w:r>
      <w:r>
        <w:rPr>
          <w:rFonts w:hint="default" w:ascii="宋体" w:hAnsi="宋体"/>
          <w:spacing w:val="6"/>
          <w:sz w:val="28"/>
        </w:rPr>
        <w:t>采购活动提供本单位制造的货物，或者提供其他残疾人福利性单位制造的货物（不包括使用非残疾人福利性单位注册商标的货物）。</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本单位对上述声明的真实性负责。如有虚假，将依法承担相应责任。</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供应商名称：</w:t>
      </w:r>
      <w:r>
        <w:rPr>
          <w:rFonts w:hint="default" w:ascii="宋体" w:hAnsi="宋体"/>
          <w:spacing w:val="6"/>
          <w:sz w:val="28"/>
          <w:u w:val="single"/>
        </w:rPr>
        <w:t xml:space="preserve"> XXXX </w:t>
      </w:r>
    </w:p>
    <w:p>
      <w:pPr>
        <w:spacing w:beforeLines="0" w:afterLines="0" w:line="588" w:lineRule="exact"/>
        <w:ind w:firstLine="584" w:firstLineChars="200"/>
        <w:rPr>
          <w:rFonts w:hint="default" w:ascii="宋体" w:hAnsi="宋体"/>
          <w:spacing w:val="6"/>
          <w:sz w:val="28"/>
        </w:rPr>
      </w:pPr>
      <w:r>
        <w:rPr>
          <w:rFonts w:hint="default" w:ascii="宋体" w:hAnsi="宋体"/>
          <w:spacing w:val="6"/>
          <w:sz w:val="28"/>
        </w:rPr>
        <w:t>日 期：</w:t>
      </w:r>
      <w:r>
        <w:rPr>
          <w:rFonts w:hint="default" w:ascii="宋体" w:hAnsi="宋体"/>
          <w:spacing w:val="6"/>
          <w:sz w:val="28"/>
          <w:u w:val="single"/>
        </w:rPr>
        <w:t>20XX</w:t>
      </w:r>
      <w:r>
        <w:rPr>
          <w:rFonts w:hint="default" w:ascii="宋体" w:hAnsi="宋体"/>
          <w:spacing w:val="6"/>
          <w:sz w:val="28"/>
        </w:rPr>
        <w:t>年</w:t>
      </w:r>
      <w:r>
        <w:rPr>
          <w:rFonts w:hint="default" w:ascii="宋体" w:hAnsi="宋体"/>
          <w:spacing w:val="6"/>
          <w:sz w:val="28"/>
          <w:u w:val="single"/>
        </w:rPr>
        <w:t>XX</w:t>
      </w:r>
      <w:r>
        <w:rPr>
          <w:rFonts w:hint="default" w:ascii="宋体" w:hAnsi="宋体"/>
          <w:spacing w:val="6"/>
          <w:sz w:val="28"/>
        </w:rPr>
        <w:t>月</w:t>
      </w:r>
      <w:r>
        <w:rPr>
          <w:rFonts w:hint="default" w:ascii="宋体" w:hAnsi="宋体"/>
          <w:spacing w:val="6"/>
          <w:sz w:val="28"/>
          <w:u w:val="single"/>
        </w:rPr>
        <w:t>XX</w:t>
      </w:r>
      <w:r>
        <w:rPr>
          <w:rFonts w:hint="default" w:ascii="宋体" w:hAnsi="宋体"/>
          <w:spacing w:val="6"/>
          <w:sz w:val="28"/>
        </w:rPr>
        <w:t>日</w:t>
      </w: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84" w:firstLineChars="200"/>
        <w:rPr>
          <w:rFonts w:hint="default" w:ascii="宋体" w:hAnsi="宋体"/>
          <w:spacing w:val="6"/>
          <w:sz w:val="28"/>
        </w:rPr>
      </w:pPr>
    </w:p>
    <w:p>
      <w:pPr>
        <w:spacing w:beforeLines="0" w:afterLines="0" w:line="588" w:lineRule="exact"/>
        <w:ind w:firstLine="563"/>
        <w:rPr>
          <w:rFonts w:hint="default" w:ascii="宋体" w:hAnsi="宋体"/>
          <w:b/>
          <w:sz w:val="28"/>
        </w:rPr>
      </w:pPr>
    </w:p>
    <w:p>
      <w:pPr>
        <w:spacing w:beforeLines="0" w:afterLines="0" w:line="588" w:lineRule="exact"/>
        <w:ind w:firstLine="563"/>
        <w:rPr>
          <w:rFonts w:hint="default" w:ascii="宋体" w:hAnsi="宋体"/>
          <w:b/>
          <w:sz w:val="28"/>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spacing w:beforeLines="0" w:afterLines="0"/>
        <w:rPr>
          <w:rFonts w:hint="default"/>
          <w:sz w:val="21"/>
        </w:rPr>
      </w:pPr>
    </w:p>
    <w:p>
      <w:pPr>
        <w:spacing w:beforeLines="0" w:afterLines="0"/>
        <w:rPr>
          <w:rFonts w:hint="default"/>
          <w:sz w:val="21"/>
        </w:rPr>
      </w:pPr>
    </w:p>
    <w:p>
      <w:pPr>
        <w:pStyle w:val="2"/>
        <w:rPr>
          <w:rFonts w:hint="default"/>
          <w:sz w:val="21"/>
        </w:rPr>
      </w:pPr>
    </w:p>
    <w:p>
      <w:pPr>
        <w:rPr>
          <w:rFonts w:hint="default"/>
          <w:sz w:val="21"/>
        </w:rPr>
      </w:pPr>
    </w:p>
    <w:p>
      <w:pPr>
        <w:pStyle w:val="2"/>
        <w:rPr>
          <w:rFonts w:hint="default"/>
        </w:rPr>
      </w:pPr>
    </w:p>
    <w:p>
      <w:pPr>
        <w:keepNext/>
        <w:keepLines/>
        <w:numPr>
          <w:ilvl w:val="2"/>
          <w:numId w:val="1"/>
        </w:numPr>
        <w:spacing w:beforeLines="0" w:afterLines="0" w:line="360" w:lineRule="auto"/>
        <w:ind w:left="3119" w:hanging="3119"/>
        <w:outlineLvl w:val="2"/>
        <w:rPr>
          <w:rFonts w:hint="default" w:ascii="宋体" w:hAnsi="宋体"/>
          <w:sz w:val="28"/>
        </w:rPr>
      </w:pPr>
      <w:r>
        <w:rPr>
          <w:rFonts w:hint="default" w:ascii="宋体" w:hAnsi="宋体"/>
          <w:b/>
          <w:sz w:val="28"/>
        </w:rPr>
        <w:t>报价产品制造商属于监狱企业的证明文件复印件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708" w:firstLineChars="253"/>
        <w:rPr>
          <w:rFonts w:hint="default" w:ascii="宋体" w:hAnsi="宋体"/>
          <w:spacing w:val="6"/>
          <w:sz w:val="28"/>
        </w:rPr>
      </w:pPr>
      <w:r>
        <w:rPr>
          <w:rFonts w:hint="default" w:ascii="宋体"/>
          <w:sz w:val="28"/>
        </w:rPr>
        <w:t>报价产品中为监狱企业制造的货物应提供由省级以上监狱管理局、戒毒管理局（含新疆生产建设兵团）出具的制造商属于监狱企业的证明文件复印件。</w:t>
      </w: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rPr>
          <w:rFonts w:hint="default" w:ascii="宋体" w:hAnsi="宋体"/>
          <w:spacing w:val="6"/>
          <w:sz w:val="28"/>
        </w:rPr>
      </w:pPr>
    </w:p>
    <w:p>
      <w:pPr>
        <w:tabs>
          <w:tab w:val="left" w:pos="3969"/>
        </w:tabs>
        <w:spacing w:beforeLines="0" w:afterLines="0" w:line="588" w:lineRule="exact"/>
        <w:ind w:right="-58" w:firstLine="562" w:firstLineChars="200"/>
        <w:rPr>
          <w:rFonts w:hint="eastAsia" w:ascii="宋体" w:hAnsi="宋体" w:cs="Times New Roman"/>
          <w:b/>
          <w:sz w:val="28"/>
          <w:szCs w:val="28"/>
          <w:highlight w:val="none"/>
          <w:lang w:eastAsia="zh-CN"/>
        </w:rPr>
      </w:pPr>
      <w:r>
        <w:rPr>
          <w:rFonts w:hint="eastAsia" w:ascii="宋体" w:hAnsi="宋体" w:eastAsia="宋体" w:cs="Times New Roman"/>
          <w:b/>
          <w:sz w:val="28"/>
          <w:szCs w:val="28"/>
          <w:highlight w:val="none"/>
        </w:rPr>
        <w:t>说明：</w:t>
      </w:r>
      <w:r>
        <w:rPr>
          <w:rFonts w:hint="default" w:ascii="宋体" w:hAnsi="宋体" w:eastAsia="宋体" w:cs="Times New Roman"/>
          <w:b/>
          <w:sz w:val="28"/>
          <w:szCs w:val="28"/>
          <w:highlight w:val="none"/>
        </w:rPr>
        <w:t>提供了《中小企业声明函》或《残疾人福利性单位声明函》的不需提供</w:t>
      </w:r>
      <w:r>
        <w:rPr>
          <w:rFonts w:hint="eastAsia" w:ascii="宋体" w:hAnsi="宋体" w:cs="Times New Roman"/>
          <w:b/>
          <w:sz w:val="28"/>
          <w:szCs w:val="28"/>
          <w:highlight w:val="none"/>
          <w:lang w:eastAsia="zh-CN"/>
        </w:rPr>
        <w:t>。</w:t>
      </w:r>
    </w:p>
    <w:p>
      <w:pPr>
        <w:pStyle w:val="2"/>
        <w:rPr>
          <w:rFonts w:hint="eastAsia" w:ascii="宋体" w:hAnsi="宋体" w:cs="Times New Roman"/>
          <w:b/>
          <w:sz w:val="28"/>
          <w:szCs w:val="28"/>
          <w:highlight w:val="none"/>
          <w:lang w:eastAsia="zh-CN"/>
        </w:rPr>
      </w:pPr>
    </w:p>
    <w:p>
      <w:pPr>
        <w:rPr>
          <w:rFonts w:hint="eastAsia" w:ascii="宋体" w:hAnsi="宋体" w:cs="Times New Roman"/>
          <w:b/>
          <w:sz w:val="28"/>
          <w:szCs w:val="28"/>
          <w:highlight w:val="none"/>
          <w:lang w:eastAsia="zh-CN"/>
        </w:rPr>
      </w:pPr>
    </w:p>
    <w:p>
      <w:pPr>
        <w:pStyle w:val="2"/>
        <w:rPr>
          <w:rFonts w:hint="eastAsia" w:ascii="宋体" w:hAnsi="宋体" w:cs="Times New Roman"/>
          <w:b/>
          <w:sz w:val="28"/>
          <w:szCs w:val="28"/>
          <w:highlight w:val="none"/>
          <w:lang w:eastAsia="zh-CN"/>
        </w:rPr>
      </w:pPr>
    </w:p>
    <w:p>
      <w:pPr>
        <w:rPr>
          <w:rFonts w:hint="eastAsia" w:ascii="宋体" w:hAnsi="宋体" w:cs="Times New Roman"/>
          <w:b/>
          <w:sz w:val="28"/>
          <w:szCs w:val="28"/>
          <w:highlight w:val="none"/>
          <w:lang w:eastAsia="zh-CN"/>
        </w:rPr>
      </w:pPr>
    </w:p>
    <w:p>
      <w:pPr>
        <w:pStyle w:val="2"/>
        <w:rPr>
          <w:rFonts w:hint="eastAsia" w:ascii="宋体" w:hAnsi="宋体" w:cs="Times New Roman"/>
          <w:b/>
          <w:sz w:val="28"/>
          <w:szCs w:val="28"/>
          <w:highlight w:val="none"/>
          <w:lang w:eastAsia="zh-CN"/>
        </w:rPr>
      </w:pPr>
    </w:p>
    <w:p>
      <w:pPr>
        <w:rPr>
          <w:rFonts w:hint="eastAsia" w:ascii="宋体" w:hAnsi="宋体" w:cs="Times New Roman"/>
          <w:b/>
          <w:sz w:val="28"/>
          <w:szCs w:val="28"/>
          <w:highlight w:val="none"/>
          <w:lang w:eastAsia="zh-CN"/>
        </w:rPr>
      </w:pPr>
    </w:p>
    <w:p>
      <w:pPr>
        <w:pStyle w:val="2"/>
        <w:rPr>
          <w:rFonts w:hint="eastAsia"/>
          <w:lang w:eastAsia="zh-CN"/>
        </w:rPr>
      </w:pPr>
    </w:p>
    <w:p>
      <w:pPr>
        <w:rPr>
          <w:rFonts w:ascii="宋体" w:hAnsi="宋体"/>
          <w:b/>
          <w:bCs/>
          <w:sz w:val="28"/>
          <w:szCs w:val="28"/>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sz w:val="28"/>
          <w:szCs w:val="28"/>
        </w:rPr>
      </w:pPr>
      <w:r>
        <w:rPr>
          <w:rFonts w:hint="eastAsia" w:ascii="宋体" w:hAnsi="宋体"/>
          <w:sz w:val="28"/>
          <w:szCs w:val="28"/>
        </w:rPr>
        <w:t>投标人按招标文件要求，应提供以下相关资格证明材料：</w:t>
      </w:r>
    </w:p>
    <w:p>
      <w:pPr>
        <w:pStyle w:val="152"/>
        <w:numPr>
          <w:ilvl w:val="0"/>
          <w:numId w:val="33"/>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由省级以上监狱管理局、戒毒管理局（含新疆生产建设兵团）出具的投标人属于监狱企业的证明文件复印件（说明：提供了中小企业声明函或残疾人福利性单位声明函的不需提供）；</w:t>
      </w:r>
    </w:p>
    <w:p>
      <w:pPr>
        <w:pStyle w:val="152"/>
        <w:numPr>
          <w:ilvl w:val="0"/>
          <w:numId w:val="33"/>
        </w:numPr>
        <w:tabs>
          <w:tab w:val="left" w:pos="1134"/>
        </w:tabs>
        <w:spacing w:before="60" w:line="360" w:lineRule="auto"/>
        <w:ind w:left="0" w:firstLine="567" w:firstLineChars="0"/>
        <w:rPr>
          <w:rFonts w:ascii="宋体" w:hAnsi="宋体"/>
          <w:sz w:val="28"/>
          <w:szCs w:val="28"/>
        </w:rPr>
      </w:pPr>
      <w:r>
        <w:rPr>
          <w:rFonts w:hint="eastAsia" w:ascii="宋体" w:hAnsi="宋体"/>
          <w:sz w:val="28"/>
          <w:szCs w:val="28"/>
        </w:rPr>
        <w:t>营业执照复印件（正本或副本）或法人证书复印件（正本或副本）</w:t>
      </w:r>
      <w:r>
        <w:rPr>
          <w:rFonts w:hint="eastAsia" w:ascii="宋体" w:hAnsi="宋体"/>
          <w:kern w:val="0"/>
          <w:sz w:val="28"/>
          <w:szCs w:val="28"/>
        </w:rPr>
        <w:t>或其他能够证明供应商具有独立承担民事责任能力的相关证明材料复印件；</w:t>
      </w:r>
      <w:r>
        <w:rPr>
          <w:rFonts w:hint="eastAsia" w:ascii="宋体" w:hAnsi="宋体"/>
          <w:sz w:val="28"/>
          <w:szCs w:val="28"/>
        </w:rPr>
        <w:t xml:space="preserve"> </w:t>
      </w:r>
    </w:p>
    <w:p>
      <w:pPr>
        <w:pStyle w:val="152"/>
        <w:numPr>
          <w:ilvl w:val="0"/>
          <w:numId w:val="33"/>
        </w:numPr>
        <w:tabs>
          <w:tab w:val="left" w:pos="1134"/>
        </w:tabs>
        <w:spacing w:before="60" w:line="360" w:lineRule="auto"/>
        <w:ind w:left="0" w:firstLine="567" w:firstLineChars="0"/>
        <w:rPr>
          <w:rFonts w:ascii="宋体" w:hAnsi="宋体"/>
          <w:sz w:val="28"/>
          <w:szCs w:val="28"/>
        </w:rPr>
      </w:pPr>
      <w:r>
        <w:rPr>
          <w:rFonts w:hint="eastAsia"/>
          <w:sz w:val="28"/>
          <w:szCs w:val="28"/>
        </w:rPr>
        <w:t>采购人对投标人履行合同所必须的设备和专业技术能力无其他特殊要求，投标人可不提供证明材料；</w:t>
      </w:r>
    </w:p>
    <w:p>
      <w:pPr>
        <w:pStyle w:val="152"/>
        <w:numPr>
          <w:ilvl w:val="0"/>
          <w:numId w:val="33"/>
        </w:numPr>
        <w:tabs>
          <w:tab w:val="left" w:pos="0"/>
          <w:tab w:val="left" w:pos="1134"/>
        </w:tabs>
        <w:spacing w:before="60" w:line="360" w:lineRule="auto"/>
        <w:ind w:left="0" w:firstLine="546" w:firstLineChars="0"/>
        <w:rPr>
          <w:rFonts w:ascii="宋体" w:hAnsi="宋体"/>
          <w:sz w:val="28"/>
          <w:szCs w:val="28"/>
        </w:rPr>
      </w:pPr>
      <w:r>
        <w:rPr>
          <w:rFonts w:hint="eastAsia" w:ascii="宋体" w:hAnsi="宋体"/>
          <w:sz w:val="28"/>
          <w:szCs w:val="28"/>
        </w:rPr>
        <w:t>采购人对法律、行政法规规定的其他条件无其他特殊要求，投标人可不提供证明材料；</w:t>
      </w:r>
    </w:p>
    <w:p>
      <w:pPr>
        <w:rPr>
          <w:rFonts w:ascii="宋体" w:hAnsi="宋体"/>
          <w:b/>
          <w:bCs/>
          <w:sz w:val="28"/>
          <w:szCs w:val="28"/>
        </w:rPr>
      </w:pPr>
      <w:r>
        <w:rPr>
          <w:rFonts w:hint="eastAsia"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29" w:name="_Toc11105"/>
      <w:r>
        <w:rPr>
          <w:rFonts w:hint="eastAsia" w:ascii="宋体" w:hAnsi="宋体"/>
          <w:b/>
          <w:bCs/>
          <w:sz w:val="28"/>
          <w:szCs w:val="28"/>
        </w:rPr>
        <w:t>商务技术响应文件</w:t>
      </w:r>
      <w:bookmarkEnd w:id="129"/>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eastAsia="zh-CN"/>
        </w:rPr>
        <w:t>成都市新都区公共资源交易服务中心</w:t>
      </w:r>
      <w:r>
        <w:rPr>
          <w:rFonts w:hint="eastAsia" w:ascii="宋体" w:hAnsi="宋体"/>
          <w:bCs/>
          <w:sz w:val="28"/>
          <w:szCs w:val="28"/>
        </w:rPr>
        <w:t>：</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成都市新都区人民政府办公室黄桷树广场会议厅LED显示屏采购项目（第二次）</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新都政采（2021）A0053号-1</w:t>
      </w:r>
      <w:r>
        <w:rPr>
          <w:rFonts w:hint="eastAsia" w:ascii="宋体" w:hAnsi="宋体"/>
          <w:b/>
          <w:bCs/>
          <w:sz w:val="28"/>
          <w:szCs w:val="28"/>
          <w:u w:val="single"/>
        </w:rPr>
        <w:t>）</w:t>
      </w:r>
      <w:r>
        <w:rPr>
          <w:rFonts w:hint="eastAsia" w:ascii="宋体" w:hAnsi="宋体"/>
          <w:bCs/>
          <w:sz w:val="28"/>
          <w:szCs w:val="28"/>
        </w:rPr>
        <w:t>招标文件，决定参加贵单位组织的本项目投标。我方授权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XXXX（投标人名称）</w:t>
      </w:r>
      <w:r>
        <w:rPr>
          <w:rFonts w:hint="eastAsia" w:ascii="宋体" w:hAnsi="宋体"/>
          <w:bCs/>
          <w:sz w:val="28"/>
          <w:szCs w:val="28"/>
        </w:rPr>
        <w:t>全权处理本项目投标的有关事宜。</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4"/>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4"/>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sz w:val="28"/>
          <w:szCs w:val="28"/>
        </w:rPr>
      </w:pPr>
      <w:bookmarkStart w:id="130" w:name="_Toc239846734"/>
      <w:bookmarkStart w:id="131" w:name="_Toc265494342"/>
      <w:bookmarkStart w:id="132" w:name="_Toc314574804"/>
      <w:bookmarkStart w:id="133" w:name="_Toc240865266"/>
      <w:bookmarkStart w:id="134" w:name="_Toc239849853"/>
      <w:bookmarkStart w:id="135" w:name="_Toc229802674"/>
      <w:bookmarkStart w:id="136" w:name="_Toc237145395"/>
      <w:bookmarkStart w:id="137" w:name="_Toc240367172"/>
      <w:bookmarkStart w:id="138" w:name="_Toc231030275"/>
      <w:r>
        <w:rPr>
          <w:rFonts w:ascii="宋体" w:hAnsi="宋体"/>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XXXX（法定代表人或主要负责人姓名）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u w:val="single"/>
          <w:lang w:val="zh-CN"/>
        </w:rPr>
        <w:t>或主要负责人</w:t>
      </w:r>
      <w:r>
        <w:rPr>
          <w:rFonts w:hint="eastAsia" w:ascii="宋体" w:hAnsi="宋体"/>
          <w:sz w:val="28"/>
          <w:lang w:val="zh-CN"/>
        </w:rPr>
        <w:t>。</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39" w:name="_Toc263768866"/>
      <w:r>
        <w:rPr>
          <w:rFonts w:hint="eastAsia" w:ascii="宋体" w:hAnsi="宋体"/>
          <w:sz w:val="28"/>
          <w:lang w:val="zh-CN"/>
        </w:rPr>
        <w:t>特此证明。</w:t>
      </w:r>
      <w:bookmarkEnd w:id="139"/>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bCs/>
          <w:sz w:val="28"/>
          <w:szCs w:val="28"/>
        </w:rPr>
      </w:pPr>
      <w:r>
        <w:rPr>
          <w:rFonts w:hint="eastAsia" w:ascii="宋体" w:hAnsi="宋体"/>
          <w:b/>
          <w:sz w:val="28"/>
          <w:szCs w:val="28"/>
        </w:rPr>
        <w:t>说明：（1）上述证明文件在投标文件中附有法定代表人或主要负责人身份证复印件（身份证两面均应复印）或护照复印件（投标人的法定代表人或主要负责人为外籍人士的，则提供护照复印件）时才能生效。（2）主要负责人为投标人提供的其具有独立承担民事责任能力的证明材料中的主要负责人员。</w:t>
      </w:r>
      <w:bookmarkEnd w:id="130"/>
      <w:bookmarkEnd w:id="131"/>
      <w:bookmarkEnd w:id="132"/>
      <w:bookmarkEnd w:id="133"/>
      <w:bookmarkEnd w:id="134"/>
      <w:bookmarkEnd w:id="135"/>
      <w:bookmarkEnd w:id="136"/>
      <w:bookmarkEnd w:id="137"/>
      <w:bookmarkEnd w:id="138"/>
      <w:bookmarkStart w:id="140" w:name="_Toc302997926"/>
      <w:bookmarkStart w:id="141" w:name="_Toc263753605"/>
      <w:bookmarkStart w:id="142" w:name="_Toc217446083"/>
      <w:bookmarkStart w:id="143" w:name="_Toc220299393"/>
      <w:bookmarkStart w:id="144" w:name="_Toc263768870"/>
    </w:p>
    <w:p>
      <w:pPr>
        <w:keepNext/>
        <w:keepLines/>
        <w:numPr>
          <w:ilvl w:val="2"/>
          <w:numId w:val="5"/>
        </w:numPr>
        <w:spacing w:line="360" w:lineRule="auto"/>
        <w:ind w:left="3119" w:hanging="3119"/>
        <w:outlineLvl w:val="2"/>
        <w:rPr>
          <w:rFonts w:ascii="宋体" w:hAnsi="宋体"/>
          <w:b/>
          <w:bCs/>
          <w:sz w:val="28"/>
          <w:szCs w:val="28"/>
          <w:highlight w:val="none"/>
        </w:rPr>
      </w:pPr>
      <w:r>
        <w:rPr>
          <w:rFonts w:hint="eastAsia" w:ascii="宋体" w:hAnsi="宋体"/>
          <w:b/>
          <w:bCs/>
          <w:sz w:val="28"/>
          <w:szCs w:val="28"/>
          <w:highlight w:val="none"/>
        </w:rPr>
        <w:t>投标人基本情况表</w:t>
      </w:r>
      <w:bookmarkEnd w:id="140"/>
    </w:p>
    <w:tbl>
      <w:tblPr>
        <w:tblStyle w:val="4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firstLine="1470" w:firstLineChars="700"/>
              <w:rPr>
                <w:rFonts w:hint="default"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widowControl/>
              <w:suppressLineNumbers w:val="0"/>
              <w:spacing w:before="0" w:beforeAutospacing="0" w:after="0" w:afterAutospacing="0"/>
              <w:ind w:left="0" w:right="0"/>
              <w:jc w:val="left"/>
              <w:rPr>
                <w:rFonts w:hint="default"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keepNext w:val="0"/>
              <w:keepLines w:val="0"/>
              <w:suppressLineNumbers w:val="0"/>
              <w:autoSpaceDE w:val="0"/>
              <w:autoSpaceDN w:val="0"/>
              <w:adjustRightInd w:val="0"/>
              <w:spacing w:before="0" w:beforeAutospacing="0" w:after="0" w:afterAutospacing="0" w:line="400" w:lineRule="exact"/>
              <w:ind w:left="0" w:right="0"/>
              <w:jc w:val="center"/>
              <w:rPr>
                <w:rFonts w:hint="default"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keepNext w:val="0"/>
              <w:keepLines w:val="0"/>
              <w:suppressLineNumbers w:val="0"/>
              <w:autoSpaceDE w:val="0"/>
              <w:autoSpaceDN w:val="0"/>
              <w:adjustRightInd w:val="0"/>
              <w:spacing w:before="0" w:beforeAutospacing="0" w:after="0" w:afterAutospacing="0" w:line="400" w:lineRule="exact"/>
              <w:ind w:left="0" w:right="0"/>
              <w:rPr>
                <w:rFonts w:hint="default"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bookmarkEnd w:id="141"/>
    <w:bookmarkEnd w:id="142"/>
    <w:bookmarkEnd w:id="143"/>
    <w:bookmarkEnd w:id="144"/>
    <w:p>
      <w:pPr>
        <w:rPr>
          <w:rFonts w:ascii="宋体" w:hAnsi="宋体"/>
          <w:b/>
          <w:bCs/>
          <w:sz w:val="28"/>
          <w:szCs w:val="28"/>
        </w:rPr>
      </w:pPr>
      <w:bookmarkStart w:id="145" w:name="_Toc68703944"/>
      <w:bookmarkStart w:id="146" w:name="_Toc316475719"/>
      <w:r>
        <w:rPr>
          <w:rFonts w:hint="eastAsia" w:ascii="宋体" w:hAnsi="宋体"/>
          <w:b/>
          <w:bCs/>
          <w:sz w:val="28"/>
          <w:szCs w:val="28"/>
        </w:rPr>
        <w:br w:type="page"/>
      </w: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投标产品技术性能、技术参数和配置的详细描述</w:t>
      </w:r>
      <w:bookmarkEnd w:id="145"/>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成都市新都区人民政府办公室黄桷树广场会议厅LED显示屏采购项目（第二次）</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新都政采（2021）A0053号-1</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5"/>
        </w:numPr>
        <w:spacing w:line="360" w:lineRule="auto"/>
        <w:outlineLvl w:val="2"/>
        <w:rPr>
          <w:rFonts w:ascii="宋体" w:hAnsi="宋体"/>
          <w:b/>
          <w:sz w:val="28"/>
          <w:szCs w:val="28"/>
          <w:highlight w:val="none"/>
        </w:rPr>
      </w:pPr>
      <w:r>
        <w:rPr>
          <w:rFonts w:hint="eastAsia" w:ascii="宋体" w:hAnsi="宋体"/>
          <w:b/>
          <w:sz w:val="28"/>
          <w:szCs w:val="28"/>
          <w:highlight w:val="none"/>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成都市新都区人民政府办公室黄桷树广场会议厅LED显示屏采购项目（第二次）</w:t>
      </w:r>
    </w:p>
    <w:p>
      <w:pPr>
        <w:snapToGrid w:val="0"/>
        <w:spacing w:line="360" w:lineRule="auto"/>
        <w:rPr>
          <w:rFonts w:hint="eastAsia"/>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新都政采（2021）A0053号-1</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80"/>
        <w:numPr>
          <w:ilvl w:val="0"/>
          <w:numId w:val="35"/>
        </w:numPr>
        <w:tabs>
          <w:tab w:val="left" w:pos="1134"/>
        </w:tabs>
        <w:snapToGrid w:val="0"/>
        <w:spacing w:line="360" w:lineRule="auto"/>
        <w:ind w:left="68" w:leftChars="0" w:firstLine="562" w:firstLineChars="0"/>
        <w:rPr>
          <w:rFonts w:hint="eastAsia" w:ascii="宋体" w:hAnsi="宋体" w:eastAsia="宋体" w:cs="Times New Roman"/>
          <w:kern w:val="2"/>
          <w:sz w:val="28"/>
          <w:szCs w:val="22"/>
          <w:lang w:val="en-US" w:eastAsia="zh-CN" w:bidi="ar-SA"/>
        </w:rPr>
      </w:pPr>
      <w:r>
        <w:rPr>
          <w:rFonts w:hint="eastAsia" w:ascii="宋体" w:hAnsi="宋体" w:eastAsia="宋体" w:cs="Times New Roman"/>
          <w:kern w:val="2"/>
          <w:sz w:val="28"/>
          <w:szCs w:val="22"/>
          <w:lang w:val="zh-CN" w:eastAsia="zh-CN" w:bidi="ar-SA"/>
        </w:rPr>
        <w:t>为本项目提供的所有产品、辅材中属于《国家强制性产品认证目录》范围内产品的，均通过国家强制性产品认证并取得认证证书。</w:t>
      </w:r>
    </w:p>
    <w:p>
      <w:pPr>
        <w:pStyle w:val="80"/>
        <w:numPr>
          <w:ilvl w:val="0"/>
          <w:numId w:val="35"/>
        </w:numPr>
        <w:tabs>
          <w:tab w:val="left" w:pos="1134"/>
        </w:tabs>
        <w:snapToGrid w:val="0"/>
        <w:spacing w:line="360" w:lineRule="auto"/>
        <w:ind w:left="68" w:leftChars="0" w:firstLine="562" w:firstLineChars="0"/>
        <w:rPr>
          <w:rFonts w:ascii="宋体" w:hAnsi="宋体"/>
          <w:b/>
          <w:sz w:val="28"/>
          <w:szCs w:val="28"/>
          <w:highlight w:val="none"/>
        </w:rPr>
      </w:pPr>
      <w:r>
        <w:rPr>
          <w:rFonts w:hint="eastAsia"/>
          <w:sz w:val="28"/>
          <w:szCs w:val="28"/>
          <w:highlight w:val="none"/>
        </w:rPr>
        <w:t>为本项目提供的所有产品、辅材符合现行的强制性国家相关标准、行业标准。</w:t>
      </w:r>
    </w:p>
    <w:p>
      <w:pPr>
        <w:pStyle w:val="80"/>
        <w:numPr>
          <w:ilvl w:val="0"/>
          <w:numId w:val="35"/>
        </w:numPr>
        <w:tabs>
          <w:tab w:val="left" w:pos="1134"/>
        </w:tabs>
        <w:snapToGrid w:val="0"/>
        <w:spacing w:line="360" w:lineRule="auto"/>
        <w:ind w:left="68" w:leftChars="0" w:firstLine="562" w:firstLineChars="0"/>
        <w:rPr>
          <w:rFonts w:hint="eastAsia" w:ascii="宋体" w:hAnsi="宋体" w:eastAsia="宋体" w:cs="Times New Roman"/>
          <w:kern w:val="2"/>
          <w:sz w:val="28"/>
          <w:szCs w:val="22"/>
          <w:lang w:val="zh-CN" w:eastAsia="zh-CN" w:bidi="ar-SA"/>
        </w:rPr>
      </w:pPr>
      <w:r>
        <w:rPr>
          <w:rFonts w:hint="eastAsia" w:ascii="宋体" w:hAnsi="宋体" w:eastAsia="宋体" w:cs="Times New Roman"/>
          <w:kern w:val="2"/>
          <w:sz w:val="28"/>
          <w:szCs w:val="22"/>
          <w:lang w:val="zh-CN" w:eastAsia="zh-CN" w:bidi="ar-SA"/>
        </w:rPr>
        <w:t>我方承诺完全响应招标文件</w:t>
      </w:r>
      <w:r>
        <w:rPr>
          <w:rFonts w:hint="eastAsia" w:ascii="宋体" w:hAnsi="宋体" w:eastAsia="宋体" w:cs="Times New Roman"/>
          <w:kern w:val="2"/>
          <w:sz w:val="28"/>
          <w:szCs w:val="22"/>
          <w:lang w:val="en-US" w:eastAsia="zh-CN" w:bidi="ar-SA"/>
        </w:rPr>
        <w:t>4.4.1</w:t>
      </w:r>
      <w:r>
        <w:rPr>
          <w:rFonts w:hint="eastAsia" w:ascii="宋体" w:hAnsi="宋体" w:eastAsia="宋体" w:cs="Times New Roman"/>
          <w:kern w:val="2"/>
          <w:sz w:val="28"/>
          <w:szCs w:val="22"/>
          <w:lang w:val="zh-CN" w:eastAsia="zh-CN" w:bidi="ar-SA"/>
        </w:rPr>
        <w:t>交货时间</w:t>
      </w:r>
      <w:r>
        <w:rPr>
          <w:rFonts w:hint="eastAsia" w:ascii="宋体" w:hAnsi="宋体" w:eastAsia="宋体" w:cs="Times New Roman"/>
          <w:kern w:val="2"/>
          <w:sz w:val="28"/>
          <w:szCs w:val="22"/>
          <w:lang w:val="en-US" w:eastAsia="zh-CN" w:bidi="ar-SA"/>
        </w:rPr>
        <w:t>4.4.2</w:t>
      </w:r>
      <w:r>
        <w:rPr>
          <w:rFonts w:hint="eastAsia" w:ascii="宋体" w:hAnsi="宋体" w:eastAsia="宋体" w:cs="Times New Roman"/>
          <w:kern w:val="2"/>
          <w:sz w:val="28"/>
          <w:szCs w:val="22"/>
          <w:lang w:val="zh-CN" w:eastAsia="zh-CN" w:bidi="ar-SA"/>
        </w:rPr>
        <w:t>交货地点</w:t>
      </w:r>
      <w:r>
        <w:rPr>
          <w:rFonts w:hint="eastAsia" w:ascii="宋体" w:hAnsi="宋体" w:eastAsia="宋体" w:cs="Times New Roman"/>
          <w:kern w:val="2"/>
          <w:sz w:val="28"/>
          <w:szCs w:val="22"/>
          <w:lang w:val="en-US" w:eastAsia="zh-CN" w:bidi="ar-SA"/>
        </w:rPr>
        <w:t>4.4.3</w:t>
      </w:r>
      <w:r>
        <w:rPr>
          <w:rFonts w:hint="eastAsia" w:ascii="宋体" w:hAnsi="宋体" w:eastAsia="宋体" w:cs="Times New Roman"/>
          <w:kern w:val="2"/>
          <w:sz w:val="28"/>
          <w:szCs w:val="22"/>
          <w:lang w:val="zh-CN" w:eastAsia="zh-CN" w:bidi="ar-SA"/>
        </w:rPr>
        <w:t>付款进度和支付方式</w:t>
      </w:r>
      <w:r>
        <w:rPr>
          <w:rFonts w:hint="eastAsia" w:ascii="宋体" w:hAnsi="宋体" w:eastAsia="宋体" w:cs="Times New Roman"/>
          <w:kern w:val="2"/>
          <w:sz w:val="28"/>
          <w:szCs w:val="22"/>
          <w:lang w:val="en-US" w:eastAsia="zh-CN" w:bidi="ar-SA"/>
        </w:rPr>
        <w:t>4.4.4</w:t>
      </w:r>
      <w:r>
        <w:rPr>
          <w:rFonts w:hint="eastAsia" w:ascii="宋体" w:hAnsi="宋体" w:eastAsia="宋体" w:cs="Times New Roman"/>
          <w:kern w:val="2"/>
          <w:sz w:val="28"/>
          <w:szCs w:val="22"/>
          <w:lang w:val="zh-CN" w:eastAsia="zh-CN" w:bidi="ar-SA"/>
        </w:rPr>
        <w:t>验收标准和方法</w:t>
      </w:r>
      <w:r>
        <w:rPr>
          <w:rFonts w:hint="eastAsia" w:ascii="宋体" w:hAnsi="宋体" w:eastAsia="宋体" w:cs="Times New Roman"/>
          <w:kern w:val="2"/>
          <w:sz w:val="28"/>
          <w:szCs w:val="22"/>
          <w:lang w:val="en-US" w:eastAsia="zh-CN" w:bidi="ar-SA"/>
        </w:rPr>
        <w:t>4.4.5</w:t>
      </w:r>
      <w:r>
        <w:rPr>
          <w:rFonts w:hint="eastAsia" w:ascii="宋体" w:hAnsi="宋体" w:eastAsia="宋体" w:cs="Times New Roman"/>
          <w:kern w:val="2"/>
          <w:sz w:val="28"/>
          <w:szCs w:val="22"/>
          <w:lang w:val="zh-CN" w:eastAsia="zh-CN" w:bidi="ar-SA"/>
        </w:rPr>
        <w:t>质保期</w:t>
      </w:r>
      <w:r>
        <w:rPr>
          <w:rFonts w:hint="eastAsia" w:ascii="宋体" w:hAnsi="宋体" w:eastAsia="宋体" w:cs="Times New Roman"/>
          <w:kern w:val="2"/>
          <w:sz w:val="28"/>
          <w:szCs w:val="22"/>
          <w:lang w:val="en-US" w:eastAsia="zh-CN" w:bidi="ar-SA"/>
        </w:rPr>
        <w:t>4.4.6产品</w:t>
      </w:r>
      <w:r>
        <w:rPr>
          <w:rFonts w:hint="eastAsia" w:ascii="宋体" w:hAnsi="宋体" w:eastAsia="宋体" w:cs="Times New Roman"/>
          <w:kern w:val="2"/>
          <w:sz w:val="28"/>
          <w:szCs w:val="22"/>
          <w:lang w:val="zh-CN" w:eastAsia="zh-CN" w:bidi="ar-SA"/>
        </w:rPr>
        <w:t>质量要求。</w:t>
      </w:r>
    </w:p>
    <w:p>
      <w:pPr>
        <w:pStyle w:val="80"/>
        <w:numPr>
          <w:ilvl w:val="0"/>
          <w:numId w:val="0"/>
        </w:numPr>
        <w:tabs>
          <w:tab w:val="left" w:pos="1134"/>
        </w:tabs>
        <w:snapToGrid w:val="0"/>
        <w:spacing w:line="360" w:lineRule="auto"/>
        <w:ind w:left="562" w:leftChars="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p>
    <w:p>
      <w:pPr>
        <w:rPr>
          <w:rFonts w:hint="eastAsia" w:ascii="宋体" w:hAnsi="宋体"/>
          <w:bCs/>
          <w:sz w:val="28"/>
        </w:rPr>
      </w:pPr>
      <w:r>
        <w:rPr>
          <w:rFonts w:hint="eastAsia" w:ascii="宋体" w:hAnsi="宋体"/>
          <w:bCs/>
          <w:sz w:val="28"/>
        </w:rPr>
        <w:br w:type="page"/>
      </w:r>
    </w:p>
    <w:p>
      <w:pPr>
        <w:keepNext/>
        <w:keepLines/>
        <w:numPr>
          <w:ilvl w:val="2"/>
          <w:numId w:val="5"/>
        </w:numPr>
        <w:spacing w:line="360" w:lineRule="auto"/>
        <w:outlineLvl w:val="2"/>
        <w:rPr>
          <w:rFonts w:ascii="宋体" w:hAnsi="宋体"/>
          <w:b/>
          <w:sz w:val="28"/>
          <w:szCs w:val="28"/>
        </w:rPr>
      </w:pPr>
      <w:bookmarkStart w:id="147" w:name="_Toc68703946"/>
      <w:r>
        <w:rPr>
          <w:rFonts w:hint="eastAsia" w:ascii="宋体" w:hAnsi="宋体"/>
          <w:b/>
          <w:sz w:val="28"/>
          <w:szCs w:val="28"/>
        </w:rPr>
        <w:t>售后服务方案</w:t>
      </w:r>
      <w:bookmarkEnd w:id="147"/>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成都市新都区人民政府办公室黄桷树广场会议厅LED显示屏采购项目（第二次）</w:t>
      </w:r>
    </w:p>
    <w:p>
      <w:pPr>
        <w:pStyle w:val="13"/>
        <w:tabs>
          <w:tab w:val="left" w:pos="7560"/>
        </w:tabs>
        <w:spacing w:line="360" w:lineRule="auto"/>
        <w:ind w:firstLine="0"/>
        <w:rPr>
          <w:rFonts w:ascii="宋体" w:hAnsi="宋体"/>
          <w:sz w:val="28"/>
        </w:rPr>
      </w:pPr>
      <w:r>
        <w:rPr>
          <w:rFonts w:hint="eastAsia" w:ascii="宋体" w:hAnsi="宋体" w:eastAsia="宋体"/>
          <w:b/>
          <w:sz w:val="28"/>
        </w:rPr>
        <w:t>项目编号：</w:t>
      </w:r>
      <w:r>
        <w:rPr>
          <w:rFonts w:hint="eastAsia" w:ascii="宋体" w:hAnsi="宋体" w:eastAsia="宋体"/>
          <w:b/>
          <w:sz w:val="28"/>
          <w:u w:val="single"/>
          <w:lang w:eastAsia="zh-CN"/>
        </w:rPr>
        <w:t>新都政采（2021）A0053号-1</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adjustRightInd w:val="0"/>
        <w:spacing w:line="400" w:lineRule="exact"/>
        <w:ind w:firstLine="420" w:firstLineChars="150"/>
        <w:rPr>
          <w:rFonts w:ascii="宋体" w:hAnsi="宋体"/>
          <w:bCs/>
          <w:sz w:val="28"/>
          <w:u w:val="single"/>
        </w:rPr>
      </w:pPr>
    </w:p>
    <w:p>
      <w:pPr>
        <w:keepNext/>
        <w:keepLines/>
        <w:numPr>
          <w:ilvl w:val="2"/>
          <w:numId w:val="5"/>
        </w:numPr>
        <w:spacing w:line="360" w:lineRule="auto"/>
        <w:outlineLvl w:val="2"/>
        <w:rPr>
          <w:rFonts w:ascii="宋体" w:hAnsi="宋体"/>
          <w:b/>
          <w:sz w:val="28"/>
          <w:szCs w:val="28"/>
        </w:rPr>
      </w:pPr>
      <w:r>
        <w:rPr>
          <w:rFonts w:hint="eastAsia" w:ascii="宋体" w:hAnsi="宋体"/>
          <w:b/>
          <w:sz w:val="28"/>
        </w:rPr>
        <w:br w:type="page"/>
      </w:r>
      <w:r>
        <w:rPr>
          <w:rFonts w:hint="eastAsia" w:ascii="宋体" w:hAnsi="宋体"/>
          <w:b/>
          <w:sz w:val="28"/>
          <w:szCs w:val="28"/>
          <w:lang w:val="en-US" w:eastAsia="zh-CN"/>
        </w:rPr>
        <w:t>项目实施方案</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成都市新都区人民政府办公室黄桷树广场会议厅LED显示屏采购项目（第二次）</w:t>
      </w:r>
    </w:p>
    <w:p>
      <w:pPr>
        <w:pStyle w:val="13"/>
        <w:tabs>
          <w:tab w:val="left" w:pos="7560"/>
        </w:tabs>
        <w:spacing w:line="360" w:lineRule="auto"/>
        <w:ind w:firstLine="0"/>
        <w:rPr>
          <w:rFonts w:ascii="宋体" w:hAnsi="宋体"/>
          <w:sz w:val="28"/>
        </w:rPr>
      </w:pPr>
      <w:r>
        <w:rPr>
          <w:rFonts w:hint="eastAsia" w:ascii="宋体" w:hAnsi="宋体" w:eastAsia="宋体"/>
          <w:b/>
          <w:sz w:val="28"/>
        </w:rPr>
        <w:t>项目编号：</w:t>
      </w:r>
      <w:r>
        <w:rPr>
          <w:rFonts w:hint="eastAsia" w:ascii="宋体" w:hAnsi="宋体" w:eastAsia="宋体"/>
          <w:b/>
          <w:sz w:val="28"/>
          <w:u w:val="single"/>
          <w:lang w:eastAsia="zh-CN"/>
        </w:rPr>
        <w:t>新都政采（2021）A0053号-1</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rPr>
          <w:rFonts w:ascii="宋体" w:hAnsi="宋体"/>
          <w:b/>
          <w:sz w:val="28"/>
        </w:rPr>
      </w:pPr>
    </w:p>
    <w:p>
      <w:pPr>
        <w:pStyle w:val="2"/>
        <w:rPr>
          <w:rFonts w:ascii="宋体" w:hAnsi="宋体"/>
          <w:b/>
          <w:sz w:val="28"/>
        </w:rPr>
      </w:pPr>
    </w:p>
    <w:p>
      <w:pPr>
        <w:rPr>
          <w:rFonts w:ascii="宋体" w:hAnsi="宋体"/>
          <w:b/>
          <w:sz w:val="28"/>
        </w:rPr>
      </w:pPr>
    </w:p>
    <w:p>
      <w:pPr>
        <w:pStyle w:val="2"/>
        <w:rPr>
          <w:rFonts w:ascii="宋体" w:hAnsi="宋体"/>
          <w:b/>
          <w:sz w:val="28"/>
        </w:rPr>
      </w:pPr>
    </w:p>
    <w:p>
      <w:pPr>
        <w:rPr>
          <w:rFonts w:ascii="宋体" w:hAnsi="宋体"/>
          <w:b/>
          <w:sz w:val="28"/>
        </w:rPr>
      </w:pPr>
    </w:p>
    <w:p>
      <w:pPr>
        <w:pStyle w:val="2"/>
      </w:pPr>
    </w:p>
    <w:p>
      <w:pPr>
        <w:keepNext/>
        <w:keepLines/>
        <w:numPr>
          <w:ilvl w:val="1"/>
          <w:numId w:val="5"/>
        </w:numPr>
        <w:spacing w:before="260" w:after="260" w:line="360" w:lineRule="auto"/>
        <w:jc w:val="left"/>
        <w:outlineLvl w:val="1"/>
        <w:rPr>
          <w:rFonts w:ascii="宋体" w:hAnsi="宋体"/>
          <w:b/>
          <w:sz w:val="28"/>
        </w:rPr>
      </w:pPr>
      <w:bookmarkStart w:id="148" w:name="_Toc28144"/>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8"/>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成都市新都区人民政府办公室黄桷树广场会议厅LED显示屏采购项目（第二次）</w:t>
      </w:r>
    </w:p>
    <w:p>
      <w:pPr>
        <w:pStyle w:val="13"/>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新都政采（2021）A0053号-1</w:t>
      </w:r>
    </w:p>
    <w:p>
      <w:pPr>
        <w:tabs>
          <w:tab w:val="left" w:pos="1134"/>
        </w:tabs>
        <w:spacing w:line="560" w:lineRule="exact"/>
        <w:rPr>
          <w:rFonts w:ascii="宋体" w:hAnsi="宋体"/>
          <w:b/>
          <w:bCs/>
          <w:sz w:val="28"/>
          <w:szCs w:val="28"/>
        </w:rPr>
      </w:pP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jc w:val="center"/>
              <w:rPr>
                <w:rFonts w:hint="default"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1134"/>
              </w:tabs>
              <w:spacing w:before="0" w:beforeAutospacing="0" w:after="0" w:afterAutospacing="0" w:line="560" w:lineRule="exact"/>
              <w:ind w:left="0" w:right="0"/>
              <w:rPr>
                <w:rFonts w:hint="default"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成都市新都区人民政府办公室黄桷树广场会议厅LED显示屏采购项目（第二次）</w:t>
      </w:r>
    </w:p>
    <w:p>
      <w:pPr>
        <w:pStyle w:val="13"/>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新都政采（2021）A0053号-1</w:t>
      </w:r>
    </w:p>
    <w:p>
      <w:pPr>
        <w:numPr>
          <w:ilvl w:val="0"/>
          <w:numId w:val="0"/>
        </w:numPr>
        <w:tabs>
          <w:tab w:val="left" w:pos="630"/>
          <w:tab w:val="left" w:pos="7560"/>
        </w:tabs>
        <w:spacing w:after="200" w:line="360" w:lineRule="auto"/>
        <w:ind w:leftChars="0" w:firstLine="562" w:firstLineChars="200"/>
        <w:rPr>
          <w:rFonts w:hint="eastAsia" w:ascii="宋体" w:hAnsi="宋体"/>
          <w:b/>
          <w:sz w:val="28"/>
        </w:rPr>
      </w:pPr>
      <w:r>
        <w:rPr>
          <w:rFonts w:hint="eastAsia" w:ascii="宋体" w:hAnsi="宋体"/>
          <w:b/>
          <w:sz w:val="28"/>
        </w:rPr>
        <w:t>分项报价明细表（说明：投标人应根据其投标报价的构成提供详细的分项价格明细表。）</w:t>
      </w:r>
    </w:p>
    <w:tbl>
      <w:tblPr>
        <w:tblStyle w:val="42"/>
        <w:tblW w:w="9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024"/>
        <w:gridCol w:w="730"/>
        <w:gridCol w:w="731"/>
        <w:gridCol w:w="664"/>
        <w:gridCol w:w="808"/>
        <w:gridCol w:w="1004"/>
        <w:gridCol w:w="1511"/>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序号</w:t>
            </w:r>
          </w:p>
        </w:tc>
        <w:tc>
          <w:tcPr>
            <w:tcW w:w="202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eastAsia" w:ascii="宋体" w:hAnsi="宋体"/>
                <w:b/>
                <w:bCs/>
                <w:szCs w:val="21"/>
              </w:rPr>
              <w:t>标的名称</w:t>
            </w:r>
          </w:p>
        </w:tc>
        <w:tc>
          <w:tcPr>
            <w:tcW w:w="730"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品牌</w:t>
            </w:r>
          </w:p>
        </w:tc>
        <w:tc>
          <w:tcPr>
            <w:tcW w:w="73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规格型号</w:t>
            </w:r>
          </w:p>
        </w:tc>
        <w:tc>
          <w:tcPr>
            <w:tcW w:w="66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制造商</w:t>
            </w:r>
          </w:p>
        </w:tc>
        <w:tc>
          <w:tcPr>
            <w:tcW w:w="808"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进口或国产</w:t>
            </w:r>
          </w:p>
        </w:tc>
        <w:tc>
          <w:tcPr>
            <w:tcW w:w="1004"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数量</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
                <w:bCs/>
                <w:szCs w:val="21"/>
              </w:rPr>
            </w:pPr>
            <w:r>
              <w:rPr>
                <w:rFonts w:hint="default" w:ascii="宋体" w:hAnsi="宋体"/>
                <w:b/>
                <w:bCs/>
                <w:szCs w:val="21"/>
              </w:rPr>
              <w:t>单价</w:t>
            </w: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Cs w:val="21"/>
              </w:rPr>
            </w:pPr>
            <w:r>
              <w:rPr>
                <w:rFonts w:hint="default" w:ascii="宋体" w:hAnsi="宋体"/>
                <w:b/>
                <w:bCs/>
                <w:szCs w:val="21"/>
              </w:rPr>
              <w:t>总价</w:t>
            </w:r>
            <w:r>
              <w:rPr>
                <w:rFonts w:hint="eastAsia" w:ascii="宋体" w:hAnsi="宋体"/>
                <w:b/>
                <w:bCs/>
                <w:szCs w:val="21"/>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1</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室内P2全彩屏</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30.16㎡</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u w:val="single"/>
                <w:lang w:eastAsia="zh-CN"/>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2</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室内P1.86全彩副屏</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2套</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3</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视频处理器</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lang w:val="en-US" w:eastAsia="zh-CN"/>
              </w:rPr>
            </w:pPr>
            <w:r>
              <w:rPr>
                <w:rFonts w:hint="eastAsia" w:hAnsi="宋体" w:cs="仿宋"/>
                <w:color w:val="000000"/>
                <w:sz w:val="24"/>
                <w:szCs w:val="24"/>
                <w:lang w:val="en-US" w:eastAsia="zh-CN"/>
              </w:rPr>
              <w:t>1台</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4</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数据接收卡</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125张</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5</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供电电源</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195台</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6</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播控软件</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lang w:val="en-US" w:eastAsia="zh-CN"/>
              </w:rPr>
            </w:pPr>
            <w:r>
              <w:rPr>
                <w:rFonts w:hint="eastAsia" w:hAnsi="宋体" w:cs="仿宋"/>
                <w:color w:val="000000"/>
                <w:sz w:val="24"/>
                <w:szCs w:val="24"/>
                <w:lang w:val="en-US" w:eastAsia="zh-CN"/>
              </w:rPr>
              <w:t>1套</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7</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电缆线</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300米</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eastAsia" w:ascii="宋体" w:hAnsi="宋体" w:eastAsia="宋体"/>
                <w:bCs/>
                <w:sz w:val="24"/>
                <w:szCs w:val="28"/>
                <w:lang w:eastAsia="zh-CN"/>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8</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配电柜</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1套</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9"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rPr>
              <w:t>9</w:t>
            </w:r>
          </w:p>
        </w:tc>
        <w:tc>
          <w:tcPr>
            <w:tcW w:w="202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钢结构</w:t>
            </w:r>
          </w:p>
        </w:tc>
        <w:tc>
          <w:tcPr>
            <w:tcW w:w="73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73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66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80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p>
        </w:tc>
        <w:tc>
          <w:tcPr>
            <w:tcW w:w="100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right="0"/>
              <w:jc w:val="center"/>
              <w:textAlignment w:val="center"/>
              <w:rPr>
                <w:rFonts w:hint="default" w:hAnsi="宋体" w:cs="仿宋"/>
                <w:color w:val="000000"/>
                <w:sz w:val="24"/>
                <w:szCs w:val="24"/>
                <w:lang w:val="en-US" w:eastAsia="zh-CN"/>
              </w:rPr>
            </w:pPr>
            <w:r>
              <w:rPr>
                <w:rFonts w:hint="eastAsia" w:hAnsi="宋体" w:cs="仿宋"/>
                <w:color w:val="000000"/>
                <w:sz w:val="24"/>
                <w:szCs w:val="24"/>
                <w:lang w:val="en-US" w:eastAsia="zh-CN"/>
              </w:rPr>
              <w:t>38.76㎡</w:t>
            </w:r>
          </w:p>
        </w:tc>
        <w:tc>
          <w:tcPr>
            <w:tcW w:w="1511"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c>
          <w:tcPr>
            <w:tcW w:w="965"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01" w:type="dxa"/>
            <w:gridSpan w:val="8"/>
            <w:tcBorders>
              <w:top w:val="single" w:color="auto" w:sz="2" w:space="0"/>
              <w:left w:val="single" w:color="auto" w:sz="2" w:space="0"/>
              <w:bottom w:val="single" w:color="auto" w:sz="2" w:space="0"/>
              <w:right w:val="single" w:color="auto" w:sz="4"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eastAsia" w:ascii="宋体" w:hAnsi="宋体"/>
                <w:bCs/>
                <w:sz w:val="24"/>
                <w:szCs w:val="28"/>
              </w:rPr>
              <w:t>投标报价（总价合计）</w:t>
            </w:r>
          </w:p>
        </w:tc>
        <w:tc>
          <w:tcPr>
            <w:tcW w:w="965" w:type="dxa"/>
            <w:tcBorders>
              <w:top w:val="single" w:color="auto" w:sz="2" w:space="0"/>
              <w:left w:val="single" w:color="auto" w:sz="4" w:space="0"/>
              <w:bottom w:val="single" w:color="auto" w:sz="2" w:space="0"/>
              <w:right w:val="single" w:color="auto" w:sz="2" w:space="0"/>
            </w:tcBorders>
            <w:vAlign w:val="center"/>
          </w:tcPr>
          <w:p>
            <w:pPr>
              <w:pStyle w:val="25"/>
              <w:keepNext w:val="0"/>
              <w:keepLines w:val="0"/>
              <w:suppressLineNumbers w:val="0"/>
              <w:spacing w:before="0" w:beforeAutospacing="0" w:afterAutospacing="0"/>
              <w:ind w:left="0" w:leftChars="0" w:right="0"/>
              <w:jc w:val="center"/>
              <w:rPr>
                <w:rFonts w:hint="default" w:ascii="宋体" w:hAnsi="宋体"/>
                <w:bCs/>
                <w:sz w:val="24"/>
                <w:szCs w:val="28"/>
              </w:rPr>
            </w:pPr>
            <w:r>
              <w:rPr>
                <w:rFonts w:hint="default" w:ascii="宋体" w:hAnsi="宋体"/>
                <w:bCs/>
                <w:sz w:val="24"/>
                <w:szCs w:val="28"/>
                <w:u w:val="single"/>
              </w:rPr>
              <w:t>xx</w:t>
            </w:r>
            <w:r>
              <w:rPr>
                <w:rFonts w:hint="eastAsia" w:ascii="宋体" w:hAnsi="宋体"/>
                <w:bCs/>
                <w:sz w:val="24"/>
                <w:szCs w:val="28"/>
              </w:rPr>
              <w:t>元</w:t>
            </w:r>
          </w:p>
        </w:tc>
      </w:tr>
    </w:tbl>
    <w:p>
      <w:pPr>
        <w:pStyle w:val="2"/>
      </w:pPr>
    </w:p>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rPr>
          <w:rFonts w:hint="eastAsia" w:ascii="宋体" w:hAnsi="宋体"/>
          <w:b/>
          <w:sz w:val="28"/>
          <w:szCs w:val="28"/>
        </w:rPr>
      </w:pPr>
      <w:r>
        <w:rPr>
          <w:rFonts w:hint="eastAsia" w:ascii="宋体" w:hAnsi="宋体"/>
          <w:b/>
          <w:sz w:val="28"/>
          <w:szCs w:val="28"/>
        </w:rPr>
        <w:br w:type="page"/>
      </w:r>
    </w:p>
    <w:p/>
    <w:bookmarkEnd w:id="146"/>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49" w:name="_Toc10955"/>
      <w:bookmarkStart w:id="150" w:name="_Toc217446093"/>
      <w:bookmarkStart w:id="151" w:name="_Toc321382057"/>
      <w:bookmarkStart w:id="152" w:name="_Toc316292231"/>
      <w:r>
        <w:rPr>
          <w:rFonts w:hint="eastAsia" w:ascii="宋体" w:hAnsi="宋体"/>
          <w:b/>
          <w:bCs/>
          <w:spacing w:val="-20"/>
          <w:kern w:val="44"/>
          <w:sz w:val="32"/>
          <w:szCs w:val="32"/>
        </w:rPr>
        <w:t>招标项目技术、服务、商务及其他要求</w:t>
      </w:r>
      <w:bookmarkEnd w:id="149"/>
      <w:bookmarkEnd w:id="150"/>
    </w:p>
    <w:p>
      <w:pPr>
        <w:keepNext/>
        <w:keepLines/>
        <w:numPr>
          <w:ilvl w:val="1"/>
          <w:numId w:val="36"/>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3" w:name="_Toc31123"/>
      <w:bookmarkStart w:id="154" w:name="_Toc85122591"/>
      <w:r>
        <w:rPr>
          <w:rFonts w:hint="eastAsia" w:ascii="宋体" w:hAnsi="宋体"/>
          <w:b/>
          <w:bCs/>
          <w:sz w:val="32"/>
          <w:szCs w:val="32"/>
        </w:rPr>
        <w:t>项目概况</w:t>
      </w:r>
      <w:bookmarkEnd w:id="153"/>
      <w:bookmarkEnd w:id="154"/>
    </w:p>
    <w:p>
      <w:pPr>
        <w:keepNext w:val="0"/>
        <w:keepLines w:val="0"/>
        <w:suppressLineNumbers w:val="0"/>
        <w:spacing w:before="0" w:beforeAutospacing="0" w:after="0" w:afterAutospacing="0"/>
        <w:ind w:left="0" w:right="0" w:firstLine="480" w:firstLineChars="200"/>
        <w:jc w:val="left"/>
        <w:textAlignment w:val="center"/>
        <w:rPr>
          <w:rFonts w:hint="eastAsia" w:hAnsi="宋体" w:cs="仿宋"/>
          <w:color w:val="000000"/>
          <w:sz w:val="24"/>
          <w:szCs w:val="24"/>
        </w:rPr>
      </w:pPr>
      <w:bookmarkStart w:id="155" w:name="_Toc217446095"/>
      <w:bookmarkStart w:id="156" w:name="_Toc85122592"/>
      <w:r>
        <w:rPr>
          <w:rFonts w:hint="eastAsia" w:hAnsi="宋体" w:cs="仿宋"/>
          <w:color w:val="000000"/>
          <w:sz w:val="24"/>
          <w:szCs w:val="24"/>
        </w:rPr>
        <w:t>成都市新都区人民政府办公室拟采用公开招标方式选择一家供应商采购LED显示屏一批。本次政府采购项目共一个包件。</w:t>
      </w:r>
    </w:p>
    <w:bookmarkEnd w:id="155"/>
    <w:p>
      <w:pPr>
        <w:keepNext/>
        <w:keepLines/>
        <w:numPr>
          <w:ilvl w:val="1"/>
          <w:numId w:val="36"/>
        </w:numPr>
        <w:tabs>
          <w:tab w:val="left" w:pos="0"/>
          <w:tab w:val="left" w:pos="426"/>
          <w:tab w:val="left" w:pos="576"/>
          <w:tab w:val="left" w:pos="786"/>
        </w:tabs>
        <w:spacing w:line="360" w:lineRule="auto"/>
        <w:ind w:left="0" w:firstLine="0"/>
        <w:outlineLvl w:val="1"/>
        <w:rPr>
          <w:rFonts w:ascii="宋体" w:hAnsi="宋体"/>
          <w:b/>
          <w:bCs/>
          <w:sz w:val="32"/>
          <w:szCs w:val="32"/>
        </w:rPr>
      </w:pPr>
      <w:bookmarkStart w:id="157" w:name="_Toc1122"/>
      <w:r>
        <w:rPr>
          <w:rFonts w:hint="eastAsia" w:ascii="宋体" w:hAnsi="宋体"/>
          <w:b/>
          <w:bCs/>
          <w:sz w:val="32"/>
          <w:szCs w:val="32"/>
        </w:rPr>
        <w:t>采购内容</w:t>
      </w:r>
      <w:bookmarkEnd w:id="156"/>
      <w:bookmarkEnd w:id="157"/>
    </w:p>
    <w:tbl>
      <w:tblPr>
        <w:tblStyle w:val="42"/>
        <w:tblpPr w:leftFromText="180" w:rightFromText="180" w:vertAnchor="text" w:horzAnchor="page" w:tblpX="1733" w:tblpY="128"/>
        <w:tblOverlap w:val="never"/>
        <w:tblW w:w="8243" w:type="dxa"/>
        <w:tblInd w:w="0" w:type="dxa"/>
        <w:tblLayout w:type="fixed"/>
        <w:tblCellMar>
          <w:top w:w="15" w:type="dxa"/>
          <w:left w:w="15" w:type="dxa"/>
          <w:bottom w:w="15" w:type="dxa"/>
          <w:right w:w="15" w:type="dxa"/>
        </w:tblCellMar>
      </w:tblPr>
      <w:tblGrid>
        <w:gridCol w:w="1134"/>
        <w:gridCol w:w="2838"/>
        <w:gridCol w:w="1555"/>
        <w:gridCol w:w="1358"/>
        <w:gridCol w:w="1358"/>
      </w:tblGrid>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序号</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设备名称（标的名称）</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单位</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数量</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所属行业</w:t>
            </w:r>
          </w:p>
        </w:tc>
      </w:tr>
      <w:tr>
        <w:tblPrEx>
          <w:tblLayout w:type="fixed"/>
          <w:tblCellMar>
            <w:top w:w="15" w:type="dxa"/>
            <w:left w:w="15" w:type="dxa"/>
            <w:bottom w:w="15" w:type="dxa"/>
            <w:right w:w="15" w:type="dxa"/>
          </w:tblCellMar>
        </w:tblPrEx>
        <w:trPr>
          <w:trHeight w:val="431"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textAlignment w:val="center"/>
              <w:rPr>
                <w:rFonts w:hint="eastAsia" w:hAnsi="宋体" w:cs="仿宋"/>
                <w:color w:val="000000"/>
                <w:sz w:val="24"/>
                <w:szCs w:val="24"/>
              </w:rPr>
            </w:pPr>
            <w:r>
              <w:rPr>
                <w:rFonts w:hint="eastAsia" w:hAnsi="宋体" w:cs="仿宋"/>
                <w:color w:val="000000"/>
                <w:sz w:val="24"/>
                <w:szCs w:val="24"/>
              </w:rPr>
              <w:t>1</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室内P2全彩屏</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lang w:val="en-US" w:eastAsia="zh-CN"/>
              </w:rPr>
              <w:t>30.16</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2</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室内P1.86全彩副屏</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val="en-US" w:eastAsia="zh-CN"/>
              </w:rPr>
              <w:t>2</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视频处理器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4</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数据接收卡</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125</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5</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供电电源</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台</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195</w:t>
            </w:r>
          </w:p>
        </w:tc>
        <w:tc>
          <w:tcPr>
            <w:tcW w:w="1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6</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播控软件</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7</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电缆线</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米</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300</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r>
        <w:tblPrEx>
          <w:tblLayout w:type="fixed"/>
          <w:tblCellMar>
            <w:top w:w="15" w:type="dxa"/>
            <w:left w:w="15" w:type="dxa"/>
            <w:bottom w:w="15" w:type="dxa"/>
            <w:right w:w="15" w:type="dxa"/>
          </w:tblCellMar>
        </w:tblPrEx>
        <w:trPr>
          <w:trHeight w:val="23"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8</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配电柜</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套</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r>
        <w:tblPrEx>
          <w:tblLayout w:type="fixed"/>
          <w:tblCellMar>
            <w:top w:w="15" w:type="dxa"/>
            <w:left w:w="15" w:type="dxa"/>
            <w:bottom w:w="15" w:type="dxa"/>
            <w:right w:w="15" w:type="dxa"/>
          </w:tblCellMar>
        </w:tblPrEx>
        <w:trPr>
          <w:trHeight w:val="375" w:hRule="atLeast"/>
        </w:trPr>
        <w:tc>
          <w:tcPr>
            <w:tcW w:w="11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9</w:t>
            </w:r>
          </w:p>
        </w:tc>
        <w:tc>
          <w:tcPr>
            <w:tcW w:w="28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钢结构</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38.76</w:t>
            </w:r>
          </w:p>
        </w:tc>
        <w:tc>
          <w:tcPr>
            <w:tcW w:w="1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ind w:left="0" w:right="0"/>
              <w:jc w:val="center"/>
              <w:rPr>
                <w:rFonts w:hint="default"/>
                <w:sz w:val="24"/>
                <w:szCs w:val="24"/>
              </w:rPr>
            </w:pPr>
            <w:r>
              <w:rPr>
                <w:rFonts w:hint="eastAsia"/>
                <w:sz w:val="24"/>
                <w:szCs w:val="24"/>
                <w:lang w:val="en-US" w:eastAsia="zh-CN"/>
              </w:rPr>
              <w:t>工业</w:t>
            </w:r>
          </w:p>
        </w:tc>
      </w:tr>
    </w:tbl>
    <w:p>
      <w:pPr>
        <w:pStyle w:val="13"/>
        <w:ind w:left="0" w:leftChars="0" w:firstLine="0" w:firstLineChars="0"/>
      </w:pPr>
    </w:p>
    <w:p>
      <w:pPr>
        <w:keepNext/>
        <w:keepLines/>
        <w:numPr>
          <w:ilvl w:val="1"/>
          <w:numId w:val="36"/>
        </w:numPr>
        <w:tabs>
          <w:tab w:val="left" w:pos="0"/>
          <w:tab w:val="left" w:pos="426"/>
          <w:tab w:val="left" w:pos="576"/>
          <w:tab w:val="left" w:pos="786"/>
        </w:tabs>
        <w:spacing w:line="360" w:lineRule="auto"/>
        <w:ind w:left="0" w:firstLine="0"/>
        <w:outlineLvl w:val="1"/>
        <w:rPr>
          <w:rFonts w:ascii="宋体" w:hAnsi="宋体"/>
          <w:b/>
          <w:bCs/>
          <w:sz w:val="28"/>
          <w:szCs w:val="32"/>
        </w:rPr>
      </w:pPr>
      <w:bookmarkStart w:id="158" w:name="_Toc85122593"/>
      <w:bookmarkStart w:id="159" w:name="_Toc10479"/>
      <w:r>
        <w:rPr>
          <w:rFonts w:hint="eastAsia" w:ascii="宋体" w:hAnsi="宋体"/>
          <w:b/>
          <w:bCs/>
          <w:sz w:val="28"/>
          <w:szCs w:val="32"/>
        </w:rPr>
        <w:t>技术参数及要求</w:t>
      </w:r>
      <w:bookmarkEnd w:id="158"/>
      <w:bookmarkEnd w:id="159"/>
    </w:p>
    <w:tbl>
      <w:tblPr>
        <w:tblStyle w:val="42"/>
        <w:tblW w:w="8747"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412"/>
        <w:gridCol w:w="5584"/>
        <w:gridCol w:w="469"/>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bookmarkStart w:id="160" w:name="_Toc85122594"/>
            <w:bookmarkStart w:id="161" w:name="_Toc533672602"/>
            <w:bookmarkStart w:id="162" w:name="_Toc529173741"/>
            <w:r>
              <w:rPr>
                <w:rFonts w:hint="eastAsia"/>
                <w:sz w:val="24"/>
                <w:szCs w:val="24"/>
              </w:rPr>
              <w:t>序号</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名称</w:t>
            </w:r>
          </w:p>
        </w:tc>
        <w:tc>
          <w:tcPr>
            <w:tcW w:w="5584"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技术参数及要求</w:t>
            </w: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单位</w:t>
            </w:r>
          </w:p>
        </w:tc>
        <w:tc>
          <w:tcPr>
            <w:tcW w:w="825"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室内P2全彩屏</w:t>
            </w:r>
          </w:p>
        </w:tc>
        <w:tc>
          <w:tcPr>
            <w:tcW w:w="5584" w:type="dxa"/>
            <w:noWrap w:val="0"/>
            <w:vAlign w:val="center"/>
          </w:tcPr>
          <w:p>
            <w:pPr>
              <w:keepNext w:val="0"/>
              <w:keepLines w:val="0"/>
              <w:suppressLineNumbers w:val="0"/>
              <w:spacing w:before="0" w:beforeAutospacing="0" w:after="0" w:afterAutospacing="0"/>
              <w:ind w:left="0" w:right="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★1.像素间距(mm)：≤2mm，像素密度：≥250000点；</w:t>
            </w:r>
          </w:p>
          <w:p>
            <w:pPr>
              <w:keepNext w:val="0"/>
              <w:keepLines w:val="0"/>
              <w:suppressLineNumbers w:val="0"/>
              <w:spacing w:before="0" w:beforeAutospacing="0" w:after="0" w:afterAutospacing="0"/>
              <w:ind w:left="0" w:right="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★2.显示屏尺寸：宽≥9.92m*高≥3.04m；</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 xml:space="preserve">3.色温误差：色温为6500K时，100%，75%，50%，25%四档电平白场调节色温误差≤200K；                                                                                              </w:t>
            </w:r>
            <w:r>
              <w:rPr>
                <w:rFonts w:hint="eastAsia"/>
                <w:sz w:val="24"/>
                <w:szCs w:val="24"/>
                <w:lang w:eastAsia="zh-CN"/>
              </w:rPr>
              <w:t>▲</w:t>
            </w:r>
            <w:r>
              <w:rPr>
                <w:rFonts w:hint="eastAsia"/>
                <w:sz w:val="24"/>
                <w:szCs w:val="24"/>
              </w:rPr>
              <w:t xml:space="preserve">4.驱动芯片功能：具有列下消隐功能、倍频刷新率提升2/4/8倍、低灰偏色改善；                                    </w:t>
            </w:r>
            <w:r>
              <w:rPr>
                <w:rFonts w:hint="eastAsia"/>
                <w:sz w:val="24"/>
                <w:szCs w:val="24"/>
                <w:lang w:eastAsia="zh-CN"/>
              </w:rPr>
              <w:t>▲</w:t>
            </w:r>
            <w:r>
              <w:rPr>
                <w:rFonts w:hint="eastAsia"/>
                <w:sz w:val="24"/>
                <w:szCs w:val="24"/>
              </w:rPr>
              <w:t xml:space="preserve">5.对比度：≥15000:1；                                            </w:t>
            </w:r>
            <w:r>
              <w:rPr>
                <w:rFonts w:hint="eastAsia"/>
                <w:sz w:val="24"/>
                <w:szCs w:val="24"/>
                <w:lang w:eastAsia="zh-CN"/>
              </w:rPr>
              <w:t>▲</w:t>
            </w:r>
            <w:r>
              <w:rPr>
                <w:rFonts w:hint="eastAsia"/>
                <w:sz w:val="24"/>
                <w:szCs w:val="24"/>
              </w:rPr>
              <w:t xml:space="preserve">6.灰度等级：18bit；                                           </w:t>
            </w:r>
            <w:r>
              <w:rPr>
                <w:rFonts w:hint="eastAsia"/>
                <w:sz w:val="24"/>
                <w:szCs w:val="24"/>
                <w:lang w:eastAsia="zh-CN"/>
              </w:rPr>
              <w:t>▲</w:t>
            </w:r>
            <w:r>
              <w:rPr>
                <w:rFonts w:hint="eastAsia"/>
                <w:sz w:val="24"/>
                <w:szCs w:val="24"/>
              </w:rPr>
              <w:t xml:space="preserve">7.换帧频率：C级，50&amp;60Hz，支持120Hz等3D显示技术；                                          </w:t>
            </w:r>
            <w:r>
              <w:rPr>
                <w:rFonts w:hint="eastAsia"/>
                <w:sz w:val="24"/>
                <w:szCs w:val="24"/>
                <w:lang w:eastAsia="zh-CN"/>
              </w:rPr>
              <w:t>▲</w:t>
            </w:r>
            <w:r>
              <w:rPr>
                <w:rFonts w:hint="eastAsia"/>
                <w:sz w:val="24"/>
                <w:szCs w:val="24"/>
              </w:rPr>
              <w:t xml:space="preserve">8.调节软件设置项：支持鬼影消除、第一扫偏暗消除、低灰偏色补偿、低灰均匀性、低灰横条纹消除、慢速开启、十字架消除、去除坏点、毛毛虫消除、余辉消除、亮度缓慢变亮功能，支持摩尔纹抑制功能，减轻摩尔纹视觉主观效果80％；                                                                                   </w:t>
            </w:r>
            <w:r>
              <w:rPr>
                <w:rFonts w:hint="eastAsia"/>
                <w:sz w:val="24"/>
                <w:szCs w:val="24"/>
                <w:lang w:eastAsia="zh-CN"/>
              </w:rPr>
              <w:t>▲</w:t>
            </w:r>
            <w:r>
              <w:rPr>
                <w:rFonts w:hint="eastAsia"/>
                <w:sz w:val="24"/>
                <w:szCs w:val="24"/>
              </w:rPr>
              <w:t xml:space="preserve">9.衰减率（工作3年）：≤15%；                                 </w:t>
            </w:r>
            <w:r>
              <w:rPr>
                <w:rFonts w:hint="eastAsia"/>
                <w:sz w:val="24"/>
                <w:szCs w:val="24"/>
                <w:lang w:eastAsia="zh-CN"/>
              </w:rPr>
              <w:t>▲</w:t>
            </w:r>
            <w:r>
              <w:rPr>
                <w:rFonts w:hint="eastAsia"/>
                <w:sz w:val="24"/>
                <w:szCs w:val="24"/>
              </w:rPr>
              <w:t xml:space="preserve">10.智能节电功能（黑屏）：具有智能黑屏节电功能，启用智能节电功能可节电45％；                           </w:t>
            </w:r>
            <w:r>
              <w:rPr>
                <w:rFonts w:hint="eastAsia"/>
                <w:sz w:val="24"/>
                <w:szCs w:val="24"/>
                <w:lang w:eastAsia="zh-CN"/>
              </w:rPr>
              <w:t>▲</w:t>
            </w:r>
            <w:r>
              <w:rPr>
                <w:rFonts w:hint="eastAsia"/>
                <w:sz w:val="24"/>
                <w:szCs w:val="24"/>
              </w:rPr>
              <w:t xml:space="preserve">11.低亮高刷：亮度100nit，刷新≥2500Hz，亮度200nit，刷新≥3840Hz；                                           </w:t>
            </w:r>
            <w:r>
              <w:rPr>
                <w:rFonts w:hint="eastAsia"/>
                <w:sz w:val="24"/>
                <w:szCs w:val="24"/>
                <w:lang w:eastAsia="zh-CN"/>
              </w:rPr>
              <w:t>▲</w:t>
            </w:r>
            <w:r>
              <w:rPr>
                <w:rFonts w:hint="eastAsia"/>
                <w:sz w:val="24"/>
                <w:szCs w:val="24"/>
              </w:rPr>
              <w:t xml:space="preserve">12.反光率：屏体正面为黑色亚光处理，发光率≤1％；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 xml:space="preserve">13.画面延时：≤500ns；                             </w:t>
            </w:r>
            <w:r>
              <w:rPr>
                <w:rFonts w:hint="eastAsia"/>
                <w:sz w:val="24"/>
                <w:szCs w:val="24"/>
                <w:lang w:eastAsia="zh-CN"/>
              </w:rPr>
              <w:t>▲</w:t>
            </w:r>
            <w:r>
              <w:rPr>
                <w:rFonts w:hint="eastAsia"/>
                <w:sz w:val="24"/>
                <w:szCs w:val="24"/>
              </w:rPr>
              <w:t xml:space="preserve">14.为确保屛体在不同环境温度的影响下仍可正常工作使用，要求投标人所投LED显示屛必须是通过温度85℃、湿度85％RH的恒定湿热环境运行测试；                     </w:t>
            </w:r>
            <w:r>
              <w:rPr>
                <w:rFonts w:hint="eastAsia"/>
                <w:sz w:val="24"/>
                <w:szCs w:val="24"/>
                <w:lang w:eastAsia="zh-CN"/>
              </w:rPr>
              <w:t>▲</w:t>
            </w:r>
            <w:r>
              <w:rPr>
                <w:rFonts w:hint="eastAsia"/>
                <w:sz w:val="24"/>
                <w:szCs w:val="24"/>
              </w:rPr>
              <w:t xml:space="preserve">15.为了保证工作场所的无噪音影响，LED显示屏必须通过噪声实验，在方圆1m内，噪音声压须≤6.5dBA；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 xml:space="preserve">16.人眼视觉舒适度（VICO指数）：0≤VICO＜1，满足CSA035.2-2017标准；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注：以上带</w:t>
            </w:r>
            <w:r>
              <w:rPr>
                <w:rFonts w:hint="eastAsia"/>
                <w:sz w:val="24"/>
                <w:szCs w:val="24"/>
                <w:lang w:eastAsia="zh-CN"/>
              </w:rPr>
              <w:t>▲</w:t>
            </w:r>
            <w:r>
              <w:rPr>
                <w:rFonts w:hint="eastAsia"/>
                <w:sz w:val="24"/>
                <w:szCs w:val="24"/>
              </w:rPr>
              <w:t xml:space="preserve">需提供具有CMA 或 ILAC-MRA 或 CNAS 标识的检测报告。                                                  </w:t>
            </w: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c>
          <w:tcPr>
            <w:tcW w:w="825" w:type="dxa"/>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30</w:t>
            </w:r>
            <w:r>
              <w:rPr>
                <w:rFonts w:hint="eastAsia"/>
                <w:sz w:val="24"/>
                <w:szCs w:val="24"/>
              </w:rPr>
              <w:t>.</w:t>
            </w:r>
            <w:r>
              <w:rPr>
                <w:rFonts w:hint="eastAsia"/>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2</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室内P1.86全彩副屏</w:t>
            </w:r>
          </w:p>
        </w:tc>
        <w:tc>
          <w:tcPr>
            <w:tcW w:w="5584" w:type="dxa"/>
            <w:noWrap w:val="0"/>
            <w:vAlign w:val="center"/>
          </w:tcPr>
          <w:p>
            <w:pPr>
              <w:keepNext w:val="0"/>
              <w:keepLines w:val="0"/>
              <w:suppressLineNumbers w:val="0"/>
              <w:snapToGrid w:val="0"/>
              <w:spacing w:before="0" w:beforeAutospacing="0" w:after="0" w:afterAutospacing="0" w:line="312" w:lineRule="auto"/>
              <w:ind w:left="0" w:right="0"/>
              <w:jc w:val="left"/>
              <w:rPr>
                <w:rFonts w:hint="eastAsia" w:asciiTheme="minorEastAsia" w:hAnsiTheme="minorEastAsia" w:eastAsiaTheme="minorEastAsia" w:cstheme="minorBidi"/>
                <w:color w:val="auto"/>
                <w:kern w:val="0"/>
                <w:sz w:val="24"/>
                <w:szCs w:val="24"/>
                <w:lang w:val="zh-CN" w:eastAsia="zh-CN" w:bidi="ar-SA"/>
              </w:rPr>
            </w:pPr>
            <w:r>
              <w:rPr>
                <w:rFonts w:hint="eastAsia" w:asciiTheme="minorEastAsia" w:hAnsiTheme="minorEastAsia" w:eastAsiaTheme="minorEastAsia" w:cstheme="minorBidi"/>
                <w:color w:val="auto"/>
                <w:kern w:val="0"/>
                <w:sz w:val="24"/>
                <w:szCs w:val="24"/>
                <w:lang w:val="zh-CN" w:eastAsia="zh-CN" w:bidi="ar-SA"/>
              </w:rPr>
              <w:t>★1.像素间距(mm)：≤1.86mm，像素密度：≥288906点；</w:t>
            </w:r>
          </w:p>
          <w:p>
            <w:pPr>
              <w:keepNext w:val="0"/>
              <w:keepLines w:val="0"/>
              <w:suppressLineNumbers w:val="0"/>
              <w:snapToGrid w:val="0"/>
              <w:spacing w:before="0" w:beforeAutospacing="0" w:after="0" w:afterAutospacing="0" w:line="312" w:lineRule="auto"/>
              <w:ind w:left="0" w:right="0"/>
              <w:jc w:val="left"/>
              <w:rPr>
                <w:rFonts w:hint="eastAsia"/>
                <w:lang w:val="zh-CN" w:eastAsia="zh-CN"/>
              </w:rPr>
            </w:pPr>
            <w:r>
              <w:rPr>
                <w:rFonts w:hint="eastAsia" w:asciiTheme="minorEastAsia" w:hAnsiTheme="minorEastAsia" w:eastAsiaTheme="minorEastAsia" w:cstheme="minorBidi"/>
                <w:color w:val="auto"/>
                <w:kern w:val="0"/>
                <w:sz w:val="24"/>
                <w:szCs w:val="24"/>
                <w:lang w:val="zh-CN" w:eastAsia="zh-CN" w:bidi="ar-SA"/>
              </w:rPr>
              <w:t>★2.显示屏尺寸：宽≥2.24m*高≥1.92m；</w:t>
            </w:r>
            <w:bookmarkStart w:id="256" w:name="_GoBack"/>
            <w:bookmarkEnd w:id="256"/>
          </w:p>
          <w:p>
            <w:pPr>
              <w:keepNext w:val="0"/>
              <w:keepLines w:val="0"/>
              <w:suppressLineNumbers w:val="0"/>
              <w:spacing w:before="0" w:beforeAutospacing="0" w:after="0" w:afterAutospacing="0"/>
              <w:ind w:left="0" w:right="0"/>
              <w:jc w:val="left"/>
              <w:rPr>
                <w:rFonts w:hint="eastAsia"/>
                <w:sz w:val="24"/>
                <w:szCs w:val="24"/>
              </w:rPr>
            </w:pPr>
            <w:r>
              <w:rPr>
                <w:rFonts w:hint="eastAsia" w:asciiTheme="minorEastAsia" w:hAnsiTheme="minorEastAsia" w:eastAsiaTheme="minorEastAsia" w:cstheme="minorBidi"/>
                <w:color w:val="auto"/>
                <w:kern w:val="0"/>
                <w:sz w:val="24"/>
                <w:szCs w:val="24"/>
                <w:lang w:val="zh-CN" w:eastAsia="zh-CN" w:bidi="ar-SA"/>
              </w:rPr>
              <w:t xml:space="preserve">▲3.色温误差：色温为6500K时，100%，75%，50%，25%四档电平白场调节色温误差≤200K；   </w:t>
            </w:r>
            <w:r>
              <w:rPr>
                <w:rFonts w:hint="eastAsia"/>
                <w:sz w:val="24"/>
                <w:szCs w:val="24"/>
              </w:rPr>
              <w:t xml:space="preserve">                                                                                             </w:t>
            </w:r>
            <w:r>
              <w:rPr>
                <w:rFonts w:hint="eastAsia"/>
                <w:sz w:val="24"/>
                <w:szCs w:val="24"/>
                <w:lang w:eastAsia="zh-CN"/>
              </w:rPr>
              <w:t>▲</w:t>
            </w:r>
            <w:r>
              <w:rPr>
                <w:rFonts w:hint="eastAsia"/>
                <w:sz w:val="24"/>
                <w:szCs w:val="24"/>
              </w:rPr>
              <w:t xml:space="preserve">4.驱动芯片功能：具有列下消隐功能、倍频刷新率提升2/4/8倍、低灰偏色改善；                                    </w:t>
            </w:r>
            <w:r>
              <w:rPr>
                <w:rFonts w:hint="eastAsia"/>
                <w:sz w:val="24"/>
                <w:szCs w:val="24"/>
                <w:lang w:eastAsia="zh-CN"/>
              </w:rPr>
              <w:t>▲</w:t>
            </w:r>
            <w:r>
              <w:rPr>
                <w:rFonts w:hint="eastAsia"/>
                <w:sz w:val="24"/>
                <w:szCs w:val="24"/>
              </w:rPr>
              <w:t xml:space="preserve">5.对比度：≥15000:1；                                            </w:t>
            </w:r>
            <w:r>
              <w:rPr>
                <w:rFonts w:hint="eastAsia"/>
                <w:sz w:val="24"/>
                <w:szCs w:val="24"/>
                <w:lang w:eastAsia="zh-CN"/>
              </w:rPr>
              <w:t>▲</w:t>
            </w:r>
            <w:r>
              <w:rPr>
                <w:rFonts w:hint="eastAsia"/>
                <w:sz w:val="24"/>
                <w:szCs w:val="24"/>
              </w:rPr>
              <w:t xml:space="preserve">6.灰度等级：18bit；                                           </w:t>
            </w:r>
            <w:r>
              <w:rPr>
                <w:rFonts w:hint="eastAsia"/>
                <w:sz w:val="24"/>
                <w:szCs w:val="24"/>
                <w:lang w:eastAsia="zh-CN"/>
              </w:rPr>
              <w:t>▲</w:t>
            </w:r>
            <w:r>
              <w:rPr>
                <w:rFonts w:hint="eastAsia"/>
                <w:sz w:val="24"/>
                <w:szCs w:val="24"/>
              </w:rPr>
              <w:t xml:space="preserve">7.换帧频率：C级，50&amp;60Hz，支持120Hz等3D显示技术；                                          </w:t>
            </w:r>
            <w:r>
              <w:rPr>
                <w:rFonts w:hint="eastAsia" w:asciiTheme="minorEastAsia" w:hAnsiTheme="minorEastAsia" w:eastAsiaTheme="minorEastAsia" w:cstheme="minorBidi"/>
                <w:color w:val="auto"/>
                <w:kern w:val="0"/>
                <w:sz w:val="24"/>
                <w:szCs w:val="24"/>
                <w:lang w:val="zh-CN" w:eastAsia="zh-CN" w:bidi="ar-SA"/>
              </w:rPr>
              <w:t>▲</w:t>
            </w:r>
            <w:r>
              <w:rPr>
                <w:rFonts w:hint="eastAsia"/>
                <w:sz w:val="24"/>
                <w:szCs w:val="24"/>
              </w:rPr>
              <w:t xml:space="preserve">8.调节软件设置项：支持鬼影消除、第一扫偏暗消除、低灰偏色补偿、低灰均匀性、低灰横条纹消除、慢速开启、十字架消除、去除坏点、毛毛虫消除、余辉消除、亮度缓慢变亮功能，支持摩尔纹抑制功能，减轻摩尔纹视觉主观效果80％；                                                                                   </w:t>
            </w:r>
            <w:r>
              <w:rPr>
                <w:rFonts w:hint="eastAsia"/>
                <w:sz w:val="24"/>
                <w:szCs w:val="24"/>
                <w:lang w:eastAsia="zh-CN"/>
              </w:rPr>
              <w:t>▲</w:t>
            </w:r>
            <w:r>
              <w:rPr>
                <w:rFonts w:hint="eastAsia"/>
                <w:sz w:val="24"/>
                <w:szCs w:val="24"/>
              </w:rPr>
              <w:t xml:space="preserve">9.衰减率（工作3年）：≤15%；                                 </w:t>
            </w:r>
            <w:r>
              <w:rPr>
                <w:rFonts w:hint="eastAsia"/>
                <w:sz w:val="24"/>
                <w:szCs w:val="24"/>
                <w:lang w:eastAsia="zh-CN"/>
              </w:rPr>
              <w:t>▲</w:t>
            </w:r>
            <w:r>
              <w:rPr>
                <w:rFonts w:hint="eastAsia"/>
                <w:sz w:val="24"/>
                <w:szCs w:val="24"/>
              </w:rPr>
              <w:t xml:space="preserve">10.智能节电功能（黑屏）：具有智能黑屏节电功能，启用智能节电功能可节电45％；                           </w:t>
            </w:r>
            <w:r>
              <w:rPr>
                <w:rFonts w:hint="eastAsia"/>
                <w:sz w:val="24"/>
                <w:szCs w:val="24"/>
                <w:lang w:eastAsia="zh-CN"/>
              </w:rPr>
              <w:t>▲</w:t>
            </w:r>
            <w:r>
              <w:rPr>
                <w:rFonts w:hint="eastAsia"/>
                <w:sz w:val="24"/>
                <w:szCs w:val="24"/>
              </w:rPr>
              <w:t xml:space="preserve">11.低亮高刷：亮度100nit，刷新≥2500Hz，亮度200nit，刷新≥3840Hz；                                           </w:t>
            </w:r>
            <w:r>
              <w:rPr>
                <w:rFonts w:hint="eastAsia" w:asciiTheme="minorEastAsia" w:hAnsiTheme="minorEastAsia" w:eastAsiaTheme="minorEastAsia" w:cstheme="minorBidi"/>
                <w:color w:val="auto"/>
                <w:kern w:val="0"/>
                <w:sz w:val="24"/>
                <w:szCs w:val="24"/>
                <w:lang w:val="zh-CN" w:eastAsia="zh-CN" w:bidi="ar-SA"/>
              </w:rPr>
              <w:t>▲</w:t>
            </w:r>
            <w:r>
              <w:rPr>
                <w:rFonts w:hint="eastAsia"/>
                <w:sz w:val="24"/>
                <w:szCs w:val="24"/>
              </w:rPr>
              <w:t xml:space="preserve">12.反光率：屏体正面为黑色亚光处理，发光率≤1％；             </w:t>
            </w:r>
            <w:r>
              <w:rPr>
                <w:rFonts w:hint="eastAsia"/>
                <w:sz w:val="24"/>
                <w:szCs w:val="24"/>
                <w:lang w:eastAsia="zh-CN"/>
              </w:rPr>
              <w:t>▲</w:t>
            </w:r>
            <w:r>
              <w:rPr>
                <w:rFonts w:hint="eastAsia"/>
                <w:sz w:val="24"/>
                <w:szCs w:val="24"/>
              </w:rPr>
              <w:t xml:space="preserve">13.画面延时：≤500ns；                             </w:t>
            </w:r>
            <w:r>
              <w:rPr>
                <w:rFonts w:hint="eastAsia"/>
                <w:sz w:val="24"/>
                <w:szCs w:val="24"/>
                <w:lang w:eastAsia="zh-CN"/>
              </w:rPr>
              <w:t>▲</w:t>
            </w:r>
            <w:r>
              <w:rPr>
                <w:rFonts w:hint="eastAsia"/>
                <w:sz w:val="24"/>
                <w:szCs w:val="24"/>
              </w:rPr>
              <w:t xml:space="preserve">14.为确保屛体在不同环境温度的影响下仍可正常工作使用，要求投标人所投LED显示屛必须是通过温度85℃、湿度85％RH的恒定湿热环境运行测试；                     </w:t>
            </w:r>
            <w:r>
              <w:rPr>
                <w:rFonts w:hint="eastAsia"/>
                <w:sz w:val="24"/>
                <w:szCs w:val="24"/>
                <w:lang w:eastAsia="zh-CN"/>
              </w:rPr>
              <w:t>▲</w:t>
            </w:r>
            <w:r>
              <w:rPr>
                <w:rFonts w:hint="eastAsia"/>
                <w:sz w:val="24"/>
                <w:szCs w:val="24"/>
              </w:rPr>
              <w:t xml:space="preserve">15.为了保证工作场所的无噪音影响，LED显示屏必须通过噪声实验，在方圆1m内，噪音声压须≤6.5dBA；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16.人眼视觉舒适度（VICO指数）：0≤VICO＜1，满足CSA035.2-2017标准；                                 注：以上带</w:t>
            </w:r>
            <w:r>
              <w:rPr>
                <w:rFonts w:hint="eastAsia"/>
                <w:sz w:val="24"/>
                <w:szCs w:val="24"/>
                <w:lang w:eastAsia="zh-CN"/>
              </w:rPr>
              <w:t>▲</w:t>
            </w:r>
            <w:r>
              <w:rPr>
                <w:rFonts w:hint="eastAsia"/>
                <w:sz w:val="24"/>
                <w:szCs w:val="24"/>
              </w:rPr>
              <w:t xml:space="preserve">需提供具有CMA 或 ILAC-MRA 或 CNAS 标识的检测报告。                                              </w:t>
            </w:r>
          </w:p>
        </w:tc>
        <w:tc>
          <w:tcPr>
            <w:tcW w:w="469" w:type="dxa"/>
            <w:noWrap w:val="0"/>
            <w:vAlign w:val="center"/>
          </w:tcPr>
          <w:p>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eastAsia="zh-CN"/>
              </w:rPr>
              <w:t>套</w:t>
            </w:r>
          </w:p>
        </w:tc>
        <w:tc>
          <w:tcPr>
            <w:tcW w:w="825" w:type="dxa"/>
            <w:noWrap w:val="0"/>
            <w:vAlign w:val="center"/>
          </w:tcPr>
          <w:p>
            <w:pPr>
              <w:keepNext w:val="0"/>
              <w:keepLines w:val="0"/>
              <w:suppressLineNumbers w:val="0"/>
              <w:spacing w:before="0" w:beforeAutospacing="0" w:after="0" w:afterAutospacing="0"/>
              <w:ind w:left="0" w:right="0"/>
              <w:jc w:val="center"/>
              <w:rPr>
                <w:rFonts w:hint="eastAsia" w:eastAsia="宋体"/>
                <w:sz w:val="24"/>
                <w:szCs w:val="24"/>
                <w:lang w:eastAsia="zh-CN"/>
              </w:rPr>
            </w:pPr>
            <w:r>
              <w:rPr>
                <w:rFonts w:hint="eastAsia"/>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视频处理器</w:t>
            </w:r>
          </w:p>
        </w:tc>
        <w:tc>
          <w:tcPr>
            <w:tcW w:w="5584" w:type="dxa"/>
            <w:noWrap w:val="0"/>
            <w:vAlign w:val="center"/>
          </w:tcPr>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1.不少于以下视频信号输入2路DP，2路DVI，3路HDMI，1路SDI带环出；</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2.不少于以下视频信号输出；16路网口输出，整机分辨率可达960万像素，支持自定义分辨率，最宽可达16000像素，最高可达8000像素；1路DVI输出；</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 xml:space="preserve">3.具备4K输入信号接口，可支持3840×2160@60Hz或7680×1080@60Hz分辨率的输入；                                      4.设备在进行两个信号或两个模式间的切换时，无黑屏、停顿、闪烁等现象  ；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 xml:space="preserve">5.可对任意一路输入信号进行亮度、对比度调节，实现信号的独立调节 ；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 xml:space="preserve">6.支持8画面显示：可在屏幕上显示8个画面，所有输入信号均可同时在屏幕上显示  ；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7.能够对图像进行实时处理，使得显示屏在播放普通SDR图像素材时可以实现HDR显示效果；</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 xml:space="preserve">8.支持画面预监，可同时监视当前输出画面内容及预览所有输入信号的画面内容；                                     </w:t>
            </w:r>
            <w:r>
              <w:rPr>
                <w:rFonts w:hint="eastAsia"/>
                <w:sz w:val="24"/>
                <w:szCs w:val="24"/>
                <w:lang w:eastAsia="zh-CN"/>
              </w:rPr>
              <w:t>▲</w:t>
            </w:r>
            <w:r>
              <w:rPr>
                <w:rFonts w:hint="eastAsia"/>
                <w:sz w:val="24"/>
                <w:szCs w:val="24"/>
              </w:rPr>
              <w:t xml:space="preserve">9.支持信号热备份功能，对于任意一路输入信号， 可指定另一路输入信 号作为其备份信号， 在播放该信号时， 若该信号发生丢失， 备份信号会自动切换至屏幕上 。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注：以上带</w:t>
            </w:r>
            <w:r>
              <w:rPr>
                <w:rFonts w:hint="eastAsia"/>
                <w:sz w:val="24"/>
                <w:szCs w:val="24"/>
                <w:lang w:eastAsia="zh-CN"/>
              </w:rPr>
              <w:t>▲</w:t>
            </w:r>
            <w:r>
              <w:rPr>
                <w:rFonts w:hint="eastAsia"/>
                <w:sz w:val="24"/>
                <w:szCs w:val="24"/>
              </w:rPr>
              <w:t>需提供具有CMA 或 ILAC-MRA 或 CNAS 标识的检测报告。</w:t>
            </w: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台</w:t>
            </w:r>
          </w:p>
        </w:tc>
        <w:tc>
          <w:tcPr>
            <w:tcW w:w="825"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4</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数据接收卡</w:t>
            </w:r>
          </w:p>
        </w:tc>
        <w:tc>
          <w:tcPr>
            <w:tcW w:w="5584" w:type="dxa"/>
            <w:noWrap w:val="0"/>
            <w:vAlign w:val="top"/>
          </w:tcPr>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1.单卡12个标准HUB75E接口，输出24组RGB数据；</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2.支持向导式设置，用户根据软件提示即可完成操作，便于完成模组的点亮；</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3.支持高灰高刷、低亮高灰显示，可消除某行偏暗、低灰偏红、鬼影等细节问题；</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4.为保障屏幕色彩一致性，支持亮度、色度逐点校正，提供校正低灰补偿，保障低灰显示效果；</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 xml:space="preserve">5.支持智能串线功能，无需了解接收卡串线顺序，用户可根据屏幕闪烁提示，在软件上完成映射设置；                                        </w:t>
            </w:r>
            <w:r>
              <w:rPr>
                <w:rFonts w:hint="eastAsia"/>
                <w:sz w:val="24"/>
                <w:szCs w:val="24"/>
                <w:lang w:eastAsia="zh-CN"/>
              </w:rPr>
              <w:t>▲</w:t>
            </w:r>
            <w:r>
              <w:rPr>
                <w:rFonts w:hint="eastAsia"/>
                <w:sz w:val="24"/>
                <w:szCs w:val="24"/>
              </w:rPr>
              <w:t xml:space="preserve">6.支持一键修复，维护更换卡时无需对其重新调试，可一键恢复参数设置；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7.可对产品网络通信状态进行实时检测，反馈数据包总数、错误包数及网线连接顺序、在线接收卡数量等数据；</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8.具备色彩还原技术，能够针对LED屏显示特性，真实地展现图像原本色彩；</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lang w:eastAsia="zh-CN"/>
              </w:rPr>
              <w:t>▲</w:t>
            </w:r>
            <w:r>
              <w:rPr>
                <w:rFonts w:hint="eastAsia"/>
                <w:sz w:val="24"/>
                <w:szCs w:val="24"/>
              </w:rPr>
              <w:t>9.支持任意倍频技术，能够有效消除手机拍摄时出现的扫描线。                                               注：以上带</w:t>
            </w:r>
            <w:r>
              <w:rPr>
                <w:rFonts w:hint="eastAsia"/>
                <w:sz w:val="24"/>
                <w:szCs w:val="24"/>
                <w:lang w:eastAsia="zh-CN"/>
              </w:rPr>
              <w:t>▲</w:t>
            </w:r>
            <w:r>
              <w:rPr>
                <w:rFonts w:hint="eastAsia"/>
                <w:sz w:val="24"/>
                <w:szCs w:val="24"/>
              </w:rPr>
              <w:t xml:space="preserve">需提供具有CMA 或 ILAC-MRA 或 CNAS 标识的检测报告。                                               </w:t>
            </w: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张</w:t>
            </w:r>
          </w:p>
        </w:tc>
        <w:tc>
          <w:tcPr>
            <w:tcW w:w="825" w:type="dxa"/>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5</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供电电源</w:t>
            </w:r>
          </w:p>
        </w:tc>
        <w:tc>
          <w:tcPr>
            <w:tcW w:w="5584" w:type="dxa"/>
            <w:noWrap w:val="0"/>
            <w:vAlign w:val="center"/>
          </w:tcPr>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1.采用4.5V40A电源，为保证屏体供电稳定性，电源最大带载为一拖四。</w:t>
            </w: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台</w:t>
            </w:r>
          </w:p>
        </w:tc>
        <w:tc>
          <w:tcPr>
            <w:tcW w:w="825" w:type="dxa"/>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6</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播控软件</w:t>
            </w:r>
          </w:p>
        </w:tc>
        <w:tc>
          <w:tcPr>
            <w:tcW w:w="5584" w:type="dxa"/>
            <w:noWrap w:val="0"/>
            <w:vAlign w:val="center"/>
          </w:tcPr>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1.支持8K超高清视频硬件解码，流程播放高分辨率视频，降低电脑CPU占用率 ；                                 2.具有良好适应性，输出图像帧率1-60Hz任意调整；</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3.支持视频、音频、图像、文字、Flash、Gif、、Microsoft Office文件（Excel、Word、PowerPoint）等各种媒体文件的播放；支持流媒体、网页、本地桌面镜像、外部视频信号的播放。</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4.支持多级抗锯齿处理，消除图像输出边缘凹凸锯齿现象；</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5.支持视频转折播放，实现超长分辨率显示屏的点对点；</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6.支持画面旋转功能，可以将画面进行360°任意旋转。</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7.支持画面透明度调节、羽化特效、蒙版、镜像显示等特效；</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8.支持图像亮度、对比度、饱和度设置；</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9.支持场景预存、读取和自动轮巡，不限制场景保存数量；</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 xml:space="preserve">10.支持场景、画面淡入淡出无缝切换，无黑屏、花屏、闪屏等不良现象。                   </w:t>
            </w: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套</w:t>
            </w:r>
          </w:p>
        </w:tc>
        <w:tc>
          <w:tcPr>
            <w:tcW w:w="825"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7</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电缆线</w:t>
            </w:r>
          </w:p>
        </w:tc>
        <w:tc>
          <w:tcPr>
            <w:tcW w:w="5584" w:type="dxa"/>
            <w:noWrap w:val="0"/>
            <w:vAlign w:val="top"/>
          </w:tcPr>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1.名称：铜芯电缆；</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2.型号、规格：WDZB-YJY-3*4。</w:t>
            </w:r>
          </w:p>
          <w:p>
            <w:pPr>
              <w:keepNext w:val="0"/>
              <w:keepLines w:val="0"/>
              <w:suppressLineNumbers w:val="0"/>
              <w:spacing w:before="0" w:beforeAutospacing="0" w:after="0" w:afterAutospacing="0"/>
              <w:ind w:left="0" w:right="0"/>
              <w:jc w:val="left"/>
              <w:rPr>
                <w:rFonts w:hint="eastAsia"/>
                <w:sz w:val="24"/>
                <w:szCs w:val="24"/>
              </w:rPr>
            </w:pP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米</w:t>
            </w:r>
          </w:p>
        </w:tc>
        <w:tc>
          <w:tcPr>
            <w:tcW w:w="825"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8</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配电柜</w:t>
            </w:r>
          </w:p>
        </w:tc>
        <w:tc>
          <w:tcPr>
            <w:tcW w:w="5584" w:type="dxa"/>
            <w:noWrap w:val="0"/>
            <w:vAlign w:val="center"/>
          </w:tcPr>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 xml:space="preserve">1.30KW 手动自动双通道电柜标准型；                            </w:t>
            </w:r>
          </w:p>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2.配电柜内装有空气开关、电流延时器 交流接触器、电压互感器、电源防雷器及微电脑时控器等。</w:t>
            </w: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套</w:t>
            </w:r>
          </w:p>
        </w:tc>
        <w:tc>
          <w:tcPr>
            <w:tcW w:w="825"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9</w:t>
            </w:r>
          </w:p>
        </w:tc>
        <w:tc>
          <w:tcPr>
            <w:tcW w:w="1412"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钢结构</w:t>
            </w:r>
          </w:p>
        </w:tc>
        <w:tc>
          <w:tcPr>
            <w:tcW w:w="5584" w:type="dxa"/>
            <w:noWrap w:val="0"/>
            <w:vAlign w:val="top"/>
          </w:tcPr>
          <w:p>
            <w:pPr>
              <w:keepNext w:val="0"/>
              <w:keepLines w:val="0"/>
              <w:suppressLineNumbers w:val="0"/>
              <w:spacing w:before="0" w:beforeAutospacing="0" w:after="0" w:afterAutospacing="0"/>
              <w:ind w:left="0" w:right="0"/>
              <w:jc w:val="left"/>
              <w:rPr>
                <w:rFonts w:hint="eastAsia"/>
                <w:sz w:val="24"/>
                <w:szCs w:val="24"/>
              </w:rPr>
            </w:pPr>
            <w:r>
              <w:rPr>
                <w:rFonts w:hint="eastAsia"/>
                <w:sz w:val="24"/>
                <w:szCs w:val="24"/>
              </w:rPr>
              <w:t>1.结构用钢应符合《GB700-88》规定的Q235要求，保证其抗拉强度、伸长率及热镀锌定制等。</w:t>
            </w:r>
          </w:p>
          <w:p>
            <w:pPr>
              <w:keepNext w:val="0"/>
              <w:keepLines w:val="0"/>
              <w:suppressLineNumbers w:val="0"/>
              <w:spacing w:before="0" w:beforeAutospacing="0" w:after="0" w:afterAutospacing="0"/>
              <w:ind w:left="0" w:right="0"/>
              <w:jc w:val="left"/>
              <w:rPr>
                <w:rFonts w:hint="eastAsia"/>
                <w:sz w:val="24"/>
                <w:szCs w:val="24"/>
              </w:rPr>
            </w:pPr>
          </w:p>
        </w:tc>
        <w:tc>
          <w:tcPr>
            <w:tcW w:w="469" w:type="dxa"/>
            <w:noWrap w:val="0"/>
            <w:vAlign w:val="center"/>
          </w:tcPr>
          <w:p>
            <w:pPr>
              <w:keepNext w:val="0"/>
              <w:keepLines w:val="0"/>
              <w:suppressLineNumbers w:val="0"/>
              <w:spacing w:before="0" w:beforeAutospacing="0" w:after="0" w:afterAutospacing="0"/>
              <w:ind w:left="0" w:right="0"/>
              <w:jc w:val="center"/>
              <w:rPr>
                <w:rFonts w:hint="eastAsia"/>
                <w:sz w:val="24"/>
                <w:szCs w:val="24"/>
              </w:rPr>
            </w:pPr>
            <w:r>
              <w:rPr>
                <w:rFonts w:hint="eastAsia"/>
                <w:sz w:val="24"/>
                <w:szCs w:val="24"/>
              </w:rPr>
              <w:t>㎡</w:t>
            </w:r>
          </w:p>
        </w:tc>
        <w:tc>
          <w:tcPr>
            <w:tcW w:w="825" w:type="dxa"/>
            <w:noWrap w:val="0"/>
            <w:vAlign w:val="center"/>
          </w:tcPr>
          <w:p>
            <w:pPr>
              <w:keepNext w:val="0"/>
              <w:keepLines w:val="0"/>
              <w:suppressLineNumbers w:val="0"/>
              <w:spacing w:before="0" w:beforeAutospacing="0" w:after="0" w:afterAutospacing="0"/>
              <w:ind w:left="0" w:right="0"/>
              <w:jc w:val="center"/>
              <w:rPr>
                <w:rFonts w:hint="default" w:eastAsia="宋体"/>
                <w:sz w:val="24"/>
                <w:szCs w:val="24"/>
                <w:lang w:val="en-US" w:eastAsia="zh-CN"/>
              </w:rPr>
            </w:pPr>
            <w:r>
              <w:rPr>
                <w:rFonts w:hint="eastAsia"/>
                <w:sz w:val="24"/>
                <w:szCs w:val="24"/>
                <w:lang w:val="en-US" w:eastAsia="zh-CN"/>
              </w:rPr>
              <w:t>38.76</w:t>
            </w:r>
          </w:p>
        </w:tc>
      </w:tr>
    </w:tbl>
    <w:p>
      <w:pPr>
        <w:keepNext/>
        <w:keepLines/>
        <w:numPr>
          <w:ilvl w:val="0"/>
          <w:numId w:val="0"/>
        </w:numPr>
        <w:tabs>
          <w:tab w:val="left" w:pos="0"/>
          <w:tab w:val="left" w:pos="426"/>
          <w:tab w:val="left" w:pos="576"/>
          <w:tab w:val="left" w:pos="786"/>
        </w:tabs>
        <w:spacing w:line="360" w:lineRule="auto"/>
        <w:ind w:leftChars="0"/>
        <w:outlineLvl w:val="1"/>
        <w:rPr>
          <w:rFonts w:hint="eastAsia" w:eastAsia="宋体" w:cs="Times New Roman" w:asciiTheme="minorEastAsia" w:hAnsiTheme="minorEastAsia"/>
          <w:b/>
          <w:sz w:val="28"/>
          <w:szCs w:val="28"/>
        </w:rPr>
      </w:pPr>
      <w:bookmarkStart w:id="163" w:name="_Toc11532"/>
      <w:r>
        <w:rPr>
          <w:rFonts w:hint="eastAsia" w:eastAsia="宋体" w:cs="Times New Roman" w:asciiTheme="minorEastAsia" w:hAnsiTheme="minorEastAsia"/>
          <w:b/>
          <w:sz w:val="28"/>
          <w:szCs w:val="28"/>
        </w:rPr>
        <w:t>注：参数中涉及到固定尺寸、重量的允许±5%的偏差。</w:t>
      </w:r>
      <w:bookmarkEnd w:id="163"/>
    </w:p>
    <w:p>
      <w:pPr>
        <w:keepNext/>
        <w:keepLines/>
        <w:numPr>
          <w:ilvl w:val="0"/>
          <w:numId w:val="0"/>
        </w:numPr>
        <w:tabs>
          <w:tab w:val="left" w:pos="0"/>
          <w:tab w:val="left" w:pos="426"/>
          <w:tab w:val="left" w:pos="576"/>
          <w:tab w:val="left" w:pos="786"/>
        </w:tabs>
        <w:spacing w:line="360" w:lineRule="auto"/>
        <w:ind w:leftChars="0"/>
        <w:outlineLvl w:val="1"/>
        <w:rPr>
          <w:rFonts w:hint="eastAsia" w:hAnsi="宋体" w:cs="仿宋"/>
          <w:color w:val="000000"/>
          <w:sz w:val="24"/>
          <w:szCs w:val="24"/>
        </w:rPr>
      </w:pPr>
      <w:bookmarkStart w:id="164" w:name="_Toc18769"/>
      <w:r>
        <w:rPr>
          <w:rFonts w:hint="eastAsia" w:ascii="宋体" w:hAnsi="宋体"/>
          <w:b/>
          <w:bCs/>
          <w:sz w:val="28"/>
          <w:szCs w:val="28"/>
        </w:rPr>
        <w:t>核心产品</w:t>
      </w:r>
      <w:bookmarkEnd w:id="160"/>
      <w:r>
        <w:rPr>
          <w:rFonts w:hint="eastAsia" w:ascii="宋体" w:hAnsi="宋体"/>
          <w:b/>
          <w:bCs/>
          <w:sz w:val="28"/>
          <w:szCs w:val="28"/>
          <w:lang w:eastAsia="zh-CN"/>
        </w:rPr>
        <w:t>：</w:t>
      </w:r>
      <w:r>
        <w:rPr>
          <w:rFonts w:hint="eastAsia" w:eastAsia="宋体" w:cs="Times New Roman" w:asciiTheme="minorEastAsia" w:hAnsiTheme="minorEastAsia"/>
          <w:b/>
          <w:sz w:val="28"/>
          <w:szCs w:val="28"/>
        </w:rPr>
        <w:t>室内P2全彩屏</w:t>
      </w:r>
      <w:bookmarkEnd w:id="164"/>
    </w:p>
    <w:p>
      <w:pPr>
        <w:wordWrap w:val="0"/>
        <w:rPr>
          <w:rFonts w:hint="eastAsia" w:eastAsia="宋体" w:cs="Times New Roman" w:asciiTheme="minorEastAsia" w:hAnsiTheme="minorEastAsia"/>
          <w:b/>
          <w:sz w:val="28"/>
          <w:szCs w:val="28"/>
        </w:rPr>
      </w:pPr>
      <w:r>
        <w:rPr>
          <w:rFonts w:hint="eastAsia" w:hAnsi="宋体" w:cs="仿宋"/>
          <w:b/>
          <w:color w:val="000000"/>
          <w:sz w:val="24"/>
          <w:szCs w:val="24"/>
          <w:shd w:val="clear" w:color="auto" w:fill="FFFFFF"/>
          <w:lang w:bidi="ar"/>
        </w:rPr>
        <w:t>说明：</w:t>
      </w:r>
      <w:r>
        <w:rPr>
          <w:rFonts w:hint="eastAsia" w:eastAsia="宋体" w:cs="Times New Roman" w:asciiTheme="minorEastAsia" w:hAnsiTheme="minorEastAsia"/>
          <w:b/>
          <w:sz w:val="28"/>
          <w:szCs w:val="28"/>
        </w:rPr>
        <w:t>▲条款为本项目重要参数，按要求提供相关证明材料。</w:t>
      </w:r>
    </w:p>
    <w:p>
      <w:pPr>
        <w:keepNext/>
        <w:keepLines/>
        <w:numPr>
          <w:ilvl w:val="1"/>
          <w:numId w:val="36"/>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65" w:name="_Toc85122595"/>
      <w:bookmarkStart w:id="166" w:name="_Toc16607"/>
      <w:r>
        <w:rPr>
          <w:rFonts w:hint="eastAsia" w:ascii="宋体" w:hAnsi="宋体"/>
          <w:b/>
          <w:bCs/>
          <w:sz w:val="28"/>
          <w:szCs w:val="28"/>
        </w:rPr>
        <w:t>商务</w:t>
      </w:r>
      <w:r>
        <w:rPr>
          <w:rFonts w:ascii="宋体" w:hAnsi="宋体"/>
          <w:b/>
          <w:bCs/>
          <w:sz w:val="28"/>
          <w:szCs w:val="28"/>
        </w:rPr>
        <w:t>要求</w:t>
      </w:r>
      <w:bookmarkEnd w:id="165"/>
      <w:bookmarkEnd w:id="166"/>
    </w:p>
    <w:p>
      <w:pPr>
        <w:pStyle w:val="5"/>
        <w:numPr>
          <w:ilvl w:val="2"/>
          <w:numId w:val="36"/>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交货时间</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pStyle w:val="13"/>
        <w:widowControl/>
        <w:adjustRightInd w:val="0"/>
        <w:snapToGrid w:val="0"/>
        <w:spacing w:line="460" w:lineRule="exact"/>
        <w:ind w:firstLine="480"/>
        <w:rPr>
          <w:rFonts w:hint="eastAsia" w:ascii="宋体" w:hAnsi="宋体" w:eastAsia="宋体" w:cs="宋体"/>
          <w:bCs/>
          <w:color w:val="000000"/>
          <w:kern w:val="0"/>
          <w:sz w:val="28"/>
          <w:szCs w:val="28"/>
          <w:lang w:val="en-US" w:eastAsia="zh-CN" w:bidi="ar-SA"/>
        </w:rPr>
      </w:pPr>
      <w:r>
        <w:rPr>
          <w:rFonts w:hint="eastAsia" w:ascii="宋体" w:hAnsi="宋体" w:eastAsia="宋体" w:cs="宋体"/>
          <w:bCs/>
          <w:color w:val="000000"/>
          <w:kern w:val="0"/>
          <w:sz w:val="28"/>
          <w:szCs w:val="28"/>
          <w:lang w:val="en-US" w:eastAsia="zh-CN" w:bidi="ar-SA"/>
        </w:rPr>
        <w:t>合同签订后10个工作日内完成交货、安装、调试，并交付采购人验收使用。</w:t>
      </w:r>
    </w:p>
    <w:p>
      <w:pPr>
        <w:pStyle w:val="5"/>
        <w:numPr>
          <w:ilvl w:val="2"/>
          <w:numId w:val="36"/>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交货地点</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pStyle w:val="13"/>
        <w:widowControl/>
        <w:adjustRightInd w:val="0"/>
        <w:snapToGrid w:val="0"/>
        <w:spacing w:line="460" w:lineRule="exact"/>
        <w:ind w:firstLine="480"/>
        <w:rPr>
          <w:rFonts w:hint="eastAsia" w:ascii="宋体" w:hAnsi="宋体" w:eastAsia="宋体" w:cs="宋体"/>
          <w:bCs/>
          <w:color w:val="000000"/>
          <w:kern w:val="0"/>
          <w:sz w:val="28"/>
          <w:szCs w:val="28"/>
          <w:lang w:val="en-US" w:eastAsia="zh-CN" w:bidi="ar-SA"/>
        </w:rPr>
      </w:pPr>
      <w:r>
        <w:rPr>
          <w:rFonts w:hint="eastAsia" w:ascii="宋体" w:hAnsi="宋体" w:eastAsia="宋体" w:cs="宋体"/>
          <w:bCs/>
          <w:color w:val="000000"/>
          <w:kern w:val="0"/>
          <w:sz w:val="28"/>
          <w:szCs w:val="28"/>
          <w:lang w:val="en-US" w:eastAsia="zh-CN" w:bidi="ar-SA"/>
        </w:rPr>
        <w:t>采购人指定地点。</w:t>
      </w:r>
    </w:p>
    <w:p>
      <w:pPr>
        <w:pStyle w:val="5"/>
        <w:numPr>
          <w:ilvl w:val="2"/>
          <w:numId w:val="36"/>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付款进度和</w:t>
      </w:r>
      <w:r>
        <w:rPr>
          <w:color w:val="auto"/>
        </w:rPr>
        <w:t>支付方式</w:t>
      </w:r>
      <w:r>
        <w:rPr>
          <w:rFonts w:hint="eastAsia"/>
          <w:color w:val="auto"/>
        </w:rPr>
        <w:t>（说明：按照招标文件3.3.5承诺函内容进行承诺）</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eastAsia="宋体" w:cs="宋体"/>
          <w:bCs/>
          <w:color w:val="000000"/>
          <w:kern w:val="0"/>
          <w:sz w:val="28"/>
          <w:szCs w:val="28"/>
          <w:lang w:val="zh-CN" w:eastAsia="zh-CN"/>
        </w:rPr>
        <w:t>合同签订后，采购人支付合同金额的30%，经采购人验收合格结束后，支付合同金额的70%。每次款项的支付前提均为采购人收到供应商出具的正规发票后，在10个工作日内办理款项支付事宜。</w:t>
      </w:r>
    </w:p>
    <w:p>
      <w:pPr>
        <w:pStyle w:val="5"/>
        <w:numPr>
          <w:ilvl w:val="2"/>
          <w:numId w:val="36"/>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rPr>
        <w:t>验收标准</w:t>
      </w:r>
      <w:r>
        <w:rPr>
          <w:color w:val="auto"/>
        </w:rPr>
        <w:t>和方法</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1）</w:t>
      </w:r>
      <w:r>
        <w:rPr>
          <w:rFonts w:hint="eastAsia" w:ascii="宋体" w:hAnsi="宋体" w:eastAsia="宋体" w:cs="宋体"/>
          <w:bCs/>
          <w:color w:val="000000"/>
          <w:kern w:val="0"/>
          <w:sz w:val="28"/>
          <w:szCs w:val="28"/>
          <w:lang w:eastAsia="zh-CN"/>
        </w:rPr>
        <w:t xml:space="preserve">验收办法：中标供应商与采购人应按照《财政部关于进一步加强政府采购需求和履约验收管理的指导意见》（财库〔2016〕205号）、并参照《四川省政府采购项目需求论证和履约验收管理办法》（川财采〔2015〕32号）的规定进行验收。 </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2）</w:t>
      </w:r>
      <w:r>
        <w:rPr>
          <w:rFonts w:hint="eastAsia" w:ascii="宋体" w:hAnsi="宋体" w:eastAsia="宋体" w:cs="宋体"/>
          <w:bCs/>
          <w:color w:val="000000"/>
          <w:kern w:val="0"/>
          <w:sz w:val="28"/>
          <w:szCs w:val="28"/>
          <w:lang w:eastAsia="zh-CN"/>
        </w:rPr>
        <w:t>验收标准：按国家有关规定、招标文件的技术服务要求、中标供应商的投标文件以及合同约定标准进行验收。</w:t>
      </w:r>
    </w:p>
    <w:p>
      <w:pPr>
        <w:pStyle w:val="5"/>
        <w:numPr>
          <w:ilvl w:val="2"/>
          <w:numId w:val="36"/>
        </w:numPr>
        <w:tabs>
          <w:tab w:val="left" w:pos="0"/>
          <w:tab w:val="left" w:pos="426"/>
          <w:tab w:val="left" w:pos="576"/>
          <w:tab w:val="left" w:pos="786"/>
        </w:tabs>
        <w:rPr>
          <w:rFonts w:hint="eastAsia" w:ascii="宋体" w:hAnsi="宋体" w:eastAsia="宋体" w:cs="宋体"/>
          <w:color w:val="auto"/>
          <w:lang w:val="zh-CN"/>
        </w:rPr>
      </w:pPr>
      <w:r>
        <w:rPr>
          <w:rFonts w:hint="eastAsia" w:ascii="宋体" w:hAnsi="宋体" w:eastAsia="宋体" w:cs="宋体"/>
          <w:color w:val="auto"/>
        </w:rPr>
        <w:t>★质保期（说明：按照招标文件3.3.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lang w:eastAsia="zh-CN"/>
        </w:rPr>
        <w:t>贰年</w:t>
      </w:r>
    </w:p>
    <w:p>
      <w:pPr>
        <w:pStyle w:val="5"/>
        <w:numPr>
          <w:ilvl w:val="2"/>
          <w:numId w:val="36"/>
        </w:numPr>
        <w:tabs>
          <w:tab w:val="left" w:pos="0"/>
          <w:tab w:val="left" w:pos="426"/>
          <w:tab w:val="left" w:pos="576"/>
          <w:tab w:val="left" w:pos="786"/>
        </w:tabs>
        <w:rPr>
          <w:color w:val="auto"/>
        </w:rPr>
      </w:pPr>
      <w:r>
        <w:rPr>
          <w:rFonts w:hint="eastAsia" w:ascii="宋体" w:hAnsi="宋体" w:eastAsia="宋体" w:cs="宋体"/>
          <w:color w:val="auto"/>
        </w:rPr>
        <w:t>★</w:t>
      </w:r>
      <w:r>
        <w:rPr>
          <w:rFonts w:hint="eastAsia"/>
          <w:color w:val="auto"/>
          <w:lang w:eastAsia="zh-CN"/>
        </w:rPr>
        <w:t>产品质量要求</w:t>
      </w:r>
      <w:r>
        <w:rPr>
          <w:rFonts w:hint="eastAsia" w:ascii="宋体" w:hAnsi="宋体" w:eastAsia="宋体" w:cs="宋体"/>
          <w:color w:val="auto"/>
        </w:rPr>
        <w:t>（说明：按照招标文件3.3.</w:t>
      </w:r>
      <w:r>
        <w:rPr>
          <w:rFonts w:hint="eastAsia" w:ascii="宋体" w:hAnsi="宋体" w:eastAsia="宋体" w:cs="宋体"/>
          <w:color w:val="auto"/>
          <w:lang w:val="en-US" w:eastAsia="zh-CN"/>
        </w:rPr>
        <w:t>5</w:t>
      </w:r>
      <w:r>
        <w:rPr>
          <w:rFonts w:hint="eastAsia" w:ascii="宋体" w:hAnsi="宋体" w:eastAsia="宋体" w:cs="宋体"/>
          <w:color w:val="auto"/>
        </w:rPr>
        <w:t>承诺函内容进行承诺</w:t>
      </w:r>
      <w:r>
        <w:rPr>
          <w:rFonts w:hint="eastAsia" w:ascii="宋体" w:hAnsi="宋体" w:eastAsia="宋体" w:cs="宋体"/>
          <w:color w:val="auto"/>
          <w:lang w:eastAsia="zh-CN"/>
        </w:rPr>
        <w:t>）</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1）</w:t>
      </w:r>
      <w:r>
        <w:rPr>
          <w:rFonts w:hint="eastAsia" w:ascii="宋体" w:hAnsi="宋体" w:eastAsia="宋体" w:cs="宋体"/>
          <w:bCs/>
          <w:color w:val="000000"/>
          <w:kern w:val="0"/>
          <w:sz w:val="28"/>
          <w:szCs w:val="28"/>
          <w:lang w:eastAsia="zh-CN"/>
        </w:rPr>
        <w:t>供应商须提供全新的货物（含零部件、配件等），表面无划伤、无碰撞痕迹，且权属清楚，不得侵害他人的知识产权。所有产品均须符合国家产品的有关质量标准，交货时必须附有该批商品的质量证明书、产品合格证、产品质量检验报告原件等。</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2）</w:t>
      </w:r>
      <w:r>
        <w:rPr>
          <w:rFonts w:hint="eastAsia" w:ascii="宋体" w:hAnsi="宋体" w:eastAsia="宋体" w:cs="宋体"/>
          <w:bCs/>
          <w:color w:val="000000"/>
          <w:kern w:val="0"/>
          <w:sz w:val="28"/>
          <w:szCs w:val="28"/>
          <w:lang w:eastAsia="zh-CN"/>
        </w:rPr>
        <w:t>货物必须符合或优于国家（行业）标准，以及本项目招标文件的质量要求和技术指标与出厂标准。</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3）</w:t>
      </w:r>
      <w:r>
        <w:rPr>
          <w:rFonts w:hint="eastAsia" w:ascii="宋体" w:hAnsi="宋体" w:eastAsia="宋体" w:cs="宋体"/>
          <w:bCs/>
          <w:color w:val="000000"/>
          <w:kern w:val="0"/>
          <w:sz w:val="28"/>
          <w:szCs w:val="28"/>
          <w:lang w:eastAsia="zh-CN"/>
        </w:rPr>
        <w:t>货物制造质量出现问题，供应商应负责三包（包修、包换、包退），费用由供应商负担，采购人有权实地了解和检查供应商的货物质量和供货进度。</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4）</w:t>
      </w:r>
      <w:r>
        <w:rPr>
          <w:rFonts w:hint="eastAsia" w:ascii="宋体" w:hAnsi="宋体" w:eastAsia="宋体" w:cs="宋体"/>
          <w:bCs/>
          <w:color w:val="000000"/>
          <w:kern w:val="0"/>
          <w:sz w:val="28"/>
          <w:szCs w:val="28"/>
          <w:lang w:eastAsia="zh-CN"/>
        </w:rPr>
        <w:t xml:space="preserve">货到现场后交付采购人使用前由于供应商运输、装卸、保管不当造成的质量问题，采购人不负责修理，费用由供应商负担。 </w:t>
      </w:r>
    </w:p>
    <w:p>
      <w:pPr>
        <w:pStyle w:val="2"/>
        <w:ind w:firstLine="560" w:firstLineChars="200"/>
        <w:rPr>
          <w:rFonts w:hint="default"/>
          <w:lang w:val="en-US"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5）LED显示屏钢结构制作应满足（行业）标准，钢结构制作需持有特种操作证人员现场焊接，制作。</w:t>
      </w:r>
    </w:p>
    <w:p>
      <w:pPr>
        <w:pStyle w:val="5"/>
        <w:numPr>
          <w:ilvl w:val="2"/>
          <w:numId w:val="36"/>
        </w:numPr>
        <w:tabs>
          <w:tab w:val="left" w:pos="0"/>
          <w:tab w:val="left" w:pos="426"/>
          <w:tab w:val="left" w:pos="576"/>
          <w:tab w:val="left" w:pos="786"/>
        </w:tabs>
        <w:rPr>
          <w:color w:val="auto"/>
        </w:rPr>
      </w:pPr>
      <w:r>
        <w:rPr>
          <w:rFonts w:hint="eastAsia"/>
          <w:color w:val="auto"/>
        </w:rPr>
        <w:t>售后服务</w:t>
      </w:r>
      <w:r>
        <w:rPr>
          <w:rFonts w:hint="eastAsia" w:ascii="宋体" w:hAnsi="宋体" w:eastAsia="宋体" w:cs="宋体"/>
          <w:color w:val="auto"/>
        </w:rPr>
        <w:t>要求</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1）</w:t>
      </w:r>
      <w:r>
        <w:rPr>
          <w:rFonts w:hint="eastAsia" w:ascii="宋体" w:hAnsi="宋体" w:eastAsia="宋体" w:cs="宋体"/>
          <w:bCs/>
          <w:color w:val="000000"/>
          <w:kern w:val="0"/>
          <w:sz w:val="28"/>
          <w:szCs w:val="28"/>
          <w:lang w:eastAsia="zh-CN"/>
        </w:rPr>
        <w:t>终身零配件供应：供应商应保证设备停产后的备件供应保证3年，并以优惠的价格提供该设备所需的维修零配件。</w:t>
      </w:r>
    </w:p>
    <w:p>
      <w:pPr>
        <w:ind w:firstLine="560" w:firstLineChars="200"/>
        <w:rPr>
          <w:rFonts w:hint="eastAsia" w:ascii="宋体" w:hAnsi="宋体" w:eastAsia="宋体" w:cs="宋体"/>
          <w:bCs/>
          <w:color w:val="000000"/>
          <w:kern w:val="0"/>
          <w:sz w:val="28"/>
          <w:szCs w:val="28"/>
          <w:lang w:eastAsia="zh-CN"/>
        </w:rPr>
      </w:pPr>
      <w:r>
        <w:rPr>
          <w:rFonts w:hint="eastAsia" w:ascii="宋体" w:hAnsi="宋体" w:cs="宋体"/>
          <w:bCs/>
          <w:color w:val="000000"/>
          <w:kern w:val="0"/>
          <w:sz w:val="28"/>
          <w:szCs w:val="28"/>
          <w:lang w:eastAsia="zh-CN"/>
        </w:rPr>
        <w:t>（</w:t>
      </w:r>
      <w:r>
        <w:rPr>
          <w:rFonts w:hint="eastAsia" w:ascii="宋体" w:hAnsi="宋体" w:cs="宋体"/>
          <w:bCs/>
          <w:color w:val="000000"/>
          <w:kern w:val="0"/>
          <w:sz w:val="28"/>
          <w:szCs w:val="28"/>
          <w:lang w:val="en-US" w:eastAsia="zh-CN"/>
        </w:rPr>
        <w:t>2）</w:t>
      </w:r>
      <w:r>
        <w:rPr>
          <w:rFonts w:hint="eastAsia" w:ascii="宋体" w:hAnsi="宋体" w:eastAsia="宋体" w:cs="宋体"/>
          <w:bCs/>
          <w:color w:val="000000"/>
          <w:kern w:val="0"/>
          <w:sz w:val="28"/>
          <w:szCs w:val="28"/>
          <w:lang w:eastAsia="zh-CN"/>
        </w:rPr>
        <w:t xml:space="preserve">服务响应时间：接到采购方服务通知后，1小时内电话响应，如远程不能解决，4小时内供应商应派相关工程师至现场解决问题。 </w:t>
      </w:r>
    </w:p>
    <w:p>
      <w:pPr>
        <w:keepNext/>
        <w:keepLines/>
        <w:numPr>
          <w:ilvl w:val="1"/>
          <w:numId w:val="36"/>
        </w:numPr>
        <w:tabs>
          <w:tab w:val="left" w:pos="0"/>
          <w:tab w:val="left" w:pos="426"/>
          <w:tab w:val="left" w:pos="576"/>
          <w:tab w:val="left" w:pos="786"/>
        </w:tabs>
        <w:spacing w:line="360" w:lineRule="auto"/>
        <w:ind w:left="0" w:firstLine="0"/>
        <w:outlineLvl w:val="1"/>
        <w:rPr>
          <w:rFonts w:ascii="宋体" w:hAnsi="宋体"/>
          <w:b/>
          <w:bCs/>
          <w:sz w:val="28"/>
          <w:szCs w:val="28"/>
        </w:rPr>
      </w:pPr>
      <w:bookmarkStart w:id="167" w:name="_Toc85122596"/>
      <w:bookmarkStart w:id="168" w:name="_Toc25231"/>
      <w:r>
        <w:rPr>
          <w:rFonts w:hint="eastAsia" w:ascii="宋体" w:hAnsi="宋体"/>
          <w:b/>
          <w:bCs/>
          <w:sz w:val="28"/>
          <w:szCs w:val="28"/>
        </w:rPr>
        <w:t>最高限价</w:t>
      </w:r>
      <w:bookmarkEnd w:id="167"/>
      <w:bookmarkEnd w:id="168"/>
    </w:p>
    <w:p>
      <w:pPr>
        <w:spacing w:line="360" w:lineRule="auto"/>
        <w:ind w:firstLine="551" w:firstLineChars="196"/>
        <w:rPr>
          <w:rFonts w:ascii="宋体" w:hAnsi="宋体"/>
          <w:b/>
          <w:sz w:val="28"/>
          <w:szCs w:val="28"/>
          <w:lang w:val="zh-CN"/>
        </w:rPr>
      </w:pPr>
      <w:r>
        <w:rPr>
          <w:rFonts w:hint="eastAsia" w:ascii="宋体" w:hAnsi="宋体"/>
          <w:b/>
          <w:sz w:val="28"/>
          <w:szCs w:val="28"/>
        </w:rPr>
        <w:t>★本项目投标</w:t>
      </w:r>
      <w:r>
        <w:rPr>
          <w:rFonts w:ascii="宋体" w:hAnsi="宋体"/>
          <w:b/>
          <w:sz w:val="28"/>
          <w:szCs w:val="28"/>
        </w:rPr>
        <w:t>报价</w:t>
      </w:r>
      <w:r>
        <w:rPr>
          <w:rFonts w:hint="eastAsia" w:ascii="宋体" w:hAnsi="宋体"/>
          <w:b/>
          <w:sz w:val="28"/>
          <w:szCs w:val="28"/>
        </w:rPr>
        <w:t>最高限价为人民币</w:t>
      </w:r>
      <w:r>
        <w:rPr>
          <w:rFonts w:hint="eastAsia" w:ascii="宋体" w:hAnsi="宋体"/>
          <w:b/>
          <w:sz w:val="28"/>
          <w:szCs w:val="28"/>
          <w:lang w:val="en-US" w:eastAsia="zh-CN"/>
        </w:rPr>
        <w:t>49万</w:t>
      </w:r>
      <w:r>
        <w:rPr>
          <w:rFonts w:hint="eastAsia" w:ascii="宋体" w:hAnsi="宋体"/>
          <w:b/>
          <w:sz w:val="28"/>
          <w:szCs w:val="28"/>
          <w:lang w:val="zh-CN"/>
        </w:rPr>
        <w:t>元。</w:t>
      </w:r>
      <w:r>
        <w:rPr>
          <w:rFonts w:hint="eastAsia" w:ascii="宋体" w:hAnsi="宋体" w:cstheme="minorBidi"/>
          <w:b/>
          <w:sz w:val="28"/>
          <w:szCs w:val="28"/>
          <w:lang w:val="zh-CN"/>
        </w:rPr>
        <w:t>如投标人投标报价高于最高限价的则其投标文件将按无效投标文件处理。</w:t>
      </w:r>
    </w:p>
    <w:p>
      <w:pPr>
        <w:keepNext/>
        <w:keepLines/>
        <w:numPr>
          <w:ilvl w:val="1"/>
          <w:numId w:val="36"/>
        </w:numPr>
        <w:tabs>
          <w:tab w:val="left" w:pos="0"/>
          <w:tab w:val="left" w:pos="426"/>
          <w:tab w:val="left" w:pos="576"/>
          <w:tab w:val="left" w:pos="786"/>
        </w:tabs>
        <w:spacing w:line="360" w:lineRule="auto"/>
        <w:ind w:left="0" w:firstLine="0"/>
        <w:outlineLvl w:val="1"/>
        <w:rPr>
          <w:rFonts w:ascii="宋体" w:hAnsi="宋体"/>
          <w:b/>
          <w:sz w:val="28"/>
          <w:szCs w:val="28"/>
        </w:rPr>
      </w:pPr>
      <w:bookmarkStart w:id="169" w:name="_Toc85122597"/>
      <w:bookmarkStart w:id="170" w:name="_Toc23585"/>
      <w:r>
        <w:rPr>
          <w:rFonts w:hint="eastAsia" w:ascii="宋体" w:hAnsi="宋体"/>
          <w:b/>
          <w:sz w:val="28"/>
          <w:szCs w:val="28"/>
        </w:rPr>
        <w:t>其他要求</w:t>
      </w:r>
      <w:bookmarkEnd w:id="169"/>
      <w:bookmarkEnd w:id="170"/>
    </w:p>
    <w:p>
      <w:pPr>
        <w:pStyle w:val="152"/>
        <w:numPr>
          <w:ilvl w:val="0"/>
          <w:numId w:val="37"/>
        </w:numPr>
        <w:tabs>
          <w:tab w:val="left" w:pos="1134"/>
        </w:tabs>
        <w:snapToGrid w:val="0"/>
        <w:spacing w:line="360" w:lineRule="auto"/>
        <w:ind w:left="0" w:firstLine="567" w:firstLineChars="0"/>
        <w:rPr>
          <w:rFonts w:asciiTheme="minorEastAsia" w:hAnsiTheme="minorEastAsia"/>
          <w:b/>
          <w:sz w:val="28"/>
          <w:szCs w:val="28"/>
        </w:rPr>
      </w:pPr>
      <w:r>
        <w:rPr>
          <w:rFonts w:hint="eastAsia" w:asciiTheme="minorEastAsia" w:hAnsiTheme="minorEastAsia"/>
          <w:b/>
          <w:sz w:val="28"/>
          <w:szCs w:val="28"/>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pStyle w:val="152"/>
        <w:numPr>
          <w:ilvl w:val="0"/>
          <w:numId w:val="37"/>
        </w:numPr>
        <w:tabs>
          <w:tab w:val="left" w:pos="1134"/>
        </w:tabs>
        <w:snapToGrid w:val="0"/>
        <w:spacing w:line="360" w:lineRule="auto"/>
        <w:ind w:left="11" w:firstLine="629" w:firstLineChars="0"/>
        <w:rPr>
          <w:rFonts w:asciiTheme="minorEastAsia" w:hAnsiTheme="minorEastAsia"/>
          <w:b/>
          <w:sz w:val="28"/>
          <w:szCs w:val="28"/>
        </w:rPr>
      </w:pPr>
      <w:r>
        <w:rPr>
          <w:rFonts w:hint="eastAsia" w:asciiTheme="minorEastAsia" w:hAnsiTheme="minorEastAsia"/>
          <w:b/>
          <w:sz w:val="28"/>
          <w:szCs w:val="28"/>
        </w:rPr>
        <w:t>★投标人为本项目提供的所有产品、辅材中属于《国家强制性产品认证目录》范围内产品的，均通过国家强制性产品认证并取得认证证书。（说明：按照招标文件3.3.</w:t>
      </w:r>
      <w:r>
        <w:rPr>
          <w:rFonts w:hint="eastAsia" w:asciiTheme="minorEastAsia" w:hAnsiTheme="minorEastAsia"/>
          <w:b/>
          <w:sz w:val="28"/>
          <w:szCs w:val="28"/>
          <w:lang w:val="en-US" w:eastAsia="zh-CN"/>
        </w:rPr>
        <w:t>5</w:t>
      </w:r>
      <w:r>
        <w:rPr>
          <w:rFonts w:hint="eastAsia" w:asciiTheme="minorEastAsia" w:hAnsiTheme="minorEastAsia"/>
          <w:b/>
          <w:sz w:val="28"/>
          <w:szCs w:val="28"/>
        </w:rPr>
        <w:t>承诺函内容进行承诺）</w:t>
      </w:r>
    </w:p>
    <w:p>
      <w:pPr>
        <w:pStyle w:val="152"/>
        <w:numPr>
          <w:ilvl w:val="0"/>
          <w:numId w:val="37"/>
        </w:numPr>
        <w:tabs>
          <w:tab w:val="left" w:pos="1134"/>
        </w:tabs>
        <w:snapToGrid w:val="0"/>
        <w:spacing w:line="360" w:lineRule="auto"/>
        <w:ind w:left="11" w:firstLine="629" w:firstLineChars="0"/>
        <w:rPr>
          <w:rFonts w:asciiTheme="minorEastAsia" w:hAnsiTheme="minorEastAsia"/>
          <w:b/>
          <w:sz w:val="28"/>
          <w:szCs w:val="28"/>
        </w:rPr>
      </w:pPr>
      <w:r>
        <w:rPr>
          <w:rFonts w:hint="eastAsia" w:asciiTheme="minorEastAsia" w:hAnsiTheme="minorEastAsia"/>
          <w:b/>
          <w:sz w:val="28"/>
          <w:szCs w:val="28"/>
        </w:rPr>
        <w:t>★投标人为本项目提供的所有产品、辅材符合现行的强制性国家相关标准、行业标准。（说明：按照招标文件3.3.</w:t>
      </w:r>
      <w:r>
        <w:rPr>
          <w:rFonts w:hint="eastAsia" w:asciiTheme="minorEastAsia" w:hAnsiTheme="minorEastAsia"/>
          <w:b/>
          <w:sz w:val="28"/>
          <w:szCs w:val="28"/>
          <w:lang w:val="en-US" w:eastAsia="zh-CN"/>
        </w:rPr>
        <w:t>5</w:t>
      </w:r>
      <w:r>
        <w:rPr>
          <w:rFonts w:hint="eastAsia" w:asciiTheme="minorEastAsia" w:hAnsiTheme="minorEastAsia"/>
          <w:b/>
          <w:sz w:val="28"/>
          <w:szCs w:val="28"/>
        </w:rPr>
        <w:t>承诺函内容进行承诺）</w:t>
      </w:r>
    </w:p>
    <w:bookmarkEnd w:id="161"/>
    <w:bookmarkEnd w:id="162"/>
    <w:p>
      <w:pPr>
        <w:spacing w:line="360" w:lineRule="auto"/>
        <w:ind w:firstLine="562" w:firstLineChars="200"/>
        <w:rPr>
          <w:rFonts w:ascii="宋体" w:hAnsi="宋体" w:cs="宋体"/>
          <w:b/>
          <w:color w:val="000000"/>
          <w:sz w:val="28"/>
          <w:szCs w:val="28"/>
        </w:rPr>
      </w:pPr>
      <w:r>
        <w:rPr>
          <w:rFonts w:hint="eastAsia" w:ascii="宋体" w:hAnsi="宋体" w:cs="宋体"/>
          <w:b/>
          <w:color w:val="000000"/>
          <w:sz w:val="28"/>
          <w:szCs w:val="28"/>
        </w:rPr>
        <w:t>招标文件第四章技术、商务要求及其他要求中加“★”号的条款为招标文件的实质性要求，不得有负偏离，否则按无效投标文件处理。</w:t>
      </w:r>
    </w:p>
    <w:p>
      <w:pPr>
        <w:pStyle w:val="120"/>
        <w:numPr>
          <w:ilvl w:val="0"/>
          <w:numId w:val="38"/>
        </w:numPr>
        <w:tabs>
          <w:tab w:val="left" w:pos="1134"/>
        </w:tabs>
        <w:spacing w:before="156" w:beforeLines="0" w:afterLines="0" w:line="360" w:lineRule="auto"/>
        <w:ind w:left="0" w:right="210" w:firstLine="562"/>
        <w:jc w:val="both"/>
        <w:rPr>
          <w:rFonts w:ascii="宋体" w:hAnsi="宋体"/>
          <w:b/>
          <w:bCs/>
          <w:spacing w:val="-20"/>
          <w:kern w:val="44"/>
          <w:sz w:val="32"/>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1" w:name="_Toc11383"/>
      <w:r>
        <w:rPr>
          <w:rFonts w:hint="eastAsia" w:ascii="宋体" w:hAnsi="宋体"/>
          <w:b/>
          <w:bCs/>
          <w:spacing w:val="-20"/>
          <w:kern w:val="44"/>
          <w:sz w:val="32"/>
          <w:szCs w:val="32"/>
        </w:rPr>
        <w:t>资格性审查</w:t>
      </w:r>
      <w:bookmarkEnd w:id="171"/>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w:t>
      </w:r>
      <w:r>
        <w:rPr>
          <w:rFonts w:hint="eastAsia" w:ascii="宋体" w:hAnsi="宋体"/>
          <w:sz w:val="28"/>
          <w:szCs w:val="28"/>
          <w:lang w:eastAsia="zh-CN"/>
        </w:rPr>
        <w:t>区交易中心</w:t>
      </w:r>
      <w:r>
        <w:rPr>
          <w:rFonts w:hint="eastAsia" w:ascii="宋体" w:hAnsi="宋体"/>
          <w:sz w:val="28"/>
          <w:szCs w:val="28"/>
        </w:rPr>
        <w:t>出具的</w:t>
      </w:r>
      <w:r>
        <w:rPr>
          <w:rFonts w:hint="eastAsia" w:ascii="宋体" w:hAnsi="宋体"/>
          <w:b/>
          <w:sz w:val="28"/>
          <w:szCs w:val="28"/>
        </w:rPr>
        <w:t>《新都区政府采购项目供应商参与及保证金交纳情况表》或投标人递交的投标保函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将以电子邮件形式通知各投标人。资格性审查标准见下表：</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highlight w:val="none"/>
              </w:rPr>
            </w:pPr>
            <w:r>
              <w:rPr>
                <w:rFonts w:hint="default"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highlight w:val="none"/>
              </w:rPr>
            </w:pPr>
            <w:r>
              <w:rPr>
                <w:rFonts w:hint="eastAsia"/>
                <w:sz w:val="20"/>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highlight w:val="none"/>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rPr>
              <w:t>①</w:t>
            </w:r>
            <w:r>
              <w:rPr>
                <w:rFonts w:hint="eastAsia"/>
                <w:sz w:val="20"/>
              </w:rPr>
              <w:t>营业执照或法人登记证或其他证明材料载明有期限的，应在有效期限内；</w:t>
            </w:r>
            <w:r>
              <w:rPr>
                <w:rFonts w:hint="eastAsia" w:ascii="宋体" w:hAnsi="宋体"/>
                <w:sz w:val="20"/>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default"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投标人具有良好的商业信誉的书面声明材料。【说明：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rPr>
              <w:t>①</w:t>
            </w:r>
            <w:r>
              <w:rPr>
                <w:rFonts w:hint="eastAsia"/>
                <w:sz w:val="20"/>
              </w:rPr>
              <w:t>按第</w:t>
            </w:r>
            <w:r>
              <w:rPr>
                <w:rFonts w:hint="default"/>
                <w:sz w:val="20"/>
              </w:rPr>
              <w:t>3</w:t>
            </w:r>
            <w:r>
              <w:rPr>
                <w:rFonts w:hint="eastAsia"/>
                <w:sz w:val="20"/>
              </w:rPr>
              <w:t>章的内容及要求提供书面声明材料；</w:t>
            </w:r>
            <w:r>
              <w:rPr>
                <w:rFonts w:hint="eastAsia" w:ascii="宋体" w:hAnsi="宋体"/>
                <w:sz w:val="20"/>
              </w:rPr>
              <w:t>②供应商参加政府采购活动前三年内，在经营活动中没有重大违法记录</w:t>
            </w:r>
            <w:r>
              <w:rPr>
                <w:rFonts w:hint="eastAsia"/>
                <w:sz w:val="20"/>
              </w:rPr>
              <w:t>。】</w:t>
            </w:r>
          </w:p>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rPr>
              <w:t>①</w:t>
            </w:r>
            <w:r>
              <w:rPr>
                <w:rFonts w:hint="eastAsia"/>
                <w:sz w:val="20"/>
              </w:rPr>
              <w:t>投标人未列入失信被执行人、重大税收违法案件当事人名单、政府采购严重违法失信行为记录名单；</w:t>
            </w:r>
            <w:r>
              <w:rPr>
                <w:rFonts w:hint="eastAsia" w:ascii="宋体" w:hAnsi="宋体"/>
                <w:sz w:val="20"/>
              </w:rPr>
              <w:t>②</w:t>
            </w:r>
            <w:r>
              <w:rPr>
                <w:rFonts w:hint="eastAsia"/>
                <w:sz w:val="20"/>
              </w:rPr>
              <w:t>按第</w:t>
            </w:r>
            <w:r>
              <w:rPr>
                <w:rFonts w:hint="default"/>
                <w:sz w:val="20"/>
              </w:rPr>
              <w:t>3</w:t>
            </w:r>
            <w:r>
              <w:rPr>
                <w:rFonts w:hint="eastAsia"/>
                <w:sz w:val="20"/>
              </w:rPr>
              <w:t>章的内容及要求提供书面声明材料。】</w:t>
            </w:r>
          </w:p>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投标人未处于被行政部门禁止参与政府采购活动的期限内。【说明：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在行贿犯罪信息查询期限内，投标人及其现任法定代表人、主要负责人没有行贿犯罪记录的书面声明材料。【说明：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1"/>
              </w:rPr>
              <w:t>负责人为同一人或者存在直接控股、管理关系的不同投标人未同时参加本项目书面声明材料。【说明：</w:t>
            </w:r>
            <w:r>
              <w:rPr>
                <w:rFonts w:hint="eastAsia" w:ascii="宋体" w:hAnsi="宋体"/>
                <w:sz w:val="20"/>
              </w:rPr>
              <w:t>①</w:t>
            </w:r>
            <w:r>
              <w:rPr>
                <w:rFonts w:hint="eastAsia"/>
                <w:sz w:val="21"/>
              </w:rPr>
              <w:t>按招标文件3.2.2声明内容提供书面声明材料；</w:t>
            </w:r>
            <w:r>
              <w:rPr>
                <w:rFonts w:hint="eastAsia" w:ascii="宋体" w:hAnsi="宋体"/>
                <w:sz w:val="20"/>
              </w:rPr>
              <w:t>②</w:t>
            </w:r>
            <w:r>
              <w:rPr>
                <w:rFonts w:hint="eastAsia"/>
                <w:sz w:val="21"/>
              </w:rPr>
              <w:t>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采购人对投标人履行合同所必须的设备和专业技术能力无其他特殊要求，投标人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Calibri" w:hAnsi="Calibri" w:eastAsia="宋体" w:cs="Times New Roman"/>
                <w:sz w:val="20"/>
                <w:szCs w:val="22"/>
              </w:rPr>
            </w:pPr>
            <w:r>
              <w:rPr>
                <w:rFonts w:hint="eastAsia"/>
                <w:sz w:val="20"/>
              </w:rPr>
              <w:t>采购人对法律、行政法规规定的其他条件无其他特殊要求，投标人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default"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default"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宋体" w:hAnsi="宋体" w:eastAsia="宋体" w:cs="Times New Roman"/>
                <w:sz w:val="20"/>
                <w:szCs w:val="28"/>
              </w:rPr>
              <w:t>符合招标文件“</w:t>
            </w:r>
            <w:r>
              <w:rPr>
                <w:rFonts w:hint="default" w:ascii="宋体" w:hAnsi="宋体" w:eastAsia="宋体" w:cs="Times New Roman"/>
                <w:sz w:val="20"/>
                <w:szCs w:val="28"/>
              </w:rPr>
              <w:t>2.4.</w:t>
            </w:r>
            <w:r>
              <w:rPr>
                <w:rFonts w:hint="eastAsia" w:ascii="宋体" w:hAnsi="宋体" w:eastAsia="宋体" w:cs="Times New Roman"/>
                <w:sz w:val="20"/>
                <w:szCs w:val="28"/>
              </w:rPr>
              <w:t>6投标</w:t>
            </w:r>
            <w:r>
              <w:rPr>
                <w:rFonts w:hint="default"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Calibri" w:hAnsi="Calibri" w:eastAsia="宋体" w:cs="Times New Roman"/>
                <w:sz w:val="20"/>
                <w:szCs w:val="22"/>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eastAsia="宋体" w:cs="Times New Roman"/>
                <w:sz w:val="20"/>
                <w:szCs w:val="28"/>
              </w:rPr>
            </w:pPr>
            <w:r>
              <w:rPr>
                <w:rFonts w:hint="eastAsia" w:ascii="宋体" w:hAnsi="宋体" w:eastAsia="宋体" w:cs="Times New Roman"/>
                <w:sz w:val="20"/>
                <w:szCs w:val="28"/>
              </w:rPr>
              <w:t>专门面向中小企业采购项目:</w:t>
            </w:r>
          </w:p>
          <w:p>
            <w:pPr>
              <w:keepNext w:val="0"/>
              <w:keepLines w:val="0"/>
              <w:suppressLineNumbers w:val="0"/>
              <w:tabs>
                <w:tab w:val="left" w:pos="851"/>
              </w:tabs>
              <w:spacing w:before="0" w:beforeAutospacing="0" w:after="0" w:afterAutospacing="0" w:line="360" w:lineRule="auto"/>
              <w:ind w:left="0" w:right="0"/>
              <w:rPr>
                <w:rFonts w:hint="default"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keepNext w:val="0"/>
              <w:keepLines w:val="0"/>
              <w:suppressLineNumbers w:val="0"/>
              <w:tabs>
                <w:tab w:val="left" w:pos="851"/>
              </w:tabs>
              <w:spacing w:before="0" w:beforeAutospacing="0" w:after="0" w:afterAutospacing="0" w:line="360" w:lineRule="auto"/>
              <w:ind w:left="0" w:right="0"/>
              <w:rPr>
                <w:rFonts w:hint="default"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keepNext w:val="0"/>
              <w:keepLines w:val="0"/>
              <w:suppressLineNumbers w:val="0"/>
              <w:tabs>
                <w:tab w:val="left" w:pos="851"/>
              </w:tabs>
              <w:spacing w:before="0" w:beforeAutospacing="0" w:after="0" w:afterAutospacing="0" w:line="360" w:lineRule="auto"/>
              <w:ind w:left="0" w:right="0"/>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keepNext w:val="0"/>
              <w:keepLines w:val="0"/>
              <w:suppressLineNumbers w:val="0"/>
              <w:tabs>
                <w:tab w:val="left" w:pos="851"/>
              </w:tabs>
              <w:spacing w:before="0" w:beforeAutospacing="0" w:after="0" w:afterAutospacing="0" w:line="360" w:lineRule="auto"/>
              <w:ind w:left="0" w:right="0"/>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w:t>
      </w:r>
      <w:r>
        <w:rPr>
          <w:rFonts w:hint="eastAsia" w:ascii="宋体" w:hAnsi="宋体"/>
          <w:sz w:val="28"/>
          <w:szCs w:val="28"/>
          <w:highlight w:val="none"/>
        </w:rPr>
        <w:t>电子介质的形式留存</w:t>
      </w:r>
      <w:r>
        <w:rPr>
          <w:rFonts w:hint="eastAsia" w:ascii="宋体" w:hAnsi="宋体"/>
          <w:sz w:val="28"/>
          <w:szCs w:val="28"/>
        </w:rPr>
        <w:t>。</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将及时告知资格审查小组。（说明：无论投标人是否收到通知或提供反馈意见，均不影响资格审查和评标工作，且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tabs>
          <w:tab w:val="left" w:pos="851"/>
        </w:tabs>
        <w:spacing w:line="360" w:lineRule="auto"/>
        <w:ind w:firstLine="565" w:firstLineChars="202"/>
        <w:rPr>
          <w:rFonts w:ascii="宋体" w:hAnsi="宋体"/>
          <w:sz w:val="28"/>
          <w:szCs w:val="28"/>
        </w:rPr>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2" w:name="_Toc14722"/>
      <w:r>
        <w:rPr>
          <w:rFonts w:hint="eastAsia" w:ascii="宋体" w:hAnsi="宋体"/>
          <w:b/>
          <w:bCs/>
          <w:spacing w:val="-20"/>
          <w:kern w:val="44"/>
          <w:sz w:val="32"/>
          <w:szCs w:val="32"/>
        </w:rPr>
        <w:t>评标办法</w:t>
      </w:r>
      <w:bookmarkEnd w:id="172"/>
    </w:p>
    <w:p>
      <w:pPr>
        <w:keepNext/>
        <w:keepLines/>
        <w:numPr>
          <w:ilvl w:val="1"/>
          <w:numId w:val="5"/>
        </w:numPr>
        <w:spacing w:line="360" w:lineRule="auto"/>
        <w:jc w:val="left"/>
        <w:outlineLvl w:val="1"/>
        <w:rPr>
          <w:rFonts w:ascii="宋体" w:hAnsi="宋体"/>
          <w:b/>
          <w:bCs/>
          <w:sz w:val="28"/>
          <w:szCs w:val="28"/>
        </w:rPr>
      </w:pPr>
      <w:bookmarkStart w:id="173" w:name="_Toc14505"/>
      <w:r>
        <w:rPr>
          <w:rFonts w:hint="eastAsia" w:ascii="宋体" w:hAnsi="宋体"/>
          <w:b/>
          <w:bCs/>
          <w:sz w:val="28"/>
          <w:szCs w:val="28"/>
        </w:rPr>
        <w:t>总则</w:t>
      </w:r>
      <w:bookmarkEnd w:id="173"/>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区交易中心</w:t>
      </w:r>
      <w:r>
        <w:rPr>
          <w:rFonts w:hint="eastAsia" w:ascii="宋体" w:hAnsi="宋体"/>
          <w:sz w:val="28"/>
          <w:szCs w:val="28"/>
        </w:rPr>
        <w:t>负责组织，具体评标事务由采购人或</w:t>
      </w:r>
      <w:r>
        <w:rPr>
          <w:rFonts w:hint="eastAsia" w:cs="Arial"/>
          <w:sz w:val="28"/>
          <w:szCs w:val="28"/>
          <w:lang w:eastAsia="zh-CN"/>
        </w:rPr>
        <w:t>区交易中心</w:t>
      </w:r>
      <w:r>
        <w:rPr>
          <w:rFonts w:hint="eastAsia" w:ascii="宋体" w:hAnsi="宋体"/>
          <w:sz w:val="28"/>
          <w:szCs w:val="28"/>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0"/>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0"/>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0"/>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0"/>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区交易中心</w:t>
      </w:r>
      <w:r>
        <w:rPr>
          <w:rFonts w:hint="eastAsia" w:ascii="宋体" w:hAnsi="宋体"/>
          <w:sz w:val="28"/>
          <w:szCs w:val="28"/>
        </w:rPr>
        <w:t>构或者财政、监察等有关部门报告或举报非法干预评标工作的行为；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区交易中心</w:t>
      </w:r>
      <w:r>
        <w:rPr>
          <w:rFonts w:hint="eastAsia" w:ascii="宋体" w:hAnsi="宋体"/>
          <w:sz w:val="28"/>
          <w:szCs w:val="28"/>
        </w:rPr>
        <w:t>或者有关部门报告评标中发现的违法行为。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keepNext/>
        <w:keepLines/>
        <w:numPr>
          <w:ilvl w:val="1"/>
          <w:numId w:val="5"/>
        </w:numPr>
        <w:spacing w:line="360" w:lineRule="auto"/>
        <w:jc w:val="left"/>
        <w:outlineLvl w:val="1"/>
        <w:rPr>
          <w:rFonts w:ascii="宋体" w:hAnsi="宋体"/>
          <w:b/>
          <w:bCs/>
          <w:sz w:val="28"/>
          <w:szCs w:val="28"/>
        </w:rPr>
      </w:pPr>
      <w:bookmarkStart w:id="174" w:name="_Toc9998"/>
      <w:r>
        <w:rPr>
          <w:rFonts w:hint="eastAsia" w:ascii="宋体" w:hAnsi="宋体"/>
          <w:b/>
          <w:bCs/>
          <w:sz w:val="28"/>
          <w:szCs w:val="28"/>
        </w:rPr>
        <w:t>评标方法</w:t>
      </w:r>
      <w:bookmarkEnd w:id="174"/>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75" w:name="_Toc15429"/>
      <w:r>
        <w:rPr>
          <w:rFonts w:hint="eastAsia" w:ascii="宋体" w:hAnsi="宋体"/>
          <w:b/>
          <w:bCs/>
          <w:sz w:val="28"/>
          <w:szCs w:val="28"/>
        </w:rPr>
        <w:t>评标程序</w:t>
      </w:r>
      <w:bookmarkEnd w:id="175"/>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宋体" w:hAnsi="宋体"/>
          <w:sz w:val="28"/>
          <w:szCs w:val="28"/>
        </w:rPr>
      </w:pPr>
      <w:r>
        <w:rPr>
          <w:rFonts w:hint="eastAsia" w:ascii="宋体" w:hAnsi="宋体"/>
          <w:sz w:val="28"/>
          <w:szCs w:val="28"/>
        </w:rPr>
        <w:t>符合性审查标准见下表（按以下顺序审查）：</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b/>
                <w:sz w:val="24"/>
                <w:szCs w:val="28"/>
              </w:rPr>
            </w:pPr>
            <w:r>
              <w:rPr>
                <w:rFonts w:hint="eastAsia" w:ascii="宋体" w:hAnsi="宋体"/>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firstLine="487" w:firstLineChars="202"/>
              <w:jc w:val="center"/>
              <w:rPr>
                <w:rFonts w:hint="default"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default" w:ascii="宋体" w:hAnsi="宋体"/>
                <w:sz w:val="24"/>
                <w:szCs w:val="28"/>
              </w:rPr>
            </w:pPr>
            <w:r>
              <w:rPr>
                <w:rFonts w:hint="eastAsia" w:ascii="宋体" w:hAnsi="宋体"/>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（1）根据招标文件的要求不属于禁止参加投标或投标无效的供应商；</w:t>
            </w:r>
          </w:p>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宋体" w:hAnsi="宋体"/>
                <w:sz w:val="24"/>
                <w:szCs w:val="28"/>
              </w:rPr>
            </w:pPr>
            <w:r>
              <w:rPr>
                <w:rFonts w:hint="eastAsia" w:ascii="宋体" w:hAnsi="宋体"/>
                <w:sz w:val="24"/>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Lines="0" w:beforeAutospacing="0" w:after="0" w:afterLines="0" w:afterAutospacing="0" w:line="360" w:lineRule="auto"/>
              <w:ind w:left="0" w:right="0"/>
              <w:rPr>
                <w:rFonts w:hint="default" w:ascii="宋体" w:hAnsi="宋体"/>
                <w:sz w:val="24"/>
                <w:szCs w:val="28"/>
              </w:rPr>
            </w:pPr>
            <w:r>
              <w:rPr>
                <w:rFonts w:hint="eastAsia" w:ascii="宋体" w:hAnsi="宋体"/>
                <w:sz w:val="24"/>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lang w:val="en-US" w:eastAsia="zh-CN"/>
              </w:rPr>
              <w:t>1.</w:t>
            </w:r>
            <w:r>
              <w:rPr>
                <w:rFonts w:hint="default" w:cs="仿宋_GB2312" w:asciiTheme="minorEastAsia" w:hAnsiTheme="minorEastAsia" w:eastAsiaTheme="minorEastAsia"/>
                <w:sz w:val="24"/>
                <w:szCs w:val="24"/>
              </w:rPr>
              <w:t>承诺函【说明：①按3.3.</w:t>
            </w:r>
            <w:r>
              <w:rPr>
                <w:rFonts w:hint="eastAsia" w:cs="仿宋_GB2312" w:asciiTheme="minorEastAsia" w:hAnsiTheme="minorEastAsia" w:eastAsiaTheme="minorEastAsia"/>
                <w:sz w:val="24"/>
                <w:szCs w:val="24"/>
              </w:rPr>
              <w:t>5</w:t>
            </w:r>
            <w:r>
              <w:rPr>
                <w:rFonts w:hint="default"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内容</w:t>
            </w:r>
            <w:r>
              <w:rPr>
                <w:rFonts w:hint="default" w:cs="仿宋_GB2312" w:asciiTheme="minorEastAsia" w:hAnsiTheme="minorEastAsia" w:eastAsiaTheme="minorEastAsia"/>
                <w:sz w:val="24"/>
                <w:szCs w:val="24"/>
              </w:rPr>
              <w:t>提供承诺函；②承诺的内容满足招标文件的要求。】。</w:t>
            </w:r>
          </w:p>
          <w:p>
            <w:pPr>
              <w:keepNext w:val="0"/>
              <w:keepLines w:val="0"/>
              <w:suppressLineNumbers w:val="0"/>
              <w:tabs>
                <w:tab w:val="left" w:pos="851"/>
              </w:tabs>
              <w:spacing w:before="0" w:beforeAutospacing="0" w:after="0" w:afterAutospacing="0" w:line="360" w:lineRule="auto"/>
              <w:ind w:left="0" w:right="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hint="default"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jc w:val="center"/>
              <w:rPr>
                <w:rFonts w:hint="eastAsia" w:ascii="宋体" w:hAnsi="宋体" w:eastAsia="宋体"/>
                <w:sz w:val="24"/>
                <w:szCs w:val="28"/>
                <w:lang w:eastAsia="zh-CN"/>
              </w:rPr>
            </w:pPr>
            <w:r>
              <w:rPr>
                <w:rFonts w:hint="eastAsia" w:ascii="宋体" w:hAnsi="宋体"/>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ascii="宋体" w:hAnsi="宋体"/>
                <w:sz w:val="24"/>
                <w:szCs w:val="28"/>
              </w:rPr>
            </w:pPr>
            <w:r>
              <w:rPr>
                <w:rFonts w:hint="eastAsia" w:ascii="宋体" w:hAnsi="宋体"/>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tabs>
                <w:tab w:val="left" w:pos="851"/>
              </w:tabs>
              <w:spacing w:before="0" w:beforeAutospacing="0" w:after="0" w:afterAutospacing="0" w:line="360" w:lineRule="auto"/>
              <w:ind w:left="0" w:right="0"/>
              <w:rPr>
                <w:rFonts w:hint="default" w:cs="仿宋_GB2312" w:asciiTheme="minorEastAsia" w:hAnsiTheme="minorEastAsia" w:eastAsiaTheme="minorEastAsia"/>
                <w:sz w:val="24"/>
                <w:szCs w:val="24"/>
              </w:rPr>
            </w:pPr>
            <w:r>
              <w:rPr>
                <w:rFonts w:hint="eastAsia" w:ascii="宋体" w:hAnsi="宋体"/>
                <w:sz w:val="24"/>
                <w:szCs w:val="28"/>
              </w:rPr>
              <w:t>招标文件中未载明“允许采购进口产品”的产品，投标产品为国产产品。</w:t>
            </w:r>
          </w:p>
        </w:tc>
      </w:tr>
    </w:tbl>
    <w:p>
      <w:pPr>
        <w:pStyle w:val="13"/>
        <w:ind w:left="0" w:leftChars="0" w:firstLine="0" w:firstLineChars="0"/>
        <w:rPr>
          <w:rFonts w:hint="eastAsia"/>
          <w:lang w:eastAsia="zh-CN"/>
        </w:rPr>
      </w:pPr>
    </w:p>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将通知投标人（以短信、现场公示、电话、“政府采购云平台”等任一方式）。投标人如对评审结论有异议的，应及时向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2"/>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7665"/>
        </w:tabs>
        <w:spacing w:line="360" w:lineRule="auto"/>
        <w:ind w:firstLine="560" w:firstLineChars="200"/>
        <w:rPr>
          <w:rFonts w:ascii="Helvetica" w:hAnsi="Helvetica" w:eastAsia="宋体" w:cs="Helvetica"/>
          <w:kern w:val="0"/>
          <w:sz w:val="28"/>
          <w:szCs w:val="28"/>
        </w:rPr>
      </w:pPr>
      <w:r>
        <w:rPr>
          <w:rFonts w:hint="eastAsia" w:ascii="宋体" w:hAnsi="宋体" w:eastAsia="宋体" w:cs="Times New Roman"/>
          <w:sz w:val="28"/>
          <w:szCs w:val="28"/>
        </w:rPr>
        <w:t>按投标人综合得分从高到低进行排序，确定1至3名中标候选人。综合得分相同的，则在排名并列的投标人中优先</w:t>
      </w:r>
      <w:r>
        <w:rPr>
          <w:rFonts w:hint="eastAsia" w:ascii="宋体" w:hAnsi="宋体" w:cs="Times New Roman"/>
          <w:sz w:val="28"/>
          <w:szCs w:val="28"/>
          <w:lang w:eastAsia="zh-CN"/>
        </w:rPr>
        <w:t>推荐</w:t>
      </w:r>
      <w:r>
        <w:rPr>
          <w:rFonts w:hint="eastAsia" w:ascii="宋体" w:hAnsi="宋体" w:eastAsia="宋体" w:cs="Times New Roman"/>
          <w:sz w:val="28"/>
          <w:szCs w:val="28"/>
        </w:rPr>
        <w:t>不发达地区或少数民族地区的供应商。综合得分相同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的投标人按投标报价由低到高顺序排列确定中标</w:t>
      </w:r>
      <w:r>
        <w:rPr>
          <w:rFonts w:hint="eastAsia" w:ascii="宋体" w:hAnsi="宋体" w:cs="Times New Roman"/>
          <w:sz w:val="28"/>
          <w:szCs w:val="28"/>
          <w:lang w:eastAsia="zh-CN"/>
        </w:rPr>
        <w:t>候选人</w:t>
      </w:r>
      <w:r>
        <w:rPr>
          <w:rFonts w:hint="eastAsia" w:ascii="宋体" w:hAnsi="宋体" w:eastAsia="宋体" w:cs="Times New Roman"/>
          <w:sz w:val="28"/>
          <w:szCs w:val="28"/>
        </w:rPr>
        <w:t>。综合得分相同、</w:t>
      </w:r>
      <w:r>
        <w:rPr>
          <w:rFonts w:hint="eastAsia" w:ascii="宋体" w:hAnsi="宋体" w:cs="Times New Roman"/>
          <w:sz w:val="28"/>
          <w:szCs w:val="28"/>
          <w:lang w:eastAsia="zh-CN"/>
        </w:rPr>
        <w:t>是否属于不发达地区或少数民族地区的情况一致、</w:t>
      </w:r>
      <w:r>
        <w:rPr>
          <w:rFonts w:hint="eastAsia" w:ascii="宋体" w:hAnsi="宋体" w:eastAsia="宋体" w:cs="Times New Roman"/>
          <w:sz w:val="28"/>
          <w:szCs w:val="28"/>
        </w:rPr>
        <w:t>报价相同</w:t>
      </w:r>
      <w:r>
        <w:rPr>
          <w:rFonts w:hint="eastAsia" w:ascii="宋体" w:hAnsi="宋体" w:cs="Times New Roman"/>
          <w:sz w:val="28"/>
          <w:szCs w:val="28"/>
          <w:lang w:eastAsia="zh-CN"/>
        </w:rPr>
        <w:t>的</w:t>
      </w:r>
      <w:r>
        <w:rPr>
          <w:rFonts w:hint="eastAsia" w:ascii="宋体" w:hAnsi="宋体" w:eastAsia="宋体" w:cs="Times New Roman"/>
          <w:sz w:val="28"/>
          <w:szCs w:val="28"/>
        </w:rPr>
        <w:t>并列</w:t>
      </w:r>
      <w:r>
        <w:rPr>
          <w:rFonts w:hint="eastAsia" w:ascii="宋体" w:hAnsi="宋体" w:cs="Times New Roman"/>
          <w:sz w:val="28"/>
          <w:szCs w:val="28"/>
          <w:lang w:eastAsia="zh-CN"/>
        </w:rPr>
        <w:t>。</w:t>
      </w:r>
      <w:r>
        <w:rPr>
          <w:rFonts w:hint="eastAsia" w:ascii="宋体" w:hAnsi="宋体" w:eastAsia="宋体" w:cs="Times New Roman"/>
          <w:sz w:val="28"/>
          <w:szCs w:val="28"/>
        </w:rPr>
        <w:t>（不发达地区或少数民族地区的投标人指投标人注册地在民族自治州、自治县、自治乡等不发达地区或少数民族地区）</w:t>
      </w:r>
      <w:r>
        <w:rPr>
          <w:rFonts w:hint="eastAsia" w:ascii="宋体" w:hAnsi="宋体" w:cs="Times New Roman"/>
          <w:sz w:val="28"/>
          <w:szCs w:val="28"/>
          <w:lang w:eastAsia="zh-CN"/>
        </w:rPr>
        <w:t>。</w:t>
      </w:r>
      <w:r>
        <w:rPr>
          <w:rFonts w:hint="eastAsia" w:ascii="宋体" w:hAnsi="宋体" w:eastAsia="宋体" w:cs="Times New Roman"/>
          <w:sz w:val="28"/>
          <w:szCs w:val="28"/>
        </w:rPr>
        <w:t>投标文件满足招标文件全部实质性要求，且按照评审因素的量化指标评审得分最高的投标人为排名第一的中标候选人。</w:t>
      </w:r>
    </w:p>
    <w:p>
      <w:pPr>
        <w:tabs>
          <w:tab w:val="left" w:pos="851"/>
        </w:tabs>
        <w:spacing w:line="560" w:lineRule="exact"/>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提供核心产品品牌相同且通过资格检查和符合性检查的不同投标人参加同一项目投标的，按一家投标人计算，评审后得分最高的投标人获得中标候选人推荐资格；评审得分相同的，属于</w:t>
      </w:r>
      <w:r>
        <w:rPr>
          <w:rFonts w:hint="eastAsia" w:ascii="宋体" w:hAnsi="宋体" w:eastAsia="宋体" w:cs="Times New Roman"/>
          <w:sz w:val="28"/>
          <w:szCs w:val="28"/>
          <w:lang w:val="en-US" w:eastAsia="zh-CN"/>
        </w:rPr>
        <w:t>不发达地区或少数民族地区的供应商</w:t>
      </w:r>
      <w:r>
        <w:rPr>
          <w:rFonts w:hint="eastAsia" w:ascii="宋体" w:hAnsi="宋体"/>
          <w:sz w:val="28"/>
          <w:szCs w:val="28"/>
          <w:lang w:val="zh-CN"/>
        </w:rPr>
        <w:t>的投标人获得中标候选人推荐资格；评审得分相同且都属于</w:t>
      </w:r>
      <w:r>
        <w:rPr>
          <w:rFonts w:hint="eastAsia" w:ascii="宋体" w:hAnsi="宋体" w:eastAsia="宋体" w:cs="Times New Roman"/>
          <w:sz w:val="28"/>
          <w:szCs w:val="28"/>
          <w:lang w:val="en-US" w:eastAsia="zh-CN"/>
        </w:rPr>
        <w:t>不发达地区或少数民族地区的供应商</w:t>
      </w:r>
      <w:r>
        <w:rPr>
          <w:rFonts w:hint="eastAsia" w:ascii="宋体" w:hAnsi="宋体"/>
          <w:sz w:val="28"/>
          <w:szCs w:val="28"/>
          <w:lang w:val="zh-CN"/>
        </w:rPr>
        <w:t>，由评标委员会采取随机抽取的方式确定一个投标人获得中标候选人推荐资格。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76" w:name="_Toc12186"/>
      <w:r>
        <w:rPr>
          <w:rFonts w:hint="eastAsia" w:ascii="宋体" w:hAnsi="宋体"/>
          <w:b/>
          <w:bCs/>
          <w:sz w:val="28"/>
          <w:szCs w:val="28"/>
        </w:rPr>
        <w:t>评标争议处理规则</w:t>
      </w:r>
      <w:bookmarkEnd w:id="176"/>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区交易中心</w:t>
      </w:r>
      <w:r>
        <w:rPr>
          <w:rFonts w:hint="eastAsia" w:ascii="宋体" w:hAnsi="宋体"/>
          <w:sz w:val="28"/>
          <w:szCs w:val="28"/>
        </w:rPr>
        <w:t>书面反映。采购人或</w:t>
      </w:r>
      <w:r>
        <w:rPr>
          <w:rFonts w:hint="eastAsia" w:cs="Arial"/>
          <w:sz w:val="28"/>
          <w:szCs w:val="28"/>
          <w:lang w:eastAsia="zh-CN"/>
        </w:rPr>
        <w:t>区交易中心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77" w:name="_Toc28"/>
      <w:r>
        <w:rPr>
          <w:rFonts w:hint="eastAsia" w:ascii="宋体" w:hAnsi="宋体"/>
          <w:b/>
          <w:bCs/>
          <w:sz w:val="28"/>
          <w:szCs w:val="28"/>
        </w:rPr>
        <w:t>评标细则及标准</w:t>
      </w:r>
      <w:bookmarkEnd w:id="177"/>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5"/>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tbl>
      <w:tblPr>
        <w:tblStyle w:val="42"/>
        <w:tblW w:w="8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623"/>
        <w:gridCol w:w="1062"/>
        <w:gridCol w:w="4034"/>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555" w:type="dxa"/>
            <w:noWrap/>
            <w:vAlign w:val="center"/>
          </w:tcPr>
          <w:p>
            <w:pPr>
              <w:keepNext w:val="0"/>
              <w:keepLines w:val="0"/>
              <w:suppressLineNumbers w:val="0"/>
              <w:spacing w:before="0" w:beforeAutospacing="0" w:after="0" w:afterAutospacing="0"/>
              <w:ind w:left="0" w:right="0"/>
              <w:rPr>
                <w:rFonts w:hint="eastAsia"/>
                <w:b/>
                <w:sz w:val="24"/>
              </w:rPr>
            </w:pPr>
            <w:r>
              <w:rPr>
                <w:rFonts w:hint="eastAsia"/>
                <w:b/>
                <w:sz w:val="24"/>
              </w:rPr>
              <w:t>序号</w:t>
            </w:r>
          </w:p>
        </w:tc>
        <w:tc>
          <w:tcPr>
            <w:tcW w:w="1623" w:type="dxa"/>
            <w:noWrap/>
            <w:vAlign w:val="center"/>
          </w:tcPr>
          <w:p>
            <w:pPr>
              <w:keepNext w:val="0"/>
              <w:keepLines w:val="0"/>
              <w:suppressLineNumbers w:val="0"/>
              <w:spacing w:before="0" w:beforeAutospacing="0" w:after="0" w:afterAutospacing="0"/>
              <w:ind w:left="0" w:right="0"/>
              <w:rPr>
                <w:rFonts w:hint="eastAsia"/>
                <w:b/>
                <w:sz w:val="24"/>
              </w:rPr>
            </w:pPr>
            <w:r>
              <w:rPr>
                <w:rFonts w:hint="eastAsia"/>
                <w:b/>
                <w:sz w:val="24"/>
              </w:rPr>
              <w:t>评分因素</w:t>
            </w:r>
          </w:p>
          <w:p>
            <w:pPr>
              <w:keepNext w:val="0"/>
              <w:keepLines w:val="0"/>
              <w:suppressLineNumbers w:val="0"/>
              <w:spacing w:before="0" w:beforeAutospacing="0" w:after="0" w:afterAutospacing="0"/>
              <w:ind w:left="0" w:right="0"/>
              <w:rPr>
                <w:rFonts w:hint="eastAsia"/>
                <w:b/>
                <w:sz w:val="24"/>
              </w:rPr>
            </w:pPr>
            <w:r>
              <w:rPr>
                <w:rFonts w:hint="eastAsia"/>
                <w:b/>
                <w:sz w:val="24"/>
              </w:rPr>
              <w:t>及 权 重</w:t>
            </w:r>
          </w:p>
        </w:tc>
        <w:tc>
          <w:tcPr>
            <w:tcW w:w="1062" w:type="dxa"/>
            <w:noWrap/>
            <w:vAlign w:val="center"/>
          </w:tcPr>
          <w:p>
            <w:pPr>
              <w:keepNext w:val="0"/>
              <w:keepLines w:val="0"/>
              <w:suppressLineNumbers w:val="0"/>
              <w:spacing w:before="0" w:beforeAutospacing="0" w:after="0" w:afterAutospacing="0"/>
              <w:ind w:left="0" w:right="0"/>
              <w:rPr>
                <w:rFonts w:hint="eastAsia"/>
                <w:b/>
                <w:sz w:val="24"/>
              </w:rPr>
            </w:pPr>
            <w:r>
              <w:rPr>
                <w:rFonts w:hint="eastAsia"/>
                <w:b/>
                <w:sz w:val="24"/>
              </w:rPr>
              <w:t>分 值</w:t>
            </w:r>
          </w:p>
        </w:tc>
        <w:tc>
          <w:tcPr>
            <w:tcW w:w="4034" w:type="dxa"/>
            <w:noWrap/>
            <w:vAlign w:val="center"/>
          </w:tcPr>
          <w:p>
            <w:pPr>
              <w:keepNext w:val="0"/>
              <w:keepLines w:val="0"/>
              <w:suppressLineNumbers w:val="0"/>
              <w:spacing w:before="0" w:beforeAutospacing="0" w:after="0" w:afterAutospacing="0"/>
              <w:ind w:left="0" w:right="0"/>
              <w:rPr>
                <w:rFonts w:hint="eastAsia"/>
                <w:b/>
                <w:sz w:val="24"/>
              </w:rPr>
            </w:pPr>
            <w:r>
              <w:rPr>
                <w:rFonts w:hint="eastAsia"/>
                <w:b/>
                <w:sz w:val="24"/>
              </w:rPr>
              <w:t>评分标准</w:t>
            </w:r>
          </w:p>
        </w:tc>
        <w:tc>
          <w:tcPr>
            <w:tcW w:w="1426" w:type="dxa"/>
            <w:noWrap/>
            <w:vAlign w:val="center"/>
          </w:tcPr>
          <w:p>
            <w:pPr>
              <w:keepNext w:val="0"/>
              <w:keepLines w:val="0"/>
              <w:suppressLineNumbers w:val="0"/>
              <w:spacing w:before="0" w:beforeAutospacing="0" w:after="0" w:afterAutospacing="0"/>
              <w:ind w:left="0" w:right="0"/>
              <w:rPr>
                <w:rFonts w:hint="eastAsia"/>
                <w:b/>
                <w:sz w:val="24"/>
              </w:rPr>
            </w:pPr>
            <w:r>
              <w:rPr>
                <w:rFonts w:hint="eastAsia"/>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55"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1</w:t>
            </w:r>
          </w:p>
        </w:tc>
        <w:tc>
          <w:tcPr>
            <w:tcW w:w="1623"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报价30%（共同评分因素）</w:t>
            </w:r>
          </w:p>
        </w:tc>
        <w:tc>
          <w:tcPr>
            <w:tcW w:w="1062"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30分</w:t>
            </w:r>
          </w:p>
        </w:tc>
        <w:tc>
          <w:tcPr>
            <w:tcW w:w="4034"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lang w:val="zh-CN"/>
              </w:rPr>
              <w:t>满足</w:t>
            </w:r>
            <w:r>
              <w:rPr>
                <w:rFonts w:hint="eastAsia" w:asciiTheme="minorEastAsia" w:hAnsiTheme="minorEastAsia"/>
                <w:kern w:val="0"/>
                <w:sz w:val="24"/>
                <w:szCs w:val="24"/>
                <w:highlight w:val="none"/>
                <w:lang w:val="zh-CN"/>
              </w:rPr>
              <w:t>招标文件要求且投标报价最低的价格为评标基准价，其价格分为满分，其他供应商的价格分统一按照下列公示计算：报价得分</w:t>
            </w:r>
            <w:r>
              <w:rPr>
                <w:rFonts w:hint="eastAsia" w:asciiTheme="minorEastAsia" w:hAnsiTheme="minorEastAsia"/>
                <w:kern w:val="0"/>
                <w:sz w:val="24"/>
                <w:szCs w:val="24"/>
                <w:highlight w:val="none"/>
                <w:lang w:val="en-US" w:eastAsia="zh-CN"/>
              </w:rPr>
              <w:t>=</w:t>
            </w:r>
            <w:r>
              <w:rPr>
                <w:rFonts w:hint="eastAsia" w:asciiTheme="minorEastAsia" w:hAnsiTheme="minorEastAsia"/>
                <w:kern w:val="0"/>
                <w:sz w:val="24"/>
                <w:szCs w:val="24"/>
                <w:highlight w:val="none"/>
                <w:lang w:val="zh-CN"/>
              </w:rPr>
              <w:t>(评审基准价／投标报价)×分值。</w:t>
            </w:r>
          </w:p>
        </w:tc>
        <w:tc>
          <w:tcPr>
            <w:tcW w:w="1426"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55"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2</w:t>
            </w:r>
          </w:p>
        </w:tc>
        <w:tc>
          <w:tcPr>
            <w:tcW w:w="1623"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技术参数及要求50%（技术类评分因素）</w:t>
            </w:r>
          </w:p>
        </w:tc>
        <w:tc>
          <w:tcPr>
            <w:tcW w:w="1062"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50分</w:t>
            </w:r>
          </w:p>
        </w:tc>
        <w:tc>
          <w:tcPr>
            <w:tcW w:w="4034"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lang w:val="zh-CN"/>
              </w:rPr>
            </w:pPr>
            <w:r>
              <w:rPr>
                <w:rFonts w:hint="eastAsia" w:asciiTheme="minorEastAsia" w:hAnsiTheme="minorEastAsia"/>
                <w:kern w:val="0"/>
                <w:sz w:val="24"/>
                <w:szCs w:val="24"/>
              </w:rPr>
              <w:t>投标产品技术参数完全符合招标文件技术参数及要求没有负偏离的得50分；报价</w:t>
            </w:r>
            <w:r>
              <w:rPr>
                <w:rFonts w:hint="eastAsia" w:asciiTheme="minorEastAsia" w:hAnsiTheme="minorEastAsia"/>
                <w:kern w:val="0"/>
                <w:sz w:val="24"/>
                <w:szCs w:val="24"/>
                <w:lang w:val="zh-CN"/>
              </w:rPr>
              <w:t>产品的技术参数不满足</w:t>
            </w:r>
            <w:r>
              <w:rPr>
                <w:rFonts w:hint="eastAsia" w:asciiTheme="minorEastAsia" w:hAnsiTheme="minorEastAsia"/>
                <w:kern w:val="0"/>
                <w:sz w:val="24"/>
                <w:szCs w:val="24"/>
              </w:rPr>
              <w:t>招标</w:t>
            </w:r>
            <w:r>
              <w:rPr>
                <w:rFonts w:hint="eastAsia" w:asciiTheme="minorEastAsia" w:hAnsiTheme="minorEastAsia"/>
                <w:kern w:val="0"/>
                <w:sz w:val="24"/>
                <w:szCs w:val="24"/>
                <w:lang w:val="zh-CN"/>
              </w:rPr>
              <w:t>文件技术参数及要求的，则在</w:t>
            </w:r>
            <w:r>
              <w:rPr>
                <w:rFonts w:hint="eastAsia" w:asciiTheme="minorEastAsia" w:hAnsiTheme="minorEastAsia"/>
                <w:kern w:val="0"/>
                <w:sz w:val="24"/>
                <w:szCs w:val="24"/>
              </w:rPr>
              <w:t>50</w:t>
            </w:r>
            <w:r>
              <w:rPr>
                <w:rFonts w:hint="eastAsia" w:asciiTheme="minorEastAsia" w:hAnsiTheme="minorEastAsia"/>
                <w:kern w:val="0"/>
                <w:sz w:val="24"/>
                <w:szCs w:val="24"/>
                <w:lang w:val="zh-CN"/>
              </w:rPr>
              <w:t>分的基础上，按以下原则扣分：</w:t>
            </w:r>
          </w:p>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lang w:val="zh-CN"/>
              </w:rPr>
            </w:pPr>
            <w:r>
              <w:rPr>
                <w:rFonts w:hint="eastAsia" w:asciiTheme="minorEastAsia" w:hAnsiTheme="minorEastAsia"/>
                <w:kern w:val="0"/>
                <w:sz w:val="24"/>
                <w:szCs w:val="24"/>
              </w:rPr>
              <w:t>1.</w:t>
            </w:r>
            <w:r>
              <w:rPr>
                <w:rFonts w:hint="eastAsia" w:eastAsia="宋体" w:cs="Times New Roman" w:asciiTheme="minorEastAsia" w:hAnsiTheme="minorEastAsia"/>
                <w:kern w:val="0"/>
                <w:sz w:val="24"/>
                <w:szCs w:val="24"/>
              </w:rPr>
              <w:t>▲</w:t>
            </w:r>
            <w:r>
              <w:rPr>
                <w:rFonts w:hint="eastAsia" w:asciiTheme="minorEastAsia" w:hAnsiTheme="minorEastAsia"/>
                <w:kern w:val="0"/>
                <w:sz w:val="24"/>
                <w:szCs w:val="24"/>
                <w:lang w:val="zh-CN"/>
              </w:rPr>
              <w:t>条款</w:t>
            </w:r>
            <w:r>
              <w:rPr>
                <w:rFonts w:hint="eastAsia" w:asciiTheme="minorEastAsia" w:hAnsiTheme="minorEastAsia"/>
                <w:kern w:val="0"/>
                <w:sz w:val="24"/>
                <w:szCs w:val="24"/>
              </w:rPr>
              <w:t>共计38项，完全满足得38分，</w:t>
            </w:r>
            <w:r>
              <w:rPr>
                <w:rFonts w:hint="eastAsia" w:asciiTheme="minorEastAsia" w:hAnsiTheme="minorEastAsia"/>
                <w:kern w:val="0"/>
                <w:sz w:val="24"/>
                <w:szCs w:val="24"/>
                <w:lang w:val="zh-CN"/>
              </w:rPr>
              <w:t>每有一项不符合</w:t>
            </w:r>
            <w:r>
              <w:rPr>
                <w:rFonts w:hint="eastAsia" w:asciiTheme="minorEastAsia" w:hAnsiTheme="minorEastAsia"/>
                <w:kern w:val="0"/>
                <w:sz w:val="24"/>
                <w:szCs w:val="24"/>
              </w:rPr>
              <w:t>招标文件</w:t>
            </w:r>
            <w:r>
              <w:rPr>
                <w:rFonts w:hint="eastAsia" w:asciiTheme="minorEastAsia" w:hAnsiTheme="minorEastAsia"/>
                <w:kern w:val="0"/>
                <w:sz w:val="24"/>
                <w:szCs w:val="24"/>
                <w:lang w:val="zh-CN"/>
              </w:rPr>
              <w:t>要求的扣</w:t>
            </w:r>
            <w:r>
              <w:rPr>
                <w:rFonts w:hint="eastAsia" w:asciiTheme="minorEastAsia" w:hAnsiTheme="minorEastAsia"/>
                <w:kern w:val="0"/>
                <w:sz w:val="24"/>
                <w:szCs w:val="24"/>
              </w:rPr>
              <w:t>1</w:t>
            </w:r>
            <w:r>
              <w:rPr>
                <w:rFonts w:hint="eastAsia" w:asciiTheme="minorEastAsia" w:hAnsiTheme="minorEastAsia"/>
                <w:kern w:val="0"/>
                <w:sz w:val="24"/>
                <w:szCs w:val="24"/>
                <w:lang w:val="zh-CN"/>
              </w:rPr>
              <w:t>分，本项分值扣完为止；</w:t>
            </w:r>
          </w:p>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lang w:val="zh-CN"/>
              </w:rPr>
            </w:pPr>
            <w:r>
              <w:rPr>
                <w:rFonts w:hint="eastAsia" w:asciiTheme="minorEastAsia" w:hAnsiTheme="minorEastAsia"/>
                <w:kern w:val="0"/>
                <w:sz w:val="24"/>
                <w:szCs w:val="24"/>
              </w:rPr>
              <w:t>2.</w:t>
            </w:r>
            <w:r>
              <w:rPr>
                <w:rFonts w:hint="eastAsia" w:asciiTheme="minorEastAsia" w:hAnsiTheme="minorEastAsia"/>
                <w:kern w:val="0"/>
                <w:sz w:val="24"/>
                <w:szCs w:val="24"/>
                <w:lang w:val="zh-CN"/>
              </w:rPr>
              <w:t>非</w:t>
            </w:r>
            <w:r>
              <w:rPr>
                <w:rFonts w:hint="eastAsia" w:asciiTheme="minorEastAsia" w:hAnsiTheme="minorEastAsia" w:eastAsiaTheme="minorEastAsia" w:cstheme="minorBidi"/>
                <w:color w:val="auto"/>
                <w:kern w:val="0"/>
                <w:sz w:val="24"/>
                <w:szCs w:val="24"/>
                <w:lang w:val="zh-CN" w:eastAsia="zh-CN" w:bidi="ar-SA"/>
              </w:rPr>
              <w:t>★</w:t>
            </w:r>
            <w:r>
              <w:rPr>
                <w:rFonts w:hint="eastAsia" w:eastAsia="宋体" w:cs="Times New Roman" w:asciiTheme="minorEastAsia" w:hAnsiTheme="minorEastAsia"/>
                <w:kern w:val="0"/>
                <w:sz w:val="24"/>
                <w:szCs w:val="24"/>
              </w:rPr>
              <w:t>▲</w:t>
            </w:r>
            <w:r>
              <w:rPr>
                <w:rFonts w:hint="eastAsia" w:asciiTheme="minorEastAsia" w:hAnsiTheme="minorEastAsia"/>
                <w:kern w:val="0"/>
                <w:sz w:val="24"/>
                <w:szCs w:val="24"/>
                <w:lang w:val="zh-CN"/>
              </w:rPr>
              <w:t>条款</w:t>
            </w:r>
            <w:r>
              <w:rPr>
                <w:rFonts w:hint="eastAsia" w:asciiTheme="minorEastAsia" w:hAnsiTheme="minorEastAsia"/>
                <w:kern w:val="0"/>
                <w:sz w:val="24"/>
                <w:szCs w:val="24"/>
              </w:rPr>
              <w:t>共计24项，完全满足得12分，</w:t>
            </w:r>
            <w:r>
              <w:rPr>
                <w:rFonts w:hint="eastAsia" w:asciiTheme="minorEastAsia" w:hAnsiTheme="minorEastAsia"/>
                <w:kern w:val="0"/>
                <w:sz w:val="24"/>
                <w:szCs w:val="24"/>
                <w:lang w:val="zh-CN"/>
              </w:rPr>
              <w:t>每有一项不符合</w:t>
            </w:r>
            <w:r>
              <w:rPr>
                <w:rFonts w:hint="eastAsia" w:asciiTheme="minorEastAsia" w:hAnsiTheme="minorEastAsia"/>
                <w:kern w:val="0"/>
                <w:sz w:val="24"/>
                <w:szCs w:val="24"/>
              </w:rPr>
              <w:t>招标文件</w:t>
            </w:r>
            <w:r>
              <w:rPr>
                <w:rFonts w:hint="eastAsia" w:asciiTheme="minorEastAsia" w:hAnsiTheme="minorEastAsia"/>
                <w:kern w:val="0"/>
                <w:sz w:val="24"/>
                <w:szCs w:val="24"/>
                <w:lang w:val="zh-CN"/>
              </w:rPr>
              <w:t>要求的扣</w:t>
            </w:r>
            <w:r>
              <w:rPr>
                <w:rFonts w:hint="eastAsia" w:asciiTheme="minorEastAsia" w:hAnsiTheme="minorEastAsia"/>
                <w:kern w:val="0"/>
                <w:sz w:val="24"/>
                <w:szCs w:val="24"/>
              </w:rPr>
              <w:t>0.5</w:t>
            </w:r>
            <w:r>
              <w:rPr>
                <w:rFonts w:hint="eastAsia" w:asciiTheme="minorEastAsia" w:hAnsiTheme="minorEastAsia"/>
                <w:kern w:val="0"/>
                <w:sz w:val="24"/>
                <w:szCs w:val="24"/>
                <w:lang w:val="zh-CN"/>
              </w:rPr>
              <w:t>分；本项分值扣完为止</w:t>
            </w:r>
            <w:r>
              <w:rPr>
                <w:rFonts w:hint="eastAsia" w:asciiTheme="minorEastAsia" w:hAnsiTheme="minorEastAsia"/>
                <w:kern w:val="0"/>
                <w:sz w:val="24"/>
                <w:szCs w:val="24"/>
              </w:rPr>
              <w:t>。</w:t>
            </w:r>
          </w:p>
        </w:tc>
        <w:tc>
          <w:tcPr>
            <w:tcW w:w="1426"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eastAsia="宋体" w:cs="Times New Roman" w:asciiTheme="minorEastAsia" w:hAnsiTheme="minorEastAsia"/>
                <w:kern w:val="0"/>
                <w:sz w:val="24"/>
                <w:szCs w:val="24"/>
              </w:rPr>
              <w:t>▲</w:t>
            </w:r>
            <w:r>
              <w:rPr>
                <w:rFonts w:hint="eastAsia" w:asciiTheme="minorEastAsia" w:hAnsiTheme="minorEastAsia"/>
                <w:kern w:val="0"/>
                <w:sz w:val="24"/>
                <w:szCs w:val="24"/>
                <w:lang w:val="zh-CN"/>
              </w:rPr>
              <w:t>条款为重要条款，按要求提供证明材料，</w:t>
            </w:r>
            <w:r>
              <w:rPr>
                <w:rFonts w:hint="eastAsia" w:asciiTheme="minorEastAsia" w:hAnsiTheme="minorEastAsia"/>
                <w:kern w:val="0"/>
                <w:sz w:val="24"/>
                <w:szCs w:val="24"/>
              </w:rPr>
              <w:t>未作要求的以产品技术偏离表响应情况为准。</w:t>
            </w:r>
            <w:r>
              <w:rPr>
                <w:rFonts w:hint="eastAsia" w:asciiTheme="minorEastAsia" w:hAnsiTheme="minorEastAsia"/>
                <w:kern w:val="0"/>
                <w:sz w:val="24"/>
                <w:szCs w:val="24"/>
                <w:lang w:val="zh-CN"/>
              </w:rPr>
              <w:t>非</w:t>
            </w:r>
            <w:r>
              <w:rPr>
                <w:rFonts w:hint="eastAsia" w:asciiTheme="minorEastAsia" w:hAnsiTheme="minorEastAsia" w:eastAsiaTheme="minorEastAsia" w:cstheme="minorBidi"/>
                <w:color w:val="auto"/>
                <w:kern w:val="0"/>
                <w:sz w:val="24"/>
                <w:szCs w:val="24"/>
                <w:lang w:val="zh-CN" w:eastAsia="zh-CN" w:bidi="ar-SA"/>
              </w:rPr>
              <w:t>★</w:t>
            </w:r>
            <w:r>
              <w:rPr>
                <w:rFonts w:hint="eastAsia" w:eastAsia="宋体" w:cs="Times New Roman" w:asciiTheme="minorEastAsia" w:hAnsiTheme="minorEastAsia"/>
                <w:kern w:val="0"/>
                <w:sz w:val="24"/>
                <w:szCs w:val="24"/>
              </w:rPr>
              <w:t>▲</w:t>
            </w:r>
            <w:r>
              <w:rPr>
                <w:rFonts w:hint="eastAsia" w:asciiTheme="minorEastAsia" w:hAnsiTheme="minorEastAsia"/>
                <w:kern w:val="0"/>
                <w:sz w:val="24"/>
                <w:szCs w:val="24"/>
                <w:lang w:val="zh-CN"/>
              </w:rPr>
              <w:t>条款</w:t>
            </w:r>
            <w:r>
              <w:rPr>
                <w:rFonts w:hint="eastAsia" w:asciiTheme="minorEastAsia" w:hAnsiTheme="minorEastAsia"/>
                <w:kern w:val="0"/>
                <w:sz w:val="24"/>
                <w:szCs w:val="24"/>
              </w:rPr>
              <w:t>以产品技术偏离表响应情况为准。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555"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3</w:t>
            </w:r>
          </w:p>
        </w:tc>
        <w:tc>
          <w:tcPr>
            <w:tcW w:w="1623"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lang w:eastAsia="zh-Hans"/>
              </w:rPr>
              <w:t>履约能力</w:t>
            </w:r>
            <w:r>
              <w:rPr>
                <w:rFonts w:hint="eastAsia" w:asciiTheme="minorEastAsia" w:hAnsiTheme="minorEastAsia"/>
                <w:kern w:val="0"/>
                <w:sz w:val="24"/>
                <w:szCs w:val="24"/>
              </w:rPr>
              <w:t>1%（共同评分因素）</w:t>
            </w:r>
          </w:p>
        </w:tc>
        <w:tc>
          <w:tcPr>
            <w:tcW w:w="1062"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1分</w:t>
            </w:r>
          </w:p>
        </w:tc>
        <w:tc>
          <w:tcPr>
            <w:tcW w:w="4034"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根据投标人提供</w:t>
            </w:r>
            <w:r>
              <w:rPr>
                <w:rFonts w:hint="eastAsia" w:asciiTheme="minorEastAsia" w:hAnsiTheme="minorEastAsia"/>
                <w:kern w:val="0"/>
                <w:sz w:val="24"/>
                <w:szCs w:val="24"/>
                <w:highlight w:val="none"/>
              </w:rPr>
              <w:t>的2019年</w:t>
            </w:r>
            <w:r>
              <w:rPr>
                <w:rFonts w:hint="eastAsia" w:asciiTheme="minorEastAsia" w:hAnsiTheme="minorEastAsia"/>
                <w:kern w:val="0"/>
                <w:sz w:val="24"/>
                <w:szCs w:val="24"/>
                <w:highlight w:val="none"/>
                <w:lang w:val="en-US" w:eastAsia="zh-CN"/>
              </w:rPr>
              <w:t>1月1日</w:t>
            </w:r>
            <w:r>
              <w:rPr>
                <w:rFonts w:hint="eastAsia" w:asciiTheme="minorEastAsia" w:hAnsiTheme="minorEastAsia"/>
                <w:kern w:val="0"/>
                <w:sz w:val="24"/>
                <w:szCs w:val="24"/>
                <w:highlight w:val="none"/>
              </w:rPr>
              <w:t>至今</w:t>
            </w:r>
            <w:r>
              <w:rPr>
                <w:rFonts w:hint="eastAsia" w:asciiTheme="minorEastAsia" w:hAnsiTheme="minorEastAsia"/>
                <w:kern w:val="0"/>
                <w:sz w:val="24"/>
                <w:szCs w:val="24"/>
                <w:highlight w:val="none"/>
                <w:lang w:eastAsia="zh-CN"/>
              </w:rPr>
              <w:t>的类似业绩，</w:t>
            </w:r>
            <w:r>
              <w:rPr>
                <w:rFonts w:hint="eastAsia" w:asciiTheme="minorEastAsia" w:hAnsiTheme="minorEastAsia"/>
                <w:kern w:val="0"/>
                <w:sz w:val="24"/>
                <w:szCs w:val="24"/>
                <w:lang w:eastAsia="zh-CN"/>
              </w:rPr>
              <w:t>每有</w:t>
            </w:r>
            <w:r>
              <w:rPr>
                <w:rFonts w:hint="eastAsia" w:asciiTheme="minorEastAsia" w:hAnsiTheme="minorEastAsia"/>
                <w:kern w:val="0"/>
                <w:sz w:val="24"/>
                <w:szCs w:val="24"/>
              </w:rPr>
              <w:t>一个类似项目业绩加0.5分，最多得1分。</w:t>
            </w:r>
          </w:p>
        </w:tc>
        <w:tc>
          <w:tcPr>
            <w:tcW w:w="1426"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提供中标（成交）通知书或合同复印件</w:t>
            </w:r>
            <w:r>
              <w:rPr>
                <w:rFonts w:hint="eastAsia" w:asciiTheme="minorEastAsia" w:hAnsiTheme="minorEastAsia"/>
                <w:kern w:val="0"/>
                <w:sz w:val="24"/>
                <w:szCs w:val="24"/>
                <w:lang w:eastAsia="zh-CN"/>
              </w:rPr>
              <w:t>并加盖投标人公章</w:t>
            </w:r>
            <w:r>
              <w:rPr>
                <w:rFonts w:hint="eastAsia" w:asciiTheme="minorEastAsia" w:hAnsiTheme="minorEastAsia"/>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64" w:hRule="atLeast"/>
          <w:jc w:val="center"/>
        </w:trPr>
        <w:tc>
          <w:tcPr>
            <w:tcW w:w="555" w:type="dxa"/>
            <w:vMerge w:val="restart"/>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4</w:t>
            </w:r>
          </w:p>
        </w:tc>
        <w:tc>
          <w:tcPr>
            <w:tcW w:w="1623" w:type="dxa"/>
            <w:vMerge w:val="restart"/>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售后服务方案18%（技术类评分因素）</w:t>
            </w:r>
          </w:p>
        </w:tc>
        <w:tc>
          <w:tcPr>
            <w:tcW w:w="1062"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项目实施方案</w:t>
            </w:r>
            <w:r>
              <w:rPr>
                <w:rFonts w:hint="eastAsia" w:asciiTheme="minorEastAsia" w:hAnsiTheme="minorEastAsia"/>
                <w:kern w:val="0"/>
                <w:sz w:val="24"/>
                <w:szCs w:val="24"/>
                <w:lang w:val="en-US" w:eastAsia="zh-CN"/>
              </w:rPr>
              <w:t>8</w:t>
            </w:r>
            <w:r>
              <w:rPr>
                <w:rFonts w:hint="eastAsia" w:asciiTheme="minorEastAsia" w:hAnsiTheme="minorEastAsia"/>
                <w:kern w:val="0"/>
                <w:sz w:val="24"/>
                <w:szCs w:val="24"/>
              </w:rPr>
              <w:t>分</w:t>
            </w:r>
          </w:p>
        </w:tc>
        <w:tc>
          <w:tcPr>
            <w:tcW w:w="4034"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根据投标人提供的初步服务方案进行综合评审，包括①供货计划及配送方案；②人员安排；③培训计划；④安装方案；⑤配套服务；⑥定检计划；⑦故障分析、排除的流程和步骤；⑧维护保养技术方案，符合本项目需求及行业特征得</w:t>
            </w:r>
            <w:r>
              <w:rPr>
                <w:rFonts w:hint="eastAsia" w:asciiTheme="minorEastAsia" w:hAnsiTheme="minorEastAsia"/>
                <w:kern w:val="0"/>
                <w:sz w:val="24"/>
                <w:szCs w:val="24"/>
                <w:lang w:val="en-US" w:eastAsia="zh-CN"/>
              </w:rPr>
              <w:t>8</w:t>
            </w:r>
            <w:r>
              <w:rPr>
                <w:rFonts w:hint="eastAsia" w:asciiTheme="minorEastAsia" w:hAnsiTheme="minorEastAsia"/>
                <w:kern w:val="0"/>
                <w:sz w:val="24"/>
                <w:szCs w:val="24"/>
              </w:rPr>
              <w:t>分，任意一项内容缺失或描述不符合上述要求扣</w:t>
            </w:r>
            <w:r>
              <w:rPr>
                <w:rFonts w:hint="eastAsia" w:asciiTheme="minorEastAsia" w:hAnsiTheme="minorEastAsia"/>
                <w:kern w:val="0"/>
                <w:sz w:val="24"/>
                <w:szCs w:val="24"/>
                <w:lang w:val="en-US" w:eastAsia="zh-CN"/>
              </w:rPr>
              <w:t>1</w:t>
            </w:r>
            <w:r>
              <w:rPr>
                <w:rFonts w:hint="eastAsia" w:asciiTheme="minorEastAsia" w:hAnsiTheme="minorEastAsia"/>
                <w:kern w:val="0"/>
                <w:sz w:val="24"/>
                <w:szCs w:val="24"/>
              </w:rPr>
              <w:t>分，</w:t>
            </w:r>
            <w:r>
              <w:rPr>
                <w:rFonts w:hint="eastAsia" w:asciiTheme="minorEastAsia" w:hAnsiTheme="minorEastAsia"/>
                <w:kern w:val="0"/>
                <w:sz w:val="24"/>
                <w:szCs w:val="24"/>
                <w:lang w:val="en-US" w:eastAsia="zh-CN"/>
              </w:rPr>
              <w:t>8</w:t>
            </w:r>
            <w:r>
              <w:rPr>
                <w:rFonts w:hint="eastAsia" w:asciiTheme="minorEastAsia" w:hAnsiTheme="minorEastAsia"/>
                <w:kern w:val="0"/>
                <w:sz w:val="24"/>
                <w:szCs w:val="24"/>
              </w:rPr>
              <w:t>分扣完为止。</w:t>
            </w:r>
          </w:p>
        </w:tc>
        <w:tc>
          <w:tcPr>
            <w:tcW w:w="1426"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6" w:hRule="atLeast"/>
          <w:jc w:val="center"/>
        </w:trPr>
        <w:tc>
          <w:tcPr>
            <w:tcW w:w="555" w:type="dxa"/>
            <w:vMerge w:val="continue"/>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p>
        </w:tc>
        <w:tc>
          <w:tcPr>
            <w:tcW w:w="1623" w:type="dxa"/>
            <w:vMerge w:val="continue"/>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p>
        </w:tc>
        <w:tc>
          <w:tcPr>
            <w:tcW w:w="1062"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售后服务6分</w:t>
            </w:r>
          </w:p>
        </w:tc>
        <w:tc>
          <w:tcPr>
            <w:tcW w:w="4034"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根据投标人承诺的质量保证范围，包括①</w:t>
            </w:r>
            <w:r>
              <w:rPr>
                <w:rFonts w:hint="eastAsia" w:asciiTheme="minorEastAsia" w:hAnsiTheme="minorEastAsia"/>
                <w:kern w:val="0"/>
                <w:sz w:val="24"/>
                <w:szCs w:val="24"/>
                <w:lang w:val="en-US" w:eastAsia="zh-CN"/>
              </w:rPr>
              <w:t>质量保证措施</w:t>
            </w:r>
            <w:r>
              <w:rPr>
                <w:rFonts w:hint="eastAsia" w:asciiTheme="minorEastAsia" w:hAnsiTheme="minorEastAsia"/>
                <w:kern w:val="0"/>
                <w:sz w:val="24"/>
                <w:szCs w:val="24"/>
              </w:rPr>
              <w:t>，②维修响应时间，③</w:t>
            </w:r>
            <w:r>
              <w:rPr>
                <w:rFonts w:hint="eastAsia" w:asciiTheme="minorEastAsia" w:hAnsiTheme="minorEastAsia"/>
                <w:kern w:val="0"/>
                <w:sz w:val="24"/>
                <w:szCs w:val="24"/>
                <w:lang w:val="en-US" w:eastAsia="zh-CN"/>
              </w:rPr>
              <w:t>备品备件情况</w:t>
            </w:r>
            <w:r>
              <w:rPr>
                <w:rFonts w:hint="eastAsia" w:asciiTheme="minorEastAsia" w:hAnsiTheme="minorEastAsia"/>
                <w:kern w:val="0"/>
                <w:sz w:val="24"/>
                <w:szCs w:val="24"/>
              </w:rPr>
              <w:t>等进行综合分析比较评分，符合本项目需求及行业特征得6分，任意一项内容缺失或描述不符合上述要求扣2分，6分扣完为止。</w:t>
            </w:r>
          </w:p>
        </w:tc>
        <w:tc>
          <w:tcPr>
            <w:tcW w:w="1426"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6" w:hRule="atLeast"/>
          <w:jc w:val="center"/>
        </w:trPr>
        <w:tc>
          <w:tcPr>
            <w:tcW w:w="555" w:type="dxa"/>
            <w:vMerge w:val="continue"/>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p>
        </w:tc>
        <w:tc>
          <w:tcPr>
            <w:tcW w:w="1623" w:type="dxa"/>
            <w:vMerge w:val="continue"/>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p>
        </w:tc>
        <w:tc>
          <w:tcPr>
            <w:tcW w:w="1062" w:type="dxa"/>
            <w:noWrap/>
            <w:vAlign w:val="center"/>
          </w:tcPr>
          <w:p>
            <w:pPr>
              <w:keepNext w:val="0"/>
              <w:keepLines w:val="0"/>
              <w:suppressLineNumbers w:val="0"/>
              <w:spacing w:before="0" w:beforeAutospacing="0" w:after="200" w:afterAutospacing="0" w:line="360" w:lineRule="exact"/>
              <w:ind w:left="0" w:right="0"/>
              <w:rPr>
                <w:rFonts w:hint="default" w:eastAsia="宋体" w:asciiTheme="minorEastAsia" w:hAnsiTheme="minorEastAsia"/>
                <w:kern w:val="0"/>
                <w:sz w:val="24"/>
                <w:szCs w:val="24"/>
                <w:lang w:val="en-US" w:eastAsia="zh-CN"/>
              </w:rPr>
            </w:pPr>
            <w:r>
              <w:rPr>
                <w:rFonts w:hint="eastAsia" w:asciiTheme="minorEastAsia" w:hAnsiTheme="minorEastAsia"/>
                <w:kern w:val="0"/>
                <w:sz w:val="24"/>
                <w:szCs w:val="24"/>
                <w:lang w:eastAsia="zh-CN"/>
              </w:rPr>
              <w:t>售后服务承诺</w:t>
            </w:r>
            <w:r>
              <w:rPr>
                <w:rFonts w:hint="eastAsia" w:asciiTheme="minorEastAsia" w:hAnsiTheme="minorEastAsia"/>
                <w:kern w:val="0"/>
                <w:sz w:val="24"/>
                <w:szCs w:val="24"/>
                <w:lang w:val="en-US" w:eastAsia="zh-CN"/>
              </w:rPr>
              <w:t>4分</w:t>
            </w:r>
          </w:p>
        </w:tc>
        <w:tc>
          <w:tcPr>
            <w:tcW w:w="4034" w:type="dxa"/>
            <w:noWrap/>
            <w:vAlign w:val="center"/>
          </w:tcPr>
          <w:p>
            <w:pPr>
              <w:keepNext w:val="0"/>
              <w:keepLines w:val="0"/>
              <w:numPr>
                <w:ilvl w:val="0"/>
                <w:numId w:val="0"/>
              </w:numPr>
              <w:suppressLineNumbers w:val="0"/>
              <w:snapToGrid w:val="0"/>
              <w:spacing w:before="0" w:beforeAutospacing="0" w:after="0" w:afterAutospacing="0" w:line="312" w:lineRule="auto"/>
              <w:ind w:left="0" w:right="0"/>
              <w:jc w:val="left"/>
              <w:rPr>
                <w:rFonts w:hint="eastAsia" w:asciiTheme="minorEastAsia" w:hAnsiTheme="minorEastAsia"/>
                <w:kern w:val="0"/>
                <w:sz w:val="24"/>
                <w:szCs w:val="24"/>
                <w:lang w:val="zh-CN" w:eastAsia="zh-CN"/>
              </w:rPr>
            </w:pPr>
            <w:r>
              <w:rPr>
                <w:rFonts w:hint="eastAsia" w:asciiTheme="minorEastAsia" w:hAnsiTheme="minorEastAsia"/>
                <w:kern w:val="0"/>
                <w:sz w:val="24"/>
                <w:szCs w:val="24"/>
                <w:lang w:val="en-US" w:eastAsia="zh-CN"/>
              </w:rPr>
              <w:t>1、</w:t>
            </w:r>
            <w:r>
              <w:rPr>
                <w:rFonts w:hint="eastAsia" w:asciiTheme="minorEastAsia" w:hAnsiTheme="minorEastAsia"/>
                <w:kern w:val="0"/>
                <w:sz w:val="24"/>
                <w:szCs w:val="24"/>
                <w:lang w:val="zh-CN" w:eastAsia="zh-CN"/>
              </w:rPr>
              <w:t>提供</w:t>
            </w:r>
            <w:r>
              <w:rPr>
                <w:rFonts w:hint="eastAsia"/>
                <w:sz w:val="24"/>
                <w:szCs w:val="24"/>
              </w:rPr>
              <w:t>室内P2全彩屏</w:t>
            </w:r>
            <w:r>
              <w:rPr>
                <w:rFonts w:hint="eastAsia" w:asciiTheme="minorEastAsia" w:hAnsiTheme="minorEastAsia"/>
                <w:kern w:val="0"/>
                <w:sz w:val="24"/>
                <w:szCs w:val="24"/>
                <w:lang w:val="zh-CN" w:eastAsia="zh-CN"/>
              </w:rPr>
              <w:t>厂家售后服务承诺书得</w:t>
            </w:r>
            <w:r>
              <w:rPr>
                <w:rFonts w:hint="eastAsia" w:asciiTheme="minorEastAsia" w:hAnsiTheme="minorEastAsia"/>
                <w:kern w:val="0"/>
                <w:sz w:val="24"/>
                <w:szCs w:val="24"/>
                <w:lang w:val="en-US" w:eastAsia="zh-CN"/>
              </w:rPr>
              <w:t>1</w:t>
            </w:r>
            <w:r>
              <w:rPr>
                <w:rFonts w:hint="eastAsia" w:asciiTheme="minorEastAsia" w:hAnsiTheme="minorEastAsia"/>
                <w:kern w:val="0"/>
                <w:sz w:val="24"/>
                <w:szCs w:val="24"/>
                <w:lang w:val="zh-CN" w:eastAsia="zh-CN"/>
              </w:rPr>
              <w:t>分;</w:t>
            </w:r>
          </w:p>
          <w:p>
            <w:pPr>
              <w:pStyle w:val="50"/>
              <w:keepNext w:val="0"/>
              <w:keepLines w:val="0"/>
              <w:numPr>
                <w:ilvl w:val="0"/>
                <w:numId w:val="0"/>
              </w:numPr>
              <w:suppressLineNumbers w:val="0"/>
              <w:spacing w:before="0" w:beforeAutospacing="0" w:after="0" w:afterAutospacing="0"/>
              <w:ind w:left="0" w:right="0"/>
              <w:rPr>
                <w:rFonts w:hint="eastAsia"/>
                <w:lang w:val="zh-CN" w:eastAsia="zh-CN"/>
              </w:rPr>
            </w:pPr>
            <w:r>
              <w:rPr>
                <w:rFonts w:hint="eastAsia" w:asciiTheme="minorEastAsia" w:hAnsiTheme="minorEastAsia"/>
                <w:kern w:val="0"/>
                <w:sz w:val="24"/>
                <w:szCs w:val="24"/>
                <w:lang w:val="en-US" w:eastAsia="zh-CN"/>
              </w:rPr>
              <w:t>2、</w:t>
            </w:r>
            <w:r>
              <w:rPr>
                <w:rFonts w:hint="eastAsia" w:asciiTheme="minorEastAsia" w:hAnsiTheme="minorEastAsia"/>
                <w:kern w:val="0"/>
                <w:sz w:val="24"/>
                <w:szCs w:val="24"/>
                <w:lang w:val="zh-CN" w:eastAsia="zh-CN"/>
              </w:rPr>
              <w:t>提供</w:t>
            </w:r>
            <w:r>
              <w:rPr>
                <w:rFonts w:hint="eastAsia"/>
                <w:sz w:val="24"/>
                <w:szCs w:val="24"/>
              </w:rPr>
              <w:t>室内P1.86全彩副屏</w:t>
            </w:r>
            <w:r>
              <w:rPr>
                <w:rFonts w:hint="eastAsia" w:asciiTheme="minorEastAsia" w:hAnsiTheme="minorEastAsia"/>
                <w:kern w:val="0"/>
                <w:sz w:val="24"/>
                <w:szCs w:val="24"/>
                <w:lang w:val="zh-CN" w:eastAsia="zh-CN"/>
              </w:rPr>
              <w:t>厂家售后服务承诺书得</w:t>
            </w:r>
            <w:r>
              <w:rPr>
                <w:rFonts w:hint="eastAsia" w:asciiTheme="minorEastAsia" w:hAnsiTheme="minorEastAsia"/>
                <w:kern w:val="0"/>
                <w:sz w:val="24"/>
                <w:szCs w:val="24"/>
                <w:lang w:val="en-US" w:eastAsia="zh-CN"/>
              </w:rPr>
              <w:t>1</w:t>
            </w:r>
            <w:r>
              <w:rPr>
                <w:rFonts w:hint="eastAsia" w:asciiTheme="minorEastAsia" w:hAnsiTheme="minorEastAsia"/>
                <w:kern w:val="0"/>
                <w:sz w:val="24"/>
                <w:szCs w:val="24"/>
                <w:lang w:val="zh-CN" w:eastAsia="zh-CN"/>
              </w:rPr>
              <w:t>分;</w:t>
            </w:r>
          </w:p>
          <w:p>
            <w:pPr>
              <w:keepNext w:val="0"/>
              <w:keepLines w:val="0"/>
              <w:suppressLineNumbers w:val="0"/>
              <w:snapToGrid w:val="0"/>
              <w:spacing w:before="0" w:beforeAutospacing="0" w:after="0" w:afterAutospacing="0" w:line="312" w:lineRule="auto"/>
              <w:ind w:left="0" w:right="0"/>
              <w:jc w:val="left"/>
              <w:rPr>
                <w:rFonts w:hint="eastAsia" w:asciiTheme="minorEastAsia" w:hAnsiTheme="minorEastAsia"/>
                <w:kern w:val="0"/>
                <w:sz w:val="24"/>
                <w:szCs w:val="24"/>
              </w:rPr>
            </w:pPr>
            <w:r>
              <w:rPr>
                <w:rFonts w:hint="eastAsia" w:asciiTheme="minorEastAsia" w:hAnsiTheme="minorEastAsia"/>
                <w:kern w:val="0"/>
                <w:sz w:val="24"/>
                <w:szCs w:val="24"/>
                <w:lang w:val="en-US" w:eastAsia="zh-CN"/>
              </w:rPr>
              <w:t>3、</w:t>
            </w:r>
            <w:r>
              <w:rPr>
                <w:rFonts w:hint="eastAsia" w:asciiTheme="minorEastAsia" w:hAnsiTheme="minorEastAsia"/>
                <w:kern w:val="0"/>
                <w:sz w:val="24"/>
                <w:szCs w:val="24"/>
                <w:lang w:val="zh-CN" w:eastAsia="zh-CN"/>
              </w:rPr>
              <w:t>提供视频处理器厂家售后服务承诺书得2分。</w:t>
            </w:r>
          </w:p>
        </w:tc>
        <w:tc>
          <w:tcPr>
            <w:tcW w:w="1426" w:type="dxa"/>
            <w:noWrap/>
            <w:vAlign w:val="center"/>
          </w:tcPr>
          <w:p>
            <w:pPr>
              <w:keepNext w:val="0"/>
              <w:keepLines w:val="0"/>
              <w:suppressLineNumbers w:val="0"/>
              <w:snapToGrid w:val="0"/>
              <w:spacing w:before="0" w:beforeAutospacing="0" w:after="0" w:afterAutospacing="0" w:line="312" w:lineRule="auto"/>
              <w:ind w:left="0" w:right="0" w:firstLine="480" w:firstLineChars="200"/>
              <w:jc w:val="left"/>
              <w:rPr>
                <w:rFonts w:hint="eastAsia" w:asciiTheme="minorEastAsia" w:hAnsiTheme="minorEastAsia"/>
                <w:kern w:val="0"/>
                <w:sz w:val="24"/>
                <w:szCs w:val="24"/>
              </w:rPr>
            </w:pPr>
            <w:r>
              <w:rPr>
                <w:rFonts w:hint="eastAsia" w:asciiTheme="minorEastAsia" w:hAnsiTheme="minorEastAsia"/>
                <w:kern w:val="0"/>
                <w:sz w:val="24"/>
                <w:szCs w:val="24"/>
                <w:lang w:val="zh-CN" w:eastAsia="zh-CN"/>
              </w:rPr>
              <w:t>提供售后服务承诺函原件并加盖投标人公章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8" w:hRule="atLeast"/>
          <w:jc w:val="center"/>
        </w:trPr>
        <w:tc>
          <w:tcPr>
            <w:tcW w:w="555"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5</w:t>
            </w:r>
          </w:p>
        </w:tc>
        <w:tc>
          <w:tcPr>
            <w:tcW w:w="1623"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节能、环境标志</w:t>
            </w:r>
            <w:r>
              <w:rPr>
                <w:rFonts w:hint="eastAsia" w:asciiTheme="minorEastAsia" w:hAnsiTheme="minorEastAsia"/>
                <w:kern w:val="0"/>
                <w:sz w:val="24"/>
                <w:szCs w:val="24"/>
                <w:lang w:val="en-US" w:eastAsia="zh-CN"/>
              </w:rPr>
              <w:t>1</w:t>
            </w:r>
            <w:r>
              <w:rPr>
                <w:rFonts w:hint="eastAsia" w:asciiTheme="minorEastAsia" w:hAnsiTheme="minorEastAsia"/>
                <w:kern w:val="0"/>
                <w:sz w:val="24"/>
                <w:szCs w:val="24"/>
              </w:rPr>
              <w:t>%（共同评分因素）</w:t>
            </w:r>
          </w:p>
        </w:tc>
        <w:tc>
          <w:tcPr>
            <w:tcW w:w="1062"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lang w:val="en-US" w:eastAsia="zh-CN"/>
              </w:rPr>
              <w:t>1</w:t>
            </w:r>
            <w:r>
              <w:rPr>
                <w:rFonts w:hint="eastAsia" w:asciiTheme="minorEastAsia" w:hAnsiTheme="minorEastAsia"/>
                <w:kern w:val="0"/>
                <w:sz w:val="24"/>
                <w:szCs w:val="24"/>
              </w:rPr>
              <w:t>分</w:t>
            </w:r>
          </w:p>
        </w:tc>
        <w:tc>
          <w:tcPr>
            <w:tcW w:w="4034" w:type="dxa"/>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供应商所投产品为节能产品（国家强制节能产品除外）或者环境标志产品的得</w:t>
            </w:r>
            <w:r>
              <w:rPr>
                <w:rFonts w:hint="eastAsia" w:asciiTheme="minorEastAsia" w:hAnsiTheme="minorEastAsia"/>
                <w:kern w:val="0"/>
                <w:sz w:val="24"/>
                <w:szCs w:val="24"/>
                <w:lang w:val="en-US" w:eastAsia="zh-CN"/>
              </w:rPr>
              <w:t>1</w:t>
            </w:r>
            <w:r>
              <w:rPr>
                <w:rFonts w:hint="eastAsia" w:asciiTheme="minorEastAsia" w:hAnsiTheme="minorEastAsia"/>
                <w:kern w:val="0"/>
                <w:sz w:val="24"/>
                <w:szCs w:val="24"/>
              </w:rPr>
              <w:t>分。本项最多得</w:t>
            </w:r>
            <w:r>
              <w:rPr>
                <w:rFonts w:hint="eastAsia" w:asciiTheme="minorEastAsia" w:hAnsiTheme="minorEastAsia"/>
                <w:kern w:val="0"/>
                <w:sz w:val="24"/>
                <w:szCs w:val="24"/>
                <w:lang w:val="en-US" w:eastAsia="zh-CN"/>
              </w:rPr>
              <w:t>1</w:t>
            </w:r>
            <w:r>
              <w:rPr>
                <w:rFonts w:hint="eastAsia" w:asciiTheme="minorEastAsia" w:hAnsiTheme="minorEastAsia"/>
                <w:kern w:val="0"/>
                <w:sz w:val="24"/>
                <w:szCs w:val="24"/>
              </w:rPr>
              <w:t>分。</w:t>
            </w:r>
            <w:r>
              <w:rPr>
                <w:rFonts w:hint="eastAsia" w:asciiTheme="minorEastAsia" w:hAnsiTheme="minorEastAsia"/>
                <w:kern w:val="0"/>
                <w:sz w:val="24"/>
                <w:szCs w:val="24"/>
              </w:rPr>
              <w:br w:type="textWrapping"/>
            </w:r>
            <w:r>
              <w:rPr>
                <w:rFonts w:hint="eastAsia" w:asciiTheme="minorEastAsia" w:hAnsiTheme="minorEastAsia"/>
                <w:kern w:val="0"/>
                <w:sz w:val="24"/>
                <w:szCs w:val="24"/>
              </w:rPr>
              <w:t>根据《节能产品政府采购品目清单》、《环境标志产品政府采购品目清单》，以市场监管总局2019年第16号公布的认证机构出具的处于有效期之内的节能产品、环境标志产品认证证书为准。</w:t>
            </w:r>
          </w:p>
        </w:tc>
        <w:tc>
          <w:tcPr>
            <w:tcW w:w="1426" w:type="dxa"/>
            <w:noWrap/>
            <w:vAlign w:val="center"/>
          </w:tcPr>
          <w:p>
            <w:pPr>
              <w:keepNext w:val="0"/>
              <w:keepLines w:val="0"/>
              <w:suppressLineNumbers w:val="0"/>
              <w:spacing w:before="0" w:beforeAutospacing="0" w:after="200" w:afterAutospacing="0" w:line="360" w:lineRule="exact"/>
              <w:ind w:left="0" w:right="0"/>
              <w:rPr>
                <w:rFonts w:hint="eastAsia" w:eastAsia="宋体" w:asciiTheme="minorEastAsia" w:hAnsiTheme="minorEastAsia"/>
                <w:kern w:val="0"/>
                <w:sz w:val="24"/>
                <w:szCs w:val="24"/>
                <w:u w:val="single"/>
                <w:lang w:eastAsia="zh-CN"/>
              </w:rPr>
            </w:pPr>
            <w:r>
              <w:rPr>
                <w:rFonts w:hint="eastAsia" w:asciiTheme="minorEastAsia" w:hAnsiTheme="minorEastAsia"/>
                <w:kern w:val="0"/>
                <w:sz w:val="24"/>
                <w:szCs w:val="24"/>
              </w:rPr>
              <w:t>提供产品认证证书复印件</w:t>
            </w:r>
            <w:r>
              <w:rPr>
                <w:rFonts w:hint="eastAsia" w:asciiTheme="minorEastAsia" w:hAnsiTheme="minorEastAsia"/>
                <w:kern w:val="0"/>
                <w:sz w:val="24"/>
                <w:szCs w:val="24"/>
                <w:lang w:eastAsia="zh-CN"/>
              </w:rPr>
              <w:t>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8700" w:type="dxa"/>
            <w:gridSpan w:val="5"/>
            <w:noWrap/>
            <w:vAlign w:val="center"/>
          </w:tcPr>
          <w:p>
            <w:pPr>
              <w:keepNext w:val="0"/>
              <w:keepLines w:val="0"/>
              <w:suppressLineNumbers w:val="0"/>
              <w:spacing w:before="0" w:beforeAutospacing="0" w:after="200" w:afterAutospacing="0" w:line="360" w:lineRule="exact"/>
              <w:ind w:left="0" w:right="0"/>
              <w:rPr>
                <w:rFonts w:hint="eastAsia" w:asciiTheme="minorEastAsia" w:hAnsiTheme="minorEastAsia"/>
                <w:kern w:val="0"/>
                <w:sz w:val="24"/>
                <w:szCs w:val="24"/>
              </w:rPr>
            </w:pPr>
            <w:r>
              <w:rPr>
                <w:rFonts w:hint="eastAsia" w:asciiTheme="minorEastAsia" w:hAnsiTheme="minorEastAsia"/>
                <w:kern w:val="0"/>
                <w:sz w:val="24"/>
                <w:szCs w:val="24"/>
              </w:rPr>
              <w:t>100分</w:t>
            </w:r>
          </w:p>
        </w:tc>
      </w:tr>
    </w:tbl>
    <w:p>
      <w:pPr>
        <w:rPr>
          <w:rFonts w:hint="eastAsia" w:ascii="宋体" w:hAnsi="宋体"/>
          <w:sz w:val="28"/>
        </w:rPr>
      </w:pPr>
    </w:p>
    <w:p>
      <w:pPr>
        <w:ind w:firstLine="560" w:firstLineChars="20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78" w:name="_Toc1219"/>
      <w:r>
        <w:rPr>
          <w:rFonts w:hint="eastAsia" w:ascii="宋体" w:hAnsi="宋体"/>
          <w:b/>
          <w:bCs/>
          <w:sz w:val="28"/>
          <w:szCs w:val="28"/>
        </w:rPr>
        <w:t>废标</w:t>
      </w:r>
      <w:bookmarkEnd w:id="178"/>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79" w:name="_Toc29500"/>
      <w:r>
        <w:rPr>
          <w:rFonts w:hint="eastAsia" w:ascii="宋体" w:hAnsi="宋体"/>
          <w:b/>
          <w:bCs/>
          <w:sz w:val="28"/>
          <w:szCs w:val="28"/>
        </w:rPr>
        <w:t>定标</w:t>
      </w:r>
      <w:bookmarkEnd w:id="179"/>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区交易中心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w:t>
      </w:r>
      <w:r>
        <w:rPr>
          <w:rFonts w:hint="eastAsia" w:ascii="宋体" w:hAnsi="宋体" w:cs="Helvetica"/>
          <w:sz w:val="28"/>
          <w:szCs w:val="28"/>
          <w:lang w:eastAsia="zh-CN"/>
        </w:rPr>
        <w:t>区交易中心</w:t>
      </w:r>
      <w:r>
        <w:rPr>
          <w:rFonts w:hint="eastAsia" w:ascii="宋体" w:hAnsi="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区交易中心</w:t>
      </w:r>
      <w:r>
        <w:rPr>
          <w:rFonts w:hint="eastAsia" w:ascii="宋体" w:hAnsi="宋体" w:cs="Helvetica"/>
          <w:sz w:val="28"/>
          <w:szCs w:val="28"/>
        </w:rPr>
        <w:t>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80" w:name="_Toc21940"/>
      <w:r>
        <w:rPr>
          <w:rFonts w:hint="eastAsia" w:ascii="宋体" w:hAnsi="宋体"/>
          <w:b/>
          <w:bCs/>
          <w:sz w:val="28"/>
          <w:szCs w:val="28"/>
        </w:rPr>
        <w:t>评标专家在政府采购活动中承担以下义务</w:t>
      </w:r>
      <w:bookmarkEnd w:id="180"/>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答复投标人的询问、质疑，配合财政部门的投诉处理工作等事宜。</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181" w:name="_Toc31508"/>
      <w:r>
        <w:rPr>
          <w:rFonts w:hint="eastAsia" w:ascii="宋体" w:hAnsi="宋体"/>
          <w:b/>
          <w:bCs/>
          <w:sz w:val="28"/>
          <w:szCs w:val="28"/>
        </w:rPr>
        <w:t>评标委员会及其成员不得有下列行为</w:t>
      </w:r>
      <w:bookmarkEnd w:id="181"/>
    </w:p>
    <w:p>
      <w:pPr>
        <w:numPr>
          <w:ilvl w:val="0"/>
          <w:numId w:val="48"/>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8"/>
          <w:szCs w:val="28"/>
        </w:rPr>
      </w:pPr>
      <w:bookmarkStart w:id="182" w:name="_Toc24910"/>
      <w:r>
        <w:rPr>
          <w:rFonts w:hint="eastAsia" w:ascii="宋体" w:hAnsi="宋体"/>
          <w:b/>
          <w:bCs/>
          <w:sz w:val="28"/>
          <w:szCs w:val="28"/>
        </w:rPr>
        <w:t>评审专家在政府采购活动中应当遵守以下工作纪律</w:t>
      </w:r>
      <w:bookmarkEnd w:id="182"/>
    </w:p>
    <w:p>
      <w:pPr>
        <w:numPr>
          <w:ilvl w:val="0"/>
          <w:numId w:val="49"/>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eastAsia="zh-CN"/>
        </w:rPr>
        <w:t>区</w:t>
      </w:r>
      <w:r>
        <w:rPr>
          <w:rFonts w:hint="eastAsia" w:ascii="宋体" w:hAnsi="宋体"/>
          <w:sz w:val="28"/>
          <w:szCs w:val="28"/>
        </w:rPr>
        <w:t>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lang w:eastAsia="zh-CN"/>
        </w:rPr>
        <w:t>区交易中心</w:t>
      </w:r>
      <w:r>
        <w:rPr>
          <w:rFonts w:hint="eastAsia" w:ascii="宋体" w:hAnsi="宋体"/>
          <w:sz w:val="28"/>
          <w:szCs w:val="28"/>
        </w:rPr>
        <w:t>，不得私自转托他人。</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lang w:eastAsia="zh-CN"/>
        </w:rPr>
        <w:t>区交易中心</w:t>
      </w:r>
      <w:r>
        <w:rPr>
          <w:rFonts w:hint="eastAsia" w:ascii="宋体" w:hAnsi="宋体"/>
          <w:sz w:val="28"/>
          <w:szCs w:val="28"/>
        </w:rPr>
        <w:t>也可要求该评审专家回避。</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eastAsia="zh-CN"/>
        </w:rPr>
        <w:t>区</w:t>
      </w:r>
      <w:r>
        <w:rPr>
          <w:rFonts w:hint="eastAsia" w:ascii="宋体" w:hAnsi="宋体"/>
          <w:sz w:val="28"/>
          <w:szCs w:val="28"/>
        </w:rPr>
        <w:t>交易中心提供的通信设备，在监督人员监督之下办理。</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lang w:eastAsia="zh-CN"/>
        </w:rPr>
        <w:t>区交易中心</w:t>
      </w:r>
      <w:r>
        <w:rPr>
          <w:rFonts w:hint="eastAsia" w:ascii="宋体" w:hAnsi="宋体"/>
          <w:sz w:val="28"/>
          <w:szCs w:val="28"/>
        </w:rPr>
        <w:t>的现场秩序管理，接受评标现场监督人员的合法监督。</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bookmarkEnd w:id="151"/>
    <w:bookmarkEnd w:id="152"/>
    <w:p>
      <w:pPr>
        <w:rPr>
          <w:rFonts w:ascii="宋体" w:hAnsi="宋体"/>
          <w:b/>
          <w:bCs/>
          <w:spacing w:val="-20"/>
          <w:kern w:val="44"/>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Cs w:val="32"/>
        </w:rPr>
      </w:pPr>
      <w:bookmarkStart w:id="183" w:name="_Toc13699"/>
      <w:r>
        <w:rPr>
          <w:rFonts w:hint="eastAsia" w:ascii="宋体" w:hAnsi="宋体"/>
          <w:b/>
          <w:bCs/>
          <w:spacing w:val="-20"/>
          <w:kern w:val="44"/>
          <w:sz w:val="32"/>
          <w:szCs w:val="32"/>
        </w:rPr>
        <w:t>拟签订合同</w:t>
      </w:r>
      <w:bookmarkEnd w:id="0"/>
      <w:bookmarkEnd w:id="1"/>
      <w:bookmarkEnd w:id="2"/>
      <w:bookmarkEnd w:id="3"/>
      <w:bookmarkStart w:id="184" w:name="_Toc277152522"/>
      <w:bookmarkEnd w:id="184"/>
      <w:bookmarkStart w:id="185" w:name="_Toc316475665"/>
      <w:bookmarkEnd w:id="185"/>
      <w:bookmarkStart w:id="186" w:name="_Toc299975392"/>
      <w:bookmarkEnd w:id="186"/>
      <w:bookmarkStart w:id="187" w:name="_Toc277152520"/>
      <w:bookmarkEnd w:id="187"/>
      <w:bookmarkStart w:id="188" w:name="_Toc316475758"/>
      <w:bookmarkEnd w:id="188"/>
      <w:bookmarkStart w:id="189" w:name="_Toc214858832"/>
      <w:bookmarkEnd w:id="189"/>
      <w:bookmarkStart w:id="190" w:name="_Toc316475762"/>
      <w:bookmarkEnd w:id="190"/>
      <w:bookmarkStart w:id="191" w:name="_Toc316475672"/>
      <w:bookmarkEnd w:id="191"/>
      <w:bookmarkStart w:id="192" w:name="_Toc316475754"/>
      <w:bookmarkEnd w:id="192"/>
      <w:bookmarkStart w:id="193" w:name="_Toc316475666"/>
      <w:bookmarkEnd w:id="193"/>
      <w:bookmarkStart w:id="194" w:name="_Toc316475756"/>
      <w:bookmarkEnd w:id="194"/>
      <w:bookmarkStart w:id="195" w:name="_Toc316475677"/>
      <w:bookmarkEnd w:id="195"/>
      <w:bookmarkStart w:id="196" w:name="_Toc316475675"/>
      <w:bookmarkEnd w:id="196"/>
      <w:bookmarkStart w:id="197" w:name="_Toc316475668"/>
      <w:bookmarkEnd w:id="197"/>
      <w:bookmarkStart w:id="198" w:name="_Toc316475764"/>
      <w:bookmarkEnd w:id="198"/>
      <w:bookmarkStart w:id="199" w:name="_Toc316475673"/>
      <w:bookmarkEnd w:id="199"/>
      <w:bookmarkStart w:id="200" w:name="_Toc316475753"/>
      <w:bookmarkEnd w:id="200"/>
      <w:bookmarkStart w:id="201" w:name="_Toc316475664"/>
      <w:bookmarkEnd w:id="201"/>
      <w:bookmarkStart w:id="202" w:name="_Toc316475669"/>
      <w:bookmarkEnd w:id="202"/>
      <w:bookmarkStart w:id="203" w:name="_Toc316475667"/>
      <w:bookmarkEnd w:id="203"/>
      <w:bookmarkStart w:id="204" w:name="_Toc316475763"/>
      <w:bookmarkEnd w:id="204"/>
      <w:bookmarkStart w:id="205" w:name="_Toc316475759"/>
      <w:bookmarkEnd w:id="205"/>
      <w:bookmarkStart w:id="206" w:name="_Toc316475757"/>
      <w:bookmarkEnd w:id="206"/>
      <w:bookmarkStart w:id="207" w:name="_Toc316475676"/>
      <w:bookmarkEnd w:id="207"/>
      <w:bookmarkStart w:id="208" w:name="_Toc299975364"/>
      <w:bookmarkEnd w:id="208"/>
      <w:bookmarkStart w:id="209" w:name="_Toc316475752"/>
      <w:bookmarkEnd w:id="209"/>
      <w:bookmarkStart w:id="210" w:name="_Toc316475670"/>
      <w:bookmarkEnd w:id="210"/>
      <w:bookmarkStart w:id="211" w:name="_Toc277152521"/>
      <w:bookmarkEnd w:id="211"/>
      <w:bookmarkStart w:id="212" w:name="_Toc316475674"/>
      <w:bookmarkEnd w:id="212"/>
      <w:bookmarkStart w:id="213" w:name="_Toc316475671"/>
      <w:bookmarkEnd w:id="213"/>
      <w:bookmarkStart w:id="214" w:name="_Toc316475751"/>
      <w:bookmarkEnd w:id="214"/>
      <w:bookmarkStart w:id="215" w:name="_Toc316475755"/>
      <w:bookmarkEnd w:id="215"/>
      <w:bookmarkStart w:id="216" w:name="_Toc277152523"/>
      <w:bookmarkEnd w:id="216"/>
      <w:bookmarkStart w:id="217" w:name="_Toc316475761"/>
      <w:bookmarkEnd w:id="217"/>
      <w:bookmarkStart w:id="218" w:name="_Toc316475760"/>
      <w:bookmarkEnd w:id="218"/>
      <w:bookmarkStart w:id="219" w:name="_Toc8573798"/>
      <w:bookmarkStart w:id="220" w:name="_Toc217446108"/>
      <w:bookmarkStart w:id="221" w:name="_Toc34729074"/>
      <w:r>
        <w:rPr>
          <w:rFonts w:hint="eastAsia" w:ascii="宋体" w:hAnsi="宋体"/>
          <w:b/>
          <w:bCs/>
          <w:spacing w:val="-20"/>
          <w:kern w:val="44"/>
          <w:sz w:val="32"/>
          <w:szCs w:val="32"/>
        </w:rPr>
        <w:t>文本</w:t>
      </w:r>
      <w:bookmarkEnd w:id="183"/>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 xml:space="preserve">合同编号：XXX                                         </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 xml:space="preserve">签订地点：XXX                                         </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 xml:space="preserve">签订时间：XXX年XXX月XXX日                                         </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 xml:space="preserve">采购人（甲方）：XXX                                          </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 xml:space="preserve">供应商（乙方）：XXX                                          </w:t>
      </w:r>
    </w:p>
    <w:p>
      <w:pPr>
        <w:spacing w:line="400" w:lineRule="exact"/>
        <w:rPr>
          <w:rFonts w:hint="eastAsia" w:ascii="宋体" w:hAnsi="宋体" w:eastAsia="宋体" w:cs="Times New Roman"/>
          <w:kern w:val="2"/>
          <w:sz w:val="28"/>
          <w:szCs w:val="28"/>
          <w:lang w:val="en-US" w:eastAsia="zh-CN" w:bidi="ar-SA"/>
        </w:rPr>
      </w:pP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根据《中华人民共和国政府采购法》、《中华人民共和国民法典》及XXX采购项目（项目编号：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103"/>
        <w:ind w:firstLine="480"/>
        <w:rPr>
          <w:rFonts w:hint="eastAsia" w:ascii="宋体" w:hAnsi="宋体" w:eastAsia="宋体" w:cs="Times New Roman"/>
          <w:kern w:val="2"/>
          <w:sz w:val="28"/>
          <w:szCs w:val="28"/>
          <w:lang w:val="en-US" w:eastAsia="zh-CN" w:bidi="ar-SA"/>
        </w:rPr>
      </w:pPr>
    </w:p>
    <w:p>
      <w:pPr>
        <w:numPr>
          <w:ilvl w:val="0"/>
          <w:numId w:val="50"/>
        </w:numPr>
        <w:outlineLvl w:val="1"/>
        <w:rPr>
          <w:rFonts w:hint="eastAsia" w:ascii="宋体" w:hAnsi="宋体" w:eastAsia="宋体" w:cs="Times New Roman"/>
          <w:kern w:val="2"/>
          <w:sz w:val="28"/>
          <w:szCs w:val="28"/>
          <w:lang w:val="en-US" w:eastAsia="zh-CN" w:bidi="ar-SA"/>
        </w:rPr>
      </w:pPr>
      <w:bookmarkStart w:id="222" w:name="_Toc18027"/>
      <w:bookmarkStart w:id="223" w:name="_Toc32708"/>
      <w:r>
        <w:rPr>
          <w:rFonts w:hint="eastAsia" w:ascii="宋体" w:hAnsi="宋体" w:eastAsia="宋体" w:cs="Times New Roman"/>
          <w:kern w:val="2"/>
          <w:sz w:val="28"/>
          <w:szCs w:val="28"/>
          <w:lang w:val="en-US" w:eastAsia="zh-CN" w:bidi="ar-SA"/>
        </w:rPr>
        <w:t>合同货物</w:t>
      </w:r>
      <w:bookmarkEnd w:id="222"/>
      <w:bookmarkEnd w:id="223"/>
    </w:p>
    <w:tbl>
      <w:tblPr>
        <w:tblStyle w:val="42"/>
        <w:tblW w:w="939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6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货物品名</w:t>
            </w:r>
          </w:p>
        </w:tc>
        <w:tc>
          <w:tcPr>
            <w:tcW w:w="102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规格</w:t>
            </w:r>
          </w:p>
          <w:p>
            <w:pPr>
              <w:keepNext w:val="0"/>
              <w:keepLines w:val="0"/>
              <w:suppressLineNumbers w:val="0"/>
              <w:spacing w:before="0" w:beforeAutospacing="0" w:after="0" w:afterAutospacing="0"/>
              <w:ind w:left="0" w:right="0"/>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型号</w:t>
            </w:r>
          </w:p>
        </w:tc>
        <w:tc>
          <w:tcPr>
            <w:tcW w:w="604"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单位</w:t>
            </w:r>
          </w:p>
        </w:tc>
        <w:tc>
          <w:tcPr>
            <w:tcW w:w="531"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数量</w:t>
            </w:r>
          </w:p>
        </w:tc>
        <w:tc>
          <w:tcPr>
            <w:tcW w:w="1064"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单价</w:t>
            </w:r>
          </w:p>
          <w:p>
            <w:pPr>
              <w:keepNext w:val="0"/>
              <w:keepLines w:val="0"/>
              <w:suppressLineNumbers w:val="0"/>
              <w:spacing w:before="0" w:beforeAutospacing="0" w:after="0" w:afterAutospacing="0"/>
              <w:ind w:left="0" w:right="0"/>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（元）</w:t>
            </w:r>
          </w:p>
        </w:tc>
        <w:tc>
          <w:tcPr>
            <w:tcW w:w="888"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2" w:leftChars="-1" w:right="-88" w:rightChars="-42"/>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总价</w:t>
            </w:r>
          </w:p>
          <w:p>
            <w:pPr>
              <w:keepNext w:val="0"/>
              <w:keepLines w:val="0"/>
              <w:suppressLineNumbers w:val="0"/>
              <w:spacing w:before="0" w:beforeAutospacing="0" w:after="0" w:afterAutospacing="0"/>
              <w:ind w:left="-2" w:leftChars="-1" w:right="-88" w:rightChars="-42"/>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（元）</w:t>
            </w:r>
          </w:p>
        </w:tc>
        <w:tc>
          <w:tcPr>
            <w:tcW w:w="917"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随机</w:t>
            </w:r>
          </w:p>
          <w:p>
            <w:pPr>
              <w:keepNext w:val="0"/>
              <w:keepLines w:val="0"/>
              <w:suppressLineNumbers w:val="0"/>
              <w:spacing w:before="0" w:beforeAutospacing="0" w:after="0" w:afterAutospacing="0"/>
              <w:ind w:left="0" w:right="0"/>
              <w:jc w:val="center"/>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配件</w:t>
            </w:r>
          </w:p>
        </w:tc>
        <w:tc>
          <w:tcPr>
            <w:tcW w:w="932"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46" w:leftChars="-22" w:right="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交货期</w:t>
            </w:r>
          </w:p>
        </w:tc>
        <w:tc>
          <w:tcPr>
            <w:tcW w:w="2142"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r>
              <w:rPr>
                <w:rFonts w:hint="eastAsia" w:ascii="宋体" w:hAnsi="宋体" w:eastAsia="宋体" w:cs="Times New Roman"/>
                <w:kern w:val="2"/>
                <w:sz w:val="28"/>
                <w:szCs w:val="28"/>
                <w:lang w:val="zh-CN" w:eastAsia="zh-CN" w:bidi="ar-SA"/>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eastAsia="宋体" w:cs="Times New Roman"/>
                <w:kern w:val="2"/>
                <w:sz w:val="28"/>
                <w:szCs w:val="28"/>
                <w:lang w:val="en-US" w:eastAsia="zh-CN" w:bidi="ar-SA"/>
              </w:rPr>
            </w:pPr>
          </w:p>
        </w:tc>
        <w:tc>
          <w:tcPr>
            <w:tcW w:w="1027"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604"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eastAsia="宋体" w:cs="Times New Roman"/>
                <w:kern w:val="2"/>
                <w:sz w:val="28"/>
                <w:szCs w:val="28"/>
                <w:lang w:val="en-US" w:eastAsia="zh-CN" w:bidi="ar-SA"/>
              </w:rPr>
            </w:pPr>
          </w:p>
        </w:tc>
        <w:tc>
          <w:tcPr>
            <w:tcW w:w="531"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eastAsia="宋体" w:cs="Times New Roman"/>
                <w:kern w:val="2"/>
                <w:sz w:val="28"/>
                <w:szCs w:val="28"/>
                <w:lang w:val="en-US" w:eastAsia="zh-CN" w:bidi="ar-SA"/>
              </w:rPr>
            </w:pPr>
          </w:p>
        </w:tc>
        <w:tc>
          <w:tcPr>
            <w:tcW w:w="1064"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888"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eastAsia="宋体" w:cs="Times New Roman"/>
                <w:kern w:val="2"/>
                <w:sz w:val="28"/>
                <w:szCs w:val="28"/>
                <w:lang w:val="en-US" w:eastAsia="zh-CN" w:bidi="ar-SA"/>
              </w:rPr>
            </w:pPr>
          </w:p>
        </w:tc>
        <w:tc>
          <w:tcPr>
            <w:tcW w:w="917"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932"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rPr>
                <w:rFonts w:hint="eastAsia" w:ascii="宋体" w:hAnsi="宋体" w:eastAsia="宋体" w:cs="Times New Roman"/>
                <w:kern w:val="2"/>
                <w:sz w:val="28"/>
                <w:szCs w:val="28"/>
                <w:lang w:val="en-US" w:eastAsia="zh-CN" w:bidi="ar-SA"/>
              </w:rPr>
            </w:pP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r>
              <w:rPr>
                <w:rFonts w:hint="eastAsia" w:ascii="宋体" w:hAnsi="宋体" w:eastAsia="宋体" w:cs="Times New Roman"/>
                <w:kern w:val="2"/>
                <w:sz w:val="28"/>
                <w:szCs w:val="28"/>
                <w:lang w:val="zh-CN" w:eastAsia="zh-CN" w:bidi="ar-SA"/>
              </w:rPr>
              <w:t>预算内</w:t>
            </w: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r>
              <w:rPr>
                <w:rFonts w:hint="eastAsia" w:ascii="宋体" w:hAnsi="宋体" w:eastAsia="宋体" w:cs="Times New Roman"/>
                <w:kern w:val="2"/>
                <w:sz w:val="28"/>
                <w:szCs w:val="28"/>
                <w:lang w:val="zh-CN" w:eastAsia="zh-CN" w:bidi="ar-SA"/>
              </w:rPr>
              <w:t>预算外</w:t>
            </w:r>
          </w:p>
        </w:tc>
        <w:tc>
          <w:tcPr>
            <w:tcW w:w="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r>
              <w:rPr>
                <w:rFonts w:hint="eastAsia" w:ascii="宋体" w:hAnsi="宋体" w:eastAsia="宋体" w:cs="Times New Roman"/>
                <w:kern w:val="2"/>
                <w:sz w:val="28"/>
                <w:szCs w:val="28"/>
                <w:lang w:val="zh-CN" w:eastAsia="zh-CN" w:bidi="ar-SA"/>
              </w:rPr>
              <w:t>自</w:t>
            </w:r>
          </w:p>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p>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r>
              <w:rPr>
                <w:rFonts w:hint="eastAsia" w:ascii="宋体" w:hAnsi="宋体" w:eastAsia="宋体" w:cs="Times New Roman"/>
                <w:kern w:val="2"/>
                <w:sz w:val="28"/>
                <w:szCs w:val="28"/>
                <w:lang w:val="zh-CN" w:eastAsia="zh-CN" w:bidi="ar-SA"/>
              </w:rPr>
              <w:t>筹</w:t>
            </w:r>
          </w:p>
        </w:tc>
        <w:tc>
          <w:tcPr>
            <w:tcW w:w="6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r>
              <w:rPr>
                <w:rFonts w:hint="eastAsia" w:ascii="宋体" w:hAnsi="宋体" w:eastAsia="宋体" w:cs="Times New Roman"/>
                <w:kern w:val="2"/>
                <w:sz w:val="28"/>
                <w:szCs w:val="28"/>
                <w:lang w:val="zh-CN" w:eastAsia="zh-CN" w:bidi="ar-SA"/>
              </w:rPr>
              <w:t>其</w:t>
            </w:r>
          </w:p>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p>
          <w:p>
            <w:pPr>
              <w:keepNext w:val="0"/>
              <w:keepLines w:val="0"/>
              <w:suppressLineNumbers w:val="0"/>
              <w:autoSpaceDE w:val="0"/>
              <w:autoSpaceDN w:val="0"/>
              <w:adjustRightInd w:val="0"/>
              <w:spacing w:before="0" w:beforeAutospacing="0" w:after="0" w:afterAutospacing="0"/>
              <w:ind w:left="0" w:right="0"/>
              <w:jc w:val="center"/>
              <w:rPr>
                <w:rFonts w:hint="eastAsia" w:ascii="宋体" w:hAnsi="宋体" w:eastAsia="宋体" w:cs="Times New Roman"/>
                <w:kern w:val="2"/>
                <w:sz w:val="28"/>
                <w:szCs w:val="28"/>
                <w:lang w:val="zh-CN" w:eastAsia="zh-CN" w:bidi="ar-SA"/>
              </w:rPr>
            </w:pPr>
            <w:r>
              <w:rPr>
                <w:rFonts w:hint="eastAsia" w:ascii="宋体" w:hAnsi="宋体" w:eastAsia="宋体" w:cs="Times New Roman"/>
                <w:kern w:val="2"/>
                <w:sz w:val="28"/>
                <w:szCs w:val="28"/>
                <w:lang w:val="zh-CN" w:eastAsia="zh-CN" w:bidi="ar-SA"/>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5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69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10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6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5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10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8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48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c>
          <w:tcPr>
            <w:tcW w:w="693" w:type="dxa"/>
            <w:tcBorders>
              <w:top w:val="single" w:color="auto" w:sz="4" w:space="0"/>
              <w:left w:val="single" w:color="auto" w:sz="4" w:space="0"/>
              <w:bottom w:val="single" w:color="auto" w:sz="4" w:space="0"/>
              <w:right w:val="single" w:color="auto" w:sz="4" w:space="0"/>
            </w:tcBorders>
            <w:noWrap w:val="0"/>
            <w:vAlign w:val="top"/>
          </w:tcPr>
          <w:p>
            <w:pPr>
              <w:keepNext w:val="0"/>
              <w:keepLines w:val="0"/>
              <w:suppressLineNumbers w:val="0"/>
              <w:spacing w:before="0" w:beforeAutospacing="0" w:after="0" w:afterAutospacing="0" w:line="400" w:lineRule="exact"/>
              <w:ind w:left="0" w:right="0"/>
              <w:jc w:val="center"/>
              <w:rPr>
                <w:rFonts w:hint="eastAsia" w:ascii="宋体" w:hAnsi="宋体" w:eastAsia="宋体" w:cs="Times New Roman"/>
                <w:kern w:val="2"/>
                <w:sz w:val="28"/>
                <w:szCs w:val="28"/>
                <w:lang w:val="en-US" w:eastAsia="zh-CN" w:bidi="ar-SA"/>
              </w:rPr>
            </w:pPr>
          </w:p>
        </w:tc>
      </w:tr>
    </w:tbl>
    <w:p>
      <w:pPr>
        <w:rPr>
          <w:rFonts w:hint="eastAsia" w:ascii="宋体" w:hAnsi="宋体" w:eastAsia="宋体" w:cs="Times New Roman"/>
          <w:kern w:val="2"/>
          <w:sz w:val="28"/>
          <w:szCs w:val="28"/>
          <w:lang w:val="en-US" w:eastAsia="zh-CN" w:bidi="ar-SA"/>
        </w:rPr>
      </w:pPr>
    </w:p>
    <w:p>
      <w:pPr>
        <w:spacing w:line="400" w:lineRule="exact"/>
        <w:outlineLvl w:val="1"/>
        <w:rPr>
          <w:rFonts w:hint="eastAsia" w:ascii="宋体" w:hAnsi="宋体" w:eastAsia="宋体" w:cs="Times New Roman"/>
          <w:kern w:val="2"/>
          <w:sz w:val="28"/>
          <w:szCs w:val="28"/>
          <w:lang w:val="en-US" w:eastAsia="zh-CN" w:bidi="ar-SA"/>
        </w:rPr>
      </w:pPr>
      <w:bookmarkStart w:id="224" w:name="_Toc17548"/>
      <w:bookmarkStart w:id="225" w:name="_Toc24518"/>
      <w:r>
        <w:rPr>
          <w:rFonts w:hint="eastAsia" w:ascii="宋体" w:hAnsi="宋体" w:eastAsia="宋体" w:cs="Times New Roman"/>
          <w:kern w:val="2"/>
          <w:sz w:val="28"/>
          <w:szCs w:val="28"/>
          <w:lang w:val="en-US" w:eastAsia="zh-CN" w:bidi="ar-SA"/>
        </w:rPr>
        <w:t>二、合同总价</w:t>
      </w:r>
      <w:bookmarkEnd w:id="224"/>
      <w:bookmarkEnd w:id="225"/>
    </w:p>
    <w:p>
      <w:pPr>
        <w:pStyle w:val="13"/>
        <w:spacing w:line="400" w:lineRule="exact"/>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合同总价为人民币大写：XXX元，即RMB￥XXX元；该合同总价已包括货物（设备）成本、运输、安装、调试、税费、利润、验收合格交付使用之前及保修期内保修服务与备用物件等等所有其他有关各项的含税费用。本合同执行期间合同总价不变，甲方无须另向乙方支付本合同规定之外的其他任何费用。</w:t>
      </w:r>
    </w:p>
    <w:p>
      <w:pPr>
        <w:tabs>
          <w:tab w:val="left" w:pos="2145"/>
        </w:tabs>
        <w:spacing w:line="400" w:lineRule="exact"/>
        <w:rPr>
          <w:rFonts w:hint="eastAsia" w:ascii="宋体" w:hAnsi="宋体" w:eastAsia="宋体" w:cs="Times New Roman"/>
          <w:kern w:val="2"/>
          <w:sz w:val="28"/>
          <w:szCs w:val="28"/>
          <w:lang w:val="en-US" w:eastAsia="zh-CN" w:bidi="ar-SA"/>
        </w:rPr>
      </w:pPr>
    </w:p>
    <w:p>
      <w:pPr>
        <w:tabs>
          <w:tab w:val="left" w:pos="2145"/>
        </w:tabs>
        <w:outlineLvl w:val="1"/>
        <w:rPr>
          <w:rFonts w:hint="eastAsia" w:ascii="宋体" w:hAnsi="宋体" w:eastAsia="宋体" w:cs="Times New Roman"/>
          <w:kern w:val="2"/>
          <w:sz w:val="28"/>
          <w:szCs w:val="28"/>
          <w:lang w:val="en-US" w:eastAsia="zh-CN" w:bidi="ar-SA"/>
        </w:rPr>
      </w:pPr>
      <w:bookmarkStart w:id="226" w:name="_Toc29489"/>
      <w:bookmarkStart w:id="227" w:name="_Toc27470"/>
      <w:r>
        <w:rPr>
          <w:rFonts w:hint="eastAsia" w:ascii="宋体" w:hAnsi="宋体" w:eastAsia="宋体" w:cs="Times New Roman"/>
          <w:kern w:val="2"/>
          <w:sz w:val="28"/>
          <w:szCs w:val="28"/>
          <w:lang w:val="en-US" w:eastAsia="zh-CN" w:bidi="ar-SA"/>
        </w:rPr>
        <w:t>三、质量要求</w:t>
      </w:r>
      <w:bookmarkEnd w:id="226"/>
      <w:bookmarkEnd w:id="227"/>
      <w:r>
        <w:rPr>
          <w:rFonts w:hint="eastAsia" w:ascii="宋体" w:hAnsi="宋体" w:eastAsia="宋体" w:cs="Times New Roman"/>
          <w:kern w:val="2"/>
          <w:sz w:val="28"/>
          <w:szCs w:val="28"/>
          <w:lang w:val="en-US" w:eastAsia="zh-CN" w:bidi="ar-SA"/>
        </w:rPr>
        <w:tab/>
      </w:r>
    </w:p>
    <w:p>
      <w:pPr>
        <w:spacing w:line="360" w:lineRule="auto"/>
        <w:ind w:firstLine="560" w:firstLineChars="200"/>
        <w:rPr>
          <w:rFonts w:hint="eastAsia" w:ascii="宋体" w:hAnsi="宋体" w:eastAsia="宋体" w:cs="Times New Roman"/>
          <w:kern w:val="2"/>
          <w:sz w:val="28"/>
          <w:szCs w:val="28"/>
          <w:lang w:val="en-US" w:eastAsia="zh-CN" w:bidi="ar-SA"/>
        </w:rPr>
      </w:pPr>
      <w:bookmarkStart w:id="228" w:name="_Toc1543"/>
      <w:r>
        <w:rPr>
          <w:rFonts w:hint="eastAsia" w:ascii="宋体" w:hAnsi="宋体" w:eastAsia="宋体" w:cs="Times New Roman"/>
          <w:kern w:val="2"/>
          <w:sz w:val="28"/>
          <w:szCs w:val="28"/>
          <w:lang w:val="en-US" w:eastAsia="zh-CN" w:bidi="ar-SA"/>
        </w:rPr>
        <w:t>1.供应商须提供全新的货物（含零部件、配件等），表面无划伤、无碰撞痕迹，且权属清楚，不得侵害他人的知识产权。所有产品均须符合国家产品的有关质量标准，交货时必须附有该批商品的质量证明书、产品合格证、产品质量检验报告原件等。</w:t>
      </w:r>
    </w:p>
    <w:p>
      <w:pPr>
        <w:spacing w:line="360" w:lineRule="auto"/>
        <w:ind w:firstLine="560" w:firstLineChars="20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2.货物必须符合或优于国家（行业）标准，以及本项目招标文件的质量要求和技术指标与出厂标准。</w:t>
      </w:r>
    </w:p>
    <w:p>
      <w:pPr>
        <w:spacing w:line="360" w:lineRule="auto"/>
        <w:ind w:firstLine="560" w:firstLineChars="20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3.货物制造质量出现问题，供应商应负责三包（包修、包换、包退），费用由供应商负担，采购人有权实地了解和检查供应商的货物质量和供货进度。</w:t>
      </w:r>
    </w:p>
    <w:p>
      <w:pPr>
        <w:spacing w:line="360" w:lineRule="auto"/>
        <w:ind w:firstLine="560" w:firstLineChars="20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4.货到现场后交付采购人使用前由于供应商运输、装卸、保管不当造成的质量问题，采购人不负责修理，费用由供应商负担。</w:t>
      </w:r>
    </w:p>
    <w:p>
      <w:pPr>
        <w:ind w:firstLine="548" w:firstLineChars="196"/>
        <w:outlineLvl w:val="1"/>
        <w:rPr>
          <w:rFonts w:hint="eastAsia" w:ascii="宋体" w:hAnsi="宋体" w:eastAsia="宋体" w:cs="Times New Roman"/>
          <w:kern w:val="2"/>
          <w:sz w:val="28"/>
          <w:szCs w:val="28"/>
          <w:lang w:val="en-US" w:eastAsia="zh-CN" w:bidi="ar-SA"/>
        </w:rPr>
      </w:pPr>
      <w:bookmarkStart w:id="229" w:name="_Toc14473"/>
      <w:r>
        <w:rPr>
          <w:rFonts w:hint="eastAsia" w:ascii="宋体" w:hAnsi="宋体" w:eastAsia="宋体" w:cs="Times New Roman"/>
          <w:kern w:val="2"/>
          <w:sz w:val="28"/>
          <w:szCs w:val="28"/>
          <w:lang w:val="en-US" w:eastAsia="zh-CN" w:bidi="ar-SA"/>
        </w:rPr>
        <w:t>四、交货及验收</w:t>
      </w:r>
      <w:bookmarkEnd w:id="228"/>
      <w:bookmarkEnd w:id="229"/>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1交货时间：合同签订后10个工作日内完成交货、安装、调试，并交付采购人验收使用。</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2.验收由甲方组织，乙方配合进行：</w:t>
      </w:r>
    </w:p>
    <w:p>
      <w:pPr>
        <w:pStyle w:val="103"/>
        <w:spacing w:line="460" w:lineRule="exact"/>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（1）货物在乙方发出验收申请后 7 个工作日内验收。</w:t>
      </w:r>
    </w:p>
    <w:p>
      <w:pPr>
        <w:pStyle w:val="103"/>
        <w:spacing w:line="360" w:lineRule="auto"/>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（2）验收程序：</w:t>
      </w:r>
    </w:p>
    <w:p>
      <w:pPr>
        <w:pStyle w:val="103"/>
        <w:spacing w:line="360" w:lineRule="auto"/>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成立验收小组。甲方及其委托的采购代理机构（下称验收方）成立验收小组，指定负责验收小组工作的直接负责人。验收小组应当由熟悉掌握政府采购项目采购需求、技术需要的人员单数组成。验收小组代表验收方履行验收工作职责。</w:t>
      </w:r>
    </w:p>
    <w:p>
      <w:pPr>
        <w:pStyle w:val="103"/>
        <w:spacing w:line="360" w:lineRule="auto"/>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制定验收方案。验收小组根据政府采购项目的具体情况，制定具体详细的采购项目验收工作方案。验收小组成员应当在实施验收前掌握采购项目采购需求、验收清单和标准、政府采购合同约定的权利义务，并完成其他准备工作。本项目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103"/>
        <w:spacing w:line="360" w:lineRule="auto"/>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验收。现场验收。验收内容包括每一项技术和商务要求的履约情况。每个验收小组成员必须做好验收记录。验收记录要准确、详细记载采购项目重要事项的履约情况。验收时如发现所交付的货物有短装、次品、损坏或其他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03"/>
        <w:spacing w:line="360" w:lineRule="auto"/>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出具验收报告。验收小组完成验收后，应当出具验收报告。验收报告的内容应包括：实施验收过程基本情况陈述，供应商每一项技术、服务、安全标准等履约情况，与政府采购合同约定的权利义务比较情况，验收结论性意见。验收小组成员的个人验收记录和个人验收意见应作为验收报告附件。</w:t>
      </w:r>
    </w:p>
    <w:p>
      <w:pPr>
        <w:pStyle w:val="103"/>
        <w:spacing w:line="360" w:lineRule="auto"/>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其他未尽事宜应严格按照《财政部关于进一步加强政府采购需求和履约验收管理的指导意见》（财库〔2016〕205号）的要求进行。 </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若本次采购项目涉及商品包装和快递包装的，乙方应当按照（财办库〔2020〕123号）和采购文件规定的具体包装要求执行。甲方按照（财办库〔2020〕123号）和采购文件规定的具体包装要求进行验收，必要时可要求乙方在履约验收环节出具检测报告。</w:t>
      </w:r>
    </w:p>
    <w:p>
      <w:pPr>
        <w:ind w:firstLine="548" w:firstLineChars="196"/>
        <w:rPr>
          <w:rFonts w:hint="eastAsia" w:ascii="宋体" w:hAnsi="宋体" w:eastAsia="宋体" w:cs="Times New Roman"/>
          <w:kern w:val="2"/>
          <w:sz w:val="28"/>
          <w:szCs w:val="28"/>
          <w:lang w:val="en-US" w:eastAsia="zh-CN" w:bidi="ar-SA"/>
        </w:rPr>
      </w:pPr>
    </w:p>
    <w:p>
      <w:pPr>
        <w:ind w:firstLine="548" w:firstLineChars="196"/>
        <w:outlineLvl w:val="1"/>
        <w:rPr>
          <w:rFonts w:hint="eastAsia" w:ascii="宋体" w:hAnsi="宋体" w:eastAsia="宋体" w:cs="Times New Roman"/>
          <w:kern w:val="2"/>
          <w:sz w:val="28"/>
          <w:szCs w:val="28"/>
          <w:lang w:val="en-US" w:eastAsia="zh-CN" w:bidi="ar-SA"/>
        </w:rPr>
      </w:pPr>
      <w:bookmarkStart w:id="230" w:name="_Toc28659"/>
      <w:bookmarkStart w:id="231" w:name="_Toc23937"/>
      <w:r>
        <w:rPr>
          <w:rFonts w:hint="eastAsia" w:ascii="宋体" w:hAnsi="宋体" w:eastAsia="宋体" w:cs="Times New Roman"/>
          <w:kern w:val="2"/>
          <w:sz w:val="28"/>
          <w:szCs w:val="28"/>
          <w:lang w:val="en-US" w:eastAsia="zh-CN" w:bidi="ar-SA"/>
        </w:rPr>
        <w:t>五、付款方式</w:t>
      </w:r>
      <w:bookmarkEnd w:id="230"/>
      <w:bookmarkEnd w:id="231"/>
    </w:p>
    <w:p>
      <w:pPr>
        <w:pStyle w:val="103"/>
        <w:keepNext w:val="0"/>
        <w:keepLines w:val="0"/>
        <w:pageBreakBefore w:val="0"/>
        <w:widowControl w:val="0"/>
        <w:kinsoku/>
        <w:wordWrap/>
        <w:overflowPunct/>
        <w:topLinePunct w:val="0"/>
        <w:autoSpaceDE/>
        <w:autoSpaceDN/>
        <w:bidi w:val="0"/>
        <w:adjustRightInd/>
        <w:snapToGrid/>
        <w:spacing w:line="460" w:lineRule="exact"/>
        <w:ind w:firstLine="480"/>
        <w:textAlignment w:val="auto"/>
        <w:outlineLvl w:val="1"/>
        <w:rPr>
          <w:rFonts w:hint="eastAsia" w:ascii="宋体" w:hAnsi="宋体" w:eastAsia="宋体" w:cs="Times New Roman"/>
          <w:kern w:val="2"/>
          <w:sz w:val="28"/>
          <w:szCs w:val="28"/>
          <w:lang w:val="en-US" w:eastAsia="zh-CN" w:bidi="ar-SA"/>
        </w:rPr>
      </w:pPr>
      <w:bookmarkStart w:id="232" w:name="_Toc5393"/>
      <w:bookmarkStart w:id="233" w:name="_Toc28123"/>
      <w:r>
        <w:rPr>
          <w:rFonts w:hint="eastAsia" w:ascii="宋体" w:hAnsi="宋体" w:eastAsia="宋体" w:cs="Times New Roman"/>
          <w:kern w:val="2"/>
          <w:sz w:val="28"/>
          <w:szCs w:val="28"/>
          <w:lang w:val="en-US" w:eastAsia="zh-CN" w:bidi="ar-SA"/>
        </w:rPr>
        <w:t>合同签订后，采购人支付合同金额的</w:t>
      </w:r>
      <w:r>
        <w:rPr>
          <w:rFonts w:hint="eastAsia" w:ascii="宋体" w:hAnsi="宋体" w:cs="Times New Roman"/>
          <w:kern w:val="2"/>
          <w:sz w:val="28"/>
          <w:szCs w:val="28"/>
          <w:lang w:val="en-US" w:eastAsia="zh-CN" w:bidi="ar-SA"/>
        </w:rPr>
        <w:t>30</w:t>
      </w:r>
      <w:r>
        <w:rPr>
          <w:rFonts w:hint="eastAsia" w:ascii="宋体" w:hAnsi="宋体" w:eastAsia="宋体" w:cs="Times New Roman"/>
          <w:kern w:val="2"/>
          <w:sz w:val="28"/>
          <w:szCs w:val="28"/>
          <w:lang w:val="en-US" w:eastAsia="zh-CN" w:bidi="ar-SA"/>
        </w:rPr>
        <w:t>%，经采购人验收合格结束后，支付合同金额的</w:t>
      </w:r>
      <w:r>
        <w:rPr>
          <w:rFonts w:hint="eastAsia" w:ascii="宋体" w:hAnsi="宋体" w:cs="Times New Roman"/>
          <w:kern w:val="2"/>
          <w:sz w:val="28"/>
          <w:szCs w:val="28"/>
          <w:lang w:val="en-US" w:eastAsia="zh-CN" w:bidi="ar-SA"/>
        </w:rPr>
        <w:t>7</w:t>
      </w:r>
      <w:r>
        <w:rPr>
          <w:rFonts w:hint="eastAsia" w:ascii="宋体" w:hAnsi="宋体" w:eastAsia="宋体" w:cs="Times New Roman"/>
          <w:kern w:val="2"/>
          <w:sz w:val="28"/>
          <w:szCs w:val="28"/>
          <w:lang w:val="en-US" w:eastAsia="zh-CN" w:bidi="ar-SA"/>
        </w:rPr>
        <w:t>0%。每次款项的支付前提均为采购人收到供应商出具的正规发票后，在10个工作日内办理款项支付事宜。</w:t>
      </w:r>
      <w:bookmarkEnd w:id="232"/>
    </w:p>
    <w:bookmarkEnd w:id="233"/>
    <w:p>
      <w:pPr>
        <w:ind w:firstLine="548" w:firstLineChars="196"/>
        <w:outlineLvl w:val="1"/>
        <w:rPr>
          <w:rFonts w:hint="eastAsia" w:ascii="宋体" w:hAnsi="宋体" w:eastAsia="宋体" w:cs="Times New Roman"/>
          <w:kern w:val="2"/>
          <w:sz w:val="28"/>
          <w:szCs w:val="28"/>
          <w:lang w:val="en-US" w:eastAsia="zh-CN" w:bidi="ar-SA"/>
        </w:rPr>
      </w:pPr>
      <w:bookmarkStart w:id="234" w:name="_Toc6223"/>
      <w:bookmarkStart w:id="235" w:name="_Toc21931"/>
      <w:r>
        <w:rPr>
          <w:rFonts w:hint="eastAsia" w:ascii="宋体" w:hAnsi="宋体" w:eastAsia="宋体" w:cs="Times New Roman"/>
          <w:kern w:val="2"/>
          <w:sz w:val="28"/>
          <w:szCs w:val="28"/>
          <w:lang w:val="en-US" w:eastAsia="zh-CN" w:bidi="ar-SA"/>
        </w:rPr>
        <w:t>六、违约责任</w:t>
      </w:r>
      <w:bookmarkEnd w:id="234"/>
      <w:bookmarkEnd w:id="235"/>
    </w:p>
    <w:p>
      <w:pPr>
        <w:pStyle w:val="103"/>
        <w:ind w:firstLine="480"/>
        <w:outlineLvl w:val="2"/>
        <w:rPr>
          <w:rFonts w:hint="eastAsia" w:ascii="宋体" w:hAnsi="宋体" w:eastAsia="宋体" w:cs="Times New Roman"/>
          <w:kern w:val="2"/>
          <w:sz w:val="28"/>
          <w:szCs w:val="28"/>
          <w:lang w:val="en-US" w:eastAsia="zh-CN" w:bidi="ar-SA"/>
        </w:rPr>
      </w:pPr>
      <w:bookmarkStart w:id="236" w:name="_Toc26335"/>
      <w:r>
        <w:rPr>
          <w:rFonts w:hint="eastAsia" w:ascii="宋体" w:hAnsi="宋体" w:eastAsia="宋体" w:cs="Times New Roman"/>
          <w:kern w:val="2"/>
          <w:sz w:val="28"/>
          <w:szCs w:val="28"/>
          <w:lang w:val="en-US" w:eastAsia="zh-CN" w:bidi="ar-SA"/>
        </w:rPr>
        <w:t>1.甲方违约责任</w:t>
      </w:r>
      <w:bookmarkEnd w:id="236"/>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（1）甲方无正当理由拒收货物的，甲方应偿付合同总价百分之XXX的违约金；</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（2）甲方逾期支付货款的，除应及时付足货款外，应向乙方偿付欠款总额万分之XXX/天的违约金；逾期付款超过XXX天的，乙方有权终止合同；</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（3）甲方偿付的违约金不足以弥补乙方损失的，还应按乙方损失尚未弥补的部分，支付赔偿金给乙方。</w:t>
      </w:r>
    </w:p>
    <w:p>
      <w:pPr>
        <w:pStyle w:val="103"/>
        <w:ind w:firstLine="480"/>
        <w:outlineLvl w:val="2"/>
        <w:rPr>
          <w:rFonts w:hint="eastAsia" w:ascii="宋体" w:hAnsi="宋体" w:eastAsia="宋体" w:cs="Times New Roman"/>
          <w:kern w:val="2"/>
          <w:sz w:val="28"/>
          <w:szCs w:val="28"/>
          <w:lang w:val="en-US" w:eastAsia="zh-CN" w:bidi="ar-SA"/>
        </w:rPr>
      </w:pPr>
      <w:bookmarkStart w:id="237" w:name="_Toc8728"/>
      <w:r>
        <w:rPr>
          <w:rFonts w:hint="eastAsia" w:ascii="宋体" w:hAnsi="宋体" w:eastAsia="宋体" w:cs="Times New Roman"/>
          <w:kern w:val="2"/>
          <w:sz w:val="28"/>
          <w:szCs w:val="28"/>
          <w:lang w:val="en-US" w:eastAsia="zh-CN" w:bidi="ar-SA"/>
        </w:rPr>
        <w:t>2.乙方违约责任</w:t>
      </w:r>
      <w:bookmarkEnd w:id="237"/>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2）乙方不能交付货物或逾期交付货物而违约的，除应及时交足货物外，应向甲方偿付逾期交货部分货款总额的万分之XXX/天的违约金；逾期交货超过XX天，甲方有权终止合同，乙方则应按合同总价的百分之XXX的款额向甲方偿付赔偿金，并须全额退还甲方已经付给乙方的货款及其利息。</w:t>
      </w:r>
    </w:p>
    <w:p>
      <w:pPr>
        <w:pStyle w:val="103"/>
        <w:ind w:firstLine="480"/>
        <w:rPr>
          <w:rFonts w:hint="eastAsia" w:ascii="宋体" w:hAnsi="宋体" w:eastAsia="宋体" w:cs="Times New Roman"/>
          <w:kern w:val="2"/>
          <w:sz w:val="28"/>
          <w:szCs w:val="28"/>
          <w:lang w:val="en-US" w:eastAsia="zh-CN" w:bidi="ar-SA"/>
        </w:rPr>
      </w:pPr>
      <w:r>
        <w:rPr>
          <w:rFonts w:hint="eastAsia" w:ascii="宋体" w:hAnsi="宋体" w:eastAsia="宋体" w:cs="Times New Roman"/>
          <w:kern w:val="2"/>
          <w:sz w:val="28"/>
          <w:szCs w:val="28"/>
          <w:lang w:val="en-US" w:eastAsia="zh-CN" w:bidi="ar-SA"/>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ind w:firstLine="548" w:firstLineChars="196"/>
        <w:outlineLvl w:val="1"/>
        <w:rPr>
          <w:rFonts w:hint="eastAsia" w:ascii="宋体" w:hAnsi="宋体" w:eastAsia="宋体" w:cs="Times New Roman"/>
          <w:kern w:val="2"/>
          <w:sz w:val="28"/>
          <w:szCs w:val="28"/>
          <w:lang w:val="en-US" w:eastAsia="zh-CN" w:bidi="ar-SA"/>
        </w:rPr>
      </w:pPr>
      <w:bookmarkStart w:id="238" w:name="_Toc3564"/>
      <w:r>
        <w:rPr>
          <w:rFonts w:hint="eastAsia" w:ascii="宋体" w:hAnsi="宋体" w:eastAsia="宋体" w:cs="Times New Roman"/>
          <w:kern w:val="2"/>
          <w:sz w:val="28"/>
          <w:szCs w:val="28"/>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bookmarkEnd w:id="238"/>
    </w:p>
    <w:p>
      <w:pPr>
        <w:ind w:firstLine="548" w:firstLineChars="196"/>
        <w:outlineLvl w:val="1"/>
        <w:rPr>
          <w:rFonts w:hint="eastAsia" w:ascii="宋体" w:hAnsi="宋体" w:eastAsia="宋体" w:cs="Times New Roman"/>
          <w:kern w:val="2"/>
          <w:sz w:val="28"/>
          <w:szCs w:val="28"/>
          <w:lang w:val="en-US" w:eastAsia="zh-CN" w:bidi="ar-SA"/>
        </w:rPr>
      </w:pPr>
      <w:bookmarkStart w:id="239" w:name="_Toc10030"/>
      <w:r>
        <w:rPr>
          <w:rFonts w:hint="eastAsia" w:ascii="宋体" w:hAnsi="宋体" w:eastAsia="宋体" w:cs="Times New Roman"/>
          <w:kern w:val="2"/>
          <w:sz w:val="28"/>
          <w:szCs w:val="28"/>
          <w:lang w:val="en-US" w:eastAsia="zh-CN" w:bidi="ar-SA"/>
        </w:rPr>
        <w:t>（5）乙方偿付的违约金不足以弥补甲方损失的，还应按甲方损失尚未弥补的部分，支付赔偿金给甲方。</w:t>
      </w:r>
      <w:bookmarkEnd w:id="239"/>
    </w:p>
    <w:p>
      <w:pPr>
        <w:ind w:firstLine="548" w:firstLineChars="196"/>
        <w:outlineLvl w:val="1"/>
        <w:rPr>
          <w:rFonts w:hint="eastAsia" w:ascii="宋体" w:hAnsi="宋体" w:eastAsia="宋体" w:cs="Times New Roman"/>
          <w:kern w:val="2"/>
          <w:sz w:val="28"/>
          <w:szCs w:val="28"/>
          <w:lang w:val="en-US" w:eastAsia="zh-CN" w:bidi="ar-SA"/>
        </w:rPr>
      </w:pPr>
    </w:p>
    <w:p>
      <w:pPr>
        <w:ind w:firstLine="548" w:firstLineChars="196"/>
        <w:outlineLvl w:val="1"/>
        <w:rPr>
          <w:rFonts w:hint="eastAsia" w:ascii="宋体" w:hAnsi="宋体" w:eastAsia="宋体" w:cs="Times New Roman"/>
          <w:kern w:val="2"/>
          <w:sz w:val="28"/>
          <w:szCs w:val="28"/>
          <w:lang w:val="en-US" w:eastAsia="zh-CN" w:bidi="ar-SA"/>
        </w:rPr>
      </w:pPr>
      <w:bookmarkStart w:id="240" w:name="_Toc2463"/>
      <w:bookmarkStart w:id="241" w:name="_Toc17609"/>
      <w:r>
        <w:rPr>
          <w:rFonts w:hint="eastAsia" w:ascii="宋体" w:hAnsi="宋体" w:eastAsia="宋体" w:cs="Times New Roman"/>
          <w:kern w:val="2"/>
          <w:sz w:val="28"/>
          <w:szCs w:val="28"/>
          <w:lang w:val="en-US" w:eastAsia="zh-CN" w:bidi="ar-SA"/>
        </w:rPr>
        <w:t>七、争议解决办法</w:t>
      </w:r>
      <w:bookmarkEnd w:id="240"/>
      <w:bookmarkEnd w:id="241"/>
    </w:p>
    <w:p>
      <w:pPr>
        <w:ind w:firstLine="548" w:firstLineChars="196"/>
        <w:outlineLvl w:val="1"/>
        <w:rPr>
          <w:rFonts w:hint="eastAsia" w:ascii="宋体" w:hAnsi="宋体" w:eastAsia="宋体" w:cs="Times New Roman"/>
          <w:kern w:val="2"/>
          <w:sz w:val="28"/>
          <w:szCs w:val="28"/>
          <w:lang w:val="en-US" w:eastAsia="zh-CN" w:bidi="ar-SA"/>
        </w:rPr>
      </w:pPr>
      <w:bookmarkStart w:id="242" w:name="_Toc24964"/>
      <w:r>
        <w:rPr>
          <w:rFonts w:hint="eastAsia" w:ascii="宋体" w:hAnsi="宋体" w:eastAsia="宋体" w:cs="Times New Roman"/>
          <w:kern w:val="2"/>
          <w:sz w:val="28"/>
          <w:szCs w:val="28"/>
          <w:lang w:val="en-US" w:eastAsia="zh-CN" w:bidi="ar-SA"/>
        </w:rPr>
        <w:t>1.因货物的质量问题发生争议，由质量技术监督部门或其指定的质量鉴定机构进行质量鉴定。货物符合标准的，鉴定费由甲方承担；货物不符合质量标准的，鉴定费由乙方承担。</w:t>
      </w:r>
      <w:bookmarkEnd w:id="242"/>
    </w:p>
    <w:p>
      <w:pPr>
        <w:ind w:firstLine="548" w:firstLineChars="196"/>
        <w:outlineLvl w:val="1"/>
        <w:rPr>
          <w:rFonts w:hint="eastAsia" w:ascii="宋体" w:hAnsi="宋体" w:eastAsia="宋体" w:cs="Times New Roman"/>
          <w:kern w:val="2"/>
          <w:sz w:val="28"/>
          <w:szCs w:val="28"/>
          <w:lang w:val="en-US" w:eastAsia="zh-CN" w:bidi="ar-SA"/>
        </w:rPr>
      </w:pPr>
      <w:bookmarkStart w:id="243" w:name="_Toc21914"/>
      <w:r>
        <w:rPr>
          <w:rFonts w:hint="eastAsia" w:ascii="宋体" w:hAnsi="宋体" w:eastAsia="宋体" w:cs="Times New Roman"/>
          <w:kern w:val="2"/>
          <w:sz w:val="28"/>
          <w:szCs w:val="28"/>
          <w:lang w:val="en-US" w:eastAsia="zh-CN" w:bidi="ar-SA"/>
        </w:rPr>
        <w:t>2.合同履行期间,若双方发生争议，可协商或由有关部门调解解决，协商或调解不成的，由当事人依法维护其合法权益。</w:t>
      </w:r>
      <w:bookmarkEnd w:id="243"/>
    </w:p>
    <w:p>
      <w:pPr>
        <w:ind w:firstLine="548" w:firstLineChars="196"/>
        <w:outlineLvl w:val="1"/>
        <w:rPr>
          <w:rFonts w:hint="eastAsia" w:ascii="宋体" w:hAnsi="宋体" w:eastAsia="宋体" w:cs="Times New Roman"/>
          <w:kern w:val="2"/>
          <w:sz w:val="28"/>
          <w:szCs w:val="28"/>
          <w:lang w:val="en-US" w:eastAsia="zh-CN" w:bidi="ar-SA"/>
        </w:rPr>
      </w:pPr>
    </w:p>
    <w:p>
      <w:pPr>
        <w:ind w:firstLine="548" w:firstLineChars="196"/>
        <w:outlineLvl w:val="1"/>
        <w:rPr>
          <w:rFonts w:hint="eastAsia" w:ascii="宋体" w:hAnsi="宋体" w:eastAsia="宋体" w:cs="Times New Roman"/>
          <w:kern w:val="2"/>
          <w:sz w:val="28"/>
          <w:szCs w:val="28"/>
          <w:lang w:val="en-US" w:eastAsia="zh-CN" w:bidi="ar-SA"/>
        </w:rPr>
      </w:pPr>
      <w:bookmarkStart w:id="244" w:name="_Toc7593"/>
      <w:bookmarkStart w:id="245" w:name="_Toc22967"/>
      <w:r>
        <w:rPr>
          <w:rFonts w:hint="eastAsia" w:ascii="宋体" w:hAnsi="宋体" w:eastAsia="宋体" w:cs="Times New Roman"/>
          <w:kern w:val="2"/>
          <w:sz w:val="28"/>
          <w:szCs w:val="28"/>
          <w:lang w:val="en-US" w:eastAsia="zh-CN" w:bidi="ar-SA"/>
        </w:rPr>
        <w:t>八、其他</w:t>
      </w:r>
      <w:bookmarkEnd w:id="244"/>
      <w:bookmarkEnd w:id="245"/>
    </w:p>
    <w:p>
      <w:pPr>
        <w:ind w:firstLine="548" w:firstLineChars="196"/>
        <w:outlineLvl w:val="1"/>
        <w:rPr>
          <w:rFonts w:hint="eastAsia" w:ascii="宋体" w:hAnsi="宋体" w:eastAsia="宋体" w:cs="Times New Roman"/>
          <w:kern w:val="2"/>
          <w:sz w:val="28"/>
          <w:szCs w:val="28"/>
          <w:lang w:val="en-US" w:eastAsia="zh-CN" w:bidi="ar-SA"/>
        </w:rPr>
      </w:pPr>
      <w:bookmarkStart w:id="246" w:name="_Toc11957"/>
      <w:r>
        <w:rPr>
          <w:rFonts w:hint="eastAsia" w:ascii="宋体" w:hAnsi="宋体" w:eastAsia="宋体" w:cs="Times New Roman"/>
          <w:kern w:val="2"/>
          <w:sz w:val="28"/>
          <w:szCs w:val="28"/>
          <w:lang w:val="en-US" w:eastAsia="zh-CN" w:bidi="ar-SA"/>
        </w:rPr>
        <w:t>1.如有未尽事宜，由双方依法订立补充合同。</w:t>
      </w:r>
      <w:bookmarkEnd w:id="246"/>
    </w:p>
    <w:p>
      <w:pPr>
        <w:ind w:firstLine="548" w:firstLineChars="196"/>
        <w:outlineLvl w:val="1"/>
        <w:rPr>
          <w:rFonts w:hint="eastAsia" w:ascii="宋体" w:hAnsi="宋体" w:eastAsia="宋体" w:cs="Times New Roman"/>
          <w:kern w:val="2"/>
          <w:sz w:val="28"/>
          <w:szCs w:val="28"/>
          <w:lang w:val="en-US" w:eastAsia="zh-CN" w:bidi="ar-SA"/>
        </w:rPr>
      </w:pPr>
      <w:bookmarkStart w:id="247" w:name="_Toc17513"/>
      <w:r>
        <w:rPr>
          <w:rFonts w:hint="eastAsia" w:ascii="宋体" w:hAnsi="宋体" w:eastAsia="宋体" w:cs="Times New Roman"/>
          <w:kern w:val="2"/>
          <w:sz w:val="28"/>
          <w:szCs w:val="28"/>
          <w:lang w:val="en-US" w:eastAsia="zh-CN" w:bidi="ar-SA"/>
        </w:rPr>
        <w:t>2.本合同一式四份，自双方签章后生效。甲方、乙方、政府采购管理部门、采购代理机构各一份。</w:t>
      </w:r>
      <w:bookmarkEnd w:id="247"/>
    </w:p>
    <w:p>
      <w:pPr>
        <w:ind w:firstLine="548" w:firstLineChars="196"/>
        <w:outlineLvl w:val="1"/>
        <w:rPr>
          <w:rFonts w:hint="eastAsia" w:ascii="宋体" w:hAnsi="宋体" w:eastAsia="宋体" w:cs="Times New Roman"/>
          <w:kern w:val="2"/>
          <w:sz w:val="28"/>
          <w:szCs w:val="28"/>
          <w:lang w:val="en-US" w:eastAsia="zh-CN" w:bidi="ar-SA"/>
        </w:rPr>
      </w:pPr>
      <w:bookmarkStart w:id="248" w:name="_Toc23350"/>
      <w:r>
        <w:rPr>
          <w:rFonts w:hint="eastAsia" w:ascii="宋体" w:hAnsi="宋体" w:eastAsia="宋体" w:cs="Times New Roman"/>
          <w:kern w:val="2"/>
          <w:sz w:val="28"/>
          <w:szCs w:val="28"/>
          <w:lang w:val="en-US" w:eastAsia="zh-CN" w:bidi="ar-SA"/>
        </w:rPr>
        <w:t xml:space="preserve">甲方：   （盖公章）   </w:t>
      </w:r>
      <w:r>
        <w:rPr>
          <w:rFonts w:hint="eastAsia" w:ascii="宋体" w:hAnsi="宋体" w:eastAsia="宋体" w:cs="Times New Roman"/>
          <w:kern w:val="2"/>
          <w:sz w:val="28"/>
          <w:szCs w:val="28"/>
          <w:lang w:val="en-US" w:eastAsia="zh-CN" w:bidi="ar-SA"/>
        </w:rPr>
        <w:tab/>
      </w:r>
      <w:r>
        <w:rPr>
          <w:rFonts w:hint="eastAsia" w:ascii="宋体" w:hAnsi="宋体" w:eastAsia="宋体" w:cs="Times New Roman"/>
          <w:kern w:val="2"/>
          <w:sz w:val="28"/>
          <w:szCs w:val="28"/>
          <w:lang w:val="en-US" w:eastAsia="zh-CN" w:bidi="ar-SA"/>
        </w:rPr>
        <w:tab/>
      </w:r>
      <w:r>
        <w:rPr>
          <w:rFonts w:hint="eastAsia" w:ascii="宋体" w:hAnsi="宋体" w:eastAsia="宋体" w:cs="Times New Roman"/>
          <w:kern w:val="2"/>
          <w:sz w:val="28"/>
          <w:szCs w:val="28"/>
          <w:lang w:val="en-US" w:eastAsia="zh-CN" w:bidi="ar-SA"/>
        </w:rPr>
        <w:t xml:space="preserve">       乙方：   （盖公章）</w:t>
      </w:r>
      <w:bookmarkEnd w:id="248"/>
    </w:p>
    <w:p>
      <w:pPr>
        <w:ind w:firstLine="548" w:firstLineChars="196"/>
        <w:outlineLvl w:val="1"/>
        <w:rPr>
          <w:rFonts w:hint="eastAsia" w:ascii="宋体" w:hAnsi="宋体" w:eastAsia="宋体" w:cs="Times New Roman"/>
          <w:kern w:val="2"/>
          <w:sz w:val="28"/>
          <w:szCs w:val="28"/>
          <w:lang w:val="en-US" w:eastAsia="zh-CN" w:bidi="ar-SA"/>
        </w:rPr>
      </w:pPr>
      <w:bookmarkStart w:id="249" w:name="_Toc3395"/>
      <w:r>
        <w:rPr>
          <w:rFonts w:hint="eastAsia" w:ascii="宋体" w:hAnsi="宋体" w:eastAsia="宋体" w:cs="Times New Roman"/>
          <w:kern w:val="2"/>
          <w:sz w:val="28"/>
          <w:szCs w:val="28"/>
          <w:lang w:val="en-US" w:eastAsia="zh-CN" w:bidi="ar-SA"/>
        </w:rPr>
        <w:t>法定代表人（授权代表）：           法定代表人（授权代表）：</w:t>
      </w:r>
      <w:bookmarkEnd w:id="249"/>
    </w:p>
    <w:p>
      <w:pPr>
        <w:ind w:firstLine="548" w:firstLineChars="196"/>
        <w:outlineLvl w:val="1"/>
        <w:rPr>
          <w:rFonts w:hint="eastAsia" w:ascii="宋体" w:hAnsi="宋体" w:eastAsia="宋体" w:cs="Times New Roman"/>
          <w:kern w:val="2"/>
          <w:sz w:val="28"/>
          <w:szCs w:val="28"/>
          <w:lang w:val="en-US" w:eastAsia="zh-CN" w:bidi="ar-SA"/>
        </w:rPr>
      </w:pPr>
      <w:bookmarkStart w:id="250" w:name="_Toc22835"/>
      <w:r>
        <w:rPr>
          <w:rFonts w:hint="eastAsia" w:ascii="宋体" w:hAnsi="宋体" w:eastAsia="宋体" w:cs="Times New Roman"/>
          <w:kern w:val="2"/>
          <w:sz w:val="28"/>
          <w:szCs w:val="28"/>
          <w:lang w:val="en-US" w:eastAsia="zh-CN" w:bidi="ar-SA"/>
        </w:rPr>
        <w:t>地    址：                         地    址：</w:t>
      </w:r>
      <w:bookmarkEnd w:id="250"/>
    </w:p>
    <w:p>
      <w:pPr>
        <w:ind w:firstLine="548" w:firstLineChars="196"/>
        <w:outlineLvl w:val="1"/>
        <w:rPr>
          <w:rFonts w:hint="eastAsia" w:ascii="宋体" w:hAnsi="宋体" w:eastAsia="宋体" w:cs="Times New Roman"/>
          <w:kern w:val="2"/>
          <w:sz w:val="28"/>
          <w:szCs w:val="28"/>
          <w:lang w:val="en-US" w:eastAsia="zh-CN" w:bidi="ar-SA"/>
        </w:rPr>
      </w:pPr>
      <w:bookmarkStart w:id="251" w:name="_Toc16075"/>
      <w:r>
        <w:rPr>
          <w:rFonts w:hint="eastAsia" w:ascii="宋体" w:hAnsi="宋体" w:eastAsia="宋体" w:cs="Times New Roman"/>
          <w:kern w:val="2"/>
          <w:sz w:val="28"/>
          <w:szCs w:val="28"/>
          <w:lang w:val="en-US" w:eastAsia="zh-CN" w:bidi="ar-SA"/>
        </w:rPr>
        <w:t>开户银行：                         开户银行：</w:t>
      </w:r>
      <w:bookmarkEnd w:id="251"/>
    </w:p>
    <w:p>
      <w:pPr>
        <w:ind w:firstLine="548" w:firstLineChars="196"/>
        <w:outlineLvl w:val="1"/>
        <w:rPr>
          <w:rFonts w:hint="eastAsia" w:ascii="宋体" w:hAnsi="宋体" w:eastAsia="宋体" w:cs="Times New Roman"/>
          <w:kern w:val="2"/>
          <w:sz w:val="28"/>
          <w:szCs w:val="28"/>
          <w:lang w:val="en-US" w:eastAsia="zh-CN" w:bidi="ar-SA"/>
        </w:rPr>
      </w:pPr>
      <w:bookmarkStart w:id="252" w:name="_Toc8893"/>
      <w:r>
        <w:rPr>
          <w:rFonts w:hint="eastAsia" w:ascii="宋体" w:hAnsi="宋体" w:eastAsia="宋体" w:cs="Times New Roman"/>
          <w:kern w:val="2"/>
          <w:sz w:val="28"/>
          <w:szCs w:val="28"/>
          <w:lang w:val="en-US" w:eastAsia="zh-CN" w:bidi="ar-SA"/>
        </w:rPr>
        <w:t>账号：                             账号：</w:t>
      </w:r>
      <w:bookmarkEnd w:id="252"/>
    </w:p>
    <w:p>
      <w:pPr>
        <w:ind w:firstLine="548" w:firstLineChars="196"/>
        <w:outlineLvl w:val="1"/>
        <w:rPr>
          <w:rFonts w:hint="eastAsia" w:ascii="宋体" w:hAnsi="宋体" w:eastAsia="宋体" w:cs="Times New Roman"/>
          <w:kern w:val="2"/>
          <w:sz w:val="28"/>
          <w:szCs w:val="28"/>
          <w:lang w:val="en-US" w:eastAsia="zh-CN" w:bidi="ar-SA"/>
        </w:rPr>
      </w:pPr>
      <w:bookmarkStart w:id="253" w:name="_Toc9707"/>
      <w:r>
        <w:rPr>
          <w:rFonts w:hint="eastAsia" w:ascii="宋体" w:hAnsi="宋体" w:eastAsia="宋体" w:cs="Times New Roman"/>
          <w:kern w:val="2"/>
          <w:sz w:val="28"/>
          <w:szCs w:val="28"/>
          <w:lang w:val="en-US" w:eastAsia="zh-CN" w:bidi="ar-SA"/>
        </w:rPr>
        <w:t>电    话：                         电    话：</w:t>
      </w:r>
      <w:bookmarkEnd w:id="253"/>
    </w:p>
    <w:p>
      <w:pPr>
        <w:ind w:firstLine="548" w:firstLineChars="196"/>
        <w:outlineLvl w:val="1"/>
        <w:rPr>
          <w:rFonts w:hint="eastAsia" w:ascii="宋体" w:hAnsi="宋体" w:eastAsia="宋体" w:cs="Times New Roman"/>
          <w:kern w:val="2"/>
          <w:sz w:val="28"/>
          <w:szCs w:val="28"/>
          <w:lang w:val="en-US" w:eastAsia="zh-CN" w:bidi="ar-SA"/>
        </w:rPr>
      </w:pPr>
      <w:bookmarkStart w:id="254" w:name="_Toc1991"/>
      <w:r>
        <w:rPr>
          <w:rFonts w:hint="eastAsia" w:ascii="宋体" w:hAnsi="宋体" w:eastAsia="宋体" w:cs="Times New Roman"/>
          <w:kern w:val="2"/>
          <w:sz w:val="28"/>
          <w:szCs w:val="28"/>
          <w:lang w:val="en-US" w:eastAsia="zh-CN" w:bidi="ar-SA"/>
        </w:rPr>
        <w:t>传    真：                         传    真：</w:t>
      </w:r>
      <w:bookmarkEnd w:id="254"/>
    </w:p>
    <w:p>
      <w:pPr>
        <w:ind w:firstLine="548" w:firstLineChars="196"/>
        <w:outlineLvl w:val="1"/>
        <w:rPr>
          <w:rFonts w:hint="eastAsia" w:ascii="宋体" w:hAnsi="宋体" w:eastAsia="宋体" w:cs="Times New Roman"/>
          <w:kern w:val="2"/>
          <w:sz w:val="28"/>
          <w:szCs w:val="28"/>
          <w:lang w:val="en-US" w:eastAsia="zh-CN" w:bidi="ar-SA"/>
        </w:rPr>
      </w:pPr>
      <w:bookmarkStart w:id="255" w:name="_Toc30384"/>
      <w:r>
        <w:rPr>
          <w:rFonts w:hint="eastAsia" w:ascii="宋体" w:hAnsi="宋体" w:eastAsia="宋体" w:cs="Times New Roman"/>
          <w:kern w:val="2"/>
          <w:sz w:val="28"/>
          <w:szCs w:val="28"/>
          <w:lang w:val="en-US" w:eastAsia="zh-CN" w:bidi="ar-SA"/>
        </w:rPr>
        <w:t xml:space="preserve">签约日期：XX年XX月XX日 </w:t>
      </w:r>
      <w:r>
        <w:rPr>
          <w:rFonts w:hint="eastAsia" w:ascii="宋体" w:hAnsi="宋体" w:eastAsia="宋体" w:cs="Times New Roman"/>
          <w:kern w:val="2"/>
          <w:sz w:val="28"/>
          <w:szCs w:val="28"/>
          <w:lang w:val="en-US" w:eastAsia="zh-CN" w:bidi="ar-SA"/>
        </w:rPr>
        <w:tab/>
      </w:r>
      <w:r>
        <w:rPr>
          <w:rFonts w:hint="eastAsia" w:ascii="宋体" w:hAnsi="宋体" w:eastAsia="宋体" w:cs="Times New Roman"/>
          <w:kern w:val="2"/>
          <w:sz w:val="28"/>
          <w:szCs w:val="28"/>
          <w:lang w:val="en-US" w:eastAsia="zh-CN" w:bidi="ar-SA"/>
        </w:rPr>
        <w:tab/>
      </w:r>
      <w:r>
        <w:rPr>
          <w:rFonts w:hint="eastAsia" w:ascii="宋体" w:hAnsi="宋体" w:eastAsia="宋体" w:cs="Times New Roman"/>
          <w:kern w:val="2"/>
          <w:sz w:val="28"/>
          <w:szCs w:val="28"/>
          <w:lang w:val="en-US" w:eastAsia="zh-CN" w:bidi="ar-SA"/>
        </w:rPr>
        <w:tab/>
      </w:r>
      <w:r>
        <w:rPr>
          <w:rFonts w:hint="eastAsia" w:ascii="宋体" w:hAnsi="宋体" w:eastAsia="宋体" w:cs="Times New Roman"/>
          <w:kern w:val="2"/>
          <w:sz w:val="28"/>
          <w:szCs w:val="28"/>
          <w:lang w:val="en-US" w:eastAsia="zh-CN" w:bidi="ar-SA"/>
        </w:rPr>
        <w:t>签约日期：XX年XX月XX日</w:t>
      </w:r>
      <w:bookmarkEnd w:id="255"/>
    </w:p>
    <w:p/>
    <w:p>
      <w:pPr>
        <w:tabs>
          <w:tab w:val="left" w:pos="1155"/>
          <w:tab w:val="left" w:pos="1276"/>
          <w:tab w:val="left" w:pos="1418"/>
        </w:tabs>
        <w:spacing w:line="580" w:lineRule="exact"/>
        <w:rPr>
          <w:rFonts w:eastAsia="仿宋"/>
          <w:szCs w:val="21"/>
        </w:rPr>
      </w:pPr>
    </w:p>
    <w:bookmarkEnd w:id="219"/>
    <w:bookmarkEnd w:id="220"/>
    <w:bookmarkEnd w:id="221"/>
    <w:p>
      <w:pPr>
        <w:rPr>
          <w:rFonts w:ascii="宋体" w:hAnsi="宋体" w:cs="Tahoma"/>
          <w:b/>
          <w:sz w:val="30"/>
          <w:szCs w:val="30"/>
        </w:rPr>
      </w:pPr>
      <w:r>
        <w:rPr>
          <w:rFonts w:hint="eastAsia" w:ascii="宋体" w:hAnsi="宋体" w:cs="Tahoma"/>
          <w:b/>
          <w:sz w:val="30"/>
          <w:szCs w:val="30"/>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p/>
    <w:p>
      <w: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
    <w:p/>
    <w:p/>
    <w:p/>
    <w:p/>
    <w:p/>
    <w:p>
      <w: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
    <w:p/>
    <w:p/>
    <w:p/>
    <w:p/>
    <w:p/>
    <w:p/>
    <w:p/>
    <w:p/>
    <w:p>
      <w: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
    <w:p/>
    <w:p/>
    <w:p/>
    <w:p>
      <w: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
    <w:p/>
    <w:p/>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0">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4">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6">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7">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8">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9">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0">
    <w:nsid w:val="1B246E06"/>
    <w:multiLevelType w:val="multilevel"/>
    <w:tmpl w:val="1B246E06"/>
    <w:lvl w:ilvl="0" w:tentative="0">
      <w:start w:val="1"/>
      <w:numFmt w:val="japaneseCounting"/>
      <w:lvlText w:val="%1、"/>
      <w:lvlJc w:val="left"/>
      <w:pPr>
        <w:ind w:left="1356"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2B883668"/>
    <w:multiLevelType w:val="multilevel"/>
    <w:tmpl w:val="2B883668"/>
    <w:lvl w:ilvl="0" w:tentative="0">
      <w:start w:val="1"/>
      <w:numFmt w:val="chineseCountingThousand"/>
      <w:lvlText w:val="(%1)"/>
      <w:lvlJc w:val="left"/>
      <w:pPr>
        <w:ind w:left="297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3">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54410692"/>
    <w:multiLevelType w:val="multilevel"/>
    <w:tmpl w:val="54410692"/>
    <w:lvl w:ilvl="0" w:tentative="0">
      <w:start w:val="1"/>
      <w:numFmt w:val="japaneseCounting"/>
      <w:lvlText w:val="%1、"/>
      <w:lvlJc w:val="left"/>
      <w:pPr>
        <w:ind w:left="3394" w:hanging="1125"/>
      </w:pPr>
      <w:rPr>
        <w:rFonts w:hint="default"/>
        <w:b/>
        <w:sz w:val="28"/>
      </w:rPr>
    </w:lvl>
    <w:lvl w:ilvl="1" w:tentative="0">
      <w:start w:val="1"/>
      <w:numFmt w:val="lowerLetter"/>
      <w:lvlText w:val="%2)"/>
      <w:lvlJc w:val="left"/>
      <w:pPr>
        <w:ind w:left="2242" w:hanging="420"/>
      </w:pPr>
    </w:lvl>
    <w:lvl w:ilvl="2" w:tentative="0">
      <w:start w:val="1"/>
      <w:numFmt w:val="lowerRoman"/>
      <w:lvlText w:val="%3."/>
      <w:lvlJc w:val="right"/>
      <w:pPr>
        <w:ind w:left="2662" w:hanging="420"/>
      </w:pPr>
    </w:lvl>
    <w:lvl w:ilvl="3" w:tentative="0">
      <w:start w:val="1"/>
      <w:numFmt w:val="decimal"/>
      <w:lvlText w:val="%4."/>
      <w:lvlJc w:val="left"/>
      <w:pPr>
        <w:ind w:left="3082" w:hanging="420"/>
      </w:pPr>
    </w:lvl>
    <w:lvl w:ilvl="4" w:tentative="0">
      <w:start w:val="1"/>
      <w:numFmt w:val="lowerLetter"/>
      <w:lvlText w:val="%5)"/>
      <w:lvlJc w:val="left"/>
      <w:pPr>
        <w:ind w:left="3502" w:hanging="420"/>
      </w:pPr>
    </w:lvl>
    <w:lvl w:ilvl="5" w:tentative="0">
      <w:start w:val="1"/>
      <w:numFmt w:val="lowerRoman"/>
      <w:lvlText w:val="%6."/>
      <w:lvlJc w:val="right"/>
      <w:pPr>
        <w:ind w:left="3922" w:hanging="420"/>
      </w:pPr>
    </w:lvl>
    <w:lvl w:ilvl="6" w:tentative="0">
      <w:start w:val="1"/>
      <w:numFmt w:val="decimal"/>
      <w:lvlText w:val="%7."/>
      <w:lvlJc w:val="left"/>
      <w:pPr>
        <w:ind w:left="4342" w:hanging="420"/>
      </w:pPr>
    </w:lvl>
    <w:lvl w:ilvl="7" w:tentative="0">
      <w:start w:val="1"/>
      <w:numFmt w:val="lowerLetter"/>
      <w:lvlText w:val="%8)"/>
      <w:lvlJc w:val="left"/>
      <w:pPr>
        <w:ind w:left="4762" w:hanging="420"/>
      </w:pPr>
    </w:lvl>
    <w:lvl w:ilvl="8" w:tentative="0">
      <w:start w:val="1"/>
      <w:numFmt w:val="lowerRoman"/>
      <w:lvlText w:val="%9."/>
      <w:lvlJc w:val="right"/>
      <w:pPr>
        <w:ind w:left="5182" w:hanging="420"/>
      </w:pPr>
    </w:lvl>
  </w:abstractNum>
  <w:abstractNum w:abstractNumId="36">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17229B6"/>
    <w:multiLevelType w:val="multilevel"/>
    <w:tmpl w:val="617229B6"/>
    <w:lvl w:ilvl="0" w:tentative="0">
      <w:start w:val="1"/>
      <w:numFmt w:val="chineseCountingThousand"/>
      <w:lvlText w:val="%1、"/>
      <w:lvlJc w:val="left"/>
      <w:pPr>
        <w:ind w:left="966" w:hanging="420"/>
      </w:pPr>
      <w:rPr>
        <w:color w:val="auto"/>
      </w:r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9">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2">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4">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6">
    <w:nsid w:val="79C5583B"/>
    <w:multiLevelType w:val="multilevel"/>
    <w:tmpl w:val="79C5583B"/>
    <w:lvl w:ilvl="0" w:tentative="0">
      <w:start w:val="1"/>
      <w:numFmt w:val="chineseCountingThousand"/>
      <w:lvlText w:val="%1、"/>
      <w:lvlJc w:val="left"/>
      <w:pPr>
        <w:ind w:left="982" w:hanging="420"/>
      </w:pPr>
      <w:rPr>
        <w:rFonts w:hint="eastAsia"/>
        <w:b w:val="0"/>
        <w:highlight w:val="none"/>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5"/>
  </w:num>
  <w:num w:numId="3">
    <w:abstractNumId w:val="1"/>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46"/>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72A27"/>
    <w:rsid w:val="000042B8"/>
    <w:rsid w:val="000174E4"/>
    <w:rsid w:val="00026529"/>
    <w:rsid w:val="00026B21"/>
    <w:rsid w:val="00027703"/>
    <w:rsid w:val="0005344D"/>
    <w:rsid w:val="0006474F"/>
    <w:rsid w:val="00065981"/>
    <w:rsid w:val="00072234"/>
    <w:rsid w:val="000777D1"/>
    <w:rsid w:val="00086E37"/>
    <w:rsid w:val="000A0B0A"/>
    <w:rsid w:val="000B33FA"/>
    <w:rsid w:val="000B3D82"/>
    <w:rsid w:val="000C688A"/>
    <w:rsid w:val="001346A7"/>
    <w:rsid w:val="001565CC"/>
    <w:rsid w:val="0016758C"/>
    <w:rsid w:val="00183360"/>
    <w:rsid w:val="0019367D"/>
    <w:rsid w:val="001B7C8D"/>
    <w:rsid w:val="001D56CD"/>
    <w:rsid w:val="001F73B0"/>
    <w:rsid w:val="00202454"/>
    <w:rsid w:val="0020671B"/>
    <w:rsid w:val="002067B1"/>
    <w:rsid w:val="0021701C"/>
    <w:rsid w:val="00262433"/>
    <w:rsid w:val="002A261C"/>
    <w:rsid w:val="002A3A1C"/>
    <w:rsid w:val="002B2023"/>
    <w:rsid w:val="002C764F"/>
    <w:rsid w:val="002E123D"/>
    <w:rsid w:val="002E4801"/>
    <w:rsid w:val="00305097"/>
    <w:rsid w:val="003420BA"/>
    <w:rsid w:val="003646B9"/>
    <w:rsid w:val="003710A5"/>
    <w:rsid w:val="00374619"/>
    <w:rsid w:val="00383D6E"/>
    <w:rsid w:val="003944EB"/>
    <w:rsid w:val="003B165F"/>
    <w:rsid w:val="003D27CA"/>
    <w:rsid w:val="003D2A89"/>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95010"/>
    <w:rsid w:val="00497555"/>
    <w:rsid w:val="004B06E4"/>
    <w:rsid w:val="004F4893"/>
    <w:rsid w:val="00504133"/>
    <w:rsid w:val="0052113C"/>
    <w:rsid w:val="00523994"/>
    <w:rsid w:val="00531A79"/>
    <w:rsid w:val="00531B44"/>
    <w:rsid w:val="00556F88"/>
    <w:rsid w:val="005570C1"/>
    <w:rsid w:val="0056027F"/>
    <w:rsid w:val="00564FA0"/>
    <w:rsid w:val="00582B28"/>
    <w:rsid w:val="0059336C"/>
    <w:rsid w:val="005C3C4F"/>
    <w:rsid w:val="005D7B75"/>
    <w:rsid w:val="005E269C"/>
    <w:rsid w:val="005E43E2"/>
    <w:rsid w:val="005E599B"/>
    <w:rsid w:val="00611A72"/>
    <w:rsid w:val="00624151"/>
    <w:rsid w:val="00633F88"/>
    <w:rsid w:val="0067729F"/>
    <w:rsid w:val="006A5E19"/>
    <w:rsid w:val="006B54C4"/>
    <w:rsid w:val="006C10D5"/>
    <w:rsid w:val="006C3900"/>
    <w:rsid w:val="006D4AEC"/>
    <w:rsid w:val="00733724"/>
    <w:rsid w:val="0073713B"/>
    <w:rsid w:val="007407F8"/>
    <w:rsid w:val="00761A8D"/>
    <w:rsid w:val="0076602A"/>
    <w:rsid w:val="00780DA1"/>
    <w:rsid w:val="007970C5"/>
    <w:rsid w:val="007B1592"/>
    <w:rsid w:val="007B3969"/>
    <w:rsid w:val="007B3BB8"/>
    <w:rsid w:val="007D69A9"/>
    <w:rsid w:val="007E017C"/>
    <w:rsid w:val="007F6422"/>
    <w:rsid w:val="00812794"/>
    <w:rsid w:val="00825CAB"/>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70A58"/>
    <w:rsid w:val="009710C8"/>
    <w:rsid w:val="0097213B"/>
    <w:rsid w:val="009D0BEB"/>
    <w:rsid w:val="009D62EA"/>
    <w:rsid w:val="009F3945"/>
    <w:rsid w:val="00A0136A"/>
    <w:rsid w:val="00A11E40"/>
    <w:rsid w:val="00A35F40"/>
    <w:rsid w:val="00A43C7A"/>
    <w:rsid w:val="00A446EB"/>
    <w:rsid w:val="00A752AC"/>
    <w:rsid w:val="00A916FD"/>
    <w:rsid w:val="00A9315A"/>
    <w:rsid w:val="00A94DE0"/>
    <w:rsid w:val="00AA3CE3"/>
    <w:rsid w:val="00AE029F"/>
    <w:rsid w:val="00AE1EE1"/>
    <w:rsid w:val="00B412D3"/>
    <w:rsid w:val="00B51B2E"/>
    <w:rsid w:val="00B56BFB"/>
    <w:rsid w:val="00B86086"/>
    <w:rsid w:val="00C04ECC"/>
    <w:rsid w:val="00C43381"/>
    <w:rsid w:val="00C71725"/>
    <w:rsid w:val="00C74E87"/>
    <w:rsid w:val="00CA26DF"/>
    <w:rsid w:val="00CA2CC5"/>
    <w:rsid w:val="00CB719B"/>
    <w:rsid w:val="00CC4F73"/>
    <w:rsid w:val="00CC6F6B"/>
    <w:rsid w:val="00CD5760"/>
    <w:rsid w:val="00CF3593"/>
    <w:rsid w:val="00D23FF0"/>
    <w:rsid w:val="00D258C2"/>
    <w:rsid w:val="00D325E8"/>
    <w:rsid w:val="00D44B46"/>
    <w:rsid w:val="00D559E0"/>
    <w:rsid w:val="00D6455E"/>
    <w:rsid w:val="00D80945"/>
    <w:rsid w:val="00D817FC"/>
    <w:rsid w:val="00DA2476"/>
    <w:rsid w:val="00DB5AD9"/>
    <w:rsid w:val="00DD4E54"/>
    <w:rsid w:val="00DF6252"/>
    <w:rsid w:val="00E13610"/>
    <w:rsid w:val="00E13888"/>
    <w:rsid w:val="00E170E6"/>
    <w:rsid w:val="00E27149"/>
    <w:rsid w:val="00E37998"/>
    <w:rsid w:val="00E572D4"/>
    <w:rsid w:val="00E6373B"/>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61D52"/>
    <w:rsid w:val="00F62EAD"/>
    <w:rsid w:val="00F72F70"/>
    <w:rsid w:val="00F7371D"/>
    <w:rsid w:val="00F85A7B"/>
    <w:rsid w:val="00FA318B"/>
    <w:rsid w:val="00FB7100"/>
    <w:rsid w:val="01310C45"/>
    <w:rsid w:val="015B15FE"/>
    <w:rsid w:val="02072801"/>
    <w:rsid w:val="02417EB6"/>
    <w:rsid w:val="02AB41B1"/>
    <w:rsid w:val="02B86697"/>
    <w:rsid w:val="02D26C30"/>
    <w:rsid w:val="02FF609A"/>
    <w:rsid w:val="030A6E00"/>
    <w:rsid w:val="03794948"/>
    <w:rsid w:val="045547A6"/>
    <w:rsid w:val="04642267"/>
    <w:rsid w:val="04737EB4"/>
    <w:rsid w:val="04DF61BC"/>
    <w:rsid w:val="04F95927"/>
    <w:rsid w:val="053A5904"/>
    <w:rsid w:val="053D351E"/>
    <w:rsid w:val="056A7BB8"/>
    <w:rsid w:val="05726E8E"/>
    <w:rsid w:val="05D6589B"/>
    <w:rsid w:val="05E00B12"/>
    <w:rsid w:val="06107AA7"/>
    <w:rsid w:val="07315BED"/>
    <w:rsid w:val="07804F11"/>
    <w:rsid w:val="08A26ED9"/>
    <w:rsid w:val="09221D85"/>
    <w:rsid w:val="09A56D4C"/>
    <w:rsid w:val="09F03C3F"/>
    <w:rsid w:val="09F619A8"/>
    <w:rsid w:val="0A9550A3"/>
    <w:rsid w:val="0AE06942"/>
    <w:rsid w:val="0AF53F76"/>
    <w:rsid w:val="0B1E2230"/>
    <w:rsid w:val="0B3F14C7"/>
    <w:rsid w:val="0B635895"/>
    <w:rsid w:val="0B8E3961"/>
    <w:rsid w:val="0BB82DC5"/>
    <w:rsid w:val="0BC1713B"/>
    <w:rsid w:val="0C77508A"/>
    <w:rsid w:val="0CD645C5"/>
    <w:rsid w:val="0CF045E4"/>
    <w:rsid w:val="0D874F12"/>
    <w:rsid w:val="0DAC1BFE"/>
    <w:rsid w:val="0DF95D9B"/>
    <w:rsid w:val="0E960B4B"/>
    <w:rsid w:val="0E9D6386"/>
    <w:rsid w:val="0ED87118"/>
    <w:rsid w:val="0EEC533C"/>
    <w:rsid w:val="0F273CD1"/>
    <w:rsid w:val="10532787"/>
    <w:rsid w:val="10551570"/>
    <w:rsid w:val="111B7642"/>
    <w:rsid w:val="114D5C0D"/>
    <w:rsid w:val="11D11EFD"/>
    <w:rsid w:val="11ED281E"/>
    <w:rsid w:val="11FA04B3"/>
    <w:rsid w:val="12097942"/>
    <w:rsid w:val="120E255F"/>
    <w:rsid w:val="1221473D"/>
    <w:rsid w:val="12340489"/>
    <w:rsid w:val="126F141B"/>
    <w:rsid w:val="126F474C"/>
    <w:rsid w:val="12BF308B"/>
    <w:rsid w:val="12DC0B17"/>
    <w:rsid w:val="12E83789"/>
    <w:rsid w:val="130D3883"/>
    <w:rsid w:val="13F30C1E"/>
    <w:rsid w:val="148A6899"/>
    <w:rsid w:val="14A77879"/>
    <w:rsid w:val="14F01D5F"/>
    <w:rsid w:val="155940A4"/>
    <w:rsid w:val="158A3899"/>
    <w:rsid w:val="16164726"/>
    <w:rsid w:val="171F3B0A"/>
    <w:rsid w:val="184445C0"/>
    <w:rsid w:val="1AAC3DA5"/>
    <w:rsid w:val="1AFD4121"/>
    <w:rsid w:val="1B92735C"/>
    <w:rsid w:val="1BC47462"/>
    <w:rsid w:val="1BE22802"/>
    <w:rsid w:val="1BF07EB8"/>
    <w:rsid w:val="1C2F0310"/>
    <w:rsid w:val="1D144EE7"/>
    <w:rsid w:val="1D9E65AC"/>
    <w:rsid w:val="1DCC0FC0"/>
    <w:rsid w:val="1E19108E"/>
    <w:rsid w:val="1E29272B"/>
    <w:rsid w:val="1E322D48"/>
    <w:rsid w:val="1EA94F3C"/>
    <w:rsid w:val="1EF506B3"/>
    <w:rsid w:val="1F6F3CAC"/>
    <w:rsid w:val="1FAC20E5"/>
    <w:rsid w:val="1FB51152"/>
    <w:rsid w:val="1FE85338"/>
    <w:rsid w:val="206A43DF"/>
    <w:rsid w:val="212521A9"/>
    <w:rsid w:val="219224A4"/>
    <w:rsid w:val="21B71445"/>
    <w:rsid w:val="22D440E0"/>
    <w:rsid w:val="22FD773E"/>
    <w:rsid w:val="233524B1"/>
    <w:rsid w:val="23CB6FAC"/>
    <w:rsid w:val="241E5432"/>
    <w:rsid w:val="24503330"/>
    <w:rsid w:val="246B1D67"/>
    <w:rsid w:val="24AC1923"/>
    <w:rsid w:val="24F54939"/>
    <w:rsid w:val="252706C3"/>
    <w:rsid w:val="26E7356F"/>
    <w:rsid w:val="27B500DA"/>
    <w:rsid w:val="28016D4C"/>
    <w:rsid w:val="28187E45"/>
    <w:rsid w:val="28705C70"/>
    <w:rsid w:val="28743A54"/>
    <w:rsid w:val="28DA5F56"/>
    <w:rsid w:val="291F16B5"/>
    <w:rsid w:val="2A7D4682"/>
    <w:rsid w:val="2BC1711F"/>
    <w:rsid w:val="2BD76BA5"/>
    <w:rsid w:val="2BD81150"/>
    <w:rsid w:val="2C664673"/>
    <w:rsid w:val="2D1D383C"/>
    <w:rsid w:val="2D58646A"/>
    <w:rsid w:val="2D6724C3"/>
    <w:rsid w:val="2DB514F7"/>
    <w:rsid w:val="2DE01EE3"/>
    <w:rsid w:val="2E657FD3"/>
    <w:rsid w:val="2E8749EC"/>
    <w:rsid w:val="2F2F6DBB"/>
    <w:rsid w:val="2FA74377"/>
    <w:rsid w:val="2FBD3A0F"/>
    <w:rsid w:val="301E6F52"/>
    <w:rsid w:val="30D95DA9"/>
    <w:rsid w:val="311A1D97"/>
    <w:rsid w:val="31475E20"/>
    <w:rsid w:val="31C119F4"/>
    <w:rsid w:val="31E60781"/>
    <w:rsid w:val="31ED78EF"/>
    <w:rsid w:val="3212433E"/>
    <w:rsid w:val="321F4B1F"/>
    <w:rsid w:val="32D35A11"/>
    <w:rsid w:val="33360F18"/>
    <w:rsid w:val="33570A41"/>
    <w:rsid w:val="34AE707E"/>
    <w:rsid w:val="34DA14BC"/>
    <w:rsid w:val="356F0D7F"/>
    <w:rsid w:val="35914949"/>
    <w:rsid w:val="366E7492"/>
    <w:rsid w:val="369414DB"/>
    <w:rsid w:val="36D455A6"/>
    <w:rsid w:val="37190D7D"/>
    <w:rsid w:val="37644954"/>
    <w:rsid w:val="377B2E71"/>
    <w:rsid w:val="37C14133"/>
    <w:rsid w:val="38214DE4"/>
    <w:rsid w:val="38622085"/>
    <w:rsid w:val="38DA238F"/>
    <w:rsid w:val="38EE7620"/>
    <w:rsid w:val="3909148A"/>
    <w:rsid w:val="39787EA5"/>
    <w:rsid w:val="39843584"/>
    <w:rsid w:val="39860889"/>
    <w:rsid w:val="399E6F86"/>
    <w:rsid w:val="3A6D3FF0"/>
    <w:rsid w:val="3AA54534"/>
    <w:rsid w:val="3ABF17B2"/>
    <w:rsid w:val="3B9857A6"/>
    <w:rsid w:val="3C6B1770"/>
    <w:rsid w:val="3CA1408C"/>
    <w:rsid w:val="3CB77336"/>
    <w:rsid w:val="3CC93245"/>
    <w:rsid w:val="3D28189C"/>
    <w:rsid w:val="3D5A3B5A"/>
    <w:rsid w:val="3E6E0512"/>
    <w:rsid w:val="3EF01B88"/>
    <w:rsid w:val="3F477746"/>
    <w:rsid w:val="3FF91C32"/>
    <w:rsid w:val="40E136C3"/>
    <w:rsid w:val="4123030E"/>
    <w:rsid w:val="4186569C"/>
    <w:rsid w:val="41CD1574"/>
    <w:rsid w:val="422A4945"/>
    <w:rsid w:val="424F14CB"/>
    <w:rsid w:val="42625CF8"/>
    <w:rsid w:val="43652F72"/>
    <w:rsid w:val="43746510"/>
    <w:rsid w:val="43B20145"/>
    <w:rsid w:val="443B37DB"/>
    <w:rsid w:val="444D5819"/>
    <w:rsid w:val="446432CC"/>
    <w:rsid w:val="44BD6052"/>
    <w:rsid w:val="44BF43F6"/>
    <w:rsid w:val="44C00E0A"/>
    <w:rsid w:val="44CC6046"/>
    <w:rsid w:val="44D35781"/>
    <w:rsid w:val="44F04BA2"/>
    <w:rsid w:val="45F7715C"/>
    <w:rsid w:val="464C4EF0"/>
    <w:rsid w:val="46C9644F"/>
    <w:rsid w:val="4746569C"/>
    <w:rsid w:val="478A01DC"/>
    <w:rsid w:val="47A43F63"/>
    <w:rsid w:val="485B63F2"/>
    <w:rsid w:val="487151E2"/>
    <w:rsid w:val="48DA439B"/>
    <w:rsid w:val="49AC3802"/>
    <w:rsid w:val="4A4F6E15"/>
    <w:rsid w:val="4A78639C"/>
    <w:rsid w:val="4B2F37A1"/>
    <w:rsid w:val="4B7C0A51"/>
    <w:rsid w:val="4BBF4A34"/>
    <w:rsid w:val="4BF93BCE"/>
    <w:rsid w:val="4CC41E2A"/>
    <w:rsid w:val="4CF578C8"/>
    <w:rsid w:val="4D0D59F0"/>
    <w:rsid w:val="4D6F6DDD"/>
    <w:rsid w:val="4EA90980"/>
    <w:rsid w:val="4EBA3761"/>
    <w:rsid w:val="4F15149A"/>
    <w:rsid w:val="4F8451FD"/>
    <w:rsid w:val="4FF44BB4"/>
    <w:rsid w:val="5098173B"/>
    <w:rsid w:val="519D047A"/>
    <w:rsid w:val="51A10508"/>
    <w:rsid w:val="535F3453"/>
    <w:rsid w:val="53C06DC5"/>
    <w:rsid w:val="53C66E76"/>
    <w:rsid w:val="53D03A14"/>
    <w:rsid w:val="53E64333"/>
    <w:rsid w:val="54535C14"/>
    <w:rsid w:val="54987F52"/>
    <w:rsid w:val="549D42A6"/>
    <w:rsid w:val="54AC7E2E"/>
    <w:rsid w:val="54C53030"/>
    <w:rsid w:val="55E14E60"/>
    <w:rsid w:val="5607034C"/>
    <w:rsid w:val="57674651"/>
    <w:rsid w:val="5821570C"/>
    <w:rsid w:val="59213F5F"/>
    <w:rsid w:val="598824F5"/>
    <w:rsid w:val="5A3C5807"/>
    <w:rsid w:val="5C192E76"/>
    <w:rsid w:val="5CD04E79"/>
    <w:rsid w:val="5D024211"/>
    <w:rsid w:val="5D543CD0"/>
    <w:rsid w:val="5E103D6E"/>
    <w:rsid w:val="5E7523C7"/>
    <w:rsid w:val="5E7B05C6"/>
    <w:rsid w:val="5F5163E4"/>
    <w:rsid w:val="5F710930"/>
    <w:rsid w:val="5F8815F7"/>
    <w:rsid w:val="611B04BE"/>
    <w:rsid w:val="611D4DEA"/>
    <w:rsid w:val="61207FCA"/>
    <w:rsid w:val="61EA5D78"/>
    <w:rsid w:val="62151EB7"/>
    <w:rsid w:val="62463924"/>
    <w:rsid w:val="62715EB0"/>
    <w:rsid w:val="6287588B"/>
    <w:rsid w:val="62F334AD"/>
    <w:rsid w:val="63204ACE"/>
    <w:rsid w:val="635D584E"/>
    <w:rsid w:val="636242B7"/>
    <w:rsid w:val="6375625E"/>
    <w:rsid w:val="6382536B"/>
    <w:rsid w:val="63EA5D9C"/>
    <w:rsid w:val="643F0C4A"/>
    <w:rsid w:val="64D1086B"/>
    <w:rsid w:val="6515618E"/>
    <w:rsid w:val="655353BA"/>
    <w:rsid w:val="65A81199"/>
    <w:rsid w:val="65E91E8B"/>
    <w:rsid w:val="66461D04"/>
    <w:rsid w:val="68676194"/>
    <w:rsid w:val="6867667B"/>
    <w:rsid w:val="688124D2"/>
    <w:rsid w:val="68A65E92"/>
    <w:rsid w:val="68A96657"/>
    <w:rsid w:val="68C95212"/>
    <w:rsid w:val="69212CC3"/>
    <w:rsid w:val="699C4DD4"/>
    <w:rsid w:val="69B21AC9"/>
    <w:rsid w:val="69C82DF6"/>
    <w:rsid w:val="69F86FA1"/>
    <w:rsid w:val="69FE76A7"/>
    <w:rsid w:val="6A161FBF"/>
    <w:rsid w:val="6A6A219E"/>
    <w:rsid w:val="6A7D4F16"/>
    <w:rsid w:val="6AAB1A1A"/>
    <w:rsid w:val="6ABC533F"/>
    <w:rsid w:val="6AF309B0"/>
    <w:rsid w:val="6AF37EA1"/>
    <w:rsid w:val="6B895C48"/>
    <w:rsid w:val="6B8F0DA2"/>
    <w:rsid w:val="6C3C42EF"/>
    <w:rsid w:val="6C510D82"/>
    <w:rsid w:val="6C7D655D"/>
    <w:rsid w:val="6C7E73FB"/>
    <w:rsid w:val="6CBB4F6C"/>
    <w:rsid w:val="6CEA4DD1"/>
    <w:rsid w:val="6CF05CC6"/>
    <w:rsid w:val="6D5577B5"/>
    <w:rsid w:val="6D666821"/>
    <w:rsid w:val="6D7D6246"/>
    <w:rsid w:val="6D962E08"/>
    <w:rsid w:val="6E207D48"/>
    <w:rsid w:val="6EA606A6"/>
    <w:rsid w:val="6F717CE7"/>
    <w:rsid w:val="6F8025E5"/>
    <w:rsid w:val="6FA04AF3"/>
    <w:rsid w:val="703753F4"/>
    <w:rsid w:val="70D72AEC"/>
    <w:rsid w:val="70F056AF"/>
    <w:rsid w:val="712F0B57"/>
    <w:rsid w:val="71571EAA"/>
    <w:rsid w:val="71944872"/>
    <w:rsid w:val="73367D0C"/>
    <w:rsid w:val="736C291E"/>
    <w:rsid w:val="738343A2"/>
    <w:rsid w:val="73C21472"/>
    <w:rsid w:val="73D50C15"/>
    <w:rsid w:val="73E265C0"/>
    <w:rsid w:val="74481307"/>
    <w:rsid w:val="74741325"/>
    <w:rsid w:val="74D2239C"/>
    <w:rsid w:val="74EE63FF"/>
    <w:rsid w:val="74F66DDB"/>
    <w:rsid w:val="757E00C9"/>
    <w:rsid w:val="759D3722"/>
    <w:rsid w:val="75D40F4F"/>
    <w:rsid w:val="76057D07"/>
    <w:rsid w:val="763649C9"/>
    <w:rsid w:val="77374514"/>
    <w:rsid w:val="78044627"/>
    <w:rsid w:val="784F3E06"/>
    <w:rsid w:val="786778B4"/>
    <w:rsid w:val="799767DD"/>
    <w:rsid w:val="79C60085"/>
    <w:rsid w:val="79D614E6"/>
    <w:rsid w:val="7B0A7194"/>
    <w:rsid w:val="7B184787"/>
    <w:rsid w:val="7B73576F"/>
    <w:rsid w:val="7B8C0B2D"/>
    <w:rsid w:val="7BA01133"/>
    <w:rsid w:val="7C5D25A2"/>
    <w:rsid w:val="7CD06A53"/>
    <w:rsid w:val="7CFD0316"/>
    <w:rsid w:val="7E2D1E02"/>
    <w:rsid w:val="7EE75F66"/>
    <w:rsid w:val="7F576C1E"/>
    <w:rsid w:val="7FE15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uiPriority="99" w:name="Body Text First Indent 2"/>
    <w:lsdException w:unhideWhenUsed="0" w:uiPriority="99" w:semiHidden="0"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unhideWhenUsed/>
    <w:qFormat/>
    <w:uiPriority w:val="9"/>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unhideWhenUsed/>
    <w:qFormat/>
    <w:uiPriority w:val="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w:basedOn w:val="1"/>
    <w:next w:val="1"/>
    <w:link w:val="185"/>
    <w:semiHidden/>
    <w:unhideWhenUsed/>
    <w:qFormat/>
    <w:uiPriority w:val="99"/>
    <w:pPr>
      <w:spacing w:after="120"/>
    </w:pPr>
  </w:style>
  <w:style w:type="paragraph" w:styleId="12">
    <w:name w:val="toc 7"/>
    <w:basedOn w:val="1"/>
    <w:next w:val="1"/>
    <w:semiHidden/>
    <w:unhideWhenUsed/>
    <w:qFormat/>
    <w:uiPriority w:val="99"/>
    <w:pPr>
      <w:ind w:left="2520" w:leftChars="1200"/>
    </w:pPr>
    <w:rPr>
      <w:rFonts w:ascii="Times New Roman" w:hAnsi="Times New Roman"/>
      <w:szCs w:val="24"/>
    </w:rPr>
  </w:style>
  <w:style w:type="paragraph" w:styleId="13">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99"/>
    <w:pPr>
      <w:spacing w:before="152" w:after="160" w:line="360" w:lineRule="auto"/>
    </w:pPr>
    <w:rPr>
      <w:rFonts w:ascii="Arial" w:hAnsi="Arial" w:eastAsia="黑体" w:cs="Arial"/>
      <w:sz w:val="20"/>
      <w:szCs w:val="20"/>
    </w:rPr>
  </w:style>
  <w:style w:type="paragraph" w:styleId="15">
    <w:name w:val="Document Map"/>
    <w:basedOn w:val="1"/>
    <w:link w:val="74"/>
    <w:semiHidden/>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2"/>
    <w:unhideWhenUsed/>
    <w:qFormat/>
    <w:uiPriority w:val="99"/>
    <w:pPr>
      <w:jc w:val="left"/>
    </w:pPr>
    <w:rPr>
      <w:rFonts w:ascii="Times New Roman" w:hAnsi="Times New Roman"/>
      <w:kern w:val="0"/>
      <w:sz w:val="18"/>
      <w:szCs w:val="18"/>
    </w:rPr>
  </w:style>
  <w:style w:type="paragraph" w:styleId="17">
    <w:name w:val="Body Text 3"/>
    <w:basedOn w:val="1"/>
    <w:link w:val="71"/>
    <w:semiHidden/>
    <w:unhideWhenUsed/>
    <w:qFormat/>
    <w:uiPriority w:val="99"/>
    <w:pPr>
      <w:jc w:val="center"/>
    </w:pPr>
    <w:rPr>
      <w:rFonts w:ascii="Times New Roman" w:hAnsi="Times New Roman" w:eastAsia="黑体"/>
      <w:sz w:val="44"/>
      <w:szCs w:val="24"/>
    </w:rPr>
  </w:style>
  <w:style w:type="paragraph" w:styleId="18">
    <w:name w:val="Body Text Indent"/>
    <w:basedOn w:val="1"/>
    <w:link w:val="66"/>
    <w:semiHidden/>
    <w:unhideWhenUsed/>
    <w:qFormat/>
    <w:uiPriority w:val="99"/>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99"/>
    <w:pPr>
      <w:ind w:left="1680" w:leftChars="800"/>
    </w:pPr>
    <w:rPr>
      <w:rFonts w:ascii="Times New Roman" w:hAnsi="Times New Roman"/>
      <w:sz w:val="18"/>
      <w:szCs w:val="18"/>
    </w:rPr>
  </w:style>
  <w:style w:type="paragraph" w:styleId="21">
    <w:name w:val="toc 3"/>
    <w:basedOn w:val="1"/>
    <w:next w:val="1"/>
    <w:semiHidden/>
    <w:unhideWhenUsed/>
    <w:qFormat/>
    <w:uiPriority w:val="9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next w:val="13"/>
    <w:link w:val="190"/>
    <w:semiHidden/>
    <w:unhideWhenUsed/>
    <w:qFormat/>
    <w:uiPriority w:val="99"/>
    <w:rPr>
      <w:rFonts w:ascii="宋体" w:hAnsi="Courier New"/>
      <w:kern w:val="0"/>
      <w:sz w:val="20"/>
      <w:szCs w:val="18"/>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68"/>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2"/>
    <w:unhideWhenUsed/>
    <w:qFormat/>
    <w:uiPriority w:val="99"/>
    <w:pPr>
      <w:spacing w:after="120" w:line="480" w:lineRule="auto"/>
      <w:ind w:left="420" w:leftChars="200"/>
    </w:pPr>
  </w:style>
  <w:style w:type="paragraph" w:styleId="26">
    <w:name w:val="Balloon Text"/>
    <w:basedOn w:val="1"/>
    <w:link w:val="77"/>
    <w:semiHidden/>
    <w:unhideWhenUsed/>
    <w:qFormat/>
    <w:uiPriority w:val="99"/>
    <w:rPr>
      <w:rFonts w:ascii="Times New Roman" w:hAnsi="Times New Roman"/>
      <w:kern w:val="0"/>
      <w:sz w:val="18"/>
      <w:szCs w:val="18"/>
    </w:rPr>
  </w:style>
  <w:style w:type="paragraph" w:styleId="27">
    <w:name w:val="footer"/>
    <w:basedOn w:val="1"/>
    <w:link w:val="64"/>
    <w:unhideWhenUsed/>
    <w:qFormat/>
    <w:uiPriority w:val="99"/>
    <w:pPr>
      <w:tabs>
        <w:tab w:val="center" w:pos="4153"/>
        <w:tab w:val="right" w:pos="8306"/>
      </w:tabs>
      <w:snapToGrid w:val="0"/>
      <w:jc w:val="left"/>
    </w:pPr>
    <w:rPr>
      <w:kern w:val="0"/>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7"/>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1"/>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3"/>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70"/>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6"/>
    <w:next w:val="16"/>
    <w:link w:val="76"/>
    <w:semiHidden/>
    <w:unhideWhenUsed/>
    <w:qFormat/>
    <w:uiPriority w:val="99"/>
    <w:rPr>
      <w:rFonts w:ascii="Calibri" w:hAnsi="Calibri"/>
      <w:b/>
      <w:bCs/>
      <w:kern w:val="2"/>
      <w:sz w:val="21"/>
      <w:szCs w:val="22"/>
    </w:rPr>
  </w:style>
  <w:style w:type="paragraph" w:styleId="41">
    <w:name w:val="Body Text First Indent"/>
    <w:basedOn w:val="2"/>
    <w:link w:val="69"/>
    <w:semiHidden/>
    <w:unhideWhenUsed/>
    <w:qFormat/>
    <w:uiPriority w:val="99"/>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page number"/>
    <w:unhideWhenUsed/>
    <w:qFormat/>
    <w:uiPriority w:val="0"/>
  </w:style>
  <w:style w:type="character" w:styleId="46">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paragraph" w:customStyle="1" w:styleId="50">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51">
    <w:name w:val="标题 1 Char"/>
    <w:basedOn w:val="44"/>
    <w:link w:val="3"/>
    <w:qFormat/>
    <w:uiPriority w:val="9"/>
    <w:rPr>
      <w:rFonts w:ascii="宋体" w:hAnsi="宋体" w:eastAsia="宋体" w:cs="宋体"/>
      <w:b/>
      <w:bCs/>
      <w:spacing w:val="-20"/>
      <w:kern w:val="44"/>
      <w:sz w:val="32"/>
      <w:szCs w:val="32"/>
    </w:rPr>
  </w:style>
  <w:style w:type="character" w:customStyle="1" w:styleId="52">
    <w:name w:val="标题 2 Char"/>
    <w:basedOn w:val="44"/>
    <w:link w:val="4"/>
    <w:qFormat/>
    <w:uiPriority w:val="0"/>
    <w:rPr>
      <w:rFonts w:ascii="宋体" w:hAnsi="宋体" w:eastAsia="宋体" w:cs="宋体"/>
      <w:b/>
      <w:bCs/>
      <w:sz w:val="28"/>
      <w:szCs w:val="28"/>
    </w:rPr>
  </w:style>
  <w:style w:type="character" w:customStyle="1" w:styleId="53">
    <w:name w:val="标题 3 Char"/>
    <w:basedOn w:val="44"/>
    <w:link w:val="5"/>
    <w:qFormat/>
    <w:uiPriority w:val="0"/>
    <w:rPr>
      <w:rFonts w:ascii="宋体" w:hAnsi="宋体" w:eastAsia="宋体" w:cs="宋体"/>
      <w:b/>
      <w:bCs/>
      <w:color w:val="000000"/>
      <w:kern w:val="0"/>
      <w:sz w:val="28"/>
      <w:szCs w:val="28"/>
    </w:rPr>
  </w:style>
  <w:style w:type="character" w:customStyle="1" w:styleId="54">
    <w:name w:val="标题 4 Char"/>
    <w:basedOn w:val="44"/>
    <w:link w:val="6"/>
    <w:qFormat/>
    <w:uiPriority w:val="0"/>
    <w:rPr>
      <w:rFonts w:ascii="Arial" w:hAnsi="Arial" w:eastAsia="宋体" w:cs="Times New Roman"/>
      <w:b/>
      <w:bCs/>
      <w:kern w:val="0"/>
      <w:sz w:val="28"/>
      <w:szCs w:val="28"/>
    </w:rPr>
  </w:style>
  <w:style w:type="character" w:customStyle="1" w:styleId="55">
    <w:name w:val="标题 5 Char"/>
    <w:basedOn w:val="44"/>
    <w:link w:val="7"/>
    <w:qFormat/>
    <w:uiPriority w:val="9"/>
    <w:rPr>
      <w:rFonts w:ascii="Calibri" w:hAnsi="Calibri" w:eastAsia="宋体" w:cs="宋体"/>
      <w:b/>
      <w:bCs/>
      <w:kern w:val="0"/>
      <w:sz w:val="28"/>
      <w:szCs w:val="28"/>
    </w:rPr>
  </w:style>
  <w:style w:type="character" w:customStyle="1" w:styleId="56">
    <w:name w:val="标题 6 Char"/>
    <w:basedOn w:val="44"/>
    <w:link w:val="8"/>
    <w:qFormat/>
    <w:uiPriority w:val="0"/>
    <w:rPr>
      <w:rFonts w:ascii="Arial" w:hAnsi="Arial" w:eastAsia="宋体" w:cs="Times New Roman"/>
      <w:b/>
      <w:bCs/>
      <w:kern w:val="0"/>
      <w:sz w:val="28"/>
      <w:szCs w:val="18"/>
    </w:rPr>
  </w:style>
  <w:style w:type="character" w:customStyle="1" w:styleId="57">
    <w:name w:val="标题 7 Char"/>
    <w:basedOn w:val="44"/>
    <w:link w:val="9"/>
    <w:semiHidden/>
    <w:qFormat/>
    <w:uiPriority w:val="99"/>
    <w:rPr>
      <w:rFonts w:ascii="Arial Narrow" w:hAnsi="Arial Narrow" w:eastAsia="宋体" w:cs="Times New Roman"/>
      <w:b/>
      <w:bCs/>
      <w:iCs/>
      <w:kern w:val="0"/>
      <w:sz w:val="20"/>
      <w:szCs w:val="24"/>
      <w:lang w:eastAsia="en-US"/>
    </w:rPr>
  </w:style>
  <w:style w:type="character" w:customStyle="1" w:styleId="58">
    <w:name w:val="标题 8 Char"/>
    <w:basedOn w:val="44"/>
    <w:link w:val="10"/>
    <w:semiHidden/>
    <w:qFormat/>
    <w:uiPriority w:val="99"/>
    <w:rPr>
      <w:rFonts w:ascii="Arial" w:hAnsi="Arial" w:eastAsia="黑体" w:cs="Times New Roman"/>
      <w:kern w:val="0"/>
      <w:sz w:val="24"/>
      <w:szCs w:val="24"/>
    </w:rPr>
  </w:style>
  <w:style w:type="character" w:customStyle="1" w:styleId="59">
    <w:name w:val="标题 9 Char"/>
    <w:basedOn w:val="44"/>
    <w:link w:val="11"/>
    <w:semiHidden/>
    <w:qFormat/>
    <w:uiPriority w:val="99"/>
    <w:rPr>
      <w:rFonts w:ascii="Arial" w:hAnsi="Arial" w:eastAsia="黑体" w:cs="Times New Roman"/>
      <w:kern w:val="0"/>
      <w:sz w:val="20"/>
      <w:szCs w:val="21"/>
    </w:rPr>
  </w:style>
  <w:style w:type="character" w:customStyle="1" w:styleId="60">
    <w:name w:val="正文缩进 Char1"/>
    <w:link w:val="13"/>
    <w:qFormat/>
    <w:locked/>
    <w:uiPriority w:val="0"/>
  </w:style>
  <w:style w:type="character" w:customStyle="1" w:styleId="61">
    <w:name w:val="脚注文本 Char"/>
    <w:basedOn w:val="44"/>
    <w:link w:val="32"/>
    <w:semiHidden/>
    <w:qFormat/>
    <w:uiPriority w:val="99"/>
    <w:rPr>
      <w:rFonts w:ascii="Calibri" w:hAnsi="Calibri" w:eastAsia="宋体" w:cs="Times New Roman"/>
      <w:sz w:val="18"/>
      <w:szCs w:val="18"/>
    </w:rPr>
  </w:style>
  <w:style w:type="character" w:customStyle="1" w:styleId="62">
    <w:name w:val="批注文字 Char"/>
    <w:basedOn w:val="44"/>
    <w:link w:val="16"/>
    <w:qFormat/>
    <w:uiPriority w:val="99"/>
    <w:rPr>
      <w:rFonts w:ascii="Times New Roman" w:hAnsi="Times New Roman" w:eastAsia="宋体" w:cs="Times New Roman"/>
      <w:kern w:val="0"/>
      <w:sz w:val="18"/>
      <w:szCs w:val="18"/>
    </w:rPr>
  </w:style>
  <w:style w:type="character" w:customStyle="1" w:styleId="63">
    <w:name w:val="页眉 Char"/>
    <w:basedOn w:val="44"/>
    <w:link w:val="28"/>
    <w:qFormat/>
    <w:uiPriority w:val="99"/>
    <w:rPr>
      <w:rFonts w:ascii="Calibri" w:hAnsi="Calibri" w:eastAsia="宋体" w:cs="Times New Roman"/>
      <w:kern w:val="0"/>
      <w:sz w:val="18"/>
      <w:szCs w:val="18"/>
    </w:rPr>
  </w:style>
  <w:style w:type="character" w:customStyle="1" w:styleId="64">
    <w:name w:val="页脚 Char"/>
    <w:basedOn w:val="44"/>
    <w:link w:val="27"/>
    <w:qFormat/>
    <w:uiPriority w:val="99"/>
    <w:rPr>
      <w:rFonts w:ascii="Calibri" w:hAnsi="Calibri" w:eastAsia="宋体" w:cs="Times New Roman"/>
      <w:kern w:val="0"/>
      <w:sz w:val="18"/>
      <w:szCs w:val="18"/>
    </w:rPr>
  </w:style>
  <w:style w:type="character" w:customStyle="1" w:styleId="65">
    <w:name w:val="正文文本 Char"/>
    <w:basedOn w:val="44"/>
    <w:qFormat/>
    <w:uiPriority w:val="0"/>
    <w:rPr>
      <w:rFonts w:ascii="Calibri" w:hAnsi="Calibri" w:eastAsia="宋体" w:cs="Times New Roman"/>
    </w:rPr>
  </w:style>
  <w:style w:type="character" w:customStyle="1" w:styleId="66">
    <w:name w:val="正文文本缩进 Char"/>
    <w:basedOn w:val="44"/>
    <w:link w:val="18"/>
    <w:semiHidden/>
    <w:qFormat/>
    <w:uiPriority w:val="99"/>
    <w:rPr>
      <w:rFonts w:ascii="Times New Roman" w:hAnsi="Times New Roman" w:eastAsia="宋体" w:cs="Times New Roman"/>
      <w:kern w:val="0"/>
      <w:sz w:val="20"/>
      <w:szCs w:val="24"/>
    </w:rPr>
  </w:style>
  <w:style w:type="character" w:customStyle="1" w:styleId="67">
    <w:name w:val="副标题 Char"/>
    <w:basedOn w:val="44"/>
    <w:link w:val="31"/>
    <w:qFormat/>
    <w:uiPriority w:val="99"/>
    <w:rPr>
      <w:rFonts w:ascii="Cambria" w:hAnsi="Cambria" w:eastAsia="宋体" w:cs="Times New Roman"/>
      <w:b/>
      <w:bCs/>
      <w:kern w:val="28"/>
      <w:sz w:val="32"/>
      <w:szCs w:val="32"/>
    </w:rPr>
  </w:style>
  <w:style w:type="character" w:customStyle="1" w:styleId="68">
    <w:name w:val="日期 Char"/>
    <w:basedOn w:val="44"/>
    <w:link w:val="24"/>
    <w:semiHidden/>
    <w:qFormat/>
    <w:uiPriority w:val="99"/>
    <w:rPr>
      <w:rFonts w:ascii="Times New Roman" w:hAnsi="Times New Roman" w:eastAsia="宋体" w:cs="Times New Roman"/>
      <w:kern w:val="0"/>
      <w:sz w:val="24"/>
      <w:szCs w:val="24"/>
    </w:rPr>
  </w:style>
  <w:style w:type="character" w:customStyle="1" w:styleId="69">
    <w:name w:val="正文首行缩进 Char"/>
    <w:basedOn w:val="65"/>
    <w:link w:val="41"/>
    <w:semiHidden/>
    <w:qFormat/>
    <w:uiPriority w:val="99"/>
    <w:rPr>
      <w:rFonts w:ascii="Times New Roman" w:hAnsi="Times New Roman" w:eastAsia="宋体" w:cs="Times New Roman"/>
      <w:kern w:val="0"/>
      <w:sz w:val="18"/>
      <w:szCs w:val="18"/>
    </w:rPr>
  </w:style>
  <w:style w:type="character" w:customStyle="1" w:styleId="70">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1">
    <w:name w:val="正文文本 3 Char"/>
    <w:basedOn w:val="44"/>
    <w:link w:val="17"/>
    <w:semiHidden/>
    <w:qFormat/>
    <w:uiPriority w:val="99"/>
    <w:rPr>
      <w:rFonts w:ascii="Times New Roman" w:hAnsi="Times New Roman" w:eastAsia="黑体" w:cs="Times New Roman"/>
      <w:sz w:val="44"/>
      <w:szCs w:val="24"/>
    </w:rPr>
  </w:style>
  <w:style w:type="character" w:customStyle="1" w:styleId="72">
    <w:name w:val="正文文本缩进 2 Char"/>
    <w:basedOn w:val="44"/>
    <w:link w:val="25"/>
    <w:qFormat/>
    <w:uiPriority w:val="99"/>
    <w:rPr>
      <w:rFonts w:ascii="Calibri" w:hAnsi="Calibri" w:eastAsia="宋体" w:cs="Times New Roman"/>
    </w:rPr>
  </w:style>
  <w:style w:type="character" w:customStyle="1" w:styleId="73">
    <w:name w:val="正文文本缩进 3 Char"/>
    <w:basedOn w:val="44"/>
    <w:link w:val="34"/>
    <w:semiHidden/>
    <w:qFormat/>
    <w:uiPriority w:val="99"/>
    <w:rPr>
      <w:rFonts w:ascii="宋体" w:hAnsi="宋体" w:eastAsia="宋体" w:cs="Times New Roman"/>
      <w:kern w:val="0"/>
      <w:sz w:val="28"/>
      <w:szCs w:val="28"/>
    </w:rPr>
  </w:style>
  <w:style w:type="character" w:customStyle="1" w:styleId="74">
    <w:name w:val="文档结构图 Char"/>
    <w:basedOn w:val="44"/>
    <w:link w:val="15"/>
    <w:semiHidden/>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4"/>
    <w:qFormat/>
    <w:uiPriority w:val="0"/>
    <w:rPr>
      <w:rFonts w:ascii="宋体" w:hAnsi="Courier New" w:eastAsia="宋体" w:cs="Courier New"/>
      <w:szCs w:val="21"/>
    </w:rPr>
  </w:style>
  <w:style w:type="character" w:customStyle="1" w:styleId="76">
    <w:name w:val="批注主题 Char"/>
    <w:basedOn w:val="62"/>
    <w:link w:val="40"/>
    <w:semiHidden/>
    <w:qFormat/>
    <w:uiPriority w:val="99"/>
    <w:rPr>
      <w:rFonts w:ascii="Calibri" w:hAnsi="Calibri" w:eastAsia="宋体" w:cs="Times New Roman"/>
      <w:b/>
      <w:bCs/>
      <w:kern w:val="0"/>
      <w:sz w:val="18"/>
      <w:szCs w:val="18"/>
    </w:rPr>
  </w:style>
  <w:style w:type="character" w:customStyle="1" w:styleId="77">
    <w:name w:val="批注框文本 Char"/>
    <w:basedOn w:val="44"/>
    <w:link w:val="26"/>
    <w:semiHidden/>
    <w:qFormat/>
    <w:uiPriority w:val="99"/>
    <w:rPr>
      <w:rFonts w:ascii="Times New Roman" w:hAnsi="Times New Roman" w:eastAsia="宋体" w:cs="Times New Roman"/>
      <w:kern w:val="0"/>
      <w:sz w:val="18"/>
      <w:szCs w:val="18"/>
    </w:rPr>
  </w:style>
  <w:style w:type="paragraph"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Char"/>
    <w:link w:val="80"/>
    <w:qFormat/>
    <w:locked/>
    <w:uiPriority w:val="0"/>
    <w:rPr>
      <w:rFonts w:ascii="Calibri" w:hAnsi="Calibri"/>
    </w:rPr>
  </w:style>
  <w:style w:type="paragraph" w:styleId="80">
    <w:name w:val="List Paragraph"/>
    <w:basedOn w:val="1"/>
    <w:link w:val="79"/>
    <w:qFormat/>
    <w:uiPriority w:val="0"/>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99"/>
    <w:pPr>
      <w:spacing w:before="240" w:after="60"/>
      <w:jc w:val="center"/>
      <w:outlineLvl w:val="0"/>
    </w:pPr>
    <w:rPr>
      <w:rFonts w:ascii="Arial" w:hAnsi="Arial" w:cs="Arial"/>
      <w:b/>
      <w:bCs/>
      <w:sz w:val="32"/>
      <w:szCs w:val="32"/>
    </w:rPr>
  </w:style>
  <w:style w:type="paragraph" w:customStyle="1" w:styleId="85">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99"/>
    <w:pPr>
      <w:ind w:firstLine="200" w:firstLineChars="200"/>
    </w:pPr>
    <w:rPr>
      <w:rFonts w:ascii="Times New Roman" w:hAnsi="Times New Roman"/>
      <w:szCs w:val="24"/>
    </w:rPr>
  </w:style>
  <w:style w:type="paragraph" w:customStyle="1" w:styleId="88">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9">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99"/>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99"/>
    <w:rPr>
      <w:rFonts w:ascii="Tahoma" w:hAnsi="Tahoma"/>
      <w:sz w:val="24"/>
      <w:szCs w:val="20"/>
    </w:rPr>
  </w:style>
  <w:style w:type="paragraph" w:customStyle="1" w:styleId="94">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3"/>
    <w:qFormat/>
    <w:uiPriority w:val="99"/>
    <w:pPr>
      <w:spacing w:after="0" w:line="360" w:lineRule="auto"/>
      <w:ind w:firstLine="480" w:firstLineChars="200"/>
    </w:pPr>
    <w:rPr>
      <w:rFonts w:ascii="宋体" w:hAnsi="宋体"/>
      <w:sz w:val="24"/>
      <w:szCs w:val="24"/>
    </w:rPr>
  </w:style>
  <w:style w:type="paragraph" w:customStyle="1" w:styleId="97">
    <w:name w:val="表格文字"/>
    <w:basedOn w:val="1"/>
    <w:qFormat/>
    <w:uiPriority w:val="99"/>
    <w:pPr>
      <w:spacing w:beforeLines="25"/>
    </w:pPr>
    <w:rPr>
      <w:rFonts w:ascii="Times New (W1)" w:hAnsi="Times New (W1)"/>
      <w:spacing w:val="10"/>
      <w:szCs w:val="24"/>
    </w:rPr>
  </w:style>
  <w:style w:type="paragraph" w:customStyle="1" w:styleId="98">
    <w:name w:val="文章正文"/>
    <w:basedOn w:val="1"/>
    <w:qFormat/>
    <w:uiPriority w:val="99"/>
    <w:pPr>
      <w:spacing w:line="360" w:lineRule="auto"/>
      <w:ind w:firstLine="420"/>
    </w:pPr>
    <w:rPr>
      <w:rFonts w:ascii="Times New Roman" w:hAnsi="Times New Roman"/>
      <w:sz w:val="24"/>
      <w:szCs w:val="24"/>
    </w:rPr>
  </w:style>
  <w:style w:type="paragraph" w:customStyle="1" w:styleId="99">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99"/>
    <w:rPr>
      <w:rFonts w:ascii="Times New Roman" w:hAnsi="Times New Roman"/>
      <w:szCs w:val="24"/>
    </w:rPr>
  </w:style>
  <w:style w:type="paragraph" w:customStyle="1" w:styleId="101">
    <w:name w:val="MM Topic 6"/>
    <w:basedOn w:val="8"/>
    <w:qFormat/>
    <w:uiPriority w:val="99"/>
    <w:pPr>
      <w:tabs>
        <w:tab w:val="left" w:pos="3260"/>
        <w:tab w:val="clear" w:pos="1702"/>
      </w:tabs>
      <w:ind w:left="0" w:firstLine="0"/>
    </w:pPr>
    <w:rPr>
      <w:rFonts w:eastAsia="黑体"/>
    </w:rPr>
  </w:style>
  <w:style w:type="paragraph" w:customStyle="1" w:styleId="102">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99"/>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18"/>
    <w:qFormat/>
    <w:uiPriority w:val="99"/>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99"/>
    <w:rPr>
      <w:rFonts w:ascii="仿宋_GB2312" w:hAnsi="Times New Roman"/>
      <w:b/>
      <w:sz w:val="30"/>
      <w:szCs w:val="32"/>
    </w:rPr>
  </w:style>
  <w:style w:type="paragraph" w:customStyle="1" w:styleId="107">
    <w:name w:val="MM Topic 2"/>
    <w:basedOn w:val="4"/>
    <w:qFormat/>
    <w:uiPriority w:val="99"/>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10">
    <w:name w:val="MM Topic 8"/>
    <w:basedOn w:val="10"/>
    <w:qFormat/>
    <w:uiPriority w:val="99"/>
    <w:pPr>
      <w:tabs>
        <w:tab w:val="left" w:pos="4394"/>
      </w:tabs>
    </w:pPr>
  </w:style>
  <w:style w:type="paragraph" w:customStyle="1" w:styleId="111">
    <w:name w:val="Char1 Char Char Char Char Char Char"/>
    <w:basedOn w:val="1"/>
    <w:qFormat/>
    <w:uiPriority w:val="99"/>
    <w:rPr>
      <w:rFonts w:ascii="Tahoma" w:hAnsi="Tahoma"/>
      <w:sz w:val="24"/>
      <w:szCs w:val="20"/>
    </w:rPr>
  </w:style>
  <w:style w:type="paragraph" w:customStyle="1" w:styleId="112">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99"/>
    <w:rPr>
      <w:rFonts w:ascii="宋体" w:hAnsi="宋体"/>
      <w:sz w:val="24"/>
      <w:szCs w:val="24"/>
    </w:rPr>
  </w:style>
  <w:style w:type="paragraph" w:customStyle="1" w:styleId="114">
    <w:name w:val="正文1"/>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5">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99"/>
    <w:pPr>
      <w:spacing w:line="360" w:lineRule="auto"/>
      <w:ind w:firstLine="420"/>
    </w:pPr>
    <w:rPr>
      <w:rFonts w:ascii="Times New Roman" w:hAnsi="Times New Roman"/>
      <w:sz w:val="24"/>
      <w:szCs w:val="24"/>
    </w:rPr>
  </w:style>
  <w:style w:type="paragraph" w:customStyle="1" w:styleId="119">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3"/>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1">
    <w:name w:val="图"/>
    <w:basedOn w:val="1"/>
    <w:qFormat/>
    <w:uiPriority w:val="99"/>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99"/>
    <w:pPr>
      <w:tabs>
        <w:tab w:val="left" w:pos="425"/>
      </w:tabs>
    </w:pPr>
    <w:rPr>
      <w:rFonts w:cs="Times New Roman"/>
      <w:sz w:val="44"/>
    </w:rPr>
  </w:style>
  <w:style w:type="paragraph" w:customStyle="1" w:styleId="126">
    <w:name w:val="样式 标题 5 + 倾斜"/>
    <w:basedOn w:val="7"/>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99"/>
    <w:pPr>
      <w:spacing w:line="360" w:lineRule="auto"/>
      <w:ind w:firstLine="420" w:firstLineChars="200"/>
    </w:pPr>
    <w:rPr>
      <w:rFonts w:ascii="宋体" w:hAnsi="宋体"/>
      <w:szCs w:val="24"/>
    </w:rPr>
  </w:style>
  <w:style w:type="paragraph" w:customStyle="1" w:styleId="128">
    <w:name w:val="MM Topic 7"/>
    <w:basedOn w:val="9"/>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5"/>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99"/>
    <w:pPr>
      <w:spacing w:line="360" w:lineRule="auto"/>
      <w:ind w:firstLine="700" w:firstLineChars="250"/>
    </w:pPr>
    <w:rPr>
      <w:rFonts w:ascii="宋体" w:hAnsi="宋体"/>
      <w:bCs/>
      <w:sz w:val="28"/>
      <w:szCs w:val="28"/>
    </w:rPr>
  </w:style>
  <w:style w:type="paragraph" w:customStyle="1" w:styleId="132">
    <w:name w:val="样式1"/>
    <w:basedOn w:val="1"/>
    <w:qFormat/>
    <w:uiPriority w:val="99"/>
    <w:rPr>
      <w:rFonts w:ascii="Times New Roman" w:hAnsi="Times New Roman" w:eastAsia="隶书"/>
      <w:i/>
      <w:dstrike/>
      <w:sz w:val="28"/>
      <w:szCs w:val="18"/>
    </w:rPr>
  </w:style>
  <w:style w:type="paragraph" w:customStyle="1" w:styleId="133">
    <w:name w:val="表格"/>
    <w:basedOn w:val="1"/>
    <w:qFormat/>
    <w:uiPriority w:val="99"/>
    <w:pPr>
      <w:spacing w:line="400" w:lineRule="exact"/>
    </w:pPr>
    <w:rPr>
      <w:rFonts w:ascii="Times New Roman" w:hAnsi="Times New Roman"/>
      <w:sz w:val="24"/>
      <w:szCs w:val="24"/>
    </w:rPr>
  </w:style>
  <w:style w:type="paragraph" w:customStyle="1" w:styleId="134">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5">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5"/>
    <w:qFormat/>
    <w:uiPriority w:val="99"/>
    <w:rPr>
      <w:rFonts w:ascii="Tahoma" w:hAnsi="Tahoma"/>
      <w:sz w:val="24"/>
      <w:szCs w:val="24"/>
    </w:rPr>
  </w:style>
  <w:style w:type="paragraph" w:customStyle="1" w:styleId="137">
    <w:name w:val="MM Topic 3"/>
    <w:basedOn w:val="5"/>
    <w:qFormat/>
    <w:uiPriority w:val="99"/>
    <w:pPr>
      <w:numPr>
        <w:ilvl w:val="0"/>
        <w:numId w:val="0"/>
      </w:numPr>
      <w:tabs>
        <w:tab w:val="left" w:pos="1418"/>
      </w:tabs>
    </w:pPr>
    <w:rPr>
      <w:rFonts w:cs="Times New Roman"/>
    </w:rPr>
  </w:style>
  <w:style w:type="paragraph" w:customStyle="1" w:styleId="138">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99"/>
    <w:rPr>
      <w:rFonts w:ascii="Tahoma" w:hAnsi="Tahoma"/>
      <w:sz w:val="24"/>
      <w:szCs w:val="20"/>
    </w:rPr>
  </w:style>
  <w:style w:type="paragraph" w:customStyle="1" w:styleId="141">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2">
    <w:name w:val="MM Topic 9"/>
    <w:basedOn w:val="11"/>
    <w:qFormat/>
    <w:uiPriority w:val="0"/>
    <w:pPr>
      <w:tabs>
        <w:tab w:val="left" w:pos="5102"/>
      </w:tabs>
    </w:pPr>
  </w:style>
  <w:style w:type="paragraph" w:customStyle="1" w:styleId="143">
    <w:name w:val="MM Topic 5"/>
    <w:basedOn w:val="7"/>
    <w:qFormat/>
    <w:uiPriority w:val="99"/>
    <w:pPr>
      <w:tabs>
        <w:tab w:val="left" w:pos="2551"/>
        <w:tab w:val="clear" w:pos="1134"/>
        <w:tab w:val="clear" w:pos="1560"/>
      </w:tabs>
      <w:ind w:left="0" w:firstLine="0"/>
    </w:pPr>
    <w:rPr>
      <w:rFonts w:cs="Times New Roman"/>
    </w:rPr>
  </w:style>
  <w:style w:type="paragraph" w:customStyle="1" w:styleId="144">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5">
    <w:name w:val="MM Topic 4"/>
    <w:basedOn w:val="6"/>
    <w:qFormat/>
    <w:uiPriority w:val="99"/>
    <w:pPr>
      <w:tabs>
        <w:tab w:val="left" w:pos="1984"/>
      </w:tabs>
      <w:ind w:left="0" w:firstLine="0"/>
    </w:pPr>
  </w:style>
  <w:style w:type="paragraph" w:customStyle="1" w:styleId="146">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7">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4"/>
    <w:qFormat/>
    <w:uiPriority w:val="99"/>
    <w:pPr>
      <w:tabs>
        <w:tab w:val="left" w:pos="-2493"/>
      </w:tabs>
    </w:pPr>
    <w:rPr>
      <w:rFonts w:cs="Times New Roman"/>
      <w:szCs w:val="20"/>
    </w:rPr>
  </w:style>
  <w:style w:type="paragraph" w:customStyle="1" w:styleId="149">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50">
    <w:name w:val="列出段落2"/>
    <w:basedOn w:val="1"/>
    <w:qFormat/>
    <w:uiPriority w:val="99"/>
    <w:pPr>
      <w:ind w:firstLine="420" w:firstLineChars="200"/>
    </w:pPr>
  </w:style>
  <w:style w:type="paragraph" w:customStyle="1" w:styleId="151">
    <w:name w:val="列出段落4"/>
    <w:basedOn w:val="1"/>
    <w:qFormat/>
    <w:uiPriority w:val="99"/>
    <w:pPr>
      <w:ind w:firstLine="420" w:firstLineChars="200"/>
    </w:pPr>
    <w:rPr>
      <w:rFonts w:ascii="Times New Roman" w:hAnsi="Times New Roman"/>
      <w:szCs w:val="24"/>
    </w:rPr>
  </w:style>
  <w:style w:type="paragraph" w:customStyle="1" w:styleId="152">
    <w:name w:val="列出段落1"/>
    <w:basedOn w:val="1"/>
    <w:qFormat/>
    <w:uiPriority w:val="34"/>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99"/>
    <w:pPr>
      <w:ind w:firstLine="420" w:firstLineChars="200"/>
    </w:p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4"/>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4"/>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4"/>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4"/>
    <w:link w:val="2"/>
    <w:semiHidden/>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22"/>
    <w:semiHidden/>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4"/>
    <w:qFormat/>
    <w:uiPriority w:val="0"/>
    <w:rPr>
      <w:rFonts w:hint="eastAsia" w:ascii="宋体" w:hAnsi="宋体" w:eastAsia="宋体" w:cs="宋体"/>
      <w:b/>
      <w:color w:val="000000"/>
      <w:sz w:val="22"/>
      <w:szCs w:val="22"/>
      <w:u w:val="none"/>
    </w:rPr>
  </w:style>
  <w:style w:type="character" w:customStyle="1" w:styleId="195">
    <w:name w:val="font01"/>
    <w:basedOn w:val="44"/>
    <w:qFormat/>
    <w:uiPriority w:val="0"/>
    <w:rPr>
      <w:rFonts w:hint="eastAsia" w:ascii="宋体" w:hAnsi="宋体" w:eastAsia="宋体" w:cs="宋体"/>
      <w:color w:val="000000"/>
      <w:sz w:val="22"/>
      <w:szCs w:val="22"/>
      <w:u w:val="none"/>
    </w:rPr>
  </w:style>
  <w:style w:type="character" w:customStyle="1" w:styleId="196">
    <w:name w:val="页脚 Char1"/>
    <w:basedOn w:val="44"/>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8"/>
    <w:link w:val="204"/>
    <w:qFormat/>
    <w:uiPriority w:val="0"/>
  </w:style>
  <w:style w:type="paragraph" w:customStyle="1" w:styleId="200">
    <w:name w:val="项目符号：一级"/>
    <w:basedOn w:val="85"/>
    <w:next w:val="85"/>
    <w:qFormat/>
    <w:uiPriority w:val="99"/>
  </w:style>
  <w:style w:type="character" w:customStyle="1" w:styleId="201">
    <w:name w:val="HTML 预设格式 Char"/>
    <w:basedOn w:val="44"/>
    <w:link w:val="38"/>
    <w:semiHidden/>
    <w:qFormat/>
    <w:uiPriority w:val="99"/>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20"/>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kern w:val="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99"/>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4"/>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99"/>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29">
    <w:name w:val="Char1 Char Char Char Char Char Char_0"/>
    <w:basedOn w:val="1"/>
    <w:qFormat/>
    <w:uiPriority w:val="99"/>
    <w:rPr>
      <w:rFonts w:ascii="Tahoma" w:hAnsi="Tahoma"/>
      <w:sz w:val="24"/>
      <w:szCs w:val="20"/>
    </w:rPr>
  </w:style>
  <w:style w:type="paragraph" w:customStyle="1" w:styleId="230">
    <w:name w:val="样式 标题 2 + Times New Roman 四号 非加粗 段前: 5 磅 段后: 0 磅 行距: 固定值 20..."/>
    <w:basedOn w:val="4"/>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styleId="241">
    <w:name w:val="Placeholder Text"/>
    <w:basedOn w:val="44"/>
    <w:semiHidden/>
    <w:qFormat/>
    <w:uiPriority w:val="99"/>
    <w:rPr>
      <w:color w:val="808080"/>
    </w:rPr>
  </w:style>
  <w:style w:type="character" w:customStyle="1" w:styleId="242">
    <w:name w:val="页眉 字符1"/>
    <w:basedOn w:val="44"/>
    <w:semiHidden/>
    <w:qFormat/>
    <w:locked/>
    <w:uiPriority w:val="99"/>
    <w:rPr>
      <w:rFonts w:ascii="Calibri" w:hAnsi="Calibri" w:eastAsia="宋体" w:cs="Times New Roman"/>
      <w:kern w:val="0"/>
      <w:sz w:val="18"/>
      <w:szCs w:val="18"/>
    </w:rPr>
  </w:style>
  <w:style w:type="character" w:customStyle="1" w:styleId="243">
    <w:name w:val="正文文本 字符1"/>
    <w:basedOn w:val="44"/>
    <w:semiHidden/>
    <w:qFormat/>
    <w:locked/>
    <w:uiPriority w:val="99"/>
    <w:rPr>
      <w:rFonts w:ascii="Calibri" w:hAnsi="Calibri" w:eastAsia="宋体" w:cs="Times New Roman"/>
    </w:rPr>
  </w:style>
  <w:style w:type="character" w:customStyle="1" w:styleId="244">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4"/>
    <w:link w:val="246"/>
    <w:qFormat/>
    <w:locked/>
    <w:uiPriority w:val="0"/>
    <w:rPr>
      <w:rFonts w:ascii="Calibri" w:hAnsi="Calibri" w:eastAsia="宋体" w:cs="Times New Roman"/>
    </w:rPr>
  </w:style>
  <w:style w:type="character" w:customStyle="1" w:styleId="248">
    <w:name w:val="15"/>
    <w:basedOn w:val="44"/>
    <w:qFormat/>
    <w:uiPriority w:val="0"/>
    <w:rPr>
      <w:rFonts w:hint="default" w:ascii="Calibri" w:hAnsi="Calibri"/>
    </w:rPr>
  </w:style>
  <w:style w:type="character" w:customStyle="1" w:styleId="249">
    <w:name w:val="批注文字 Char1"/>
    <w:basedOn w:val="44"/>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4"/>
    <w:qFormat/>
    <w:uiPriority w:val="0"/>
  </w:style>
  <w:style w:type="character" w:customStyle="1" w:styleId="253">
    <w:name w:val="l-btn-icon-left1"/>
    <w:basedOn w:val="44"/>
    <w:qFormat/>
    <w:uiPriority w:val="0"/>
  </w:style>
  <w:style w:type="character" w:customStyle="1" w:styleId="254">
    <w:name w:val="l-btn-empty"/>
    <w:basedOn w:val="44"/>
    <w:qFormat/>
    <w:uiPriority w:val="0"/>
  </w:style>
  <w:style w:type="character" w:customStyle="1" w:styleId="255">
    <w:name w:val="l-btn-icon-right"/>
    <w:basedOn w:val="44"/>
    <w:qFormat/>
    <w:uiPriority w:val="0"/>
  </w:style>
  <w:style w:type="character" w:customStyle="1" w:styleId="256">
    <w:name w:val="l-btn-left2"/>
    <w:basedOn w:val="44"/>
    <w:qFormat/>
    <w:uiPriority w:val="0"/>
  </w:style>
  <w:style w:type="character" w:customStyle="1" w:styleId="257">
    <w:name w:val="l-btn-left3"/>
    <w:basedOn w:val="44"/>
    <w:qFormat/>
    <w:uiPriority w:val="0"/>
  </w:style>
  <w:style w:type="character" w:customStyle="1" w:styleId="258">
    <w:name w:val="l-btn-left4"/>
    <w:basedOn w:val="44"/>
    <w:qFormat/>
    <w:uiPriority w:val="0"/>
  </w:style>
  <w:style w:type="character" w:customStyle="1" w:styleId="259">
    <w:name w:val="l-btn-left5"/>
    <w:basedOn w:val="44"/>
    <w:qFormat/>
    <w:uiPriority w:val="0"/>
  </w:style>
  <w:style w:type="character" w:customStyle="1" w:styleId="260">
    <w:name w:val="l-btn-left6"/>
    <w:basedOn w:val="44"/>
    <w:qFormat/>
    <w:uiPriority w:val="0"/>
  </w:style>
  <w:style w:type="character" w:customStyle="1" w:styleId="261">
    <w:name w:val="l-btn-text"/>
    <w:basedOn w:val="44"/>
    <w:qFormat/>
    <w:uiPriority w:val="0"/>
    <w:rPr>
      <w:vertAlign w:val="baseline"/>
    </w:rPr>
  </w:style>
  <w:style w:type="character" w:customStyle="1" w:styleId="262">
    <w:name w:val="l-btn-text1"/>
    <w:basedOn w:val="44"/>
    <w:qFormat/>
    <w:uiPriority w:val="0"/>
    <w:rPr>
      <w:vertAlign w:val="baseline"/>
    </w:rPr>
  </w:style>
  <w:style w:type="character" w:customStyle="1" w:styleId="263">
    <w:name w:val="ajaxtitle"/>
    <w:basedOn w:val="44"/>
    <w:qFormat/>
    <w:uiPriority w:val="0"/>
  </w:style>
  <w:style w:type="character" w:customStyle="1" w:styleId="264">
    <w:name w:val="json_key"/>
    <w:basedOn w:val="44"/>
    <w:qFormat/>
    <w:uiPriority w:val="0"/>
  </w:style>
  <w:style w:type="character" w:customStyle="1" w:styleId="265">
    <w:name w:val="json_string"/>
    <w:basedOn w:val="44"/>
    <w:qFormat/>
    <w:uiPriority w:val="0"/>
  </w:style>
  <w:style w:type="character" w:customStyle="1" w:styleId="266">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4"/>
    <w:semiHidden/>
    <w:qFormat/>
    <w:uiPriority w:val="99"/>
    <w:rPr>
      <w:rFonts w:hint="default" w:ascii="Calibri" w:hAnsi="Calibri"/>
      <w:b/>
      <w:bCs/>
      <w:kern w:val="2"/>
      <w:sz w:val="32"/>
      <w:szCs w:val="32"/>
    </w:rPr>
  </w:style>
  <w:style w:type="character" w:customStyle="1" w:styleId="268">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4"/>
    <w:semiHidden/>
    <w:qFormat/>
    <w:uiPriority w:val="99"/>
    <w:rPr>
      <w:rFonts w:hint="default" w:ascii="Calibri" w:hAnsi="Calibri" w:cs="Calibri"/>
      <w:kern w:val="2"/>
      <w:sz w:val="21"/>
      <w:szCs w:val="22"/>
    </w:rPr>
  </w:style>
  <w:style w:type="character" w:customStyle="1" w:styleId="270">
    <w:name w:val="正文文本缩进 Char1"/>
    <w:basedOn w:val="44"/>
    <w:semiHidden/>
    <w:qFormat/>
    <w:uiPriority w:val="99"/>
    <w:rPr>
      <w:rFonts w:hint="default" w:ascii="Calibri" w:hAnsi="Calibri" w:cs="Calibri"/>
      <w:kern w:val="2"/>
      <w:sz w:val="21"/>
      <w:szCs w:val="22"/>
    </w:rPr>
  </w:style>
  <w:style w:type="character" w:customStyle="1" w:styleId="271">
    <w:name w:val="正文文本 3 Char1"/>
    <w:basedOn w:val="44"/>
    <w:semiHidden/>
    <w:qFormat/>
    <w:uiPriority w:val="99"/>
    <w:rPr>
      <w:rFonts w:hint="default" w:ascii="Calibri" w:hAnsi="Calibri" w:cs="Calibri"/>
      <w:kern w:val="2"/>
      <w:sz w:val="16"/>
      <w:szCs w:val="16"/>
    </w:rPr>
  </w:style>
  <w:style w:type="character" w:customStyle="1" w:styleId="272">
    <w:name w:val="正文文本缩进 3 Char1"/>
    <w:basedOn w:val="44"/>
    <w:semiHidden/>
    <w:qFormat/>
    <w:uiPriority w:val="99"/>
    <w:rPr>
      <w:rFonts w:hint="default" w:ascii="Calibri" w:hAnsi="Calibri" w:cs="Calibri"/>
      <w:kern w:val="2"/>
      <w:sz w:val="16"/>
      <w:szCs w:val="16"/>
    </w:rPr>
  </w:style>
  <w:style w:type="character" w:customStyle="1" w:styleId="273">
    <w:name w:val="批注框文本 Char1"/>
    <w:basedOn w:val="44"/>
    <w:semiHidden/>
    <w:qFormat/>
    <w:uiPriority w:val="99"/>
    <w:rPr>
      <w:rFonts w:hint="default" w:ascii="Calibri" w:hAnsi="Calibri" w:cs="Calibri"/>
      <w:kern w:val="2"/>
      <w:sz w:val="18"/>
      <w:szCs w:val="18"/>
    </w:rPr>
  </w:style>
  <w:style w:type="character" w:customStyle="1" w:styleId="274">
    <w:name w:val="文档结构图 Char1"/>
    <w:basedOn w:val="44"/>
    <w:semiHidden/>
    <w:qFormat/>
    <w:uiPriority w:val="99"/>
    <w:rPr>
      <w:rFonts w:hint="eastAsia" w:ascii="宋体" w:hAnsi="Calibri" w:eastAsia="宋体"/>
      <w:kern w:val="2"/>
      <w:sz w:val="18"/>
      <w:szCs w:val="18"/>
    </w:rPr>
  </w:style>
  <w:style w:type="character" w:customStyle="1" w:styleId="275">
    <w:name w:val="页眉 Char1"/>
    <w:basedOn w:val="44"/>
    <w:semiHidden/>
    <w:qFormat/>
    <w:uiPriority w:val="99"/>
    <w:rPr>
      <w:rFonts w:hint="default" w:ascii="Calibri" w:hAnsi="Calibri" w:cs="Calibri"/>
      <w:kern w:val="2"/>
      <w:sz w:val="18"/>
      <w:szCs w:val="18"/>
    </w:rPr>
  </w:style>
  <w:style w:type="character" w:customStyle="1" w:styleId="276">
    <w:name w:val="日期 Char1"/>
    <w:basedOn w:val="44"/>
    <w:semiHidden/>
    <w:qFormat/>
    <w:uiPriority w:val="99"/>
    <w:rPr>
      <w:rFonts w:hint="default" w:ascii="Calibri" w:hAnsi="Calibri" w:cs="Calibri"/>
      <w:kern w:val="2"/>
      <w:sz w:val="21"/>
      <w:szCs w:val="22"/>
    </w:rPr>
  </w:style>
  <w:style w:type="character" w:customStyle="1" w:styleId="277">
    <w:name w:val="正文文本 Char3"/>
    <w:basedOn w:val="44"/>
    <w:qFormat/>
    <w:uiPriority w:val="99"/>
    <w:rPr>
      <w:rFonts w:hint="default" w:ascii="Calibri" w:hAnsi="Calibri" w:cs="Calibri"/>
      <w:kern w:val="2"/>
      <w:sz w:val="21"/>
      <w:szCs w:val="22"/>
    </w:rPr>
  </w:style>
  <w:style w:type="character" w:customStyle="1" w:styleId="278">
    <w:name w:val="纯文本 Char2"/>
    <w:basedOn w:val="44"/>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4"/>
    <w:semiHidden/>
    <w:qFormat/>
    <w:uiPriority w:val="99"/>
    <w:rPr>
      <w:rFonts w:hint="default" w:ascii="Calibri" w:hAnsi="Calibri" w:cs="Calibri"/>
      <w:kern w:val="2"/>
      <w:sz w:val="21"/>
      <w:szCs w:val="22"/>
    </w:rPr>
  </w:style>
  <w:style w:type="character" w:customStyle="1" w:styleId="281">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4"/>
    <w:qFormat/>
    <w:uiPriority w:val="0"/>
    <w:rPr>
      <w:rFonts w:hint="eastAsia" w:ascii="宋体" w:hAnsi="宋体" w:eastAsia="宋体" w:cs="宋体"/>
      <w:color w:val="000000"/>
      <w:sz w:val="22"/>
      <w:szCs w:val="22"/>
      <w:u w:val="none"/>
    </w:rPr>
  </w:style>
  <w:style w:type="character" w:customStyle="1" w:styleId="286">
    <w:name w:val="font41"/>
    <w:basedOn w:val="44"/>
    <w:qFormat/>
    <w:uiPriority w:val="0"/>
    <w:rPr>
      <w:rFonts w:hint="eastAsia" w:ascii="宋体" w:hAnsi="宋体" w:eastAsia="宋体" w:cs="宋体"/>
      <w:b/>
      <w:color w:val="000000"/>
      <w:sz w:val="22"/>
      <w:szCs w:val="22"/>
      <w:u w:val="none"/>
    </w:rPr>
  </w:style>
  <w:style w:type="character" w:customStyle="1" w:styleId="287">
    <w:name w:val="font71"/>
    <w:basedOn w:val="44"/>
    <w:qFormat/>
    <w:uiPriority w:val="0"/>
    <w:rPr>
      <w:rFonts w:hint="eastAsia" w:ascii="宋体" w:hAnsi="宋体" w:eastAsia="宋体" w:cs="宋体"/>
      <w:color w:val="0D0D0D"/>
      <w:sz w:val="22"/>
      <w:szCs w:val="22"/>
      <w:u w:val="none"/>
    </w:rPr>
  </w:style>
  <w:style w:type="character" w:customStyle="1" w:styleId="288">
    <w:name w:val="qowt-font2"/>
    <w:basedOn w:val="44"/>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1">
    <w:name w:val="标题 1 字符1"/>
    <w:basedOn w:val="44"/>
    <w:qFormat/>
    <w:uiPriority w:val="0"/>
    <w:rPr>
      <w:rFonts w:eastAsia="宋体" w:cs="Times New Roman"/>
      <w:b/>
      <w:bCs/>
      <w:kern w:val="44"/>
      <w:sz w:val="44"/>
      <w:szCs w:val="44"/>
    </w:rPr>
  </w:style>
  <w:style w:type="character" w:customStyle="1" w:styleId="292">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4"/>
    <w:semiHidden/>
    <w:qFormat/>
    <w:uiPriority w:val="9"/>
    <w:rPr>
      <w:rFonts w:eastAsia="宋体" w:cs="Times New Roman"/>
      <w:b/>
      <w:bCs/>
      <w:kern w:val="2"/>
      <w:sz w:val="32"/>
      <w:szCs w:val="32"/>
    </w:rPr>
  </w:style>
  <w:style w:type="table" w:customStyle="1" w:styleId="294">
    <w:name w:val="网格型1"/>
    <w:basedOn w:val="42"/>
    <w:qFormat/>
    <w:uiPriority w:val="0"/>
    <w:pPr>
      <w:widowControl w:val="0"/>
      <w:spacing w:after="200" w:line="276" w:lineRule="auto"/>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95">
    <w:name w:val="msonormalcxspmiddle"/>
    <w:basedOn w:val="1"/>
    <w:qFormat/>
    <w:uiPriority w:val="0"/>
    <w:pPr>
      <w:spacing w:before="100" w:beforeAutospacing="1" w:after="100" w:afterAutospacing="1"/>
      <w:jc w:val="left"/>
    </w:pPr>
    <w:rPr>
      <w:rFonts w:asci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E3CA9-8F50-4AFB-90A4-BF397FB3C7B2}">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34429</Words>
  <Characters>36398</Characters>
  <Lines>1</Lines>
  <Paragraphs>1</Paragraphs>
  <TotalTime>155</TotalTime>
  <ScaleCrop>false</ScaleCrop>
  <LinksUpToDate>false</LinksUpToDate>
  <CharactersWithSpaces>38902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2021-05-31T04:02:00Z</dcterms:created>
  <dc:creator>高文豪</dc:creator>
  <cp:lastModifiedBy>魏婷</cp:lastModifiedBy>
  <cp:lastPrinted>2021-05-31T05:29:00Z</cp:lastPrinted>
  <dcterms:modified xsi:type="dcterms:W3CDTF">2021-12-22T05:55:48Z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