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szCs w:val="22"/>
        </w:rPr>
      </w:pPr>
    </w:p>
    <w:p>
      <w:pPr>
        <w:spacing w:line="360" w:lineRule="auto"/>
        <w:ind w:left="2409" w:leftChars="338" w:hanging="1699" w:hangingChars="531"/>
        <w:rPr>
          <w:rFonts w:hint="eastAsia" w:eastAsia="宋体"/>
          <w:b/>
          <w:color w:val="auto"/>
          <w:sz w:val="36"/>
          <w:szCs w:val="36"/>
          <w:lang w:eastAsia="zh-CN"/>
        </w:rPr>
      </w:pPr>
      <w:r>
        <w:rPr>
          <w:rFonts w:hint="eastAsia" w:ascii="宋体" w:hAnsi="宋体" w:eastAsia="宋体" w:cs="宋体"/>
          <w:sz w:val="32"/>
          <w:szCs w:val="32"/>
        </w:rPr>
        <w:t>项目名称：</w:t>
      </w:r>
      <w:r>
        <w:rPr>
          <w:rFonts w:hint="eastAsia" w:eastAsia="宋体"/>
          <w:b/>
          <w:color w:val="auto"/>
          <w:sz w:val="36"/>
          <w:szCs w:val="36"/>
          <w:lang w:eastAsia="zh-CN"/>
        </w:rPr>
        <w:t>成都市新都区第三人民医院门诊楼物业管理服务采购项目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w:t>
      </w:r>
      <w:r>
        <w:rPr>
          <w:rFonts w:hint="eastAsia" w:ascii="宋体" w:hAnsi="宋体" w:eastAsia="宋体" w:cs="宋体"/>
          <w:sz w:val="32"/>
          <w:szCs w:val="32"/>
          <w:lang w:val="en-US" w:eastAsia="zh-CN"/>
        </w:rPr>
        <w:t>68</w:t>
      </w:r>
      <w:r>
        <w:rPr>
          <w:rFonts w:hint="eastAsia" w:ascii="宋体" w:hAnsi="宋体" w:eastAsia="宋体" w:cs="宋体"/>
          <w:sz w:val="32"/>
          <w:szCs w:val="32"/>
          <w:lang w:eastAsia="zh-CN"/>
        </w:rPr>
        <w:t>号</w:t>
      </w:r>
    </w:p>
    <w:p>
      <w:pPr>
        <w:spacing w:line="360" w:lineRule="auto"/>
        <w:ind w:firstLine="1280" w:firstLineChars="400"/>
        <w:rPr>
          <w:rFonts w:hint="eastAsia" w:ascii="宋体" w:hAnsi="宋体" w:eastAsia="宋体" w:cs="宋体"/>
          <w:sz w:val="32"/>
          <w:szCs w:val="32"/>
        </w:rPr>
      </w:pPr>
    </w:p>
    <w:p>
      <w:pPr>
        <w:spacing w:line="360" w:lineRule="auto"/>
        <w:ind w:firstLine="1256" w:firstLineChars="349"/>
        <w:rPr>
          <w:rFonts w:hint="eastAsia" w:ascii="宋体" w:hAnsi="宋体" w:eastAsia="宋体" w:cs="宋体"/>
          <w:spacing w:val="20"/>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成都市新都区第三人民医院</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二〇二一年</w:t>
      </w:r>
      <w:r>
        <w:rPr>
          <w:rFonts w:hint="eastAsia" w:ascii="宋体" w:hAnsi="宋体" w:eastAsia="宋体" w:cs="宋体"/>
          <w:sz w:val="32"/>
          <w:szCs w:val="32"/>
          <w:lang w:eastAsia="zh-CN"/>
        </w:rPr>
        <w:t>十一</w:t>
      </w:r>
      <w:r>
        <w:rPr>
          <w:rFonts w:hint="eastAsia" w:ascii="宋体" w:hAnsi="宋体" w:eastAsia="宋体" w:cs="宋体"/>
          <w:sz w:val="32"/>
          <w:szCs w:val="32"/>
        </w:rPr>
        <w:t>月</w:t>
      </w: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uto"/>
        <w:jc w:val="center"/>
        <w:rPr>
          <w:rFonts w:ascii="宋体" w:hAnsi="宋体" w:eastAsia="宋体" w:cs="Times New Roman"/>
          <w:b/>
          <w:sz w:val="36"/>
          <w:szCs w:val="22"/>
        </w:rPr>
      </w:pPr>
      <w:bookmarkStart w:id="0" w:name="_Toc101234248"/>
      <w:bookmarkStart w:id="1" w:name="_Toc148505181"/>
      <w:bookmarkStart w:id="2" w:name="_Toc101328520"/>
      <w:bookmarkStart w:id="3" w:name="_Toc101247312"/>
      <w:r>
        <w:rPr>
          <w:rFonts w:hint="eastAsia" w:ascii="宋体" w:hAnsi="宋体" w:eastAsia="宋体" w:cs="Times New Roman"/>
          <w:b/>
          <w:sz w:val="32"/>
          <w:szCs w:val="32"/>
        </w:rPr>
        <w:t>目 录</w:t>
      </w:r>
    </w:p>
    <w:p>
      <w:pPr>
        <w:pStyle w:val="11"/>
        <w:tabs>
          <w:tab w:val="right" w:leader="dot" w:pos="8958"/>
        </w:tabs>
      </w:pPr>
      <w:r>
        <w:rPr>
          <w:rFonts w:hint="eastAsia" w:ascii="宋体" w:hAnsi="宋体" w:eastAsia="宋体" w:cs="宋体"/>
          <w:bCs/>
          <w:caps/>
          <w:kern w:val="2"/>
          <w:sz w:val="20"/>
          <w:szCs w:val="20"/>
          <w:lang w:val="en-US" w:eastAsia="zh-CN" w:bidi="ar-SA"/>
        </w:rPr>
        <w:fldChar w:fldCharType="begin"/>
      </w:r>
      <w:r>
        <w:rPr>
          <w:rFonts w:hint="eastAsia" w:ascii="宋体" w:hAnsi="宋体" w:eastAsia="宋体" w:cs="宋体"/>
          <w:bCs/>
          <w:caps/>
          <w:smallCaps/>
          <w:kern w:val="2"/>
          <w:sz w:val="20"/>
          <w:szCs w:val="20"/>
          <w:lang w:val="en-US" w:eastAsia="zh-CN" w:bidi="ar-SA"/>
        </w:rPr>
        <w:instrText xml:space="preserve"> TOC \o "1-2" \h \z \u </w:instrText>
      </w:r>
      <w:r>
        <w:rPr>
          <w:rFonts w:hint="eastAsia" w:ascii="宋体" w:hAnsi="宋体" w:eastAsia="宋体" w:cs="宋体"/>
          <w:bCs/>
          <w:caps/>
          <w:kern w:val="2"/>
          <w:sz w:val="20"/>
          <w:szCs w:val="20"/>
          <w:lang w:val="en-US" w:eastAsia="zh-CN" w:bidi="ar-SA"/>
        </w:rPr>
        <w:fldChar w:fldCharType="separate"/>
      </w:r>
      <w:r>
        <w:rPr>
          <w:rFonts w:hint="eastAsia" w:ascii="宋体" w:hAnsi="宋体" w:eastAsia="宋体" w:cs="宋体"/>
          <w:bCs/>
          <w:caps/>
          <w:kern w:val="2"/>
          <w:szCs w:val="20"/>
          <w:lang w:val="en-US" w:eastAsia="zh-CN" w:bidi="ar-SA"/>
        </w:rPr>
        <w:fldChar w:fldCharType="begin"/>
      </w:r>
      <w:r>
        <w:rPr>
          <w:rFonts w:hint="eastAsia" w:ascii="宋体" w:hAnsi="宋体" w:eastAsia="宋体" w:cs="宋体"/>
          <w:bCs/>
          <w:caps/>
          <w:kern w:val="2"/>
          <w:szCs w:val="20"/>
          <w:lang w:val="en-US" w:eastAsia="zh-CN" w:bidi="ar-SA"/>
        </w:rPr>
        <w:instrText xml:space="preserve"> HYPERLINK \l _Toc14757 </w:instrText>
      </w:r>
      <w:r>
        <w:rPr>
          <w:rFonts w:hint="eastAsia" w:ascii="宋体" w:hAnsi="宋体" w:eastAsia="宋体" w:cs="宋体"/>
          <w:bCs/>
          <w:caps/>
          <w:kern w:val="2"/>
          <w:szCs w:val="20"/>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rPr>
        <w:t>投标邀请</w:t>
      </w:r>
      <w:r>
        <w:tab/>
      </w:r>
      <w:r>
        <w:fldChar w:fldCharType="begin"/>
      </w:r>
      <w:r>
        <w:instrText xml:space="preserve"> PAGEREF _Toc14757 \h </w:instrText>
      </w:r>
      <w:r>
        <w:fldChar w:fldCharType="separate"/>
      </w:r>
      <w:r>
        <w:t>3</w:t>
      </w:r>
      <w:r>
        <w:fldChar w:fldCharType="end"/>
      </w:r>
      <w:r>
        <w:rPr>
          <w:rFonts w:hint="eastAsia" w:ascii="宋体" w:hAnsi="宋体" w:eastAsia="宋体" w:cs="宋体"/>
          <w:bCs/>
          <w:caps/>
          <w:kern w:val="2"/>
          <w:szCs w:val="20"/>
          <w:lang w:val="en-US" w:eastAsia="zh-CN" w:bidi="ar-SA"/>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_Toc24114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rPr>
        <w:t>投标人须知</w:t>
      </w:r>
      <w:r>
        <w:tab/>
      </w:r>
      <w:r>
        <w:fldChar w:fldCharType="begin"/>
      </w:r>
      <w:r>
        <w:instrText xml:space="preserve"> PAGEREF _Toc24114 \h </w:instrText>
      </w:r>
      <w:r>
        <w:fldChar w:fldCharType="separate"/>
      </w:r>
      <w:r>
        <w:t>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_Toc3188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rPr>
        <w:t>投标人须知前附表</w:t>
      </w:r>
      <w:r>
        <w:tab/>
      </w:r>
      <w:r>
        <w:fldChar w:fldCharType="begin"/>
      </w:r>
      <w:r>
        <w:instrText xml:space="preserve"> PAGEREF _Toc3188 \h </w:instrText>
      </w:r>
      <w:r>
        <w:fldChar w:fldCharType="separate"/>
      </w:r>
      <w:r>
        <w:t>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_Toc29346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rPr>
        <w:t>总则</w:t>
      </w:r>
      <w:r>
        <w:tab/>
      </w:r>
      <w:r>
        <w:fldChar w:fldCharType="begin"/>
      </w:r>
      <w:r>
        <w:instrText xml:space="preserve"> PAGEREF _Toc29346 \h </w:instrText>
      </w:r>
      <w:r>
        <w:fldChar w:fldCharType="separate"/>
      </w:r>
      <w:r>
        <w:t>9</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_Toc24364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rPr>
        <w:t>招标文件</w:t>
      </w:r>
      <w:r>
        <w:tab/>
      </w:r>
      <w:r>
        <w:fldChar w:fldCharType="begin"/>
      </w:r>
      <w:r>
        <w:instrText xml:space="preserve"> PAGEREF _Toc24364 \h </w:instrText>
      </w:r>
      <w:r>
        <w:fldChar w:fldCharType="separate"/>
      </w:r>
      <w:r>
        <w:t>11</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_Toc9856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rPr>
        <w:t>投标文件</w:t>
      </w:r>
      <w:r>
        <w:tab/>
      </w:r>
      <w:r>
        <w:fldChar w:fldCharType="begin"/>
      </w:r>
      <w:r>
        <w:instrText xml:space="preserve"> PAGEREF _Toc9856 \h </w:instrText>
      </w:r>
      <w:r>
        <w:fldChar w:fldCharType="separate"/>
      </w:r>
      <w:r>
        <w:t>12</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_Toc11040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rPr>
        <w:t>开标、资格审查、评标和中标</w:t>
      </w:r>
      <w:r>
        <w:tab/>
      </w:r>
      <w:r>
        <w:fldChar w:fldCharType="begin"/>
      </w:r>
      <w:r>
        <w:instrText xml:space="preserve"> PAGEREF _Toc11040 \h </w:instrText>
      </w:r>
      <w:r>
        <w:fldChar w:fldCharType="separate"/>
      </w:r>
      <w:r>
        <w:t>18</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_Toc18718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rPr>
        <w:t>签订及履行合同和验收</w:t>
      </w:r>
      <w:r>
        <w:tab/>
      </w:r>
      <w:r>
        <w:fldChar w:fldCharType="begin"/>
      </w:r>
      <w:r>
        <w:instrText xml:space="preserve"> PAGEREF _Toc18718 \h </w:instrText>
      </w:r>
      <w:r>
        <w:fldChar w:fldCharType="separate"/>
      </w:r>
      <w:r>
        <w:t>20</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_Toc30839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rPr>
        <w:t>投标纪律要求</w:t>
      </w:r>
      <w:r>
        <w:tab/>
      </w:r>
      <w:r>
        <w:fldChar w:fldCharType="begin"/>
      </w:r>
      <w:r>
        <w:instrText xml:space="preserve"> PAGEREF _Toc30839 \h </w:instrText>
      </w:r>
      <w:r>
        <w:fldChar w:fldCharType="separate"/>
      </w:r>
      <w:r>
        <w:t>22</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_Toc26525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rPr>
        <w:t>询问、质疑和投诉</w:t>
      </w:r>
      <w:r>
        <w:tab/>
      </w:r>
      <w:r>
        <w:fldChar w:fldCharType="begin"/>
      </w:r>
      <w:r>
        <w:instrText xml:space="preserve"> PAGEREF _Toc26525 \h </w:instrText>
      </w:r>
      <w:r>
        <w:fldChar w:fldCharType="separate"/>
      </w:r>
      <w:r>
        <w:t>24</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_Toc5893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rPr>
        <w:t>中小企业政府采购信用融资</w:t>
      </w:r>
      <w:r>
        <w:tab/>
      </w:r>
      <w:r>
        <w:fldChar w:fldCharType="begin"/>
      </w:r>
      <w:r>
        <w:instrText xml:space="preserve"> PAGEREF _Toc5893 \h </w:instrText>
      </w:r>
      <w:r>
        <w:fldChar w:fldCharType="separate"/>
      </w:r>
      <w:r>
        <w:t>25</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_Toc29939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rPr>
        <w:t>投标文件格式</w:t>
      </w:r>
      <w:r>
        <w:tab/>
      </w:r>
      <w:r>
        <w:fldChar w:fldCharType="begin"/>
      </w:r>
      <w:r>
        <w:instrText xml:space="preserve"> PAGEREF _Toc29939 \h </w:instrText>
      </w:r>
      <w:r>
        <w:fldChar w:fldCharType="separate"/>
      </w:r>
      <w:r>
        <w:t>27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_Toc11947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rPr>
        <w:t>投标文件封面格式</w:t>
      </w:r>
      <w:r>
        <w:tab/>
      </w:r>
      <w:r>
        <w:fldChar w:fldCharType="begin"/>
      </w:r>
      <w:r>
        <w:instrText xml:space="preserve"> PAGEREF _Toc11947 \h </w:instrText>
      </w:r>
      <w:r>
        <w:fldChar w:fldCharType="separate"/>
      </w:r>
      <w:r>
        <w:t>27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_Toc32562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rPr>
        <w:t>资格响应文件</w:t>
      </w:r>
      <w:r>
        <w:tab/>
      </w:r>
      <w:r>
        <w:fldChar w:fldCharType="begin"/>
      </w:r>
      <w:r>
        <w:instrText xml:space="preserve"> PAGEREF _Toc32562 \h </w:instrText>
      </w:r>
      <w:r>
        <w:fldChar w:fldCharType="separate"/>
      </w:r>
      <w:r>
        <w:t>28</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_Toc27647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rPr>
        <w:t>商务技术响应文件</w:t>
      </w:r>
      <w:r>
        <w:tab/>
      </w:r>
      <w:r>
        <w:fldChar w:fldCharType="begin"/>
      </w:r>
      <w:r>
        <w:instrText xml:space="preserve"> PAGEREF _Toc27647 \h </w:instrText>
      </w:r>
      <w:r>
        <w:fldChar w:fldCharType="separate"/>
      </w:r>
      <w:r>
        <w:t>34</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_Toc17438 </w:instrText>
      </w:r>
      <w:r>
        <w:rPr>
          <w:rFonts w:hint="eastAsia" w:ascii="宋体" w:hAnsi="宋体" w:eastAsia="宋体" w:cs="宋体"/>
          <w:szCs w:val="22"/>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rPr>
        <w:t>报价</w:t>
      </w:r>
      <w:r>
        <w:rPr>
          <w:rFonts w:hint="eastAsia" w:ascii="宋体" w:hAnsi="宋体" w:eastAsia="宋体" w:cs="Times New Roman"/>
          <w:bCs/>
          <w:szCs w:val="28"/>
        </w:rPr>
        <w:t>要求</w:t>
      </w:r>
      <w:r>
        <w:rPr>
          <w:rFonts w:hint="eastAsia" w:ascii="宋体" w:hAnsi="宋体" w:eastAsia="宋体" w:cs="Times New Roman"/>
          <w:szCs w:val="22"/>
        </w:rPr>
        <w:t>响应文件</w:t>
      </w:r>
      <w:r>
        <w:tab/>
      </w:r>
      <w:r>
        <w:fldChar w:fldCharType="begin"/>
      </w:r>
      <w:r>
        <w:instrText xml:space="preserve"> PAGEREF _Toc17438 \h </w:instrText>
      </w:r>
      <w:r>
        <w:fldChar w:fldCharType="separate"/>
      </w:r>
      <w:r>
        <w:t>39</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_Toc29465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宋体"/>
          <w:bCs/>
          <w:spacing w:val="-20"/>
          <w:kern w:val="44"/>
          <w:szCs w:val="28"/>
        </w:rPr>
        <w:t>招标项目技术、服务、商务及其他要求</w:t>
      </w:r>
      <w:r>
        <w:tab/>
      </w:r>
      <w:r>
        <w:fldChar w:fldCharType="begin"/>
      </w:r>
      <w:r>
        <w:instrText xml:space="preserve"> PAGEREF _Toc29465 \h </w:instrText>
      </w:r>
      <w:r>
        <w:fldChar w:fldCharType="separate"/>
      </w:r>
      <w:r>
        <w:t>41</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_Toc18256 </w:instrText>
      </w:r>
      <w:r>
        <w:rPr>
          <w:rFonts w:hint="eastAsia" w:ascii="宋体" w:hAnsi="宋体" w:eastAsia="宋体" w:cs="宋体"/>
          <w:szCs w:val="22"/>
        </w:rPr>
        <w:fldChar w:fldCharType="separate"/>
      </w:r>
      <w:r>
        <w:rPr>
          <w:rFonts w:hint="default" w:ascii="Times New Roman" w:hAnsi="Times New Roman" w:eastAsia="宋体" w:cs="Times New Roman"/>
          <w:i w:val="0"/>
          <w:szCs w:val="28"/>
          <w:lang w:val="en-US" w:eastAsia="zh-CN"/>
        </w:rPr>
        <w:t xml:space="preserve">4.1 </w:t>
      </w:r>
      <w:r>
        <w:rPr>
          <w:rFonts w:hint="eastAsia" w:ascii="宋体" w:hAnsi="宋体" w:eastAsia="宋体" w:cs="宋体"/>
          <w:bCs/>
          <w:kern w:val="2"/>
          <w:szCs w:val="28"/>
          <w:lang w:val="en-US" w:eastAsia="zh-CN" w:bidi="ar-SA"/>
        </w:rPr>
        <w:t>项目概况</w:t>
      </w:r>
      <w:r>
        <w:tab/>
      </w:r>
      <w:r>
        <w:fldChar w:fldCharType="begin"/>
      </w:r>
      <w:r>
        <w:instrText xml:space="preserve"> PAGEREF _Toc18256 \h </w:instrText>
      </w:r>
      <w:r>
        <w:fldChar w:fldCharType="separate"/>
      </w:r>
      <w:r>
        <w:t>41</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_Toc20900 </w:instrText>
      </w:r>
      <w:r>
        <w:rPr>
          <w:rFonts w:hint="eastAsia" w:ascii="宋体" w:hAnsi="宋体" w:eastAsia="宋体" w:cs="宋体"/>
          <w:szCs w:val="22"/>
        </w:rPr>
        <w:fldChar w:fldCharType="separate"/>
      </w:r>
      <w:r>
        <w:rPr>
          <w:rFonts w:hint="default" w:ascii="Times New Roman" w:hAnsi="Times New Roman" w:eastAsia="宋体" w:cs="Times New Roman"/>
          <w:i w:val="0"/>
          <w:kern w:val="0"/>
          <w:szCs w:val="28"/>
          <w:lang w:val="en-US" w:eastAsia="zh-CN"/>
        </w:rPr>
        <w:t xml:space="preserve">4.2 </w:t>
      </w:r>
      <w:r>
        <w:rPr>
          <w:rFonts w:hint="eastAsia" w:ascii="宋体" w:hAnsi="宋体" w:eastAsia="宋体" w:cs="宋体"/>
          <w:kern w:val="0"/>
          <w:szCs w:val="28"/>
          <w:highlight w:val="none"/>
        </w:rPr>
        <w:t>服务内容</w:t>
      </w:r>
      <w:r>
        <w:rPr>
          <w:rFonts w:hint="eastAsia" w:ascii="宋体" w:hAnsi="宋体" w:eastAsia="宋体" w:cs="宋体"/>
          <w:kern w:val="0"/>
          <w:szCs w:val="28"/>
          <w:highlight w:val="none"/>
          <w:lang w:eastAsia="zh-CN"/>
        </w:rPr>
        <w:t>及要求</w:t>
      </w:r>
      <w:r>
        <w:tab/>
      </w:r>
      <w:r>
        <w:fldChar w:fldCharType="begin"/>
      </w:r>
      <w:r>
        <w:instrText xml:space="preserve"> PAGEREF _Toc20900 \h </w:instrText>
      </w:r>
      <w:r>
        <w:fldChar w:fldCharType="separate"/>
      </w:r>
      <w:r>
        <w:t>41</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_Toc24174 </w:instrText>
      </w:r>
      <w:r>
        <w:rPr>
          <w:rFonts w:hint="eastAsia" w:ascii="宋体" w:hAnsi="宋体" w:eastAsia="宋体" w:cs="宋体"/>
          <w:szCs w:val="22"/>
        </w:rPr>
        <w:fldChar w:fldCharType="separate"/>
      </w:r>
      <w:r>
        <w:rPr>
          <w:rFonts w:hint="default" w:ascii="Times New Roman" w:hAnsi="Times New Roman" w:eastAsia="宋体" w:cs="Times New Roman"/>
          <w:bCs/>
          <w:i w:val="0"/>
          <w:iCs/>
          <w:kern w:val="0"/>
          <w:szCs w:val="28"/>
          <w:lang w:val="en-US" w:eastAsia="zh-CN" w:bidi="ar-SA"/>
        </w:rPr>
        <w:t xml:space="preserve">4.3 </w:t>
      </w:r>
      <w:r>
        <w:rPr>
          <w:rFonts w:hint="eastAsia" w:ascii="宋体" w:hAnsi="宋体" w:eastAsia="宋体" w:cs="宋体"/>
          <w:szCs w:val="28"/>
          <w:highlight w:val="none"/>
          <w:lang w:val="en-US" w:eastAsia="zh-CN"/>
        </w:rPr>
        <w:t>★</w:t>
      </w:r>
      <w:r>
        <w:rPr>
          <w:rFonts w:hint="eastAsia" w:ascii="宋体" w:hAnsi="宋体" w:eastAsia="宋体" w:cs="宋体"/>
          <w:bCs/>
          <w:iCs/>
          <w:kern w:val="0"/>
          <w:szCs w:val="28"/>
          <w:highlight w:val="none"/>
          <w:lang w:val="en-US" w:eastAsia="zh-CN" w:bidi="ar-SA"/>
        </w:rPr>
        <w:t>商务要求</w:t>
      </w:r>
      <w:r>
        <w:tab/>
      </w:r>
      <w:r>
        <w:fldChar w:fldCharType="begin"/>
      </w:r>
      <w:r>
        <w:instrText xml:space="preserve"> PAGEREF _Toc24174 \h </w:instrText>
      </w:r>
      <w:r>
        <w:fldChar w:fldCharType="separate"/>
      </w:r>
      <w:r>
        <w:t>54</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_Toc12973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highlight w:val="none"/>
        </w:rPr>
        <w:t>资格性审查</w:t>
      </w:r>
      <w:r>
        <w:tab/>
      </w:r>
      <w:r>
        <w:fldChar w:fldCharType="begin"/>
      </w:r>
      <w:r>
        <w:instrText xml:space="preserve"> PAGEREF _Toc12973 \h </w:instrText>
      </w:r>
      <w:r>
        <w:fldChar w:fldCharType="separate"/>
      </w:r>
      <w:r>
        <w:t>56</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_Toc3148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highlight w:val="none"/>
        </w:rPr>
        <w:t>评标办法</w:t>
      </w:r>
      <w:r>
        <w:tab/>
      </w:r>
      <w:r>
        <w:fldChar w:fldCharType="begin"/>
      </w:r>
      <w:r>
        <w:instrText xml:space="preserve"> PAGEREF _Toc3148 \h </w:instrText>
      </w:r>
      <w:r>
        <w:fldChar w:fldCharType="separate"/>
      </w:r>
      <w:r>
        <w:t>61</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_Toc27082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highlight w:val="none"/>
        </w:rPr>
        <w:t>总则</w:t>
      </w:r>
      <w:r>
        <w:tab/>
      </w:r>
      <w:r>
        <w:fldChar w:fldCharType="begin"/>
      </w:r>
      <w:r>
        <w:instrText xml:space="preserve"> PAGEREF _Toc27082 \h </w:instrText>
      </w:r>
      <w:r>
        <w:fldChar w:fldCharType="separate"/>
      </w:r>
      <w:r>
        <w:t>61</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_Toc2544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highlight w:val="none"/>
        </w:rPr>
        <w:t>评标方法</w:t>
      </w:r>
      <w:r>
        <w:tab/>
      </w:r>
      <w:r>
        <w:fldChar w:fldCharType="begin"/>
      </w:r>
      <w:r>
        <w:instrText xml:space="preserve"> PAGEREF _Toc2544 \h </w:instrText>
      </w:r>
      <w:r>
        <w:fldChar w:fldCharType="separate"/>
      </w:r>
      <w:r>
        <w:t>62</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_Toc22665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highlight w:val="none"/>
        </w:rPr>
        <w:t>评标程序</w:t>
      </w:r>
      <w:r>
        <w:tab/>
      </w:r>
      <w:r>
        <w:fldChar w:fldCharType="begin"/>
      </w:r>
      <w:r>
        <w:instrText xml:space="preserve"> PAGEREF _Toc22665 \h </w:instrText>
      </w:r>
      <w:r>
        <w:fldChar w:fldCharType="separate"/>
      </w:r>
      <w:r>
        <w:t>62</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_Toc5325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highlight w:val="none"/>
        </w:rPr>
        <w:t>评标争议处理规则</w:t>
      </w:r>
      <w:r>
        <w:tab/>
      </w:r>
      <w:r>
        <w:fldChar w:fldCharType="begin"/>
      </w:r>
      <w:r>
        <w:instrText xml:space="preserve"> PAGEREF _Toc5325 \h </w:instrText>
      </w:r>
      <w:r>
        <w:fldChar w:fldCharType="separate"/>
      </w:r>
      <w:r>
        <w:t>69</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_Toc2122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highlight w:val="none"/>
        </w:rPr>
        <w:t>评标细则及标准</w:t>
      </w:r>
      <w:r>
        <w:tab/>
      </w:r>
      <w:r>
        <w:fldChar w:fldCharType="begin"/>
      </w:r>
      <w:r>
        <w:instrText xml:space="preserve"> PAGEREF _Toc2122 \h </w:instrText>
      </w:r>
      <w:r>
        <w:fldChar w:fldCharType="separate"/>
      </w:r>
      <w:r>
        <w:t>69</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_Toc5035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highlight w:val="none"/>
        </w:rPr>
        <w:t>废标</w:t>
      </w:r>
      <w:r>
        <w:tab/>
      </w:r>
      <w:r>
        <w:fldChar w:fldCharType="begin"/>
      </w:r>
      <w:r>
        <w:instrText xml:space="preserve"> PAGEREF _Toc5035 \h </w:instrText>
      </w:r>
      <w:r>
        <w:fldChar w:fldCharType="separate"/>
      </w:r>
      <w:r>
        <w:t>72</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_Toc25581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highlight w:val="none"/>
        </w:rPr>
        <w:t>定标</w:t>
      </w:r>
      <w:r>
        <w:tab/>
      </w:r>
      <w:r>
        <w:fldChar w:fldCharType="begin"/>
      </w:r>
      <w:r>
        <w:instrText xml:space="preserve"> PAGEREF _Toc25581 \h </w:instrText>
      </w:r>
      <w:r>
        <w:fldChar w:fldCharType="separate"/>
      </w:r>
      <w:r>
        <w:t>73</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_Toc28707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highlight w:val="none"/>
        </w:rPr>
        <w:t>评标专家在政府采购活动中承担以下义务</w:t>
      </w:r>
      <w:r>
        <w:tab/>
      </w:r>
      <w:r>
        <w:fldChar w:fldCharType="begin"/>
      </w:r>
      <w:r>
        <w:instrText xml:space="preserve"> PAGEREF _Toc28707 \h </w:instrText>
      </w:r>
      <w:r>
        <w:fldChar w:fldCharType="separate"/>
      </w:r>
      <w:r>
        <w:t>74</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_Toc6147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highlight w:val="none"/>
        </w:rPr>
        <w:t>评标委员会及其成员不得有下列行为</w:t>
      </w:r>
      <w:r>
        <w:tab/>
      </w:r>
      <w:r>
        <w:fldChar w:fldCharType="begin"/>
      </w:r>
      <w:r>
        <w:instrText xml:space="preserve"> PAGEREF _Toc6147 \h </w:instrText>
      </w:r>
      <w:r>
        <w:fldChar w:fldCharType="separate"/>
      </w:r>
      <w:r>
        <w:t>75</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_Toc12430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highlight w:val="none"/>
        </w:rPr>
        <w:t>评审专家在政府采购活动中应当遵守以下工作纪律</w:t>
      </w:r>
      <w:r>
        <w:tab/>
      </w:r>
      <w:r>
        <w:fldChar w:fldCharType="begin"/>
      </w:r>
      <w:r>
        <w:instrText xml:space="preserve"> PAGEREF _Toc12430 \h </w:instrText>
      </w:r>
      <w:r>
        <w:fldChar w:fldCharType="separate"/>
      </w:r>
      <w:r>
        <w:t>75</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_Toc5466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highlight w:val="none"/>
        </w:rPr>
        <w:t>拟签订合同文本</w:t>
      </w:r>
      <w:r>
        <w:tab/>
      </w:r>
      <w:r>
        <w:fldChar w:fldCharType="begin"/>
      </w:r>
      <w:r>
        <w:instrText xml:space="preserve"> PAGEREF _Toc5466 \h </w:instrText>
      </w:r>
      <w:r>
        <w:fldChar w:fldCharType="separate"/>
      </w:r>
      <w:r>
        <w:t>78</w:t>
      </w:r>
      <w:r>
        <w:fldChar w:fldCharType="end"/>
      </w:r>
      <w:r>
        <w:rPr>
          <w:rFonts w:hint="eastAsia" w:ascii="宋体" w:hAnsi="宋体" w:eastAsia="宋体" w:cs="宋体"/>
          <w:szCs w:val="22"/>
        </w:rPr>
        <w:fldChar w:fldCharType="end"/>
      </w:r>
    </w:p>
    <w:p>
      <w:pPr>
        <w:tabs>
          <w:tab w:val="left" w:pos="620"/>
          <w:tab w:val="right" w:leader="dot" w:pos="8364"/>
        </w:tabs>
        <w:ind w:left="180"/>
        <w:rPr>
          <w:rFonts w:hint="eastAsia" w:ascii="Calibri" w:hAnsi="Calibri" w:eastAsia="宋体" w:cs="Times New Roman"/>
          <w:szCs w:val="22"/>
        </w:rPr>
      </w:pPr>
      <w:r>
        <w:rPr>
          <w:rFonts w:hint="eastAsia" w:ascii="宋体" w:hAnsi="宋体" w:eastAsia="宋体" w:cs="宋体"/>
          <w:szCs w:val="22"/>
        </w:rPr>
        <w:fldChar w:fldCharType="end"/>
      </w:r>
    </w:p>
    <w:p>
      <w:pPr>
        <w:rPr>
          <w:rFonts w:hint="eastAsia" w:ascii="Calibri" w:hAnsi="Calibri" w:eastAsia="宋体" w:cs="Times New Roman"/>
          <w:szCs w:val="22"/>
        </w:rPr>
      </w:pPr>
      <w:r>
        <w:rPr>
          <w:rFonts w:hint="eastAsia" w:ascii="Calibri" w:hAnsi="Calibri" w:eastAsia="宋体" w:cs="Times New Roman"/>
          <w:szCs w:val="2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4" w:name="_Toc181610856"/>
      <w:bookmarkStart w:id="5" w:name="_Toc181591102"/>
      <w:bookmarkStart w:id="6" w:name="_Toc14757"/>
      <w:bookmarkStart w:id="7" w:name="_Toc204575871"/>
      <w:r>
        <w:rPr>
          <w:rFonts w:hint="eastAsia" w:ascii="宋体" w:hAnsi="宋体" w:eastAsia="宋体" w:cs="Times New Roman"/>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成都市新都区公共资源交易服务中心</w:t>
      </w:r>
      <w:r>
        <w:rPr>
          <w:rFonts w:hint="eastAsia" w:ascii="宋体" w:hAnsi="宋体" w:eastAsia="宋体" w:cs="Times New Roman"/>
          <w:sz w:val="28"/>
          <w:szCs w:val="28"/>
        </w:rPr>
        <w:t>(以下简称“</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”)受</w:t>
      </w:r>
      <w:r>
        <w:rPr>
          <w:rFonts w:hint="eastAsia" w:ascii="宋体" w:hAnsi="宋体" w:eastAsia="宋体" w:cs="Times New Roman"/>
          <w:b/>
          <w:sz w:val="28"/>
          <w:szCs w:val="28"/>
          <w:lang w:val="en-US" w:eastAsia="zh-CN"/>
        </w:rPr>
        <w:t>成都市新都区第三人民医院</w:t>
      </w:r>
      <w:r>
        <w:rPr>
          <w:rFonts w:hint="eastAsia" w:ascii="宋体" w:hAnsi="宋体" w:eastAsia="宋体" w:cs="Times New Roman"/>
          <w:sz w:val="28"/>
          <w:szCs w:val="28"/>
        </w:rPr>
        <w:t>委托，拟对</w:t>
      </w:r>
      <w:r>
        <w:rPr>
          <w:rFonts w:hint="eastAsia" w:ascii="宋体" w:hAnsi="宋体" w:eastAsia="宋体" w:cs="Times New Roman"/>
          <w:b/>
          <w:sz w:val="28"/>
          <w:szCs w:val="28"/>
          <w:lang w:val="en-US" w:eastAsia="zh-CN"/>
        </w:rPr>
        <w:t>成都市新都区第三人民医院门诊楼物业管理服务采购项目</w:t>
      </w:r>
      <w:r>
        <w:rPr>
          <w:rFonts w:hint="eastAsia" w:ascii="宋体" w:hAnsi="宋体" w:eastAsia="宋体" w:cs="Times New Roman"/>
          <w:sz w:val="28"/>
          <w:szCs w:val="28"/>
        </w:rPr>
        <w:t>进行国内公开招标，兹邀请符合本次招标要求的供应商参加投标。</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项目编号：</w:t>
      </w:r>
      <w:r>
        <w:rPr>
          <w:rFonts w:hint="eastAsia" w:ascii="宋体" w:hAnsi="宋体" w:eastAsia="宋体" w:cs="Times New Roman"/>
          <w:b/>
          <w:sz w:val="28"/>
          <w:szCs w:val="28"/>
          <w:lang w:eastAsia="zh-CN"/>
        </w:rPr>
        <w:t>新都政采（2021）A0068号</w:t>
      </w:r>
    </w:p>
    <w:p>
      <w:pPr>
        <w:spacing w:line="360" w:lineRule="auto"/>
        <w:ind w:left="567" w:firstLine="281" w:firstLineChars="100"/>
        <w:rPr>
          <w:rFonts w:ascii="宋体" w:hAnsi="宋体" w:eastAsia="宋体" w:cs="Times New Roman"/>
          <w:b/>
          <w:sz w:val="28"/>
          <w:szCs w:val="28"/>
        </w:rPr>
      </w:pPr>
      <w:r>
        <w:rPr>
          <w:rFonts w:hint="eastAsia" w:ascii="宋体" w:hAnsi="宋体" w:eastAsia="宋体" w:cs="Times New Roman"/>
          <w:b/>
          <w:sz w:val="28"/>
          <w:szCs w:val="28"/>
        </w:rPr>
        <w:t>（采购项目编号：</w:t>
      </w:r>
      <w:r>
        <w:rPr>
          <w:rFonts w:hint="eastAsia" w:ascii="宋体" w:hAnsi="宋体" w:eastAsia="宋体" w:cs="Times New Roman"/>
          <w:b/>
          <w:sz w:val="28"/>
          <w:szCs w:val="28"/>
          <w:highlight w:val="none"/>
        </w:rPr>
        <w:t>510114202100</w:t>
      </w:r>
      <w:r>
        <w:rPr>
          <w:rFonts w:hint="eastAsia" w:ascii="宋体" w:hAnsi="宋体" w:eastAsia="宋体" w:cs="Times New Roman"/>
          <w:b/>
          <w:sz w:val="28"/>
          <w:szCs w:val="28"/>
          <w:highlight w:val="none"/>
          <w:lang w:val="en-US" w:eastAsia="zh-CN"/>
        </w:rPr>
        <w:t>415</w:t>
      </w:r>
      <w:r>
        <w:rPr>
          <w:rFonts w:hint="eastAsia" w:ascii="宋体" w:hAnsi="宋体" w:eastAsia="宋体" w:cs="Times New Roman"/>
          <w:b/>
          <w:sz w:val="28"/>
          <w:szCs w:val="28"/>
        </w:rPr>
        <w:t>）</w:t>
      </w:r>
    </w:p>
    <w:p>
      <w:pPr>
        <w:numPr>
          <w:ilvl w:val="0"/>
          <w:numId w:val="5"/>
        </w:numPr>
        <w:spacing w:line="360" w:lineRule="auto"/>
        <w:ind w:left="988"/>
        <w:rPr>
          <w:rFonts w:ascii="宋体" w:hAnsi="宋体" w:eastAsia="宋体" w:cs="Times New Roman"/>
          <w:b/>
          <w:sz w:val="28"/>
          <w:szCs w:val="28"/>
        </w:rPr>
      </w:pPr>
      <w:r>
        <w:rPr>
          <w:rFonts w:hint="eastAsia" w:ascii="宋体" w:hAnsi="宋体" w:eastAsia="宋体" w:cs="Times New Roman"/>
          <w:b/>
          <w:sz w:val="28"/>
          <w:szCs w:val="28"/>
        </w:rPr>
        <w:t>项目名称：</w:t>
      </w:r>
      <w:r>
        <w:rPr>
          <w:rFonts w:hint="eastAsia" w:ascii="宋体" w:hAnsi="宋体" w:eastAsia="宋体" w:cs="Times New Roman"/>
          <w:b/>
          <w:sz w:val="28"/>
          <w:szCs w:val="28"/>
          <w:lang w:eastAsia="zh-CN"/>
        </w:rPr>
        <w:t>成都市新都区第三人民医院门诊楼物业管理服务采购项目</w:t>
      </w:r>
    </w:p>
    <w:p>
      <w:pPr>
        <w:numPr>
          <w:ilvl w:val="0"/>
          <w:numId w:val="5"/>
        </w:numPr>
        <w:spacing w:after="200" w:line="560" w:lineRule="exact"/>
        <w:ind w:left="0" w:firstLine="567"/>
        <w:rPr>
          <w:rFonts w:ascii="宋体" w:hAnsi="宋体" w:eastAsia="宋体" w:cs="Times New Roman"/>
          <w:b/>
          <w:sz w:val="28"/>
          <w:szCs w:val="28"/>
          <w:highlight w:val="none"/>
        </w:rPr>
      </w:pPr>
      <w:r>
        <w:rPr>
          <w:rFonts w:hint="eastAsia" w:ascii="宋体" w:hAnsi="宋体" w:eastAsia="宋体" w:cs="Times New Roman"/>
          <w:b/>
          <w:sz w:val="28"/>
          <w:szCs w:val="28"/>
        </w:rPr>
        <w:t>资金来源、预算金额及最高限价：</w:t>
      </w:r>
      <w:r>
        <w:rPr>
          <w:rFonts w:hint="eastAsia" w:ascii="宋体" w:hAnsi="宋体" w:eastAsia="宋体" w:cs="Times New Roman"/>
          <w:sz w:val="28"/>
          <w:szCs w:val="28"/>
        </w:rPr>
        <w:t>财政性资金，政府采购实</w:t>
      </w:r>
      <w:r>
        <w:rPr>
          <w:rFonts w:hint="eastAsia" w:ascii="宋体" w:hAnsi="宋体" w:eastAsia="宋体" w:cs="Times New Roman"/>
          <w:sz w:val="28"/>
          <w:szCs w:val="28"/>
          <w:highlight w:val="none"/>
        </w:rPr>
        <w:t>施计划备案表号：（202</w:t>
      </w:r>
      <w:r>
        <w:rPr>
          <w:rFonts w:ascii="宋体" w:hAnsi="宋体" w:eastAsia="宋体" w:cs="Times New Roman"/>
          <w:sz w:val="28"/>
          <w:szCs w:val="28"/>
          <w:highlight w:val="none"/>
        </w:rPr>
        <w:t>1</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1008</w:t>
      </w:r>
      <w:r>
        <w:rPr>
          <w:rFonts w:hint="eastAsia" w:ascii="宋体" w:hAnsi="宋体" w:eastAsia="宋体" w:cs="Times New Roman"/>
          <w:sz w:val="28"/>
          <w:szCs w:val="28"/>
          <w:highlight w:val="none"/>
        </w:rPr>
        <w:t>号；预算品目：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服务；预算金额：</w:t>
      </w:r>
      <w:r>
        <w:rPr>
          <w:rFonts w:hint="eastAsia" w:ascii="宋体" w:hAnsi="宋体" w:eastAsia="宋体" w:cs="Times New Roman"/>
          <w:sz w:val="28"/>
          <w:szCs w:val="28"/>
          <w:highlight w:val="none"/>
          <w:lang w:val="en-US" w:eastAsia="zh-CN"/>
        </w:rPr>
        <w:t>182.4万元</w:t>
      </w:r>
      <w:r>
        <w:rPr>
          <w:rFonts w:hint="eastAsia" w:ascii="宋体" w:hAnsi="宋体" w:eastAsia="宋体" w:cs="Times New Roman"/>
          <w:sz w:val="28"/>
          <w:szCs w:val="28"/>
          <w:highlight w:val="none"/>
        </w:rPr>
        <w:t>；最高限价：</w:t>
      </w:r>
      <w:r>
        <w:rPr>
          <w:rFonts w:hint="eastAsia" w:ascii="宋体" w:hAnsi="宋体" w:eastAsia="宋体" w:cs="Times New Roman"/>
          <w:sz w:val="28"/>
          <w:szCs w:val="28"/>
          <w:highlight w:val="none"/>
          <w:lang w:val="en-US" w:eastAsia="zh-CN"/>
        </w:rPr>
        <w:t>182.4万元/年</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服务；所属行业：</w:t>
      </w:r>
      <w:r>
        <w:rPr>
          <w:rFonts w:hint="eastAsia" w:ascii="宋体" w:hAnsi="宋体" w:eastAsia="宋体" w:cs="Times New Roman"/>
          <w:color w:val="000000"/>
          <w:sz w:val="28"/>
          <w:szCs w:val="28"/>
          <w:highlight w:val="none"/>
        </w:rPr>
        <w:t>物业管理</w:t>
      </w:r>
      <w:r>
        <w:rPr>
          <w:rFonts w:hint="eastAsia" w:ascii="宋体" w:hAnsi="宋体" w:eastAsia="宋体" w:cs="Times New Roman"/>
          <w:color w:val="000000"/>
          <w:sz w:val="28"/>
          <w:szCs w:val="28"/>
          <w:highlight w:val="none"/>
          <w:lang w:eastAsia="zh-CN"/>
        </w:rPr>
        <w:t>；服务期限三年，合同一年一签。</w:t>
      </w:r>
    </w:p>
    <w:p>
      <w:pPr>
        <w:numPr>
          <w:ilvl w:val="0"/>
          <w:numId w:val="5"/>
        </w:numPr>
        <w:spacing w:line="360" w:lineRule="auto"/>
        <w:ind w:left="0" w:firstLine="567"/>
        <w:rPr>
          <w:rFonts w:ascii="宋体" w:hAnsi="宋体" w:eastAsia="宋体" w:cs="Times New Roman"/>
          <w:sz w:val="28"/>
          <w:szCs w:val="22"/>
          <w:highlight w:val="none"/>
        </w:rPr>
      </w:pPr>
      <w:r>
        <w:rPr>
          <w:rFonts w:hint="eastAsia" w:ascii="宋体" w:hAnsi="宋体" w:eastAsia="宋体" w:cs="Times New Roman"/>
          <w:b/>
          <w:sz w:val="28"/>
          <w:szCs w:val="28"/>
          <w:highlight w:val="none"/>
        </w:rPr>
        <w:t>招标项目简介</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本次采购服务内容为</w:t>
      </w:r>
      <w:r>
        <w:rPr>
          <w:rFonts w:hint="eastAsia" w:ascii="宋体" w:hAnsi="宋体" w:eastAsia="宋体" w:cs="Times New Roman"/>
          <w:color w:val="000000"/>
          <w:sz w:val="28"/>
          <w:szCs w:val="28"/>
          <w:highlight w:val="none"/>
          <w:lang w:eastAsia="zh-CN"/>
        </w:rPr>
        <w:t>成都市新都区第三人民医院门诊楼物业管理服务采购项目</w:t>
      </w:r>
      <w:r>
        <w:rPr>
          <w:rFonts w:hint="eastAsia" w:ascii="宋体" w:hAnsi="宋体" w:eastAsia="宋体" w:cs="宋体"/>
          <w:color w:val="000000"/>
          <w:sz w:val="28"/>
          <w:szCs w:val="28"/>
          <w:highlight w:val="none"/>
        </w:rPr>
        <w:t>，</w:t>
      </w:r>
      <w:r>
        <w:rPr>
          <w:rFonts w:hint="eastAsia" w:ascii="宋体" w:hAnsi="宋体" w:eastAsia="宋体" w:cs="Times New Roman"/>
          <w:sz w:val="28"/>
          <w:szCs w:val="28"/>
          <w:highlight w:val="none"/>
        </w:rPr>
        <w:t>详细的技术、服务、商务及其他要求见招标文件第4章。</w:t>
      </w:r>
    </w:p>
    <w:p>
      <w:pPr>
        <w:numPr>
          <w:ilvl w:val="0"/>
          <w:numId w:val="5"/>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供应商参加本次政府采购活动应具备的条件</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符合《政府采购法》第二十二条第一款规定的条件；</w:t>
      </w:r>
    </w:p>
    <w:p>
      <w:pPr>
        <w:numPr>
          <w:ilvl w:val="1"/>
          <w:numId w:val="6"/>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本项目为专门面向中小企业采购项目，服务全部由符合政策要求的中小企业承接。（说明：监狱企业、残疾人福利性单位视同小型、微型企业）</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在中华人民共和国境内依法登记注册，并有效存续具有独立法人资格的供应商；</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未被列入失信被执行人、重大税收违法案件当事人名单、政府采购严重违法失信行为记录名单； </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在行贿犯罪信息查询期限内，投标人及其现任法定代表人、主要负责人没有行贿犯罪记录；</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未处于被行政部门禁止参与政府采购活动的期限内；</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不属于其他国家相关法律法规规定的禁止参加投标的供应商</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本项目不接受联合体投标。</w:t>
      </w:r>
    </w:p>
    <w:p>
      <w:pPr>
        <w:numPr>
          <w:ilvl w:val="0"/>
          <w:numId w:val="5"/>
        </w:numPr>
        <w:spacing w:line="360" w:lineRule="auto"/>
        <w:ind w:left="0" w:firstLine="567"/>
        <w:rPr>
          <w:rFonts w:ascii="宋体" w:hAnsi="宋体" w:eastAsia="宋体" w:cs="Times New Roman"/>
          <w:b/>
          <w:i/>
          <w:sz w:val="28"/>
          <w:szCs w:val="22"/>
          <w:highlight w:val="none"/>
        </w:rPr>
      </w:pPr>
      <w:r>
        <w:rPr>
          <w:rFonts w:hint="eastAsia" w:ascii="宋体" w:hAnsi="宋体" w:eastAsia="宋体" w:cs="Times New Roman"/>
          <w:b/>
          <w:sz w:val="28"/>
          <w:szCs w:val="28"/>
          <w:highlight w:val="none"/>
        </w:rPr>
        <w:t>招标文件获取时间</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w:t>
      </w:r>
      <w:r>
        <w:rPr>
          <w:rFonts w:hint="eastAsia" w:ascii="宋体" w:hAnsi="宋体" w:eastAsia="宋体" w:cs="Times New Roman"/>
          <w:b/>
          <w:sz w:val="28"/>
          <w:szCs w:val="28"/>
          <w:highlight w:val="none"/>
          <w:lang w:val="en-US" w:eastAsia="zh-CN"/>
        </w:rPr>
        <w:t>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27</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16</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27</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3</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供应商如对招标文件有质疑的，应于自招标文件公告期限届满之日起七个工作日内以书面形式提出。</w:t>
      </w:r>
    </w:p>
    <w:p>
      <w:pPr>
        <w:numPr>
          <w:ilvl w:val="0"/>
          <w:numId w:val="5"/>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招标文件获取方式</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highlight w:val="none"/>
        </w:rPr>
        <w:t>投标人要参加投标，应在“政府采购云平台（</w:t>
      </w:r>
      <w:r>
        <w:rPr>
          <w:rFonts w:hint="eastAsia" w:ascii="宋体" w:hAnsi="宋体" w:eastAsia="宋体" w:cs="Times New Roman"/>
          <w:sz w:val="28"/>
          <w:szCs w:val="28"/>
          <w:highlight w:val="none"/>
        </w:rPr>
        <w:fldChar w:fldCharType="begin"/>
      </w:r>
      <w:r>
        <w:rPr>
          <w:rFonts w:hint="eastAsia" w:ascii="宋体" w:hAnsi="宋体" w:eastAsia="宋体" w:cs="Times New Roman"/>
          <w:sz w:val="28"/>
          <w:szCs w:val="28"/>
          <w:highlight w:val="none"/>
        </w:rPr>
        <w:instrText xml:space="preserve"> HYPERLINK "http://www.zcygov.cn" </w:instrText>
      </w:r>
      <w:r>
        <w:rPr>
          <w:rFonts w:hint="eastAsia" w:ascii="宋体" w:hAnsi="宋体" w:eastAsia="宋体" w:cs="Times New Roman"/>
          <w:sz w:val="28"/>
          <w:szCs w:val="28"/>
          <w:highlight w:val="none"/>
        </w:rPr>
        <w:fldChar w:fldCharType="separate"/>
      </w:r>
      <w:r>
        <w:rPr>
          <w:rFonts w:hint="eastAsia" w:ascii="宋体" w:hAnsi="宋体" w:eastAsia="宋体" w:cs="Times New Roman"/>
          <w:sz w:val="28"/>
          <w:szCs w:val="28"/>
          <w:highlight w:val="none"/>
        </w:rPr>
        <w:t>www.zcygov.cn</w:t>
      </w:r>
      <w:r>
        <w:rPr>
          <w:rFonts w:hint="eastAsia" w:ascii="宋体" w:hAnsi="宋体" w:eastAsia="宋体" w:cs="Times New Roman"/>
          <w:sz w:val="28"/>
          <w:szCs w:val="28"/>
          <w:highlight w:val="none"/>
        </w:rPr>
        <w:fldChar w:fldCharType="end"/>
      </w:r>
      <w:r>
        <w:rPr>
          <w:rFonts w:hint="eastAsia" w:ascii="宋体" w:hAnsi="宋体" w:eastAsia="宋体" w:cs="Times New Roman"/>
          <w:sz w:val="28"/>
          <w:szCs w:val="28"/>
          <w:highlight w:val="none"/>
        </w:rPr>
        <w:t>）”获取采购文件。登录政府采购云平台(www.zcygov.cn)—我的工作台—项目</w:t>
      </w:r>
      <w:r>
        <w:rPr>
          <w:rFonts w:hint="eastAsia" w:ascii="宋体" w:hAnsi="宋体" w:eastAsia="宋体" w:cs="Times New Roman"/>
          <w:sz w:val="28"/>
          <w:szCs w:val="28"/>
        </w:rPr>
        <w:t>采购—获取采购文件—申请获取采购文件。</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提示：</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（1）本项目采购文件免费获取。</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rPr>
        <w:t>—</w:t>
      </w:r>
      <w:r>
        <w:rPr>
          <w:rFonts w:hint="eastAsia" w:ascii="宋体" w:hAnsi="宋体" w:eastAsia="宋体" w:cs="Times New Roman"/>
          <w:sz w:val="28"/>
          <w:szCs w:val="28"/>
        </w:rPr>
        <w:t>操作指南</w:t>
      </w:r>
      <w:r>
        <w:rPr>
          <w:rFonts w:ascii="宋体" w:hAnsi="宋体" w:eastAsia="宋体" w:cs="Times New Roman"/>
          <w:sz w:val="28"/>
          <w:szCs w:val="28"/>
        </w:rPr>
        <w:t>—</w:t>
      </w:r>
      <w:r>
        <w:rPr>
          <w:rFonts w:hint="eastAsia" w:ascii="宋体" w:hAnsi="宋体" w:eastAsia="宋体" w:cs="Times New Roman"/>
          <w:sz w:val="28"/>
          <w:szCs w:val="28"/>
        </w:rPr>
        <w:t>供应商”处下载查看）。</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招标文件获取地点</w:t>
      </w:r>
    </w:p>
    <w:p>
      <w:pPr>
        <w:spacing w:line="560" w:lineRule="exact"/>
        <w:ind w:firstLine="565" w:firstLineChars="202"/>
        <w:rPr>
          <w:rFonts w:hint="eastAsia" w:ascii="宋体" w:hAnsi="宋体" w:eastAsia="宋体" w:cs="Times New Roman"/>
          <w:sz w:val="28"/>
          <w:szCs w:val="28"/>
        </w:rPr>
      </w:pPr>
      <w:bookmarkStart w:id="8" w:name="_Toc180051012"/>
      <w:bookmarkStart w:id="9" w:name="_Toc184023104"/>
      <w:bookmarkStart w:id="10" w:name="_Toc184013605"/>
      <w:bookmarkStart w:id="11" w:name="_Toc174185149"/>
      <w:bookmarkStart w:id="12" w:name="_Toc186274101"/>
      <w:r>
        <w:rPr>
          <w:rFonts w:hint="eastAsia" w:ascii="宋体" w:hAnsi="宋体" w:eastAsia="宋体" w:cs="Times New Roman"/>
          <w:sz w:val="28"/>
          <w:szCs w:val="28"/>
        </w:rPr>
        <w:t>登录政府采购云平台（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投标文件递交截止时间及开标时间</w:t>
      </w:r>
      <w:bookmarkEnd w:id="8"/>
      <w:bookmarkEnd w:id="9"/>
      <w:bookmarkEnd w:id="10"/>
      <w:bookmarkEnd w:id="11"/>
      <w:bookmarkEnd w:id="12"/>
      <w:r>
        <w:rPr>
          <w:rFonts w:hint="eastAsia" w:ascii="宋体" w:hAnsi="宋体" w:eastAsia="宋体" w:cs="Times New Roman"/>
          <w:b/>
          <w:sz w:val="28"/>
          <w:szCs w:val="28"/>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（一）投标文件递交截止时间及开标时间：2021年</w:t>
      </w:r>
      <w:r>
        <w:rPr>
          <w:rFonts w:hint="eastAsia" w:ascii="宋体" w:hAnsi="宋体" w:eastAsia="宋体" w:cs="Times New Roman"/>
          <w:b/>
          <w:sz w:val="28"/>
          <w:szCs w:val="28"/>
          <w:highlight w:val="none"/>
          <w:lang w:val="en-US" w:eastAsia="zh-CN"/>
        </w:rPr>
        <w:t>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17</w:t>
      </w:r>
      <w:bookmarkStart w:id="220" w:name="_GoBack"/>
      <w:bookmarkEnd w:id="220"/>
      <w:r>
        <w:rPr>
          <w:rFonts w:hint="eastAsia" w:ascii="宋体" w:hAnsi="宋体" w:eastAsia="宋体" w:cs="Times New Roman"/>
          <w:b/>
          <w:sz w:val="28"/>
          <w:szCs w:val="28"/>
          <w:highlight w:val="none"/>
        </w:rPr>
        <w:t>日上午09:30。</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（二）投标文件递交方式、地点：投标截止时间前，投标人应将加密的投标文件递交至“政府采购云平台”对应项目。</w:t>
      </w:r>
    </w:p>
    <w:p>
      <w:pPr>
        <w:numPr>
          <w:ilvl w:val="0"/>
          <w:numId w:val="5"/>
        </w:numPr>
        <w:spacing w:line="360" w:lineRule="auto"/>
        <w:ind w:left="0" w:firstLine="567"/>
        <w:rPr>
          <w:rFonts w:hint="eastAsia" w:ascii="宋体" w:hAnsi="宋体" w:eastAsia="宋体" w:cs="Times New Roman"/>
          <w:b/>
          <w:sz w:val="28"/>
          <w:szCs w:val="28"/>
        </w:rPr>
      </w:pPr>
      <w:r>
        <w:rPr>
          <w:rFonts w:hint="eastAsia" w:ascii="宋体" w:hAnsi="宋体" w:eastAsia="宋体" w:cs="Times New Roman"/>
          <w:b/>
          <w:sz w:val="28"/>
          <w:szCs w:val="28"/>
        </w:rPr>
        <w:t>代理机构收费标准</w:t>
      </w:r>
    </w:p>
    <w:p>
      <w:pPr>
        <w:spacing w:line="560" w:lineRule="exact"/>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本项目不收取代理费用。</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政采中小企业政府采购信用担保融资</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本投标邀请在“四川政府采购网”和“成都市公共资源交易服务中心”网站上以公告形式发布</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成都市新都区第三人民医院</w:t>
      </w:r>
    </w:p>
    <w:p>
      <w:pPr>
        <w:widowControl w:val="0"/>
        <w:spacing w:line="360" w:lineRule="auto"/>
        <w:ind w:firstLine="560" w:firstLineChars="200"/>
        <w:jc w:val="both"/>
        <w:rPr>
          <w:rFonts w:hint="eastAsia" w:ascii="宋体" w:hAnsi="宋体" w:eastAsia="宋体" w:cs="宋体"/>
          <w:kern w:val="0"/>
          <w:sz w:val="28"/>
          <w:szCs w:val="28"/>
          <w:highlight w:val="none"/>
          <w:lang w:val="en-US" w:eastAsia="zh-CN"/>
        </w:rPr>
      </w:pPr>
      <w:r>
        <w:rPr>
          <w:rFonts w:hint="eastAsia" w:ascii="宋体" w:hAnsi="宋体" w:eastAsia="宋体" w:cs="Times New Roman"/>
          <w:kern w:val="0"/>
          <w:sz w:val="28"/>
          <w:szCs w:val="28"/>
          <w:highlight w:val="none"/>
          <w:lang w:val="en-US" w:eastAsia="zh-CN" w:bidi="ar-SA"/>
        </w:rPr>
        <w:t>地  址：</w:t>
      </w:r>
      <w:r>
        <w:rPr>
          <w:rFonts w:hint="eastAsia" w:ascii="宋体" w:hAnsi="宋体" w:eastAsia="宋体" w:cs="宋体"/>
          <w:kern w:val="0"/>
          <w:sz w:val="28"/>
          <w:szCs w:val="28"/>
          <w:highlight w:val="none"/>
          <w:lang w:val="en-US" w:eastAsia="zh-CN"/>
        </w:rPr>
        <w:t>成都市新都区大丰街道崇义桥街468号</w:t>
      </w:r>
    </w:p>
    <w:p>
      <w:pPr>
        <w:widowControl w:val="0"/>
        <w:spacing w:line="360" w:lineRule="auto"/>
        <w:ind w:firstLine="560" w:firstLineChars="200"/>
        <w:jc w:val="both"/>
        <w:rPr>
          <w:rFonts w:hint="eastAsia" w:ascii="宋体" w:hAnsi="宋体" w:eastAsia="宋体" w:cs="宋体"/>
          <w:kern w:val="0"/>
          <w:sz w:val="28"/>
          <w:szCs w:val="28"/>
          <w:highlight w:val="none"/>
          <w:lang w:eastAsia="zh-CN"/>
        </w:rPr>
      </w:pPr>
      <w:r>
        <w:rPr>
          <w:rFonts w:hint="eastAsia" w:ascii="宋体" w:hAnsi="宋体" w:eastAsia="宋体" w:cs="宋体"/>
          <w:kern w:val="0"/>
          <w:sz w:val="28"/>
          <w:szCs w:val="28"/>
          <w:highlight w:val="none"/>
        </w:rPr>
        <w:t>联系人：</w:t>
      </w:r>
      <w:bookmarkStart w:id="13" w:name="cgr联系人1"/>
      <w:bookmarkEnd w:id="13"/>
      <w:r>
        <w:rPr>
          <w:rFonts w:hint="eastAsia" w:ascii="宋体" w:hAnsi="宋体" w:eastAsia="宋体" w:cs="宋体"/>
          <w:kern w:val="0"/>
          <w:sz w:val="28"/>
          <w:szCs w:val="28"/>
          <w:highlight w:val="none"/>
          <w:lang w:eastAsia="zh-CN"/>
        </w:rPr>
        <w:t>刘张红</w:t>
      </w:r>
    </w:p>
    <w:p>
      <w:pPr>
        <w:widowControl w:val="0"/>
        <w:spacing w:line="360" w:lineRule="auto"/>
        <w:ind w:firstLine="560" w:firstLineChars="200"/>
        <w:jc w:val="both"/>
        <w:rPr>
          <w:rFonts w:hint="default"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rPr>
        <w:t>联系电话：</w:t>
      </w:r>
      <w:bookmarkStart w:id="14" w:name="cgr联系人1移动电话"/>
      <w:bookmarkEnd w:id="14"/>
      <w:r>
        <w:rPr>
          <w:rFonts w:hint="eastAsia" w:ascii="宋体" w:hAnsi="宋体" w:eastAsia="宋体" w:cs="宋体"/>
          <w:kern w:val="0"/>
          <w:sz w:val="28"/>
          <w:szCs w:val="28"/>
          <w:highlight w:val="none"/>
        </w:rPr>
        <w:t>028-83911257</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sz w:val="28"/>
          <w:szCs w:val="22"/>
          <w:highlight w:val="none"/>
          <w:lang w:eastAsia="zh-CN"/>
        </w:rPr>
        <w:t>魏婷</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color w:val="000000"/>
          <w:kern w:val="0"/>
          <w:sz w:val="28"/>
          <w:szCs w:val="22"/>
          <w:highlight w:val="none"/>
          <w:lang w:eastAsia="zh-CN"/>
        </w:rPr>
        <w:t>联系电话：028-</w:t>
      </w:r>
      <w:r>
        <w:rPr>
          <w:rFonts w:hint="eastAsia" w:ascii="宋体" w:hAnsi="宋体" w:eastAsia="宋体" w:cs="Times New Roman"/>
          <w:color w:val="000000"/>
          <w:kern w:val="0"/>
          <w:sz w:val="28"/>
          <w:szCs w:val="22"/>
          <w:highlight w:val="none"/>
          <w:lang w:val="en-US" w:eastAsia="zh-CN"/>
        </w:rPr>
        <w:t>61790025</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pStyle w:val="2"/>
        <w:ind w:firstLine="546" w:firstLineChars="195"/>
        <w:rPr>
          <w:rFonts w:hint="eastAsia" w:eastAsia="宋体"/>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5" w:name="_Toc24114"/>
      <w:r>
        <w:rPr>
          <w:rFonts w:hint="eastAsia" w:ascii="宋体" w:hAnsi="宋体" w:eastAsia="宋体" w:cs="Times New Roman"/>
          <w:b/>
          <w:bCs/>
          <w:spacing w:val="-20"/>
          <w:kern w:val="44"/>
          <w:sz w:val="32"/>
          <w:szCs w:val="32"/>
        </w:rPr>
        <w:t>投标人须知</w:t>
      </w:r>
      <w:bookmarkEnd w:id="15"/>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6" w:name="_Toc189727030"/>
      <w:bookmarkStart w:id="17" w:name="_Toc217446032"/>
      <w:bookmarkStart w:id="18" w:name="_Toc213396760"/>
      <w:bookmarkStart w:id="19" w:name="_Toc213397010"/>
      <w:bookmarkStart w:id="20" w:name="_Toc213496268"/>
      <w:bookmarkStart w:id="21" w:name="_Toc213396946"/>
      <w:bookmarkStart w:id="22" w:name="_Toc316462344"/>
      <w:bookmarkStart w:id="23" w:name="_Toc3188"/>
      <w:r>
        <w:rPr>
          <w:rFonts w:hint="eastAsia" w:ascii="宋体" w:hAnsi="宋体" w:eastAsia="宋体" w:cs="Times New Roman"/>
          <w:b/>
          <w:bCs/>
          <w:sz w:val="28"/>
          <w:szCs w:val="28"/>
        </w:rPr>
        <w:t>投标人须知前附表</w:t>
      </w:r>
      <w:bookmarkEnd w:id="16"/>
      <w:bookmarkEnd w:id="17"/>
      <w:bookmarkEnd w:id="18"/>
      <w:bookmarkEnd w:id="19"/>
      <w:bookmarkEnd w:id="20"/>
      <w:bookmarkEnd w:id="21"/>
      <w:bookmarkEnd w:id="22"/>
      <w:bookmarkEnd w:id="23"/>
    </w:p>
    <w:tbl>
      <w:tblPr>
        <w:tblStyle w:val="15"/>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rPr>
            </w:pPr>
            <w:r>
              <w:rPr>
                <w:rFonts w:hint="eastAsia" w:ascii="宋体" w:hAnsi="宋体" w:eastAsia="宋体" w:cs="Times New Roman"/>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lang w:val="zh-CN"/>
              </w:rPr>
            </w:pPr>
            <w:r>
              <w:rPr>
                <w:rFonts w:hint="eastAsia" w:ascii="宋体" w:hAnsi="宋体" w:eastAsia="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lang w:val="zh-CN"/>
              </w:rPr>
            </w:pPr>
            <w:r>
              <w:rPr>
                <w:rFonts w:hint="eastAsia" w:ascii="宋体" w:hAnsi="宋体" w:eastAsia="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rPr>
            </w:pPr>
            <w:r>
              <w:rPr>
                <w:rFonts w:hint="eastAsia" w:ascii="宋体" w:hAnsi="宋体" w:eastAsia="宋体" w:cs="Times New Roman"/>
                <w:szCs w:val="22"/>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highlight w:val="none"/>
                <w:lang w:val="zh-CN"/>
              </w:rPr>
            </w:pPr>
            <w:r>
              <w:rPr>
                <w:rFonts w:hint="eastAsia" w:ascii="宋体" w:hAnsi="宋体" w:eastAsia="宋体" w:cs="宋体"/>
                <w:b/>
                <w:szCs w:val="22"/>
                <w:highlight w:val="none"/>
                <w:lang w:val="zh-CN"/>
              </w:rPr>
              <w:t>人民币</w:t>
            </w:r>
            <w:r>
              <w:rPr>
                <w:rFonts w:hint="eastAsia" w:ascii="宋体" w:hAnsi="宋体" w:eastAsia="宋体" w:cs="宋体"/>
                <w:b/>
                <w:szCs w:val="22"/>
                <w:highlight w:val="none"/>
                <w:lang w:val="en-US" w:eastAsia="zh-CN"/>
              </w:rPr>
              <w:t>182.4万元</w:t>
            </w:r>
            <w:r>
              <w:rPr>
                <w:rFonts w:hint="eastAsia" w:ascii="宋体" w:hAnsi="宋体" w:eastAsia="宋体" w:cs="宋体"/>
                <w:b/>
                <w:szCs w:val="22"/>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highlight w:val="none"/>
                <w:lang w:val="zh-CN"/>
              </w:rPr>
            </w:pPr>
            <w:r>
              <w:rPr>
                <w:rFonts w:hint="eastAsia" w:ascii="宋体" w:hAnsi="宋体" w:eastAsia="宋体" w:cs="宋体"/>
                <w:b/>
                <w:szCs w:val="22"/>
                <w:highlight w:val="none"/>
                <w:lang w:val="zh-CN"/>
              </w:rPr>
              <w:t>本项目最高限价为</w:t>
            </w:r>
            <w:r>
              <w:rPr>
                <w:rFonts w:hint="eastAsia" w:ascii="宋体" w:hAnsi="宋体" w:eastAsia="宋体" w:cs="宋体"/>
                <w:b/>
                <w:szCs w:val="22"/>
                <w:highlight w:val="none"/>
                <w:lang w:val="zh-CN" w:eastAsia="zh-CN"/>
              </w:rPr>
              <w:t>人民币</w:t>
            </w:r>
            <w:r>
              <w:rPr>
                <w:rFonts w:hint="eastAsia" w:ascii="宋体" w:hAnsi="宋体" w:eastAsia="宋体" w:cs="宋体"/>
                <w:b/>
                <w:szCs w:val="22"/>
                <w:highlight w:val="none"/>
                <w:lang w:val="en-US" w:eastAsia="zh-CN"/>
              </w:rPr>
              <w:t>182.4万元/年</w:t>
            </w:r>
            <w:r>
              <w:rPr>
                <w:rFonts w:hint="eastAsia" w:ascii="宋体" w:hAnsi="宋体" w:eastAsia="宋体" w:cs="宋体"/>
                <w:b/>
                <w:szCs w:val="22"/>
                <w:highlight w:val="none"/>
                <w:lang w:val="zh-CN" w:eastAsia="zh-CN"/>
              </w:rPr>
              <w:t>，</w:t>
            </w:r>
            <w:r>
              <w:rPr>
                <w:rFonts w:hint="eastAsia" w:ascii="宋体" w:hAnsi="宋体" w:eastAsia="宋体" w:cs="宋体"/>
                <w:b/>
                <w:szCs w:val="22"/>
                <w:highlight w:val="none"/>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lang w:val="zh-CN"/>
              </w:rPr>
            </w:pPr>
            <w:r>
              <w:rPr>
                <w:rFonts w:hint="eastAsia" w:ascii="宋体" w:hAnsi="宋体" w:eastAsia="宋体" w:cs="宋体"/>
                <w:szCs w:val="22"/>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rPr>
            </w:pPr>
            <w:r>
              <w:rPr>
                <w:rFonts w:hint="eastAsia" w:ascii="宋体" w:hAnsi="宋体" w:eastAsia="宋体" w:cs="宋体"/>
                <w:szCs w:val="22"/>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rPr>
            </w:pPr>
            <w:r>
              <w:rPr>
                <w:rFonts w:hint="eastAsia" w:ascii="宋体" w:hAnsi="宋体" w:eastAsia="宋体" w:cs="Times New Roman"/>
                <w:b/>
                <w:szCs w:val="22"/>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提交投标文件的截止之日起</w:t>
            </w:r>
            <w:r>
              <w:rPr>
                <w:rFonts w:hint="eastAsia" w:ascii="宋体" w:hAnsi="宋体" w:eastAsia="宋体" w:cs="宋体"/>
                <w:szCs w:val="22"/>
                <w:u w:val="single"/>
                <w:lang w:val="zh-CN"/>
              </w:rPr>
              <w:t>120</w:t>
            </w:r>
            <w:r>
              <w:rPr>
                <w:rFonts w:hint="eastAsia" w:ascii="宋体" w:hAnsi="宋体" w:eastAsia="宋体" w:cs="宋体"/>
                <w:szCs w:val="22"/>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详见投标人须知2.4.12</w:t>
            </w:r>
          </w:p>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注：投标人使用</w:t>
            </w:r>
            <w:r>
              <w:rPr>
                <w:rFonts w:ascii="宋体" w:hAnsi="宋体" w:eastAsia="宋体" w:cs="Times New Roman"/>
                <w:szCs w:val="22"/>
              </w:rPr>
              <w:t>CA证书在</w:t>
            </w:r>
            <w:r>
              <w:rPr>
                <w:rFonts w:hint="eastAsia" w:ascii="宋体" w:hAnsi="宋体" w:eastAsia="宋体" w:cs="Times New Roman"/>
                <w:szCs w:val="22"/>
              </w:rPr>
              <w:t>投标截止时间前，将投标文件上传至政府</w:t>
            </w:r>
            <w:r>
              <w:rPr>
                <w:rFonts w:ascii="宋体" w:hAnsi="宋体" w:eastAsia="宋体" w:cs="Times New Roman"/>
                <w:szCs w:val="22"/>
              </w:rPr>
              <w:t>采购</w:t>
            </w:r>
            <w:r>
              <w:rPr>
                <w:rFonts w:hint="eastAsia" w:ascii="宋体" w:hAnsi="宋体" w:eastAsia="宋体" w:cs="Times New Roman"/>
                <w:szCs w:val="22"/>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Calibri" w:hAnsi="Calibri" w:eastAsia="宋体" w:cs="Times New Roman"/>
                <w:b/>
                <w:szCs w:val="22"/>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b/>
                <w:szCs w:val="22"/>
              </w:rPr>
              <w:t>详见投标人须知2.5.1。</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投标文件解密：开启解密后，投标人应在系统提示的解密开始时间后</w:t>
            </w:r>
            <w:r>
              <w:rPr>
                <w:rFonts w:ascii="宋体" w:hAnsi="宋体" w:eastAsia="宋体" w:cs="Times New Roman"/>
                <w:b/>
                <w:szCs w:val="22"/>
              </w:rPr>
              <w:t>60</w:t>
            </w:r>
            <w:r>
              <w:rPr>
                <w:rFonts w:hint="eastAsia" w:ascii="宋体" w:hAnsi="宋体" w:eastAsia="宋体" w:cs="Times New Roman"/>
                <w:b/>
                <w:szCs w:val="22"/>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rPr>
            </w:pPr>
            <w:r>
              <w:rPr>
                <w:rFonts w:hint="eastAsia" w:ascii="宋体" w:hAnsi="宋体" w:eastAsia="宋体" w:cs="Times New Roman"/>
                <w:b/>
                <w:szCs w:val="22"/>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w:t>
            </w:r>
            <w:r>
              <w:rPr>
                <w:rFonts w:hint="eastAsia" w:ascii="宋体" w:hAnsi="宋体" w:eastAsia="宋体" w:cs="Times New Roman"/>
                <w:szCs w:val="22"/>
                <w:lang w:eastAsia="zh-CN"/>
              </w:rPr>
              <w:t>区交易中心</w:t>
            </w:r>
            <w:r>
              <w:rPr>
                <w:rFonts w:hint="eastAsia" w:ascii="宋体" w:hAnsi="宋体" w:eastAsia="宋体" w:cs="Times New Roman"/>
                <w:szCs w:val="22"/>
              </w:rPr>
              <w:t>提出，并由</w:t>
            </w:r>
            <w:r>
              <w:rPr>
                <w:rFonts w:hint="eastAsia" w:ascii="宋体" w:hAnsi="宋体" w:eastAsia="宋体" w:cs="Times New Roman"/>
                <w:szCs w:val="22"/>
                <w:lang w:eastAsia="zh-CN"/>
              </w:rPr>
              <w:t>区交易中心</w:t>
            </w:r>
            <w:r>
              <w:rPr>
                <w:rFonts w:hint="eastAsia" w:ascii="宋体" w:hAnsi="宋体" w:eastAsia="宋体" w:cs="Times New Roman"/>
                <w:szCs w:val="22"/>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rPr>
            </w:pPr>
            <w:r>
              <w:rPr>
                <w:rFonts w:hint="eastAsia"/>
              </w:rPr>
              <w:t>投诉受理单位：本项目同级财政部门，即</w:t>
            </w:r>
            <w:r>
              <w:rPr>
                <w:rFonts w:hint="eastAsia"/>
                <w:lang w:eastAsia="zh-CN"/>
              </w:rPr>
              <w:t>成都市新都区财政局</w:t>
            </w:r>
            <w:r>
              <w:rPr>
                <w:rFonts w:hint="eastAsia"/>
              </w:rPr>
              <w:t>。</w:t>
            </w:r>
          </w:p>
          <w:p>
            <w:pPr>
              <w:tabs>
                <w:tab w:val="left" w:pos="7665"/>
              </w:tabs>
              <w:snapToGrid w:val="0"/>
              <w:spacing w:line="360" w:lineRule="auto"/>
              <w:rPr>
                <w:rFonts w:hint="eastAsia"/>
              </w:rPr>
            </w:pPr>
            <w:r>
              <w:rPr>
                <w:rFonts w:hint="eastAsia"/>
              </w:rPr>
              <w:t>联系电话：028-</w:t>
            </w:r>
            <w:r>
              <w:rPr>
                <w:rFonts w:hint="eastAsia"/>
                <w:lang w:val="en-US" w:eastAsia="zh-CN"/>
              </w:rPr>
              <w:t>89396791</w:t>
            </w:r>
            <w:r>
              <w:rPr>
                <w:rFonts w:hint="eastAsia"/>
              </w:rPr>
              <w:t>。</w:t>
            </w:r>
          </w:p>
          <w:p>
            <w:pPr>
              <w:tabs>
                <w:tab w:val="left" w:pos="7665"/>
              </w:tabs>
              <w:snapToGrid w:val="0"/>
              <w:spacing w:line="360" w:lineRule="auto"/>
            </w:pPr>
            <w:r>
              <w:rPr>
                <w:rFonts w:hint="eastAsia"/>
              </w:rPr>
              <w:t>地址：成都市新都区马超东路289号金融服务中心7楼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lang w:val="zh-CN"/>
              </w:rPr>
            </w:pPr>
            <w:r>
              <w:rPr>
                <w:rFonts w:hint="eastAsia" w:ascii="宋体" w:hAnsi="宋体" w:eastAsia="宋体" w:cs="宋体"/>
                <w:szCs w:val="22"/>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lang w:val="zh-CN"/>
              </w:rPr>
            </w:pPr>
            <w:r>
              <w:rPr>
                <w:rFonts w:hint="eastAsia" w:ascii="宋体" w:hAnsi="宋体" w:eastAsia="宋体" w:cs="宋体"/>
                <w:szCs w:val="22"/>
                <w:lang w:val="zh-CN"/>
              </w:rPr>
              <w:t>所有</w:t>
            </w:r>
            <w:r>
              <w:rPr>
                <w:rFonts w:hint="eastAsia" w:ascii="宋体" w:hAnsi="宋体" w:eastAsia="宋体" w:cs="Times New Roman"/>
                <w:szCs w:val="22"/>
              </w:rPr>
              <w:t>投标人</w:t>
            </w:r>
            <w:r>
              <w:rPr>
                <w:rFonts w:hint="eastAsia" w:ascii="宋体" w:hAnsi="宋体" w:eastAsia="宋体" w:cs="宋体"/>
                <w:szCs w:val="22"/>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宋体"/>
                <w:szCs w:val="22"/>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宋体"/>
                <w:szCs w:val="22"/>
                <w:lang w:val="zh-CN"/>
              </w:rPr>
              <w:t>中标公告在四川政府采购网上公告后，中标供应商自行登录政府</w:t>
            </w:r>
            <w:r>
              <w:rPr>
                <w:rFonts w:ascii="宋体" w:hAnsi="宋体" w:eastAsia="宋体" w:cs="宋体"/>
                <w:szCs w:val="22"/>
                <w:lang w:val="zh-CN"/>
              </w:rPr>
              <w:t>采购</w:t>
            </w:r>
            <w:r>
              <w:rPr>
                <w:rFonts w:hint="eastAsia" w:ascii="宋体" w:hAnsi="宋体" w:eastAsia="宋体" w:cs="宋体"/>
                <w:szCs w:val="22"/>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lang w:val="zh-CN"/>
              </w:rPr>
            </w:pPr>
            <w:r>
              <w:rPr>
                <w:rFonts w:hint="eastAsia" w:ascii="宋体" w:hAnsi="宋体" w:eastAsia="宋体" w:cs="宋体"/>
                <w:szCs w:val="22"/>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lang w:val="zh-CN" w:eastAsia="zh-CN"/>
              </w:rPr>
            </w:pPr>
            <w:r>
              <w:rPr>
                <w:rFonts w:hint="eastAsia" w:ascii="宋体" w:hAnsi="宋体" w:eastAsia="宋体" w:cs="宋体"/>
                <w:szCs w:val="22"/>
                <w:lang w:val="zh-CN"/>
              </w:rPr>
              <w:t>四川省成都市</w:t>
            </w:r>
            <w:r>
              <w:rPr>
                <w:rFonts w:hint="eastAsia" w:ascii="宋体" w:hAnsi="宋体" w:eastAsia="宋体" w:cs="宋体"/>
                <w:szCs w:val="22"/>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rPr>
            </w:pPr>
            <w:r>
              <w:rPr>
                <w:rFonts w:hint="eastAsia" w:ascii="宋体" w:hAnsi="Calibri" w:eastAsia="宋体" w:cs="Times New Roman"/>
                <w:szCs w:val="22"/>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lang w:eastAsia="zh-CN"/>
              </w:rPr>
              <w:t>成都市新都区财政局</w:t>
            </w:r>
            <w:r>
              <w:rPr>
                <w:rFonts w:hint="eastAsia" w:ascii="宋体" w:hAnsi="Calibri" w:eastAsia="宋体" w:cs="Times New Roman"/>
                <w:szCs w:val="22"/>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szCs w:val="22"/>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eastAsia="宋体" w:cs="Times New Roman"/>
                <w:sz w:val="24"/>
                <w:szCs w:val="22"/>
              </w:rPr>
              <w:t>工作的通知》</w:t>
            </w:r>
            <w:r>
              <w:rPr>
                <w:rFonts w:hint="eastAsia" w:ascii="宋体" w:hAnsi="宋体" w:eastAsia="宋体" w:cs="Times New Roman"/>
                <w:szCs w:val="22"/>
              </w:rPr>
              <w:t>（成财采</w:t>
            </w:r>
            <w:r>
              <w:rPr>
                <w:rFonts w:hint="eastAsia" w:ascii="宋体" w:hAnsi="宋体" w:eastAsia="宋体" w:cs="Times New Roman"/>
                <w:szCs w:val="22"/>
                <w:lang w:eastAsia="zh-CN"/>
              </w:rPr>
              <w:t>发</w:t>
            </w:r>
            <w:r>
              <w:rPr>
                <w:rFonts w:hint="eastAsia" w:ascii="宋体" w:hAnsi="宋体" w:eastAsia="宋体" w:cs="Times New Roman"/>
                <w:szCs w:val="22"/>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rPr>
              <w:t>见附件</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Times New Roman"/>
                <w:szCs w:val="22"/>
                <w:lang w:eastAsia="zh-CN"/>
              </w:rPr>
            </w:pPr>
            <w:r>
              <w:rPr>
                <w:rFonts w:hint="eastAsia" w:ascii="宋体" w:hAnsi="宋体" w:eastAsia="宋体" w:cs="Times New Roman"/>
                <w:szCs w:val="22"/>
                <w:lang w:eastAsia="zh-CN"/>
              </w:rPr>
              <w:t>政府采购云平台运行基本环节要求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szCs w:val="22"/>
              </w:rPr>
            </w:pPr>
            <w:r>
              <w:rPr>
                <w:rFonts w:hint="eastAsia" w:ascii="宋体" w:hAnsi="宋体" w:eastAsia="宋体" w:cs="Times New Roman"/>
                <w:szCs w:val="22"/>
                <w:lang w:val="en-US" w:eastAsia="zh-CN"/>
              </w:rPr>
              <w:t>电脑应安装并顺利运行64位win7以上操作系统，谷歌浏览器；正确的CA及签章驱动等；能流畅访问互联网。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24" w:name="_Toc29346"/>
      <w:r>
        <w:rPr>
          <w:rFonts w:hint="eastAsia" w:ascii="宋体" w:hAnsi="宋体" w:eastAsia="宋体" w:cs="Times New Roman"/>
          <w:b/>
          <w:bCs/>
          <w:sz w:val="28"/>
          <w:szCs w:val="28"/>
        </w:rPr>
        <w:t>总则</w:t>
      </w:r>
      <w:bookmarkEnd w:id="24"/>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适用范围</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本招标文件的最终解释权由采购人或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负责解释。</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有关定义</w:t>
      </w:r>
    </w:p>
    <w:p>
      <w:pPr>
        <w:numPr>
          <w:ilvl w:val="0"/>
          <w:numId w:val="10"/>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“采购人”和“甲方”系指依法进行政府采</w:t>
      </w:r>
      <w:r>
        <w:rPr>
          <w:rFonts w:hint="eastAsia" w:ascii="宋体" w:hAnsi="宋体" w:eastAsia="宋体" w:cs="Times New Roman"/>
          <w:sz w:val="28"/>
          <w:szCs w:val="28"/>
          <w:highlight w:val="none"/>
        </w:rPr>
        <w:t>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lang w:eastAsia="zh-CN"/>
        </w:rPr>
        <w:t>成都市新都区第三人民医院</w:t>
      </w:r>
      <w:r>
        <w:rPr>
          <w:rFonts w:hint="eastAsia" w:ascii="宋体" w:hAnsi="宋体" w:eastAsia="宋体" w:cs="Times New Roman"/>
          <w:sz w:val="28"/>
          <w:szCs w:val="28"/>
        </w:rPr>
        <w:t>。</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“投标人”系指在按照招标文件“投标邀请”中第六、七、八条规定获取了招标文件，拟参加投标和向采购人提供服务的供应商。“乙方”是指本项目的中标供应商。</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重大违法记录是指供应商因违法经营受到刑事处罚或者责令停产停业、吊销许可证或者执照、较大数额罚款等行政处罚。</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eastAsia="宋体" w:cs="Times New Roman"/>
          <w:sz w:val="28"/>
          <w:szCs w:val="28"/>
          <w:lang w:eastAsia="zh-CN"/>
        </w:rPr>
        <w:t>。</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不见面开标是指，</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依托政府采购云平台组织开标活动，供应商在线参与开标的一种组织形式。</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25" w:name="_Toc217390843"/>
      <w:bookmarkStart w:id="26" w:name="_Toc217446036"/>
      <w:bookmarkStart w:id="27" w:name="_Toc183682344"/>
      <w:bookmarkStart w:id="28" w:name="_Toc183582207"/>
      <w:r>
        <w:rPr>
          <w:rFonts w:hint="eastAsia" w:ascii="宋体" w:hAnsi="宋体" w:eastAsia="宋体" w:cs="Times New Roman"/>
          <w:b/>
          <w:bCs/>
          <w:sz w:val="28"/>
          <w:szCs w:val="28"/>
        </w:rPr>
        <w:t>合格的投标人</w:t>
      </w:r>
      <w:bookmarkEnd w:id="25"/>
      <w:bookmarkEnd w:id="26"/>
      <w:bookmarkEnd w:id="27"/>
      <w:bookmarkEnd w:id="28"/>
    </w:p>
    <w:p>
      <w:pPr>
        <w:tabs>
          <w:tab w:val="left" w:pos="7665"/>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合格的投标人应具备以下条件：</w:t>
      </w:r>
    </w:p>
    <w:p>
      <w:pPr>
        <w:numPr>
          <w:ilvl w:val="0"/>
          <w:numId w:val="11"/>
        </w:numPr>
        <w:tabs>
          <w:tab w:val="left" w:pos="1134"/>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本招标文件“投标邀请”第五条规定的条件；</w:t>
      </w:r>
    </w:p>
    <w:p>
      <w:pPr>
        <w:numPr>
          <w:ilvl w:val="0"/>
          <w:numId w:val="11"/>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按照招标文件“投标邀请”中第六、七、八条规定获取了招标文件。</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投标费用</w:t>
      </w:r>
    </w:p>
    <w:p>
      <w:pPr>
        <w:spacing w:line="360" w:lineRule="auto"/>
        <w:ind w:firstLine="660" w:firstLineChars="236"/>
        <w:rPr>
          <w:rFonts w:ascii="宋体" w:hAnsi="宋体" w:eastAsia="宋体" w:cs="Times New Roman"/>
          <w:sz w:val="28"/>
          <w:szCs w:val="28"/>
        </w:rPr>
      </w:pPr>
      <w:r>
        <w:rPr>
          <w:rFonts w:hint="eastAsia" w:ascii="宋体" w:hAnsi="宋体" w:eastAsia="宋体" w:cs="Times New Roman"/>
          <w:sz w:val="28"/>
          <w:szCs w:val="28"/>
        </w:rPr>
        <w:t>投标人应自行承担参加投标的全部费用。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充分、公平竞争保障措施</w:t>
      </w:r>
    </w:p>
    <w:p>
      <w:pPr>
        <w:numPr>
          <w:ilvl w:val="0"/>
          <w:numId w:val="12"/>
        </w:numPr>
        <w:tabs>
          <w:tab w:val="left" w:pos="1134"/>
        </w:tabs>
        <w:adjustRightInd w:val="0"/>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eastAsia="宋体" w:cs="Times New Roman"/>
          <w:b/>
          <w:sz w:val="28"/>
          <w:szCs w:val="28"/>
        </w:rPr>
      </w:pPr>
      <w:r>
        <w:rPr>
          <w:rFonts w:hint="eastAsia" w:ascii="宋体" w:hAnsi="宋体" w:eastAsia="宋体" w:cs="Times New Roman"/>
          <w:sz w:val="28"/>
          <w:szCs w:val="28"/>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rPr>
        <w:t>采购代理机构</w:t>
      </w:r>
      <w:r>
        <w:rPr>
          <w:rFonts w:hint="eastAsia" w:ascii="宋体" w:hAnsi="宋体" w:eastAsia="宋体" w:cs="Times New Roman"/>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rPr>
        <w:t>（说明：无供应商为本项目提供整体设计、规范编制或者项目管理、监理、检测等服务。）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29" w:name="_Toc183682347"/>
      <w:bookmarkStart w:id="30" w:name="_Toc24364"/>
      <w:bookmarkStart w:id="31" w:name="_Toc217446039"/>
      <w:bookmarkStart w:id="32" w:name="_Toc183582210"/>
      <w:r>
        <w:rPr>
          <w:rFonts w:hint="eastAsia" w:ascii="宋体" w:hAnsi="宋体" w:eastAsia="宋体" w:cs="Times New Roman"/>
          <w:b/>
          <w:bCs/>
          <w:sz w:val="28"/>
          <w:szCs w:val="28"/>
        </w:rPr>
        <w:t>招标文件</w:t>
      </w:r>
      <w:bookmarkEnd w:id="29"/>
      <w:bookmarkEnd w:id="30"/>
      <w:bookmarkEnd w:id="31"/>
      <w:bookmarkEnd w:id="32"/>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招标文件的构成</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投标邀请；</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投标人须知；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投标文件格式；</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招标项目技术、服务、商务及其他要求；</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资格性审查；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评标办法；</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拟签订合同文本。</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33" w:name="_Toc183682348"/>
      <w:bookmarkStart w:id="34" w:name="_Toc183582211"/>
      <w:bookmarkStart w:id="35" w:name="_Toc217446040"/>
      <w:r>
        <w:rPr>
          <w:rFonts w:hint="eastAsia" w:ascii="宋体" w:hAnsi="宋体" w:eastAsia="宋体" w:cs="Times New Roman"/>
          <w:b/>
          <w:bCs/>
          <w:sz w:val="28"/>
          <w:szCs w:val="28"/>
        </w:rPr>
        <w:t>招标文件的澄清</w:t>
      </w:r>
      <w:bookmarkEnd w:id="33"/>
      <w:bookmarkEnd w:id="34"/>
      <w:r>
        <w:rPr>
          <w:rFonts w:hint="eastAsia" w:ascii="宋体" w:hAnsi="宋体" w:eastAsia="宋体" w:cs="Times New Roman"/>
          <w:b/>
          <w:bCs/>
          <w:sz w:val="28"/>
          <w:szCs w:val="28"/>
        </w:rPr>
        <w:t>和修改</w:t>
      </w:r>
      <w:bookmarkEnd w:id="35"/>
      <w:bookmarkStart w:id="36" w:name="_Toc183582214"/>
      <w:bookmarkStart w:id="37" w:name="_Toc89075876"/>
      <w:bookmarkStart w:id="38" w:name="_Toc77400780"/>
      <w:bookmarkStart w:id="39" w:name="_Toc217446042"/>
      <w:bookmarkStart w:id="40" w:name="_Toc183682351"/>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在投标截止时间前，采购人或者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可以对已发出的招标文件进行必要的澄清或者修改。</w:t>
      </w:r>
    </w:p>
    <w:p>
      <w:pPr>
        <w:numPr>
          <w:ilvl w:val="0"/>
          <w:numId w:val="15"/>
        </w:numPr>
        <w:spacing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澄清或者修改的内容，</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澄清或者修改的内容可能影响投标文件编制的，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应当在投标截止时间至少15日前，通过政府采购云平台通知所有获取招标文件的潜在投标人；不足15日的，采购人或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应当顺延提交投标文件的截止时间。</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41" w:name="_Toc9856"/>
      <w:r>
        <w:rPr>
          <w:rFonts w:hint="eastAsia" w:ascii="宋体" w:hAnsi="宋体" w:eastAsia="宋体" w:cs="Times New Roman"/>
          <w:b/>
          <w:bCs/>
          <w:sz w:val="28"/>
          <w:szCs w:val="28"/>
        </w:rPr>
        <w:t>投标文件</w:t>
      </w:r>
      <w:bookmarkEnd w:id="36"/>
      <w:bookmarkEnd w:id="37"/>
      <w:bookmarkEnd w:id="38"/>
      <w:bookmarkEnd w:id="39"/>
      <w:bookmarkEnd w:id="40"/>
      <w:bookmarkEnd w:id="41"/>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2" w:name="_Toc183682352"/>
      <w:bookmarkStart w:id="43" w:name="_Toc183582215"/>
      <w:bookmarkStart w:id="44" w:name="_Toc217446043"/>
      <w:r>
        <w:rPr>
          <w:rFonts w:hint="eastAsia" w:ascii="宋体" w:hAnsi="宋体" w:eastAsia="宋体" w:cs="Times New Roman"/>
          <w:b/>
          <w:bCs/>
          <w:sz w:val="28"/>
          <w:szCs w:val="28"/>
        </w:rPr>
        <w:t>投标文件的语言</w:t>
      </w:r>
      <w:bookmarkEnd w:id="42"/>
      <w:bookmarkEnd w:id="43"/>
      <w:bookmarkEnd w:id="44"/>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一、投标人提交的投标文件以及投标人与采购人或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就有关投标的所有来往书面文件均须使用中文。投标文件中如附有外文资料，主要部分要对应翻译成中文并附在相关外文资料后面。</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二、翻译的中文资料与外文资料如果出现差异和矛盾时，以中文为准。涉嫌提供虚假材料的按照相关法律法规处理。</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 xml:space="preserve">三、如因未翻译而造成对供应商的不利后果，由供应商承担。 </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5" w:name="_Toc183582216"/>
      <w:bookmarkStart w:id="46" w:name="_Toc217446044"/>
      <w:bookmarkStart w:id="47" w:name="_Toc183682353"/>
      <w:r>
        <w:rPr>
          <w:rFonts w:hint="eastAsia" w:ascii="宋体" w:hAnsi="宋体" w:eastAsia="宋体" w:cs="Times New Roman"/>
          <w:b/>
          <w:bCs/>
          <w:sz w:val="28"/>
          <w:szCs w:val="28"/>
        </w:rPr>
        <w:t>计量单位</w:t>
      </w:r>
      <w:bookmarkEnd w:id="45"/>
      <w:bookmarkEnd w:id="46"/>
      <w:bookmarkEnd w:id="47"/>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除招标文件中另有规定外，本次采购项目所有合同项下的投标均采用国家法定的计量单位。</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8" w:name="_Toc217446045"/>
      <w:r>
        <w:rPr>
          <w:rFonts w:hint="eastAsia" w:ascii="宋体" w:hAnsi="宋体" w:eastAsia="宋体" w:cs="Times New Roman"/>
          <w:b/>
          <w:bCs/>
          <w:sz w:val="28"/>
          <w:szCs w:val="28"/>
        </w:rPr>
        <w:t>投标货币</w:t>
      </w:r>
      <w:bookmarkEnd w:id="48"/>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本次招标项目的投标均以人民币报价。</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9" w:name="_Toc217446046"/>
      <w:r>
        <w:rPr>
          <w:rFonts w:hint="eastAsia" w:ascii="宋体" w:hAnsi="宋体" w:eastAsia="宋体" w:cs="Times New Roman"/>
          <w:b/>
          <w:bCs/>
          <w:sz w:val="28"/>
          <w:szCs w:val="28"/>
        </w:rPr>
        <w:t>联合体投标</w:t>
      </w:r>
      <w:bookmarkEnd w:id="49"/>
    </w:p>
    <w:p>
      <w:pPr>
        <w:tabs>
          <w:tab w:val="left" w:pos="1134"/>
        </w:tabs>
        <w:spacing w:line="360" w:lineRule="auto"/>
        <w:ind w:left="546"/>
        <w:rPr>
          <w:rFonts w:ascii="宋体" w:hAnsi="宋体" w:eastAsia="宋体" w:cs="Times New Roman"/>
          <w:sz w:val="28"/>
          <w:szCs w:val="28"/>
        </w:rPr>
      </w:pPr>
      <w:r>
        <w:rPr>
          <w:rFonts w:hint="eastAsia" w:ascii="宋体" w:hAnsi="宋体" w:eastAsia="宋体" w:cs="Times New Roman"/>
          <w:sz w:val="28"/>
          <w:szCs w:val="28"/>
        </w:rPr>
        <w:t>本次政府采购活动</w:t>
      </w:r>
      <w:r>
        <w:rPr>
          <w:rFonts w:hint="eastAsia" w:ascii="宋体" w:hAnsi="宋体" w:eastAsia="宋体" w:cs="Times New Roman"/>
          <w:b/>
          <w:sz w:val="28"/>
          <w:szCs w:val="28"/>
        </w:rPr>
        <w:t>不接受</w:t>
      </w:r>
      <w:r>
        <w:rPr>
          <w:rFonts w:hint="eastAsia" w:ascii="宋体" w:hAnsi="宋体" w:eastAsia="宋体" w:cs="Times New Roman"/>
          <w:sz w:val="28"/>
          <w:szCs w:val="28"/>
        </w:rPr>
        <w:t>联合体投标。</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0" w:name="_Toc217446047"/>
      <w:r>
        <w:rPr>
          <w:rFonts w:hint="eastAsia" w:ascii="宋体" w:hAnsi="宋体" w:eastAsia="宋体" w:cs="Times New Roman"/>
          <w:b/>
          <w:bCs/>
          <w:sz w:val="28"/>
          <w:szCs w:val="28"/>
        </w:rPr>
        <w:t>知识产权</w:t>
      </w:r>
      <w:bookmarkEnd w:id="50"/>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如采用投标人所不拥有的知识产权，则在投标报价中必须包括合法获取该知识产权的相关费用。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1" w:name="_Toc217446048"/>
      <w:bookmarkStart w:id="52" w:name="_Toc183582217"/>
      <w:bookmarkStart w:id="53" w:name="_Toc183682354"/>
      <w:r>
        <w:rPr>
          <w:rFonts w:hint="eastAsia" w:ascii="宋体" w:hAnsi="宋体" w:eastAsia="宋体" w:cs="Times New Roman"/>
          <w:b/>
          <w:bCs/>
          <w:sz w:val="28"/>
          <w:szCs w:val="28"/>
        </w:rPr>
        <w:t>投标文件的组成</w:t>
      </w:r>
      <w:bookmarkEnd w:id="51"/>
      <w:bookmarkEnd w:id="52"/>
      <w:bookmarkEnd w:id="53"/>
    </w:p>
    <w:p>
      <w:pPr>
        <w:spacing w:line="360" w:lineRule="auto"/>
        <w:ind w:firstLine="548" w:firstLineChars="196"/>
        <w:rPr>
          <w:rFonts w:ascii="宋体" w:hAnsi="宋体" w:eastAsia="宋体" w:cs="Times New Roman"/>
          <w:sz w:val="28"/>
          <w:szCs w:val="28"/>
        </w:rPr>
      </w:pPr>
      <w:r>
        <w:rPr>
          <w:rFonts w:hint="eastAsia" w:ascii="宋体" w:hAnsi="宋体" w:eastAsia="宋体" w:cs="Times New Roman"/>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资格响应文件：</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关于投标人资格申明的函；</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声明；</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中小企业</w:t>
      </w:r>
      <w:r>
        <w:rPr>
          <w:rFonts w:ascii="宋体" w:hAnsi="宋体" w:eastAsia="宋体" w:cs="Times New Roman"/>
          <w:b/>
          <w:kern w:val="2"/>
          <w:sz w:val="28"/>
          <w:szCs w:val="28"/>
          <w:lang w:val="en-US" w:eastAsia="zh-CN" w:bidi="ar-SA"/>
        </w:rPr>
        <w:t>声明函</w:t>
      </w:r>
      <w:r>
        <w:rPr>
          <w:rFonts w:hint="eastAsia" w:ascii="宋体" w:hAnsi="宋体" w:eastAsia="宋体" w:cs="Times New Roman"/>
          <w:b/>
          <w:kern w:val="2"/>
          <w:sz w:val="28"/>
          <w:szCs w:val="28"/>
          <w:lang w:val="en-US" w:eastAsia="zh-CN" w:bidi="ar-SA"/>
        </w:rPr>
        <w:t>（说明：提供了《残疾人福利性单位声明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》或监狱企业证明文件复印件的不需提供）</w:t>
      </w:r>
      <w:r>
        <w:rPr>
          <w:rFonts w:ascii="宋体" w:hAnsi="宋体" w:eastAsia="宋体" w:cs="Times New Roman"/>
          <w:b/>
          <w:kern w:val="2"/>
          <w:sz w:val="28"/>
          <w:szCs w:val="28"/>
          <w:lang w:val="en-US" w:eastAsia="zh-CN" w:bidi="ar-SA"/>
        </w:rPr>
        <w:t>；</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残疾人福利性单位声明函（说明：提供了《中小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》或监狱企业证明文件复印件的不需提供）；</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投标人应提交的相关资格证明材料：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》的不需提供）；</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营业执照复印件（正本或副本）或法人证书复印件（正本或副本）；</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采购人对投标人履行合同所必需的设备和专业技术能力无其他特殊要求，投标人可不提供其他证明材料；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采购人对法律、行政法规规定的其他条件无其他特殊要求，投标人可不提供其他证明材料。</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商务技术响应文件</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投标函；</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法定代表人或主要负责人身份证明书（说明：主要负责人为供应商提供的其具有独立承担民事责任能力的证明材料中的主要负责人员。）；</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投标人基本情况表；</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kern w:val="0"/>
          <w:sz w:val="28"/>
          <w:szCs w:val="28"/>
        </w:rPr>
        <w:t>服务方案及服务承诺</w:t>
      </w:r>
      <w:r>
        <w:rPr>
          <w:rFonts w:hint="eastAsia" w:ascii="宋体" w:hAnsi="宋体" w:eastAsia="宋体" w:cs="Times New Roman"/>
          <w:b/>
          <w:sz w:val="28"/>
          <w:szCs w:val="28"/>
        </w:rPr>
        <w:t>；</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承诺函；</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报价要求响应文件</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开标一览表；</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分项报价明细表；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4" w:name="_Toc316292020"/>
      <w:bookmarkEnd w:id="54"/>
      <w:bookmarkStart w:id="55" w:name="_Toc316291395"/>
      <w:bookmarkEnd w:id="55"/>
      <w:bookmarkStart w:id="56" w:name="_Toc316292019"/>
      <w:bookmarkEnd w:id="56"/>
      <w:bookmarkStart w:id="57" w:name="_Toc316291396"/>
      <w:bookmarkEnd w:id="57"/>
      <w:bookmarkStart w:id="58" w:name="_Toc217446049"/>
      <w:bookmarkStart w:id="59" w:name="_Toc183582218"/>
      <w:bookmarkStart w:id="60" w:name="_Toc183682355"/>
      <w:r>
        <w:rPr>
          <w:rFonts w:hint="eastAsia" w:ascii="宋体" w:hAnsi="宋体" w:eastAsia="宋体" w:cs="Times New Roman"/>
          <w:b/>
          <w:bCs/>
          <w:sz w:val="28"/>
          <w:szCs w:val="28"/>
        </w:rPr>
        <w:t>投标文件格式</w:t>
      </w:r>
      <w:bookmarkEnd w:id="58"/>
      <w:bookmarkEnd w:id="59"/>
      <w:bookmarkEnd w:id="60"/>
      <w:r>
        <w:rPr>
          <w:rFonts w:hint="eastAsia" w:ascii="宋体" w:hAnsi="宋体" w:eastAsia="宋体" w:cs="Times New Roman"/>
          <w:b/>
          <w:bCs/>
          <w:sz w:val="28"/>
          <w:szCs w:val="28"/>
        </w:rPr>
        <w:tab/>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投标人应按照招标文件第3章中提供的“投标文件格式”填写相关内容。</w:t>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对于没有格式要求的投标文件由投标人自行编写。</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投标报价</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投标人的报价是投标人响应招标项目要求的全部工作内容的价格体现，包括投标人完成本项目所需的一切费用。</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rPr>
      </w:pPr>
      <w:bookmarkStart w:id="61" w:name="_Toc183582223"/>
      <w:bookmarkStart w:id="62" w:name="_Toc217446050"/>
      <w:bookmarkStart w:id="63" w:name="_Toc183682360"/>
      <w:r>
        <w:rPr>
          <w:rFonts w:hint="eastAsia" w:ascii="宋体" w:hAnsi="宋体" w:eastAsia="宋体" w:cs="Times New Roman"/>
          <w:sz w:val="28"/>
          <w:szCs w:val="28"/>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rPr>
        <w:t>2</w:t>
      </w:r>
      <w:r>
        <w:rPr>
          <w:rFonts w:hint="eastAsia" w:ascii="宋体" w:hAnsi="宋体" w:eastAsia="宋体" w:cs="Times New Roman"/>
          <w:sz w:val="28"/>
          <w:szCs w:val="28"/>
        </w:rPr>
        <w:t>）单价金额小数点或者百分比有明显错位的，应以总价为准，并修改单价；（</w:t>
      </w:r>
      <w:r>
        <w:rPr>
          <w:rFonts w:ascii="宋体" w:hAnsi="宋体" w:eastAsia="宋体" w:cs="Times New Roman"/>
          <w:sz w:val="28"/>
          <w:szCs w:val="28"/>
        </w:rPr>
        <w:t>3</w:t>
      </w:r>
      <w:r>
        <w:rPr>
          <w:rFonts w:hint="eastAsia" w:ascii="宋体" w:hAnsi="宋体" w:eastAsia="宋体" w:cs="Times New Roman"/>
          <w:sz w:val="28"/>
          <w:szCs w:val="28"/>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rPr>
      </w:pPr>
      <w:r>
        <w:rPr>
          <w:rFonts w:hint="eastAsia" w:ascii="Calibri" w:hAnsi="Calibri" w:eastAsia="宋体"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rPr>
        <w:t>如因断电、断网、系统故障或其他不可抗力等因素</w:t>
      </w:r>
      <w:r>
        <w:rPr>
          <w:rFonts w:hint="eastAsia" w:ascii="Calibri" w:hAnsi="Calibri" w:eastAsia="宋体" w:cs="Arial"/>
          <w:sz w:val="28"/>
          <w:szCs w:val="28"/>
        </w:rPr>
        <w:t>，导致系统无法使用的，由投标人按评标委员会的要求进行澄清或者说明。</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投标保证金</w:t>
      </w:r>
      <w:bookmarkEnd w:id="61"/>
      <w:bookmarkEnd w:id="62"/>
      <w:bookmarkEnd w:id="63"/>
    </w:p>
    <w:p>
      <w:pPr>
        <w:spacing w:line="360" w:lineRule="auto"/>
        <w:ind w:firstLine="560" w:firstLineChars="200"/>
        <w:rPr>
          <w:rFonts w:ascii="宋体" w:hAnsi="宋体" w:eastAsia="宋体" w:cs="Times New Roman"/>
          <w:sz w:val="28"/>
          <w:szCs w:val="28"/>
        </w:rPr>
      </w:pPr>
      <w:r>
        <w:rPr>
          <w:rFonts w:hint="eastAsia" w:ascii="Calibri" w:hAnsi="Calibri" w:eastAsia="宋体" w:cs="Arial"/>
          <w:sz w:val="28"/>
          <w:szCs w:val="28"/>
        </w:rPr>
        <w:t>本项目不收取投标保证金。</w:t>
      </w:r>
    </w:p>
    <w:p>
      <w:pPr>
        <w:keepNext/>
        <w:keepLines/>
        <w:numPr>
          <w:ilvl w:val="2"/>
          <w:numId w:val="4"/>
        </w:numPr>
        <w:tabs>
          <w:tab w:val="left" w:pos="851"/>
        </w:tabs>
        <w:spacing w:line="360" w:lineRule="auto"/>
        <w:ind w:left="567" w:hanging="567"/>
        <w:outlineLvl w:val="2"/>
        <w:rPr>
          <w:rFonts w:ascii="宋体" w:hAnsi="宋体" w:eastAsia="宋体" w:cs="Times New Roman"/>
          <w:b/>
          <w:bCs/>
          <w:sz w:val="28"/>
          <w:szCs w:val="28"/>
        </w:rPr>
      </w:pPr>
      <w:bookmarkStart w:id="64" w:name="_Toc316292024"/>
      <w:bookmarkEnd w:id="64"/>
      <w:bookmarkStart w:id="65" w:name="_Toc316291400"/>
      <w:bookmarkEnd w:id="65"/>
      <w:bookmarkStart w:id="66" w:name="_Toc183582224"/>
      <w:bookmarkStart w:id="67" w:name="_Toc183682361"/>
      <w:bookmarkStart w:id="68" w:name="_Toc217446051"/>
      <w:r>
        <w:rPr>
          <w:rFonts w:hint="eastAsia" w:ascii="宋体" w:hAnsi="宋体" w:eastAsia="宋体" w:cs="Times New Roman"/>
          <w:b/>
          <w:bCs/>
          <w:sz w:val="28"/>
          <w:szCs w:val="28"/>
        </w:rPr>
        <w:t>投标有效期</w:t>
      </w:r>
      <w:bookmarkEnd w:id="66"/>
      <w:bookmarkEnd w:id="67"/>
      <w:bookmarkEnd w:id="68"/>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投标有效期为</w:t>
      </w:r>
      <w:r>
        <w:rPr>
          <w:rFonts w:hint="eastAsia" w:ascii="Helvetica" w:hAnsi="Helvetica" w:eastAsia="宋体" w:cs="Helvetica"/>
          <w:sz w:val="28"/>
          <w:szCs w:val="28"/>
        </w:rPr>
        <w:t>提交投标文件的截止之日起</w:t>
      </w:r>
      <w:r>
        <w:rPr>
          <w:rFonts w:hint="eastAsia" w:ascii="宋体" w:hAnsi="宋体" w:eastAsia="宋体" w:cs="Times New Roman"/>
          <w:sz w:val="28"/>
          <w:szCs w:val="28"/>
          <w:u w:val="single"/>
        </w:rPr>
        <w:t>120</w:t>
      </w:r>
      <w:r>
        <w:rPr>
          <w:rFonts w:hint="eastAsia" w:ascii="宋体" w:hAnsi="宋体" w:eastAsia="宋体" w:cs="Times New Roman"/>
          <w:sz w:val="28"/>
          <w:szCs w:val="28"/>
        </w:rPr>
        <w:t>天。投标有效期短于此规定期限的或不作响应的，则其投标文件将按无效投标文件处理。</w:t>
      </w:r>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4"/>
        </w:numPr>
        <w:tabs>
          <w:tab w:val="left" w:pos="851"/>
        </w:tabs>
        <w:spacing w:after="200" w:line="240" w:lineRule="auto"/>
        <w:ind w:left="567" w:hanging="567"/>
        <w:jc w:val="both"/>
        <w:outlineLvl w:val="2"/>
        <w:rPr>
          <w:rFonts w:ascii="宋体" w:hAnsi="宋体" w:eastAsia="宋体" w:cs="宋体"/>
          <w:b/>
          <w:bCs/>
          <w:color w:val="auto"/>
          <w:kern w:val="0"/>
          <w:sz w:val="28"/>
          <w:szCs w:val="28"/>
          <w:lang w:val="en-US" w:eastAsia="zh-CN" w:bidi="ar-SA"/>
        </w:rPr>
      </w:pPr>
      <w:bookmarkStart w:id="69" w:name="_Toc183682364"/>
      <w:bookmarkStart w:id="70" w:name="_Toc183582227"/>
      <w:bookmarkStart w:id="71" w:name="_Toc217446054"/>
      <w:r>
        <w:rPr>
          <w:rFonts w:hint="eastAsia" w:ascii="宋体" w:hAnsi="宋体" w:eastAsia="宋体" w:cs="宋体"/>
          <w:b/>
          <w:bCs/>
          <w:color w:val="auto"/>
          <w:kern w:val="0"/>
          <w:sz w:val="28"/>
          <w:szCs w:val="28"/>
          <w:lang w:val="en-US" w:eastAsia="zh-CN" w:bidi="ar-SA"/>
        </w:rPr>
        <w:t>投标文件的制作和签章、加密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二、投标文件制作详情：</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投标人应按招标文件要求，通过“政采云投标客户端”制作、加密并提交投标文件。</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3、投标人应使用本企业CA数字证书对投标文件进行加密。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政府采购云平台所支持的CA证书及签章：四川CA及金格签章，天威CA（金润版）及金润签章，CFCA及金格签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7、CA技术支持：四川CA：400-0281130；天威CA：(028)86694886、1592864708；CFCA：028-65785326、18033549468。”。</w:t>
      </w:r>
    </w:p>
    <w:p>
      <w:pPr>
        <w:keepNext/>
        <w:keepLines/>
        <w:widowControl w:val="0"/>
        <w:numPr>
          <w:ilvl w:val="2"/>
          <w:numId w:val="4"/>
        </w:numPr>
        <w:spacing w:after="200" w:line="240"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69"/>
      <w:bookmarkEnd w:id="70"/>
      <w:r>
        <w:rPr>
          <w:rFonts w:hint="eastAsia" w:ascii="宋体" w:hAnsi="宋体" w:eastAsia="宋体" w:cs="宋体"/>
          <w:b/>
          <w:bCs/>
          <w:color w:val="auto"/>
          <w:kern w:val="0"/>
          <w:sz w:val="28"/>
          <w:szCs w:val="28"/>
          <w:lang w:val="en-US" w:eastAsia="zh-CN" w:bidi="ar-SA"/>
        </w:rPr>
        <w:t>递交</w:t>
      </w:r>
      <w:bookmarkEnd w:id="71"/>
    </w:p>
    <w:p>
      <w:pPr>
        <w:tabs>
          <w:tab w:val="left" w:pos="0"/>
        </w:tabs>
        <w:spacing w:line="360" w:lineRule="auto"/>
        <w:ind w:firstLine="420" w:firstLineChars="150"/>
        <w:rPr>
          <w:rFonts w:ascii="宋体" w:hAnsi="宋体" w:eastAsia="宋体" w:cs="Times New Roman"/>
          <w:bCs/>
          <w:sz w:val="28"/>
          <w:szCs w:val="28"/>
        </w:rPr>
      </w:pPr>
      <w:bookmarkStart w:id="72" w:name="_Toc316475586"/>
      <w:bookmarkEnd w:id="72"/>
      <w:bookmarkStart w:id="73" w:name="_Toc316475587"/>
      <w:bookmarkEnd w:id="73"/>
      <w:bookmarkStart w:id="74" w:name="_Toc183682365"/>
      <w:bookmarkStart w:id="75" w:name="_Toc217446055"/>
      <w:bookmarkStart w:id="76" w:name="_Toc183582228"/>
      <w:r>
        <w:rPr>
          <w:rFonts w:hint="eastAsia" w:ascii="宋体" w:hAnsi="宋体" w:eastAsia="宋体" w:cs="Times New Roman"/>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二、因招标文件的修改推迟投标截止日期的，投标人按</w:t>
      </w:r>
      <w:r>
        <w:rPr>
          <w:rFonts w:hint="eastAsia" w:ascii="宋体" w:hAnsi="宋体" w:eastAsia="宋体" w:cs="Times New Roman"/>
          <w:bCs/>
          <w:sz w:val="28"/>
          <w:szCs w:val="28"/>
          <w:lang w:eastAsia="zh-CN"/>
        </w:rPr>
        <w:t>区交易中心</w:t>
      </w:r>
      <w:r>
        <w:rPr>
          <w:rFonts w:hint="eastAsia" w:ascii="宋体" w:hAnsi="宋体" w:eastAsia="宋体" w:cs="Times New Roman"/>
          <w:bCs/>
          <w:sz w:val="28"/>
          <w:szCs w:val="28"/>
        </w:rPr>
        <w:t>在“四川政府采购网”和“成都市公共资源交易服务中心”网站上发布的澄清公告中修改的时间递交投标文件。</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三、投标人应充分考虑递交文件的不可预见因素，未在投标截止时间前完成递交的，在投标截止时间后将无法递交。</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74"/>
      <w:bookmarkEnd w:id="75"/>
      <w:bookmarkEnd w:id="76"/>
      <w:r>
        <w:rPr>
          <w:rFonts w:hint="eastAsia" w:ascii="宋体" w:hAnsi="宋体" w:eastAsia="宋体" w:cs="宋体"/>
          <w:b/>
          <w:bCs/>
          <w:color w:val="auto"/>
          <w:kern w:val="0"/>
          <w:sz w:val="28"/>
          <w:szCs w:val="28"/>
          <w:lang w:val="en-US" w:eastAsia="zh-CN" w:bidi="ar-SA"/>
        </w:rPr>
        <w:t>补充、修改</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在投标截止时间之后，投标人不得对其递交的投标文件做任何补充、修改。</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rPr>
      </w:pPr>
      <w:bookmarkStart w:id="77" w:name="_Toc89075878"/>
      <w:bookmarkStart w:id="78" w:name="_Toc217446056"/>
      <w:bookmarkStart w:id="79" w:name="_Toc183582231"/>
      <w:bookmarkStart w:id="80" w:name="_Toc77400782"/>
      <w:bookmarkStart w:id="81" w:name="_Toc183682368"/>
      <w:r>
        <w:rPr>
          <w:rFonts w:hint="eastAsia" w:ascii="宋体" w:hAnsi="宋体" w:eastAsia="宋体" w:cs="Times New Roman"/>
          <w:bCs/>
          <w:sz w:val="28"/>
          <w:szCs w:val="28"/>
        </w:rPr>
        <w:t>在投标截止时间之前，投标人可对已递交的投标文件进行撤回。在投标截止时间之后，投标人不得撤回投标文件。</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投标人</w:t>
      </w:r>
      <w:r>
        <w:rPr>
          <w:rFonts w:hint="eastAsia" w:ascii="宋体" w:hAnsi="宋体" w:eastAsia="宋体" w:cs="Times New Roman"/>
          <w:sz w:val="28"/>
          <w:szCs w:val="28"/>
        </w:rPr>
        <w:t>登录政府采购云平台，点击“项目采购—开标评标”模块，找到对应项目，进入“开标大厅”，等待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开启解密后，进行线上解密。</w:t>
      </w:r>
      <w:r>
        <w:rPr>
          <w:rFonts w:hint="eastAsia" w:ascii="宋体" w:hAnsi="宋体" w:eastAsia="宋体" w:cs="Times New Roman"/>
          <w:bCs/>
          <w:sz w:val="28"/>
          <w:szCs w:val="28"/>
        </w:rPr>
        <w:t>除因</w:t>
      </w:r>
      <w:r>
        <w:rPr>
          <w:rFonts w:hint="eastAsia" w:ascii="宋体" w:hAnsi="宋体" w:eastAsia="宋体" w:cs="Times New Roman"/>
          <w:sz w:val="28"/>
          <w:szCs w:val="28"/>
          <w:lang w:eastAsia="zh-CN"/>
        </w:rPr>
        <w:t>区交易中心</w:t>
      </w:r>
      <w:r>
        <w:rPr>
          <w:rFonts w:hint="eastAsia" w:ascii="宋体" w:hAnsi="宋体" w:eastAsia="宋体" w:cs="Times New Roman"/>
          <w:bCs/>
          <w:sz w:val="28"/>
          <w:szCs w:val="28"/>
        </w:rPr>
        <w:t>断电、断网、系统故障或其他不可抗力等因素，导致系统无法使用外，投标人在规定的解密时间内，未成功解密的投标文件将视为无效投标文件。</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82" w:name="_Toc11040"/>
      <w:r>
        <w:rPr>
          <w:rFonts w:hint="eastAsia" w:ascii="宋体" w:hAnsi="宋体" w:eastAsia="宋体" w:cs="Times New Roman"/>
          <w:b/>
          <w:bCs/>
          <w:sz w:val="28"/>
          <w:szCs w:val="28"/>
        </w:rPr>
        <w:t>开标、资格审查、评标和中标</w:t>
      </w:r>
      <w:bookmarkEnd w:id="77"/>
      <w:bookmarkEnd w:id="78"/>
      <w:bookmarkEnd w:id="79"/>
      <w:bookmarkEnd w:id="80"/>
      <w:bookmarkEnd w:id="81"/>
      <w:bookmarkEnd w:id="8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3" w:name="_Toc183582232"/>
      <w:bookmarkStart w:id="84" w:name="_Toc183682369"/>
      <w:bookmarkStart w:id="85" w:name="_Toc217446057"/>
      <w:r>
        <w:rPr>
          <w:rFonts w:hint="eastAsia" w:ascii="宋体" w:hAnsi="宋体" w:eastAsia="宋体" w:cs="Times New Roman"/>
          <w:b/>
          <w:bCs/>
          <w:sz w:val="28"/>
          <w:szCs w:val="28"/>
        </w:rPr>
        <w:t>开标</w:t>
      </w:r>
      <w:bookmarkEnd w:id="83"/>
      <w:bookmarkEnd w:id="84"/>
      <w:bookmarkEnd w:id="85"/>
      <w:r>
        <w:rPr>
          <w:rFonts w:hint="eastAsia" w:ascii="宋体" w:hAnsi="宋体" w:eastAsia="宋体" w:cs="Times New Roman"/>
          <w:b/>
          <w:bCs/>
          <w:sz w:val="28"/>
          <w:szCs w:val="28"/>
        </w:rPr>
        <w:t>及开标程序</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本项目为不见面开标项目。递交投标文件的投标人不足3家的，不予开标。</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投标人对开标过程和开标记录有疑义，以及认为采购人、区交易中心相关工作人员有需要回避的情形的，及时向工作人员提出询问或者回避申请。采购人、区交易中心对投标人提出的询问或者回避申请应当及时处理。</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hint="eastAsia" w:ascii="宋体" w:hAnsi="宋体" w:eastAsia="宋体" w:cs="宋体"/>
          <w:b/>
          <w:kern w:val="2"/>
          <w:sz w:val="28"/>
          <w:szCs w:val="28"/>
          <w:lang w:val="en-US" w:eastAsia="zh-CN" w:bidi="ar-SA"/>
        </w:rPr>
        <w:t>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政府采购云平台运行基本环境要求：电脑应安装并顺利运行64位win7以上操作系统，谷歌浏览器；正确的CA及签章驱动等；能流畅访问互联网。</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不见面开标过程中，各方主体均应遵守互联网有关规定，不得发表与交易活动无关的言论。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资格审查</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详见招标文件第5章。</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评标</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详见招标文件第6章。</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6" w:name="_Toc183582238"/>
      <w:bookmarkStart w:id="87" w:name="_Toc183682375"/>
      <w:bookmarkStart w:id="88" w:name="_Toc217446063"/>
      <w:r>
        <w:rPr>
          <w:rFonts w:hint="eastAsia" w:ascii="宋体" w:hAnsi="宋体" w:eastAsia="宋体" w:cs="Times New Roman"/>
          <w:b/>
          <w:bCs/>
          <w:sz w:val="28"/>
          <w:szCs w:val="28"/>
        </w:rPr>
        <w:t>中标通知</w:t>
      </w:r>
      <w:bookmarkEnd w:id="86"/>
      <w:bookmarkEnd w:id="87"/>
      <w:r>
        <w:rPr>
          <w:rFonts w:hint="eastAsia" w:ascii="宋体" w:hAnsi="宋体" w:eastAsia="宋体" w:cs="Times New Roman"/>
          <w:b/>
          <w:bCs/>
          <w:sz w:val="28"/>
          <w:szCs w:val="28"/>
        </w:rPr>
        <w:t>书</w:t>
      </w:r>
      <w:bookmarkEnd w:id="88"/>
    </w:p>
    <w:p>
      <w:pPr>
        <w:spacing w:line="580" w:lineRule="exact"/>
        <w:ind w:right="210" w:firstLine="560" w:firstLineChars="200"/>
        <w:rPr>
          <w:rFonts w:ascii="宋体" w:hAnsi="宋体" w:eastAsia="宋体" w:cs="Times New Roman"/>
          <w:sz w:val="28"/>
          <w:szCs w:val="28"/>
        </w:rPr>
      </w:pPr>
      <w:bookmarkStart w:id="89" w:name="_Toc217446064"/>
      <w:bookmarkStart w:id="90" w:name="_Toc183582240"/>
      <w:bookmarkStart w:id="91" w:name="_Toc183682377"/>
      <w:r>
        <w:rPr>
          <w:rFonts w:hint="eastAsia" w:ascii="宋体" w:hAnsi="宋体" w:eastAsia="宋体" w:cs="Times New Roman"/>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三、中标公告在四川政府采购网上公告后，中标供应商自行登录政府</w:t>
      </w:r>
      <w:r>
        <w:rPr>
          <w:rFonts w:ascii="宋体" w:hAnsi="宋体" w:eastAsia="宋体" w:cs="Times New Roman"/>
          <w:sz w:val="28"/>
          <w:szCs w:val="28"/>
        </w:rPr>
        <w:t>采购</w:t>
      </w:r>
      <w:r>
        <w:rPr>
          <w:rFonts w:hint="eastAsia" w:ascii="宋体" w:hAnsi="宋体" w:eastAsia="宋体" w:cs="Times New Roman"/>
          <w:sz w:val="28"/>
          <w:szCs w:val="28"/>
        </w:rPr>
        <w:t>云平台下载中标通知书。</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92" w:name="_Toc18718"/>
      <w:r>
        <w:rPr>
          <w:rFonts w:hint="eastAsia" w:ascii="宋体" w:hAnsi="宋体" w:eastAsia="宋体" w:cs="Times New Roman"/>
          <w:b/>
          <w:bCs/>
          <w:sz w:val="28"/>
          <w:szCs w:val="28"/>
        </w:rPr>
        <w:t>签订及履行合同和验收</w:t>
      </w:r>
      <w:bookmarkEnd w:id="89"/>
      <w:bookmarkEnd w:id="9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3" w:name="_Toc217446065"/>
      <w:r>
        <w:rPr>
          <w:rFonts w:hint="eastAsia" w:ascii="宋体" w:hAnsi="宋体" w:eastAsia="宋体" w:cs="Times New Roman"/>
          <w:b/>
          <w:bCs/>
          <w:sz w:val="28"/>
          <w:szCs w:val="28"/>
        </w:rPr>
        <w:t>签订合同</w:t>
      </w:r>
      <w:bookmarkEnd w:id="93"/>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四、询问或者质疑事项可能影响中标、成交结果的，采购人应当暂停签订合同，已经签订合同的，应当中止履行合同。</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94" w:name="_Toc315871033"/>
      <w:bookmarkEnd w:id="94"/>
      <w:bookmarkStart w:id="95" w:name="_Toc217446066"/>
      <w:r>
        <w:rPr>
          <w:rFonts w:hint="eastAsia" w:ascii="宋体" w:hAnsi="宋体" w:eastAsia="宋体" w:cs="Times New Roman"/>
          <w:b/>
          <w:bCs/>
          <w:sz w:val="28"/>
          <w:szCs w:val="28"/>
        </w:rPr>
        <w:t>合同分包</w:t>
      </w:r>
      <w:bookmarkEnd w:id="95"/>
      <w:r>
        <w:rPr>
          <w:rFonts w:hint="eastAsia" w:ascii="宋体" w:hAnsi="宋体" w:eastAsia="宋体" w:cs="Times New Roman"/>
          <w:b/>
          <w:bCs/>
          <w:sz w:val="28"/>
          <w:szCs w:val="28"/>
        </w:rPr>
        <w:t>和转包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合同转包</w:t>
      </w:r>
    </w:p>
    <w:p>
      <w:pPr>
        <w:spacing w:line="360" w:lineRule="auto"/>
        <w:ind w:firstLine="560" w:firstLineChars="200"/>
        <w:rPr>
          <w:rFonts w:ascii="宋体" w:hAnsi="宋体" w:eastAsia="宋体" w:cs="宋体"/>
          <w:sz w:val="28"/>
          <w:szCs w:val="28"/>
        </w:rPr>
      </w:pPr>
      <w:r>
        <w:rPr>
          <w:rFonts w:hint="eastAsia" w:ascii="宋体" w:hAnsi="宋体" w:eastAsia="宋体" w:cs="Times New Roman"/>
          <w:sz w:val="28"/>
          <w:szCs w:val="28"/>
        </w:rPr>
        <w:t>一、严禁中标供应商将本项目转包。本项目所称转包，是指</w:t>
      </w:r>
      <w:r>
        <w:rPr>
          <w:rFonts w:hint="eastAsia" w:ascii="宋体" w:hAnsi="宋体" w:eastAsia="宋体" w:cs="宋体"/>
          <w:sz w:val="28"/>
          <w:szCs w:val="28"/>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二、中标供应商转包的，视同拒绝履行政府采购合同，将依法追究法律责任。</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bookmarkStart w:id="96" w:name="_Toc217446067"/>
      <w:r>
        <w:rPr>
          <w:rFonts w:hint="eastAsia" w:ascii="宋体" w:hAnsi="宋体" w:eastAsia="宋体" w:cs="Times New Roman"/>
          <w:b/>
          <w:bCs/>
          <w:sz w:val="28"/>
          <w:szCs w:val="28"/>
        </w:rPr>
        <w:t>采购人增加合同标的的权</w:t>
      </w:r>
      <w:bookmarkEnd w:id="96"/>
      <w:r>
        <w:rPr>
          <w:rFonts w:hint="eastAsia" w:ascii="宋体" w:hAnsi="宋体" w:eastAsia="宋体" w:cs="Times New Roman"/>
          <w:b/>
          <w:bCs/>
          <w:sz w:val="28"/>
          <w:szCs w:val="28"/>
        </w:rPr>
        <w:t>利</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7" w:name="_Toc217446068"/>
      <w:r>
        <w:rPr>
          <w:rFonts w:hint="eastAsia" w:ascii="宋体" w:hAnsi="宋体" w:eastAsia="宋体" w:cs="Times New Roman"/>
          <w:b/>
          <w:bCs/>
          <w:sz w:val="28"/>
          <w:szCs w:val="28"/>
        </w:rPr>
        <w:t>履约保证金</w:t>
      </w:r>
      <w:bookmarkEnd w:id="97"/>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本项目不收取履约保证金。</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8" w:name="_Toc217446069"/>
      <w:r>
        <w:rPr>
          <w:rFonts w:hint="eastAsia" w:ascii="宋体" w:hAnsi="宋体" w:eastAsia="宋体" w:cs="Times New Roman"/>
          <w:b/>
          <w:bCs/>
          <w:sz w:val="28"/>
          <w:szCs w:val="28"/>
        </w:rPr>
        <w:t>合同公告</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采购人应当自政府采购合同签订之日起2个工作日内，在四川政府采购网公告，但政府采购合同中涉及国家秘密、商业秘密的内容除外。</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合同备案</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疫情防控期间，采购人原则上在5个工作日内与供应商签订政府采购合同及按</w:t>
      </w:r>
      <w:r>
        <w:rPr>
          <w:rFonts w:hint="eastAsia" w:ascii="宋体" w:hAnsi="宋体" w:eastAsia="宋体" w:cs="Times New Roman"/>
          <w:sz w:val="28"/>
          <w:szCs w:val="28"/>
          <w:lang w:eastAsia="zh-CN"/>
        </w:rPr>
        <w:t>成都市新都区财政局</w:t>
      </w:r>
      <w:r>
        <w:rPr>
          <w:rFonts w:hint="eastAsia" w:ascii="宋体" w:hAnsi="宋体" w:eastAsia="宋体" w:cs="Times New Roman"/>
          <w:sz w:val="28"/>
          <w:szCs w:val="28"/>
        </w:rPr>
        <w:t>的要求完成合同备案工作。</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履行合同</w:t>
      </w:r>
      <w:bookmarkEnd w:id="98"/>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二、在合同履行过程中，如发生合同纠纷，合同双方应按照《中华人民共和国民法典》及合同条款的有关规定进行处理。</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9" w:name="_Toc217446070"/>
      <w:r>
        <w:rPr>
          <w:rFonts w:hint="eastAsia" w:ascii="宋体" w:hAnsi="宋体" w:eastAsia="宋体" w:cs="Times New Roman"/>
          <w:b/>
          <w:bCs/>
          <w:sz w:val="28"/>
          <w:szCs w:val="28"/>
        </w:rPr>
        <w:t>验收</w:t>
      </w:r>
      <w:bookmarkEnd w:id="99"/>
      <w:r>
        <w:rPr>
          <w:rFonts w:hint="eastAsia" w:ascii="宋体" w:hAnsi="宋体" w:eastAsia="宋体" w:cs="Times New Roman"/>
          <w:b/>
          <w:bCs/>
          <w:sz w:val="28"/>
          <w:szCs w:val="28"/>
        </w:rPr>
        <w:t>或考核</w:t>
      </w:r>
    </w:p>
    <w:bookmarkEnd w:id="90"/>
    <w:bookmarkEnd w:id="91"/>
    <w:p>
      <w:pPr>
        <w:spacing w:line="360" w:lineRule="auto"/>
        <w:ind w:firstLine="560" w:firstLineChars="200"/>
        <w:rPr>
          <w:rFonts w:ascii="宋体" w:hAnsi="宋体" w:eastAsia="宋体" w:cs="Times New Roman"/>
          <w:sz w:val="28"/>
          <w:szCs w:val="28"/>
        </w:rPr>
      </w:pPr>
      <w:bookmarkStart w:id="100" w:name="_Toc217446074"/>
      <w:bookmarkStart w:id="101" w:name="_Toc183682380"/>
      <w:bookmarkStart w:id="102" w:name="_Toc183582243"/>
      <w:r>
        <w:rPr>
          <w:rFonts w:hint="eastAsia" w:ascii="宋体" w:hAnsi="宋体" w:eastAsia="宋体" w:cs="Times New Roman"/>
          <w:sz w:val="28"/>
          <w:szCs w:val="28"/>
        </w:rPr>
        <w:t>采购人严格按照国家相关法律法规的要求组织验收或考核。</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资金支付</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采购人按财政部门的相关规定及采购合同的约定进行支付。</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3" w:name="_Toc30839"/>
      <w:r>
        <w:rPr>
          <w:rFonts w:hint="eastAsia" w:ascii="宋体" w:hAnsi="宋体" w:eastAsia="宋体" w:cs="Times New Roman"/>
          <w:b/>
          <w:bCs/>
          <w:sz w:val="28"/>
          <w:szCs w:val="28"/>
        </w:rPr>
        <w:t>投标纪律要求</w:t>
      </w:r>
      <w:bookmarkEnd w:id="100"/>
      <w:bookmarkEnd w:id="103"/>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4" w:name="_Toc217446075"/>
      <w:r>
        <w:rPr>
          <w:rFonts w:hint="eastAsia" w:ascii="宋体" w:hAnsi="宋体" w:eastAsia="宋体" w:cs="Times New Roman"/>
          <w:b/>
          <w:bCs/>
          <w:sz w:val="28"/>
          <w:szCs w:val="28"/>
        </w:rPr>
        <w:t>投标人不得具有的情形</w:t>
      </w:r>
      <w:bookmarkEnd w:id="104"/>
    </w:p>
    <w:p>
      <w:pPr>
        <w:spacing w:after="180" w:line="360" w:lineRule="auto"/>
        <w:ind w:firstLine="567"/>
        <w:rPr>
          <w:rFonts w:ascii="宋体" w:hAnsi="宋体" w:eastAsia="宋体" w:cs="Times New Roman"/>
          <w:sz w:val="28"/>
          <w:szCs w:val="28"/>
        </w:rPr>
      </w:pPr>
      <w:r>
        <w:rPr>
          <w:rFonts w:hint="eastAsia" w:ascii="宋体" w:hAnsi="宋体" w:eastAsia="宋体" w:cs="Times New Roman"/>
          <w:sz w:val="28"/>
          <w:szCs w:val="28"/>
        </w:rPr>
        <w:t>投标人参加投标不得有下列情形：</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有下列情形之一的，视为投标人串通投标：</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（一）不同投标人的投标文件由同一单位或者个人编制；</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（二）不同投标人委托同一单位或者个人办理投标事宜；</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（五）不同投标人的投标文件相互混装；</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（六）不同投标人的投标保证金从同一单位或者个人的账户转出；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提供虚假材料谋取中标；</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采取不正当手段诋毁、排挤其他投标人；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、其他投标人恶意串通；</w:t>
      </w:r>
    </w:p>
    <w:p>
      <w:pPr>
        <w:numPr>
          <w:ilvl w:val="1"/>
          <w:numId w:val="26"/>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、评标委员会成员行贿或者提供其他不正当利益；</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在招标过程中与采购人或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进行协商谈判；</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中标后无正当理由拒不与采购人签订政府采购合同；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未按照采购文件确定的事项签订政府采购合同；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将政府采购合同转包或者违规分包；</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提供假冒伪劣产品；</w:t>
      </w:r>
    </w:p>
    <w:p>
      <w:pPr>
        <w:numPr>
          <w:ilvl w:val="1"/>
          <w:numId w:val="26"/>
        </w:numPr>
        <w:tabs>
          <w:tab w:val="left" w:pos="1134"/>
          <w:tab w:val="left" w:pos="1418"/>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擅自变更、中止或者终止政府采购合同；</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十四、处于被行政部门禁止参与政府采购活动的期限内；</w:t>
      </w:r>
    </w:p>
    <w:p>
      <w:pPr>
        <w:tabs>
          <w:tab w:val="left" w:pos="1134"/>
        </w:tabs>
        <w:spacing w:line="360" w:lineRule="auto"/>
        <w:ind w:left="567"/>
        <w:rPr>
          <w:rFonts w:ascii="宋体" w:hAnsi="宋体" w:eastAsia="宋体" w:cs="Times New Roman"/>
          <w:sz w:val="28"/>
          <w:szCs w:val="28"/>
        </w:rPr>
      </w:pPr>
      <w:r>
        <w:rPr>
          <w:rFonts w:hint="eastAsia" w:ascii="宋体" w:hAnsi="宋体" w:eastAsia="宋体" w:cs="Times New Roman"/>
          <w:sz w:val="28"/>
          <w:szCs w:val="28"/>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十六、法律法规规定的其他情形。</w:t>
      </w: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5" w:name="_Toc314574786"/>
      <w:r>
        <w:rPr>
          <w:rFonts w:hint="eastAsia" w:ascii="宋体" w:hAnsi="宋体" w:eastAsia="宋体" w:cs="Times New Roman"/>
          <w:b/>
          <w:bCs/>
          <w:sz w:val="28"/>
          <w:szCs w:val="28"/>
        </w:rPr>
        <w:t>保密</w:t>
      </w:r>
      <w:bookmarkEnd w:id="105"/>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不得透露有关在系统中成功提交《采购文件获取登记表》的潜在投标人的任何情况。</w:t>
      </w:r>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有关投标文件的审查、澄清、评估和比较以及合同授予意向等情况都不得对外透露。</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在政府采购活动中，采购人员（如采购人内部负责采购项目的具体经办工作人员或直接分管采购项目的负责人、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（一）参加采购活动前3年内与供应商存在劳动关系；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（二）参加采购活动前3年内担任供应商的董事、监事；</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6" w:name="_Toc26525"/>
      <w:bookmarkStart w:id="107" w:name="_Toc217446078"/>
      <w:r>
        <w:rPr>
          <w:rFonts w:hint="eastAsia" w:ascii="宋体" w:hAnsi="宋体" w:eastAsia="宋体" w:cs="Times New Roman"/>
          <w:b/>
          <w:bCs/>
          <w:sz w:val="28"/>
          <w:szCs w:val="28"/>
        </w:rPr>
        <w:t>询问、质疑和投诉</w:t>
      </w:r>
      <w:bookmarkEnd w:id="106"/>
      <w:bookmarkEnd w:id="107"/>
      <w:bookmarkStart w:id="108" w:name="_Toc217446079"/>
    </w:p>
    <w:bookmarkEnd w:id="101"/>
    <w:bookmarkEnd w:id="102"/>
    <w:bookmarkEnd w:id="108"/>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rPr>
        <w:t>87</w:t>
      </w:r>
      <w:r>
        <w:rPr>
          <w:rFonts w:hint="eastAsia" w:ascii="Calibri" w:hAnsi="Calibri" w:eastAsia="宋体" w:cs="Times New Roman"/>
          <w:sz w:val="28"/>
          <w:szCs w:val="28"/>
        </w:rPr>
        <w:t>号令）和《政府采购质疑和投诉办法》（财政部</w:t>
      </w:r>
      <w:r>
        <w:rPr>
          <w:rFonts w:ascii="Calibri" w:hAnsi="Calibri" w:eastAsia="宋体" w:cs="Times New Roman"/>
          <w:sz w:val="28"/>
          <w:szCs w:val="28"/>
        </w:rPr>
        <w:t>94</w:t>
      </w:r>
      <w:r>
        <w:rPr>
          <w:rFonts w:hint="eastAsia" w:ascii="Calibri" w:hAnsi="Calibri" w:eastAsia="宋体" w:cs="Times New Roman"/>
          <w:sz w:val="28"/>
          <w:szCs w:val="28"/>
        </w:rPr>
        <w:t>号令）的规定办理。</w:t>
      </w:r>
    </w:p>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询问、质疑的对象</w:t>
      </w:r>
    </w:p>
    <w:p>
      <w:pPr>
        <w:numPr>
          <w:ilvl w:val="1"/>
          <w:numId w:val="29"/>
        </w:numPr>
        <w:tabs>
          <w:tab w:val="left" w:pos="0"/>
          <w:tab w:val="left" w:pos="1276"/>
        </w:tabs>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对招标文件中</w:t>
      </w:r>
      <w:r>
        <w:rPr>
          <w:rFonts w:hint="eastAsia" w:ascii="Calibri" w:hAnsi="Calibri" w:eastAsia="宋体" w:cs="Times New Roman"/>
          <w:sz w:val="28"/>
          <w:szCs w:val="28"/>
        </w:rPr>
        <w:t>供应商</w:t>
      </w:r>
      <w:r>
        <w:rPr>
          <w:rFonts w:hint="eastAsia" w:ascii="宋体" w:hAnsi="宋体" w:eastAsia="宋体" w:cs="Times New Roman"/>
          <w:sz w:val="28"/>
          <w:szCs w:val="28"/>
        </w:rPr>
        <w:t>参加本次政府采购活动应当具备的条件，招标项目技术、服务、商务及其他要求，评标细则及标准，和中标结果中关于资格审查提出询问或质疑的，向采购人提出；</w:t>
      </w:r>
    </w:p>
    <w:p>
      <w:pPr>
        <w:numPr>
          <w:ilvl w:val="1"/>
          <w:numId w:val="29"/>
        </w:numPr>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供应商对除上述招标文件中的其他内容，采购过程及中标结果（除资格审查）提出询问或质疑的，向</w:t>
      </w:r>
      <w:r>
        <w:rPr>
          <w:rFonts w:hint="eastAsia" w:ascii="Calibri" w:hAnsi="Calibri" w:eastAsia="宋体" w:cs="Times New Roman"/>
          <w:sz w:val="28"/>
          <w:szCs w:val="28"/>
          <w:lang w:eastAsia="zh-CN"/>
        </w:rPr>
        <w:t>区交易中心</w:t>
      </w:r>
      <w:r>
        <w:rPr>
          <w:rFonts w:hint="eastAsia" w:ascii="Calibri" w:hAnsi="Calibri" w:eastAsia="宋体" w:cs="Times New Roman"/>
          <w:sz w:val="28"/>
          <w:szCs w:val="28"/>
        </w:rPr>
        <w:t>提出</w:t>
      </w:r>
      <w:r>
        <w:rPr>
          <w:rFonts w:hint="eastAsia" w:ascii="宋体" w:hAnsi="宋体" w:eastAsia="宋体" w:cs="Times New Roman"/>
          <w:sz w:val="28"/>
          <w:szCs w:val="28"/>
        </w:rPr>
        <w:t>。</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供应商提出的询问，应当明确询问事项，如以书面形式提出的，应由供应商签字并加盖公章。</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供应商应在法定质疑期内一次性提出针对同一采购程序环节的质疑。</w:t>
      </w:r>
    </w:p>
    <w:p>
      <w:pPr>
        <w:numPr>
          <w:ilvl w:val="0"/>
          <w:numId w:val="28"/>
        </w:numPr>
        <w:tabs>
          <w:tab w:val="left" w:pos="1134"/>
        </w:tabs>
        <w:spacing w:after="120" w:line="500" w:lineRule="exact"/>
        <w:ind w:left="0" w:firstLine="567"/>
        <w:rPr>
          <w:rFonts w:hint="eastAsia" w:ascii="宋体" w:hAnsi="宋体" w:eastAsia="宋体" w:cs="Times New Roman"/>
          <w:sz w:val="28"/>
          <w:szCs w:val="28"/>
        </w:rPr>
      </w:pPr>
      <w:r>
        <w:rPr>
          <w:rFonts w:hint="eastAsia" w:ascii="宋体" w:hAnsi="宋体" w:eastAsia="宋体" w:cs="Times New Roman"/>
          <w:sz w:val="28"/>
          <w:szCs w:val="28"/>
        </w:rPr>
        <w:t>供应商可通过“政府采购云平台”，或现场向采购人或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提交质疑资料。</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供应商提出质疑时应当准备的资料</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（一）质疑书正本1份；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（二）法定代表人或主要负责人授权委托书1份（委托代理人办理质疑事宜的需提供）；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（三）营业执照或法人证书复印件1份（加盖公章）；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w:t>
      </w:r>
      <w:r>
        <w:rPr>
          <w:rFonts w:hint="eastAsia" w:ascii="宋体" w:hAnsi="宋体" w:eastAsia="宋体" w:cs="Times New Roman"/>
          <w:sz w:val="28"/>
          <w:szCs w:val="28"/>
          <w:lang w:eastAsia="zh-CN"/>
        </w:rPr>
        <w:t>法定代表人或主要负责人</w:t>
      </w:r>
      <w:r>
        <w:rPr>
          <w:rFonts w:hint="eastAsia" w:ascii="宋体" w:hAnsi="宋体" w:eastAsia="宋体" w:cs="Times New Roman"/>
          <w:sz w:val="28"/>
          <w:szCs w:val="28"/>
        </w:rPr>
        <w:t>身份证复印件1份；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（六）针对质疑事项必要的证明材料。</w:t>
      </w:r>
    </w:p>
    <w:p>
      <w:pPr>
        <w:numPr>
          <w:ilvl w:val="0"/>
          <w:numId w:val="28"/>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供应商对采购人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的质疑答复不满意，或者采购人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未在规定期限内作出答复的，供应商可以在答复期满后15个工作日内向同级财政部门提起投诉。</w:t>
      </w:r>
    </w:p>
    <w:p>
      <w:pPr>
        <w:keepNext/>
        <w:keepLines/>
        <w:numPr>
          <w:ilvl w:val="1"/>
          <w:numId w:val="4"/>
        </w:numPr>
        <w:spacing w:before="260" w:line="360" w:lineRule="auto"/>
        <w:ind w:left="567" w:hanging="567"/>
        <w:jc w:val="left"/>
        <w:outlineLvl w:val="1"/>
        <w:rPr>
          <w:rFonts w:ascii="宋体" w:hAnsi="宋体" w:eastAsia="宋体" w:cs="Times New Roman"/>
          <w:b/>
          <w:bCs/>
          <w:sz w:val="28"/>
          <w:szCs w:val="28"/>
        </w:rPr>
      </w:pPr>
      <w:bookmarkStart w:id="109" w:name="_Toc5893"/>
      <w:r>
        <w:rPr>
          <w:rFonts w:hint="eastAsia" w:ascii="宋体" w:hAnsi="宋体" w:eastAsia="宋体" w:cs="Times New Roman"/>
          <w:b/>
          <w:bCs/>
          <w:sz w:val="28"/>
          <w:szCs w:val="28"/>
        </w:rPr>
        <w:t>中小企业政府采购信用融资</w:t>
      </w:r>
      <w:bookmarkEnd w:id="109"/>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参与本次招标活动中标的中小企业投标人无需提供财产抵押或第三方担保，凭借政府采购合同可向融资机构申请融资。</w:t>
      </w:r>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见附件。</w:t>
      </w: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rPr>
          <w:rFonts w:ascii="宋体" w:hAnsi="宋体" w:eastAsia="宋体" w:cs="Times New Roman"/>
          <w:b/>
          <w:bCs/>
          <w:spacing w:val="-20"/>
          <w:kern w:val="44"/>
          <w:sz w:val="32"/>
          <w:szCs w:val="32"/>
        </w:rPr>
      </w:pPr>
      <w:bookmarkStart w:id="110" w:name="_Toc315871048"/>
      <w:bookmarkEnd w:id="110"/>
      <w:bookmarkStart w:id="111" w:name="_Toc315871049"/>
      <w:bookmarkEnd w:id="111"/>
      <w:bookmarkStart w:id="112" w:name="_Toc315871047"/>
      <w:bookmarkEnd w:id="112"/>
      <w:bookmarkStart w:id="113" w:name="_Toc316292050"/>
      <w:bookmarkEnd w:id="113"/>
      <w:bookmarkStart w:id="114" w:name="_Toc315871046"/>
      <w:bookmarkEnd w:id="114"/>
      <w:bookmarkStart w:id="115" w:name="_Toc316292048"/>
      <w:bookmarkEnd w:id="115"/>
      <w:bookmarkStart w:id="116" w:name="_Toc316292049"/>
      <w:bookmarkEnd w:id="116"/>
      <w:bookmarkStart w:id="117" w:name="_Toc315871050"/>
      <w:bookmarkEnd w:id="117"/>
      <w:bookmarkStart w:id="118" w:name="_Toc315871045"/>
      <w:bookmarkEnd w:id="118"/>
      <w:bookmarkStart w:id="119" w:name="_Toc316292052"/>
      <w:bookmarkEnd w:id="119"/>
      <w:bookmarkStart w:id="120" w:name="_Toc316292051"/>
      <w:bookmarkEnd w:id="120"/>
      <w:r>
        <w:rPr>
          <w:rFonts w:hint="eastAsia" w:ascii="宋体" w:hAnsi="宋体" w:eastAsia="宋体" w:cs="Times New Roman"/>
          <w:b/>
          <w:bCs/>
          <w:spacing w:val="-20"/>
          <w:kern w:val="44"/>
          <w:sz w:val="32"/>
          <w:szCs w:val="3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21" w:name="_Toc29939"/>
      <w:r>
        <w:rPr>
          <w:rFonts w:hint="eastAsia" w:ascii="宋体" w:hAnsi="宋体" w:eastAsia="宋体" w:cs="Times New Roman"/>
          <w:b/>
          <w:bCs/>
          <w:spacing w:val="-20"/>
          <w:kern w:val="44"/>
          <w:sz w:val="32"/>
          <w:szCs w:val="32"/>
        </w:rPr>
        <w:t>投标文件格式</w:t>
      </w:r>
      <w:bookmarkEnd w:id="121"/>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2" w:name="_Toc11947"/>
      <w:r>
        <w:rPr>
          <w:rFonts w:hint="eastAsia" w:ascii="宋体" w:hAnsi="宋体" w:eastAsia="宋体" w:cs="Times New Roman"/>
          <w:b/>
          <w:bCs/>
          <w:sz w:val="28"/>
          <w:szCs w:val="28"/>
        </w:rPr>
        <w:t>投标文件封面格式</w:t>
      </w:r>
      <w:bookmarkEnd w:id="122"/>
    </w:p>
    <w:p>
      <w:pPr>
        <w:spacing w:line="360" w:lineRule="auto"/>
        <w:rPr>
          <w:rFonts w:ascii="宋体" w:hAnsi="宋体" w:eastAsia="宋体" w:cs="Times New Roman"/>
          <w:bCs/>
          <w:szCs w:val="21"/>
        </w:rPr>
      </w:pPr>
    </w:p>
    <w:p>
      <w:pPr>
        <w:spacing w:line="360" w:lineRule="auto"/>
        <w:rPr>
          <w:rFonts w:ascii="宋体" w:hAnsi="宋体" w:eastAsia="宋体" w:cs="Times New Roman"/>
          <w:bCs/>
          <w:szCs w:val="21"/>
        </w:rPr>
      </w:pPr>
    </w:p>
    <w:p>
      <w:pPr>
        <w:spacing w:line="360" w:lineRule="auto"/>
        <w:jc w:val="right"/>
        <w:rPr>
          <w:rFonts w:ascii="宋体" w:hAnsi="宋体" w:eastAsia="宋体" w:cs="Times New Roman"/>
          <w:szCs w:val="22"/>
        </w:rPr>
      </w:pPr>
    </w:p>
    <w:p>
      <w:pPr>
        <w:spacing w:line="360" w:lineRule="auto"/>
        <w:jc w:val="center"/>
        <w:rPr>
          <w:rFonts w:ascii="宋体" w:hAnsi="宋体" w:eastAsia="宋体" w:cs="Times New Roman"/>
          <w:spacing w:val="78"/>
          <w:sz w:val="96"/>
          <w:szCs w:val="120"/>
        </w:rPr>
      </w:pPr>
      <w:r>
        <w:rPr>
          <w:rFonts w:hint="eastAsia" w:ascii="宋体" w:hAnsi="宋体" w:eastAsia="宋体" w:cs="Times New Roman"/>
          <w:spacing w:val="78"/>
          <w:sz w:val="96"/>
          <w:szCs w:val="120"/>
        </w:rPr>
        <w:t>投标文件</w:t>
      </w:r>
    </w:p>
    <w:p>
      <w:pPr>
        <w:spacing w:line="360" w:lineRule="auto"/>
        <w:jc w:val="center"/>
        <w:rPr>
          <w:rFonts w:ascii="宋体" w:hAnsi="宋体" w:eastAsia="宋体" w:cs="Times New Roman"/>
          <w:bCs/>
          <w:sz w:val="36"/>
          <w:szCs w:val="22"/>
        </w:rPr>
      </w:pPr>
    </w:p>
    <w:p>
      <w:pPr>
        <w:spacing w:line="360" w:lineRule="auto"/>
        <w:jc w:val="center"/>
        <w:rPr>
          <w:rFonts w:ascii="宋体" w:hAnsi="宋体" w:eastAsia="宋体" w:cs="Times New Roman"/>
          <w:bCs/>
          <w:sz w:val="36"/>
          <w:szCs w:val="22"/>
        </w:rPr>
      </w:pPr>
    </w:p>
    <w:p>
      <w:pPr>
        <w:spacing w:line="360" w:lineRule="auto"/>
        <w:ind w:left="1751" w:hanging="1751" w:hangingChars="545"/>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项目名称：</w:t>
      </w:r>
      <w:r>
        <w:rPr>
          <w:rFonts w:hint="eastAsia" w:ascii="宋体" w:hAnsi="宋体" w:eastAsia="宋体" w:cs="Times New Roman"/>
          <w:b/>
          <w:bCs/>
          <w:sz w:val="32"/>
          <w:szCs w:val="32"/>
          <w:lang w:eastAsia="zh-CN"/>
        </w:rPr>
        <w:t>成都市新都区第三人民医院门诊楼物业管理服务采购项目</w:t>
      </w:r>
    </w:p>
    <w:p>
      <w:pPr>
        <w:spacing w:line="360" w:lineRule="auto"/>
        <w:rPr>
          <w:rFonts w:hint="eastAsia" w:ascii="宋体" w:hAnsi="宋体" w:eastAsia="宋体" w:cs="Times New Roman"/>
          <w:b/>
          <w:sz w:val="32"/>
          <w:szCs w:val="32"/>
          <w:u w:val="single"/>
          <w:lang w:eastAsia="zh-CN"/>
        </w:rPr>
      </w:pPr>
      <w:r>
        <w:rPr>
          <w:rFonts w:hint="eastAsia" w:ascii="宋体" w:hAnsi="宋体" w:eastAsia="宋体" w:cs="Times New Roman"/>
          <w:b/>
          <w:bCs/>
          <w:sz w:val="32"/>
          <w:szCs w:val="32"/>
        </w:rPr>
        <w:t>项目编号：</w:t>
      </w:r>
      <w:r>
        <w:rPr>
          <w:rFonts w:hint="eastAsia" w:ascii="宋体" w:hAnsi="宋体" w:eastAsia="宋体" w:cs="Times New Roman"/>
          <w:b/>
          <w:bCs/>
          <w:sz w:val="32"/>
          <w:szCs w:val="32"/>
          <w:lang w:eastAsia="zh-CN"/>
        </w:rPr>
        <w:t>新都政采（2021）A0068号</w:t>
      </w: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ind w:firstLine="630" w:firstLineChars="196"/>
        <w:rPr>
          <w:rFonts w:ascii="宋体" w:hAnsi="宋体" w:eastAsia="宋体" w:cs="Times New Roman"/>
          <w:b/>
          <w:bCs/>
          <w:sz w:val="32"/>
          <w:szCs w:val="32"/>
        </w:rPr>
      </w:pPr>
      <w:r>
        <w:rPr>
          <w:rFonts w:hint="eastAsia" w:ascii="宋体" w:hAnsi="宋体" w:eastAsia="宋体" w:cs="Times New Roman"/>
          <w:b/>
          <w:bCs/>
          <w:sz w:val="32"/>
          <w:szCs w:val="32"/>
        </w:rPr>
        <w:t>投标人名称：XXXX</w:t>
      </w:r>
    </w:p>
    <w:p>
      <w:pPr>
        <w:spacing w:line="360" w:lineRule="auto"/>
        <w:ind w:firstLine="569" w:firstLineChars="177"/>
        <w:rPr>
          <w:rFonts w:ascii="宋体" w:hAnsi="宋体" w:eastAsia="宋体" w:cs="Times New Roman"/>
          <w:b/>
          <w:bCs/>
          <w:sz w:val="32"/>
          <w:szCs w:val="32"/>
        </w:rPr>
      </w:pPr>
      <w:r>
        <w:rPr>
          <w:rFonts w:hint="eastAsia" w:ascii="宋体" w:hAnsi="宋体" w:eastAsia="宋体" w:cs="Times New Roman"/>
          <w:b/>
          <w:bCs/>
          <w:sz w:val="32"/>
          <w:szCs w:val="32"/>
        </w:rPr>
        <w:t>日       期：202X年XX月XX日</w:t>
      </w: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3" w:name="_Toc32562"/>
      <w:r>
        <w:rPr>
          <w:rFonts w:hint="eastAsia" w:ascii="宋体" w:hAnsi="宋体" w:eastAsia="宋体" w:cs="Times New Roman"/>
          <w:b/>
          <w:bCs/>
          <w:sz w:val="28"/>
          <w:szCs w:val="28"/>
        </w:rPr>
        <w:t>资格响应文件</w:t>
      </w:r>
      <w:bookmarkEnd w:id="12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关于投标人资格申明的函</w:t>
      </w:r>
    </w:p>
    <w:p>
      <w:pPr>
        <w:spacing w:line="360" w:lineRule="auto"/>
        <w:rPr>
          <w:rFonts w:hint="eastAsia" w:ascii="宋体" w:hAnsi="宋体" w:eastAsia="宋体" w:cs="Times New Roman"/>
          <w:sz w:val="28"/>
          <w:szCs w:val="28"/>
          <w:lang w:eastAsia="zh-CN"/>
        </w:rPr>
      </w:pPr>
      <w:bookmarkStart w:id="124" w:name="_Toc238581782"/>
      <w:bookmarkStart w:id="125" w:name="_Toc119295087"/>
      <w:bookmarkStart w:id="126" w:name="_Toc119296788"/>
      <w:bookmarkStart w:id="127" w:name="_Toc52184753"/>
      <w:bookmarkStart w:id="128" w:name="_Toc146903609"/>
      <w:bookmarkStart w:id="129" w:name="_Toc119203988"/>
      <w:r>
        <w:rPr>
          <w:rFonts w:hint="eastAsia" w:ascii="宋体" w:hAnsi="宋体" w:eastAsia="宋体" w:cs="Times New Roman"/>
          <w:sz w:val="28"/>
          <w:szCs w:val="28"/>
        </w:rPr>
        <w:t>致：</w:t>
      </w:r>
      <w:bookmarkEnd w:id="124"/>
      <w:r>
        <w:rPr>
          <w:rFonts w:hint="eastAsia" w:ascii="宋体" w:hAnsi="宋体" w:eastAsia="宋体" w:cs="Times New Roman"/>
          <w:sz w:val="28"/>
          <w:szCs w:val="28"/>
          <w:lang w:eastAsia="zh-CN"/>
        </w:rPr>
        <w:t>成都市新都区公共资源交易服务中心</w:t>
      </w:r>
    </w:p>
    <w:p>
      <w:pPr>
        <w:spacing w:line="360" w:lineRule="auto"/>
        <w:ind w:firstLine="565" w:firstLineChars="202"/>
        <w:rPr>
          <w:rFonts w:ascii="宋体" w:hAnsi="宋体" w:eastAsia="宋体" w:cs="Times New Roman"/>
          <w:sz w:val="28"/>
          <w:szCs w:val="28"/>
        </w:rPr>
      </w:pPr>
      <w:bookmarkStart w:id="130" w:name="_Toc238581783"/>
      <w:r>
        <w:rPr>
          <w:rFonts w:hint="eastAsia" w:ascii="宋体" w:hAnsi="宋体" w:eastAsia="宋体" w:cs="Times New Roman"/>
          <w:sz w:val="28"/>
          <w:szCs w:val="28"/>
        </w:rPr>
        <w:t>关于我方对</w:t>
      </w:r>
      <w:r>
        <w:rPr>
          <w:rFonts w:hint="eastAsia" w:ascii="宋体" w:hAnsi="宋体" w:eastAsia="宋体" w:cs="Times New Roman"/>
          <w:b/>
          <w:sz w:val="28"/>
          <w:szCs w:val="28"/>
          <w:u w:val="single"/>
          <w:lang w:eastAsia="zh-CN"/>
        </w:rPr>
        <w:t>成都市新都区第三人民医院门诊楼物业管理服务采购项目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新都政采（2021）A0068号</w:t>
      </w:r>
      <w:r>
        <w:rPr>
          <w:rFonts w:hint="eastAsia" w:ascii="宋体" w:hAnsi="宋体" w:eastAsia="宋体" w:cs="Times New Roman"/>
          <w:b/>
          <w:sz w:val="28"/>
          <w:szCs w:val="28"/>
          <w:u w:val="single"/>
        </w:rPr>
        <w:t>）</w:t>
      </w:r>
      <w:r>
        <w:rPr>
          <w:rFonts w:hint="eastAsia" w:ascii="宋体" w:hAnsi="宋体" w:eastAsia="宋体" w:cs="Times New Roman"/>
          <w:sz w:val="28"/>
          <w:szCs w:val="28"/>
        </w:rPr>
        <w:t>的公开招标，提交的下列文件和说明是准确的和真实的。</w:t>
      </w:r>
      <w:bookmarkEnd w:id="130"/>
    </w:p>
    <w:p>
      <w:pPr>
        <w:widowControl/>
        <w:numPr>
          <w:ilvl w:val="2"/>
          <w:numId w:val="31"/>
        </w:numPr>
        <w:spacing w:line="360" w:lineRule="auto"/>
        <w:ind w:left="0" w:firstLine="560" w:firstLineChars="200"/>
        <w:rPr>
          <w:rFonts w:ascii="宋体" w:hAnsi="宋体" w:eastAsia="宋体" w:cs="Times New Roman"/>
          <w:sz w:val="28"/>
          <w:szCs w:val="28"/>
        </w:rPr>
      </w:pPr>
      <w:bookmarkStart w:id="131" w:name="_Toc238581784"/>
      <w:r>
        <w:rPr>
          <w:rFonts w:hint="eastAsia" w:ascii="宋体" w:hAnsi="宋体" w:eastAsia="宋体" w:cs="Times New Roman"/>
          <w:sz w:val="28"/>
          <w:szCs w:val="28"/>
        </w:rPr>
        <w:t>投标人名称及概况：</w:t>
      </w:r>
      <w:bookmarkEnd w:id="125"/>
      <w:bookmarkEnd w:id="126"/>
      <w:bookmarkEnd w:id="127"/>
      <w:bookmarkEnd w:id="128"/>
      <w:bookmarkEnd w:id="129"/>
      <w:bookmarkEnd w:id="131"/>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投标人名称：XXXX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地址：XXXX           邮编：XXXX</w:t>
      </w:r>
    </w:p>
    <w:p>
      <w:pPr>
        <w:spacing w:line="360" w:lineRule="auto"/>
        <w:ind w:firstLine="700" w:firstLineChars="250"/>
        <w:rPr>
          <w:rFonts w:ascii="宋体" w:hAnsi="宋体" w:eastAsia="宋体" w:cs="Times New Roman"/>
          <w:sz w:val="28"/>
          <w:szCs w:val="28"/>
          <w:u w:val="single"/>
        </w:rPr>
      </w:pPr>
      <w:r>
        <w:rPr>
          <w:rFonts w:hint="eastAsia" w:ascii="宋体" w:hAnsi="宋体" w:eastAsia="宋体" w:cs="Times New Roman"/>
          <w:sz w:val="28"/>
          <w:szCs w:val="28"/>
        </w:rPr>
        <w:t>传真/电话：XXXX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成立日期或注册日期：XXXX</w:t>
      </w:r>
    </w:p>
    <w:p>
      <w:pPr>
        <w:widowControl/>
        <w:numPr>
          <w:ilvl w:val="0"/>
          <w:numId w:val="32"/>
        </w:numPr>
        <w:spacing w:line="360" w:lineRule="auto"/>
        <w:ind w:left="0" w:firstLine="560" w:firstLineChars="200"/>
        <w:jc w:val="left"/>
        <w:rPr>
          <w:rFonts w:ascii="宋体" w:hAnsi="宋体" w:eastAsia="宋体" w:cs="Times New Roman"/>
          <w:sz w:val="28"/>
          <w:szCs w:val="28"/>
          <w:u w:val="single"/>
        </w:rPr>
      </w:pPr>
      <w:r>
        <w:rPr>
          <w:rFonts w:hint="eastAsia" w:ascii="宋体" w:hAnsi="宋体" w:eastAsia="宋体" w:cs="Times New Roman"/>
          <w:sz w:val="28"/>
          <w:szCs w:val="28"/>
        </w:rPr>
        <w:t>法定代表人或主要负责人姓名：XXXX</w:t>
      </w:r>
    </w:p>
    <w:p>
      <w:pPr>
        <w:widowControl/>
        <w:numPr>
          <w:ilvl w:val="2"/>
          <w:numId w:val="31"/>
        </w:numPr>
        <w:tabs>
          <w:tab w:val="left" w:pos="1276"/>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开户银行名称：XXXX</w:t>
      </w:r>
    </w:p>
    <w:p>
      <w:pPr>
        <w:spacing w:line="360" w:lineRule="auto"/>
        <w:ind w:firstLine="1260" w:firstLineChars="450"/>
        <w:rPr>
          <w:rFonts w:ascii="宋体" w:hAnsi="宋体" w:eastAsia="宋体" w:cs="Times New Roman"/>
          <w:sz w:val="28"/>
          <w:szCs w:val="28"/>
          <w:u w:val="single"/>
        </w:rPr>
      </w:pPr>
      <w:r>
        <w:rPr>
          <w:rFonts w:hint="eastAsia" w:ascii="宋体" w:hAnsi="宋体" w:eastAsia="宋体" w:cs="Times New Roman"/>
          <w:sz w:val="28"/>
          <w:szCs w:val="28"/>
        </w:rPr>
        <w:t>地址：XXXX</w:t>
      </w:r>
    </w:p>
    <w:p>
      <w:pPr>
        <w:spacing w:line="360" w:lineRule="auto"/>
        <w:ind w:firstLine="1260" w:firstLineChars="450"/>
        <w:rPr>
          <w:rFonts w:ascii="宋体" w:hAnsi="宋体" w:eastAsia="宋体" w:cs="Times New Roman"/>
          <w:sz w:val="28"/>
          <w:szCs w:val="28"/>
        </w:rPr>
      </w:pPr>
      <w:r>
        <w:rPr>
          <w:rFonts w:hint="eastAsia" w:ascii="宋体" w:hAnsi="宋体" w:eastAsia="宋体" w:cs="Times New Roman"/>
          <w:sz w:val="28"/>
          <w:szCs w:val="28"/>
        </w:rPr>
        <w:t>账号：XXXX</w:t>
      </w: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spacing w:line="360" w:lineRule="auto"/>
        <w:ind w:left="283" w:leftChars="135" w:firstLine="280" w:firstLineChars="100"/>
        <w:rPr>
          <w:rFonts w:ascii="宋体" w:hAnsi="宋体" w:eastAsia="宋体" w:cs="Times New Roman"/>
          <w:sz w:val="28"/>
          <w:szCs w:val="28"/>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80" w:lineRule="exact"/>
        <w:rPr>
          <w:rFonts w:ascii="宋体" w:hAnsi="宋体" w:eastAsia="宋体" w:cs="Times New Roman"/>
          <w:sz w:val="28"/>
          <w:szCs w:val="28"/>
        </w:rPr>
      </w:pPr>
    </w:p>
    <w:p>
      <w:pPr>
        <w:spacing w:line="360" w:lineRule="auto"/>
        <w:rPr>
          <w:rFonts w:ascii="宋体" w:hAnsi="宋体" w:eastAsia="宋体" w:cs="Times New Roman"/>
          <w:b/>
          <w:bCs/>
          <w:sz w:val="32"/>
          <w:szCs w:val="32"/>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声明</w:t>
      </w:r>
    </w:p>
    <w:p>
      <w:pPr>
        <w:tabs>
          <w:tab w:val="left" w:pos="1260"/>
        </w:tabs>
        <w:spacing w:line="560" w:lineRule="exact"/>
        <w:ind w:firstLine="560" w:firstLineChars="200"/>
        <w:rPr>
          <w:rFonts w:hint="eastAsia" w:ascii="宋体" w:hAnsi="宋体" w:eastAsia="宋体" w:cs="Times New Roman"/>
          <w:sz w:val="28"/>
          <w:szCs w:val="28"/>
          <w:lang w:eastAsia="zh-CN"/>
        </w:rPr>
      </w:pPr>
      <w:r>
        <w:rPr>
          <w:rFonts w:hint="eastAsia" w:ascii="宋体" w:hAnsi="宋体" w:eastAsia="宋体" w:cs="Times New Roman"/>
          <w:sz w:val="28"/>
          <w:szCs w:val="28"/>
        </w:rPr>
        <w:t>致：</w:t>
      </w:r>
      <w:r>
        <w:rPr>
          <w:rFonts w:hint="eastAsia" w:ascii="宋体" w:hAnsi="宋体" w:eastAsia="宋体" w:cs="Times New Roman"/>
          <w:sz w:val="28"/>
          <w:szCs w:val="28"/>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我单位作为</w:t>
      </w:r>
      <w:r>
        <w:rPr>
          <w:rFonts w:hint="eastAsia" w:ascii="宋体" w:hAnsi="宋体" w:eastAsia="宋体" w:cs="Times New Roman"/>
          <w:b/>
          <w:sz w:val="28"/>
          <w:szCs w:val="28"/>
          <w:u w:val="single"/>
          <w:lang w:eastAsia="zh-CN"/>
        </w:rPr>
        <w:t>成都市新都区第三人民医院门诊楼物业管理服务采购项目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新都政采（2021）A0068号</w:t>
      </w:r>
      <w:r>
        <w:rPr>
          <w:rFonts w:hint="eastAsia" w:ascii="宋体" w:hAnsi="宋体" w:eastAsia="宋体" w:cs="Times New Roman"/>
          <w:b/>
          <w:sz w:val="28"/>
          <w:szCs w:val="28"/>
          <w:u w:val="single"/>
        </w:rPr>
        <w:t>）</w:t>
      </w:r>
      <w:r>
        <w:rPr>
          <w:rFonts w:hint="eastAsia" w:ascii="宋体" w:hAnsi="宋体" w:eastAsia="宋体" w:cs="Times New Roman"/>
          <w:sz w:val="28"/>
          <w:szCs w:val="28"/>
        </w:rPr>
        <w:t>的投标人，在此郑重声明：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一、我单位参加政府采购活动前三年内，在经营活动中</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重大违法记录。</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二、我单位</w:t>
      </w:r>
      <w:r>
        <w:rPr>
          <w:rFonts w:hint="eastAsia" w:ascii="宋体" w:hAnsi="宋体" w:eastAsia="宋体" w:cs="Times New Roman"/>
          <w:b/>
          <w:sz w:val="28"/>
          <w:szCs w:val="28"/>
          <w:u w:val="single"/>
        </w:rPr>
        <w:t>（说明：填写“具有”或“不具有”）</w:t>
      </w:r>
      <w:r>
        <w:rPr>
          <w:rFonts w:hint="eastAsia" w:ascii="宋体" w:hAnsi="宋体" w:eastAsia="宋体" w:cs="Times New Roman"/>
          <w:sz w:val="28"/>
          <w:szCs w:val="28"/>
        </w:rPr>
        <w:t>良好的商业信誉。</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三、与我单位负责人为同一人或者存在直接控股、管理关系的相关供应商：</w:t>
      </w:r>
      <w:r>
        <w:rPr>
          <w:rFonts w:hint="eastAsia" w:ascii="宋体" w:hAnsi="宋体" w:eastAsia="宋体" w:cs="Times New Roman"/>
          <w:b/>
          <w:sz w:val="28"/>
          <w:szCs w:val="28"/>
          <w:u w:val="single"/>
        </w:rPr>
        <w:t>（说明：填写“无”或“（一）供应商名称１；（二）供应商名称２；（三）……”）</w:t>
      </w:r>
      <w:r>
        <w:rPr>
          <w:rFonts w:hint="eastAsia" w:ascii="宋体" w:hAnsi="宋体" w:eastAsia="宋体" w:cs="Times New Roman"/>
          <w:b/>
          <w:sz w:val="28"/>
          <w:szCs w:val="28"/>
        </w:rPr>
        <w:t xml:space="preserve"> </w:t>
      </w:r>
      <w:r>
        <w:rPr>
          <w:rFonts w:hint="eastAsia" w:ascii="宋体" w:hAnsi="宋体" w:eastAsia="宋体" w:cs="Times New Roman"/>
          <w:sz w:val="28"/>
          <w:szCs w:val="28"/>
        </w:rPr>
        <w:t>。</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四、在行贿犯罪信息查询期限内，我单位及我单位现任法定代表人、主要负责人</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行贿犯罪记录。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五、我单位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政府采购严重违法失信行为记录名单。</w:t>
      </w:r>
    </w:p>
    <w:p>
      <w:pPr>
        <w:tabs>
          <w:tab w:val="left" w:pos="1260"/>
        </w:tabs>
        <w:spacing w:line="360" w:lineRule="auto"/>
        <w:ind w:firstLine="560" w:firstLineChars="200"/>
        <w:rPr>
          <w:rFonts w:hint="eastAsia" w:ascii="宋体" w:hAnsi="宋体" w:eastAsia="宋体" w:cs="Times New Roman"/>
          <w:bCs/>
          <w:sz w:val="28"/>
          <w:szCs w:val="28"/>
        </w:rPr>
      </w:pPr>
      <w:r>
        <w:rPr>
          <w:rFonts w:hint="eastAsia" w:ascii="宋体" w:hAnsi="宋体" w:eastAsia="宋体" w:cs="Times New Roman"/>
          <w:sz w:val="28"/>
          <w:szCs w:val="28"/>
        </w:rPr>
        <w:t>六、我单位</w:t>
      </w:r>
      <w:r>
        <w:rPr>
          <w:rFonts w:hint="eastAsia" w:ascii="宋体" w:hAnsi="宋体" w:eastAsia="宋体" w:cs="Times New Roman"/>
          <w:b/>
          <w:sz w:val="28"/>
          <w:szCs w:val="28"/>
          <w:u w:val="single"/>
        </w:rPr>
        <w:t>（说明：填写“未处于”或“处于”）</w:t>
      </w:r>
      <w:r>
        <w:rPr>
          <w:rFonts w:hint="eastAsia" w:ascii="宋体" w:hAnsi="宋体" w:eastAsia="宋体" w:cs="Times New Roman"/>
          <w:bCs/>
          <w:sz w:val="28"/>
          <w:szCs w:val="28"/>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七</w:t>
      </w:r>
      <w:r>
        <w:rPr>
          <w:rFonts w:ascii="宋体" w:hAnsi="宋体" w:eastAsia="宋体" w:cs="Times New Roman"/>
          <w:sz w:val="28"/>
          <w:szCs w:val="22"/>
        </w:rPr>
        <w:t>、</w:t>
      </w:r>
      <w:r>
        <w:rPr>
          <w:rFonts w:hint="eastAsia" w:ascii="宋体" w:hAnsi="宋体" w:eastAsia="宋体" w:cs="Times New Roman"/>
          <w:sz w:val="28"/>
          <w:szCs w:val="22"/>
        </w:rPr>
        <w:t>我单位</w:t>
      </w:r>
      <w:r>
        <w:rPr>
          <w:rFonts w:hint="eastAsia" w:ascii="宋体" w:hAnsi="宋体" w:eastAsia="宋体" w:cs="Times New Roman"/>
          <w:b/>
          <w:sz w:val="28"/>
          <w:szCs w:val="22"/>
          <w:u w:val="single"/>
        </w:rPr>
        <w:t>（说明：填写“具有”或“不具有”）</w:t>
      </w:r>
      <w:r>
        <w:rPr>
          <w:rFonts w:hint="eastAsia" w:ascii="宋体" w:hAnsi="宋体" w:eastAsia="宋体" w:cs="Times New Roman"/>
          <w:sz w:val="28"/>
          <w:szCs w:val="22"/>
        </w:rPr>
        <w:t>健全的</w:t>
      </w:r>
      <w:r>
        <w:rPr>
          <w:rFonts w:ascii="宋体" w:hAnsi="宋体" w:eastAsia="宋体" w:cs="Times New Roman"/>
          <w:sz w:val="28"/>
          <w:szCs w:val="22"/>
        </w:rPr>
        <w:t>财务会计制度</w:t>
      </w:r>
      <w:r>
        <w:rPr>
          <w:rFonts w:hint="eastAsia" w:ascii="宋体" w:hAnsi="宋体" w:eastAsia="宋体" w:cs="Times New Roman"/>
          <w:sz w:val="28"/>
          <w:szCs w:val="22"/>
        </w:rPr>
        <w:t>。</w:t>
      </w:r>
    </w:p>
    <w:p>
      <w:pPr>
        <w:widowControl w:val="0"/>
        <w:spacing w:after="120"/>
        <w:ind w:firstLine="560" w:firstLineChars="200"/>
        <w:jc w:val="both"/>
        <w:rPr>
          <w:rFonts w:ascii="宋体" w:hAnsi="宋体" w:eastAsia="宋体" w:cs="Times New Roman"/>
          <w:bCs/>
          <w:kern w:val="2"/>
          <w:sz w:val="28"/>
          <w:szCs w:val="28"/>
          <w:lang w:val="en-US" w:eastAsia="zh-CN" w:bidi="ar-SA"/>
        </w:rPr>
      </w:pPr>
      <w:r>
        <w:rPr>
          <w:rFonts w:hint="eastAsia" w:ascii="宋体" w:hAnsi="宋体" w:eastAsia="宋体" w:cs="Times New Roman"/>
          <w:bCs/>
          <w:kern w:val="2"/>
          <w:sz w:val="28"/>
          <w:szCs w:val="28"/>
          <w:lang w:val="en-US" w:eastAsia="zh-CN" w:bidi="ar-SA"/>
        </w:rPr>
        <w:t>八</w:t>
      </w:r>
      <w:r>
        <w:rPr>
          <w:rFonts w:ascii="宋体" w:hAnsi="宋体" w:eastAsia="宋体" w:cs="Times New Roman"/>
          <w:bCs/>
          <w:kern w:val="2"/>
          <w:sz w:val="28"/>
          <w:szCs w:val="28"/>
          <w:lang w:val="en-US" w:eastAsia="zh-CN" w:bidi="ar-SA"/>
        </w:rPr>
        <w:t>、</w:t>
      </w:r>
      <w:r>
        <w:rPr>
          <w:rFonts w:hint="eastAsia"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依法缴纳社会</w:t>
      </w:r>
      <w:r>
        <w:rPr>
          <w:rFonts w:ascii="宋体" w:hAnsi="宋体" w:eastAsia="宋体" w:cs="Times New Roman"/>
          <w:bCs/>
          <w:kern w:val="2"/>
          <w:sz w:val="28"/>
          <w:szCs w:val="28"/>
          <w:lang w:val="en-US" w:eastAsia="zh-CN" w:bidi="ar-SA"/>
        </w:rPr>
        <w:t>保障资金的良好记录。</w:t>
      </w:r>
    </w:p>
    <w:p>
      <w:pPr>
        <w:widowControl w:val="0"/>
        <w:spacing w:after="120"/>
        <w:ind w:firstLine="420"/>
        <w:jc w:val="both"/>
        <w:rPr>
          <w:rFonts w:ascii="Calibri" w:hAnsi="Calibri" w:eastAsia="宋体" w:cs="Times New Roman"/>
          <w:kern w:val="2"/>
          <w:sz w:val="21"/>
          <w:szCs w:val="22"/>
          <w:lang w:val="en-US" w:eastAsia="zh-CN" w:bidi="ar-SA"/>
        </w:rPr>
      </w:pPr>
      <w:r>
        <w:rPr>
          <w:rFonts w:hint="eastAsia" w:ascii="宋体" w:hAnsi="宋体" w:eastAsia="宋体" w:cs="Times New Roman"/>
          <w:bCs/>
          <w:kern w:val="2"/>
          <w:sz w:val="28"/>
          <w:szCs w:val="28"/>
          <w:lang w:val="en-US" w:eastAsia="zh-CN" w:bidi="ar-SA"/>
        </w:rPr>
        <w:t>九</w:t>
      </w:r>
      <w:r>
        <w:rPr>
          <w:rFonts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依法缴纳税收</w:t>
      </w:r>
      <w:r>
        <w:rPr>
          <w:rFonts w:ascii="宋体" w:hAnsi="宋体" w:eastAsia="宋体" w:cs="Times New Roman"/>
          <w:bCs/>
          <w:kern w:val="2"/>
          <w:sz w:val="28"/>
          <w:szCs w:val="28"/>
          <w:lang w:val="en-US" w:eastAsia="zh-CN" w:bidi="ar-SA"/>
        </w:rPr>
        <w:t>的良好记录。</w:t>
      </w:r>
    </w:p>
    <w:p>
      <w:pPr>
        <w:pStyle w:val="26"/>
      </w:pP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特此声明。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tabs>
          <w:tab w:val="left" w:pos="1260"/>
        </w:tabs>
        <w:spacing w:line="560" w:lineRule="exact"/>
        <w:ind w:firstLine="560" w:firstLineChars="200"/>
        <w:rPr>
          <w:rFonts w:ascii="宋体" w:hAnsi="宋体" w:eastAsia="宋体" w:cs="Times New Roman"/>
          <w:sz w:val="28"/>
          <w:szCs w:val="28"/>
          <w:u w:val="single"/>
        </w:rPr>
      </w:pPr>
      <w:r>
        <w:rPr>
          <w:rFonts w:hint="eastAsia" w:ascii="宋体" w:hAnsi="宋体" w:eastAsia="宋体" w:cs="Times New Roman"/>
          <w:sz w:val="28"/>
          <w:szCs w:val="28"/>
        </w:rPr>
        <w:t>日    期：202</w:t>
      </w:r>
      <w:r>
        <w:rPr>
          <w:rFonts w:hint="eastAsia" w:ascii="宋体" w:hAnsi="宋体" w:eastAsia="宋体" w:cs="Times New Roman"/>
          <w:sz w:val="28"/>
          <w:szCs w:val="28"/>
          <w:u w:val="single"/>
        </w:rPr>
        <w:t>X</w:t>
      </w:r>
      <w:r>
        <w:rPr>
          <w:rFonts w:hint="eastAsia" w:ascii="宋体" w:hAnsi="宋体" w:eastAsia="宋体" w:cs="Times New Roman"/>
          <w:sz w:val="28"/>
          <w:szCs w:val="28"/>
        </w:rPr>
        <w:t>年</w:t>
      </w:r>
      <w:r>
        <w:rPr>
          <w:rFonts w:hint="eastAsia" w:ascii="宋体" w:hAnsi="宋体" w:eastAsia="宋体" w:cs="Times New Roman"/>
          <w:sz w:val="28"/>
          <w:szCs w:val="28"/>
          <w:u w:val="single"/>
        </w:rPr>
        <w:t>XX</w:t>
      </w:r>
      <w:r>
        <w:rPr>
          <w:rFonts w:hint="eastAsia" w:ascii="宋体" w:hAnsi="宋体" w:eastAsia="宋体" w:cs="Times New Roman"/>
          <w:sz w:val="28"/>
          <w:szCs w:val="28"/>
        </w:rPr>
        <w:t>月</w:t>
      </w:r>
      <w:r>
        <w:rPr>
          <w:rFonts w:hint="eastAsia" w:ascii="宋体" w:hAnsi="宋体" w:eastAsia="宋体" w:cs="Times New Roman"/>
          <w:sz w:val="28"/>
          <w:szCs w:val="28"/>
          <w:u w:val="single"/>
        </w:rPr>
        <w:t>XX</w:t>
      </w:r>
      <w:r>
        <w:rPr>
          <w:rFonts w:hint="eastAsia" w:ascii="宋体" w:hAnsi="宋体" w:eastAsia="宋体" w:cs="Times New Roman"/>
          <w:sz w:val="28"/>
          <w:szCs w:val="28"/>
        </w:rPr>
        <w:t>日</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说明：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6.对声明中第七条的说明：投标人不具有健全的财务会计制度的，应填写“不具有”，投标人投标文件将被认定为无效；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7.对声明中第八条的说明：如投标人无依法缴纳社会保障资金的良好记录的，应填写“无”，投标人投标文件将被认定为无效。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8.对声明中第九条的说明：如投标人无依法缴纳税收的良好记录的，应填写“无”，投标人投标文件将被认定为无效。</w:t>
      </w:r>
    </w:p>
    <w:p>
      <w:pPr>
        <w:rPr>
          <w:rFonts w:hint="eastAsia" w:ascii="宋体" w:hAnsi="宋体" w:eastAsia="宋体" w:cs="Times New Roman"/>
          <w:sz w:val="28"/>
          <w:szCs w:val="28"/>
        </w:rPr>
      </w:pPr>
      <w:r>
        <w:rPr>
          <w:rFonts w:hint="eastAsia" w:ascii="宋体" w:hAnsi="宋体" w:eastAsia="宋体" w:cs="Times New Roman"/>
          <w:sz w:val="28"/>
          <w:szCs w:val="28"/>
        </w:rPr>
        <w:br w:type="page"/>
      </w: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中小企业声明函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中小企业声明函</w:t>
      </w:r>
    </w:p>
    <w:p>
      <w:pPr>
        <w:spacing w:line="500" w:lineRule="exact"/>
        <w:ind w:firstLine="584" w:firstLineChars="200"/>
        <w:rPr>
          <w:rFonts w:ascii="宋体" w:hAnsi="宋体" w:eastAsia="宋体" w:cs="Times New Roman"/>
          <w:color w:val="0000FF"/>
          <w:spacing w:val="6"/>
          <w:sz w:val="28"/>
          <w:szCs w:val="28"/>
        </w:rPr>
      </w:pPr>
      <w:r>
        <w:rPr>
          <w:rFonts w:hint="eastAsia" w:ascii="宋体" w:hAnsi="宋体" w:eastAsia="宋体" w:cs="Times New Roman"/>
          <w:spacing w:val="6"/>
          <w:sz w:val="28"/>
          <w:szCs w:val="28"/>
        </w:rPr>
        <w:t>本公司郑重声明，根据《政府采购促进中小企业发展管理办法》（财库〔</w:t>
      </w:r>
      <w:r>
        <w:rPr>
          <w:rFonts w:ascii="宋体" w:hAnsi="宋体" w:eastAsia="宋体" w:cs="Times New Roman"/>
          <w:spacing w:val="6"/>
          <w:sz w:val="28"/>
          <w:szCs w:val="28"/>
        </w:rPr>
        <w:t>2020〕46号）的规定，本公司参加</w:t>
      </w:r>
      <w:r>
        <w:rPr>
          <w:rFonts w:hint="eastAsia" w:ascii="宋体" w:hAnsi="宋体" w:eastAsia="宋体" w:cs="Times New Roman"/>
          <w:b/>
          <w:sz w:val="28"/>
          <w:szCs w:val="28"/>
          <w:u w:val="single"/>
          <w:lang w:eastAsia="zh-CN"/>
        </w:rPr>
        <w:t>成都市新都区第三人民医院</w:t>
      </w:r>
      <w:r>
        <w:rPr>
          <w:rFonts w:hint="eastAsia" w:ascii="宋体" w:hAnsi="宋体" w:eastAsia="宋体" w:cs="Times New Roman"/>
          <w:spacing w:val="6"/>
          <w:sz w:val="28"/>
          <w:szCs w:val="28"/>
          <w:u w:val="single"/>
        </w:rPr>
        <w:t>的</w:t>
      </w:r>
      <w:r>
        <w:rPr>
          <w:rFonts w:hint="eastAsia" w:ascii="宋体" w:hAnsi="宋体" w:eastAsia="宋体" w:cs="Times New Roman"/>
          <w:b/>
          <w:sz w:val="28"/>
          <w:szCs w:val="28"/>
          <w:u w:val="single"/>
          <w:lang w:eastAsia="zh-CN"/>
        </w:rPr>
        <w:t>成都市新都区第三人民医院门诊楼物业管理服务采购项目</w:t>
      </w:r>
      <w:r>
        <w:rPr>
          <w:rFonts w:hint="eastAsia" w:ascii="宋体" w:hAnsi="宋体" w:eastAsia="宋体" w:cs="Times New Roman"/>
          <w:b/>
          <w:sz w:val="28"/>
          <w:szCs w:val="28"/>
          <w:u w:val="single"/>
        </w:rPr>
        <w:t>（</w:t>
      </w:r>
      <w:r>
        <w:rPr>
          <w:rFonts w:hint="eastAsia" w:ascii="宋体" w:hAnsi="宋体" w:eastAsia="宋体" w:cs="宋体"/>
          <w:b/>
          <w:kern w:val="0"/>
          <w:sz w:val="28"/>
          <w:szCs w:val="28"/>
          <w:u w:val="single"/>
          <w:lang w:eastAsia="zh-CN"/>
        </w:rPr>
        <w:t>新都政采（2021）A0068号</w:t>
      </w:r>
      <w:r>
        <w:rPr>
          <w:rFonts w:hint="eastAsia" w:ascii="宋体" w:hAnsi="宋体" w:eastAsia="宋体" w:cs="Times New Roman"/>
          <w:b/>
          <w:sz w:val="28"/>
          <w:szCs w:val="28"/>
          <w:u w:val="single"/>
        </w:rPr>
        <w:t>）</w:t>
      </w:r>
      <w:r>
        <w:rPr>
          <w:rFonts w:hint="eastAsia" w:ascii="宋体" w:hAnsi="宋体" w:eastAsia="宋体" w:cs="Times New Roman"/>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color w:val="000000"/>
          <w:spacing w:val="6"/>
          <w:sz w:val="28"/>
          <w:szCs w:val="28"/>
          <w:u w:val="single"/>
        </w:rPr>
        <w:t>物业管理服务（标的名称）</w:t>
      </w:r>
      <w:r>
        <w:rPr>
          <w:rFonts w:hint="eastAsia" w:ascii="宋体" w:hAnsi="宋体" w:eastAsia="宋体" w:cs="Times New Roman"/>
          <w:color w:val="auto"/>
          <w:spacing w:val="6"/>
          <w:sz w:val="28"/>
          <w:szCs w:val="28"/>
        </w:rPr>
        <w:t>，</w:t>
      </w:r>
      <w:r>
        <w:rPr>
          <w:rFonts w:hint="eastAsia" w:ascii="宋体" w:hAnsi="宋体" w:eastAsia="宋体" w:cs="Times New Roman"/>
          <w:spacing w:val="6"/>
          <w:sz w:val="28"/>
          <w:szCs w:val="28"/>
        </w:rPr>
        <w:t>属于</w:t>
      </w:r>
      <w:r>
        <w:rPr>
          <w:rFonts w:hint="eastAsia" w:ascii="宋体" w:hAnsi="宋体" w:eastAsia="宋体" w:cs="Times New Roman"/>
          <w:color w:val="000000"/>
          <w:spacing w:val="6"/>
          <w:sz w:val="28"/>
          <w:szCs w:val="28"/>
          <w:u w:val="single"/>
        </w:rPr>
        <w:t>物业</w:t>
      </w:r>
      <w:r>
        <w:rPr>
          <w:rFonts w:ascii="宋体" w:hAnsi="宋体" w:eastAsia="宋体" w:cs="Times New Roman"/>
          <w:color w:val="000000"/>
          <w:spacing w:val="6"/>
          <w:sz w:val="28"/>
          <w:szCs w:val="28"/>
          <w:u w:val="single"/>
        </w:rPr>
        <w:t>管理</w:t>
      </w:r>
      <w:r>
        <w:rPr>
          <w:rFonts w:hint="eastAsia" w:ascii="宋体" w:hAnsi="宋体" w:eastAsia="宋体" w:cs="Times New Roman"/>
          <w:spacing w:val="6"/>
          <w:sz w:val="28"/>
          <w:szCs w:val="28"/>
          <w:u w:val="single"/>
        </w:rPr>
        <w:t>（采购文件中明确的所属行业）</w:t>
      </w:r>
      <w:r>
        <w:rPr>
          <w:rFonts w:hint="eastAsia" w:ascii="宋体" w:hAnsi="宋体" w:eastAsia="宋体" w:cs="Times New Roman"/>
          <w:spacing w:val="6"/>
          <w:sz w:val="28"/>
          <w:szCs w:val="28"/>
        </w:rPr>
        <w:t>；承接企业为</w:t>
      </w:r>
      <w:r>
        <w:rPr>
          <w:rFonts w:ascii="宋体" w:hAnsi="宋体" w:eastAsia="宋体" w:cs="Times New Roman"/>
          <w:spacing w:val="6"/>
          <w:sz w:val="28"/>
          <w:szCs w:val="28"/>
          <w:u w:val="single"/>
        </w:rPr>
        <w:t>XXX</w:t>
      </w:r>
      <w:r>
        <w:rPr>
          <w:rFonts w:hint="eastAsia" w:ascii="宋体" w:hAnsi="宋体" w:eastAsia="宋体" w:cs="Times New Roman"/>
          <w:spacing w:val="6"/>
          <w:sz w:val="28"/>
          <w:szCs w:val="28"/>
          <w:u w:val="single"/>
        </w:rPr>
        <w:t>X</w:t>
      </w:r>
      <w:r>
        <w:rPr>
          <w:rFonts w:ascii="宋体" w:hAnsi="宋体" w:eastAsia="宋体" w:cs="Times New Roman"/>
          <w:spacing w:val="6"/>
          <w:sz w:val="28"/>
          <w:szCs w:val="28"/>
          <w:u w:val="single"/>
        </w:rPr>
        <w:t>（企业名称）</w:t>
      </w:r>
      <w:r>
        <w:rPr>
          <w:rFonts w:hint="eastAsia" w:ascii="宋体" w:hAnsi="宋体" w:eastAsia="宋体" w:cs="Times New Roman"/>
          <w:spacing w:val="6"/>
          <w:sz w:val="28"/>
          <w:szCs w:val="28"/>
        </w:rPr>
        <w:t>，从业人员</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人，营业收入为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万元，资产总额为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万元，属于</w:t>
      </w:r>
      <w:r>
        <w:rPr>
          <w:rFonts w:ascii="宋体" w:hAnsi="宋体" w:eastAsia="宋体" w:cs="Times New Roman"/>
          <w:spacing w:val="6"/>
          <w:sz w:val="28"/>
          <w:szCs w:val="28"/>
          <w:u w:val="single"/>
        </w:rPr>
        <w:t>XXXX（中型企业、小型企业、微型企业）</w:t>
      </w:r>
      <w:r>
        <w:rPr>
          <w:rFonts w:hint="eastAsia" w:ascii="宋体" w:hAnsi="宋体" w:eastAsia="宋体" w:cs="Times New Roman"/>
          <w:spacing w:val="6"/>
          <w:sz w:val="28"/>
          <w:szCs w:val="28"/>
        </w:rPr>
        <w:t>。</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企业名称：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0"/>
          <w:sz w:val="28"/>
          <w:szCs w:val="28"/>
          <w:lang w:val="en-US" w:eastAsia="zh-CN" w:bidi="ar-SA"/>
        </w:rPr>
        <w:t>说明：</w:t>
      </w:r>
      <w:r>
        <w:rPr>
          <w:rFonts w:hint="eastAsia" w:ascii="宋体" w:hAnsi="宋体" w:eastAsia="宋体" w:cs="Times New Roman"/>
          <w:b/>
          <w:kern w:val="2"/>
          <w:sz w:val="28"/>
          <w:szCs w:val="28"/>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rPr>
      </w:pP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残疾人福利性单位声明函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残疾人福利性单位声明函</w:t>
      </w:r>
    </w:p>
    <w:p>
      <w:pPr>
        <w:spacing w:line="440" w:lineRule="exact"/>
        <w:rPr>
          <w:rFonts w:ascii="仿宋_GB2312" w:hAnsi="Calibri" w:eastAsia="仿宋_GB2312" w:cs="Times New Roman"/>
          <w:b/>
          <w:spacing w:val="6"/>
          <w:sz w:val="30"/>
          <w:szCs w:val="30"/>
        </w:rPr>
      </w:pP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单位的</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单位名称：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ind w:firstLine="563"/>
        <w:rPr>
          <w:rFonts w:ascii="宋体" w:hAnsi="宋体" w:eastAsia="宋体" w:cs="Times New Roman"/>
          <w:b/>
          <w:kern w:val="0"/>
          <w:sz w:val="28"/>
          <w:szCs w:val="28"/>
        </w:rPr>
      </w:pPr>
    </w:p>
    <w:p>
      <w:pPr>
        <w:tabs>
          <w:tab w:val="left" w:pos="1260"/>
        </w:tabs>
        <w:spacing w:line="560" w:lineRule="exact"/>
        <w:ind w:firstLine="562" w:firstLineChars="200"/>
        <w:rPr>
          <w:rFonts w:ascii="宋体" w:hAnsi="宋体" w:eastAsia="宋体" w:cs="Times New Roman"/>
          <w:szCs w:val="28"/>
        </w:rPr>
      </w:pPr>
      <w:r>
        <w:rPr>
          <w:rFonts w:hint="eastAsia" w:ascii="宋体" w:hAnsi="宋体" w:eastAsia="宋体" w:cs="Times New Roman"/>
          <w:b/>
          <w:sz w:val="28"/>
          <w:szCs w:val="28"/>
        </w:rPr>
        <w:t>说明</w:t>
      </w:r>
      <w:r>
        <w:rPr>
          <w:rFonts w:ascii="宋体" w:hAnsi="宋体" w:eastAsia="宋体" w:cs="Times New Roman"/>
          <w:b/>
          <w:sz w:val="28"/>
          <w:szCs w:val="28"/>
        </w:rPr>
        <w:t>：</w:t>
      </w:r>
      <w:r>
        <w:rPr>
          <w:rFonts w:hint="eastAsia" w:ascii="宋体" w:hAnsi="宋体" w:eastAsia="宋体" w:cs="Times New Roman"/>
          <w:b/>
          <w:sz w:val="28"/>
          <w:szCs w:val="28"/>
        </w:rPr>
        <w:t>提供了《中小</w:t>
      </w:r>
      <w:r>
        <w:rPr>
          <w:rFonts w:ascii="宋体" w:hAnsi="宋体" w:eastAsia="宋体" w:cs="Times New Roman"/>
          <w:b/>
          <w:sz w:val="28"/>
          <w:szCs w:val="28"/>
        </w:rPr>
        <w:t>企业声明函</w:t>
      </w:r>
      <w:r>
        <w:rPr>
          <w:rFonts w:hint="eastAsia" w:ascii="宋体" w:hAnsi="宋体" w:eastAsia="宋体" w:cs="Times New Roman"/>
          <w:b/>
          <w:sz w:val="28"/>
          <w:szCs w:val="28"/>
        </w:rPr>
        <w:t>》或监狱企业证明文件复印件的不需提供。</w:t>
      </w:r>
    </w:p>
    <w:p>
      <w:pPr>
        <w:tabs>
          <w:tab w:val="left" w:pos="1260"/>
        </w:tabs>
        <w:spacing w:line="560" w:lineRule="exact"/>
        <w:ind w:firstLine="420" w:firstLineChars="200"/>
        <w:rPr>
          <w:rFonts w:ascii="宋体" w:hAnsi="宋体" w:eastAsia="宋体" w:cs="Times New Roman"/>
          <w:szCs w:val="28"/>
        </w:rPr>
      </w:pPr>
    </w:p>
    <w:p>
      <w:pPr>
        <w:tabs>
          <w:tab w:val="left" w:pos="1260"/>
        </w:tabs>
        <w:spacing w:line="560" w:lineRule="exact"/>
        <w:ind w:firstLine="420" w:firstLineChars="200"/>
        <w:rPr>
          <w:rFonts w:ascii="宋体" w:hAnsi="宋体" w:eastAsia="宋体" w:cs="Times New Roman"/>
          <w:szCs w:val="28"/>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投标人应提交的相关资格证明材料</w:t>
      </w:r>
    </w:p>
    <w:p>
      <w:pPr>
        <w:ind w:firstLine="560" w:firstLineChars="200"/>
        <w:rPr>
          <w:rFonts w:ascii="Calibri" w:hAnsi="Calibri" w:eastAsia="宋体" w:cs="Times New Roman"/>
          <w:sz w:val="28"/>
          <w:szCs w:val="28"/>
        </w:rPr>
      </w:pP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投标人按招标文件要求，应提供以下相关资格证明材料：</w:t>
      </w:r>
    </w:p>
    <w:p>
      <w:pPr>
        <w:ind w:firstLine="560" w:firstLineChars="200"/>
        <w:rPr>
          <w:rFonts w:ascii="Calibri" w:hAnsi="Calibri" w:eastAsia="宋体" w:cs="Times New Roman"/>
          <w:sz w:val="28"/>
          <w:szCs w:val="28"/>
        </w:rPr>
      </w:pP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一</w:t>
      </w:r>
      <w:r>
        <w:rPr>
          <w:rFonts w:ascii="宋体" w:hAnsi="宋体" w:eastAsia="宋体" w:cs="Times New Roman"/>
          <w:kern w:val="0"/>
          <w:sz w:val="28"/>
          <w:szCs w:val="28"/>
        </w:rPr>
        <w:t>、</w:t>
      </w:r>
      <w:r>
        <w:rPr>
          <w:rFonts w:hint="eastAsia" w:ascii="宋体" w:hAnsi="宋体" w:eastAsia="宋体" w:cs="Times New Roman"/>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二</w:t>
      </w:r>
      <w:r>
        <w:rPr>
          <w:rFonts w:ascii="宋体" w:hAnsi="宋体" w:eastAsia="宋体" w:cs="Times New Roman"/>
          <w:kern w:val="0"/>
          <w:sz w:val="28"/>
          <w:szCs w:val="28"/>
        </w:rPr>
        <w:t>、</w:t>
      </w:r>
      <w:r>
        <w:rPr>
          <w:rFonts w:hint="eastAsia" w:ascii="宋体" w:hAnsi="宋体" w:eastAsia="宋体" w:cs="Times New Roman"/>
          <w:kern w:val="0"/>
          <w:sz w:val="28"/>
          <w:szCs w:val="28"/>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三</w:t>
      </w:r>
      <w:r>
        <w:rPr>
          <w:rFonts w:ascii="宋体" w:hAnsi="宋体" w:eastAsia="宋体" w:cs="Times New Roman"/>
          <w:kern w:val="0"/>
          <w:sz w:val="28"/>
          <w:szCs w:val="28"/>
        </w:rPr>
        <w:t>、</w:t>
      </w:r>
      <w:r>
        <w:rPr>
          <w:rFonts w:hint="eastAsia" w:ascii="宋体" w:hAnsi="宋体" w:eastAsia="宋体" w:cs="Times New Roman"/>
          <w:kern w:val="0"/>
          <w:sz w:val="28"/>
          <w:szCs w:val="28"/>
        </w:rPr>
        <w:t>采购人对投标人履行合同</w:t>
      </w:r>
      <w:r>
        <w:rPr>
          <w:rFonts w:hint="eastAsia" w:ascii="宋体" w:hAnsi="宋体" w:eastAsia="宋体" w:cs="Times New Roman"/>
          <w:kern w:val="0"/>
          <w:sz w:val="28"/>
          <w:szCs w:val="28"/>
          <w:lang w:eastAsia="zh-CN"/>
        </w:rPr>
        <w:t>所必需</w:t>
      </w:r>
      <w:r>
        <w:rPr>
          <w:rFonts w:hint="eastAsia" w:ascii="宋体" w:hAnsi="宋体" w:eastAsia="宋体" w:cs="Times New Roman"/>
          <w:kern w:val="0"/>
          <w:sz w:val="28"/>
          <w:szCs w:val="28"/>
        </w:rPr>
        <w:t>的设备和专业技术能力无其他特殊要求，</w:t>
      </w:r>
      <w:r>
        <w:rPr>
          <w:rFonts w:hint="eastAsia" w:ascii="宋体" w:hAnsi="宋体" w:eastAsia="宋体" w:cs="Times New Roman"/>
          <w:kern w:val="0"/>
          <w:sz w:val="28"/>
          <w:szCs w:val="28"/>
          <w:highlight w:val="none"/>
        </w:rPr>
        <w:t>投标人</w:t>
      </w:r>
      <w:r>
        <w:rPr>
          <w:rFonts w:hint="eastAsia" w:ascii="宋体" w:hAnsi="宋体" w:eastAsia="宋体" w:cs="Times New Roman"/>
          <w:kern w:val="0"/>
          <w:sz w:val="28"/>
          <w:szCs w:val="28"/>
        </w:rPr>
        <w:t>可不提供其他证明材料；</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四</w:t>
      </w:r>
      <w:r>
        <w:rPr>
          <w:rFonts w:ascii="宋体" w:hAnsi="宋体" w:eastAsia="宋体" w:cs="Times New Roman"/>
          <w:kern w:val="0"/>
          <w:sz w:val="28"/>
          <w:szCs w:val="28"/>
        </w:rPr>
        <w:t>、</w:t>
      </w:r>
      <w:r>
        <w:rPr>
          <w:rFonts w:hint="eastAsia" w:ascii="宋体" w:hAnsi="宋体" w:eastAsia="宋体" w:cs="Times New Roman"/>
          <w:kern w:val="0"/>
          <w:sz w:val="28"/>
          <w:szCs w:val="28"/>
        </w:rPr>
        <w:t>采购人对法律、行政法规规定的其他条件无其他特殊要求，投标人可不提供其他证明材料。</w:t>
      </w:r>
    </w:p>
    <w:p>
      <w:pPr>
        <w:rPr>
          <w:rFonts w:ascii="Calibri" w:hAnsi="Calibri" w:eastAsia="宋体" w:cs="Times New Roman"/>
          <w:sz w:val="28"/>
          <w:szCs w:val="28"/>
        </w:rPr>
      </w:pPr>
      <w:r>
        <w:rPr>
          <w:rFonts w:ascii="Calibri" w:hAnsi="Calibri" w:eastAsia="宋体" w:cs="Times New Roman"/>
          <w:sz w:val="28"/>
          <w:szCs w:val="28"/>
        </w:rPr>
        <w:br w:type="page"/>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32" w:name="_Toc27647"/>
      <w:r>
        <w:rPr>
          <w:rFonts w:hint="eastAsia" w:ascii="宋体" w:hAnsi="宋体" w:eastAsia="宋体" w:cs="Times New Roman"/>
          <w:b/>
          <w:bCs/>
          <w:sz w:val="28"/>
          <w:szCs w:val="28"/>
        </w:rPr>
        <w:t>商务技术响应文件</w:t>
      </w:r>
      <w:bookmarkEnd w:id="132"/>
    </w:p>
    <w:p>
      <w:pPr>
        <w:keepNext/>
        <w:keepLines/>
        <w:numPr>
          <w:ilvl w:val="2"/>
          <w:numId w:val="4"/>
        </w:numPr>
        <w:spacing w:line="360" w:lineRule="auto"/>
        <w:ind w:left="569" w:hanging="569"/>
        <w:outlineLvl w:val="2"/>
        <w:rPr>
          <w:rFonts w:ascii="宋体" w:hAnsi="宋体" w:eastAsia="宋体" w:cs="Times New Roman"/>
          <w:b/>
          <w:bCs/>
          <w:sz w:val="28"/>
          <w:szCs w:val="28"/>
        </w:rPr>
      </w:pPr>
      <w:r>
        <w:rPr>
          <w:rFonts w:hint="eastAsia" w:ascii="宋体" w:hAnsi="宋体" w:eastAsia="宋体" w:cs="Times New Roman"/>
          <w:b/>
          <w:bCs/>
          <w:sz w:val="28"/>
          <w:szCs w:val="28"/>
        </w:rPr>
        <w:t>投标函</w:t>
      </w:r>
    </w:p>
    <w:p>
      <w:pPr>
        <w:spacing w:line="560" w:lineRule="exact"/>
        <w:rPr>
          <w:rFonts w:ascii="宋体" w:hAnsi="宋体" w:eastAsia="宋体" w:cs="Times New Roman"/>
          <w:bCs/>
          <w:sz w:val="28"/>
          <w:szCs w:val="28"/>
        </w:rPr>
      </w:pPr>
      <w:r>
        <w:rPr>
          <w:rFonts w:hint="eastAsia" w:ascii="宋体" w:hAnsi="宋体" w:eastAsia="宋体" w:cs="Times New Roman"/>
          <w:bCs/>
          <w:sz w:val="28"/>
          <w:szCs w:val="28"/>
          <w:lang w:eastAsia="zh-CN"/>
        </w:rPr>
        <w:t>成都市新都区公共资源交易服务中心</w:t>
      </w:r>
      <w:r>
        <w:rPr>
          <w:rFonts w:hint="eastAsia" w:ascii="宋体" w:hAnsi="宋体" w:eastAsia="宋体" w:cs="Times New Roman"/>
          <w:bCs/>
          <w:sz w:val="28"/>
          <w:szCs w:val="28"/>
        </w:rPr>
        <w:t>：</w:t>
      </w:r>
    </w:p>
    <w:p>
      <w:pPr>
        <w:spacing w:line="560" w:lineRule="exact"/>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我方全面研究了“</w:t>
      </w:r>
      <w:r>
        <w:rPr>
          <w:rFonts w:hint="eastAsia" w:ascii="宋体" w:hAnsi="宋体" w:eastAsia="宋体" w:cs="Times New Roman"/>
          <w:b/>
          <w:sz w:val="28"/>
          <w:szCs w:val="28"/>
          <w:u w:val="single"/>
          <w:lang w:eastAsia="zh-CN"/>
        </w:rPr>
        <w:t>成都市新都区第三人民医院门诊楼物业管理服务采购项目</w:t>
      </w:r>
      <w:r>
        <w:rPr>
          <w:rFonts w:hint="eastAsia" w:ascii="宋体" w:hAnsi="宋体" w:eastAsia="宋体" w:cs="Times New Roman"/>
          <w:b/>
          <w:bCs/>
          <w:sz w:val="28"/>
          <w:szCs w:val="28"/>
          <w:u w:val="single"/>
        </w:rPr>
        <w:t>”（项目编号：</w:t>
      </w:r>
      <w:r>
        <w:rPr>
          <w:rFonts w:hint="eastAsia" w:ascii="宋体" w:hAnsi="宋体" w:eastAsia="宋体" w:cs="Times New Roman"/>
          <w:b/>
          <w:bCs/>
          <w:sz w:val="28"/>
          <w:szCs w:val="28"/>
          <w:u w:val="single"/>
          <w:lang w:eastAsia="zh-CN"/>
        </w:rPr>
        <w:t>新都政采（2021）A0068号</w:t>
      </w:r>
      <w:r>
        <w:rPr>
          <w:rFonts w:hint="eastAsia" w:ascii="宋体" w:hAnsi="宋体" w:eastAsia="宋体" w:cs="Times New Roman"/>
          <w:b/>
          <w:bCs/>
          <w:sz w:val="28"/>
          <w:szCs w:val="28"/>
          <w:u w:val="single"/>
        </w:rPr>
        <w:t>）</w:t>
      </w:r>
      <w:r>
        <w:rPr>
          <w:rFonts w:hint="eastAsia" w:ascii="宋体" w:hAnsi="宋体" w:eastAsia="宋体" w:cs="Times New Roman"/>
          <w:bCs/>
          <w:sz w:val="28"/>
          <w:szCs w:val="28"/>
        </w:rPr>
        <w:t>招标文件，决定参加贵单位组织的本项目投标。</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我方自愿按照招标文件规定的各项要求向采购人提供所需货物及服务，</w:t>
      </w:r>
      <w:r>
        <w:rPr>
          <w:rFonts w:hint="eastAsia" w:ascii="宋体" w:hAnsi="宋体" w:eastAsia="宋体" w:cs="Times New Roman"/>
          <w:b/>
          <w:sz w:val="28"/>
          <w:szCs w:val="28"/>
        </w:rPr>
        <w:t>投标报价以《开标一览表》为准</w:t>
      </w:r>
      <w:r>
        <w:rPr>
          <w:rFonts w:hint="eastAsia" w:ascii="宋体" w:hAnsi="宋体" w:eastAsia="宋体" w:cs="Times New Roman"/>
          <w:sz w:val="28"/>
          <w:szCs w:val="28"/>
        </w:rPr>
        <w:t>。</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如果我方中标，我方将严格履行合同规定的责任和义务，否则将承担由此产生的一切责任。</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我方已知晓全部招标文件的内容，包括修改文件（如有）以及全部相关资料和有关附件，并对上述文件均无异议。</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投标有效期为从投标截止之日起120天。</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我方愿意提供贵中心可能另外要求的，与投标有关的文件资料，并保证我方已提供和将要提供的文件资料是真实、准确的，并对此承担一切法律后果。</w:t>
      </w:r>
    </w:p>
    <w:p>
      <w:pPr>
        <w:numPr>
          <w:ilvl w:val="1"/>
          <w:numId w:val="3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我单位联系方式：</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地    址：</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传    真：</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邮政编码：</w:t>
      </w:r>
      <w:r>
        <w:rPr>
          <w:rFonts w:hint="eastAsia" w:ascii="宋体" w:hAnsi="宋体" w:eastAsia="宋体" w:cs="Times New Roman"/>
          <w:sz w:val="28"/>
          <w:szCs w:val="28"/>
          <w:u w:val="single"/>
        </w:rPr>
        <w:t>XXXX</w:t>
      </w:r>
    </w:p>
    <w:p>
      <w:pPr>
        <w:spacing w:after="120" w:line="360" w:lineRule="auto"/>
        <w:ind w:left="420" w:leftChars="200"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spacing w:line="360" w:lineRule="auto"/>
        <w:ind w:left="283" w:leftChars="135" w:firstLine="700" w:firstLineChars="250"/>
        <w:rPr>
          <w:rFonts w:ascii="宋体" w:hAnsi="宋体" w:eastAsia="宋体" w:cs="Times New Roman"/>
          <w:bCs/>
          <w:sz w:val="28"/>
          <w:szCs w:val="22"/>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60" w:lineRule="auto"/>
        <w:ind w:left="283" w:leftChars="135" w:firstLine="700" w:firstLineChars="250"/>
        <w:rPr>
          <w:rFonts w:ascii="宋体" w:hAnsi="宋体" w:eastAsia="宋体" w:cs="Times New Roman"/>
          <w:sz w:val="28"/>
          <w:szCs w:val="28"/>
          <w:u w:val="single"/>
        </w:rPr>
      </w:pPr>
    </w:p>
    <w:p>
      <w:pPr>
        <w:tabs>
          <w:tab w:val="left" w:pos="630"/>
          <w:tab w:val="left" w:pos="7560"/>
        </w:tabs>
        <w:spacing w:line="360" w:lineRule="auto"/>
        <w:rPr>
          <w:rFonts w:ascii="宋体" w:hAnsi="宋体" w:eastAsia="宋体" w:cs="Times New Roman"/>
          <w:sz w:val="28"/>
          <w:szCs w:val="28"/>
        </w:rPr>
      </w:pPr>
      <w:bookmarkStart w:id="133" w:name="_Toc239846734"/>
      <w:bookmarkStart w:id="134" w:name="_Toc231030275"/>
      <w:bookmarkStart w:id="135" w:name="_Toc240865266"/>
      <w:bookmarkStart w:id="136" w:name="_Toc237145395"/>
      <w:bookmarkStart w:id="137" w:name="_Toc239849853"/>
      <w:bookmarkStart w:id="138" w:name="_Toc240367172"/>
      <w:bookmarkStart w:id="139" w:name="_Toc229802674"/>
      <w:bookmarkStart w:id="140" w:name="_Toc265494342"/>
      <w:bookmarkStart w:id="141" w:name="_Toc314574804"/>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法定代表人或主要负责人身份证明书</w:t>
      </w:r>
    </w:p>
    <w:p>
      <w:pPr>
        <w:tabs>
          <w:tab w:val="left" w:pos="6300"/>
        </w:tabs>
        <w:spacing w:line="360" w:lineRule="auto"/>
        <w:ind w:firstLine="573"/>
        <w:rPr>
          <w:rFonts w:ascii="宋体" w:hAnsi="宋体" w:eastAsia="宋体" w:cs="Times New Roman"/>
          <w:sz w:val="28"/>
          <w:szCs w:val="22"/>
          <w:u w:val="single"/>
          <w:lang w:val="zh-CN"/>
        </w:rPr>
      </w:pPr>
    </w:p>
    <w:p>
      <w:pPr>
        <w:tabs>
          <w:tab w:val="left" w:pos="6300"/>
        </w:tabs>
        <w:spacing w:line="360" w:lineRule="auto"/>
        <w:ind w:firstLine="573"/>
        <w:rPr>
          <w:rFonts w:ascii="宋体" w:hAnsi="宋体" w:eastAsia="宋体" w:cs="Times New Roman"/>
          <w:sz w:val="28"/>
          <w:szCs w:val="22"/>
          <w:lang w:val="zh-CN"/>
        </w:rPr>
      </w:pPr>
      <w:r>
        <w:rPr>
          <w:rFonts w:hint="eastAsia" w:ascii="宋体" w:hAnsi="宋体"/>
          <w:sz w:val="28"/>
          <w:u w:val="single"/>
          <w:lang w:val="zh-CN"/>
        </w:rPr>
        <w:t>XXXX（法定代表人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u w:val="single"/>
          <w:lang w:val="zh-CN"/>
        </w:rPr>
        <w:t>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eastAsia="宋体" w:cs="Times New Roman"/>
          <w:sz w:val="28"/>
          <w:szCs w:val="22"/>
          <w:lang w:val="zh-CN"/>
        </w:rPr>
        <w:t>。</w:t>
      </w: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bookmarkStart w:id="142" w:name="_Toc263768866"/>
      <w:r>
        <w:rPr>
          <w:rFonts w:hint="eastAsia" w:ascii="宋体" w:hAnsi="宋体" w:eastAsia="宋体" w:cs="Times New Roman"/>
          <w:sz w:val="28"/>
          <w:szCs w:val="22"/>
          <w:lang w:val="zh-CN"/>
        </w:rPr>
        <w:t>特此证明。</w:t>
      </w:r>
      <w:bookmarkEnd w:id="142"/>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spacing w:line="360" w:lineRule="auto"/>
        <w:rPr>
          <w:rFonts w:ascii="宋体" w:hAnsi="宋体" w:eastAsia="宋体" w:cs="Times New Roman"/>
          <w:sz w:val="28"/>
          <w:szCs w:val="22"/>
          <w:lang w:val="zh-CN"/>
        </w:rPr>
      </w:pPr>
      <w:r>
        <w:rPr>
          <w:rFonts w:hint="eastAsia" w:ascii="宋体" w:hAnsi="宋体" w:eastAsia="宋体" w:cs="Times New Roman"/>
          <w:sz w:val="28"/>
          <w:szCs w:val="22"/>
          <w:lang w:val="zh-CN"/>
        </w:rPr>
        <w:t>投标人名称：</w:t>
      </w:r>
      <w:r>
        <w:rPr>
          <w:rFonts w:hint="eastAsia" w:ascii="宋体" w:hAnsi="宋体" w:eastAsia="宋体" w:cs="Times New Roman"/>
          <w:sz w:val="28"/>
          <w:szCs w:val="22"/>
          <w:u w:val="single"/>
          <w:lang w:val="zh-CN"/>
        </w:rPr>
        <w:t>XXXX</w:t>
      </w:r>
    </w:p>
    <w:p>
      <w:pPr>
        <w:spacing w:line="360" w:lineRule="auto"/>
        <w:rPr>
          <w:rFonts w:ascii="宋体" w:hAnsi="宋体" w:eastAsia="宋体" w:cs="Times New Roman"/>
          <w:b/>
          <w:sz w:val="28"/>
          <w:szCs w:val="22"/>
          <w:u w:val="single"/>
          <w:lang w:val="zh-CN"/>
        </w:rPr>
      </w:pPr>
      <w:r>
        <w:rPr>
          <w:rFonts w:hint="eastAsia" w:ascii="宋体" w:hAnsi="宋体" w:eastAsia="宋体" w:cs="Times New Roman"/>
          <w:sz w:val="28"/>
          <w:szCs w:val="22"/>
        </w:rPr>
        <w:t>日期：</w:t>
      </w:r>
      <w:r>
        <w:rPr>
          <w:rFonts w:hint="eastAsia" w:ascii="宋体" w:hAnsi="宋体" w:eastAsia="宋体" w:cs="Times New Roman"/>
          <w:bCs/>
          <w:sz w:val="28"/>
          <w:szCs w:val="22"/>
        </w:rPr>
        <w:t>20</w:t>
      </w:r>
      <w:r>
        <w:rPr>
          <w:rFonts w:hint="eastAsia" w:ascii="宋体" w:hAnsi="宋体" w:eastAsia="宋体" w:cs="Times New Roman"/>
          <w:sz w:val="28"/>
          <w:szCs w:val="22"/>
          <w:lang w:val="zh-CN"/>
        </w:rPr>
        <w:t>2</w:t>
      </w:r>
      <w:r>
        <w:rPr>
          <w:rFonts w:hint="eastAsia" w:ascii="宋体" w:hAnsi="宋体" w:eastAsia="宋体" w:cs="Times New Roman"/>
          <w:sz w:val="28"/>
          <w:szCs w:val="22"/>
          <w:u w:val="single"/>
          <w:lang w:val="zh-CN"/>
        </w:rPr>
        <w:t>X</w:t>
      </w:r>
      <w:r>
        <w:rPr>
          <w:rFonts w:hint="eastAsia" w:ascii="宋体" w:hAnsi="宋体" w:eastAsia="宋体" w:cs="Times New Roman"/>
          <w:bCs/>
          <w:sz w:val="28"/>
          <w:szCs w:val="22"/>
        </w:rPr>
        <w:t>年</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月</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日</w:t>
      </w:r>
    </w:p>
    <w:p>
      <w:pPr>
        <w:spacing w:after="180" w:line="360" w:lineRule="auto"/>
        <w:ind w:firstLine="568" w:firstLineChars="202"/>
        <w:rPr>
          <w:rFonts w:ascii="宋体" w:hAnsi="宋体" w:eastAsia="宋体" w:cs="Times New Roman"/>
          <w:b/>
          <w:sz w:val="28"/>
          <w:szCs w:val="28"/>
        </w:rPr>
      </w:pP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说明：</w:t>
      </w:r>
      <w:r>
        <w:rPr>
          <w:rFonts w:hint="eastAsia" w:ascii="宋体" w:hAnsi="宋体"/>
          <w:b/>
          <w:sz w:val="28"/>
          <w:szCs w:val="28"/>
        </w:rPr>
        <w:t>（1）上述证明文件在投标文件中附有法定代表人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b/>
          <w:sz w:val="28"/>
          <w:szCs w:val="28"/>
        </w:rPr>
        <w:t>身份证复印件（身份证两面均应复印）或护照复印件（投标人的法定代表人</w:t>
      </w:r>
      <w:r>
        <w:rPr>
          <w:rFonts w:hint="eastAsia" w:ascii="宋体" w:hAnsi="宋体"/>
          <w:b/>
          <w:sz w:val="28"/>
          <w:szCs w:val="28"/>
          <w:u w:val="single"/>
        </w:rPr>
        <w:t>或</w:t>
      </w:r>
      <w:r>
        <w:rPr>
          <w:rFonts w:ascii="宋体" w:hAnsi="宋体"/>
          <w:b/>
          <w:sz w:val="28"/>
          <w:szCs w:val="28"/>
          <w:u w:val="single"/>
        </w:rPr>
        <w:t>主要负责人</w:t>
      </w:r>
      <w:r>
        <w:rPr>
          <w:rFonts w:hint="eastAsia" w:ascii="宋体" w:hAnsi="宋体"/>
          <w:b/>
          <w:sz w:val="28"/>
          <w:szCs w:val="28"/>
        </w:rPr>
        <w:t>为外籍人士的，则提供护照复印件）时才能生效。</w:t>
      </w:r>
      <w:r>
        <w:rPr>
          <w:rFonts w:hint="eastAsia" w:ascii="宋体" w:hAnsi="宋体"/>
          <w:b/>
          <w:sz w:val="28"/>
          <w:szCs w:val="28"/>
          <w:lang w:val="zh-CN"/>
        </w:rPr>
        <w:t>（</w:t>
      </w:r>
      <w:r>
        <w:rPr>
          <w:rFonts w:ascii="宋体" w:hAnsi="宋体"/>
          <w:b/>
          <w:sz w:val="28"/>
          <w:szCs w:val="28"/>
          <w:lang w:val="zh-CN"/>
        </w:rPr>
        <w:t>2）主要负责人为</w:t>
      </w:r>
      <w:r>
        <w:rPr>
          <w:rFonts w:hint="eastAsia" w:ascii="宋体" w:hAnsi="宋体"/>
          <w:b/>
          <w:sz w:val="28"/>
          <w:szCs w:val="28"/>
          <w:lang w:val="zh-CN"/>
        </w:rPr>
        <w:t>投标人</w:t>
      </w:r>
      <w:r>
        <w:rPr>
          <w:rFonts w:ascii="宋体" w:hAnsi="宋体"/>
          <w:b/>
          <w:sz w:val="28"/>
          <w:szCs w:val="28"/>
          <w:lang w:val="zh-CN"/>
        </w:rPr>
        <w:t>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r>
        <w:rPr>
          <w:rFonts w:hint="eastAsia" w:ascii="宋体" w:hAnsi="宋体" w:eastAsia="宋体" w:cs="Times New Roman"/>
          <w:b/>
          <w:sz w:val="28"/>
          <w:szCs w:val="28"/>
        </w:rPr>
        <w:t>。</w:t>
      </w:r>
    </w:p>
    <w:bookmarkEnd w:id="133"/>
    <w:bookmarkEnd w:id="134"/>
    <w:bookmarkEnd w:id="135"/>
    <w:bookmarkEnd w:id="136"/>
    <w:bookmarkEnd w:id="137"/>
    <w:bookmarkEnd w:id="138"/>
    <w:bookmarkEnd w:id="139"/>
    <w:bookmarkEnd w:id="140"/>
    <w:bookmarkEnd w:id="141"/>
    <w:p>
      <w:pPr>
        <w:rPr>
          <w:rFonts w:ascii="Calibri" w:hAnsi="Calibri" w:eastAsia="宋体" w:cs="Times New Roman"/>
          <w:szCs w:val="22"/>
        </w:rPr>
      </w:pPr>
      <w:bookmarkStart w:id="143" w:name="_Toc315871054"/>
      <w:bookmarkEnd w:id="143"/>
      <w:bookmarkStart w:id="144" w:name="_Toc302997926"/>
      <w:bookmarkStart w:id="145" w:name="_Toc220299393"/>
      <w:bookmarkStart w:id="146" w:name="_Toc263768870"/>
      <w:bookmarkStart w:id="147" w:name="_Toc263753605"/>
      <w:bookmarkStart w:id="148" w:name="_Toc21744608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投标人基本情况表</w:t>
      </w:r>
      <w:bookmarkEnd w:id="144"/>
    </w:p>
    <w:tbl>
      <w:tblPr>
        <w:tblStyle w:val="15"/>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rPr>
            </w:pPr>
            <w:r>
              <w:rPr>
                <w:rFonts w:hint="eastAsia" w:ascii="宋体" w:hAnsi="宋体" w:eastAsia="宋体" w:cs="Times New Roman"/>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rPr>
            </w:pPr>
          </w:p>
        </w:tc>
      </w:tr>
    </w:tbl>
    <w:p>
      <w:pPr>
        <w:adjustRightInd w:val="0"/>
        <w:spacing w:line="400" w:lineRule="exact"/>
        <w:rPr>
          <w:rFonts w:ascii="宋体" w:hAnsi="宋体" w:eastAsia="宋体" w:cs="Times New Roman"/>
          <w:bCs/>
          <w:sz w:val="28"/>
          <w:szCs w:val="28"/>
        </w:rPr>
      </w:pPr>
    </w:p>
    <w:p>
      <w:pPr>
        <w:spacing w:after="120" w:line="360" w:lineRule="auto"/>
        <w:ind w:left="420" w:leftChars="200" w:firstLine="288" w:firstLineChars="103"/>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ab/>
      </w:r>
      <w:r>
        <w:rPr>
          <w:rFonts w:hint="eastAsia" w:ascii="宋体" w:hAnsi="宋体" w:eastAsia="宋体" w:cs="Times New Roman"/>
          <w:bCs/>
          <w:sz w:val="28"/>
          <w:szCs w:val="28"/>
          <w:u w:val="single"/>
        </w:rPr>
        <w:t>XXXX</w:t>
      </w:r>
    </w:p>
    <w:p>
      <w:pPr>
        <w:adjustRightInd w:val="0"/>
        <w:spacing w:line="400" w:lineRule="exact"/>
        <w:ind w:firstLine="700" w:firstLineChars="2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adjustRightInd w:val="0"/>
        <w:spacing w:line="400" w:lineRule="exact"/>
        <w:ind w:firstLine="700" w:firstLineChars="250"/>
        <w:rPr>
          <w:rFonts w:ascii="宋体" w:hAnsi="宋体" w:eastAsia="宋体" w:cs="Times New Roman"/>
          <w:bCs/>
          <w:sz w:val="28"/>
          <w:szCs w:val="22"/>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rPr>
          <w:rFonts w:ascii="宋体" w:hAnsi="宋体" w:eastAsia="宋体" w:cs="Times New Roman"/>
          <w:bCs/>
          <w:sz w:val="28"/>
          <w:szCs w:val="28"/>
        </w:rPr>
      </w:pPr>
    </w:p>
    <w:bookmarkEnd w:id="145"/>
    <w:bookmarkEnd w:id="146"/>
    <w:bookmarkEnd w:id="147"/>
    <w:p>
      <w:pPr>
        <w:spacing w:line="360" w:lineRule="auto"/>
        <w:rPr>
          <w:rFonts w:ascii="宋体" w:hAnsi="宋体" w:eastAsia="宋体" w:cs="Times New Roman"/>
          <w:b/>
          <w:sz w:val="28"/>
          <w:szCs w:val="22"/>
        </w:rPr>
      </w:pPr>
      <w:bookmarkStart w:id="149" w:name="_Toc302997928"/>
      <w:bookmarkStart w:id="150" w:name="_Toc263753619"/>
      <w:bookmarkStart w:id="151" w:name="_Toc263768877"/>
    </w:p>
    <w:bookmarkEnd w:id="148"/>
    <w:bookmarkEnd w:id="149"/>
    <w:bookmarkEnd w:id="150"/>
    <w:bookmarkEnd w:id="151"/>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bookmarkStart w:id="152" w:name="_Toc316475719"/>
      <w:r>
        <w:rPr>
          <w:rFonts w:hint="eastAsia" w:ascii="宋体" w:hAnsi="宋体" w:eastAsia="宋体" w:cs="宋体"/>
          <w:b/>
          <w:bCs/>
          <w:color w:val="auto"/>
          <w:kern w:val="0"/>
          <w:sz w:val="28"/>
          <w:szCs w:val="28"/>
          <w:lang w:val="en-US" w:eastAsia="zh-CN" w:bidi="ar-SA"/>
        </w:rPr>
        <w:t>服务方案及服务承诺</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成都市新都区第三人民医院门诊楼物业管理服务采购项目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新都政采（2021）A0068号</w:t>
      </w: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pacing w:after="120" w:line="360" w:lineRule="auto"/>
        <w:ind w:left="420" w:left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420" w:firstLineChars="1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4"/>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成都市新都区第三人民医院门诊楼物业管理服务采购项目</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新都政采（2021）A0068号</w:t>
      </w:r>
    </w:p>
    <w:p>
      <w:pPr>
        <w:snapToGrid w:val="0"/>
        <w:spacing w:line="360" w:lineRule="auto"/>
        <w:ind w:firstLine="560" w:firstLineChars="200"/>
        <w:rPr>
          <w:rFonts w:hint="eastAsia" w:ascii="宋体" w:hAnsi="宋体" w:eastAsia="宋体" w:cs="Times New Roman"/>
          <w:sz w:val="28"/>
          <w:szCs w:val="22"/>
          <w:highlight w:val="none"/>
        </w:rPr>
      </w:pPr>
      <w:r>
        <w:rPr>
          <w:rFonts w:hint="eastAsia" w:ascii="宋体" w:hAnsi="宋体" w:eastAsia="宋体" w:cs="Times New Roman"/>
          <w:sz w:val="28"/>
          <w:szCs w:val="22"/>
          <w:highlight w:val="none"/>
        </w:rPr>
        <w:t>我单位作为参加本项目的投标人，在此郑重承诺：</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一、为本项目提供的所有服务符合现行的国家相关强制性标准、行业标准。</w:t>
      </w:r>
    </w:p>
    <w:p>
      <w:pPr>
        <w:snapToGrid w:val="0"/>
        <w:spacing w:line="360" w:lineRule="auto"/>
        <w:ind w:firstLine="560" w:firstLineChars="200"/>
        <w:rPr>
          <w:rFonts w:hint="eastAsia" w:ascii="宋体" w:hAnsi="宋体" w:eastAsia="宋体" w:cs="Times New Roman"/>
          <w:sz w:val="28"/>
          <w:szCs w:val="22"/>
          <w:highlight w:val="yellow"/>
          <w:lang w:val="en-US" w:eastAsia="zh-CN"/>
        </w:rPr>
      </w:pPr>
      <w:r>
        <w:rPr>
          <w:rFonts w:hint="eastAsia" w:ascii="宋体" w:hAnsi="宋体" w:eastAsia="宋体" w:cs="Times New Roman"/>
          <w:color w:val="auto"/>
          <w:sz w:val="28"/>
          <w:szCs w:val="22"/>
          <w:highlight w:val="none"/>
          <w:lang w:val="en-US" w:eastAsia="zh-CN"/>
        </w:rPr>
        <w:t>二、</w:t>
      </w:r>
      <w:r>
        <w:rPr>
          <w:rFonts w:hint="default" w:ascii="宋体" w:hAnsi="宋体" w:eastAsia="宋体" w:cs="宋体"/>
          <w:color w:val="auto"/>
          <w:kern w:val="2"/>
          <w:sz w:val="28"/>
          <w:szCs w:val="28"/>
          <w:highlight w:val="none"/>
          <w:lang w:val="en-US" w:eastAsia="zh-CN" w:bidi="ar-SA"/>
        </w:rPr>
        <w:t>我方承诺完全响应招标文件4.</w:t>
      </w:r>
      <w:r>
        <w:rPr>
          <w:rFonts w:hint="eastAsia" w:ascii="宋体" w:hAnsi="宋体" w:eastAsia="宋体" w:cs="宋体"/>
          <w:color w:val="auto"/>
          <w:kern w:val="2"/>
          <w:sz w:val="28"/>
          <w:szCs w:val="28"/>
          <w:highlight w:val="none"/>
          <w:lang w:val="en-US" w:eastAsia="zh-CN" w:bidi="ar-SA"/>
        </w:rPr>
        <w:t>2.3人员要求</w:t>
      </w:r>
      <w:r>
        <w:rPr>
          <w:rFonts w:hint="default" w:ascii="宋体" w:hAnsi="宋体" w:eastAsia="宋体" w:cs="宋体"/>
          <w:color w:val="auto"/>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bidi="ar-SA"/>
        </w:rPr>
        <w:t>3商务要求</w:t>
      </w:r>
      <w:r>
        <w:rPr>
          <w:rFonts w:hint="default" w:ascii="宋体" w:hAnsi="宋体" w:eastAsia="宋体" w:cs="宋体"/>
          <w:color w:val="000000"/>
          <w:kern w:val="2"/>
          <w:sz w:val="28"/>
          <w:szCs w:val="28"/>
          <w:highlight w:val="none"/>
          <w:lang w:val="en-US" w:eastAsia="zh-CN" w:bidi="ar-SA"/>
        </w:rPr>
        <w:t>的所有要求。</w:t>
      </w:r>
    </w:p>
    <w:p>
      <w:pPr>
        <w:pageBreakBefore w:val="0"/>
        <w:widowControl w:val="0"/>
        <w:kinsoku/>
        <w:wordWrap/>
        <w:overflowPunct/>
        <w:topLinePunct w:val="0"/>
        <w:autoSpaceDE/>
        <w:autoSpaceDN/>
        <w:bidi w:val="0"/>
        <w:adjustRightInd/>
        <w:snapToGrid/>
        <w:spacing w:line="420" w:lineRule="exact"/>
        <w:ind w:firstLine="480"/>
        <w:textAlignment w:val="auto"/>
        <w:rPr>
          <w:rFonts w:hint="eastAsia" w:ascii="仿宋" w:hAnsi="仿宋" w:eastAsia="仿宋" w:cs="仿宋"/>
          <w:color w:val="000000"/>
          <w:sz w:val="24"/>
          <w:highlight w:val="none"/>
          <w:lang w:val="en-US" w:eastAsia="zh-CN"/>
        </w:rPr>
      </w:pPr>
    </w:p>
    <w:p>
      <w:pPr>
        <w:snapToGrid w:val="0"/>
        <w:spacing w:line="360" w:lineRule="auto"/>
        <w:ind w:firstLine="560" w:firstLineChars="200"/>
        <w:rPr>
          <w:rFonts w:ascii="Calibri" w:hAnsi="Calibri" w:eastAsia="宋体" w:cs="Times New Roman"/>
          <w:szCs w:val="22"/>
        </w:rPr>
      </w:pPr>
      <w:r>
        <w:rPr>
          <w:rFonts w:hint="eastAsia" w:ascii="宋体" w:hAnsi="宋体" w:eastAsia="宋体" w:cs="Times New Roman"/>
          <w:sz w:val="28"/>
          <w:szCs w:val="28"/>
        </w:rPr>
        <w:t>特此承诺。</w:t>
      </w:r>
    </w:p>
    <w:p>
      <w:pPr>
        <w:spacing w:after="120" w:line="36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560" w:firstLineChars="200"/>
        <w:rPr>
          <w:rFonts w:hint="eastAsia" w:ascii="宋体" w:hAnsi="宋体" w:eastAsia="宋体" w:cs="Times New Roman"/>
          <w:bCs/>
          <w:sz w:val="28"/>
          <w:szCs w:val="22"/>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rPr>
          <w:rFonts w:ascii="Calibri" w:hAnsi="Calibri" w:eastAsia="宋体" w:cs="Times New Roman"/>
          <w:szCs w:val="22"/>
        </w:rPr>
      </w:pPr>
      <w:r>
        <w:rPr>
          <w:rFonts w:hint="eastAsia" w:ascii="宋体" w:hAnsi="宋体" w:eastAsia="宋体" w:cs="Times New Roman"/>
          <w:bCs/>
          <w:sz w:val="28"/>
          <w:szCs w:val="22"/>
        </w:rPr>
        <w:br w:type="page"/>
      </w:r>
    </w:p>
    <w:p>
      <w:pPr>
        <w:keepNext/>
        <w:keepLines/>
        <w:numPr>
          <w:ilvl w:val="1"/>
          <w:numId w:val="4"/>
        </w:numPr>
        <w:spacing w:before="260" w:after="260" w:line="360" w:lineRule="auto"/>
        <w:ind w:left="567" w:hanging="567"/>
        <w:jc w:val="left"/>
        <w:outlineLvl w:val="1"/>
        <w:rPr>
          <w:rFonts w:ascii="宋体" w:hAnsi="宋体" w:eastAsia="宋体" w:cs="Times New Roman"/>
          <w:b/>
          <w:sz w:val="28"/>
          <w:szCs w:val="22"/>
        </w:rPr>
      </w:pPr>
      <w:bookmarkStart w:id="153" w:name="_Toc17438"/>
      <w:r>
        <w:rPr>
          <w:rFonts w:hint="eastAsia" w:ascii="宋体" w:hAnsi="宋体" w:eastAsia="宋体" w:cs="Times New Roman"/>
          <w:b/>
          <w:sz w:val="28"/>
          <w:szCs w:val="22"/>
        </w:rPr>
        <w:t>报价</w:t>
      </w:r>
      <w:r>
        <w:rPr>
          <w:rFonts w:hint="eastAsia" w:ascii="宋体" w:hAnsi="宋体" w:eastAsia="宋体" w:cs="Times New Roman"/>
          <w:b/>
          <w:bCs/>
          <w:sz w:val="28"/>
          <w:szCs w:val="28"/>
        </w:rPr>
        <w:t>要求</w:t>
      </w:r>
      <w:r>
        <w:rPr>
          <w:rFonts w:hint="eastAsia" w:ascii="宋体" w:hAnsi="宋体" w:eastAsia="宋体" w:cs="Times New Roman"/>
          <w:b/>
          <w:sz w:val="28"/>
          <w:szCs w:val="22"/>
        </w:rPr>
        <w:t>响应文件</w:t>
      </w:r>
      <w:bookmarkEnd w:id="15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kern w:val="0"/>
          <w:sz w:val="28"/>
          <w:szCs w:val="28"/>
        </w:rPr>
        <w:t>开标一览表</w:t>
      </w:r>
    </w:p>
    <w:p>
      <w:pPr>
        <w:tabs>
          <w:tab w:val="left" w:pos="1134"/>
        </w:tabs>
        <w:spacing w:line="560" w:lineRule="exact"/>
        <w:ind w:firstLine="427" w:firstLineChars="152"/>
        <w:rPr>
          <w:rFonts w:ascii="宋体" w:hAnsi="宋体" w:eastAsia="宋体" w:cs="Times New Roman"/>
          <w:b/>
          <w:bCs/>
          <w:sz w:val="28"/>
          <w:szCs w:val="28"/>
        </w:rPr>
      </w:pPr>
    </w:p>
    <w:tbl>
      <w:tblPr>
        <w:tblStyle w:val="16"/>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rPr>
            </w:pPr>
          </w:p>
        </w:tc>
      </w:tr>
    </w:tbl>
    <w:p>
      <w:pPr>
        <w:tabs>
          <w:tab w:val="left" w:pos="1134"/>
        </w:tabs>
        <w:spacing w:line="560" w:lineRule="exact"/>
        <w:ind w:firstLine="425" w:firstLineChars="152"/>
        <w:rPr>
          <w:rFonts w:ascii="宋体" w:hAnsi="宋体" w:eastAsia="宋体" w:cs="Times New Roman"/>
          <w:sz w:val="28"/>
          <w:szCs w:val="28"/>
        </w:rPr>
      </w:pPr>
    </w:p>
    <w:p>
      <w:pPr>
        <w:tabs>
          <w:tab w:val="left" w:pos="1134"/>
        </w:tabs>
        <w:spacing w:line="560" w:lineRule="exact"/>
        <w:ind w:firstLine="427" w:firstLineChars="152"/>
        <w:rPr>
          <w:rFonts w:ascii="宋体" w:hAnsi="宋体" w:eastAsia="宋体" w:cs="Times New Roman"/>
          <w:b/>
          <w:bCs/>
          <w:sz w:val="28"/>
          <w:szCs w:val="22"/>
        </w:rPr>
      </w:pPr>
      <w:r>
        <w:rPr>
          <w:rFonts w:hint="eastAsia" w:ascii="宋体" w:hAnsi="宋体" w:eastAsia="宋体" w:cs="Times New Roman"/>
          <w:b/>
          <w:sz w:val="28"/>
          <w:szCs w:val="28"/>
        </w:rPr>
        <w:t>投标报价以投标人在政府采购云平台开标一览表中填写的报价为准。</w:t>
      </w:r>
    </w:p>
    <w:p>
      <w:pPr>
        <w:rPr>
          <w:rFonts w:ascii="宋体" w:hAnsi="宋体" w:eastAsia="宋体" w:cs="Times New Roman"/>
          <w:b/>
          <w:sz w:val="28"/>
          <w:szCs w:val="28"/>
          <w:u w:val="single"/>
        </w:rPr>
      </w:pPr>
      <w:r>
        <w:rPr>
          <w:rFonts w:ascii="宋体" w:hAnsi="宋体" w:eastAsia="宋体" w:cs="Times New Roman"/>
          <w:b/>
          <w:sz w:val="28"/>
          <w:szCs w:val="28"/>
          <w:u w:val="single"/>
        </w:rPr>
        <w:br w:type="page"/>
      </w:r>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成都市新都区第三人民医院门诊楼物业管理服务采购项目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新都政采（2021）A0068号</w:t>
      </w: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sz w:val="28"/>
          <w:szCs w:val="28"/>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说明：投标人应根据其投标报价的构成提供详细的分项价格明细表，分项报价明细表格式由投标人自行制表，填写报价合计应包括投标人完成本项目所需的一切费用。</w:t>
      </w: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rPr>
          <w:rFonts w:ascii="Calibri" w:hAnsi="Calibri" w:eastAsia="宋体" w:cs="Times New Roman"/>
          <w:szCs w:val="22"/>
        </w:rPr>
      </w:pPr>
    </w:p>
    <w:p>
      <w:pPr>
        <w:rPr>
          <w:rFonts w:hint="eastAsia" w:ascii="宋体" w:hAnsi="宋体" w:eastAsia="宋体" w:cs="宋体"/>
          <w:sz w:val="28"/>
          <w:szCs w:val="28"/>
        </w:rPr>
      </w:pPr>
    </w:p>
    <w:bookmarkEnd w:id="152"/>
    <w:p>
      <w:pPr>
        <w:keepNext/>
        <w:keepLines/>
        <w:numPr>
          <w:ilvl w:val="0"/>
          <w:numId w:val="4"/>
        </w:numPr>
        <w:spacing w:line="360" w:lineRule="auto"/>
        <w:ind w:left="283" w:hanging="425"/>
        <w:jc w:val="center"/>
        <w:outlineLvl w:val="0"/>
        <w:rPr>
          <w:rFonts w:hint="eastAsia" w:ascii="宋体" w:hAnsi="宋体" w:eastAsia="宋体" w:cs="宋体"/>
          <w:b/>
          <w:bCs/>
          <w:spacing w:val="-20"/>
          <w:kern w:val="44"/>
          <w:sz w:val="28"/>
          <w:szCs w:val="28"/>
        </w:rPr>
      </w:pPr>
      <w:bookmarkStart w:id="154" w:name="_Toc217446093"/>
      <w:bookmarkStart w:id="155" w:name="_Toc29465"/>
      <w:bookmarkStart w:id="156" w:name="_Toc316292231"/>
      <w:bookmarkStart w:id="157" w:name="_Toc321382057"/>
      <w:r>
        <w:rPr>
          <w:rFonts w:hint="eastAsia" w:ascii="宋体" w:hAnsi="宋体" w:eastAsia="宋体" w:cs="宋体"/>
          <w:b/>
          <w:bCs/>
          <w:spacing w:val="-20"/>
          <w:kern w:val="44"/>
          <w:sz w:val="28"/>
          <w:szCs w:val="28"/>
        </w:rPr>
        <w:t>招标项目技术、服务、商务及其他要求</w:t>
      </w:r>
      <w:bookmarkEnd w:id="154"/>
      <w:bookmarkEnd w:id="155"/>
    </w:p>
    <w:p>
      <w:pPr>
        <w:keepNext/>
        <w:keepLines/>
        <w:widowControl w:val="0"/>
        <w:numPr>
          <w:ilvl w:val="1"/>
          <w:numId w:val="4"/>
        </w:numPr>
        <w:tabs>
          <w:tab w:val="left" w:pos="0"/>
          <w:tab w:val="left" w:pos="426"/>
          <w:tab w:val="left" w:pos="576"/>
          <w:tab w:val="left" w:pos="786"/>
        </w:tabs>
        <w:spacing w:before="0" w:after="0" w:line="500" w:lineRule="exact"/>
        <w:ind w:left="567" w:hanging="567"/>
        <w:jc w:val="both"/>
        <w:outlineLvl w:val="1"/>
        <w:rPr>
          <w:rFonts w:hint="eastAsia" w:ascii="宋体" w:hAnsi="宋体" w:eastAsia="宋体" w:cs="宋体"/>
          <w:sz w:val="28"/>
          <w:szCs w:val="28"/>
          <w:lang w:val="en-US" w:eastAsia="zh-CN"/>
        </w:rPr>
      </w:pPr>
      <w:bookmarkStart w:id="158" w:name="_Toc54857461"/>
      <w:bookmarkStart w:id="159" w:name="_Toc72309526"/>
      <w:bookmarkStart w:id="160" w:name="_Toc18256"/>
      <w:bookmarkStart w:id="161" w:name="_Toc533672602"/>
      <w:bookmarkStart w:id="162" w:name="_Toc529173741"/>
      <w:r>
        <w:rPr>
          <w:rFonts w:hint="eastAsia" w:ascii="宋体" w:hAnsi="宋体" w:eastAsia="宋体" w:cs="宋体"/>
          <w:b/>
          <w:bCs/>
          <w:kern w:val="2"/>
          <w:sz w:val="28"/>
          <w:szCs w:val="28"/>
          <w:lang w:val="en-US" w:eastAsia="zh-CN" w:bidi="ar-SA"/>
        </w:rPr>
        <w:t>项目概况</w:t>
      </w:r>
      <w:bookmarkEnd w:id="158"/>
      <w:bookmarkEnd w:id="159"/>
      <w:bookmarkEnd w:id="160"/>
      <w:bookmarkStart w:id="163" w:name="_Toc513796936"/>
    </w:p>
    <w:bookmarkEnd w:id="163"/>
    <w:p>
      <w:pPr>
        <w:spacing w:line="360" w:lineRule="auto"/>
        <w:ind w:firstLine="560" w:firstLineChars="200"/>
        <w:rPr>
          <w:rFonts w:hint="eastAsia" w:ascii="宋体" w:hAnsi="宋体" w:eastAsia="宋体" w:cs="宋体"/>
          <w:b w:val="0"/>
          <w:bCs/>
          <w:color w:val="auto"/>
          <w:sz w:val="28"/>
          <w:szCs w:val="28"/>
          <w:shd w:val="clear" w:color="auto" w:fill="auto"/>
          <w:lang w:val="en-US" w:eastAsia="zh-CN"/>
        </w:rPr>
      </w:pPr>
      <w:bookmarkStart w:id="164" w:name="_Toc16149"/>
      <w:r>
        <w:rPr>
          <w:rFonts w:hint="eastAsia" w:ascii="宋体" w:hAnsi="宋体" w:eastAsia="宋体" w:cs="宋体"/>
          <w:color w:val="000000" w:themeColor="text1"/>
          <w:sz w:val="28"/>
          <w:szCs w:val="28"/>
          <w14:textFill>
            <w14:solidFill>
              <w14:schemeClr w14:val="tx1"/>
            </w14:solidFill>
          </w14:textFill>
        </w:rPr>
        <w:t>成都市新都区第三人民医院位于新都区大丰街道崇义桥街468号，医院占地面积30亩，是一所集医疗、康复、预防保健、科研、教学为一体的国家二级甲等综合医院。设置有呼吸内科、消化内科、心血管内科、内分泌科、神经内科、普通外科、骨科、神经外科、泌尿外科、儿科（新生儿室）、急诊医学科、妇科、产科、重症医学科、眼科、耳鼻咽喉科、传染科、口腔科、皮肤科、中医科、康复科、麻醉科、手术室、医学检验科、血库、放射科、超声科、健康体检中心等28个临床医技科室，编制床位499张。</w:t>
      </w:r>
    </w:p>
    <w:p>
      <w:pPr>
        <w:pStyle w:val="3"/>
        <w:ind w:left="567" w:hanging="567"/>
        <w:outlineLvl w:val="1"/>
        <w:rPr>
          <w:rFonts w:hint="eastAsia" w:ascii="宋体" w:hAnsi="宋体" w:eastAsia="宋体" w:cs="宋体"/>
          <w:kern w:val="0"/>
          <w:sz w:val="28"/>
          <w:szCs w:val="28"/>
          <w:highlight w:val="none"/>
          <w:lang w:val="en-US" w:eastAsia="zh-CN"/>
        </w:rPr>
      </w:pPr>
      <w:bookmarkStart w:id="165" w:name="_Toc20900"/>
      <w:r>
        <w:rPr>
          <w:rFonts w:hint="eastAsia" w:ascii="宋体" w:hAnsi="宋体" w:eastAsia="宋体" w:cs="宋体"/>
          <w:color w:val="auto"/>
          <w:kern w:val="0"/>
          <w:sz w:val="28"/>
          <w:szCs w:val="28"/>
          <w:highlight w:val="none"/>
        </w:rPr>
        <w:t>服务内容</w:t>
      </w:r>
      <w:bookmarkEnd w:id="164"/>
      <w:r>
        <w:rPr>
          <w:rFonts w:hint="eastAsia" w:ascii="宋体" w:hAnsi="宋体" w:eastAsia="宋体" w:cs="宋体"/>
          <w:color w:val="auto"/>
          <w:kern w:val="0"/>
          <w:sz w:val="28"/>
          <w:szCs w:val="28"/>
          <w:highlight w:val="none"/>
          <w:lang w:eastAsia="zh-CN"/>
        </w:rPr>
        <w:t>及要求</w:t>
      </w:r>
      <w:bookmarkEnd w:id="165"/>
    </w:p>
    <w:p>
      <w:pPr>
        <w:spacing w:line="360" w:lineRule="auto"/>
        <w:ind w:firstLine="562" w:firstLineChars="200"/>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4.2.1服务内容</w:t>
      </w:r>
    </w:p>
    <w:p>
      <w:pPr>
        <w:pStyle w:val="14"/>
        <w:widowControl/>
        <w:shd w:val="clear" w:color="auto" w:fill="FFFFFF"/>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（1）负责门诊楼清洁卫生工作；</w:t>
      </w:r>
    </w:p>
    <w:p>
      <w:pPr>
        <w:pStyle w:val="14"/>
        <w:widowControl/>
        <w:shd w:val="clear" w:color="auto" w:fill="FFFFFF"/>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（2）负责急诊科担架员工作；</w:t>
      </w:r>
    </w:p>
    <w:p>
      <w:pPr>
        <w:pStyle w:val="14"/>
        <w:widowControl/>
        <w:shd w:val="clear" w:color="auto" w:fill="FFFFFF"/>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（3）负责门诊楼洗涤工作；</w:t>
      </w:r>
    </w:p>
    <w:p>
      <w:pPr>
        <w:pStyle w:val="14"/>
        <w:widowControl/>
        <w:shd w:val="clear" w:color="auto" w:fill="FFFFFF"/>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（4）负责院内的中央运输服务工作；</w:t>
      </w:r>
    </w:p>
    <w:p>
      <w:pPr>
        <w:pStyle w:val="14"/>
        <w:widowControl/>
        <w:shd w:val="clear" w:color="auto" w:fill="FFFFFF"/>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（5）负责院内的供应室工勤服务工作；</w:t>
      </w:r>
    </w:p>
    <w:p>
      <w:pPr>
        <w:pStyle w:val="14"/>
        <w:widowControl/>
        <w:shd w:val="clear" w:color="auto" w:fill="FFFFFF"/>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（6）负责院内检查科后勤服务工作。</w:t>
      </w:r>
    </w:p>
    <w:p>
      <w:pPr>
        <w:spacing w:line="360" w:lineRule="auto"/>
        <w:ind w:firstLine="562" w:firstLineChars="200"/>
        <w:outlineLvl w:val="2"/>
        <w:rPr>
          <w:rFonts w:ascii="宋体" w:hAnsi="宋体"/>
          <w:b/>
          <w:bCs/>
          <w:color w:val="auto"/>
          <w:sz w:val="24"/>
          <w:highlight w:val="none"/>
        </w:rPr>
      </w:pPr>
      <w:r>
        <w:rPr>
          <w:rFonts w:hint="eastAsia" w:ascii="宋体" w:hAnsi="宋体" w:eastAsia="宋体" w:cs="宋体"/>
          <w:b/>
          <w:bCs/>
          <w:color w:val="000000" w:themeColor="text1"/>
          <w:sz w:val="28"/>
          <w:szCs w:val="28"/>
          <w:highlight w:val="none"/>
          <w14:textFill>
            <w14:solidFill>
              <w14:schemeClr w14:val="tx1"/>
            </w14:solidFill>
          </w14:textFill>
        </w:rPr>
        <w:t>4.2.2人员服务配备表及要求：</w:t>
      </w:r>
    </w:p>
    <w:p>
      <w:pPr>
        <w:widowControl/>
        <w:tabs>
          <w:tab w:val="left" w:pos="5245"/>
        </w:tabs>
        <w:spacing w:line="360" w:lineRule="auto"/>
        <w:jc w:val="center"/>
        <w:rPr>
          <w:rFonts w:ascii="宋体" w:hAnsi="宋体"/>
          <w:b/>
          <w:bCs/>
          <w:color w:val="auto"/>
          <w:sz w:val="24"/>
          <w:highlight w:val="none"/>
        </w:rPr>
      </w:pPr>
      <w:r>
        <w:rPr>
          <w:rFonts w:hint="eastAsia" w:ascii="宋体" w:hAnsi="宋体"/>
          <w:b/>
          <w:bCs/>
          <w:color w:val="auto"/>
          <w:sz w:val="24"/>
          <w:highlight w:val="none"/>
        </w:rPr>
        <w:t>人员配备表</w:t>
      </w:r>
    </w:p>
    <w:tbl>
      <w:tblPr>
        <w:tblStyle w:val="16"/>
        <w:tblW w:w="82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261"/>
        <w:gridCol w:w="1713"/>
        <w:gridCol w:w="1714"/>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07" w:type="dxa"/>
            <w:gridSpan w:val="4"/>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区域</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岗位设置人数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07" w:type="dxa"/>
            <w:gridSpan w:val="4"/>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担架员</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07" w:type="dxa"/>
            <w:gridSpan w:val="4"/>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洗涤人员</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19" w:type="dxa"/>
            <w:vMerge w:val="restart"/>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中央运输</w:t>
            </w:r>
          </w:p>
        </w:tc>
        <w:tc>
          <w:tcPr>
            <w:tcW w:w="3688" w:type="dxa"/>
            <w:gridSpan w:val="3"/>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送检</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19" w:type="dxa"/>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3688" w:type="dxa"/>
            <w:gridSpan w:val="3"/>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陪检（含休假2人）</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19" w:type="dxa"/>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3688" w:type="dxa"/>
            <w:gridSpan w:val="3"/>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夜班</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07" w:type="dxa"/>
            <w:gridSpan w:val="4"/>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供应室工勤员</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07" w:type="dxa"/>
            <w:gridSpan w:val="4"/>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检查科后勤服务人员</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restart"/>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保洁人员</w:t>
            </w:r>
          </w:p>
        </w:tc>
        <w:tc>
          <w:tcPr>
            <w:tcW w:w="1713" w:type="dxa"/>
            <w:vMerge w:val="restart"/>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门诊楼</w:t>
            </w:r>
          </w:p>
        </w:tc>
        <w:tc>
          <w:tcPr>
            <w:tcW w:w="1714"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1楼</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1713" w:type="dxa"/>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1714"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2楼</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1713" w:type="dxa"/>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1714"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3楼</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1713" w:type="dxa"/>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1714"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4楼</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1713" w:type="dxa"/>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1714"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5楼</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3427" w:type="dxa"/>
            <w:gridSpan w:val="2"/>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发热门诊</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3427" w:type="dxa"/>
            <w:gridSpan w:val="2"/>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新冠疫苗接种点</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3427" w:type="dxa"/>
            <w:gridSpan w:val="2"/>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行政楼及附属楼</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3427" w:type="dxa"/>
            <w:gridSpan w:val="2"/>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外围</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3427" w:type="dxa"/>
            <w:gridSpan w:val="2"/>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机动人员</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07" w:type="dxa"/>
            <w:gridSpan w:val="4"/>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合计</w:t>
            </w:r>
          </w:p>
        </w:tc>
        <w:tc>
          <w:tcPr>
            <w:tcW w:w="2841" w:type="dxa"/>
            <w:vAlign w:val="center"/>
          </w:tcPr>
          <w:p>
            <w:pPr>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40人</w:t>
            </w:r>
          </w:p>
        </w:tc>
      </w:tr>
    </w:tbl>
    <w:p>
      <w:pPr>
        <w:widowControl/>
        <w:adjustRightInd w:val="0"/>
        <w:snapToGrid w:val="0"/>
        <w:spacing w:line="360" w:lineRule="auto"/>
        <w:ind w:right="-340" w:rightChars="-162"/>
        <w:jc w:val="left"/>
        <w:rPr>
          <w:rFonts w:ascii="宋体" w:hAnsi="宋体"/>
          <w:b/>
          <w:bCs/>
          <w:color w:val="auto"/>
          <w:sz w:val="24"/>
          <w:highlight w:val="none"/>
        </w:rPr>
      </w:pPr>
    </w:p>
    <w:p>
      <w:pPr>
        <w:spacing w:line="360" w:lineRule="auto"/>
        <w:ind w:firstLine="562" w:firstLineChars="200"/>
        <w:outlineLvl w:val="2"/>
        <w:rPr>
          <w:rFonts w:hint="default" w:ascii="宋体" w:hAnsi="宋体" w:cs="宋体" w:eastAsiaTheme="minorEastAsia"/>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3</w:t>
      </w:r>
      <w:r>
        <w:rPr>
          <w:rFonts w:hint="eastAsia" w:ascii="宋体" w:hAnsi="宋体" w:eastAsia="宋体" w:cs="宋体"/>
          <w:sz w:val="28"/>
          <w:szCs w:val="28"/>
          <w:highlight w:val="none"/>
          <w:lang w:val="en-US" w:eastAsia="zh-CN"/>
        </w:rPr>
        <w:t>★</w:t>
      </w:r>
      <w:r>
        <w:rPr>
          <w:rFonts w:hint="eastAsia" w:ascii="宋体" w:hAnsi="宋体"/>
          <w:b/>
          <w:bCs/>
          <w:color w:val="auto"/>
          <w:sz w:val="24"/>
          <w:highlight w:val="none"/>
        </w:rPr>
        <w:t>人员要求</w:t>
      </w:r>
      <w:r>
        <w:rPr>
          <w:rFonts w:hint="eastAsia" w:ascii="宋体" w:hAnsi="宋体"/>
          <w:b/>
          <w:bCs/>
          <w:color w:val="auto"/>
          <w:sz w:val="24"/>
          <w:highlight w:val="none"/>
          <w:lang w:eastAsia="zh-CN"/>
        </w:rPr>
        <w:t>（按招标文件</w:t>
      </w:r>
      <w:r>
        <w:rPr>
          <w:rFonts w:hint="eastAsia" w:ascii="宋体" w:hAnsi="宋体"/>
          <w:b/>
          <w:bCs/>
          <w:color w:val="auto"/>
          <w:sz w:val="24"/>
          <w:highlight w:val="none"/>
          <w:lang w:val="en-US" w:eastAsia="zh-CN"/>
        </w:rPr>
        <w:t>3.3.5内容进行承诺）</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（1）保洁人员年龄60周岁以下，吃苦耐劳，身体健康。</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（2）保洁人员执行轮休制，每星期轮休一天。</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（3）保洁人员上岗必须经过岗前培训，了解医院各层布局、特点、掌握医院操作规程，尤其是院感知识的学习和培训，培训合格才能上岗。</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（4）服务人员必须服从科室主任、护士长安排、管理，统一服装，严禁上班时间围堆闲谈，大声喧哗，做跟工作无关的事。</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（5）如医院有突出检查或文明城市检查以及临时任务，中标方按院方要求完成好。</w:t>
      </w:r>
    </w:p>
    <w:p>
      <w:pPr>
        <w:spacing w:line="360" w:lineRule="auto"/>
        <w:ind w:firstLine="560" w:firstLineChars="200"/>
        <w:outlineLvl w:val="2"/>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（6）按需求全年365天不间断提供服务，担架员、中央运输岗位需要24小时服务。</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4</w:t>
      </w:r>
      <w:r>
        <w:rPr>
          <w:rFonts w:hint="eastAsia" w:ascii="宋体" w:hAnsi="宋体" w:eastAsia="宋体" w:cs="宋体"/>
          <w:b/>
          <w:bCs/>
          <w:color w:val="000000" w:themeColor="text1"/>
          <w:sz w:val="28"/>
          <w:szCs w:val="28"/>
          <w:highlight w:val="none"/>
          <w:lang w:eastAsia="zh-CN"/>
          <w14:textFill>
            <w14:solidFill>
              <w14:schemeClr w14:val="tx1"/>
            </w14:solidFill>
          </w14:textFill>
        </w:rPr>
        <w:t>项目各岗位职责</w:t>
      </w:r>
    </w:p>
    <w:p>
      <w:pPr>
        <w:widowControl/>
        <w:adjustRightInd w:val="0"/>
        <w:snapToGrid w:val="0"/>
        <w:spacing w:line="360" w:lineRule="auto"/>
        <w:ind w:right="-483" w:rightChars="-230" w:firstLine="562" w:firstLineChars="200"/>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担架员岗位职责</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（1）严格遵守上下班时间，做好交接班工作，保证24小时人员到岗。</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（2）着装整洁，佩戴工作证。</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（3）遵循急、危重、缓的服务原则。</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（4）危重病人转运时，需在医护人员指导下工作，防止意外发生。</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（5）转运病人时，做到稳、轻、迅速。</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（6）严禁酒后上岗，工作时间不得饮酒。</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p>
      <w:pPr>
        <w:widowControl/>
        <w:adjustRightInd w:val="0"/>
        <w:snapToGrid w:val="0"/>
        <w:spacing w:line="360" w:lineRule="auto"/>
        <w:ind w:right="-483" w:rightChars="-230" w:firstLine="562" w:firstLineChars="200"/>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洗涤人员岗位职责</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（1）严格上下班时间，做好洗涤间的清洁与消毒工作。</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（2）认真做好各项登记记录，坚持下收下送制度，收发被服当面点清，完善签字交接制度，防止差错。</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（3）严格操作规程和分类洗涤制度，防止交叉感染。</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p>
      <w:pPr>
        <w:widowControl/>
        <w:adjustRightInd w:val="0"/>
        <w:snapToGrid w:val="0"/>
        <w:spacing w:line="360" w:lineRule="auto"/>
        <w:ind w:right="-483" w:rightChars="-230" w:firstLine="562" w:firstLineChars="200"/>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中央运输人员岗位职责</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（1）在上班期间必须统一着工作服，并保持干净整洁；</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（2）严格遵守各项规章制度，不得迟到、早退、旷工，有事需提前请假；</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（3）在岗期间不得擅离岗位，不群集闲聊，不随意离岗、串岗或进行其他与工作无关的事情；</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（4）与人沟通注意礼节礼貌及文明用语，要做到举止大方，避免发生争执与冲突；严禁在公共场所说脏话、大声喧哗、嬉戏；</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（5）在上班期间应做好自身防护，注意手部清洁与消毒，懂得基本的消毒方法；</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（6）病人运输工具及标本转运箱应做到消毒隔离，防止交叉感染；</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（7）标本或药品登记时必须做到三查七对；</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（8）认真完成本职工作，服从调度工作安排。</w:t>
      </w:r>
    </w:p>
    <w:p>
      <w:pPr>
        <w:widowControl/>
        <w:adjustRightInd w:val="0"/>
        <w:snapToGrid w:val="0"/>
        <w:spacing w:line="360" w:lineRule="auto"/>
        <w:ind w:right="-483" w:rightChars="-230" w:firstLine="562" w:firstLineChars="200"/>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供应室工勤员（护工）岗位职责</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（1）严格遵守上下班时间，服从科室管理。</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（2）实施各项操作时应严格遵守操作规范和制度，安全工作第一。</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（3）按照院感要求，正确配置、使用消毒液。</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（4）上收、下发时，应按要求清点数量，做好登记记录。</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（5）做好手卫生及个人防护。</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p>
      <w:pPr>
        <w:widowControl/>
        <w:adjustRightInd w:val="0"/>
        <w:snapToGrid w:val="0"/>
        <w:spacing w:line="360" w:lineRule="auto"/>
        <w:ind w:right="-483" w:rightChars="-230" w:firstLine="562" w:firstLineChars="200"/>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检查科后勤服务人员岗位职责</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（1）严格上下班时间，着装整洁，佩戴工作证。</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（2）认真做好各项记录，严格执行操作规程。</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（3）仔细核对病人姓名、年龄、性别、诊断、检查部位及临床要求，按医生要求认真规范填写报告。</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（4）做好病人资料管理，不得向他人泄漏病人资料。</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p>
      <w:pPr>
        <w:widowControl/>
        <w:adjustRightInd w:val="0"/>
        <w:snapToGrid w:val="0"/>
        <w:spacing w:line="360" w:lineRule="auto"/>
        <w:ind w:right="-483" w:rightChars="-230" w:firstLine="562" w:firstLineChars="200"/>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保洁员岗位职责</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（1）保洁员在上班期间必须统一着工作服，并保持其干净整洁；</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（2）上班期间不得迟到、早退；</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（3）在岗期间不得擅离岗位，不群集闲聊，不随意离岗、串岗、吃零食、打扑克或进行其他与工作无关的事情；</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（4）请假规定：（1）、不得无故请假，请假者，须当面请假，要交请假条并经管理人员批准；（2）、病假可以电话请假，但需出示医院病情证明，事假一律当面请假，需交请假条；</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（5）未经允许不得私自丢弃他人物品；</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（6）与人沟通注意礼节礼貌及文明用语，要做到举止大方，避免发生争执与冲突；严禁在公共场所说脏话、大声喧哗、嬉戏；</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7）服从管理、明确责任，树立良好的责任心；每日对所管辖卫生区域做到随脏随扫，使工作间、设备及门、窗、墙、地等清洁无污，玻璃洁净，走廊、楼道、扶手以及卫生间无污垢；多巡视，发现问题及时清扫处理，并接受物业单位的监督；</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（8）保洁员在上班期间应做好自身防护，注意手部清洁与消毒，懂得基本的消毒方法；</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（9)在保洁工作的同时，发现室内建筑、家具、设施有所损坏，影响使用或有碍观瞻，应及时报告；</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(10)保洁员在工作时不要将工具任意堆放，以免影响其他人员活动、工作或引起道路堵塞；进入办公室不得拔去办公室电器设备的电源插头；</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(11)清洁办公室、会议室时，应先敲门确定是否有人在，如有人，应先征得同意后再行清扫（尽量在不使用的情况下打扫）；清洁公用卫生间时应放置标识牌。</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(12)保洁员应爱护清洁用具，妥善保管；</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(13)服从相关工作安排调动，不得有你我之分，不得以各种理由推脱、搪塞。</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(14)发扬不怕苦、不怕脏、不怕累的精神，树立全心全意服务的思想，做到尽心尽责。在主管的监督指导下，努力做好本职工作，并积极完成上级领导交办的其他工作任务；</w:t>
      </w:r>
    </w:p>
    <w:p>
      <w:pPr>
        <w:widowControl/>
        <w:adjustRightInd w:val="0"/>
        <w:snapToGrid w:val="0"/>
        <w:spacing w:line="360" w:lineRule="auto"/>
        <w:ind w:right="-483" w:rightChars="-23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(15)如需辞职需提前15天写书面申请（辞职报告），待新保洁员上岗并能熟悉工作的情况下方能离岗。</w:t>
      </w:r>
    </w:p>
    <w:p>
      <w:pPr>
        <w:pStyle w:val="2"/>
        <w:ind w:left="0" w:leftChars="0" w:firstLine="640" w:firstLineChars="0"/>
        <w:rPr>
          <w:rFonts w:hint="eastAsia" w:ascii="宋体" w:hAnsi="宋体" w:eastAsia="宋体" w:cs="宋体"/>
          <w:sz w:val="28"/>
          <w:szCs w:val="28"/>
          <w:highlight w:val="none"/>
        </w:rPr>
      </w:pPr>
    </w:p>
    <w:p>
      <w:pPr>
        <w:spacing w:line="360" w:lineRule="auto"/>
        <w:ind w:firstLine="562" w:firstLineChars="200"/>
        <w:outlineLvl w:val="2"/>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5项目各岗位工作内容</w:t>
      </w:r>
    </w:p>
    <w:p>
      <w:pPr>
        <w:pStyle w:val="92"/>
        <w:snapToGrid w:val="0"/>
        <w:spacing w:line="360" w:lineRule="auto"/>
        <w:ind w:firstLine="0" w:firstLineChars="0"/>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担架员工作内容</w:t>
      </w:r>
    </w:p>
    <w:p>
      <w:pPr>
        <w:pStyle w:val="92"/>
        <w:numPr>
          <w:ilvl w:val="0"/>
          <w:numId w:val="0"/>
        </w:numPr>
        <w:snapToGrid w:val="0"/>
        <w:spacing w:line="360" w:lineRule="auto"/>
        <w:ind w:left="480" w:leftChars="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cs="宋体"/>
          <w:color w:val="000000" w:themeColor="text1"/>
          <w:kern w:val="2"/>
          <w:sz w:val="28"/>
          <w:szCs w:val="28"/>
          <w:highlight w:val="none"/>
          <w:lang w:val="en-US" w:eastAsia="zh-CN" w:bidi="ar-SA"/>
          <w14:textFill>
            <w14:solidFill>
              <w14:schemeClr w14:val="tx1"/>
            </w14:solidFill>
          </w14:textFill>
        </w:rPr>
        <w:t>（1）</w:t>
      </w: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24小时协助急诊科120出诊，负责安全转运病人。</w:t>
      </w:r>
    </w:p>
    <w:p>
      <w:pPr>
        <w:pStyle w:val="92"/>
        <w:numPr>
          <w:ilvl w:val="0"/>
          <w:numId w:val="0"/>
        </w:numPr>
        <w:snapToGrid w:val="0"/>
        <w:spacing w:line="360" w:lineRule="auto"/>
        <w:ind w:left="480" w:leftChars="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cs="宋体"/>
          <w:color w:val="000000" w:themeColor="text1"/>
          <w:kern w:val="2"/>
          <w:sz w:val="28"/>
          <w:szCs w:val="28"/>
          <w:highlight w:val="none"/>
          <w:lang w:val="en-US" w:eastAsia="zh-CN" w:bidi="ar-SA"/>
          <w14:textFill>
            <w14:solidFill>
              <w14:schemeClr w14:val="tx1"/>
            </w14:solidFill>
          </w14:textFill>
        </w:rPr>
        <w:t>（2）</w:t>
      </w: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接诊病人后协助医务人员推送病人做检查。</w:t>
      </w:r>
    </w:p>
    <w:p>
      <w:pPr>
        <w:snapToGrid w:val="0"/>
        <w:spacing w:line="360" w:lineRule="auto"/>
        <w:ind w:left="48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（3）做好转运记录登记并提供相关制度。</w:t>
      </w:r>
    </w:p>
    <w:p>
      <w:pPr>
        <w:pStyle w:val="92"/>
        <w:snapToGrid w:val="0"/>
        <w:spacing w:line="360" w:lineRule="auto"/>
        <w:ind w:firstLine="0" w:firstLineChars="0"/>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洗涤人员工作内容</w:t>
      </w:r>
    </w:p>
    <w:p>
      <w:pPr>
        <w:pStyle w:val="92"/>
        <w:snapToGrid w:val="0"/>
        <w:spacing w:line="360" w:lineRule="auto"/>
        <w:ind w:firstLine="48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cs="宋体"/>
          <w:color w:val="000000" w:themeColor="text1"/>
          <w:kern w:val="2"/>
          <w:sz w:val="28"/>
          <w:szCs w:val="28"/>
          <w:highlight w:val="none"/>
          <w:lang w:val="en-US" w:eastAsia="zh-CN" w:bidi="ar-SA"/>
          <w14:textFill>
            <w14:solidFill>
              <w14:schemeClr w14:val="tx1"/>
            </w14:solidFill>
          </w14:textFill>
        </w:rPr>
        <w:t>（1）</w:t>
      </w: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负责医院内所有各种工作服、被服、巾单等衣物的收集及发送工作，保证医疗、护理的工作需要。</w:t>
      </w:r>
    </w:p>
    <w:p>
      <w:pPr>
        <w:pStyle w:val="92"/>
        <w:snapToGrid w:val="0"/>
        <w:spacing w:line="360" w:lineRule="auto"/>
        <w:ind w:firstLine="48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cs="宋体"/>
          <w:color w:val="000000" w:themeColor="text1"/>
          <w:kern w:val="2"/>
          <w:sz w:val="28"/>
          <w:szCs w:val="28"/>
          <w:highlight w:val="none"/>
          <w:lang w:val="en-US" w:eastAsia="zh-CN" w:bidi="ar-SA"/>
          <w14:textFill>
            <w14:solidFill>
              <w14:schemeClr w14:val="tx1"/>
            </w14:solidFill>
          </w14:textFill>
        </w:rPr>
        <w:t>（2）</w:t>
      </w: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坚持下收下送制度，收发被服当面点清，完善签字交接制度，防止差错。</w:t>
      </w:r>
    </w:p>
    <w:p>
      <w:pPr>
        <w:pStyle w:val="92"/>
        <w:snapToGrid w:val="0"/>
        <w:spacing w:line="360" w:lineRule="auto"/>
        <w:ind w:firstLine="48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cs="宋体"/>
          <w:color w:val="000000" w:themeColor="text1"/>
          <w:kern w:val="2"/>
          <w:sz w:val="28"/>
          <w:szCs w:val="28"/>
          <w:highlight w:val="none"/>
          <w:lang w:val="en-US" w:eastAsia="zh-CN" w:bidi="ar-SA"/>
          <w14:textFill>
            <w14:solidFill>
              <w14:schemeClr w14:val="tx1"/>
            </w14:solidFill>
          </w14:textFill>
        </w:rPr>
        <w:t>（3）</w:t>
      </w: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严格操作规程和分类洗涤制度，防止交叉感染。做到病区床单元物品与工作服分开，有色与无色分开，棉化纤分开。</w:t>
      </w:r>
    </w:p>
    <w:p>
      <w:pPr>
        <w:pStyle w:val="14"/>
        <w:widowControl/>
        <w:shd w:val="clear" w:color="auto" w:fill="FFFFFF"/>
        <w:spacing w:line="360" w:lineRule="auto"/>
        <w:ind w:firstLine="56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p>
      <w:pPr>
        <w:pStyle w:val="14"/>
        <w:widowControl/>
        <w:shd w:val="clear" w:color="auto" w:fill="FFFFFF"/>
        <w:spacing w:line="360" w:lineRule="auto"/>
        <w:jc w:val="cente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中央运输人员工作内容</w:t>
      </w:r>
    </w:p>
    <w:p>
      <w:pPr>
        <w:spacing w:line="360" w:lineRule="auto"/>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送检：</w:t>
      </w:r>
    </w:p>
    <w:p>
      <w:pPr>
        <w:numPr>
          <w:ilvl w:val="0"/>
          <w:numId w:val="34"/>
        </w:numPr>
        <w:spacing w:line="360" w:lineRule="auto"/>
        <w:ind w:firstLine="560" w:firstLineChars="20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接到工作任务，及时到达相应科室。</w:t>
      </w:r>
    </w:p>
    <w:p>
      <w:pPr>
        <w:numPr>
          <w:ilvl w:val="0"/>
          <w:numId w:val="0"/>
        </w:numPr>
        <w:spacing w:line="360" w:lineRule="auto"/>
        <w:ind w:firstLine="560" w:firstLineChars="20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（2）按照要求（院感要求及三查七对要求）收取血液、大小便等标本并做好标本传递登记。</w:t>
      </w:r>
    </w:p>
    <w:p>
      <w:pPr>
        <w:spacing w:line="360" w:lineRule="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（3）在规定时间内（调度中心接到科室通知到标本送达检验科时间为30分钟之内）把各类标本送往检验科，并做好标本传递登记。</w:t>
      </w:r>
    </w:p>
    <w:p>
      <w:pPr>
        <w:spacing w:line="360" w:lineRule="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（4）工作完成后及时报告调度中心等待下一工作任务。</w:t>
      </w:r>
    </w:p>
    <w:p>
      <w:pPr>
        <w:spacing w:line="360" w:lineRule="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（5）在规定时间内（一般取报告时间为上午10点半，下午4点）从各检验中心取回病人的检查报告。</w:t>
      </w:r>
    </w:p>
    <w:p>
      <w:pPr>
        <w:spacing w:line="360" w:lineRule="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（6）按科室分类整理登记工作并提供相关制度。</w:t>
      </w:r>
    </w:p>
    <w:p>
      <w:pPr>
        <w:spacing w:line="360" w:lineRule="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（7）把分好的各类报告送往相应科室，并做好交接登记。</w:t>
      </w:r>
    </w:p>
    <w:p>
      <w:pPr>
        <w:spacing w:line="360" w:lineRule="auto"/>
        <w:ind w:firstLine="560" w:firstLineChars="20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（8）根据医院具体要求每日配送大批量药品或物资至各科室</w:t>
      </w:r>
    </w:p>
    <w:p>
      <w:pPr>
        <w:spacing w:line="360" w:lineRule="auto"/>
        <w:ind w:firstLine="560" w:firstLineChars="20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（9）按照工作要求及规范执行送检工作并提供作业流程图。</w:t>
      </w:r>
    </w:p>
    <w:p>
      <w:pPr>
        <w:spacing w:line="360" w:lineRule="auto"/>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陪检：</w:t>
      </w:r>
    </w:p>
    <w:p>
      <w:pPr>
        <w:spacing w:line="360" w:lineRule="auto"/>
        <w:ind w:firstLine="840" w:firstLineChars="30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（1）接到工作任务，及时到达相应科室。</w:t>
      </w:r>
    </w:p>
    <w:p>
      <w:pPr>
        <w:spacing w:line="360" w:lineRule="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（2）做到文明用语，推送病人前为病人系好安全带，安全陪送病人到检查科室。</w:t>
      </w:r>
    </w:p>
    <w:p>
      <w:pPr>
        <w:spacing w:line="360" w:lineRule="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（3）为病人预约检查单。</w:t>
      </w:r>
    </w:p>
    <w:p>
      <w:pPr>
        <w:spacing w:line="360" w:lineRule="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（4）协助病人进入检查室检查。</w:t>
      </w:r>
    </w:p>
    <w:p>
      <w:pPr>
        <w:spacing w:line="360" w:lineRule="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（5）检查完毕后安全陪送病人返回病房。</w:t>
      </w:r>
    </w:p>
    <w:p>
      <w:pPr>
        <w:spacing w:line="360" w:lineRule="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（6）工作完成后及时报告调度中心等待下一工作任务。</w:t>
      </w:r>
    </w:p>
    <w:p>
      <w:pPr>
        <w:spacing w:line="360" w:lineRule="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（7）接到门诊病人入院任务：及时到达科室，协助入院病人及家属办理入院手续，安全陪送入院病人到住院部相应科室。</w:t>
      </w:r>
    </w:p>
    <w:p>
      <w:pPr>
        <w:spacing w:line="360" w:lineRule="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（8）接到康复人员出院任务：及时到达科室，协助病人及家属办理出院手续，安全陪送出院病人离院。</w:t>
      </w:r>
    </w:p>
    <w:p>
      <w:pPr>
        <w:spacing w:line="360" w:lineRule="auto"/>
        <w:ind w:firstLine="560" w:firstLineChars="20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（9)按照操作规程完成陪检流程并提供作业流程图。</w:t>
      </w:r>
    </w:p>
    <w:p>
      <w:pPr>
        <w:spacing w:line="360" w:lineRule="auto"/>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夜班：</w:t>
      </w:r>
    </w:p>
    <w:p>
      <w:pPr>
        <w:numPr>
          <w:ilvl w:val="0"/>
          <w:numId w:val="35"/>
        </w:numPr>
        <w:spacing w:line="360" w:lineRule="auto"/>
        <w:ind w:firstLine="560" w:firstLineChars="20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接到调度工作安排，在规定时间内（科室通知支持中心时间到标本送达检验科时间为30分钟）到达相应科室收取血液、大小便等标本到检验科送检，并做好标本传递登记。</w:t>
      </w:r>
    </w:p>
    <w:p>
      <w:pPr>
        <w:numPr>
          <w:ilvl w:val="0"/>
          <w:numId w:val="35"/>
        </w:numPr>
        <w:spacing w:line="360" w:lineRule="auto"/>
        <w:ind w:left="0" w:leftChars="0" w:firstLine="560" w:firstLineChars="20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安全推送夜间住院病人做急诊检查，安全送回病房。</w:t>
      </w:r>
    </w:p>
    <w:p>
      <w:pPr>
        <w:numPr>
          <w:ilvl w:val="0"/>
          <w:numId w:val="0"/>
        </w:numPr>
        <w:spacing w:line="360" w:lineRule="auto"/>
        <w:ind w:leftChars="20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（3）按照科室要求取夜间住院病人临时急诊用药。</w:t>
      </w:r>
    </w:p>
    <w:p>
      <w:pPr>
        <w:spacing w:line="360" w:lineRule="auto"/>
        <w:ind w:firstLine="280" w:firstLineChars="10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（4）按照工作要求及规范执行夜班调度工作并提供作业流程图。</w:t>
      </w:r>
    </w:p>
    <w:p>
      <w:pPr>
        <w:pStyle w:val="2"/>
        <w:spacing w:line="360" w:lineRule="auto"/>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供应室工勤员工作内容</w:t>
      </w:r>
    </w:p>
    <w:p>
      <w:pPr>
        <w:spacing w:line="360" w:lineRule="auto"/>
        <w:ind w:firstLine="700" w:firstLineChars="25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（1）在护士长领导和护士以上人员指导下进行工作。</w:t>
      </w:r>
    </w:p>
    <w:p>
      <w:pPr>
        <w:spacing w:line="360" w:lineRule="auto"/>
        <w:ind w:firstLine="700" w:firstLineChars="25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（2）负责各种器械物品浸泡消毒及清理工作，并规范正确配置消毒液，精密器械清洗除外。</w:t>
      </w:r>
    </w:p>
    <w:p>
      <w:pPr>
        <w:spacing w:line="360" w:lineRule="auto"/>
        <w:ind w:firstLine="700" w:firstLineChars="25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供应室的环境保洁工作：每日两次清扫，并负责门、窗、地面、桌椅、橱柜等的清洁工作，经常保持整洁。每周一次小扫除，每月一次大扫除，去污区室内工作完毕后将池内外刷洗干净并消毒，工作的同时要注意个人防护措施。</w:t>
      </w:r>
    </w:p>
    <w:p>
      <w:pPr>
        <w:spacing w:line="360" w:lineRule="auto"/>
        <w:ind w:firstLine="700" w:firstLineChars="25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（4）协助护士做好每天下收和下送的工作，精密器械除外。</w:t>
      </w:r>
    </w:p>
    <w:p>
      <w:pPr>
        <w:spacing w:line="360" w:lineRule="auto"/>
        <w:ind w:firstLine="700" w:firstLineChars="25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（5）负责每周一用75%酒精擦拭紫外线灯管，保持无尘。</w:t>
      </w:r>
    </w:p>
    <w:p>
      <w:pPr>
        <w:spacing w:line="360" w:lineRule="auto"/>
        <w:ind w:firstLine="700" w:firstLineChars="25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（6）处理各类医疗物品时应做到：戴双层手套、防水服，戴口罩、防护面屏。</w:t>
      </w:r>
    </w:p>
    <w:p>
      <w:pPr>
        <w:spacing w:line="360" w:lineRule="auto"/>
        <w:ind w:firstLine="700" w:firstLineChars="25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（7）负责每日下收车、下送车的消毒工作。</w:t>
      </w:r>
    </w:p>
    <w:p>
      <w:pPr>
        <w:spacing w:line="360" w:lineRule="auto"/>
        <w:ind w:firstLine="700" w:firstLineChars="25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（8）每日按时清点敷料，在护士指导下协助制作各种敷料，并包装完成备用。</w:t>
      </w:r>
    </w:p>
    <w:p>
      <w:pPr>
        <w:spacing w:line="360" w:lineRule="auto"/>
        <w:ind w:firstLine="700" w:firstLineChars="25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（9）负责供应室物资、器械上收下送工作。</w:t>
      </w:r>
    </w:p>
    <w:p>
      <w:pPr>
        <w:spacing w:line="360" w:lineRule="auto"/>
        <w:ind w:firstLine="700" w:firstLineChars="25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（10）对工勤员有培训计划及安排，每月定期进行科内培训学习。</w:t>
      </w:r>
    </w:p>
    <w:p>
      <w:pPr>
        <w:pStyle w:val="14"/>
        <w:widowControl/>
        <w:shd w:val="clear" w:color="auto" w:fill="FFFFFF"/>
        <w:spacing w:line="360" w:lineRule="auto"/>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检查科后勤服务人员工作内容</w:t>
      </w:r>
    </w:p>
    <w:p>
      <w:pPr>
        <w:pStyle w:val="14"/>
        <w:widowControl/>
        <w:shd w:val="clear" w:color="auto" w:fill="FFFFFF"/>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（1）认真学习，严格执行操作规程；</w:t>
      </w:r>
    </w:p>
    <w:p>
      <w:pPr>
        <w:pStyle w:val="14"/>
        <w:widowControl/>
        <w:shd w:val="clear" w:color="auto" w:fill="FFFFFF"/>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（2）检查前仔细核对病人姓名、年龄、性别、诊断、检查部位及临床要求，认真仔细按医生要求填写报告；</w:t>
      </w:r>
    </w:p>
    <w:p>
      <w:pPr>
        <w:pStyle w:val="14"/>
        <w:widowControl/>
        <w:shd w:val="clear" w:color="auto" w:fill="FFFFFF"/>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（3）做好登记工作，报告单规范。</w:t>
      </w:r>
    </w:p>
    <w:p>
      <w:pPr>
        <w:pStyle w:val="14"/>
        <w:widowControl/>
        <w:shd w:val="clear" w:color="auto" w:fill="FFFFFF"/>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（4）做好人员信息安全的管理工作。</w:t>
      </w:r>
    </w:p>
    <w:p>
      <w:pPr>
        <w:pStyle w:val="14"/>
        <w:widowControl/>
        <w:shd w:val="clear" w:color="auto" w:fill="FFFFFF"/>
        <w:spacing w:line="360" w:lineRule="auto"/>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保洁人员工作内容</w:t>
      </w:r>
    </w:p>
    <w:p>
      <w:pPr>
        <w:pStyle w:val="14"/>
        <w:widowControl/>
        <w:shd w:val="clear" w:color="auto" w:fill="FFFFFF"/>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（1）门诊楼的保洁：负责门诊1-5层楼梯、门诊大厅、电梯轿厢、厕所及门诊各层走廊的保洁。</w:t>
      </w:r>
    </w:p>
    <w:p>
      <w:pPr>
        <w:widowControl/>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（2）人流手术室（胃肠镜室）保洁：负责手术室各手术间、卫生间、储物间、医护办公室等手术用房及辅助用房的地面、内外走廊、门窗的保洁，以及病员休息室的保洁。</w:t>
      </w:r>
    </w:p>
    <w:p>
      <w:pPr>
        <w:widowControl/>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（3）发热门诊保洁：负责发热病区的诊疗室、办公区等诊疗场所的地面、门窗、设备设施的保洁。</w:t>
      </w:r>
    </w:p>
    <w:p>
      <w:pPr>
        <w:widowControl/>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（4）新冠疫苗接种点保洁：负责新冠疫苗接种点接种室、办公区等诊疗场所的地面、门窗、设备设施的保洁。</w:t>
      </w:r>
    </w:p>
    <w:p>
      <w:pPr>
        <w:widowControl/>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（5）行政办公区保洁：负责所有职能科室地面、门窗、厕所、走廊、楼梯的保洁。</w:t>
      </w:r>
    </w:p>
    <w:p>
      <w:pPr>
        <w:widowControl/>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（6）外围保洁：负责工作区范围内的道路、停车场等全部地面的保洁。</w:t>
      </w:r>
    </w:p>
    <w:p>
      <w:pPr>
        <w:widowControl/>
        <w:spacing w:line="360" w:lineRule="auto"/>
        <w:ind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（7）配合院方做好各项创建活动和检查工作，完成突击、抢险等安全应急工作。如遇灾害天气（暴雨、大雪）、地震应在第一时间内响应，做好灾后清理工作并提供应急措施。</w:t>
      </w:r>
    </w:p>
    <w:p>
      <w:pPr>
        <w:pStyle w:val="2"/>
        <w:ind w:firstLine="490" w:firstLineChars="175"/>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（8）做好医疗垃圾、生活垃圾的收集转运工作，将垃圾转运至医院暂存点。</w:t>
      </w:r>
    </w:p>
    <w:p>
      <w:pPr>
        <w:widowControl/>
        <w:adjustRightInd w:val="0"/>
        <w:snapToGrid w:val="0"/>
        <w:spacing w:line="360" w:lineRule="auto"/>
        <w:ind w:right="-84" w:rightChars="-40"/>
        <w:jc w:val="left"/>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4.2.6投标人承担的相关费用：</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（1）员工工资、福利待遇、税费等 </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（2）保洁工作所需的物资、耗材及清洁工具等</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(注：不含浆洗房洗涤设备及洗涤耗材，不含中央运输所需工具、耗材；不含供应室所需回收车等工具。）</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（3）工作的办公用品</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（4）工作服</w:t>
      </w:r>
    </w:p>
    <w:p>
      <w:pPr>
        <w:widowControl/>
        <w:adjustRightInd w:val="0"/>
        <w:snapToGrid w:val="0"/>
        <w:spacing w:line="360" w:lineRule="auto"/>
        <w:ind w:right="-84" w:rightChars="-40"/>
        <w:jc w:val="left"/>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4.2.7其 它</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（1）大理石地面抛光打磨费、外墙清洗费用、垃圾清运费用由成都市新都区第三人民医院另行支付。</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（2）遇检查或创卫等重大活动需对清洁卫生进行突击，可委托物管公司进行有偿特约服务，费用另行协商。</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（3）项目概况及分析至少包含对本项目现场情况了解及分析、工作重难点及应对措施、管理整体策划方案，管理整体策划方案中明确管理思路及管理目标等内容。</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（4）项目管理机构及管理制度至少包含项目管理机构设置、项目日常管理制度，管理制度中明确投诉处理及反馈制度等内容。</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（5）应急预案中至少包含重大突发事件应急预案、职业暴露应急预案、医疗废物泄漏(扩散)突发事件处理应急预案。</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（6）疫情防控方案至少包含针对医院疫情防控提出的工作要求及要点、人员服务规范、新冠疫情防控应急预案，新冠疫情防控应急预案明确疫情物资准备、应急演练等内容。</w:t>
      </w:r>
    </w:p>
    <w:p>
      <w:pPr>
        <w:spacing w:line="360" w:lineRule="auto"/>
        <w:outlineLvl w:val="2"/>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8</w:t>
      </w:r>
      <w:r>
        <w:rPr>
          <w:rFonts w:hint="eastAsia" w:ascii="宋体" w:hAnsi="宋体" w:eastAsia="宋体" w:cs="宋体"/>
          <w:b/>
          <w:bCs/>
          <w:color w:val="000000" w:themeColor="text1"/>
          <w:sz w:val="28"/>
          <w:szCs w:val="28"/>
          <w:highlight w:val="none"/>
          <w:lang w:eastAsia="zh-CN"/>
          <w14:textFill>
            <w14:solidFill>
              <w14:schemeClr w14:val="tx1"/>
            </w14:solidFill>
          </w14:textFill>
        </w:rPr>
        <w:t>考核方法</w:t>
      </w:r>
      <w:bookmarkStart w:id="166" w:name="_Toc6503"/>
    </w:p>
    <w:p>
      <w:pPr>
        <w:widowControl/>
        <w:adjustRightInd w:val="0"/>
        <w:snapToGrid w:val="0"/>
        <w:spacing w:line="360" w:lineRule="auto"/>
        <w:ind w:right="-84" w:rightChars="-40" w:firstLine="562" w:firstLineChars="200"/>
        <w:jc w:val="left"/>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考核标准</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为切实加强采购人环境卫生长效管理工作，充分调动物业公司及服务人员工作积极性，增强工作责任感，提高采购人服务工作管理水平和服务水平，现制定服务工作考核办法，通过对服务工作质量的检查，将考核结果和物业公司的月服务费用挂钩，当月的考核对应当月的服务费用，具体考核办法如下：</w:t>
      </w:r>
    </w:p>
    <w:p>
      <w:pPr>
        <w:widowControl/>
        <w:adjustRightInd w:val="0"/>
        <w:snapToGrid w:val="0"/>
        <w:spacing w:line="360" w:lineRule="auto"/>
        <w:ind w:right="-84" w:rightChars="-40" w:firstLine="562" w:firstLineChars="200"/>
        <w:jc w:val="left"/>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考核原则</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服务人员的日常工作归所在科室管理、考核，院办公室、感染科不定期抽查考核。</w:t>
      </w:r>
    </w:p>
    <w:p>
      <w:pPr>
        <w:widowControl/>
        <w:adjustRightInd w:val="0"/>
        <w:snapToGrid w:val="0"/>
        <w:spacing w:line="360" w:lineRule="auto"/>
        <w:ind w:right="-84" w:rightChars="-40" w:firstLine="562" w:firstLineChars="200"/>
        <w:jc w:val="left"/>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考核小组</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由院办公室、各病区护士长、感染科组成。</w:t>
      </w:r>
    </w:p>
    <w:p>
      <w:pPr>
        <w:widowControl/>
        <w:adjustRightInd w:val="0"/>
        <w:snapToGrid w:val="0"/>
        <w:spacing w:line="360" w:lineRule="auto"/>
        <w:ind w:right="-84" w:rightChars="-40" w:firstLine="562" w:firstLineChars="200"/>
        <w:jc w:val="left"/>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考核办法</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采购人制定《考评细则》将每月到各临床科室进行工作检查， 根据各科室护士长意见汇总后，作为每月的考核指标。</w:t>
      </w:r>
    </w:p>
    <w:tbl>
      <w:tblPr>
        <w:tblStyle w:val="15"/>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528"/>
        <w:gridCol w:w="851"/>
        <w:gridCol w:w="850"/>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jc w:val="center"/>
        </w:trPr>
        <w:tc>
          <w:tcPr>
            <w:tcW w:w="704" w:type="dxa"/>
            <w:vAlign w:val="center"/>
          </w:tcPr>
          <w:p>
            <w:pPr>
              <w:spacing w:line="360" w:lineRule="auto"/>
              <w:jc w:val="center"/>
              <w:rPr>
                <w:rFonts w:ascii="仿宋" w:hAnsi="仿宋" w:eastAsia="仿宋"/>
                <w:b/>
                <w:bCs/>
                <w:color w:val="auto"/>
                <w:sz w:val="18"/>
                <w:szCs w:val="18"/>
                <w:highlight w:val="none"/>
              </w:rPr>
            </w:pPr>
            <w:r>
              <w:rPr>
                <w:rFonts w:hint="eastAsia" w:ascii="仿宋" w:hAnsi="仿宋" w:eastAsia="仿宋"/>
                <w:b/>
                <w:bCs/>
                <w:color w:val="auto"/>
                <w:sz w:val="18"/>
                <w:szCs w:val="18"/>
                <w:highlight w:val="none"/>
              </w:rPr>
              <w:t>序号</w:t>
            </w:r>
          </w:p>
        </w:tc>
        <w:tc>
          <w:tcPr>
            <w:tcW w:w="5528" w:type="dxa"/>
            <w:vAlign w:val="center"/>
          </w:tcPr>
          <w:p>
            <w:pPr>
              <w:spacing w:line="360" w:lineRule="auto"/>
              <w:ind w:firstLine="480"/>
              <w:jc w:val="center"/>
              <w:rPr>
                <w:rFonts w:ascii="仿宋" w:hAnsi="仿宋" w:eastAsia="仿宋"/>
                <w:b/>
                <w:bCs/>
                <w:color w:val="auto"/>
                <w:sz w:val="18"/>
                <w:szCs w:val="18"/>
                <w:highlight w:val="none"/>
              </w:rPr>
            </w:pPr>
            <w:r>
              <w:rPr>
                <w:rFonts w:hint="eastAsia" w:ascii="仿宋" w:hAnsi="仿宋" w:eastAsia="仿宋"/>
                <w:b/>
                <w:bCs/>
                <w:color w:val="auto"/>
                <w:sz w:val="18"/>
                <w:szCs w:val="18"/>
                <w:highlight w:val="none"/>
              </w:rPr>
              <w:t>考核内容</w:t>
            </w:r>
          </w:p>
        </w:tc>
        <w:tc>
          <w:tcPr>
            <w:tcW w:w="851" w:type="dxa"/>
            <w:vAlign w:val="center"/>
          </w:tcPr>
          <w:p>
            <w:pPr>
              <w:spacing w:line="360" w:lineRule="auto"/>
              <w:jc w:val="center"/>
              <w:rPr>
                <w:rFonts w:ascii="仿宋" w:hAnsi="仿宋" w:eastAsia="仿宋"/>
                <w:b/>
                <w:bCs/>
                <w:color w:val="auto"/>
                <w:sz w:val="18"/>
                <w:szCs w:val="18"/>
                <w:highlight w:val="none"/>
              </w:rPr>
            </w:pPr>
            <w:r>
              <w:rPr>
                <w:rFonts w:hint="eastAsia" w:ascii="仿宋" w:hAnsi="仿宋" w:eastAsia="仿宋"/>
                <w:b/>
                <w:bCs/>
                <w:color w:val="auto"/>
                <w:sz w:val="18"/>
                <w:szCs w:val="18"/>
                <w:highlight w:val="none"/>
              </w:rPr>
              <w:t>单项</w:t>
            </w:r>
          </w:p>
          <w:p>
            <w:pPr>
              <w:spacing w:line="360" w:lineRule="auto"/>
              <w:jc w:val="center"/>
              <w:rPr>
                <w:rFonts w:ascii="仿宋" w:hAnsi="仿宋" w:eastAsia="仿宋"/>
                <w:b/>
                <w:bCs/>
                <w:color w:val="auto"/>
                <w:sz w:val="18"/>
                <w:szCs w:val="18"/>
                <w:highlight w:val="none"/>
              </w:rPr>
            </w:pPr>
            <w:r>
              <w:rPr>
                <w:rFonts w:hint="eastAsia" w:ascii="仿宋" w:hAnsi="仿宋" w:eastAsia="仿宋"/>
                <w:b/>
                <w:bCs/>
                <w:color w:val="auto"/>
                <w:sz w:val="18"/>
                <w:szCs w:val="18"/>
                <w:highlight w:val="none"/>
              </w:rPr>
              <w:t>应得分</w:t>
            </w:r>
          </w:p>
        </w:tc>
        <w:tc>
          <w:tcPr>
            <w:tcW w:w="850" w:type="dxa"/>
            <w:vAlign w:val="center"/>
          </w:tcPr>
          <w:p>
            <w:pPr>
              <w:spacing w:line="360" w:lineRule="auto"/>
              <w:jc w:val="center"/>
              <w:rPr>
                <w:rFonts w:ascii="仿宋" w:hAnsi="仿宋" w:eastAsia="仿宋"/>
                <w:b/>
                <w:bCs/>
                <w:color w:val="auto"/>
                <w:sz w:val="18"/>
                <w:szCs w:val="18"/>
                <w:highlight w:val="none"/>
              </w:rPr>
            </w:pPr>
            <w:r>
              <w:rPr>
                <w:rFonts w:hint="eastAsia" w:ascii="仿宋" w:hAnsi="仿宋" w:eastAsia="仿宋"/>
                <w:b/>
                <w:bCs/>
                <w:color w:val="auto"/>
                <w:sz w:val="18"/>
                <w:szCs w:val="18"/>
                <w:highlight w:val="none"/>
              </w:rPr>
              <w:t>单项</w:t>
            </w:r>
          </w:p>
          <w:p>
            <w:pPr>
              <w:spacing w:line="360" w:lineRule="auto"/>
              <w:jc w:val="center"/>
              <w:rPr>
                <w:rFonts w:ascii="仿宋" w:hAnsi="仿宋" w:eastAsia="仿宋"/>
                <w:b/>
                <w:bCs/>
                <w:color w:val="auto"/>
                <w:sz w:val="18"/>
                <w:szCs w:val="18"/>
                <w:highlight w:val="none"/>
              </w:rPr>
            </w:pPr>
            <w:r>
              <w:rPr>
                <w:rFonts w:hint="eastAsia" w:ascii="仿宋" w:hAnsi="仿宋" w:eastAsia="仿宋"/>
                <w:b/>
                <w:bCs/>
                <w:color w:val="auto"/>
                <w:sz w:val="18"/>
                <w:szCs w:val="18"/>
                <w:highlight w:val="none"/>
              </w:rPr>
              <w:t>扣分</w:t>
            </w:r>
          </w:p>
        </w:tc>
        <w:tc>
          <w:tcPr>
            <w:tcW w:w="787" w:type="dxa"/>
            <w:vAlign w:val="center"/>
          </w:tcPr>
          <w:p>
            <w:pPr>
              <w:spacing w:line="360" w:lineRule="auto"/>
              <w:jc w:val="center"/>
              <w:rPr>
                <w:rFonts w:ascii="仿宋" w:hAnsi="仿宋" w:eastAsia="仿宋"/>
                <w:b/>
                <w:bCs/>
                <w:color w:val="auto"/>
                <w:sz w:val="18"/>
                <w:szCs w:val="18"/>
                <w:highlight w:val="none"/>
              </w:rPr>
            </w:pPr>
            <w:r>
              <w:rPr>
                <w:rFonts w:hint="eastAsia" w:ascii="仿宋" w:hAnsi="仿宋" w:eastAsia="仿宋"/>
                <w:b/>
                <w:bCs/>
                <w:color w:val="auto"/>
                <w:sz w:val="18"/>
                <w:szCs w:val="18"/>
                <w:highlight w:val="none"/>
              </w:rPr>
              <w:t>单项</w:t>
            </w:r>
          </w:p>
          <w:p>
            <w:pPr>
              <w:spacing w:line="360" w:lineRule="auto"/>
              <w:jc w:val="center"/>
              <w:rPr>
                <w:rFonts w:ascii="仿宋" w:hAnsi="仿宋" w:eastAsia="仿宋"/>
                <w:b/>
                <w:bCs/>
                <w:color w:val="auto"/>
                <w:sz w:val="18"/>
                <w:szCs w:val="18"/>
                <w:highlight w:val="none"/>
              </w:rPr>
            </w:pPr>
            <w:r>
              <w:rPr>
                <w:rFonts w:hint="eastAsia" w:ascii="仿宋" w:hAnsi="仿宋" w:eastAsia="仿宋"/>
                <w:b/>
                <w:bCs/>
                <w:color w:val="auto"/>
                <w:sz w:val="18"/>
                <w:szCs w:val="18"/>
                <w:highlight w:val="none"/>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704" w:type="dxa"/>
            <w:vAlign w:val="center"/>
          </w:tcPr>
          <w:p>
            <w:pPr>
              <w:spacing w:line="360" w:lineRule="auto"/>
              <w:jc w:val="center"/>
              <w:rPr>
                <w:rFonts w:ascii="仿宋" w:hAnsi="仿宋" w:eastAsia="仿宋"/>
                <w:b/>
                <w:color w:val="auto"/>
                <w:sz w:val="18"/>
                <w:szCs w:val="18"/>
                <w:highlight w:val="none"/>
              </w:rPr>
            </w:pPr>
            <w:r>
              <w:rPr>
                <w:rFonts w:hint="eastAsia" w:ascii="仿宋" w:hAnsi="仿宋" w:eastAsia="仿宋"/>
                <w:b/>
                <w:color w:val="auto"/>
                <w:sz w:val="18"/>
                <w:szCs w:val="18"/>
                <w:highlight w:val="none"/>
              </w:rPr>
              <w:t>一</w:t>
            </w:r>
          </w:p>
        </w:tc>
        <w:tc>
          <w:tcPr>
            <w:tcW w:w="5528" w:type="dxa"/>
            <w:vAlign w:val="center"/>
          </w:tcPr>
          <w:p>
            <w:pPr>
              <w:spacing w:line="360" w:lineRule="auto"/>
              <w:jc w:val="left"/>
              <w:rPr>
                <w:rFonts w:ascii="仿宋" w:hAnsi="仿宋" w:eastAsia="仿宋"/>
                <w:b/>
                <w:color w:val="auto"/>
                <w:sz w:val="18"/>
                <w:szCs w:val="18"/>
                <w:highlight w:val="none"/>
              </w:rPr>
            </w:pPr>
            <w:r>
              <w:rPr>
                <w:rFonts w:hint="eastAsia" w:ascii="仿宋" w:hAnsi="仿宋" w:eastAsia="仿宋"/>
                <w:b/>
                <w:color w:val="auto"/>
                <w:sz w:val="18"/>
                <w:szCs w:val="18"/>
                <w:highlight w:val="none"/>
              </w:rPr>
              <w:t>完善的管理制度、科学的保洁服务（30分）</w:t>
            </w:r>
          </w:p>
        </w:tc>
        <w:tc>
          <w:tcPr>
            <w:tcW w:w="851" w:type="dxa"/>
            <w:vAlign w:val="center"/>
          </w:tcPr>
          <w:p>
            <w:pPr>
              <w:spacing w:line="360" w:lineRule="auto"/>
              <w:ind w:firstLine="482"/>
              <w:jc w:val="center"/>
              <w:rPr>
                <w:rFonts w:ascii="仿宋" w:hAnsi="仿宋" w:eastAsia="仿宋"/>
                <w:b/>
                <w:color w:val="auto"/>
                <w:sz w:val="18"/>
                <w:szCs w:val="18"/>
                <w:highlight w:val="none"/>
              </w:rPr>
            </w:pP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1</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员工岗位制度（不完善的扣1分；没有的不得分）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2</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2</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劳动纪律制度（不完善的扣1分；没有的不得分）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2</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3</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物业管理检查制度（不完善的扣1分；没有的不得分）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2</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4</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清洁机具设备的操作和保养制度（不完善的扣1分）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4</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5</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统一服装和工作牌（没有统一的不得分）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2</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6</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制定保洁工作的操作细则（不完善的扣2分；没有的不得分）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3</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7</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制定中央运输管理制度（不完善的扣2分；没有的不得分）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4</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8</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定人、定点、定时、定任务、定质量标准（没有不得分）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4</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9</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协助院方临时性工作安排（不服从安排的不得分）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5</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10</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做好文明劝导（不尽职不得分）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2</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04" w:type="dxa"/>
            <w:vAlign w:val="center"/>
          </w:tcPr>
          <w:p>
            <w:pPr>
              <w:spacing w:line="360" w:lineRule="auto"/>
              <w:jc w:val="center"/>
              <w:rPr>
                <w:rFonts w:ascii="仿宋" w:hAnsi="仿宋" w:eastAsia="仿宋"/>
                <w:b/>
                <w:color w:val="auto"/>
                <w:sz w:val="18"/>
                <w:szCs w:val="18"/>
                <w:highlight w:val="none"/>
              </w:rPr>
            </w:pPr>
            <w:r>
              <w:rPr>
                <w:rFonts w:hint="eastAsia" w:ascii="仿宋" w:hAnsi="仿宋" w:eastAsia="仿宋"/>
                <w:b/>
                <w:color w:val="auto"/>
                <w:sz w:val="18"/>
                <w:szCs w:val="18"/>
                <w:highlight w:val="none"/>
              </w:rPr>
              <w:t>二</w:t>
            </w:r>
          </w:p>
        </w:tc>
        <w:tc>
          <w:tcPr>
            <w:tcW w:w="5528" w:type="dxa"/>
            <w:vAlign w:val="center"/>
          </w:tcPr>
          <w:p>
            <w:pPr>
              <w:spacing w:line="360" w:lineRule="auto"/>
              <w:jc w:val="left"/>
              <w:rPr>
                <w:rFonts w:ascii="仿宋" w:hAnsi="仿宋" w:eastAsia="仿宋"/>
                <w:b/>
                <w:color w:val="auto"/>
                <w:sz w:val="18"/>
                <w:szCs w:val="18"/>
                <w:highlight w:val="none"/>
              </w:rPr>
            </w:pPr>
            <w:r>
              <w:rPr>
                <w:rFonts w:hint="eastAsia" w:ascii="仿宋" w:hAnsi="仿宋" w:eastAsia="仿宋"/>
                <w:b/>
                <w:color w:val="auto"/>
                <w:sz w:val="18"/>
                <w:szCs w:val="18"/>
                <w:highlight w:val="none"/>
              </w:rPr>
              <w:t>信誉质量（8分）</w:t>
            </w:r>
          </w:p>
        </w:tc>
        <w:tc>
          <w:tcPr>
            <w:tcW w:w="851" w:type="dxa"/>
            <w:vAlign w:val="center"/>
          </w:tcPr>
          <w:p>
            <w:pPr>
              <w:spacing w:line="360" w:lineRule="auto"/>
              <w:ind w:firstLine="482"/>
              <w:jc w:val="center"/>
              <w:rPr>
                <w:rFonts w:ascii="仿宋" w:hAnsi="仿宋" w:eastAsia="仿宋"/>
                <w:b/>
                <w:color w:val="auto"/>
                <w:sz w:val="18"/>
                <w:szCs w:val="18"/>
                <w:highlight w:val="none"/>
              </w:rPr>
            </w:pP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1</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每月与甲方交流工作（没有做到的不得分）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4</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2</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维护甲方声誉（没有做到的不得分）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4</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b/>
                <w:color w:val="auto"/>
                <w:sz w:val="18"/>
                <w:szCs w:val="18"/>
                <w:highlight w:val="none"/>
              </w:rPr>
            </w:pPr>
            <w:r>
              <w:rPr>
                <w:rFonts w:hint="eastAsia" w:ascii="仿宋" w:hAnsi="仿宋" w:eastAsia="仿宋"/>
                <w:b/>
                <w:color w:val="auto"/>
                <w:sz w:val="18"/>
                <w:szCs w:val="18"/>
                <w:highlight w:val="none"/>
              </w:rPr>
              <w:t>三</w:t>
            </w:r>
          </w:p>
        </w:tc>
        <w:tc>
          <w:tcPr>
            <w:tcW w:w="5528" w:type="dxa"/>
            <w:vAlign w:val="center"/>
          </w:tcPr>
          <w:p>
            <w:pPr>
              <w:spacing w:line="360" w:lineRule="auto"/>
              <w:jc w:val="left"/>
              <w:rPr>
                <w:rFonts w:ascii="仿宋" w:hAnsi="仿宋" w:eastAsia="仿宋"/>
                <w:b/>
                <w:color w:val="auto"/>
                <w:sz w:val="18"/>
                <w:szCs w:val="18"/>
                <w:highlight w:val="none"/>
              </w:rPr>
            </w:pPr>
            <w:r>
              <w:rPr>
                <w:rFonts w:hint="eastAsia" w:ascii="仿宋" w:hAnsi="仿宋" w:eastAsia="仿宋"/>
                <w:b/>
                <w:color w:val="auto"/>
                <w:sz w:val="18"/>
                <w:szCs w:val="18"/>
                <w:highlight w:val="none"/>
              </w:rPr>
              <w:t>妥善的工作人员到位情况（6分）</w:t>
            </w:r>
          </w:p>
        </w:tc>
        <w:tc>
          <w:tcPr>
            <w:tcW w:w="851" w:type="dxa"/>
            <w:vAlign w:val="center"/>
          </w:tcPr>
          <w:p>
            <w:pPr>
              <w:spacing w:line="360" w:lineRule="auto"/>
              <w:ind w:firstLine="482"/>
              <w:jc w:val="center"/>
              <w:rPr>
                <w:rFonts w:ascii="仿宋" w:hAnsi="仿宋" w:eastAsia="仿宋"/>
                <w:b/>
                <w:color w:val="auto"/>
                <w:sz w:val="18"/>
                <w:szCs w:val="18"/>
                <w:highlight w:val="none"/>
              </w:rPr>
            </w:pP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1</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岗位设置规定的人员到位情况（没有按照规定设置人员的不得分）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3</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2</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员工积极的工作态度、熟练的作业技能（表现好得3分；良好得2分；不好的不得分）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3</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b/>
                <w:color w:val="auto"/>
                <w:sz w:val="18"/>
                <w:szCs w:val="18"/>
                <w:highlight w:val="none"/>
              </w:rPr>
            </w:pPr>
            <w:r>
              <w:rPr>
                <w:rFonts w:hint="eastAsia" w:ascii="仿宋" w:hAnsi="仿宋" w:eastAsia="仿宋"/>
                <w:b/>
                <w:color w:val="auto"/>
                <w:sz w:val="18"/>
                <w:szCs w:val="18"/>
                <w:highlight w:val="none"/>
              </w:rPr>
              <w:t>四</w:t>
            </w:r>
          </w:p>
        </w:tc>
        <w:tc>
          <w:tcPr>
            <w:tcW w:w="5528" w:type="dxa"/>
            <w:vAlign w:val="center"/>
          </w:tcPr>
          <w:p>
            <w:pPr>
              <w:spacing w:line="360" w:lineRule="auto"/>
              <w:jc w:val="left"/>
              <w:rPr>
                <w:rFonts w:ascii="仿宋" w:hAnsi="仿宋" w:eastAsia="仿宋"/>
                <w:b/>
                <w:color w:val="auto"/>
                <w:sz w:val="18"/>
                <w:szCs w:val="18"/>
                <w:highlight w:val="none"/>
              </w:rPr>
            </w:pPr>
            <w:r>
              <w:rPr>
                <w:rFonts w:hint="eastAsia" w:ascii="仿宋" w:hAnsi="仿宋" w:eastAsia="仿宋"/>
                <w:b/>
                <w:color w:val="auto"/>
                <w:sz w:val="18"/>
                <w:szCs w:val="18"/>
                <w:highlight w:val="none"/>
              </w:rPr>
              <w:t>清洁质量标准 （34分）</w:t>
            </w:r>
          </w:p>
        </w:tc>
        <w:tc>
          <w:tcPr>
            <w:tcW w:w="851" w:type="dxa"/>
            <w:vAlign w:val="center"/>
          </w:tcPr>
          <w:p>
            <w:pPr>
              <w:spacing w:line="360" w:lineRule="auto"/>
              <w:ind w:firstLine="482"/>
              <w:jc w:val="center"/>
              <w:rPr>
                <w:rFonts w:ascii="仿宋" w:hAnsi="仿宋" w:eastAsia="仿宋"/>
                <w:b/>
                <w:color w:val="auto"/>
                <w:sz w:val="18"/>
                <w:szCs w:val="18"/>
                <w:highlight w:val="none"/>
              </w:rPr>
            </w:pP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vAlign w:val="center"/>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1</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地面、绿化带干净、无污迹、烟头、痰迹、纸屑、无果皮(发现一处扣0.1分）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5</w:t>
            </w:r>
          </w:p>
        </w:tc>
        <w:tc>
          <w:tcPr>
            <w:tcW w:w="850" w:type="dxa"/>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2</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门窗、玻璃干净、无积尘、污迹（发现一处扣0.1分）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5</w:t>
            </w:r>
          </w:p>
        </w:tc>
        <w:tc>
          <w:tcPr>
            <w:tcW w:w="850" w:type="dxa"/>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3</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洗手池、痰盂等卫生设施清洁，无污垢、无异味（发现一处扣0.1分）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5</w:t>
            </w:r>
          </w:p>
        </w:tc>
        <w:tc>
          <w:tcPr>
            <w:tcW w:w="850" w:type="dxa"/>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4</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扶手、栏杆无积尘，公共设施设备洁净，无尘、垢，告示牌、指示牌无污无尘（发现一处扣0.1分）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5</w:t>
            </w:r>
          </w:p>
        </w:tc>
        <w:tc>
          <w:tcPr>
            <w:tcW w:w="850" w:type="dxa"/>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5</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厕所便池通畅，蹲位干净，无无污物、积水（发现一处扣0.1分）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5</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6</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设施外观保持清洁，果屑、垃圾箱定期擦洗，无过夜垃圾（发现一处扣0.1分）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5</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7</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绿化带内无白色垃圾、纸屑、果皮等（发现一处扣0.1分）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4</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b/>
                <w:bCs/>
                <w:color w:val="auto"/>
                <w:sz w:val="18"/>
                <w:szCs w:val="18"/>
                <w:highlight w:val="none"/>
              </w:rPr>
            </w:pPr>
            <w:r>
              <w:rPr>
                <w:rFonts w:hint="eastAsia" w:ascii="仿宋" w:hAnsi="仿宋" w:eastAsia="仿宋"/>
                <w:b/>
                <w:bCs/>
                <w:color w:val="auto"/>
                <w:sz w:val="18"/>
                <w:szCs w:val="18"/>
                <w:highlight w:val="none"/>
              </w:rPr>
              <w:t>五</w:t>
            </w:r>
          </w:p>
        </w:tc>
        <w:tc>
          <w:tcPr>
            <w:tcW w:w="5528" w:type="dxa"/>
            <w:vAlign w:val="center"/>
          </w:tcPr>
          <w:p>
            <w:pPr>
              <w:spacing w:line="360" w:lineRule="auto"/>
              <w:jc w:val="left"/>
              <w:rPr>
                <w:rFonts w:ascii="仿宋" w:hAnsi="仿宋" w:eastAsia="仿宋"/>
                <w:b/>
                <w:bCs/>
                <w:color w:val="auto"/>
                <w:sz w:val="18"/>
                <w:szCs w:val="18"/>
                <w:highlight w:val="none"/>
              </w:rPr>
            </w:pPr>
            <w:r>
              <w:rPr>
                <w:rFonts w:hint="eastAsia" w:ascii="仿宋" w:hAnsi="仿宋" w:eastAsia="仿宋"/>
                <w:b/>
                <w:bCs/>
                <w:color w:val="auto"/>
                <w:sz w:val="18"/>
                <w:szCs w:val="18"/>
                <w:highlight w:val="none"/>
              </w:rPr>
              <w:t>中央运输人员工作要求（1</w:t>
            </w:r>
            <w:r>
              <w:rPr>
                <w:rFonts w:ascii="仿宋" w:hAnsi="仿宋" w:eastAsia="仿宋"/>
                <w:b/>
                <w:bCs/>
                <w:color w:val="auto"/>
                <w:sz w:val="18"/>
                <w:szCs w:val="18"/>
                <w:highlight w:val="none"/>
              </w:rPr>
              <w:t>3</w:t>
            </w:r>
            <w:r>
              <w:rPr>
                <w:rFonts w:hint="eastAsia" w:ascii="仿宋" w:hAnsi="仿宋" w:eastAsia="仿宋"/>
                <w:b/>
                <w:bCs/>
                <w:color w:val="auto"/>
                <w:sz w:val="18"/>
                <w:szCs w:val="18"/>
                <w:highlight w:val="none"/>
              </w:rPr>
              <w:t>分）</w:t>
            </w:r>
          </w:p>
        </w:tc>
        <w:tc>
          <w:tcPr>
            <w:tcW w:w="851" w:type="dxa"/>
            <w:vAlign w:val="center"/>
          </w:tcPr>
          <w:p>
            <w:pPr>
              <w:spacing w:line="360" w:lineRule="auto"/>
              <w:jc w:val="center"/>
              <w:rPr>
                <w:rFonts w:ascii="仿宋" w:hAnsi="仿宋" w:eastAsia="仿宋"/>
                <w:color w:val="auto"/>
                <w:sz w:val="18"/>
                <w:szCs w:val="18"/>
                <w:highlight w:val="none"/>
              </w:rPr>
            </w:pP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1</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中央运输工作人员在标本或药品交接必须履行签字交接手续，做到三查七对（未完善手续一次扣0</w:t>
            </w:r>
            <w:r>
              <w:rPr>
                <w:rFonts w:ascii="仿宋" w:hAnsi="仿宋" w:eastAsia="仿宋"/>
                <w:color w:val="auto"/>
                <w:sz w:val="18"/>
                <w:szCs w:val="18"/>
                <w:highlight w:val="none"/>
              </w:rPr>
              <w:t>.1</w:t>
            </w:r>
            <w:r>
              <w:rPr>
                <w:rFonts w:hint="eastAsia" w:ascii="仿宋" w:hAnsi="仿宋" w:eastAsia="仿宋"/>
                <w:color w:val="auto"/>
                <w:sz w:val="18"/>
                <w:szCs w:val="18"/>
                <w:highlight w:val="none"/>
              </w:rPr>
              <w:t>分）</w:t>
            </w:r>
          </w:p>
        </w:tc>
        <w:tc>
          <w:tcPr>
            <w:tcW w:w="851" w:type="dxa"/>
            <w:vAlign w:val="center"/>
          </w:tcPr>
          <w:p>
            <w:pPr>
              <w:spacing w:line="360" w:lineRule="auto"/>
              <w:jc w:val="center"/>
              <w:rPr>
                <w:rFonts w:ascii="仿宋" w:hAnsi="仿宋" w:eastAsia="仿宋"/>
                <w:color w:val="auto"/>
                <w:sz w:val="18"/>
                <w:szCs w:val="18"/>
                <w:highlight w:val="none"/>
              </w:rPr>
            </w:pPr>
            <w:r>
              <w:rPr>
                <w:rFonts w:ascii="仿宋" w:hAnsi="仿宋" w:eastAsia="仿宋"/>
                <w:color w:val="auto"/>
                <w:sz w:val="18"/>
                <w:szCs w:val="18"/>
                <w:highlight w:val="none"/>
              </w:rPr>
              <w:t>5</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2</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中央运输工作人员应严格按照运送注意事项推送病人陪检工作，不得因工作疏忽导致病人二次伤害（一次扣</w:t>
            </w:r>
            <w:r>
              <w:rPr>
                <w:rFonts w:ascii="仿宋" w:hAnsi="仿宋" w:eastAsia="仿宋"/>
                <w:color w:val="auto"/>
                <w:sz w:val="18"/>
                <w:szCs w:val="18"/>
                <w:highlight w:val="none"/>
              </w:rPr>
              <w:t>2</w:t>
            </w:r>
            <w:r>
              <w:rPr>
                <w:rFonts w:hint="eastAsia" w:ascii="仿宋" w:hAnsi="仿宋" w:eastAsia="仿宋"/>
                <w:color w:val="auto"/>
                <w:sz w:val="18"/>
                <w:szCs w:val="18"/>
                <w:highlight w:val="none"/>
              </w:rPr>
              <w:t>分）</w:t>
            </w:r>
          </w:p>
        </w:tc>
        <w:tc>
          <w:tcPr>
            <w:tcW w:w="851" w:type="dxa"/>
            <w:vAlign w:val="center"/>
          </w:tcPr>
          <w:p>
            <w:pPr>
              <w:spacing w:line="360" w:lineRule="auto"/>
              <w:jc w:val="center"/>
              <w:rPr>
                <w:rFonts w:ascii="仿宋" w:hAnsi="仿宋" w:eastAsia="仿宋"/>
                <w:color w:val="auto"/>
                <w:sz w:val="18"/>
                <w:szCs w:val="18"/>
                <w:highlight w:val="none"/>
              </w:rPr>
            </w:pPr>
            <w:r>
              <w:rPr>
                <w:rFonts w:ascii="仿宋" w:hAnsi="仿宋" w:eastAsia="仿宋"/>
                <w:color w:val="auto"/>
                <w:sz w:val="18"/>
                <w:szCs w:val="18"/>
                <w:highlight w:val="none"/>
              </w:rPr>
              <w:t>4</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3</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中央运输工作人员运送服务项目属协助医护人员完成的后勤临床服务工作，服务态度代表医院形象工作，不得说话粗鲁或者与病人及家属发生争吵等（一次扣</w:t>
            </w:r>
            <w:r>
              <w:rPr>
                <w:rFonts w:ascii="仿宋" w:hAnsi="仿宋" w:eastAsia="仿宋"/>
                <w:color w:val="auto"/>
                <w:sz w:val="18"/>
                <w:szCs w:val="18"/>
                <w:highlight w:val="none"/>
              </w:rPr>
              <w:t>2</w:t>
            </w:r>
            <w:r>
              <w:rPr>
                <w:rFonts w:hint="eastAsia" w:ascii="仿宋" w:hAnsi="仿宋" w:eastAsia="仿宋"/>
                <w:color w:val="auto"/>
                <w:sz w:val="18"/>
                <w:szCs w:val="18"/>
                <w:highlight w:val="none"/>
              </w:rPr>
              <w:t>分）</w:t>
            </w:r>
          </w:p>
        </w:tc>
        <w:tc>
          <w:tcPr>
            <w:tcW w:w="851" w:type="dxa"/>
            <w:vAlign w:val="center"/>
          </w:tcPr>
          <w:p>
            <w:pPr>
              <w:spacing w:line="360" w:lineRule="auto"/>
              <w:jc w:val="center"/>
              <w:rPr>
                <w:rFonts w:ascii="仿宋" w:hAnsi="仿宋" w:eastAsia="仿宋"/>
                <w:color w:val="auto"/>
                <w:sz w:val="18"/>
                <w:szCs w:val="18"/>
                <w:highlight w:val="none"/>
              </w:rPr>
            </w:pPr>
            <w:r>
              <w:rPr>
                <w:rFonts w:ascii="仿宋" w:hAnsi="仿宋" w:eastAsia="仿宋"/>
                <w:color w:val="auto"/>
                <w:sz w:val="18"/>
                <w:szCs w:val="18"/>
                <w:highlight w:val="none"/>
              </w:rPr>
              <w:t>4</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b/>
                <w:color w:val="auto"/>
                <w:sz w:val="18"/>
                <w:szCs w:val="18"/>
                <w:highlight w:val="none"/>
              </w:rPr>
            </w:pPr>
            <w:r>
              <w:rPr>
                <w:rFonts w:hint="eastAsia" w:ascii="仿宋" w:hAnsi="仿宋" w:eastAsia="仿宋"/>
                <w:b/>
                <w:color w:val="auto"/>
                <w:sz w:val="18"/>
                <w:szCs w:val="18"/>
                <w:highlight w:val="none"/>
              </w:rPr>
              <w:t>六</w:t>
            </w:r>
          </w:p>
        </w:tc>
        <w:tc>
          <w:tcPr>
            <w:tcW w:w="5528" w:type="dxa"/>
            <w:vAlign w:val="center"/>
          </w:tcPr>
          <w:p>
            <w:pPr>
              <w:spacing w:line="360" w:lineRule="auto"/>
              <w:jc w:val="left"/>
              <w:rPr>
                <w:rFonts w:ascii="仿宋" w:hAnsi="仿宋" w:eastAsia="仿宋"/>
                <w:b/>
                <w:color w:val="auto"/>
                <w:sz w:val="18"/>
                <w:szCs w:val="18"/>
                <w:highlight w:val="none"/>
              </w:rPr>
            </w:pPr>
            <w:r>
              <w:rPr>
                <w:rFonts w:hint="eastAsia" w:ascii="仿宋" w:hAnsi="仿宋" w:eastAsia="仿宋"/>
                <w:b/>
                <w:color w:val="auto"/>
                <w:sz w:val="18"/>
                <w:szCs w:val="18"/>
                <w:highlight w:val="none"/>
              </w:rPr>
              <w:t>供应室工勤员（护工）工作要求（</w:t>
            </w:r>
            <w:r>
              <w:rPr>
                <w:rFonts w:ascii="仿宋" w:hAnsi="仿宋" w:eastAsia="仿宋"/>
                <w:b/>
                <w:color w:val="auto"/>
                <w:sz w:val="18"/>
                <w:szCs w:val="18"/>
                <w:highlight w:val="none"/>
              </w:rPr>
              <w:t>9</w:t>
            </w:r>
            <w:r>
              <w:rPr>
                <w:rFonts w:hint="eastAsia" w:ascii="仿宋" w:hAnsi="仿宋" w:eastAsia="仿宋"/>
                <w:b/>
                <w:color w:val="auto"/>
                <w:sz w:val="18"/>
                <w:szCs w:val="18"/>
                <w:highlight w:val="none"/>
              </w:rPr>
              <w:t>分）</w:t>
            </w:r>
          </w:p>
        </w:tc>
        <w:tc>
          <w:tcPr>
            <w:tcW w:w="851" w:type="dxa"/>
            <w:vAlign w:val="center"/>
          </w:tcPr>
          <w:p>
            <w:pPr>
              <w:spacing w:line="360" w:lineRule="auto"/>
              <w:ind w:firstLine="482"/>
              <w:jc w:val="center"/>
              <w:rPr>
                <w:rFonts w:ascii="仿宋" w:hAnsi="仿宋" w:eastAsia="仿宋"/>
                <w:b/>
                <w:color w:val="auto"/>
                <w:sz w:val="18"/>
                <w:szCs w:val="18"/>
                <w:highlight w:val="none"/>
              </w:rPr>
            </w:pP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1</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供应室工勤人员操作时必须严格遵守操作规范和制度，洁污分开，专车专用（一次扣1分）</w:t>
            </w:r>
          </w:p>
        </w:tc>
        <w:tc>
          <w:tcPr>
            <w:tcW w:w="851" w:type="dxa"/>
            <w:vAlign w:val="center"/>
          </w:tcPr>
          <w:p>
            <w:pPr>
              <w:spacing w:line="360" w:lineRule="auto"/>
              <w:jc w:val="center"/>
              <w:rPr>
                <w:rFonts w:ascii="仿宋" w:hAnsi="仿宋" w:eastAsia="仿宋"/>
                <w:color w:val="auto"/>
                <w:sz w:val="18"/>
                <w:szCs w:val="18"/>
                <w:highlight w:val="none"/>
              </w:rPr>
            </w:pPr>
            <w:r>
              <w:rPr>
                <w:rFonts w:ascii="仿宋" w:hAnsi="仿宋" w:eastAsia="仿宋"/>
                <w:color w:val="auto"/>
                <w:sz w:val="18"/>
                <w:szCs w:val="18"/>
                <w:highlight w:val="none"/>
              </w:rPr>
              <w:t>5</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2</w:t>
            </w:r>
          </w:p>
        </w:tc>
        <w:tc>
          <w:tcPr>
            <w:tcW w:w="5528" w:type="dxa"/>
            <w:vAlign w:val="center"/>
          </w:tcPr>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供应室内清洁卫生必须按照相关消毒规程执行（一次扣0</w:t>
            </w:r>
            <w:r>
              <w:rPr>
                <w:rFonts w:ascii="仿宋" w:hAnsi="仿宋" w:eastAsia="仿宋"/>
                <w:color w:val="auto"/>
                <w:sz w:val="18"/>
                <w:szCs w:val="18"/>
                <w:highlight w:val="none"/>
              </w:rPr>
              <w:t>.5</w:t>
            </w:r>
            <w:r>
              <w:rPr>
                <w:rFonts w:hint="eastAsia" w:ascii="仿宋" w:hAnsi="仿宋" w:eastAsia="仿宋"/>
                <w:color w:val="auto"/>
                <w:sz w:val="18"/>
                <w:szCs w:val="18"/>
                <w:highlight w:val="none"/>
              </w:rPr>
              <w:t>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4</w:t>
            </w:r>
          </w:p>
        </w:tc>
        <w:tc>
          <w:tcPr>
            <w:tcW w:w="850" w:type="dxa"/>
            <w:vAlign w:val="center"/>
          </w:tcPr>
          <w:p>
            <w:pPr>
              <w:spacing w:line="360" w:lineRule="auto"/>
              <w:ind w:firstLine="480"/>
              <w:jc w:val="left"/>
              <w:rPr>
                <w:rFonts w:ascii="仿宋" w:hAnsi="仿宋" w:eastAsia="仿宋"/>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6232" w:type="dxa"/>
            <w:gridSpan w:val="2"/>
            <w:vAlign w:val="center"/>
          </w:tcPr>
          <w:p>
            <w:pPr>
              <w:spacing w:line="360" w:lineRule="auto"/>
              <w:ind w:firstLine="270" w:firstLineChars="150"/>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合计总分</w:t>
            </w:r>
          </w:p>
        </w:tc>
        <w:tc>
          <w:tcPr>
            <w:tcW w:w="851" w:type="dxa"/>
            <w:vAlign w:val="center"/>
          </w:tcPr>
          <w:p>
            <w:pPr>
              <w:spacing w:line="360" w:lineRule="auto"/>
              <w:jc w:val="center"/>
              <w:rPr>
                <w:rFonts w:ascii="仿宋" w:hAnsi="仿宋" w:eastAsia="仿宋"/>
                <w:color w:val="auto"/>
                <w:sz w:val="18"/>
                <w:szCs w:val="18"/>
                <w:highlight w:val="none"/>
              </w:rPr>
            </w:pPr>
            <w:r>
              <w:rPr>
                <w:rFonts w:hint="eastAsia" w:ascii="仿宋" w:hAnsi="仿宋" w:eastAsia="仿宋"/>
                <w:color w:val="auto"/>
                <w:sz w:val="18"/>
                <w:szCs w:val="18"/>
                <w:highlight w:val="none"/>
              </w:rPr>
              <w:t>100</w:t>
            </w:r>
          </w:p>
        </w:tc>
        <w:tc>
          <w:tcPr>
            <w:tcW w:w="850" w:type="dxa"/>
            <w:vAlign w:val="center"/>
          </w:tcPr>
          <w:p>
            <w:pPr>
              <w:spacing w:line="360" w:lineRule="auto"/>
              <w:ind w:firstLine="482"/>
              <w:jc w:val="left"/>
              <w:rPr>
                <w:rFonts w:ascii="仿宋" w:hAnsi="仿宋" w:eastAsia="仿宋"/>
                <w:b/>
                <w:color w:val="auto"/>
                <w:sz w:val="18"/>
                <w:szCs w:val="18"/>
                <w:highlight w:val="none"/>
              </w:rPr>
            </w:pPr>
          </w:p>
        </w:tc>
        <w:tc>
          <w:tcPr>
            <w:tcW w:w="787" w:type="dxa"/>
          </w:tcPr>
          <w:p>
            <w:pPr>
              <w:spacing w:line="360" w:lineRule="auto"/>
              <w:ind w:firstLine="480"/>
              <w:jc w:val="left"/>
              <w:rPr>
                <w:rFonts w:ascii="仿宋" w:hAnsi="仿宋" w:eastAsia="仿宋"/>
                <w:color w:val="auto"/>
                <w:sz w:val="18"/>
                <w:szCs w:val="18"/>
                <w:highlight w:val="none"/>
              </w:rPr>
            </w:pPr>
          </w:p>
        </w:tc>
      </w:tr>
    </w:tbl>
    <w:p>
      <w:pPr>
        <w:widowControl/>
        <w:adjustRightInd w:val="0"/>
        <w:snapToGrid w:val="0"/>
        <w:spacing w:line="360" w:lineRule="auto"/>
        <w:ind w:right="-84" w:rightChars="-40" w:firstLine="562" w:firstLineChars="200"/>
        <w:jc w:val="left"/>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考核结果使用</w:t>
      </w:r>
    </w:p>
    <w:p>
      <w:pPr>
        <w:widowControl/>
        <w:adjustRightInd w:val="0"/>
        <w:snapToGrid w:val="0"/>
        <w:spacing w:line="360" w:lineRule="auto"/>
        <w:ind w:right="-84" w:rightChars="-40" w:firstLine="560" w:firstLineChars="200"/>
        <w:jc w:val="left"/>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总分为100分，80分以下为不合格。每月考核成绩在80分以上（含80分），视为合格（备注：每次检查不合格给予一次整改机会，复查仍未达标的按评分标准扣分），全额支付物业服务费用；每月低于80分以下，每减少一分扣物业服务费用1000元（即减少0.1分扣物业服务费用100元），若考核成绩一年内连续三个月得分在80分以下，采购人有权终止《物业服务合同》。</w:t>
      </w:r>
    </w:p>
    <w:p>
      <w:pPr>
        <w:keepNext/>
        <w:keepLines/>
        <w:widowControl w:val="0"/>
        <w:numPr>
          <w:ilvl w:val="1"/>
          <w:numId w:val="1"/>
        </w:numPr>
        <w:spacing w:after="200" w:line="360" w:lineRule="auto"/>
        <w:ind w:left="567" w:hanging="567"/>
        <w:jc w:val="both"/>
        <w:outlineLvl w:val="1"/>
        <w:rPr>
          <w:rFonts w:hint="eastAsia" w:ascii="宋体" w:hAnsi="宋体" w:eastAsia="宋体" w:cs="宋体"/>
          <w:b/>
          <w:bCs/>
          <w:iCs/>
          <w:kern w:val="0"/>
          <w:sz w:val="28"/>
          <w:szCs w:val="28"/>
          <w:highlight w:val="none"/>
          <w:lang w:val="en-US" w:eastAsia="zh-CN" w:bidi="ar-SA"/>
        </w:rPr>
      </w:pPr>
      <w:bookmarkStart w:id="167" w:name="_Toc24174"/>
      <w:r>
        <w:rPr>
          <w:rFonts w:hint="eastAsia" w:ascii="宋体" w:hAnsi="宋体" w:eastAsia="宋体" w:cs="宋体"/>
          <w:sz w:val="28"/>
          <w:szCs w:val="28"/>
          <w:highlight w:val="none"/>
          <w:lang w:val="en-US" w:eastAsia="zh-CN"/>
        </w:rPr>
        <w:t>★</w:t>
      </w:r>
      <w:r>
        <w:rPr>
          <w:rFonts w:hint="eastAsia" w:ascii="宋体" w:hAnsi="宋体" w:eastAsia="宋体" w:cs="宋体"/>
          <w:b/>
          <w:bCs/>
          <w:iCs/>
          <w:kern w:val="0"/>
          <w:sz w:val="28"/>
          <w:szCs w:val="28"/>
          <w:highlight w:val="none"/>
          <w:lang w:val="en-US" w:eastAsia="zh-CN" w:bidi="ar-SA"/>
        </w:rPr>
        <w:t>商务要求</w:t>
      </w:r>
      <w:bookmarkEnd w:id="166"/>
      <w:r>
        <w:rPr>
          <w:rFonts w:hint="eastAsia" w:ascii="宋体" w:hAnsi="宋体" w:eastAsia="宋体" w:cs="宋体"/>
          <w:b/>
          <w:bCs/>
          <w:iCs/>
          <w:kern w:val="0"/>
          <w:sz w:val="28"/>
          <w:szCs w:val="28"/>
          <w:highlight w:val="none"/>
          <w:lang w:val="en-US" w:eastAsia="zh-CN" w:bidi="ar-SA"/>
        </w:rPr>
        <w:t>（按招标文件3.3.5内容进行承诺）</w:t>
      </w:r>
      <w:bookmarkEnd w:id="167"/>
    </w:p>
    <w:p>
      <w:pPr>
        <w:spacing w:line="360" w:lineRule="auto"/>
        <w:ind w:firstLine="562" w:firstLineChars="200"/>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w:t>
      </w:r>
      <w:r>
        <w:rPr>
          <w:rFonts w:hint="eastAsia" w:ascii="宋体" w:hAnsi="宋体" w:eastAsia="宋体" w:cs="宋体"/>
          <w:b/>
          <w:bCs/>
          <w:color w:val="000000" w:themeColor="text1"/>
          <w:sz w:val="28"/>
          <w:szCs w:val="28"/>
          <w:highlight w:val="none"/>
          <w14:textFill>
            <w14:solidFill>
              <w14:schemeClr w14:val="tx1"/>
            </w14:solidFill>
          </w14:textFill>
        </w:rPr>
        <w:t>.1服务期限</w:t>
      </w:r>
    </w:p>
    <w:p>
      <w:pPr>
        <w:spacing w:line="360" w:lineRule="auto"/>
        <w:ind w:firstLine="560" w:firstLineChars="200"/>
        <w:outlineLvl w:val="2"/>
        <w:rPr>
          <w:rFonts w:hint="eastAsia" w:ascii="宋体" w:hAnsi="宋体"/>
          <w:color w:val="auto"/>
          <w:sz w:val="24"/>
          <w:highlight w:val="none"/>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三年，合同一年一签。</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4.3.2付款方式和时间</w:t>
      </w:r>
    </w:p>
    <w:p>
      <w:pPr>
        <w:spacing w:line="360" w:lineRule="auto"/>
        <w:ind w:firstLine="560" w:firstLineChars="200"/>
        <w:outlineLvl w:val="2"/>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签订合同后5个工作日内支付合同金额的30%作为预付款，已支付的预付款在季度服务费用中扣回，预付款全部扣回后正常支付月服务费。每月管理费按考核规定奖惩后，由中标单位财务出具收款票据，采购人于次月十日前当月服务费根据票据一次性支付给中标单位。</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4</w:t>
      </w:r>
      <w:r>
        <w:rPr>
          <w:rFonts w:hint="eastAsia" w:ascii="宋体" w:hAnsi="宋体" w:eastAsia="宋体" w:cs="宋体"/>
          <w:b/>
          <w:bCs/>
          <w:color w:val="000000" w:themeColor="text1"/>
          <w:sz w:val="28"/>
          <w:szCs w:val="28"/>
          <w:highlight w:val="none"/>
          <w:lang w:eastAsia="zh-CN"/>
          <w14:textFill>
            <w14:solidFill>
              <w14:schemeClr w14:val="tx1"/>
            </w14:solidFill>
          </w14:textFill>
        </w:rPr>
        <w:t>.3.3</w:t>
      </w: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中标单位保证于合同签字生效后3日内自带工具与人员进场，严格履行合同规定的责任和义务。</w:t>
      </w:r>
    </w:p>
    <w:p>
      <w:pPr>
        <w:spacing w:line="360" w:lineRule="auto"/>
        <w:ind w:firstLine="562" w:firstLineChars="20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4.3.4</w:t>
      </w: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验收标准</w:t>
      </w: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：中标单位与采购人应严格参照四川省财政厅《四川省政府采购项目需求论证和履约验收管理办法》（川财采〔2015〕32号）的要求进行验收。</w:t>
      </w:r>
    </w:p>
    <w:p>
      <w:pPr>
        <w:spacing w:line="360" w:lineRule="auto"/>
        <w:ind w:firstLine="562" w:firstLineChars="200"/>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4.3.5</w:t>
      </w: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物业管理服务时间为三年，服务期内，合同一年一签。服务期内，本项目采购人有权对物业管理工作进行考核，考核合格采购人可与中标单位续签下一年度《物业管理服务合同》；如中标单位一年内连续三次月度考核不合格，视为年度考核不合格，采购人有权要求终止合同，由中标单位承担违约责任。</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p>
    <w:p>
      <w:pPr>
        <w:pStyle w:val="26"/>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4.4报价要求</w:t>
      </w:r>
    </w:p>
    <w:p>
      <w:pPr>
        <w:pStyle w:val="26"/>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4.4.1最高限价</w:t>
      </w:r>
    </w:p>
    <w:p>
      <w:pPr>
        <w:pStyle w:val="26"/>
        <w:ind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★本项目最高限价为人民币</w:t>
      </w:r>
      <w:r>
        <w:rPr>
          <w:rFonts w:hint="eastAsia" w:hAnsi="宋体" w:cs="宋体"/>
          <w:sz w:val="28"/>
          <w:szCs w:val="28"/>
          <w:highlight w:val="none"/>
          <w:lang w:val="en-US" w:eastAsia="zh-CN"/>
        </w:rPr>
        <w:t>182.4</w:t>
      </w:r>
      <w:r>
        <w:rPr>
          <w:rFonts w:hint="eastAsia" w:ascii="宋体" w:hAnsi="宋体" w:eastAsia="宋体" w:cs="宋体"/>
          <w:sz w:val="28"/>
          <w:szCs w:val="28"/>
          <w:highlight w:val="none"/>
          <w:lang w:val="en-US" w:eastAsia="zh-CN"/>
        </w:rPr>
        <w:t>万元/年，投标人投标报价高于最高限价的，则其投标文件将按无效投标文件处理。</w:t>
      </w:r>
    </w:p>
    <w:p>
      <w:pPr>
        <w:pStyle w:val="26"/>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4.4.2其他要求</w:t>
      </w:r>
    </w:p>
    <w:p>
      <w:pPr>
        <w:pStyle w:val="26"/>
        <w:ind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2" w:firstLineChars="200"/>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招标文件第四章技术、商务要求及其他要求中加“★”号的条款为招标文件的实质性要求，不得有负偏离，否则按无效投标文件处理。</w:t>
      </w:r>
    </w:p>
    <w:p>
      <w:pP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br w:type="page"/>
      </w:r>
    </w:p>
    <w:bookmarkEnd w:id="161"/>
    <w:bookmarkEnd w:id="162"/>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68" w:name="_Toc12973"/>
      <w:r>
        <w:rPr>
          <w:rFonts w:hint="eastAsia" w:ascii="宋体" w:hAnsi="宋体" w:eastAsia="宋体" w:cs="Times New Roman"/>
          <w:b/>
          <w:bCs/>
          <w:spacing w:val="-20"/>
          <w:kern w:val="44"/>
          <w:sz w:val="32"/>
          <w:szCs w:val="32"/>
          <w:highlight w:val="none"/>
        </w:rPr>
        <w:t>资格性审查</w:t>
      </w:r>
      <w:bookmarkEnd w:id="168"/>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资格性审查由采购人组建的资格审查小组依据法律法规和招标文件的规定，对投标保证金(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出具的</w:t>
      </w:r>
      <w:r>
        <w:rPr>
          <w:rFonts w:hint="eastAsia" w:ascii="宋体" w:hAnsi="宋体" w:eastAsia="宋体" w:cs="Times New Roman"/>
          <w:b/>
          <w:sz w:val="28"/>
          <w:szCs w:val="28"/>
          <w:highlight w:val="none"/>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或投标人递交的投标保函</w:t>
      </w:r>
      <w:r>
        <w:rPr>
          <w:rFonts w:hint="eastAsia" w:ascii="宋体" w:hAnsi="宋体" w:eastAsia="宋体" w:cs="Times New Roman"/>
          <w:sz w:val="28"/>
          <w:szCs w:val="28"/>
          <w:highlight w:val="none"/>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将以电子邮件形式通知各投标人。资格性审查标准见下表：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b/>
                <w:sz w:val="20"/>
                <w:szCs w:val="22"/>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rPr>
              <w:t>投标人应具有独立承担民事责任的能力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rPr>
              <w:t>营业执照（正本或副本）或法人登记证（正本或副本）或其他能够证明投标人具有独立承担民事责任能力的相关证明材料复印件【注：</w:t>
            </w:r>
            <w:r>
              <w:rPr>
                <w:rFonts w:hint="eastAsia" w:ascii="宋体" w:hAnsi="宋体"/>
                <w:sz w:val="20"/>
                <w:highlight w:val="none"/>
              </w:rPr>
              <w:t>①</w:t>
            </w:r>
            <w:r>
              <w:rPr>
                <w:rFonts w:hint="eastAsia"/>
                <w:sz w:val="20"/>
                <w:highlight w:val="none"/>
              </w:rPr>
              <w:t>营业执照或法人登记证或其他证明材料载明有期限的，应在有效期限内；</w:t>
            </w:r>
            <w:r>
              <w:rPr>
                <w:rFonts w:hint="eastAsia" w:ascii="宋体" w:hAnsi="宋体"/>
                <w:sz w:val="20"/>
                <w:highlight w:val="none"/>
              </w:rPr>
              <w:t>②</w:t>
            </w:r>
            <w:r>
              <w:rPr>
                <w:rFonts w:hint="eastAsia"/>
                <w:sz w:val="20"/>
                <w:highlight w:val="none"/>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一、</w:t>
            </w:r>
            <w:r>
              <w:rPr>
                <w:rFonts w:hint="eastAsia"/>
                <w:sz w:val="20"/>
                <w:highlight w:val="none"/>
              </w:rPr>
              <w:t>投标人具有良好的商业信誉的书面声明材料。【说明：</w:t>
            </w:r>
            <w:r>
              <w:rPr>
                <w:rFonts w:hint="eastAsia" w:ascii="宋体" w:hAnsi="宋体"/>
                <w:sz w:val="20"/>
                <w:highlight w:val="none"/>
              </w:rPr>
              <w:t>①</w:t>
            </w:r>
            <w:r>
              <w:rPr>
                <w:rFonts w:hint="eastAsia"/>
                <w:sz w:val="20"/>
                <w:highlight w:val="none"/>
              </w:rPr>
              <w:t>按招标文件第</w:t>
            </w:r>
            <w:r>
              <w:rPr>
                <w:rFonts w:hint="default"/>
                <w:sz w:val="20"/>
                <w:highlight w:val="none"/>
              </w:rPr>
              <w:t>3</w:t>
            </w:r>
            <w:r>
              <w:rPr>
                <w:rFonts w:hint="eastAsia"/>
                <w:sz w:val="20"/>
                <w:highlight w:val="none"/>
              </w:rPr>
              <w:t>章的内容及要求提供书面声明材料</w:t>
            </w:r>
            <w:r>
              <w:rPr>
                <w:rFonts w:hint="eastAsia" w:ascii="宋体" w:hAnsi="宋体"/>
                <w:sz w:val="20"/>
                <w:highlight w:val="none"/>
              </w:rPr>
              <w:t>；②供应商具有良好的商业信誉</w:t>
            </w:r>
            <w:r>
              <w:rPr>
                <w:rFonts w:hint="eastAsia"/>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highlight w:val="none"/>
              </w:rPr>
            </w:pPr>
            <w:r>
              <w:rPr>
                <w:rFonts w:hint="eastAsia"/>
                <w:sz w:val="20"/>
                <w:highlight w:val="none"/>
                <w:lang w:eastAsia="zh-CN"/>
              </w:rPr>
              <w:t>二、</w:t>
            </w:r>
            <w:r>
              <w:rPr>
                <w:rFonts w:hint="default"/>
                <w:sz w:val="20"/>
                <w:highlight w:val="none"/>
              </w:rPr>
              <w:t>1.</w:t>
            </w:r>
            <w:r>
              <w:rPr>
                <w:rFonts w:hint="eastAsia"/>
                <w:sz w:val="20"/>
                <w:highlight w:val="none"/>
              </w:rPr>
              <w:t>投标人参加政府采购活动前三年内，在经营活动中没有重大违法记录的书面声明材料。【说明：</w:t>
            </w:r>
            <w:r>
              <w:rPr>
                <w:rFonts w:hint="eastAsia" w:ascii="宋体" w:hAnsi="宋体"/>
                <w:sz w:val="20"/>
                <w:highlight w:val="none"/>
              </w:rPr>
              <w:t>①</w:t>
            </w:r>
            <w:r>
              <w:rPr>
                <w:rFonts w:hint="eastAsia"/>
                <w:sz w:val="20"/>
                <w:highlight w:val="none"/>
              </w:rPr>
              <w:t>按第</w:t>
            </w:r>
            <w:r>
              <w:rPr>
                <w:rFonts w:hint="default"/>
                <w:sz w:val="20"/>
                <w:highlight w:val="none"/>
              </w:rPr>
              <w:t>3</w:t>
            </w:r>
            <w:r>
              <w:rPr>
                <w:rFonts w:hint="eastAsia"/>
                <w:sz w:val="20"/>
                <w:highlight w:val="none"/>
              </w:rPr>
              <w:t>章的内容及要求提供书面声明材料；</w:t>
            </w:r>
            <w:r>
              <w:rPr>
                <w:rFonts w:hint="eastAsia" w:ascii="宋体" w:hAnsi="宋体"/>
                <w:sz w:val="20"/>
                <w:highlight w:val="none"/>
              </w:rPr>
              <w:t>②供应商参加政府采购活动前三年内，在经营活动中没有重大违法记录</w:t>
            </w:r>
            <w:r>
              <w:rPr>
                <w:rFonts w:hint="eastAsia"/>
                <w:sz w:val="20"/>
                <w:highlight w:val="none"/>
              </w:rPr>
              <w:t>。】</w:t>
            </w:r>
          </w:p>
          <w:p>
            <w:pPr>
              <w:tabs>
                <w:tab w:val="left" w:pos="851"/>
              </w:tabs>
              <w:spacing w:beforeLines="0" w:afterLines="0" w:line="360" w:lineRule="auto"/>
              <w:rPr>
                <w:rFonts w:ascii="Calibri" w:hAnsi="Calibri" w:eastAsia="宋体" w:cs="Times New Roman"/>
                <w:sz w:val="20"/>
                <w:szCs w:val="22"/>
                <w:highlight w:val="none"/>
              </w:rPr>
            </w:pPr>
            <w:r>
              <w:rPr>
                <w:rFonts w:hint="default"/>
                <w:sz w:val="20"/>
                <w:highlight w:val="none"/>
              </w:rPr>
              <w:t xml:space="preserve">2. </w:t>
            </w:r>
            <w:r>
              <w:rPr>
                <w:rFonts w:hint="eastAsia"/>
                <w:sz w:val="20"/>
                <w:highlight w:val="none"/>
              </w:rPr>
              <w:t>资格审查小组根据</w:t>
            </w:r>
            <w:r>
              <w:rPr>
                <w:rFonts w:hint="default"/>
                <w:sz w:val="20"/>
                <w:highlight w:val="none"/>
              </w:rPr>
              <w:t>“</w:t>
            </w:r>
            <w:r>
              <w:rPr>
                <w:rFonts w:hint="eastAsia"/>
                <w:sz w:val="20"/>
                <w:highlight w:val="none"/>
              </w:rPr>
              <w:t>信用中国</w:t>
            </w:r>
            <w:r>
              <w:rPr>
                <w:rFonts w:hint="default"/>
                <w:sz w:val="20"/>
                <w:highlight w:val="none"/>
              </w:rPr>
              <w:t>”</w:t>
            </w:r>
            <w:r>
              <w:rPr>
                <w:rFonts w:hint="eastAsia"/>
                <w:sz w:val="20"/>
                <w:highlight w:val="none"/>
              </w:rPr>
              <w:t>和</w:t>
            </w:r>
            <w:r>
              <w:rPr>
                <w:rFonts w:hint="default"/>
                <w:sz w:val="20"/>
                <w:highlight w:val="none"/>
              </w:rPr>
              <w:t>“</w:t>
            </w:r>
            <w:r>
              <w:rPr>
                <w:rFonts w:hint="eastAsia"/>
                <w:sz w:val="20"/>
                <w:highlight w:val="none"/>
              </w:rPr>
              <w:t>中国政府采购网</w:t>
            </w:r>
            <w:r>
              <w:rPr>
                <w:rFonts w:hint="default"/>
                <w:sz w:val="20"/>
                <w:highlight w:val="none"/>
              </w:rPr>
              <w:t>”</w:t>
            </w:r>
            <w:r>
              <w:rPr>
                <w:rFonts w:hint="eastAsia"/>
                <w:sz w:val="20"/>
                <w:highlight w:val="none"/>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highlight w:val="none"/>
              </w:rPr>
            </w:pPr>
            <w:r>
              <w:rPr>
                <w:rFonts w:hint="eastAsia"/>
                <w:sz w:val="20"/>
                <w:highlight w:val="none"/>
                <w:lang w:eastAsia="zh-CN"/>
              </w:rPr>
              <w:t>三、</w:t>
            </w:r>
            <w:r>
              <w:rPr>
                <w:rFonts w:hint="default"/>
                <w:sz w:val="20"/>
                <w:highlight w:val="none"/>
              </w:rPr>
              <w:t>1.</w:t>
            </w:r>
            <w:r>
              <w:rPr>
                <w:rFonts w:hint="eastAsia"/>
                <w:sz w:val="20"/>
                <w:highlight w:val="none"/>
              </w:rPr>
              <w:t>投标人未列入失信被执行人、重大税收违法案件当事人名单、政府采购严重违法失信行为记录名单的书面声明材料。【说明：</w:t>
            </w:r>
            <w:r>
              <w:rPr>
                <w:rFonts w:hint="eastAsia" w:ascii="宋体" w:hAnsi="宋体"/>
                <w:sz w:val="20"/>
                <w:highlight w:val="none"/>
              </w:rPr>
              <w:t>①</w:t>
            </w:r>
            <w:r>
              <w:rPr>
                <w:rFonts w:hint="eastAsia"/>
                <w:sz w:val="20"/>
                <w:highlight w:val="none"/>
              </w:rPr>
              <w:t>投标人未列入失信被执行人、重大税收违法案件当事人名单、政府采购严重违法失信行为记录名单；</w:t>
            </w:r>
            <w:r>
              <w:rPr>
                <w:rFonts w:hint="eastAsia" w:ascii="宋体" w:hAnsi="宋体"/>
                <w:sz w:val="20"/>
                <w:highlight w:val="none"/>
              </w:rPr>
              <w:t>②</w:t>
            </w:r>
            <w:r>
              <w:rPr>
                <w:rFonts w:hint="eastAsia"/>
                <w:sz w:val="20"/>
                <w:highlight w:val="none"/>
              </w:rPr>
              <w:t>按第</w:t>
            </w:r>
            <w:r>
              <w:rPr>
                <w:rFonts w:hint="default"/>
                <w:sz w:val="20"/>
                <w:highlight w:val="none"/>
              </w:rPr>
              <w:t>3</w:t>
            </w:r>
            <w:r>
              <w:rPr>
                <w:rFonts w:hint="eastAsia"/>
                <w:sz w:val="20"/>
                <w:highlight w:val="none"/>
              </w:rPr>
              <w:t>章的内容及要求提供书面声明材料。】</w:t>
            </w:r>
          </w:p>
          <w:p>
            <w:pPr>
              <w:tabs>
                <w:tab w:val="left" w:pos="851"/>
              </w:tabs>
              <w:spacing w:beforeLines="0" w:afterLines="0" w:line="360" w:lineRule="auto"/>
              <w:rPr>
                <w:rFonts w:ascii="Calibri" w:hAnsi="Calibri" w:eastAsia="宋体" w:cs="Times New Roman"/>
                <w:sz w:val="20"/>
                <w:szCs w:val="22"/>
                <w:highlight w:val="none"/>
              </w:rPr>
            </w:pPr>
            <w:r>
              <w:rPr>
                <w:rFonts w:hint="default"/>
                <w:sz w:val="20"/>
                <w:highlight w:val="none"/>
              </w:rPr>
              <w:t xml:space="preserve">2. </w:t>
            </w:r>
            <w:r>
              <w:rPr>
                <w:rFonts w:hint="eastAsia"/>
                <w:sz w:val="20"/>
                <w:highlight w:val="none"/>
              </w:rPr>
              <w:t>资格审查小组根据</w:t>
            </w:r>
            <w:r>
              <w:rPr>
                <w:rFonts w:hint="default"/>
                <w:sz w:val="20"/>
                <w:highlight w:val="none"/>
              </w:rPr>
              <w:t>“</w:t>
            </w:r>
            <w:r>
              <w:rPr>
                <w:rFonts w:hint="eastAsia"/>
                <w:sz w:val="20"/>
                <w:highlight w:val="none"/>
              </w:rPr>
              <w:t>信用中国</w:t>
            </w:r>
            <w:r>
              <w:rPr>
                <w:rFonts w:hint="default"/>
                <w:sz w:val="20"/>
                <w:highlight w:val="none"/>
              </w:rPr>
              <w:t>”</w:t>
            </w:r>
            <w:r>
              <w:rPr>
                <w:rFonts w:hint="eastAsia"/>
                <w:sz w:val="20"/>
                <w:highlight w:val="none"/>
              </w:rPr>
              <w:t>和</w:t>
            </w:r>
            <w:r>
              <w:rPr>
                <w:rFonts w:hint="default"/>
                <w:sz w:val="20"/>
                <w:highlight w:val="none"/>
              </w:rPr>
              <w:t>“</w:t>
            </w:r>
            <w:r>
              <w:rPr>
                <w:rFonts w:hint="eastAsia"/>
                <w:sz w:val="20"/>
                <w:highlight w:val="none"/>
              </w:rPr>
              <w:t>中国政府采购网</w:t>
            </w:r>
            <w:r>
              <w:rPr>
                <w:rFonts w:hint="default"/>
                <w:sz w:val="20"/>
                <w:highlight w:val="none"/>
              </w:rPr>
              <w:t>”</w:t>
            </w:r>
            <w:r>
              <w:rPr>
                <w:rFonts w:hint="eastAsia"/>
                <w:sz w:val="20"/>
                <w:highlight w:val="none"/>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四、</w:t>
            </w:r>
            <w:r>
              <w:rPr>
                <w:rFonts w:hint="eastAsia"/>
                <w:sz w:val="20"/>
                <w:highlight w:val="none"/>
              </w:rPr>
              <w:t>投标人未处于被行政部门禁止参与政府采购活动的期限内。【说明：</w:t>
            </w:r>
            <w:r>
              <w:rPr>
                <w:rFonts w:hint="eastAsia" w:ascii="宋体" w:hAnsi="宋体"/>
                <w:sz w:val="20"/>
                <w:highlight w:val="none"/>
              </w:rPr>
              <w:t>①</w:t>
            </w:r>
            <w:r>
              <w:rPr>
                <w:rFonts w:hint="eastAsia"/>
                <w:sz w:val="20"/>
                <w:highlight w:val="none"/>
              </w:rPr>
              <w:t>按招标文件第</w:t>
            </w:r>
            <w:r>
              <w:rPr>
                <w:rFonts w:hint="default"/>
                <w:sz w:val="20"/>
                <w:highlight w:val="none"/>
              </w:rPr>
              <w:t>3</w:t>
            </w:r>
            <w:r>
              <w:rPr>
                <w:rFonts w:hint="eastAsia"/>
                <w:sz w:val="20"/>
                <w:highlight w:val="none"/>
              </w:rPr>
              <w:t>章的内容及要求提供书面声明材料</w:t>
            </w:r>
            <w:r>
              <w:rPr>
                <w:rFonts w:hint="eastAsia" w:ascii="宋体" w:hAnsi="宋体"/>
                <w:sz w:val="20"/>
                <w:highlight w:val="none"/>
              </w:rPr>
              <w:t>；②供应商未处于被行政部门禁止参与政府采购活动的期限内。</w:t>
            </w:r>
            <w:r>
              <w:rPr>
                <w:rFonts w:hint="eastAsia"/>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五、</w:t>
            </w:r>
            <w:r>
              <w:rPr>
                <w:rFonts w:hint="eastAsia"/>
                <w:sz w:val="20"/>
                <w:highlight w:val="none"/>
              </w:rPr>
              <w:t>在行贿犯罪信息查询期限内，投标人及其现任法定代表人、主要负责人没有行贿犯罪记录的书面声明材料。【说明：</w:t>
            </w:r>
            <w:r>
              <w:rPr>
                <w:rFonts w:hint="eastAsia" w:ascii="宋体" w:hAnsi="宋体"/>
                <w:sz w:val="20"/>
                <w:highlight w:val="none"/>
              </w:rPr>
              <w:t>①</w:t>
            </w:r>
            <w:r>
              <w:rPr>
                <w:rFonts w:hint="eastAsia"/>
                <w:sz w:val="20"/>
                <w:highlight w:val="none"/>
              </w:rPr>
              <w:t>按招标文件第</w:t>
            </w:r>
            <w:r>
              <w:rPr>
                <w:rFonts w:hint="default"/>
                <w:sz w:val="20"/>
                <w:highlight w:val="none"/>
              </w:rPr>
              <w:t>3</w:t>
            </w:r>
            <w:r>
              <w:rPr>
                <w:rFonts w:hint="eastAsia"/>
                <w:sz w:val="20"/>
                <w:highlight w:val="none"/>
              </w:rPr>
              <w:t>章的内容及要求提供书面声明材料，投标文件中不需提供中国裁判文书网（</w:t>
            </w:r>
            <w:r>
              <w:rPr>
                <w:rFonts w:hint="default"/>
                <w:sz w:val="20"/>
                <w:highlight w:val="none"/>
              </w:rPr>
              <w:t>https://wenshu.court.gov.cn</w:t>
            </w:r>
            <w:r>
              <w:rPr>
                <w:rFonts w:hint="eastAsia"/>
                <w:sz w:val="20"/>
                <w:highlight w:val="none"/>
              </w:rPr>
              <w:t>）查询结果的证明材料；</w:t>
            </w:r>
            <w:r>
              <w:rPr>
                <w:rFonts w:hint="eastAsia" w:ascii="宋体" w:hAnsi="宋体"/>
                <w:sz w:val="20"/>
                <w:highlight w:val="none"/>
              </w:rPr>
              <w:t>②在行贿犯罪信息查询期限内，供应商及其现任法定代表人、主要负责人没有行贿犯罪记录</w:t>
            </w:r>
            <w:r>
              <w:rPr>
                <w:rFonts w:hint="eastAsia"/>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六、</w:t>
            </w:r>
            <w:r>
              <w:rPr>
                <w:rFonts w:hint="eastAsia"/>
                <w:sz w:val="20"/>
                <w:highlight w:val="none"/>
              </w:rPr>
              <w:t>负责人为同一人或者存在直接控股、管理关系的不同投标人未同时参加本项目书面声明材料。【说明：①按招标文件3.2.2声明内容提供书面声明材料；②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一、</w:t>
            </w:r>
            <w:r>
              <w:rPr>
                <w:rFonts w:hint="eastAsia"/>
                <w:sz w:val="20"/>
                <w:highlight w:val="none"/>
              </w:rPr>
              <w:t>采购人对投标人履行合同所必须的设备和专业技术能力无其他特殊要求，投标人</w:t>
            </w:r>
            <w:r>
              <w:rPr>
                <w:rFonts w:hint="eastAsia" w:ascii="宋体" w:hAnsi="宋体"/>
                <w:sz w:val="20"/>
                <w:highlight w:val="none"/>
              </w:rPr>
              <w:t>可不提供证明材料</w:t>
            </w:r>
            <w:r>
              <w:rPr>
                <w:rFonts w:hint="eastAsia"/>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二、</w:t>
            </w:r>
            <w:r>
              <w:rPr>
                <w:rFonts w:hint="eastAsia"/>
                <w:sz w:val="20"/>
                <w:highlight w:val="none"/>
              </w:rPr>
              <w:t>采购人对法律、行政法规规定的其他条件无其他特殊要求，投标人</w:t>
            </w:r>
            <w:r>
              <w:rPr>
                <w:rFonts w:hint="eastAsia" w:ascii="宋体" w:hAnsi="宋体"/>
                <w:sz w:val="20"/>
                <w:highlight w:val="none"/>
              </w:rPr>
              <w:t>可不提供证明材料</w:t>
            </w:r>
            <w:r>
              <w:rPr>
                <w:rFonts w:hint="eastAsia"/>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、根据招标文件的要求不属于禁止参加投标或投标无效的供应商；</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无</w:t>
            </w:r>
            <w:r>
              <w:rPr>
                <w:rFonts w:hint="eastAsia" w:ascii="Calibri" w:hAnsi="Calibri" w:eastAsia="宋体" w:cs="Times New Roman"/>
                <w:sz w:val="20"/>
                <w:szCs w:val="22"/>
                <w:highlight w:val="none"/>
                <w:lang w:eastAsia="zh-CN"/>
              </w:rPr>
              <w:t>。</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无</w:t>
            </w:r>
            <w:r>
              <w:rPr>
                <w:rFonts w:hint="eastAsia" w:ascii="Calibri" w:hAnsi="Calibri" w:eastAsia="宋体" w:cs="Times New Roman"/>
                <w:sz w:val="20"/>
                <w:szCs w:val="22"/>
                <w:highlight w:val="none"/>
                <w:lang w:eastAsia="zh-CN"/>
              </w:rPr>
              <w:t>。</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highlight w:val="none"/>
              </w:rPr>
              <w:t>投标文件资格响应文件组成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符合招标文件“</w:t>
            </w:r>
            <w:r>
              <w:rPr>
                <w:rFonts w:ascii="宋体" w:hAnsi="宋体" w:eastAsia="宋体" w:cs="Times New Roman"/>
                <w:sz w:val="20"/>
                <w:szCs w:val="28"/>
                <w:highlight w:val="none"/>
              </w:rPr>
              <w:t>2.4.</w:t>
            </w:r>
            <w:r>
              <w:rPr>
                <w:rFonts w:hint="eastAsia" w:ascii="宋体" w:hAnsi="宋体" w:eastAsia="宋体" w:cs="Times New Roman"/>
                <w:sz w:val="20"/>
                <w:szCs w:val="28"/>
                <w:highlight w:val="none"/>
              </w:rPr>
              <w:t>6投标</w:t>
            </w:r>
            <w:r>
              <w:rPr>
                <w:rFonts w:ascii="宋体" w:hAnsi="宋体" w:eastAsia="宋体" w:cs="Times New Roman"/>
                <w:sz w:val="20"/>
                <w:szCs w:val="28"/>
                <w:highlight w:val="none"/>
              </w:rPr>
              <w:t>文件的组成”规定要求。</w:t>
            </w:r>
            <w:r>
              <w:rPr>
                <w:rFonts w:hint="eastAsia" w:ascii="宋体" w:hAnsi="宋体" w:eastAsia="宋体" w:cs="Times New Roman"/>
                <w:sz w:val="20"/>
                <w:szCs w:val="28"/>
                <w:highlight w:val="none"/>
              </w:rPr>
              <w:t>【说明：投标人按招标文件3.2.1关于投标人资格申明的</w:t>
            </w:r>
            <w:r>
              <w:rPr>
                <w:rFonts w:hint="eastAsia" w:ascii="Calibri" w:hAnsi="Calibri" w:eastAsia="宋体" w:cs="Times New Roman"/>
                <w:sz w:val="20"/>
                <w:szCs w:val="22"/>
                <w:highlight w:val="none"/>
              </w:rPr>
              <w:t>内容</w:t>
            </w:r>
            <w:r>
              <w:rPr>
                <w:rFonts w:hint="eastAsia" w:ascii="宋体" w:hAnsi="宋体" w:eastAsia="宋体" w:cs="Times New Roman"/>
                <w:sz w:val="20"/>
                <w:szCs w:val="28"/>
                <w:highlight w:val="none"/>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专门面向中小企业采购项目:</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highlight w:val="none"/>
                <w:u w:val="single"/>
              </w:rPr>
              <w:t>本</w:t>
            </w:r>
            <w:r>
              <w:rPr>
                <w:rFonts w:hint="eastAsia" w:ascii="宋体" w:hAnsi="宋体" w:eastAsia="宋体" w:cs="Times New Roman"/>
                <w:sz w:val="20"/>
                <w:szCs w:val="28"/>
                <w:highlight w:val="none"/>
              </w:rPr>
              <w:t>项目采购活动由本单位提供服务；</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3.监狱企业视同为小型、微型企业，提供由省级以上监狱管理局、戒毒管理局（含新疆生产建设兵团）出具的</w:t>
            </w:r>
            <w:r>
              <w:rPr>
                <w:rFonts w:hint="eastAsia" w:ascii="Calibri" w:hAnsi="Calibri" w:eastAsia="宋体" w:cs="Times New Roman"/>
                <w:sz w:val="20"/>
                <w:szCs w:val="22"/>
                <w:highlight w:val="none"/>
              </w:rPr>
              <w:t>投标人</w:t>
            </w:r>
            <w:r>
              <w:rPr>
                <w:rFonts w:hint="eastAsia" w:ascii="宋体" w:hAnsi="宋体" w:eastAsia="宋体" w:cs="Times New Roman"/>
                <w:sz w:val="20"/>
                <w:szCs w:val="28"/>
                <w:highlight w:val="none"/>
              </w:rPr>
              <w:t>属于监狱企业的证明文件复印件。</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三、投标人的投标文件资格性审查时被判定为无效的，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将通知投标人（以短信、现场公示、电话、“政府采购云平台”等任一方式）。投标人如对资格审查结论有异议的，应及时向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将及时告知资格审查小组。（说明：无论投标人是否收到通知或提供反馈意见，均不影响资格审查和评标工作，且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rPr>
          <w:rFonts w:hint="eastAsia" w:ascii="宋体" w:hAnsi="宋体" w:eastAsia="宋体" w:cs="Times New Roman"/>
          <w:sz w:val="28"/>
          <w:szCs w:val="28"/>
          <w:highlight w:val="none"/>
          <w:lang w:val="en-US" w:eastAsia="zh-CN"/>
        </w:rPr>
      </w:pPr>
      <w:r>
        <w:rPr>
          <w:rFonts w:ascii="宋体" w:hAnsi="宋体" w:eastAsia="宋体" w:cs="Times New Roman"/>
          <w:sz w:val="28"/>
          <w:szCs w:val="28"/>
          <w:highlight w:val="none"/>
        </w:rPr>
        <w:br w:type="page"/>
      </w:r>
      <w:r>
        <w:rPr>
          <w:rFonts w:hint="eastAsia" w:ascii="宋体" w:hAnsi="宋体" w:eastAsia="宋体" w:cs="Times New Roman"/>
          <w:sz w:val="28"/>
          <w:szCs w:val="28"/>
          <w:highlight w:val="none"/>
          <w:lang w:val="en-US" w:eastAsia="zh-CN"/>
        </w:rPr>
        <w:t xml:space="preserve"> </w:t>
      </w:r>
    </w:p>
    <w:p>
      <w:pPr>
        <w:keepNext/>
        <w:keepLines/>
        <w:numPr>
          <w:ilvl w:val="0"/>
          <w:numId w:val="4"/>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69" w:name="_Toc3148"/>
      <w:r>
        <w:rPr>
          <w:rFonts w:hint="eastAsia" w:ascii="宋体" w:hAnsi="宋体" w:eastAsia="宋体" w:cs="Times New Roman"/>
          <w:b/>
          <w:bCs/>
          <w:spacing w:val="-20"/>
          <w:kern w:val="44"/>
          <w:sz w:val="32"/>
          <w:szCs w:val="32"/>
          <w:highlight w:val="none"/>
        </w:rPr>
        <w:t>评标办法</w:t>
      </w:r>
      <w:bookmarkEnd w:id="169"/>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0" w:name="_Toc27082"/>
      <w:r>
        <w:rPr>
          <w:rFonts w:hint="eastAsia" w:ascii="宋体" w:hAnsi="宋体" w:eastAsia="宋体" w:cs="Times New Roman"/>
          <w:b/>
          <w:bCs/>
          <w:sz w:val="28"/>
          <w:szCs w:val="28"/>
          <w:highlight w:val="none"/>
        </w:rPr>
        <w:t>总则</w:t>
      </w:r>
      <w:bookmarkEnd w:id="170"/>
    </w:p>
    <w:p>
      <w:pPr>
        <w:numPr>
          <w:ilvl w:val="0"/>
          <w:numId w:val="3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根据《中华人民共和国政府采购法》、《中华人民共和国政府采购法实施条例》和《政府采购货物和服务招标投标管理办法》等法律规章，结合采购项目特点制定本评标办法。</w:t>
      </w:r>
    </w:p>
    <w:p>
      <w:pPr>
        <w:numPr>
          <w:ilvl w:val="0"/>
          <w:numId w:val="3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评标工作由</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负责组织，具体评标事务由采购人或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依法组建的评标委员会负责。评标委员会由采购人代表和评审专家组成。</w:t>
      </w:r>
    </w:p>
    <w:p>
      <w:pPr>
        <w:numPr>
          <w:ilvl w:val="0"/>
          <w:numId w:val="3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评标工作应遵循公平、公正、科学及择优的原则，并以相同的评标程序和标准对待所有的投标人。</w:t>
      </w:r>
    </w:p>
    <w:p>
      <w:pPr>
        <w:numPr>
          <w:ilvl w:val="0"/>
          <w:numId w:val="3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评标委员会按照招标文件规定的评标程序、评标方法和标准进行独立评审，并独立履行下列职责：</w:t>
      </w:r>
    </w:p>
    <w:p>
      <w:pPr>
        <w:numPr>
          <w:ilvl w:val="1"/>
          <w:numId w:val="3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熟悉和理解招标文件；</w:t>
      </w:r>
    </w:p>
    <w:p>
      <w:pPr>
        <w:numPr>
          <w:ilvl w:val="1"/>
          <w:numId w:val="3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审查、评价投标文件是否符合招标文件的商务、技术等实质性要求；</w:t>
      </w:r>
    </w:p>
    <w:p>
      <w:pPr>
        <w:numPr>
          <w:ilvl w:val="1"/>
          <w:numId w:val="3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对投标文件进行比较和评价；</w:t>
      </w:r>
    </w:p>
    <w:p>
      <w:pPr>
        <w:numPr>
          <w:ilvl w:val="1"/>
          <w:numId w:val="3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根据需要要求采购人对招标文件作出解释；根据需要要求投标人对投标文件有关事项作出解释或者澄清；</w:t>
      </w:r>
    </w:p>
    <w:p>
      <w:pPr>
        <w:numPr>
          <w:ilvl w:val="1"/>
          <w:numId w:val="3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确定中标候选人名单，以及根据采购人委托直接确定中标人；</w:t>
      </w:r>
    </w:p>
    <w:p>
      <w:pPr>
        <w:numPr>
          <w:ilvl w:val="1"/>
          <w:numId w:val="3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起草评标报告并进行签署；</w:t>
      </w:r>
    </w:p>
    <w:p>
      <w:pPr>
        <w:numPr>
          <w:ilvl w:val="1"/>
          <w:numId w:val="3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或者财政、监察等有关部门报告或举报非法干预评标工作的行为；</w:t>
      </w:r>
    </w:p>
    <w:p>
      <w:pPr>
        <w:numPr>
          <w:ilvl w:val="1"/>
          <w:numId w:val="3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或者有关部门报告评标中发现的违法行为。</w:t>
      </w:r>
    </w:p>
    <w:p>
      <w:pPr>
        <w:numPr>
          <w:ilvl w:val="1"/>
          <w:numId w:val="3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法律、法规和规章规定的其他职责。</w:t>
      </w:r>
    </w:p>
    <w:p>
      <w:pPr>
        <w:numPr>
          <w:ilvl w:val="0"/>
          <w:numId w:val="3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评标过程独立、保密。投标人非法干预评标过程的行为将导致其投标文件作为无效处理。</w:t>
      </w:r>
    </w:p>
    <w:p>
      <w:pPr>
        <w:numPr>
          <w:ilvl w:val="0"/>
          <w:numId w:val="3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评标委员会决定投标文件的响应性依据投标文件本身的内容，而不寻求外部的证据，招标文件有明确约定的除外。</w:t>
      </w:r>
    </w:p>
    <w:p>
      <w:pPr>
        <w:numPr>
          <w:ilvl w:val="0"/>
          <w:numId w:val="3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评标委员会发现招标文件表述不明确或需要说明的事项，可提请采购人和</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书面解释说明。</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1" w:name="_Toc2544"/>
      <w:r>
        <w:rPr>
          <w:rFonts w:hint="eastAsia" w:ascii="宋体" w:hAnsi="宋体" w:eastAsia="宋体" w:cs="Times New Roman"/>
          <w:b/>
          <w:bCs/>
          <w:sz w:val="28"/>
          <w:szCs w:val="28"/>
          <w:highlight w:val="none"/>
        </w:rPr>
        <w:t>评标方法</w:t>
      </w:r>
      <w:bookmarkEnd w:id="171"/>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综合评分法。</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2" w:name="_Toc22665"/>
      <w:r>
        <w:rPr>
          <w:rFonts w:hint="eastAsia" w:ascii="宋体" w:hAnsi="宋体" w:eastAsia="宋体" w:cs="Times New Roman"/>
          <w:b/>
          <w:bCs/>
          <w:sz w:val="28"/>
          <w:szCs w:val="28"/>
          <w:highlight w:val="none"/>
        </w:rPr>
        <w:t>评标程序</w:t>
      </w:r>
      <w:bookmarkEnd w:id="172"/>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符合性审查</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符合性审查标准见下表（按以下顺序审查）：</w:t>
      </w:r>
    </w:p>
    <w:tbl>
      <w:tblPr>
        <w:tblStyle w:val="15"/>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highlight w:val="none"/>
              </w:rPr>
            </w:pPr>
            <w:r>
              <w:rPr>
                <w:rFonts w:hint="eastAsia" w:ascii="宋体" w:hAnsi="宋体" w:eastAsia="宋体" w:cs="Times New Roman"/>
                <w:b/>
                <w:sz w:val="24"/>
                <w:szCs w:val="28"/>
                <w:highlight w:val="none"/>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highlight w:val="none"/>
              </w:rPr>
            </w:pPr>
            <w:r>
              <w:rPr>
                <w:rFonts w:hint="eastAsia" w:ascii="宋体" w:hAnsi="宋体" w:eastAsia="宋体" w:cs="Times New Roman"/>
                <w:b/>
                <w:sz w:val="24"/>
                <w:szCs w:val="28"/>
                <w:highlight w:val="none"/>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sz w:val="24"/>
                <w:szCs w:val="28"/>
                <w:highlight w:val="none"/>
              </w:rPr>
            </w:pPr>
            <w:r>
              <w:rPr>
                <w:rFonts w:hint="eastAsia" w:ascii="宋体" w:hAnsi="宋体" w:eastAsia="宋体" w:cs="Times New Roman"/>
                <w:b/>
                <w:sz w:val="24"/>
                <w:szCs w:val="28"/>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highlight w:val="none"/>
              </w:rPr>
            </w:pPr>
            <w:r>
              <w:rPr>
                <w:rFonts w:hint="eastAsia" w:ascii="宋体" w:hAnsi="宋体" w:eastAsia="宋体" w:cs="Times New Roman"/>
                <w:sz w:val="24"/>
                <w:szCs w:val="28"/>
                <w:highlight w:val="none"/>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highlight w:val="none"/>
              </w:rPr>
            </w:pPr>
            <w:r>
              <w:rPr>
                <w:rFonts w:hint="eastAsia" w:ascii="宋体" w:hAnsi="宋体" w:eastAsia="宋体" w:cs="Times New Roman"/>
                <w:sz w:val="24"/>
                <w:szCs w:val="28"/>
                <w:highlight w:val="none"/>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5）如因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第4章打★号的服务、商务及其他要求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投标文件均实质性响应招标文件中加★号的服务、商务及其他要求。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（1）根据招标文件的要求不属于禁止参加投标或投标无效的供应商；</w:t>
            </w:r>
          </w:p>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highlight w:val="none"/>
              </w:rPr>
            </w:pPr>
            <w:r>
              <w:rPr>
                <w:rFonts w:hint="eastAsia" w:ascii="宋体" w:hAnsi="宋体"/>
                <w:sz w:val="24"/>
                <w:highlight w:val="none"/>
              </w:rPr>
              <w:t>法定代表人或主要负责人身份证复印件或护照复印件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highlight w:val="none"/>
              </w:rPr>
            </w:pPr>
            <w:r>
              <w:rPr>
                <w:rFonts w:hint="eastAsia" w:ascii="宋体" w:hAnsi="宋体"/>
                <w:sz w:val="24"/>
                <w:highlight w:val="none"/>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highlight w:val="none"/>
              </w:rPr>
            </w:pPr>
            <w:r>
              <w:rPr>
                <w:rFonts w:ascii="宋体" w:hAnsi="宋体" w:eastAsia="宋体" w:cs="仿宋_GB2312"/>
                <w:sz w:val="24"/>
                <w:szCs w:val="24"/>
                <w:highlight w:val="none"/>
              </w:rPr>
              <w:t>承诺函【说明：①按3.3.</w:t>
            </w:r>
            <w:r>
              <w:rPr>
                <w:rFonts w:hint="eastAsia" w:ascii="宋体" w:hAnsi="宋体" w:eastAsia="宋体" w:cs="仿宋_GB2312"/>
                <w:sz w:val="24"/>
                <w:szCs w:val="24"/>
                <w:highlight w:val="none"/>
              </w:rPr>
              <w:t>5</w:t>
            </w:r>
            <w:r>
              <w:rPr>
                <w:rFonts w:ascii="宋体" w:hAnsi="宋体" w:eastAsia="宋体" w:cs="仿宋_GB2312"/>
                <w:sz w:val="24"/>
                <w:szCs w:val="24"/>
                <w:highlight w:val="none"/>
              </w:rPr>
              <w:t>承诺函</w:t>
            </w:r>
            <w:r>
              <w:rPr>
                <w:rFonts w:hint="eastAsia" w:ascii="宋体" w:hAnsi="宋体" w:eastAsia="宋体" w:cs="仿宋_GB2312"/>
                <w:sz w:val="24"/>
                <w:szCs w:val="24"/>
                <w:highlight w:val="none"/>
              </w:rPr>
              <w:t>内容</w:t>
            </w:r>
            <w:r>
              <w:rPr>
                <w:rFonts w:ascii="宋体" w:hAnsi="宋体" w:eastAsia="宋体" w:cs="仿宋_GB2312"/>
                <w:sz w:val="24"/>
                <w:szCs w:val="24"/>
                <w:highlight w:val="none"/>
              </w:rPr>
              <w:t>提供承诺函；②承诺的内容满足招标文件的要求。】。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highlight w:val="none"/>
              </w:rPr>
            </w:pPr>
            <w:r>
              <w:rPr>
                <w:rFonts w:hint="eastAsia" w:ascii="宋体" w:hAnsi="宋体" w:eastAsia="宋体" w:cs="Times New Roman"/>
                <w:sz w:val="24"/>
                <w:szCs w:val="28"/>
                <w:highlight w:val="none"/>
              </w:rPr>
              <w:t>招标文件中未载明“允许采购进口产品”的产品，投标产品为国产产品。【说明：无须提供证明材料，上传空白页即可，不对本项上传的材料作符合性审查】</w:t>
            </w:r>
          </w:p>
        </w:tc>
      </w:tr>
    </w:tbl>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二、投标人的投标文件符合性审查时被判定为无效投标文件的，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将通知投标人（以短信、现场公示、电话、“政府采购云平台”等任一方式）。投标人如对评审结论有异议的，应及时向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三、通过符合性审查的供应商＜3名，本项目采购失败。</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解释、澄清有关问题</w:t>
      </w:r>
    </w:p>
    <w:p>
      <w:pPr>
        <w:numPr>
          <w:ilvl w:val="0"/>
          <w:numId w:val="38"/>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评标过程中，评标委员会认为招标文件有关事项表述不明确或需要说明的，可以提请</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的解释不得改变招标文件的原义或者影响公平、公正，解释事项如果涉及投标人权益的以有利于投标人的原则进行解释。</w:t>
      </w:r>
    </w:p>
    <w:p>
      <w:pPr>
        <w:numPr>
          <w:ilvl w:val="0"/>
          <w:numId w:val="38"/>
        </w:numPr>
        <w:tabs>
          <w:tab w:val="left" w:pos="1134"/>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8"/>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澄清应当不超出投标文件的范围、不实质性改变投标文件的内容、不影响投标人的公平竞争、不导致投标文件从不响应招标文件变为响应招标文件的条件。下列内容不得澄清：</w:t>
      </w:r>
    </w:p>
    <w:p>
      <w:pPr>
        <w:numPr>
          <w:ilvl w:val="0"/>
          <w:numId w:val="39"/>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投标人投标文件中不响应招标文件规定的技术参数指标和商务应答；</w:t>
      </w:r>
    </w:p>
    <w:p>
      <w:pPr>
        <w:numPr>
          <w:ilvl w:val="0"/>
          <w:numId w:val="39"/>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投标人投标文件中未提供的证明其是否符合招标文件资格性、符合性规定要求的相关材料。</w:t>
      </w:r>
    </w:p>
    <w:p>
      <w:pPr>
        <w:numPr>
          <w:ilvl w:val="0"/>
          <w:numId w:val="39"/>
        </w:numPr>
        <w:tabs>
          <w:tab w:val="left" w:pos="993"/>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投标人投标文件中的材料因印刷、影印等不清晰而难以辨认的。</w:t>
      </w:r>
    </w:p>
    <w:p>
      <w:pPr>
        <w:numPr>
          <w:ilvl w:val="0"/>
          <w:numId w:val="38"/>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（三）总价金额与按单价汇总金额不一致的，以单价金额计算结果为准。</w:t>
      </w:r>
    </w:p>
    <w:p>
      <w:pPr>
        <w:spacing w:line="560" w:lineRule="exact"/>
        <w:ind w:firstLine="560"/>
        <w:rPr>
          <w:rFonts w:ascii="Calibri" w:hAnsi="Calibri" w:eastAsia="宋体" w:cs="Times New Roman"/>
          <w:sz w:val="28"/>
          <w:szCs w:val="28"/>
          <w:highlight w:val="none"/>
        </w:rPr>
      </w:pPr>
      <w:r>
        <w:rPr>
          <w:rFonts w:hint="eastAsia" w:ascii="Calibri" w:hAnsi="Calibri" w:eastAsia="宋体" w:cs="Times New Roman"/>
          <w:sz w:val="28"/>
          <w:szCs w:val="28"/>
          <w:highlight w:val="none"/>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评标委员会应当积极履行澄清、说明或者更正的职责，不得滥用权力。</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比较与评价</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按招标文件中规定的评标细则及标准，对符合性检查合格的投标文件进行商务和技术评估，综合比较和评价。</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评标结果汇总完成后，评标委员会拟出具评审报告前，</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评标结果汇总完成后，除下列情形外，任何人不得修改评标结果：</w:t>
      </w:r>
    </w:p>
    <w:p>
      <w:pPr>
        <w:numPr>
          <w:ilvl w:val="0"/>
          <w:numId w:val="40"/>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分值汇总计算错误的；</w:t>
      </w:r>
    </w:p>
    <w:p>
      <w:pPr>
        <w:numPr>
          <w:ilvl w:val="0"/>
          <w:numId w:val="40"/>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分项评分超出评分标准范围的；</w:t>
      </w:r>
    </w:p>
    <w:p>
      <w:pPr>
        <w:numPr>
          <w:ilvl w:val="0"/>
          <w:numId w:val="40"/>
        </w:numPr>
        <w:tabs>
          <w:tab w:val="left" w:pos="851"/>
          <w:tab w:val="left" w:pos="1276"/>
          <w:tab w:val="left" w:pos="1560"/>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评标委员会成员对客观评审因素评分不一致的；</w:t>
      </w:r>
    </w:p>
    <w:p>
      <w:pPr>
        <w:numPr>
          <w:ilvl w:val="0"/>
          <w:numId w:val="40"/>
        </w:numPr>
        <w:tabs>
          <w:tab w:val="left" w:pos="851"/>
          <w:tab w:val="left" w:pos="1276"/>
        </w:tabs>
        <w:spacing w:line="560" w:lineRule="exact"/>
        <w:ind w:left="0" w:firstLine="426"/>
        <w:rPr>
          <w:rFonts w:ascii="宋体" w:hAnsi="宋体" w:eastAsia="宋体" w:cs="Times New Roman"/>
          <w:sz w:val="28"/>
          <w:szCs w:val="28"/>
          <w:highlight w:val="none"/>
        </w:rPr>
      </w:pPr>
      <w:r>
        <w:rPr>
          <w:rFonts w:hint="eastAsia" w:ascii="宋体" w:hAnsi="宋体" w:eastAsia="宋体" w:cs="Times New Roman"/>
          <w:sz w:val="28"/>
          <w:szCs w:val="28"/>
          <w:highlight w:val="none"/>
        </w:rPr>
        <w:t>经评标委员会认定评分畸高、畸低的。</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确定中标候选人名单</w:t>
      </w:r>
    </w:p>
    <w:p>
      <w:pPr>
        <w:tabs>
          <w:tab w:val="left" w:pos="7665"/>
        </w:tabs>
        <w:spacing w:line="360" w:lineRule="auto"/>
        <w:ind w:firstLine="560" w:firstLineChars="200"/>
        <w:rPr>
          <w:rFonts w:ascii="Helvetica" w:hAnsi="Helvetica" w:eastAsia="宋体" w:cs="Helvetica"/>
          <w:kern w:val="0"/>
          <w:sz w:val="28"/>
          <w:szCs w:val="28"/>
          <w:highlight w:val="none"/>
        </w:rPr>
      </w:pPr>
      <w:r>
        <w:rPr>
          <w:rFonts w:hint="eastAsia" w:ascii="宋体" w:hAnsi="宋体" w:eastAsia="宋体" w:cs="Times New Roman"/>
          <w:sz w:val="28"/>
          <w:szCs w:val="28"/>
          <w:highlight w:val="none"/>
        </w:rPr>
        <w:t>按投标人综合得分从高到低进行排序，确定1至3名中标候选人。综合得分相同的，则在排名并列的投标人中优先选择不发达地区或少数民族地区或国家级贫困地区的供应商为中标候选人。综合得分相同、是否属于不发达地区或少数民族地区或国家级贫困地区的情况一致的投标人按投标报价由低到高顺序排列确定中标候选人。综合得分相同、是否属于不发达地区或少数民族地区或国家级贫困地区的情况一致、报价相同的并列。（不发达地区或少数民族地区的投标人指投标人注册地在民族自治州、自治县、自治乡等不发达地区或少数民族地区。国家级贫困地区的投标人指注册地在832个国家级贫困县域内，且聘用建档立卡贫困人员的投标人）；排名并列的投标人中不存在不发达地区或少数民族地区或国家级贫困地区的投标人，综合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Helvetica" w:hAnsi="Helvetica" w:eastAsia="宋体" w:cs="Helvetica"/>
          <w:kern w:val="0"/>
          <w:sz w:val="28"/>
          <w:szCs w:val="28"/>
          <w:highlight w:val="none"/>
        </w:rPr>
        <w:t>。</w:t>
      </w:r>
    </w:p>
    <w:p>
      <w:pPr>
        <w:keepNext/>
        <w:keepLines/>
        <w:numPr>
          <w:ilvl w:val="2"/>
          <w:numId w:val="4"/>
        </w:numPr>
        <w:spacing w:before="240"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编写评标报告</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评标报告是评标委员会根据全体评标成员签字的原始评标记录和评标结果编写的报告，其主要内容包括：</w:t>
      </w:r>
    </w:p>
    <w:p>
      <w:pPr>
        <w:numPr>
          <w:ilvl w:val="0"/>
          <w:numId w:val="41"/>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招标公告刊登的媒体名称、开标日期和地点；</w:t>
      </w:r>
    </w:p>
    <w:p>
      <w:pPr>
        <w:numPr>
          <w:ilvl w:val="0"/>
          <w:numId w:val="41"/>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投标人名单和评标委员会成员名单；</w:t>
      </w:r>
    </w:p>
    <w:p>
      <w:pPr>
        <w:numPr>
          <w:ilvl w:val="0"/>
          <w:numId w:val="41"/>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评标方法和标准；</w:t>
      </w:r>
    </w:p>
    <w:p>
      <w:pPr>
        <w:numPr>
          <w:ilvl w:val="0"/>
          <w:numId w:val="41"/>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开标记录和评标情况及说明，包括投标无效投标人名单及原因；</w:t>
      </w:r>
    </w:p>
    <w:p>
      <w:pPr>
        <w:numPr>
          <w:ilvl w:val="0"/>
          <w:numId w:val="41"/>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评标结果，确定的中标候选人名单或者经采购人委托直接确定的中标人；</w:t>
      </w:r>
    </w:p>
    <w:p>
      <w:pPr>
        <w:numPr>
          <w:ilvl w:val="0"/>
          <w:numId w:val="41"/>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其他需要说明的情况，包括评标过程中投标人根据评标委员会要求进行的澄清、说明或者补正，评标委员会成员的更换等；</w:t>
      </w:r>
    </w:p>
    <w:p>
      <w:pPr>
        <w:numPr>
          <w:ilvl w:val="0"/>
          <w:numId w:val="41"/>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3" w:name="_Toc5325"/>
      <w:r>
        <w:rPr>
          <w:rFonts w:hint="eastAsia" w:ascii="宋体" w:hAnsi="宋体" w:eastAsia="宋体" w:cs="Times New Roman"/>
          <w:b/>
          <w:bCs/>
          <w:sz w:val="28"/>
          <w:szCs w:val="28"/>
          <w:highlight w:val="none"/>
        </w:rPr>
        <w:t>评标争议处理规则</w:t>
      </w:r>
      <w:bookmarkEnd w:id="173"/>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highlight w:val="none"/>
        </w:rPr>
        <w:t>持不同意见的评标委员会成员应当在评标报告上签署不同意见及理由，否则视为同意评标报告。</w:t>
      </w:r>
      <w:r>
        <w:rPr>
          <w:rFonts w:hint="eastAsia" w:ascii="宋体" w:hAnsi="宋体" w:eastAsia="宋体" w:cs="Times New Roman"/>
          <w:sz w:val="28"/>
          <w:szCs w:val="28"/>
          <w:highlight w:val="none"/>
        </w:rPr>
        <w:t>持不同意见的评标委员会成员认为认定过程和结果不符合法律法规或者招标文件规定的，应当及时向采购人或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书面反映。采购人或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收到书面反映后，应当书面报告采购项目同级财政部门依法处理。</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4" w:name="_Toc2122"/>
      <w:r>
        <w:rPr>
          <w:rFonts w:hint="eastAsia" w:ascii="宋体" w:hAnsi="宋体" w:eastAsia="宋体" w:cs="Times New Roman"/>
          <w:b/>
          <w:bCs/>
          <w:sz w:val="28"/>
          <w:szCs w:val="28"/>
          <w:highlight w:val="none"/>
        </w:rPr>
        <w:t>评标细则及标准</w:t>
      </w:r>
      <w:bookmarkEnd w:id="174"/>
    </w:p>
    <w:p>
      <w:pPr>
        <w:numPr>
          <w:ilvl w:val="0"/>
          <w:numId w:val="42"/>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评标委员会只对通过初审的投标文件，根据招标文件的要求采用相同的评标程序、评分办法及标准进行评价和比较。</w:t>
      </w:r>
    </w:p>
    <w:p>
      <w:pPr>
        <w:numPr>
          <w:ilvl w:val="0"/>
          <w:numId w:val="42"/>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本次综合评分的因素是：价格、服务、商务等。</w:t>
      </w:r>
    </w:p>
    <w:p>
      <w:pPr>
        <w:numPr>
          <w:ilvl w:val="0"/>
          <w:numId w:val="42"/>
        </w:numPr>
        <w:tabs>
          <w:tab w:val="left" w:pos="1155"/>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评标委员会成员应依据招标文件规定的评分标准和方法独立打分。</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评分办法</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评标得分＝（A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3</w:t>
      </w:r>
    </w:p>
    <w:p>
      <w:pPr>
        <w:widowControl/>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分别为每个</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评委的打分，n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评委人数；B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分别为每个技术类评委（含采购人代表）的打分，n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技术类</w:t>
      </w:r>
      <w:r>
        <w:rPr>
          <w:rFonts w:hint="eastAsia" w:ascii="宋体" w:hAnsi="宋体" w:eastAsia="宋体" w:cs="Times New Roman"/>
          <w:sz w:val="28"/>
          <w:szCs w:val="28"/>
          <w:highlight w:val="none"/>
        </w:rPr>
        <w:t>评委（含采购人代表）人数；C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分别为评审委员会每个成员的打分，n</w:t>
      </w:r>
      <w:r>
        <w:rPr>
          <w:rFonts w:hint="eastAsia" w:ascii="宋体" w:hAnsi="宋体" w:eastAsia="宋体" w:cs="Times New Roman"/>
          <w:sz w:val="28"/>
          <w:szCs w:val="28"/>
          <w:highlight w:val="none"/>
          <w:vertAlign w:val="subscript"/>
        </w:rPr>
        <w:t>3</w:t>
      </w:r>
      <w:r>
        <w:rPr>
          <w:rFonts w:hint="eastAsia" w:ascii="宋体" w:hAnsi="宋体" w:eastAsia="宋体" w:cs="Times New Roman"/>
          <w:sz w:val="28"/>
          <w:szCs w:val="28"/>
          <w:highlight w:val="none"/>
        </w:rPr>
        <w:t>为评委人数。</w:t>
      </w:r>
    </w:p>
    <w:p>
      <w:pPr>
        <w:keepNext/>
        <w:keepLines/>
        <w:numPr>
          <w:ilvl w:val="2"/>
          <w:numId w:val="4"/>
        </w:numPr>
        <w:spacing w:line="360" w:lineRule="auto"/>
        <w:ind w:left="567" w:hanging="567"/>
        <w:outlineLvl w:val="2"/>
        <w:rPr>
          <w:highlight w:val="none"/>
        </w:rPr>
      </w:pPr>
      <w:r>
        <w:rPr>
          <w:rFonts w:hint="eastAsia" w:ascii="宋体" w:hAnsi="宋体" w:eastAsia="宋体" w:cs="Times New Roman"/>
          <w:b/>
          <w:bCs/>
          <w:sz w:val="28"/>
          <w:szCs w:val="28"/>
          <w:highlight w:val="none"/>
        </w:rPr>
        <w:t>评分标准</w:t>
      </w:r>
    </w:p>
    <w:tbl>
      <w:tblPr>
        <w:tblStyle w:val="15"/>
        <w:tblW w:w="85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646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tcBorders>
              <w:top w:val="single" w:color="auto" w:sz="2" w:space="0"/>
              <w:left w:val="single" w:color="auto" w:sz="2" w:space="0"/>
              <w:bottom w:val="single" w:color="auto" w:sz="2" w:space="0"/>
              <w:right w:val="single" w:color="auto" w:sz="2" w:space="0"/>
            </w:tcBorders>
            <w:vAlign w:val="center"/>
          </w:tcPr>
          <w:p>
            <w:pPr>
              <w:jc w:val="center"/>
              <w:rPr>
                <w:b/>
                <w:sz w:val="22"/>
                <w:szCs w:val="21"/>
              </w:rPr>
            </w:pPr>
            <w:r>
              <w:rPr>
                <w:rFonts w:hint="eastAsia"/>
                <w:b/>
                <w:sz w:val="22"/>
                <w:szCs w:val="21"/>
              </w:rPr>
              <w:t>评审</w:t>
            </w:r>
          </w:p>
          <w:p>
            <w:pPr>
              <w:spacing w:after="200" w:line="276" w:lineRule="auto"/>
              <w:jc w:val="center"/>
              <w:rPr>
                <w:b/>
                <w:sz w:val="22"/>
                <w:szCs w:val="21"/>
              </w:rPr>
            </w:pPr>
            <w:r>
              <w:rPr>
                <w:rFonts w:hint="eastAsia"/>
                <w:b/>
                <w:sz w:val="22"/>
                <w:szCs w:val="21"/>
              </w:rPr>
              <w:t>项目</w:t>
            </w:r>
          </w:p>
        </w:tc>
        <w:tc>
          <w:tcPr>
            <w:tcW w:w="6464"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b/>
                <w:sz w:val="22"/>
                <w:szCs w:val="21"/>
              </w:rPr>
            </w:pPr>
            <w:r>
              <w:rPr>
                <w:rFonts w:hint="eastAsia"/>
                <w:b/>
                <w:sz w:val="22"/>
                <w:szCs w:val="21"/>
              </w:rPr>
              <w:t>评分标准</w:t>
            </w:r>
          </w:p>
        </w:tc>
        <w:tc>
          <w:tcPr>
            <w:tcW w:w="992"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b/>
                <w:sz w:val="22"/>
                <w:szCs w:val="21"/>
              </w:rPr>
            </w:pPr>
            <w:r>
              <w:rPr>
                <w:rFonts w:hint="eastAsia"/>
                <w:b/>
                <w:sz w:val="22"/>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投标报价得分</w:t>
            </w:r>
          </w:p>
        </w:tc>
        <w:tc>
          <w:tcPr>
            <w:tcW w:w="6464" w:type="dxa"/>
            <w:tcBorders>
              <w:top w:val="single" w:color="auto" w:sz="2" w:space="0"/>
              <w:left w:val="single" w:color="auto" w:sz="2" w:space="0"/>
              <w:bottom w:val="single" w:color="auto" w:sz="2" w:space="0"/>
              <w:right w:val="single" w:color="auto" w:sz="2"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1、经评标委员会评审，通过资格审查和符合性审查，且投标报价最低的投标人的投标报价作为评标基准价。</w:t>
            </w:r>
          </w:p>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2、投标报价得分=(评标基准价／投标报价)×15。</w:t>
            </w:r>
          </w:p>
        </w:tc>
        <w:tc>
          <w:tcPr>
            <w:tcW w:w="992" w:type="dxa"/>
            <w:tcBorders>
              <w:top w:val="single" w:color="auto" w:sz="2" w:space="0"/>
              <w:left w:val="single" w:color="auto" w:sz="2" w:space="0"/>
              <w:bottom w:val="single" w:color="auto" w:sz="2" w:space="0"/>
              <w:right w:val="single" w:color="auto" w:sz="2"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仿宋_GB2312" w:hAnsi="仿宋_GB2312" w:eastAsia="仿宋_GB2312" w:cs="仿宋_GB2312"/>
                <w:b/>
                <w:sz w:val="24"/>
              </w:rPr>
            </w:pPr>
            <w:r>
              <w:rPr>
                <w:rFonts w:hint="eastAsia" w:ascii="仿宋_GB2312" w:hAnsi="仿宋_GB2312" w:eastAsia="仿宋_GB2312" w:cs="仿宋_GB2312"/>
                <w:b/>
                <w:sz w:val="24"/>
              </w:rPr>
              <w:t>类似业绩</w:t>
            </w:r>
          </w:p>
        </w:tc>
        <w:tc>
          <w:tcPr>
            <w:tcW w:w="6464" w:type="dxa"/>
            <w:tcBorders>
              <w:top w:val="single" w:color="auto" w:sz="2" w:space="0"/>
              <w:left w:val="single" w:color="auto" w:sz="2" w:space="0"/>
              <w:bottom w:val="single" w:color="auto" w:sz="2" w:space="0"/>
              <w:right w:val="single" w:color="auto" w:sz="2"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供应商每有一个2017年1月1日（含1日）起签订的类似项目业绩得2分，最多得8分。</w:t>
            </w:r>
          </w:p>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（注：类似项目业绩是指：物业服务项目业绩。提供合同复印件加盖</w:t>
            </w:r>
            <w:r>
              <w:rPr>
                <w:rFonts w:hint="eastAsia" w:ascii="宋体" w:hAnsi="宋体" w:eastAsia="宋体" w:cs="Times New Roman"/>
                <w:sz w:val="24"/>
                <w:szCs w:val="24"/>
                <w:highlight w:val="none"/>
                <w:lang w:eastAsia="zh-CN"/>
              </w:rPr>
              <w:t>投标人</w:t>
            </w:r>
            <w:r>
              <w:rPr>
                <w:rFonts w:hint="eastAsia" w:ascii="宋体" w:hAnsi="宋体" w:eastAsia="宋体" w:cs="Times New Roman"/>
                <w:sz w:val="24"/>
                <w:szCs w:val="24"/>
                <w:highlight w:val="none"/>
              </w:rPr>
              <w:t>公章，同一项目业绩不重复计算。）</w:t>
            </w:r>
          </w:p>
        </w:tc>
        <w:tc>
          <w:tcPr>
            <w:tcW w:w="992" w:type="dxa"/>
            <w:tcBorders>
              <w:top w:val="single" w:color="auto" w:sz="2" w:space="0"/>
              <w:left w:val="single" w:color="auto" w:sz="2" w:space="0"/>
              <w:bottom w:val="single" w:color="auto" w:sz="2" w:space="0"/>
              <w:right w:val="single" w:color="auto" w:sz="2"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jc w:val="center"/>
        </w:trPr>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仿宋_GB2312" w:hAnsi="仿宋_GB2312" w:eastAsia="仿宋_GB2312" w:cs="仿宋_GB2312"/>
                <w:b/>
                <w:sz w:val="24"/>
              </w:rPr>
            </w:pPr>
            <w:r>
              <w:rPr>
                <w:rFonts w:hint="eastAsia" w:ascii="仿宋_GB2312" w:hAnsi="仿宋_GB2312" w:eastAsia="仿宋_GB2312" w:cs="仿宋_GB2312"/>
                <w:b/>
                <w:sz w:val="24"/>
              </w:rPr>
              <w:t>项目概况及分析</w:t>
            </w:r>
          </w:p>
        </w:tc>
        <w:tc>
          <w:tcPr>
            <w:tcW w:w="6464" w:type="dxa"/>
            <w:tcBorders>
              <w:top w:val="single" w:color="auto" w:sz="2" w:space="0"/>
              <w:left w:val="single" w:color="auto" w:sz="2" w:space="0"/>
              <w:bottom w:val="single" w:color="auto" w:sz="2" w:space="0"/>
              <w:right w:val="single" w:color="auto" w:sz="2"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项目概况及分析包括“对本项目现场情况了解及分析”、“工作重难点及应对措施”、“管理整体策划方案”，以上3个要素符合采购需求得12分，有任意一个要素缺失或不符合采购需求扣4分，12分扣完为止。</w:t>
            </w:r>
          </w:p>
        </w:tc>
        <w:tc>
          <w:tcPr>
            <w:tcW w:w="992" w:type="dxa"/>
            <w:tcBorders>
              <w:top w:val="single" w:color="auto" w:sz="2" w:space="0"/>
              <w:left w:val="single" w:color="auto" w:sz="2" w:space="0"/>
              <w:bottom w:val="single" w:color="auto" w:sz="2" w:space="0"/>
              <w:right w:val="single" w:color="auto" w:sz="2"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tcBorders>
              <w:top w:val="single" w:color="auto" w:sz="2" w:space="0"/>
              <w:left w:val="single" w:color="auto" w:sz="2" w:space="0"/>
              <w:bottom w:val="single" w:color="auto" w:sz="4" w:space="0"/>
              <w:right w:val="single" w:color="auto" w:sz="2" w:space="0"/>
            </w:tcBorders>
            <w:vAlign w:val="center"/>
          </w:tcPr>
          <w:p>
            <w:pPr>
              <w:spacing w:after="200" w:line="276" w:lineRule="auto"/>
              <w:jc w:val="center"/>
              <w:rPr>
                <w:rFonts w:ascii="仿宋_GB2312" w:hAnsi="仿宋_GB2312" w:eastAsia="仿宋_GB2312" w:cs="仿宋_GB2312"/>
                <w:b/>
                <w:sz w:val="24"/>
              </w:rPr>
            </w:pPr>
            <w:r>
              <w:rPr>
                <w:rFonts w:hint="eastAsia" w:ascii="仿宋_GB2312" w:hAnsi="仿宋_GB2312" w:eastAsia="仿宋_GB2312" w:cs="仿宋_GB2312"/>
                <w:b/>
                <w:sz w:val="24"/>
              </w:rPr>
              <w:t>项目管理机构及管理制度</w:t>
            </w:r>
          </w:p>
        </w:tc>
        <w:tc>
          <w:tcPr>
            <w:tcW w:w="6464" w:type="dxa"/>
            <w:tcBorders>
              <w:top w:val="single" w:color="auto" w:sz="2" w:space="0"/>
              <w:left w:val="single" w:color="auto" w:sz="2" w:space="0"/>
              <w:bottom w:val="single" w:color="auto" w:sz="2" w:space="0"/>
              <w:right w:val="single" w:color="auto" w:sz="2"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项目管理机构及管理制度包括“项目管理机构设置”、“项目日常管理制度”，以上2个要素符合采购需求得6分，有任意一个要素缺失或不符合采购需求扣3分，6分扣完为止。</w:t>
            </w:r>
          </w:p>
        </w:tc>
        <w:tc>
          <w:tcPr>
            <w:tcW w:w="992" w:type="dxa"/>
            <w:tcBorders>
              <w:top w:val="single" w:color="auto" w:sz="2" w:space="0"/>
              <w:left w:val="single" w:color="auto" w:sz="2" w:space="0"/>
              <w:bottom w:val="single" w:color="auto" w:sz="2" w:space="0"/>
              <w:right w:val="single" w:color="auto" w:sz="2"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jc w:val="center"/>
        </w:trPr>
        <w:tc>
          <w:tcPr>
            <w:tcW w:w="1079" w:type="dxa"/>
            <w:tcBorders>
              <w:top w:val="single" w:color="auto" w:sz="4" w:space="0"/>
              <w:left w:val="single" w:color="auto" w:sz="2" w:space="0"/>
              <w:bottom w:val="single" w:color="auto" w:sz="4" w:space="0"/>
              <w:right w:val="single" w:color="auto" w:sz="2" w:space="0"/>
            </w:tcBorders>
            <w:vAlign w:val="center"/>
          </w:tcPr>
          <w:p>
            <w:pPr>
              <w:spacing w:after="200" w:line="276" w:lineRule="auto"/>
              <w:jc w:val="center"/>
              <w:rPr>
                <w:rFonts w:ascii="仿宋_GB2312" w:hAnsi="仿宋_GB2312" w:eastAsia="仿宋_GB2312" w:cs="仿宋_GB2312"/>
                <w:b/>
                <w:sz w:val="24"/>
              </w:rPr>
            </w:pPr>
            <w:r>
              <w:rPr>
                <w:rFonts w:hint="eastAsia" w:ascii="仿宋_GB2312" w:hAnsi="仿宋_GB2312" w:eastAsia="仿宋_GB2312" w:cs="仿宋_GB2312"/>
                <w:b/>
                <w:sz w:val="24"/>
              </w:rPr>
              <w:t>作业方案</w:t>
            </w:r>
          </w:p>
        </w:tc>
        <w:tc>
          <w:tcPr>
            <w:tcW w:w="6464" w:type="dxa"/>
            <w:tcBorders>
              <w:top w:val="single" w:color="auto" w:sz="2" w:space="0"/>
              <w:left w:val="single" w:color="auto" w:sz="2" w:space="0"/>
              <w:bottom w:val="single" w:color="auto" w:sz="2" w:space="0"/>
              <w:right w:val="single" w:color="auto" w:sz="2"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1.门诊楼清洁卫生工作包括 “清洁服务作业措施”、“医疗、生活垃圾分类管理、收集转运工作服务流程”以上2个要素符合采购需求得4分，有任意一个要素缺失或不符合采购需求扣2分，4分扣完为止。</w:t>
            </w:r>
          </w:p>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2.急诊科担架员工作包括“作业制度”、“作业措施”，以上2个要素符合采购需求得4分，有任意一个要素缺失或不符合采购需求扣2分，4分扣完为止。</w:t>
            </w:r>
          </w:p>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3.门诊楼洗涤工作包括“洗涤工作制度”、“洗涤工作措施”，以上2个要素符合采购需求得 4分，有任意一个要素缺失或不符合采购需求扣2分，4分扣完为止。</w:t>
            </w:r>
          </w:p>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4.院内的中央运输服务工作包括“中央运输作业制度”、“作业流程”,以上2个要素符合采购需求得4分，有任意一个要素缺失或不符合采购需求扣2分，4分扣完为止。</w:t>
            </w:r>
          </w:p>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5.院内的供应室工勤服务工作包括“作业措施”、“院感管理”，以上2个要素符合采购需求得4分，有任意一个要素缺失或不符合采购需求扣2分，4分扣完为止。</w:t>
            </w:r>
          </w:p>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6.院内检查科后勤服务工作包括“资料登记及管理”、“资料保管制度及保密制度”，以上2个要素符合采购需求得4分，有任意一个要素缺失或不符合采购需求扣2分，4分扣完为止。</w:t>
            </w:r>
          </w:p>
        </w:tc>
        <w:tc>
          <w:tcPr>
            <w:tcW w:w="992" w:type="dxa"/>
            <w:tcBorders>
              <w:top w:val="single" w:color="auto" w:sz="2" w:space="0"/>
              <w:left w:val="single" w:color="auto" w:sz="2" w:space="0"/>
              <w:bottom w:val="single" w:color="auto" w:sz="2" w:space="0"/>
              <w:right w:val="single" w:color="auto" w:sz="2"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24分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079" w:type="dxa"/>
            <w:tcBorders>
              <w:top w:val="single" w:color="auto" w:sz="4" w:space="0"/>
              <w:left w:val="single" w:color="auto" w:sz="2" w:space="0"/>
              <w:bottom w:val="single" w:color="auto" w:sz="4" w:space="0"/>
              <w:right w:val="single" w:color="auto" w:sz="2" w:space="0"/>
            </w:tcBorders>
            <w:vAlign w:val="center"/>
          </w:tcPr>
          <w:p>
            <w:pPr>
              <w:spacing w:after="200" w:line="276"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应急预案</w:t>
            </w:r>
          </w:p>
        </w:tc>
        <w:tc>
          <w:tcPr>
            <w:tcW w:w="6464" w:type="dxa"/>
            <w:tcBorders>
              <w:top w:val="single" w:color="auto" w:sz="2" w:space="0"/>
              <w:left w:val="single" w:color="auto" w:sz="2" w:space="0"/>
              <w:bottom w:val="single" w:color="auto" w:sz="2" w:space="0"/>
              <w:right w:val="single" w:color="auto" w:sz="2"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应急预案包括 “重大突发事件应急预案”、“职业暴露应急预案”、“医疗废物泄漏(扩散)突发事件处理应急预案”，以上3个要素符合采购需求得 9分，有任意一个要素缺失或不符合采购需求扣3分，9分扣完为止。</w:t>
            </w:r>
          </w:p>
        </w:tc>
        <w:tc>
          <w:tcPr>
            <w:tcW w:w="992" w:type="dxa"/>
            <w:tcBorders>
              <w:top w:val="single" w:color="auto" w:sz="2" w:space="0"/>
              <w:left w:val="single" w:color="auto" w:sz="2" w:space="0"/>
              <w:bottom w:val="single" w:color="auto" w:sz="2" w:space="0"/>
              <w:right w:val="single" w:color="auto" w:sz="2"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 w:hRule="atLeast"/>
          <w:jc w:val="center"/>
        </w:trPr>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ascii="仿宋_GB2312" w:hAnsi="仿宋_GB2312" w:eastAsia="仿宋_GB2312" w:cs="仿宋_GB2312"/>
                <w:b/>
                <w:sz w:val="24"/>
              </w:rPr>
            </w:pPr>
            <w:r>
              <w:rPr>
                <w:rFonts w:hint="eastAsia" w:ascii="仿宋_GB2312" w:hAnsi="仿宋_GB2312" w:eastAsia="仿宋_GB2312" w:cs="仿宋_GB2312"/>
                <w:b/>
                <w:sz w:val="24"/>
              </w:rPr>
              <w:t>疫情防控方案</w:t>
            </w:r>
          </w:p>
        </w:tc>
        <w:tc>
          <w:tcPr>
            <w:tcW w:w="6464" w:type="dxa"/>
            <w:tcBorders>
              <w:top w:val="single" w:color="auto" w:sz="4" w:space="0"/>
              <w:left w:val="single" w:color="auto" w:sz="4" w:space="0"/>
              <w:bottom w:val="single" w:color="auto" w:sz="4" w:space="0"/>
              <w:right w:val="single" w:color="auto" w:sz="4"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疫情防控方案包括“针对医院疫情防控提出的工作要求及要点、人员服务规范”、“新冠疫情防控应急预案”以上2个要素符合采购需求得10分，有任意一个要素缺失或不符合采购需求扣5分，10分扣完为止。</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8" w:hRule="atLeast"/>
          <w:jc w:val="center"/>
        </w:trPr>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ascii="仿宋_GB2312" w:hAnsi="仿宋_GB2312" w:eastAsia="仿宋_GB2312" w:cs="仿宋_GB2312"/>
                <w:b/>
                <w:sz w:val="24"/>
              </w:rPr>
            </w:pPr>
            <w:r>
              <w:rPr>
                <w:rFonts w:hint="eastAsia" w:ascii="仿宋_GB2312" w:hAnsi="仿宋_GB2312" w:eastAsia="仿宋_GB2312" w:cs="仿宋_GB2312"/>
                <w:b/>
                <w:sz w:val="24"/>
              </w:rPr>
              <w:t>项目人员配置</w:t>
            </w:r>
          </w:p>
        </w:tc>
        <w:tc>
          <w:tcPr>
            <w:tcW w:w="6464" w:type="dxa"/>
            <w:tcBorders>
              <w:top w:val="single" w:color="auto" w:sz="4" w:space="0"/>
              <w:left w:val="single" w:color="auto" w:sz="4" w:space="0"/>
              <w:bottom w:val="single" w:color="auto" w:sz="4" w:space="0"/>
              <w:right w:val="single" w:color="auto" w:sz="4"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满足招标文件人员配置要求得3分，在此基础上：</w:t>
            </w:r>
          </w:p>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担架员具有红十字救护员证1个得1分，本项最多得3分。</w:t>
            </w:r>
          </w:p>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【说明：基础配置人员可提供人员配置情况表或配置承诺函。】</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155"/>
              </w:tabs>
              <w:spacing w:line="56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 w:hRule="atLeast"/>
          <w:jc w:val="center"/>
        </w:trPr>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ascii="仿宋_GB2312" w:hAnsi="仿宋_GB2312" w:eastAsia="仿宋_GB2312" w:cs="仿宋_GB2312"/>
                <w:b/>
                <w:sz w:val="24"/>
              </w:rPr>
            </w:pPr>
            <w:r>
              <w:rPr>
                <w:rFonts w:hint="eastAsia" w:ascii="仿宋_GB2312" w:hAnsi="仿宋_GB2312" w:eastAsia="仿宋_GB2312" w:cs="仿宋_GB2312"/>
                <w:b/>
                <w:sz w:val="24"/>
              </w:rPr>
              <w:t>企业实力</w:t>
            </w:r>
          </w:p>
        </w:tc>
        <w:tc>
          <w:tcPr>
            <w:tcW w:w="6464" w:type="dxa"/>
            <w:tcBorders>
              <w:top w:val="single" w:color="auto" w:sz="4" w:space="0"/>
              <w:left w:val="single" w:color="auto" w:sz="4" w:space="0"/>
              <w:bottom w:val="single" w:color="auto" w:sz="4" w:space="0"/>
              <w:right w:val="single" w:color="auto" w:sz="4" w:space="0"/>
            </w:tcBorders>
            <w:vAlign w:val="center"/>
          </w:tcPr>
          <w:p>
            <w:pPr>
              <w:tabs>
                <w:tab w:val="left" w:pos="1155"/>
              </w:tabs>
              <w:spacing w:line="560" w:lineRule="exact"/>
              <w:rPr>
                <w:rFonts w:hint="eastAsia" w:ascii="宋体" w:hAnsi="宋体" w:eastAsia="宋体" w:cs="Times New Roman"/>
                <w:sz w:val="24"/>
                <w:szCs w:val="24"/>
                <w:highlight w:val="none"/>
                <w:lang w:val="zh-CN"/>
              </w:rPr>
            </w:pPr>
            <w:r>
              <w:rPr>
                <w:rFonts w:hint="eastAsia" w:ascii="宋体" w:hAnsi="宋体" w:eastAsia="宋体" w:cs="Times New Roman"/>
                <w:sz w:val="24"/>
                <w:szCs w:val="24"/>
                <w:highlight w:val="none"/>
                <w:lang w:val="zh-CN"/>
              </w:rPr>
              <w:t>1.供应商具有有效期内的质量管理体系认证证书得2分；</w:t>
            </w:r>
          </w:p>
          <w:p>
            <w:pPr>
              <w:tabs>
                <w:tab w:val="left" w:pos="1155"/>
              </w:tabs>
              <w:spacing w:line="560" w:lineRule="exact"/>
              <w:rPr>
                <w:rFonts w:hint="eastAsia" w:ascii="宋体" w:hAnsi="宋体" w:eastAsia="宋体" w:cs="Times New Roman"/>
                <w:sz w:val="24"/>
                <w:szCs w:val="24"/>
                <w:highlight w:val="none"/>
                <w:lang w:val="zh-CN"/>
              </w:rPr>
            </w:pPr>
            <w:r>
              <w:rPr>
                <w:rFonts w:hint="eastAsia" w:ascii="宋体" w:hAnsi="宋体" w:eastAsia="宋体" w:cs="Times New Roman"/>
                <w:sz w:val="24"/>
                <w:szCs w:val="24"/>
                <w:highlight w:val="none"/>
                <w:lang w:val="zh-CN"/>
              </w:rPr>
              <w:t>2.供应商具有有效期内的环境管理体系认证证书得2分；</w:t>
            </w:r>
          </w:p>
          <w:p>
            <w:pPr>
              <w:tabs>
                <w:tab w:val="left" w:pos="1155"/>
              </w:tabs>
              <w:spacing w:line="560" w:lineRule="exact"/>
              <w:rPr>
                <w:rFonts w:hint="eastAsia" w:ascii="宋体" w:hAnsi="宋体" w:eastAsia="宋体" w:cs="Times New Roman"/>
                <w:sz w:val="24"/>
                <w:szCs w:val="24"/>
                <w:highlight w:val="none"/>
                <w:lang w:val="zh-CN"/>
              </w:rPr>
            </w:pPr>
            <w:r>
              <w:rPr>
                <w:rFonts w:hint="eastAsia" w:ascii="宋体" w:hAnsi="宋体" w:eastAsia="宋体" w:cs="Times New Roman"/>
                <w:sz w:val="24"/>
                <w:szCs w:val="24"/>
                <w:highlight w:val="none"/>
                <w:lang w:val="zh-CN"/>
              </w:rPr>
              <w:t>3.供应商具有有效期内的职业健康安全管理体系认证证书得2分。</w:t>
            </w:r>
          </w:p>
          <w:p>
            <w:pPr>
              <w:tabs>
                <w:tab w:val="left" w:pos="1155"/>
              </w:tabs>
              <w:spacing w:line="560" w:lineRule="exact"/>
              <w:rPr>
                <w:rFonts w:hint="eastAsia" w:ascii="宋体" w:hAnsi="宋体" w:eastAsia="宋体" w:cs="Times New Roman"/>
                <w:sz w:val="24"/>
                <w:szCs w:val="24"/>
                <w:highlight w:val="none"/>
                <w:lang w:val="zh-CN"/>
              </w:rPr>
            </w:pPr>
            <w:r>
              <w:rPr>
                <w:rFonts w:hint="eastAsia" w:ascii="宋体" w:hAnsi="宋体" w:eastAsia="宋体" w:cs="Times New Roman"/>
                <w:sz w:val="24"/>
                <w:szCs w:val="24"/>
                <w:highlight w:val="none"/>
                <w:lang w:val="zh-CN"/>
              </w:rPr>
              <w:t>4.供应商具有有效期内的信息安全管理体系认证证书得2分。</w:t>
            </w:r>
          </w:p>
          <w:p>
            <w:pPr>
              <w:tabs>
                <w:tab w:val="left" w:pos="1155"/>
              </w:tabs>
              <w:spacing w:line="560" w:lineRule="exact"/>
              <w:rPr>
                <w:rFonts w:hint="eastAsia" w:ascii="宋体" w:hAnsi="宋体" w:eastAsia="宋体" w:cs="Times New Roman"/>
                <w:sz w:val="24"/>
                <w:szCs w:val="24"/>
                <w:highlight w:val="none"/>
                <w:lang w:val="zh-CN"/>
              </w:rPr>
            </w:pPr>
            <w:r>
              <w:rPr>
                <w:rFonts w:hint="eastAsia" w:ascii="宋体" w:hAnsi="宋体" w:eastAsia="宋体" w:cs="Times New Roman"/>
                <w:sz w:val="24"/>
                <w:szCs w:val="24"/>
                <w:highlight w:val="none"/>
                <w:lang w:val="zh-CN"/>
              </w:rPr>
              <w:t>5.供应商具有有效期内的社会责任管理体系认证证书得2分。</w:t>
            </w:r>
          </w:p>
          <w:p>
            <w:pPr>
              <w:tabs>
                <w:tab w:val="left" w:pos="1155"/>
              </w:tabs>
              <w:spacing w:line="560" w:lineRule="exact"/>
              <w:rPr>
                <w:rFonts w:hint="eastAsia" w:ascii="宋体" w:hAnsi="宋体" w:eastAsia="宋体" w:cs="Times New Roman"/>
                <w:sz w:val="24"/>
                <w:szCs w:val="24"/>
                <w:highlight w:val="none"/>
                <w:lang w:val="zh-CN"/>
              </w:rPr>
            </w:pPr>
            <w:r>
              <w:rPr>
                <w:rFonts w:hint="eastAsia" w:ascii="宋体" w:hAnsi="宋体" w:eastAsia="宋体" w:cs="Times New Roman"/>
                <w:sz w:val="24"/>
                <w:szCs w:val="24"/>
                <w:highlight w:val="none"/>
                <w:lang w:val="zh-CN"/>
              </w:rPr>
              <w:t>【说明：上述认证证书提供有效的证书复印件和认监委网站查询截图并加盖供应商公章。】</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155"/>
              </w:tabs>
              <w:spacing w:line="560" w:lineRule="exact"/>
              <w:rPr>
                <w:rFonts w:hint="eastAsia" w:ascii="宋体" w:hAnsi="宋体" w:eastAsia="宋体" w:cs="Times New Roman"/>
                <w:sz w:val="24"/>
                <w:szCs w:val="24"/>
                <w:highlight w:val="none"/>
                <w:lang w:val="zh-CN"/>
              </w:rPr>
            </w:pPr>
            <w:r>
              <w:rPr>
                <w:rFonts w:hint="eastAsia" w:ascii="宋体" w:hAnsi="宋体" w:eastAsia="宋体" w:cs="Times New Roman"/>
                <w:sz w:val="24"/>
                <w:szCs w:val="24"/>
                <w:highlight w:val="none"/>
                <w:lang w:val="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b/>
                <w:sz w:val="24"/>
                <w:szCs w:val="22"/>
              </w:rPr>
            </w:pPr>
            <w:r>
              <w:rPr>
                <w:rFonts w:hint="eastAsia" w:ascii="宋体" w:hAnsi="宋体"/>
                <w:b/>
                <w:sz w:val="24"/>
                <w:szCs w:val="22"/>
              </w:rPr>
              <w:t>合计</w:t>
            </w:r>
          </w:p>
        </w:tc>
        <w:tc>
          <w:tcPr>
            <w:tcW w:w="6464"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仿宋_GB2312" w:eastAsia="仿宋_GB2312" w:cs="仿宋_GB2312"/>
                <w:sz w:val="24"/>
                <w:lang w:val="zh-CN"/>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100分</w:t>
            </w:r>
          </w:p>
        </w:tc>
      </w:tr>
    </w:tbl>
    <w:p>
      <w:pPr>
        <w:pStyle w:val="26"/>
        <w:rPr>
          <w:rFonts w:hint="eastAsia" w:ascii="宋体" w:hAnsi="宋体" w:eastAsia="宋体" w:cs="Times New Roman"/>
          <w:b/>
          <w:bCs/>
          <w:sz w:val="28"/>
          <w:szCs w:val="28"/>
          <w:highlight w:val="none"/>
        </w:rPr>
      </w:pPr>
    </w:p>
    <w:p>
      <w:pPr>
        <w:rPr>
          <w:rFonts w:ascii="宋体" w:hAnsi="宋体" w:eastAsia="宋体" w:cs="Times New Roman"/>
          <w:sz w:val="28"/>
          <w:szCs w:val="22"/>
          <w:highlight w:val="none"/>
        </w:rPr>
      </w:pPr>
      <w:r>
        <w:rPr>
          <w:rFonts w:hint="eastAsia" w:ascii="宋体" w:hAnsi="宋体" w:eastAsia="宋体" w:cs="Times New Roman"/>
          <w:sz w:val="28"/>
          <w:szCs w:val="22"/>
          <w:highlight w:val="none"/>
        </w:rPr>
        <w:t>说明：</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1、评分的取值按四舍五入法，保留小数点后两位；</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2、评分标准中要求提供复印件的证明材料须清晰可辨。</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highlight w:val="none"/>
        </w:rPr>
      </w:pPr>
      <w:bookmarkStart w:id="175" w:name="_Toc5035"/>
      <w:r>
        <w:rPr>
          <w:rFonts w:hint="eastAsia" w:ascii="宋体" w:hAnsi="宋体" w:eastAsia="宋体" w:cs="Times New Roman"/>
          <w:b/>
          <w:bCs/>
          <w:sz w:val="28"/>
          <w:szCs w:val="28"/>
          <w:highlight w:val="none"/>
        </w:rPr>
        <w:t>废标</w:t>
      </w:r>
      <w:bookmarkEnd w:id="175"/>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本次政府采购活动中，出现下列情形之一的，予以废标：</w:t>
      </w:r>
    </w:p>
    <w:p>
      <w:pPr>
        <w:numPr>
          <w:ilvl w:val="0"/>
          <w:numId w:val="43"/>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符合专业条件的投标人或者对招标文件作实质响应的投标人不足三家的；</w:t>
      </w:r>
    </w:p>
    <w:p>
      <w:pPr>
        <w:numPr>
          <w:ilvl w:val="0"/>
          <w:numId w:val="43"/>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出现影响采购公正的违法、违规行为的；</w:t>
      </w:r>
    </w:p>
    <w:p>
      <w:pPr>
        <w:numPr>
          <w:ilvl w:val="0"/>
          <w:numId w:val="43"/>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投标人的报价均超过了采购预算，采购人不能支付的；</w:t>
      </w:r>
    </w:p>
    <w:p>
      <w:pPr>
        <w:numPr>
          <w:ilvl w:val="0"/>
          <w:numId w:val="43"/>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因重大变故，采购任务取消的；</w:t>
      </w:r>
    </w:p>
    <w:p>
      <w:pPr>
        <w:numPr>
          <w:ilvl w:val="0"/>
          <w:numId w:val="43"/>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废标后，</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将在“四川政府采购网”和“成都市公共资源交易服务中心”网站上公告。</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highlight w:val="none"/>
        </w:rPr>
      </w:pPr>
      <w:bookmarkStart w:id="176" w:name="_Toc25581"/>
      <w:r>
        <w:rPr>
          <w:rFonts w:hint="eastAsia" w:ascii="宋体" w:hAnsi="宋体" w:eastAsia="宋体" w:cs="Times New Roman"/>
          <w:b/>
          <w:bCs/>
          <w:sz w:val="28"/>
          <w:szCs w:val="28"/>
          <w:highlight w:val="none"/>
        </w:rPr>
        <w:t>定标</w:t>
      </w:r>
      <w:bookmarkEnd w:id="176"/>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定标原则</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Helvetica"/>
          <w:kern w:val="0"/>
          <w:sz w:val="28"/>
          <w:szCs w:val="28"/>
          <w:highlight w:val="none"/>
        </w:rPr>
        <w:t>采购人在收到评标报告</w:t>
      </w:r>
      <w:r>
        <w:rPr>
          <w:rFonts w:hint="eastAsia" w:ascii="宋体" w:hAnsi="宋体" w:eastAsia="宋体" w:cs="宋体"/>
          <w:kern w:val="0"/>
          <w:sz w:val="28"/>
          <w:szCs w:val="28"/>
          <w:highlight w:val="none"/>
        </w:rPr>
        <w:t>5</w:t>
      </w:r>
      <w:r>
        <w:rPr>
          <w:rFonts w:hint="eastAsia" w:ascii="宋体" w:hAnsi="宋体" w:eastAsia="宋体" w:cs="Helvetica"/>
          <w:kern w:val="0"/>
          <w:sz w:val="28"/>
          <w:szCs w:val="28"/>
          <w:highlight w:val="none"/>
        </w:rPr>
        <w:t>个工作日内未按评标报告推荐的中标候选人顺序确定中标人，又不能说明合法理由的，视同按评标报告推荐的顺序确定排名第一的中标候选人为中标人。</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定标程序</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一、评审委员会将评审情况写出书面报告。</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二、</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在评审结束之日起2个工作日内将评审报告送采购人。</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中标（成交）候选人及其现任法定代表人、主要负责人是否存在行贿犯罪记录。</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四、根据采购人确定的中标（成交）人，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五、采购人、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不解释中标（成交）或未中标（成交）原因，不退回投标文件和其他投标资料。</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7" w:name="_Toc28707"/>
      <w:r>
        <w:rPr>
          <w:rFonts w:hint="eastAsia" w:ascii="宋体" w:hAnsi="宋体" w:eastAsia="宋体" w:cs="Times New Roman"/>
          <w:b/>
          <w:bCs/>
          <w:sz w:val="28"/>
          <w:szCs w:val="28"/>
          <w:highlight w:val="none"/>
        </w:rPr>
        <w:t>评标专家在政府采购活动中承担以下义务</w:t>
      </w:r>
      <w:bookmarkEnd w:id="177"/>
    </w:p>
    <w:p>
      <w:pPr>
        <w:numPr>
          <w:ilvl w:val="0"/>
          <w:numId w:val="44"/>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遵纪守法，客观、公正、廉洁地履行职责。</w:t>
      </w:r>
    </w:p>
    <w:p>
      <w:pPr>
        <w:numPr>
          <w:ilvl w:val="0"/>
          <w:numId w:val="44"/>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4"/>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保守秘密。不得泄漏投标人的投标文件及知悉的商业秘密，不得向投标人透露评审情况。</w:t>
      </w:r>
    </w:p>
    <w:p>
      <w:pPr>
        <w:numPr>
          <w:ilvl w:val="0"/>
          <w:numId w:val="44"/>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发现投标人在政府采购活动中有不正当竞争或恶意串通等违规行为，及时向政府采购评审工作的组织者或财政部门报告并加以制止。</w:t>
      </w:r>
    </w:p>
    <w:p>
      <w:pPr>
        <w:numPr>
          <w:ilvl w:val="0"/>
          <w:numId w:val="44"/>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及其工作人员在政府采购活动中有干预评审、发表倾向性和歧视性言论、受贿或者接受投标人的其他好处及其他违法违规行为，及时向财政部门报告。</w:t>
      </w:r>
    </w:p>
    <w:p>
      <w:pPr>
        <w:numPr>
          <w:ilvl w:val="0"/>
          <w:numId w:val="44"/>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解答有关方面对政府采购评审工作中有关问题的询问，配合采购人或者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答复投标人的询问、质疑，配合财政部门的投诉处理工作等事宜。</w:t>
      </w:r>
    </w:p>
    <w:p>
      <w:pPr>
        <w:numPr>
          <w:ilvl w:val="0"/>
          <w:numId w:val="44"/>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法律、法规和规章规定的其他义务。</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8" w:name="_Toc6147"/>
      <w:r>
        <w:rPr>
          <w:rFonts w:hint="eastAsia" w:ascii="宋体" w:hAnsi="宋体" w:eastAsia="宋体" w:cs="Times New Roman"/>
          <w:b/>
          <w:bCs/>
          <w:sz w:val="28"/>
          <w:szCs w:val="28"/>
          <w:highlight w:val="none"/>
        </w:rPr>
        <w:t>评标委员会及其成员不得有下列行为</w:t>
      </w:r>
      <w:bookmarkEnd w:id="178"/>
    </w:p>
    <w:p>
      <w:pPr>
        <w:numPr>
          <w:ilvl w:val="0"/>
          <w:numId w:val="45"/>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确定参与评标至评标结束前私自接触投标人；</w:t>
      </w:r>
    </w:p>
    <w:p>
      <w:pPr>
        <w:numPr>
          <w:ilvl w:val="0"/>
          <w:numId w:val="45"/>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接受投标人提出的与投标文件不一致的澄清或者说明，除招标文件明确可以澄清的除外；</w:t>
      </w:r>
    </w:p>
    <w:p>
      <w:pPr>
        <w:numPr>
          <w:ilvl w:val="0"/>
          <w:numId w:val="45"/>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违反评标纪律发表倾向性意见或者征询采购人的倾向性意见；</w:t>
      </w:r>
    </w:p>
    <w:p>
      <w:pPr>
        <w:numPr>
          <w:ilvl w:val="0"/>
          <w:numId w:val="45"/>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对需要专业判断的主观评审因素协商评分；</w:t>
      </w:r>
    </w:p>
    <w:p>
      <w:pPr>
        <w:numPr>
          <w:ilvl w:val="0"/>
          <w:numId w:val="45"/>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在评标过程中擅离职守，影响评标程序正常进行的；</w:t>
      </w:r>
    </w:p>
    <w:p>
      <w:pPr>
        <w:numPr>
          <w:ilvl w:val="0"/>
          <w:numId w:val="45"/>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记录、复制或者带走任何评标资料；</w:t>
      </w:r>
    </w:p>
    <w:p>
      <w:pPr>
        <w:numPr>
          <w:ilvl w:val="0"/>
          <w:numId w:val="45"/>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其他不遵守评标纪律的行为。</w:t>
      </w:r>
    </w:p>
    <w:p>
      <w:pPr>
        <w:spacing w:line="360" w:lineRule="auto"/>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评标委员会成员有前款第一至五项行为之一的，其评审意见无效，并不得获取评审劳务报酬和报销异地评审差旅费。</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highlight w:val="none"/>
        </w:rPr>
      </w:pPr>
      <w:bookmarkStart w:id="179" w:name="_Toc12430"/>
      <w:r>
        <w:rPr>
          <w:rFonts w:hint="eastAsia" w:ascii="宋体" w:hAnsi="宋体" w:eastAsia="宋体" w:cs="Times New Roman"/>
          <w:b/>
          <w:bCs/>
          <w:sz w:val="28"/>
          <w:szCs w:val="28"/>
          <w:highlight w:val="none"/>
        </w:rPr>
        <w:t>评审专家在政府采购活动中应当遵守以下工作纪律</w:t>
      </w:r>
      <w:bookmarkEnd w:id="179"/>
    </w:p>
    <w:p>
      <w:pPr>
        <w:numPr>
          <w:ilvl w:val="0"/>
          <w:numId w:val="46"/>
        </w:numPr>
        <w:tabs>
          <w:tab w:val="left" w:pos="1155"/>
        </w:tabs>
        <w:spacing w:line="360" w:lineRule="auto"/>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遵行《政府采购法》第十二条和《政府采购法实施条例》第九条及政府采购相关法律法规关于回避的规定。</w:t>
      </w:r>
    </w:p>
    <w:p>
      <w:pPr>
        <w:numPr>
          <w:ilvl w:val="0"/>
          <w:numId w:val="46"/>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应邀按时参加评审和咨询活动，遵守评标区管理规定。</w:t>
      </w:r>
    </w:p>
    <w:p>
      <w:pPr>
        <w:numPr>
          <w:ilvl w:val="0"/>
          <w:numId w:val="46"/>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进入评标区之前应将所有的通信设备存入</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，不得私自转托他人。</w:t>
      </w:r>
    </w:p>
    <w:p>
      <w:pPr>
        <w:numPr>
          <w:ilvl w:val="0"/>
          <w:numId w:val="46"/>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也可要求该评审专家回避。</w:t>
      </w:r>
    </w:p>
    <w:p>
      <w:pPr>
        <w:numPr>
          <w:ilvl w:val="0"/>
          <w:numId w:val="46"/>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评审过程中关闭通讯设备，不得与外界联系。因发生不可预见情况，确实需要与外界联系的，应告知评标区值守人员，使用评标区内由</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提供的通信设备，在监督人员监督之下办理。</w:t>
      </w:r>
    </w:p>
    <w:p>
      <w:pPr>
        <w:numPr>
          <w:ilvl w:val="0"/>
          <w:numId w:val="46"/>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6"/>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在评标过程中和评标结束后，不得记录、复制或带走任何评标资料，除因规定的义务外，不得向外界透露评标内容。</w:t>
      </w:r>
    </w:p>
    <w:p>
      <w:pPr>
        <w:numPr>
          <w:ilvl w:val="0"/>
          <w:numId w:val="46"/>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服从评标现场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的现场秩序管理，接受评标现场监督人员的合法监督。</w:t>
      </w:r>
    </w:p>
    <w:p>
      <w:pPr>
        <w:numPr>
          <w:ilvl w:val="0"/>
          <w:numId w:val="46"/>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遵守有关廉洁自律规定，不得私下接触投标人，不得收受投标人及有关业务单位和个人的财物或好处，不得接受采购组织单位的请托。</w:t>
      </w:r>
    </w:p>
    <w:p>
      <w:pPr>
        <w:numPr>
          <w:ilvl w:val="0"/>
          <w:numId w:val="46"/>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numPr>
          <w:ilvl w:val="0"/>
          <w:numId w:val="46"/>
        </w:numPr>
        <w:tabs>
          <w:tab w:val="left" w:pos="1155"/>
          <w:tab w:val="left" w:pos="1276"/>
          <w:tab w:val="left" w:pos="1418"/>
        </w:tabs>
        <w:spacing w:line="580" w:lineRule="exact"/>
        <w:ind w:left="527" w:firstLine="40"/>
        <w:rPr>
          <w:rFonts w:ascii="宋体" w:hAnsi="宋体" w:eastAsia="宋体" w:cs="Times New Roman"/>
          <w:sz w:val="28"/>
          <w:szCs w:val="28"/>
          <w:highlight w:val="none"/>
        </w:rPr>
      </w:pPr>
      <w:r>
        <w:rPr>
          <w:rFonts w:hint="eastAsia" w:ascii="宋体" w:hAnsi="宋体" w:eastAsia="宋体" w:cs="Times New Roman"/>
          <w:sz w:val="28"/>
          <w:szCs w:val="28"/>
          <w:highlight w:val="none"/>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rPr>
          <w:rFonts w:ascii="Calibri" w:hAnsi="Calibri" w:eastAsia="宋体" w:cs="Times New Roman"/>
          <w:szCs w:val="22"/>
          <w:highlight w:val="none"/>
        </w:rPr>
      </w:pPr>
      <w:r>
        <w:rPr>
          <w:rFonts w:ascii="宋体" w:hAnsi="宋体" w:eastAsia="宋体" w:cs="Times New Roman"/>
          <w:sz w:val="28"/>
          <w:szCs w:val="28"/>
          <w:highlight w:val="none"/>
        </w:rPr>
        <w:br w:type="page"/>
      </w:r>
    </w:p>
    <w:bookmarkEnd w:id="156"/>
    <w:bookmarkEnd w:id="157"/>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Cs w:val="32"/>
          <w:highlight w:val="none"/>
        </w:rPr>
      </w:pPr>
      <w:bookmarkStart w:id="180" w:name="_Toc5466"/>
      <w:r>
        <w:rPr>
          <w:rFonts w:hint="eastAsia" w:ascii="宋体" w:hAnsi="宋体" w:eastAsia="宋体" w:cs="Times New Roman"/>
          <w:b/>
          <w:bCs/>
          <w:spacing w:val="-20"/>
          <w:kern w:val="44"/>
          <w:sz w:val="32"/>
          <w:szCs w:val="32"/>
          <w:highlight w:val="none"/>
        </w:rPr>
        <w:t>拟签订合同</w:t>
      </w:r>
      <w:bookmarkEnd w:id="0"/>
      <w:bookmarkEnd w:id="1"/>
      <w:bookmarkEnd w:id="2"/>
      <w:bookmarkEnd w:id="3"/>
      <w:bookmarkStart w:id="181" w:name="_Toc299975392"/>
      <w:bookmarkEnd w:id="181"/>
      <w:bookmarkStart w:id="182" w:name="_Toc316475761"/>
      <w:bookmarkEnd w:id="182"/>
      <w:bookmarkStart w:id="183" w:name="_Toc316475757"/>
      <w:bookmarkEnd w:id="183"/>
      <w:bookmarkStart w:id="184" w:name="_Toc316475677"/>
      <w:bookmarkEnd w:id="184"/>
      <w:bookmarkStart w:id="185" w:name="_Toc316475758"/>
      <w:bookmarkEnd w:id="185"/>
      <w:bookmarkStart w:id="186" w:name="_Toc316475665"/>
      <w:bookmarkEnd w:id="186"/>
      <w:bookmarkStart w:id="187" w:name="_Toc316475667"/>
      <w:bookmarkEnd w:id="187"/>
      <w:bookmarkStart w:id="188" w:name="_Toc316475751"/>
      <w:bookmarkEnd w:id="188"/>
      <w:bookmarkStart w:id="189" w:name="_Toc316475752"/>
      <w:bookmarkEnd w:id="189"/>
      <w:bookmarkStart w:id="190" w:name="_Toc316475666"/>
      <w:bookmarkEnd w:id="190"/>
      <w:bookmarkStart w:id="191" w:name="_Toc277152522"/>
      <w:bookmarkEnd w:id="191"/>
      <w:bookmarkStart w:id="192" w:name="_Toc316475764"/>
      <w:bookmarkEnd w:id="192"/>
      <w:bookmarkStart w:id="193" w:name="_Toc316475763"/>
      <w:bookmarkEnd w:id="193"/>
      <w:bookmarkStart w:id="194" w:name="_Toc316475673"/>
      <w:bookmarkEnd w:id="194"/>
      <w:bookmarkStart w:id="195" w:name="_Toc316475664"/>
      <w:bookmarkEnd w:id="195"/>
      <w:bookmarkStart w:id="196" w:name="_Toc316475669"/>
      <w:bookmarkEnd w:id="196"/>
      <w:bookmarkStart w:id="197" w:name="_Toc316475756"/>
      <w:bookmarkEnd w:id="197"/>
      <w:bookmarkStart w:id="198" w:name="_Toc316475671"/>
      <w:bookmarkEnd w:id="198"/>
      <w:bookmarkStart w:id="199" w:name="_Toc316475755"/>
      <w:bookmarkEnd w:id="199"/>
      <w:bookmarkStart w:id="200" w:name="_Toc316475762"/>
      <w:bookmarkEnd w:id="200"/>
      <w:bookmarkStart w:id="201" w:name="_Toc316475676"/>
      <w:bookmarkEnd w:id="201"/>
      <w:bookmarkStart w:id="202" w:name="_Toc316475759"/>
      <w:bookmarkEnd w:id="202"/>
      <w:bookmarkStart w:id="203" w:name="_Toc277152521"/>
      <w:bookmarkEnd w:id="203"/>
      <w:bookmarkStart w:id="204" w:name="_Toc316475672"/>
      <w:bookmarkEnd w:id="204"/>
      <w:bookmarkStart w:id="205" w:name="_Toc316475675"/>
      <w:bookmarkEnd w:id="205"/>
      <w:bookmarkStart w:id="206" w:name="_Toc214858832"/>
      <w:bookmarkEnd w:id="206"/>
      <w:bookmarkStart w:id="207" w:name="_Toc316475668"/>
      <w:bookmarkEnd w:id="207"/>
      <w:bookmarkStart w:id="208" w:name="_Toc316475754"/>
      <w:bookmarkEnd w:id="208"/>
      <w:bookmarkStart w:id="209" w:name="_Toc316475760"/>
      <w:bookmarkEnd w:id="209"/>
      <w:bookmarkStart w:id="210" w:name="_Toc277152520"/>
      <w:bookmarkEnd w:id="210"/>
      <w:bookmarkStart w:id="211" w:name="_Toc316475670"/>
      <w:bookmarkEnd w:id="211"/>
      <w:bookmarkStart w:id="212" w:name="_Toc277152523"/>
      <w:bookmarkEnd w:id="212"/>
      <w:bookmarkStart w:id="213" w:name="_Toc299975364"/>
      <w:bookmarkEnd w:id="213"/>
      <w:bookmarkStart w:id="214" w:name="_Toc316475674"/>
      <w:bookmarkEnd w:id="214"/>
      <w:bookmarkStart w:id="215" w:name="_Toc316475753"/>
      <w:bookmarkEnd w:id="215"/>
      <w:bookmarkStart w:id="216" w:name="_Toc34729074"/>
      <w:bookmarkStart w:id="217" w:name="_Toc8573798"/>
      <w:bookmarkStart w:id="218" w:name="_Toc217446108"/>
      <w:r>
        <w:rPr>
          <w:rFonts w:hint="eastAsia" w:ascii="宋体" w:hAnsi="宋体" w:eastAsia="宋体" w:cs="Times New Roman"/>
          <w:b/>
          <w:bCs/>
          <w:spacing w:val="-20"/>
          <w:kern w:val="44"/>
          <w:sz w:val="32"/>
          <w:szCs w:val="32"/>
          <w:highlight w:val="none"/>
        </w:rPr>
        <w:t>文本</w:t>
      </w:r>
      <w:bookmarkEnd w:id="180"/>
    </w:p>
    <w:bookmarkEnd w:id="216"/>
    <w:bookmarkEnd w:id="217"/>
    <w:bookmarkEnd w:id="218"/>
    <w:p>
      <w:pPr>
        <w:snapToGrid w:val="0"/>
        <w:spacing w:line="480" w:lineRule="auto"/>
        <w:jc w:val="center"/>
        <w:rPr>
          <w:b/>
          <w:color w:val="000000"/>
          <w:sz w:val="44"/>
          <w:szCs w:val="44"/>
        </w:rPr>
      </w:pPr>
      <w:r>
        <w:rPr>
          <w:rFonts w:hint="eastAsia"/>
          <w:b/>
          <w:color w:val="000000"/>
          <w:sz w:val="44"/>
          <w:szCs w:val="44"/>
        </w:rPr>
        <w:t>成都市新都区第三人民医院门诊楼</w:t>
      </w:r>
    </w:p>
    <w:p>
      <w:pPr>
        <w:snapToGrid w:val="0"/>
        <w:spacing w:line="480" w:lineRule="auto"/>
        <w:jc w:val="center"/>
        <w:rPr>
          <w:b/>
          <w:color w:val="000000"/>
          <w:sz w:val="44"/>
          <w:szCs w:val="44"/>
        </w:rPr>
      </w:pPr>
      <w:r>
        <w:rPr>
          <w:rFonts w:hint="eastAsia"/>
          <w:b/>
          <w:color w:val="000000"/>
          <w:sz w:val="44"/>
          <w:szCs w:val="44"/>
        </w:rPr>
        <w:t>物业管理服务合同</w:t>
      </w:r>
    </w:p>
    <w:p>
      <w:pPr>
        <w:spacing w:line="360" w:lineRule="auto"/>
        <w:ind w:firstLine="4837" w:firstLineChars="1095"/>
        <w:rPr>
          <w:b/>
          <w:color w:val="000000"/>
          <w:sz w:val="44"/>
          <w:szCs w:val="44"/>
        </w:rPr>
      </w:pPr>
    </w:p>
    <w:p>
      <w:pPr>
        <w:spacing w:line="360" w:lineRule="auto"/>
        <w:ind w:firstLine="3518" w:firstLineChars="1095"/>
        <w:rPr>
          <w:b/>
          <w:color w:val="000000"/>
          <w:sz w:val="32"/>
          <w:szCs w:val="32"/>
        </w:rPr>
      </w:pPr>
    </w:p>
    <w:p>
      <w:pPr>
        <w:spacing w:line="360" w:lineRule="auto"/>
        <w:ind w:firstLine="3518" w:firstLineChars="1095"/>
        <w:rPr>
          <w:b/>
          <w:color w:val="000000"/>
          <w:sz w:val="32"/>
          <w:szCs w:val="32"/>
        </w:rPr>
      </w:pPr>
    </w:p>
    <w:p>
      <w:pPr>
        <w:spacing w:line="360" w:lineRule="auto"/>
        <w:ind w:firstLine="3518" w:firstLineChars="1095"/>
        <w:rPr>
          <w:b/>
          <w:color w:val="000000"/>
          <w:sz w:val="32"/>
          <w:szCs w:val="32"/>
        </w:rPr>
      </w:pPr>
    </w:p>
    <w:p>
      <w:pPr>
        <w:spacing w:line="360" w:lineRule="auto"/>
        <w:ind w:firstLine="3518" w:firstLineChars="1095"/>
        <w:rPr>
          <w:b/>
          <w:color w:val="000000"/>
          <w:sz w:val="32"/>
          <w:szCs w:val="32"/>
        </w:rPr>
      </w:pPr>
    </w:p>
    <w:p>
      <w:pPr>
        <w:spacing w:line="360" w:lineRule="auto"/>
        <w:ind w:firstLine="3518" w:firstLineChars="1095"/>
        <w:rPr>
          <w:b/>
          <w:color w:val="000000"/>
          <w:sz w:val="32"/>
          <w:szCs w:val="32"/>
        </w:rPr>
      </w:pPr>
    </w:p>
    <w:p>
      <w:pPr>
        <w:spacing w:line="360" w:lineRule="auto"/>
        <w:rPr>
          <w:b/>
          <w:color w:val="000000"/>
          <w:sz w:val="32"/>
          <w:szCs w:val="32"/>
        </w:rPr>
      </w:pPr>
      <w:r>
        <w:rPr>
          <w:b/>
          <w:color w:val="000000"/>
          <w:sz w:val="32"/>
          <w:szCs w:val="32"/>
        </w:rPr>
        <w:t xml:space="preserve">          </w:t>
      </w:r>
    </w:p>
    <w:p>
      <w:pPr>
        <w:spacing w:line="360" w:lineRule="auto"/>
        <w:rPr>
          <w:color w:val="000000"/>
          <w:sz w:val="32"/>
          <w:szCs w:val="32"/>
          <w:u w:val="single"/>
        </w:rPr>
      </w:pPr>
      <w:r>
        <w:rPr>
          <w:color w:val="000000"/>
          <w:sz w:val="32"/>
          <w:szCs w:val="32"/>
        </w:rPr>
        <w:t xml:space="preserve">      </w:t>
      </w:r>
      <w:r>
        <w:rPr>
          <w:rFonts w:hint="eastAsia"/>
          <w:color w:val="000000"/>
          <w:sz w:val="32"/>
          <w:szCs w:val="32"/>
        </w:rPr>
        <w:t>甲</w:t>
      </w:r>
      <w:r>
        <w:rPr>
          <w:color w:val="000000"/>
          <w:sz w:val="32"/>
          <w:szCs w:val="32"/>
        </w:rPr>
        <w:t xml:space="preserve"> </w:t>
      </w:r>
      <w:r>
        <w:rPr>
          <w:rFonts w:hint="eastAsia"/>
          <w:color w:val="000000"/>
          <w:sz w:val="32"/>
          <w:szCs w:val="32"/>
        </w:rPr>
        <w:t>方：</w:t>
      </w:r>
      <w:r>
        <w:rPr>
          <w:color w:val="000000"/>
          <w:sz w:val="32"/>
          <w:szCs w:val="32"/>
          <w:u w:val="single"/>
        </w:rPr>
        <w:t xml:space="preserve"> </w:t>
      </w:r>
      <w:r>
        <w:rPr>
          <w:rFonts w:hint="eastAsia"/>
          <w:color w:val="000000"/>
          <w:sz w:val="32"/>
          <w:szCs w:val="32"/>
          <w:u w:val="single"/>
        </w:rPr>
        <w:t>成都市新都区第三人民医院</w:t>
      </w:r>
      <w:r>
        <w:rPr>
          <w:color w:val="000000"/>
          <w:sz w:val="32"/>
          <w:szCs w:val="32"/>
          <w:u w:val="single"/>
        </w:rPr>
        <w:t xml:space="preserve"> </w:t>
      </w:r>
    </w:p>
    <w:p>
      <w:pPr>
        <w:spacing w:line="360" w:lineRule="auto"/>
        <w:rPr>
          <w:b/>
          <w:color w:val="000000"/>
          <w:sz w:val="32"/>
          <w:szCs w:val="32"/>
        </w:rPr>
      </w:pPr>
      <w:r>
        <w:rPr>
          <w:b/>
          <w:color w:val="000000"/>
          <w:sz w:val="32"/>
          <w:szCs w:val="32"/>
        </w:rPr>
        <w:t xml:space="preserve">            </w:t>
      </w:r>
    </w:p>
    <w:p>
      <w:pPr>
        <w:spacing w:line="360" w:lineRule="auto"/>
        <w:rPr>
          <w:color w:val="000000"/>
          <w:sz w:val="32"/>
          <w:szCs w:val="32"/>
        </w:rPr>
      </w:pPr>
      <w:r>
        <w:rPr>
          <w:b/>
          <w:color w:val="000000"/>
          <w:sz w:val="32"/>
          <w:szCs w:val="32"/>
        </w:rPr>
        <w:t xml:space="preserve">      </w:t>
      </w:r>
      <w:r>
        <w:rPr>
          <w:rFonts w:hint="eastAsia"/>
          <w:color w:val="000000"/>
          <w:sz w:val="32"/>
          <w:szCs w:val="32"/>
        </w:rPr>
        <w:t>乙</w:t>
      </w:r>
      <w:r>
        <w:rPr>
          <w:color w:val="000000"/>
          <w:sz w:val="32"/>
          <w:szCs w:val="32"/>
        </w:rPr>
        <w:t xml:space="preserve"> </w:t>
      </w:r>
      <w:r>
        <w:rPr>
          <w:rFonts w:hint="eastAsia"/>
          <w:color w:val="000000"/>
          <w:sz w:val="32"/>
          <w:szCs w:val="32"/>
        </w:rPr>
        <w:t>方：</w:t>
      </w:r>
      <w:r>
        <w:rPr>
          <w:color w:val="000000"/>
          <w:sz w:val="32"/>
          <w:szCs w:val="32"/>
          <w:u w:val="single"/>
        </w:rPr>
        <w:t xml:space="preserve">                              </w:t>
      </w:r>
    </w:p>
    <w:p>
      <w:pPr>
        <w:spacing w:line="360" w:lineRule="auto"/>
        <w:ind w:firstLine="3518" w:firstLineChars="1095"/>
        <w:rPr>
          <w:b/>
          <w:color w:val="000000"/>
          <w:sz w:val="32"/>
          <w:szCs w:val="32"/>
        </w:rPr>
      </w:pPr>
    </w:p>
    <w:p>
      <w:pPr>
        <w:spacing w:line="360" w:lineRule="auto"/>
        <w:ind w:firstLine="3518" w:firstLineChars="1095"/>
        <w:rPr>
          <w:b/>
          <w:color w:val="000000"/>
          <w:sz w:val="32"/>
          <w:szCs w:val="32"/>
        </w:rPr>
      </w:pPr>
    </w:p>
    <w:p>
      <w:pPr>
        <w:spacing w:line="360" w:lineRule="auto"/>
        <w:rPr>
          <w:b/>
          <w:color w:val="000000"/>
          <w:sz w:val="32"/>
          <w:szCs w:val="32"/>
        </w:rPr>
      </w:pPr>
    </w:p>
    <w:p>
      <w:pPr>
        <w:spacing w:line="360" w:lineRule="auto"/>
        <w:ind w:firstLine="2512" w:firstLineChars="695"/>
        <w:rPr>
          <w:b/>
          <w:color w:val="000000"/>
          <w:sz w:val="36"/>
          <w:szCs w:val="36"/>
        </w:rPr>
      </w:pPr>
    </w:p>
    <w:p>
      <w:pPr>
        <w:spacing w:line="360" w:lineRule="auto"/>
        <w:ind w:firstLine="2233" w:firstLineChars="695"/>
        <w:rPr>
          <w:b/>
          <w:color w:val="000000"/>
          <w:sz w:val="32"/>
          <w:szCs w:val="32"/>
        </w:rPr>
      </w:pPr>
    </w:p>
    <w:p>
      <w:pPr>
        <w:spacing w:line="360" w:lineRule="auto"/>
        <w:ind w:firstLine="2715" w:firstLineChars="845"/>
        <w:rPr>
          <w:b/>
          <w:color w:val="000000"/>
          <w:sz w:val="32"/>
          <w:szCs w:val="32"/>
        </w:rPr>
      </w:pPr>
      <w:r>
        <w:rPr>
          <w:b/>
          <w:color w:val="000000"/>
          <w:sz w:val="32"/>
          <w:szCs w:val="32"/>
        </w:rPr>
        <w:t xml:space="preserve">    </w:t>
      </w:r>
      <w:r>
        <w:rPr>
          <w:rFonts w:hint="eastAsia"/>
          <w:b/>
          <w:color w:val="000000"/>
          <w:sz w:val="32"/>
          <w:szCs w:val="32"/>
        </w:rPr>
        <w:t>××××年</w:t>
      </w:r>
      <w:r>
        <w:rPr>
          <w:b/>
          <w:color w:val="000000"/>
          <w:sz w:val="32"/>
          <w:szCs w:val="32"/>
        </w:rPr>
        <w:t xml:space="preserve"> </w:t>
      </w:r>
      <w:r>
        <w:rPr>
          <w:rFonts w:hint="eastAsia"/>
          <w:b/>
          <w:color w:val="000000"/>
          <w:sz w:val="32"/>
          <w:szCs w:val="32"/>
        </w:rPr>
        <w:t>×</w:t>
      </w:r>
      <w:r>
        <w:rPr>
          <w:b/>
          <w:color w:val="000000"/>
          <w:sz w:val="32"/>
          <w:szCs w:val="32"/>
        </w:rPr>
        <w:t xml:space="preserve"> </w:t>
      </w:r>
      <w:r>
        <w:rPr>
          <w:rFonts w:hint="eastAsia"/>
          <w:b/>
          <w:color w:val="000000"/>
          <w:sz w:val="32"/>
          <w:szCs w:val="32"/>
        </w:rPr>
        <w:t>月</w:t>
      </w:r>
    </w:p>
    <w:p>
      <w:pPr>
        <w:spacing w:line="360" w:lineRule="auto"/>
        <w:rPr>
          <w:b/>
          <w:color w:val="000000"/>
          <w:sz w:val="44"/>
          <w:szCs w:val="44"/>
        </w:rPr>
      </w:pPr>
    </w:p>
    <w:p>
      <w:pPr>
        <w:spacing w:before="60" w:after="60" w:line="360" w:lineRule="auto"/>
        <w:ind w:firstLine="200"/>
        <w:rPr>
          <w:rFonts w:ascii="Times New Roman" w:hAnsi="Times New Roman" w:eastAsia="仿宋_GB2312"/>
          <w:b/>
          <w:color w:val="000000"/>
          <w:sz w:val="44"/>
          <w:szCs w:val="44"/>
        </w:rPr>
      </w:pPr>
    </w:p>
    <w:p>
      <w:pPr>
        <w:rPr>
          <w:color w:val="000000"/>
        </w:rPr>
      </w:pPr>
    </w:p>
    <w:p>
      <w:pPr>
        <w:spacing w:line="360" w:lineRule="auto"/>
        <w:jc w:val="center"/>
        <w:rPr>
          <w:b/>
          <w:color w:val="000000"/>
          <w:sz w:val="44"/>
          <w:szCs w:val="44"/>
        </w:rPr>
      </w:pPr>
      <w:r>
        <w:rPr>
          <w:rFonts w:hint="eastAsia"/>
          <w:b/>
          <w:color w:val="000000"/>
          <w:sz w:val="44"/>
          <w:szCs w:val="44"/>
        </w:rPr>
        <w:t>物业管理服务合同</w:t>
      </w:r>
    </w:p>
    <w:p>
      <w:pPr>
        <w:spacing w:line="360" w:lineRule="auto"/>
        <w:rPr>
          <w:rFonts w:ascii="宋体" w:hAnsi="宋体"/>
          <w:color w:val="000000"/>
          <w:sz w:val="24"/>
        </w:rPr>
      </w:pPr>
    </w:p>
    <w:p>
      <w:pPr>
        <w:spacing w:line="360" w:lineRule="auto"/>
        <w:ind w:firstLine="480" w:firstLineChars="200"/>
        <w:rPr>
          <w:rFonts w:ascii="宋体" w:hAnsi="宋体" w:cs="宋体"/>
          <w:color w:val="000000"/>
          <w:sz w:val="24"/>
        </w:rPr>
      </w:pPr>
      <w:r>
        <w:rPr>
          <w:rFonts w:hint="eastAsia" w:ascii="宋体" w:hAnsi="宋体" w:cs="宋体"/>
          <w:color w:val="000000"/>
          <w:sz w:val="24"/>
        </w:rPr>
        <w:t>采购人（甲方）：</w:t>
      </w:r>
      <w:r>
        <w:rPr>
          <w:rFonts w:hint="eastAsia" w:ascii="宋体" w:hAnsi="宋体" w:cs="宋体"/>
          <w:color w:val="000000"/>
          <w:sz w:val="24"/>
          <w:u w:val="single"/>
        </w:rPr>
        <w:t xml:space="preserve"> 成都市新都区第三人民医院          </w:t>
      </w:r>
    </w:p>
    <w:p>
      <w:pPr>
        <w:spacing w:line="360" w:lineRule="auto"/>
        <w:ind w:firstLine="480" w:firstLineChars="200"/>
        <w:rPr>
          <w:rFonts w:ascii="宋体" w:hAnsi="宋体" w:cs="宋体"/>
          <w:color w:val="000000"/>
          <w:sz w:val="24"/>
          <w:u w:val="single"/>
        </w:rPr>
      </w:pPr>
      <w:r>
        <w:rPr>
          <w:rFonts w:hint="eastAsia" w:ascii="宋体" w:hAnsi="宋体" w:cs="宋体"/>
          <w:color w:val="000000"/>
          <w:sz w:val="24"/>
        </w:rPr>
        <w:t>供应商（乙方）：</w:t>
      </w:r>
      <w:r>
        <w:rPr>
          <w:rFonts w:hint="eastAsia" w:ascii="宋体" w:hAnsi="宋体" w:cs="宋体"/>
          <w:color w:val="000000"/>
          <w:sz w:val="24"/>
          <w:u w:val="single"/>
        </w:rPr>
        <w:t xml:space="preserve">                                       </w:t>
      </w:r>
    </w:p>
    <w:p>
      <w:pPr>
        <w:spacing w:line="360" w:lineRule="auto"/>
        <w:ind w:firstLine="480" w:firstLineChars="200"/>
        <w:rPr>
          <w:rFonts w:ascii="宋体" w:hAnsi="宋体" w:cs="宋体"/>
          <w:color w:val="000000"/>
          <w:sz w:val="24"/>
        </w:rPr>
      </w:pPr>
      <w:r>
        <w:rPr>
          <w:rFonts w:hint="eastAsia" w:ascii="宋体" w:hAnsi="宋体" w:cs="宋体"/>
          <w:color w:val="000000"/>
          <w:sz w:val="24"/>
        </w:rPr>
        <w:t>依据《中华人民共和国民法典》、《中华人民共和国政府采购法》与项目行业有关的法律法规，以及</w:t>
      </w:r>
      <w:r>
        <w:rPr>
          <w:rFonts w:hint="eastAsia" w:ascii="宋体" w:hAnsi="宋体" w:cs="宋体"/>
          <w:bCs/>
          <w:color w:val="000000"/>
          <w:sz w:val="24"/>
        </w:rPr>
        <w:t>成都市新都区第三人民医院门诊楼物业管理服务采购项目</w:t>
      </w:r>
      <w:r>
        <w:rPr>
          <w:rFonts w:hint="eastAsia" w:ascii="宋体" w:hAnsi="宋体" w:cs="宋体"/>
          <w:color w:val="000000"/>
          <w:sz w:val="24"/>
        </w:rPr>
        <w:t>（项目编号：</w:t>
      </w:r>
      <w:r>
        <w:rPr>
          <w:rFonts w:hint="eastAsia"/>
          <w:bCs/>
          <w:color w:val="000000"/>
          <w:sz w:val="32"/>
          <w:szCs w:val="32"/>
        </w:rPr>
        <w:t>×××</w:t>
      </w:r>
      <w:r>
        <w:rPr>
          <w:rFonts w:hint="eastAsia" w:ascii="宋体" w:hAnsi="宋体" w:cs="宋体"/>
          <w:color w:val="000000"/>
          <w:sz w:val="24"/>
        </w:rPr>
        <w:t xml:space="preserve">）的《招标文件》，乙方的《投标文件》及《中标通知书》，甲、乙双方同意签订本合同。详细技术说明及其他有关合同项目的特定信息由合同附件予以说明，合同附件及本项目的《中标通知书》等均为本合同的组成部分。 </w:t>
      </w:r>
    </w:p>
    <w:p>
      <w:pPr>
        <w:numPr>
          <w:ilvl w:val="0"/>
          <w:numId w:val="47"/>
        </w:numPr>
        <w:spacing w:line="360" w:lineRule="auto"/>
        <w:rPr>
          <w:rFonts w:ascii="宋体" w:hAnsi="宋体" w:cs="宋体"/>
          <w:bCs/>
          <w:color w:val="000000"/>
          <w:sz w:val="24"/>
        </w:rPr>
      </w:pPr>
      <w:r>
        <w:rPr>
          <w:rFonts w:hint="eastAsia" w:ascii="宋体" w:hAnsi="宋体" w:cs="宋体"/>
          <w:b/>
          <w:color w:val="000000"/>
          <w:sz w:val="24"/>
        </w:rPr>
        <w:t>项目基本情况</w:t>
      </w:r>
    </w:p>
    <w:p>
      <w:pPr>
        <w:spacing w:line="360" w:lineRule="auto"/>
        <w:rPr>
          <w:rFonts w:ascii="宋体" w:hAnsi="宋体" w:cs="宋体"/>
          <w:bCs/>
          <w:color w:val="000000"/>
          <w:sz w:val="24"/>
        </w:rPr>
      </w:pPr>
      <w:r>
        <w:rPr>
          <w:rFonts w:hint="eastAsia" w:ascii="宋体" w:hAnsi="宋体" w:cs="宋体"/>
          <w:bCs/>
          <w:color w:val="000000"/>
          <w:sz w:val="24"/>
        </w:rPr>
        <w:t xml:space="preserve">    项目名称：成都市新都区第三人民医院</w:t>
      </w:r>
    </w:p>
    <w:p>
      <w:pPr>
        <w:spacing w:line="360" w:lineRule="auto"/>
        <w:ind w:firstLine="480" w:firstLineChars="200"/>
        <w:rPr>
          <w:rFonts w:ascii="宋体" w:hAnsi="宋体" w:cs="宋体"/>
          <w:color w:val="000000"/>
          <w:sz w:val="24"/>
        </w:rPr>
      </w:pPr>
      <w:r>
        <w:rPr>
          <w:rFonts w:hint="eastAsia" w:ascii="宋体" w:hAnsi="宋体" w:cs="宋体"/>
          <w:color w:val="000000"/>
          <w:sz w:val="24"/>
        </w:rPr>
        <w:t>座落位置：新都区大丰街道崇义桥街4</w:t>
      </w:r>
      <w:r>
        <w:rPr>
          <w:rFonts w:ascii="宋体" w:hAnsi="宋体" w:cs="宋体"/>
          <w:color w:val="000000"/>
          <w:sz w:val="24"/>
        </w:rPr>
        <w:t>68</w:t>
      </w:r>
      <w:r>
        <w:rPr>
          <w:rFonts w:hint="eastAsia" w:ascii="宋体" w:hAnsi="宋体" w:cs="宋体"/>
          <w:color w:val="000000"/>
          <w:sz w:val="24"/>
        </w:rPr>
        <w:t>号</w:t>
      </w:r>
    </w:p>
    <w:p>
      <w:pPr>
        <w:spacing w:line="360" w:lineRule="auto"/>
        <w:ind w:firstLine="480" w:firstLineChars="200"/>
        <w:rPr>
          <w:rFonts w:ascii="宋体" w:hAnsi="宋体" w:cs="宋体"/>
          <w:color w:val="000000"/>
          <w:sz w:val="24"/>
        </w:rPr>
      </w:pPr>
      <w:r>
        <w:rPr>
          <w:rFonts w:hint="eastAsia" w:ascii="宋体" w:hAnsi="宋体" w:cs="宋体"/>
          <w:color w:val="000000"/>
          <w:sz w:val="24"/>
        </w:rPr>
        <w:t>物业类型：医院</w:t>
      </w:r>
    </w:p>
    <w:p>
      <w:pPr>
        <w:spacing w:line="360" w:lineRule="auto"/>
        <w:ind w:firstLine="480" w:firstLineChars="200"/>
        <w:rPr>
          <w:rFonts w:ascii="宋体" w:hAnsi="宋体" w:cs="宋体"/>
          <w:bCs/>
          <w:color w:val="000000"/>
          <w:sz w:val="24"/>
        </w:rPr>
      </w:pPr>
      <w:r>
        <w:rPr>
          <w:rFonts w:hint="eastAsia" w:ascii="宋体" w:hAnsi="宋体" w:cs="宋体"/>
          <w:color w:val="000000"/>
          <w:sz w:val="24"/>
        </w:rPr>
        <w:t>业务用房面积：</w:t>
      </w:r>
      <w:r>
        <w:rPr>
          <w:rFonts w:ascii="宋体" w:hAnsi="宋体" w:cs="宋体"/>
          <w:color w:val="000000"/>
          <w:sz w:val="24"/>
        </w:rPr>
        <w:t>XXX</w:t>
      </w:r>
      <w:r>
        <w:rPr>
          <w:rFonts w:hint="eastAsia" w:ascii="宋体" w:hAnsi="宋体" w:cs="宋体"/>
          <w:color w:val="000000"/>
          <w:sz w:val="24"/>
        </w:rPr>
        <w:t>㎡。</w:t>
      </w:r>
    </w:p>
    <w:p>
      <w:pPr>
        <w:spacing w:line="360" w:lineRule="auto"/>
        <w:rPr>
          <w:rFonts w:ascii="宋体" w:hAnsi="宋体" w:cs="宋体"/>
          <w:b/>
          <w:bCs/>
          <w:color w:val="000000"/>
          <w:sz w:val="24"/>
        </w:rPr>
      </w:pPr>
      <w:r>
        <w:rPr>
          <w:rFonts w:hint="eastAsia" w:ascii="宋体" w:hAnsi="宋体" w:cs="宋体"/>
          <w:b/>
          <w:color w:val="000000"/>
          <w:sz w:val="24"/>
        </w:rPr>
        <w:t xml:space="preserve"> 第二条</w:t>
      </w:r>
      <w:r>
        <w:rPr>
          <w:rFonts w:hint="eastAsia" w:ascii="宋体" w:hAnsi="宋体" w:cs="宋体"/>
          <w:bCs/>
          <w:color w:val="000000"/>
          <w:sz w:val="24"/>
        </w:rPr>
        <w:t xml:space="preserve"> </w:t>
      </w:r>
      <w:r>
        <w:rPr>
          <w:rFonts w:hint="eastAsia" w:ascii="宋体" w:hAnsi="宋体" w:cs="宋体"/>
          <w:b/>
          <w:bCs/>
          <w:color w:val="000000"/>
          <w:sz w:val="24"/>
        </w:rPr>
        <w:t>服务期限</w:t>
      </w:r>
    </w:p>
    <w:p>
      <w:pPr>
        <w:spacing w:line="360" w:lineRule="auto"/>
        <w:rPr>
          <w:rFonts w:ascii="宋体" w:hAnsi="宋体" w:cs="宋体"/>
          <w:color w:val="000000"/>
          <w:sz w:val="24"/>
        </w:rPr>
      </w:pPr>
      <w:r>
        <w:rPr>
          <w:rFonts w:hint="eastAsia" w:ascii="宋体" w:hAnsi="宋体" w:cs="宋体"/>
          <w:b/>
          <w:bCs/>
          <w:color w:val="000000"/>
          <w:sz w:val="24"/>
        </w:rPr>
        <w:t xml:space="preserve">    </w:t>
      </w:r>
      <w:r>
        <w:rPr>
          <w:rFonts w:hint="eastAsia" w:ascii="宋体" w:hAnsi="宋体" w:cs="宋体"/>
          <w:color w:val="000000"/>
          <w:sz w:val="24"/>
        </w:rPr>
        <w:t>服务期限叁年，合同一年一签。 本合同自</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日至</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日止。</w:t>
      </w:r>
    </w:p>
    <w:p>
      <w:pPr>
        <w:spacing w:line="360" w:lineRule="auto"/>
        <w:rPr>
          <w:rFonts w:ascii="宋体" w:hAnsi="宋体" w:cs="宋体"/>
          <w:b/>
          <w:color w:val="000000"/>
          <w:sz w:val="24"/>
        </w:rPr>
      </w:pPr>
      <w:r>
        <w:rPr>
          <w:rFonts w:hint="eastAsia" w:ascii="宋体" w:hAnsi="宋体" w:cs="宋体"/>
          <w:b/>
          <w:bCs/>
          <w:color w:val="000000"/>
          <w:sz w:val="24"/>
        </w:rPr>
        <w:t xml:space="preserve"> 第三条 </w:t>
      </w:r>
      <w:r>
        <w:rPr>
          <w:rFonts w:hint="eastAsia" w:ascii="宋体" w:hAnsi="宋体" w:cs="宋体"/>
          <w:b/>
          <w:color w:val="000000"/>
          <w:sz w:val="24"/>
        </w:rPr>
        <w:t>服务内容及质量标准</w:t>
      </w:r>
    </w:p>
    <w:p>
      <w:pPr>
        <w:autoSpaceDE w:val="0"/>
        <w:autoSpaceDN w:val="0"/>
        <w:adjustRightInd w:val="0"/>
        <w:jc w:val="left"/>
        <w:rPr>
          <w:rFonts w:ascii="宋体" w:cs="宋体"/>
          <w:color w:val="000000"/>
          <w:kern w:val="0"/>
          <w:sz w:val="24"/>
        </w:rPr>
      </w:pPr>
    </w:p>
    <w:p>
      <w:pPr>
        <w:snapToGrid w:val="0"/>
        <w:spacing w:line="360" w:lineRule="auto"/>
        <w:ind w:left="-424" w:leftChars="-202" w:right="-483" w:rightChars="-230" w:firstLine="482" w:firstLineChars="200"/>
        <w:rPr>
          <w:rFonts w:ascii="宋体"/>
          <w:b/>
          <w:bCs/>
          <w:color w:val="000000"/>
          <w:sz w:val="24"/>
        </w:rPr>
      </w:pPr>
      <w:r>
        <w:rPr>
          <w:rFonts w:hint="eastAsia" w:ascii="宋体" w:hAnsi="宋体"/>
          <w:b/>
          <w:bCs/>
          <w:color w:val="000000"/>
          <w:sz w:val="24"/>
        </w:rPr>
        <w:t>1、服务内容：</w:t>
      </w:r>
    </w:p>
    <w:p>
      <w:pPr>
        <w:widowControl/>
        <w:adjustRightInd w:val="0"/>
        <w:snapToGrid w:val="0"/>
        <w:spacing w:line="480" w:lineRule="auto"/>
        <w:ind w:firstLine="482" w:firstLineChars="201"/>
        <w:jc w:val="left"/>
        <w:rPr>
          <w:rFonts w:ascii="宋体" w:hAnsi="宋体"/>
          <w:color w:val="000000"/>
          <w:sz w:val="24"/>
        </w:rPr>
      </w:pPr>
      <w:r>
        <w:rPr>
          <w:rFonts w:hint="eastAsia" w:ascii="宋体" w:hAnsi="宋体"/>
          <w:color w:val="000000"/>
          <w:sz w:val="24"/>
        </w:rPr>
        <w:t>（1）负责门诊楼清洁卫生工作；</w:t>
      </w:r>
    </w:p>
    <w:p>
      <w:pPr>
        <w:widowControl/>
        <w:adjustRightInd w:val="0"/>
        <w:snapToGrid w:val="0"/>
        <w:spacing w:line="480" w:lineRule="auto"/>
        <w:ind w:firstLine="482" w:firstLineChars="201"/>
        <w:jc w:val="left"/>
        <w:rPr>
          <w:rFonts w:ascii="宋体" w:hAnsi="宋体"/>
          <w:color w:val="000000"/>
          <w:sz w:val="24"/>
        </w:rPr>
      </w:pPr>
      <w:r>
        <w:rPr>
          <w:rFonts w:hint="eastAsia" w:ascii="宋体" w:hAnsi="宋体"/>
          <w:color w:val="000000"/>
          <w:sz w:val="24"/>
        </w:rPr>
        <w:t>（2）负责急诊科担架员工作；</w:t>
      </w:r>
    </w:p>
    <w:p>
      <w:pPr>
        <w:widowControl/>
        <w:adjustRightInd w:val="0"/>
        <w:snapToGrid w:val="0"/>
        <w:spacing w:line="480" w:lineRule="auto"/>
        <w:ind w:firstLine="482" w:firstLineChars="201"/>
        <w:jc w:val="left"/>
        <w:rPr>
          <w:rFonts w:ascii="宋体" w:hAnsi="宋体"/>
          <w:color w:val="000000"/>
          <w:sz w:val="24"/>
        </w:rPr>
      </w:pPr>
      <w:r>
        <w:rPr>
          <w:rFonts w:hint="eastAsia" w:ascii="宋体" w:hAnsi="宋体"/>
          <w:color w:val="000000"/>
          <w:sz w:val="24"/>
        </w:rPr>
        <w:t>（4）负责门诊楼洗涤工作；</w:t>
      </w:r>
    </w:p>
    <w:p>
      <w:pPr>
        <w:widowControl/>
        <w:adjustRightInd w:val="0"/>
        <w:snapToGrid w:val="0"/>
        <w:spacing w:line="480" w:lineRule="auto"/>
        <w:ind w:firstLine="482" w:firstLineChars="201"/>
        <w:jc w:val="left"/>
        <w:rPr>
          <w:rFonts w:ascii="宋体" w:hAnsi="宋体"/>
          <w:color w:val="000000"/>
          <w:sz w:val="24"/>
        </w:rPr>
      </w:pPr>
      <w:r>
        <w:rPr>
          <w:rFonts w:hint="eastAsia" w:ascii="宋体" w:hAnsi="宋体"/>
          <w:color w:val="000000"/>
          <w:sz w:val="24"/>
        </w:rPr>
        <w:t>（4）负责院内的中央运输服务工作；</w:t>
      </w:r>
    </w:p>
    <w:p>
      <w:pPr>
        <w:widowControl/>
        <w:adjustRightInd w:val="0"/>
        <w:snapToGrid w:val="0"/>
        <w:spacing w:line="480" w:lineRule="auto"/>
        <w:ind w:firstLine="482" w:firstLineChars="201"/>
        <w:jc w:val="left"/>
        <w:rPr>
          <w:rFonts w:ascii="宋体" w:hAnsi="宋体"/>
          <w:color w:val="000000"/>
          <w:sz w:val="24"/>
        </w:rPr>
      </w:pPr>
      <w:r>
        <w:rPr>
          <w:rFonts w:hint="eastAsia" w:ascii="宋体" w:hAnsi="宋体"/>
          <w:color w:val="000000"/>
          <w:sz w:val="24"/>
        </w:rPr>
        <w:t>（5）负责院内的供应室工勤服务工作；</w:t>
      </w:r>
    </w:p>
    <w:p>
      <w:pPr>
        <w:widowControl/>
        <w:adjustRightInd w:val="0"/>
        <w:snapToGrid w:val="0"/>
        <w:spacing w:line="480" w:lineRule="auto"/>
        <w:ind w:firstLine="482" w:firstLineChars="201"/>
        <w:jc w:val="left"/>
        <w:rPr>
          <w:rFonts w:ascii="宋体" w:hAnsi="宋体"/>
          <w:color w:val="000000"/>
          <w:sz w:val="24"/>
        </w:rPr>
      </w:pPr>
      <w:r>
        <w:rPr>
          <w:rFonts w:hint="eastAsia" w:ascii="宋体" w:hAnsi="宋体"/>
          <w:color w:val="000000"/>
          <w:sz w:val="24"/>
        </w:rPr>
        <w:t>（</w:t>
      </w:r>
      <w:r>
        <w:rPr>
          <w:rFonts w:ascii="宋体" w:hAnsi="宋体"/>
          <w:color w:val="000000"/>
          <w:sz w:val="24"/>
        </w:rPr>
        <w:t>6</w:t>
      </w:r>
      <w:r>
        <w:rPr>
          <w:rFonts w:hint="eastAsia" w:ascii="宋体" w:hAnsi="宋体"/>
          <w:color w:val="000000"/>
          <w:sz w:val="24"/>
        </w:rPr>
        <w:t>）负责院内检查科后勤服务工作。</w:t>
      </w:r>
    </w:p>
    <w:p>
      <w:pPr>
        <w:widowControl/>
        <w:adjustRightInd w:val="0"/>
        <w:snapToGrid w:val="0"/>
        <w:spacing w:line="480" w:lineRule="auto"/>
        <w:ind w:firstLine="482" w:firstLineChars="201"/>
        <w:jc w:val="left"/>
        <w:rPr>
          <w:rFonts w:ascii="宋体" w:hAnsi="宋体"/>
          <w:color w:val="000000"/>
          <w:sz w:val="24"/>
        </w:rPr>
      </w:pPr>
    </w:p>
    <w:p>
      <w:pPr>
        <w:numPr>
          <w:ilvl w:val="0"/>
          <w:numId w:val="48"/>
        </w:numPr>
        <w:snapToGrid w:val="0"/>
        <w:spacing w:line="360" w:lineRule="auto"/>
        <w:ind w:left="-424" w:leftChars="-202" w:right="-483" w:rightChars="-230" w:firstLine="560"/>
        <w:rPr>
          <w:rFonts w:ascii="宋体" w:hAnsi="宋体"/>
          <w:b/>
          <w:bCs/>
          <w:color w:val="000000"/>
          <w:sz w:val="24"/>
        </w:rPr>
      </w:pPr>
      <w:r>
        <w:rPr>
          <w:rFonts w:hint="eastAsia" w:ascii="宋体" w:hAnsi="宋体"/>
          <w:b/>
          <w:bCs/>
          <w:color w:val="000000"/>
          <w:sz w:val="24"/>
        </w:rPr>
        <w:t>人员服务配备表</w:t>
      </w:r>
    </w:p>
    <w:tbl>
      <w:tblPr>
        <w:tblStyle w:val="16"/>
        <w:tblW w:w="82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261"/>
        <w:gridCol w:w="1713"/>
        <w:gridCol w:w="1714"/>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07" w:type="dxa"/>
            <w:gridSpan w:val="4"/>
            <w:vAlign w:val="center"/>
          </w:tcPr>
          <w:p>
            <w:pPr>
              <w:jc w:val="center"/>
              <w:rPr>
                <w:rFonts w:ascii="宋体" w:hAnsi="宋体" w:cs="仿宋"/>
                <w:kern w:val="0"/>
                <w:szCs w:val="21"/>
              </w:rPr>
            </w:pPr>
            <w:r>
              <w:rPr>
                <w:rFonts w:hint="eastAsia" w:ascii="宋体" w:hAnsi="宋体" w:cs="仿宋"/>
                <w:kern w:val="0"/>
                <w:szCs w:val="21"/>
              </w:rPr>
              <w:t>区域</w:t>
            </w:r>
          </w:p>
        </w:tc>
        <w:tc>
          <w:tcPr>
            <w:tcW w:w="2841" w:type="dxa"/>
            <w:vAlign w:val="center"/>
          </w:tcPr>
          <w:p>
            <w:pPr>
              <w:jc w:val="center"/>
              <w:rPr>
                <w:rFonts w:ascii="宋体" w:hAnsi="宋体" w:cs="仿宋"/>
                <w:kern w:val="0"/>
                <w:szCs w:val="21"/>
              </w:rPr>
            </w:pPr>
            <w:r>
              <w:rPr>
                <w:rFonts w:hint="eastAsia" w:ascii="宋体" w:hAnsi="宋体" w:cs="仿宋"/>
                <w:kern w:val="0"/>
                <w:szCs w:val="21"/>
              </w:rPr>
              <w:t>岗位设置人数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07" w:type="dxa"/>
            <w:gridSpan w:val="4"/>
            <w:vAlign w:val="center"/>
          </w:tcPr>
          <w:p>
            <w:pPr>
              <w:jc w:val="center"/>
              <w:rPr>
                <w:rFonts w:ascii="宋体" w:hAnsi="宋体" w:cs="仿宋"/>
                <w:kern w:val="0"/>
                <w:szCs w:val="21"/>
              </w:rPr>
            </w:pPr>
            <w:r>
              <w:rPr>
                <w:rFonts w:hint="eastAsia" w:ascii="宋体" w:hAnsi="宋体" w:cs="仿宋"/>
                <w:kern w:val="0"/>
                <w:szCs w:val="21"/>
              </w:rPr>
              <w:t>担架员</w:t>
            </w:r>
          </w:p>
        </w:tc>
        <w:tc>
          <w:tcPr>
            <w:tcW w:w="2841" w:type="dxa"/>
            <w:vAlign w:val="center"/>
          </w:tcPr>
          <w:p>
            <w:pPr>
              <w:jc w:val="center"/>
              <w:rPr>
                <w:rFonts w:ascii="宋体" w:hAnsi="宋体" w:cs="仿宋"/>
                <w:kern w:val="0"/>
                <w:szCs w:val="21"/>
              </w:rPr>
            </w:pPr>
            <w:r>
              <w:rPr>
                <w:rFonts w:hint="eastAsia" w:ascii="宋体" w:hAnsi="宋体" w:cs="仿宋"/>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07" w:type="dxa"/>
            <w:gridSpan w:val="4"/>
            <w:vAlign w:val="center"/>
          </w:tcPr>
          <w:p>
            <w:pPr>
              <w:jc w:val="center"/>
              <w:rPr>
                <w:rFonts w:ascii="宋体" w:hAnsi="宋体" w:cs="仿宋"/>
                <w:kern w:val="0"/>
                <w:szCs w:val="21"/>
              </w:rPr>
            </w:pPr>
            <w:r>
              <w:rPr>
                <w:rFonts w:hint="eastAsia" w:ascii="宋体" w:hAnsi="宋体" w:cs="仿宋"/>
                <w:kern w:val="0"/>
                <w:szCs w:val="21"/>
              </w:rPr>
              <w:t>洗涤人员</w:t>
            </w:r>
          </w:p>
        </w:tc>
        <w:tc>
          <w:tcPr>
            <w:tcW w:w="2841" w:type="dxa"/>
            <w:vAlign w:val="center"/>
          </w:tcPr>
          <w:p>
            <w:pPr>
              <w:jc w:val="center"/>
              <w:rPr>
                <w:rFonts w:ascii="宋体" w:hAnsi="宋体" w:cs="仿宋"/>
                <w:kern w:val="0"/>
                <w:szCs w:val="21"/>
              </w:rPr>
            </w:pPr>
            <w:r>
              <w:rPr>
                <w:rFonts w:ascii="宋体" w:hAnsi="宋体" w:cs="仿宋"/>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19" w:type="dxa"/>
            <w:vMerge w:val="restart"/>
            <w:vAlign w:val="center"/>
          </w:tcPr>
          <w:p>
            <w:pPr>
              <w:jc w:val="center"/>
              <w:rPr>
                <w:rFonts w:ascii="宋体" w:hAnsi="宋体" w:cs="仿宋"/>
                <w:kern w:val="0"/>
                <w:szCs w:val="21"/>
              </w:rPr>
            </w:pPr>
            <w:r>
              <w:rPr>
                <w:rFonts w:hint="eastAsia" w:ascii="宋体" w:hAnsi="宋体" w:cs="仿宋"/>
                <w:kern w:val="0"/>
                <w:szCs w:val="21"/>
              </w:rPr>
              <w:t>中央运输</w:t>
            </w:r>
          </w:p>
        </w:tc>
        <w:tc>
          <w:tcPr>
            <w:tcW w:w="3688" w:type="dxa"/>
            <w:gridSpan w:val="3"/>
            <w:vAlign w:val="center"/>
          </w:tcPr>
          <w:p>
            <w:pPr>
              <w:jc w:val="center"/>
              <w:rPr>
                <w:rFonts w:ascii="宋体" w:hAnsi="宋体" w:cs="仿宋"/>
                <w:kern w:val="0"/>
                <w:sz w:val="20"/>
                <w:szCs w:val="21"/>
              </w:rPr>
            </w:pPr>
            <w:r>
              <w:rPr>
                <w:rFonts w:hint="eastAsia" w:ascii="宋体" w:hAnsi="宋体"/>
                <w:kern w:val="0"/>
                <w:sz w:val="20"/>
                <w:szCs w:val="21"/>
              </w:rPr>
              <w:t>送检</w:t>
            </w:r>
          </w:p>
        </w:tc>
        <w:tc>
          <w:tcPr>
            <w:tcW w:w="2841" w:type="dxa"/>
            <w:vAlign w:val="center"/>
          </w:tcPr>
          <w:p>
            <w:pPr>
              <w:jc w:val="center"/>
              <w:rPr>
                <w:rFonts w:ascii="宋体" w:hAnsi="宋体" w:cs="仿宋"/>
                <w:kern w:val="0"/>
                <w:szCs w:val="21"/>
              </w:rPr>
            </w:pPr>
            <w:r>
              <w:rPr>
                <w:rFonts w:hint="eastAsia" w:ascii="宋体" w:hAnsi="宋体" w:cs="仿宋"/>
                <w:kern w:val="0"/>
                <w:sz w:val="2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19" w:type="dxa"/>
            <w:vMerge w:val="continue"/>
            <w:vAlign w:val="center"/>
          </w:tcPr>
          <w:p>
            <w:pPr>
              <w:jc w:val="center"/>
              <w:rPr>
                <w:rFonts w:ascii="宋体" w:hAnsi="宋体" w:cs="仿宋"/>
                <w:kern w:val="0"/>
                <w:sz w:val="20"/>
                <w:szCs w:val="21"/>
              </w:rPr>
            </w:pPr>
          </w:p>
        </w:tc>
        <w:tc>
          <w:tcPr>
            <w:tcW w:w="3688" w:type="dxa"/>
            <w:gridSpan w:val="3"/>
            <w:vAlign w:val="center"/>
          </w:tcPr>
          <w:p>
            <w:pPr>
              <w:jc w:val="center"/>
              <w:rPr>
                <w:rFonts w:ascii="宋体" w:hAnsi="宋体" w:cs="仿宋"/>
                <w:kern w:val="0"/>
                <w:sz w:val="20"/>
                <w:szCs w:val="21"/>
              </w:rPr>
            </w:pPr>
            <w:r>
              <w:rPr>
                <w:rFonts w:hint="eastAsia" w:ascii="宋体" w:hAnsi="宋体"/>
                <w:kern w:val="0"/>
                <w:sz w:val="20"/>
                <w:szCs w:val="21"/>
              </w:rPr>
              <w:t>陪检（含休假2人）</w:t>
            </w:r>
          </w:p>
        </w:tc>
        <w:tc>
          <w:tcPr>
            <w:tcW w:w="2841" w:type="dxa"/>
            <w:vAlign w:val="center"/>
          </w:tcPr>
          <w:p>
            <w:pPr>
              <w:jc w:val="center"/>
              <w:rPr>
                <w:rFonts w:ascii="宋体" w:hAnsi="宋体" w:cs="仿宋"/>
                <w:kern w:val="0"/>
                <w:sz w:val="20"/>
                <w:szCs w:val="21"/>
              </w:rPr>
            </w:pPr>
            <w:r>
              <w:rPr>
                <w:rFonts w:hint="eastAsia" w:ascii="宋体" w:hAnsi="宋体" w:cs="仿宋"/>
                <w:kern w:val="0"/>
                <w:sz w:val="2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19" w:type="dxa"/>
            <w:vMerge w:val="continue"/>
            <w:vAlign w:val="center"/>
          </w:tcPr>
          <w:p>
            <w:pPr>
              <w:jc w:val="center"/>
              <w:rPr>
                <w:rFonts w:ascii="宋体" w:hAnsi="宋体" w:cs="仿宋"/>
                <w:kern w:val="0"/>
                <w:sz w:val="20"/>
                <w:szCs w:val="21"/>
              </w:rPr>
            </w:pPr>
          </w:p>
        </w:tc>
        <w:tc>
          <w:tcPr>
            <w:tcW w:w="3688" w:type="dxa"/>
            <w:gridSpan w:val="3"/>
            <w:vAlign w:val="center"/>
          </w:tcPr>
          <w:p>
            <w:pPr>
              <w:jc w:val="center"/>
              <w:rPr>
                <w:rFonts w:ascii="宋体" w:hAnsi="宋体" w:cs="仿宋"/>
                <w:kern w:val="0"/>
                <w:sz w:val="20"/>
                <w:szCs w:val="21"/>
              </w:rPr>
            </w:pPr>
            <w:r>
              <w:rPr>
                <w:rFonts w:hint="eastAsia" w:ascii="宋体" w:hAnsi="宋体"/>
                <w:kern w:val="0"/>
                <w:sz w:val="20"/>
                <w:szCs w:val="21"/>
              </w:rPr>
              <w:t>夜班</w:t>
            </w:r>
          </w:p>
        </w:tc>
        <w:tc>
          <w:tcPr>
            <w:tcW w:w="2841" w:type="dxa"/>
            <w:vAlign w:val="center"/>
          </w:tcPr>
          <w:p>
            <w:pPr>
              <w:jc w:val="center"/>
              <w:rPr>
                <w:rFonts w:ascii="宋体" w:hAnsi="宋体" w:cs="仿宋"/>
                <w:kern w:val="0"/>
                <w:sz w:val="20"/>
                <w:szCs w:val="21"/>
              </w:rPr>
            </w:pPr>
            <w:r>
              <w:rPr>
                <w:rFonts w:hint="eastAsia" w:ascii="宋体" w:hAnsi="宋体" w:cs="仿宋"/>
                <w:kern w:val="0"/>
                <w:sz w:val="2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07" w:type="dxa"/>
            <w:gridSpan w:val="4"/>
            <w:vAlign w:val="center"/>
          </w:tcPr>
          <w:p>
            <w:pPr>
              <w:jc w:val="center"/>
              <w:rPr>
                <w:rFonts w:ascii="宋体" w:hAnsi="宋体" w:cs="仿宋"/>
                <w:kern w:val="0"/>
                <w:szCs w:val="21"/>
              </w:rPr>
            </w:pPr>
            <w:r>
              <w:rPr>
                <w:rFonts w:hint="eastAsia" w:ascii="宋体" w:hAnsi="宋体" w:cs="仿宋"/>
                <w:kern w:val="0"/>
                <w:szCs w:val="21"/>
              </w:rPr>
              <w:t>供应室工勤员</w:t>
            </w:r>
          </w:p>
        </w:tc>
        <w:tc>
          <w:tcPr>
            <w:tcW w:w="2841" w:type="dxa"/>
            <w:vAlign w:val="center"/>
          </w:tcPr>
          <w:p>
            <w:pPr>
              <w:jc w:val="center"/>
              <w:rPr>
                <w:rFonts w:ascii="宋体" w:hAnsi="宋体" w:cs="仿宋"/>
                <w:kern w:val="0"/>
                <w:szCs w:val="21"/>
              </w:rPr>
            </w:pPr>
            <w:r>
              <w:rPr>
                <w:rFonts w:hint="eastAsia" w:ascii="宋体" w:hAnsi="宋体" w:cs="仿宋"/>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07" w:type="dxa"/>
            <w:gridSpan w:val="4"/>
            <w:vAlign w:val="center"/>
          </w:tcPr>
          <w:p>
            <w:pPr>
              <w:jc w:val="center"/>
              <w:rPr>
                <w:rFonts w:ascii="宋体" w:hAnsi="宋体" w:cs="仿宋"/>
                <w:kern w:val="0"/>
                <w:szCs w:val="21"/>
              </w:rPr>
            </w:pPr>
            <w:r>
              <w:rPr>
                <w:rFonts w:hint="eastAsia" w:ascii="宋体" w:hAnsi="宋体" w:cs="仿宋"/>
                <w:kern w:val="0"/>
                <w:szCs w:val="21"/>
              </w:rPr>
              <w:t>检查科后勤服务人员</w:t>
            </w:r>
          </w:p>
        </w:tc>
        <w:tc>
          <w:tcPr>
            <w:tcW w:w="2841" w:type="dxa"/>
            <w:vAlign w:val="center"/>
          </w:tcPr>
          <w:p>
            <w:pPr>
              <w:jc w:val="center"/>
              <w:rPr>
                <w:rFonts w:ascii="宋体" w:hAnsi="宋体" w:cs="仿宋"/>
                <w:kern w:val="0"/>
                <w:szCs w:val="21"/>
              </w:rPr>
            </w:pPr>
            <w:r>
              <w:rPr>
                <w:rFonts w:hint="eastAsia" w:ascii="宋体" w:hAnsi="宋体" w:cs="仿宋"/>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restart"/>
            <w:vAlign w:val="center"/>
          </w:tcPr>
          <w:p>
            <w:pPr>
              <w:jc w:val="center"/>
              <w:rPr>
                <w:rFonts w:ascii="宋体" w:hAnsi="宋体" w:cs="仿宋"/>
                <w:kern w:val="0"/>
                <w:szCs w:val="21"/>
              </w:rPr>
            </w:pPr>
            <w:r>
              <w:rPr>
                <w:rFonts w:hint="eastAsia" w:ascii="宋体" w:hAnsi="宋体" w:cs="仿宋"/>
                <w:kern w:val="0"/>
                <w:szCs w:val="21"/>
              </w:rPr>
              <w:t>保洁人员</w:t>
            </w:r>
          </w:p>
        </w:tc>
        <w:tc>
          <w:tcPr>
            <w:tcW w:w="1713" w:type="dxa"/>
            <w:vMerge w:val="restart"/>
            <w:vAlign w:val="center"/>
          </w:tcPr>
          <w:p>
            <w:pPr>
              <w:jc w:val="center"/>
              <w:rPr>
                <w:rFonts w:ascii="宋体" w:hAnsi="宋体" w:cs="仿宋"/>
                <w:kern w:val="0"/>
                <w:sz w:val="20"/>
                <w:szCs w:val="21"/>
              </w:rPr>
            </w:pPr>
            <w:r>
              <w:rPr>
                <w:rFonts w:hint="eastAsia" w:ascii="宋体" w:hAnsi="宋体" w:cs="仿宋"/>
                <w:kern w:val="0"/>
                <w:sz w:val="20"/>
                <w:szCs w:val="21"/>
              </w:rPr>
              <w:t>门诊楼</w:t>
            </w:r>
          </w:p>
        </w:tc>
        <w:tc>
          <w:tcPr>
            <w:tcW w:w="1714" w:type="dxa"/>
            <w:vAlign w:val="center"/>
          </w:tcPr>
          <w:p>
            <w:pPr>
              <w:jc w:val="center"/>
              <w:rPr>
                <w:rFonts w:ascii="宋体" w:hAnsi="宋体" w:cs="仿宋"/>
                <w:kern w:val="0"/>
                <w:szCs w:val="21"/>
              </w:rPr>
            </w:pPr>
            <w:r>
              <w:rPr>
                <w:rFonts w:hint="eastAsia" w:ascii="宋体" w:hAnsi="宋体" w:cs="仿宋"/>
                <w:kern w:val="0"/>
                <w:szCs w:val="21"/>
              </w:rPr>
              <w:t>1楼</w:t>
            </w:r>
          </w:p>
        </w:tc>
        <w:tc>
          <w:tcPr>
            <w:tcW w:w="2841" w:type="dxa"/>
            <w:vAlign w:val="center"/>
          </w:tcPr>
          <w:p>
            <w:pPr>
              <w:jc w:val="center"/>
              <w:rPr>
                <w:rFonts w:ascii="宋体" w:hAnsi="宋体" w:cs="仿宋"/>
                <w:kern w:val="0"/>
                <w:szCs w:val="21"/>
              </w:rPr>
            </w:pPr>
            <w:r>
              <w:rPr>
                <w:rFonts w:hint="eastAsia" w:ascii="宋体" w:hAnsi="宋体" w:cs="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ascii="宋体" w:hAnsi="宋体" w:cs="仿宋"/>
                <w:kern w:val="0"/>
                <w:szCs w:val="21"/>
              </w:rPr>
            </w:pPr>
          </w:p>
        </w:tc>
        <w:tc>
          <w:tcPr>
            <w:tcW w:w="1713" w:type="dxa"/>
            <w:vMerge w:val="continue"/>
            <w:vAlign w:val="center"/>
          </w:tcPr>
          <w:p>
            <w:pPr>
              <w:jc w:val="center"/>
              <w:rPr>
                <w:rFonts w:ascii="宋体" w:hAnsi="宋体" w:cs="仿宋"/>
                <w:kern w:val="0"/>
                <w:sz w:val="20"/>
                <w:szCs w:val="21"/>
              </w:rPr>
            </w:pPr>
          </w:p>
        </w:tc>
        <w:tc>
          <w:tcPr>
            <w:tcW w:w="1714" w:type="dxa"/>
            <w:vAlign w:val="center"/>
          </w:tcPr>
          <w:p>
            <w:pPr>
              <w:jc w:val="center"/>
              <w:rPr>
                <w:rFonts w:ascii="宋体" w:hAnsi="宋体" w:cs="仿宋"/>
                <w:kern w:val="0"/>
                <w:szCs w:val="21"/>
              </w:rPr>
            </w:pPr>
            <w:r>
              <w:rPr>
                <w:rFonts w:hint="eastAsia" w:ascii="宋体" w:hAnsi="宋体" w:cs="仿宋"/>
                <w:kern w:val="0"/>
                <w:szCs w:val="21"/>
              </w:rPr>
              <w:t>2楼</w:t>
            </w:r>
          </w:p>
        </w:tc>
        <w:tc>
          <w:tcPr>
            <w:tcW w:w="2841" w:type="dxa"/>
            <w:vAlign w:val="center"/>
          </w:tcPr>
          <w:p>
            <w:pPr>
              <w:jc w:val="center"/>
              <w:rPr>
                <w:rFonts w:ascii="宋体" w:hAnsi="宋体" w:cs="仿宋"/>
                <w:kern w:val="0"/>
                <w:szCs w:val="21"/>
              </w:rPr>
            </w:pPr>
            <w:r>
              <w:rPr>
                <w:rFonts w:hint="eastAsia" w:ascii="宋体" w:hAnsi="宋体" w:cs="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ascii="宋体" w:hAnsi="宋体" w:cs="仿宋"/>
                <w:kern w:val="0"/>
                <w:szCs w:val="21"/>
              </w:rPr>
            </w:pPr>
          </w:p>
        </w:tc>
        <w:tc>
          <w:tcPr>
            <w:tcW w:w="1713" w:type="dxa"/>
            <w:vMerge w:val="continue"/>
            <w:vAlign w:val="center"/>
          </w:tcPr>
          <w:p>
            <w:pPr>
              <w:jc w:val="center"/>
              <w:rPr>
                <w:rFonts w:ascii="宋体" w:hAnsi="宋体" w:cs="仿宋"/>
                <w:kern w:val="0"/>
                <w:sz w:val="20"/>
                <w:szCs w:val="21"/>
              </w:rPr>
            </w:pPr>
          </w:p>
        </w:tc>
        <w:tc>
          <w:tcPr>
            <w:tcW w:w="1714" w:type="dxa"/>
            <w:vAlign w:val="center"/>
          </w:tcPr>
          <w:p>
            <w:pPr>
              <w:jc w:val="center"/>
              <w:rPr>
                <w:rFonts w:ascii="宋体" w:hAnsi="宋体" w:cs="仿宋"/>
                <w:kern w:val="0"/>
                <w:szCs w:val="21"/>
              </w:rPr>
            </w:pPr>
            <w:r>
              <w:rPr>
                <w:rFonts w:ascii="宋体" w:hAnsi="宋体" w:cs="仿宋"/>
                <w:kern w:val="0"/>
                <w:szCs w:val="21"/>
              </w:rPr>
              <w:t>3</w:t>
            </w:r>
            <w:r>
              <w:rPr>
                <w:rFonts w:hint="eastAsia" w:ascii="宋体" w:hAnsi="宋体" w:cs="仿宋"/>
                <w:kern w:val="0"/>
                <w:szCs w:val="21"/>
              </w:rPr>
              <w:t>楼</w:t>
            </w:r>
          </w:p>
        </w:tc>
        <w:tc>
          <w:tcPr>
            <w:tcW w:w="2841" w:type="dxa"/>
            <w:vAlign w:val="center"/>
          </w:tcPr>
          <w:p>
            <w:pPr>
              <w:jc w:val="center"/>
              <w:rPr>
                <w:rFonts w:ascii="宋体" w:hAnsi="宋体" w:cs="仿宋"/>
                <w:kern w:val="0"/>
                <w:szCs w:val="21"/>
              </w:rPr>
            </w:pPr>
            <w:r>
              <w:rPr>
                <w:rFonts w:hint="eastAsia" w:ascii="宋体" w:hAnsi="宋体" w:cs="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ascii="宋体" w:hAnsi="宋体" w:cs="仿宋"/>
                <w:kern w:val="0"/>
                <w:szCs w:val="21"/>
              </w:rPr>
            </w:pPr>
          </w:p>
        </w:tc>
        <w:tc>
          <w:tcPr>
            <w:tcW w:w="1713" w:type="dxa"/>
            <w:vMerge w:val="continue"/>
            <w:vAlign w:val="center"/>
          </w:tcPr>
          <w:p>
            <w:pPr>
              <w:jc w:val="center"/>
              <w:rPr>
                <w:rFonts w:ascii="宋体" w:hAnsi="宋体" w:cs="仿宋"/>
                <w:kern w:val="0"/>
                <w:sz w:val="20"/>
                <w:szCs w:val="21"/>
              </w:rPr>
            </w:pPr>
          </w:p>
        </w:tc>
        <w:tc>
          <w:tcPr>
            <w:tcW w:w="1714" w:type="dxa"/>
            <w:vAlign w:val="center"/>
          </w:tcPr>
          <w:p>
            <w:pPr>
              <w:jc w:val="center"/>
              <w:rPr>
                <w:rFonts w:ascii="宋体" w:hAnsi="宋体" w:cs="仿宋"/>
                <w:kern w:val="0"/>
                <w:szCs w:val="21"/>
              </w:rPr>
            </w:pPr>
            <w:r>
              <w:rPr>
                <w:rFonts w:ascii="宋体" w:hAnsi="宋体" w:cs="仿宋"/>
                <w:kern w:val="0"/>
                <w:szCs w:val="21"/>
              </w:rPr>
              <w:t>4</w:t>
            </w:r>
            <w:r>
              <w:rPr>
                <w:rFonts w:hint="eastAsia" w:ascii="宋体" w:hAnsi="宋体" w:cs="仿宋"/>
                <w:kern w:val="0"/>
                <w:szCs w:val="21"/>
              </w:rPr>
              <w:t>楼</w:t>
            </w:r>
          </w:p>
        </w:tc>
        <w:tc>
          <w:tcPr>
            <w:tcW w:w="2841" w:type="dxa"/>
            <w:vAlign w:val="center"/>
          </w:tcPr>
          <w:p>
            <w:pPr>
              <w:jc w:val="center"/>
              <w:rPr>
                <w:rFonts w:ascii="宋体" w:hAnsi="宋体" w:cs="仿宋"/>
                <w:kern w:val="0"/>
                <w:szCs w:val="21"/>
              </w:rPr>
            </w:pPr>
            <w:r>
              <w:rPr>
                <w:rFonts w:hint="eastAsia" w:ascii="宋体" w:hAnsi="宋体" w:cs="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ascii="宋体" w:hAnsi="宋体" w:cs="仿宋"/>
                <w:kern w:val="0"/>
                <w:szCs w:val="21"/>
              </w:rPr>
            </w:pPr>
          </w:p>
        </w:tc>
        <w:tc>
          <w:tcPr>
            <w:tcW w:w="1713" w:type="dxa"/>
            <w:vMerge w:val="continue"/>
            <w:vAlign w:val="center"/>
          </w:tcPr>
          <w:p>
            <w:pPr>
              <w:jc w:val="center"/>
              <w:rPr>
                <w:rFonts w:ascii="宋体" w:hAnsi="宋体" w:cs="仿宋"/>
                <w:kern w:val="0"/>
                <w:sz w:val="20"/>
                <w:szCs w:val="21"/>
              </w:rPr>
            </w:pPr>
          </w:p>
        </w:tc>
        <w:tc>
          <w:tcPr>
            <w:tcW w:w="1714" w:type="dxa"/>
            <w:vAlign w:val="center"/>
          </w:tcPr>
          <w:p>
            <w:pPr>
              <w:jc w:val="center"/>
              <w:rPr>
                <w:rFonts w:ascii="宋体" w:hAnsi="宋体" w:cs="仿宋"/>
                <w:kern w:val="0"/>
                <w:szCs w:val="21"/>
              </w:rPr>
            </w:pPr>
            <w:r>
              <w:rPr>
                <w:rFonts w:ascii="宋体" w:hAnsi="宋体" w:cs="仿宋"/>
                <w:kern w:val="0"/>
                <w:szCs w:val="21"/>
              </w:rPr>
              <w:t>5</w:t>
            </w:r>
            <w:r>
              <w:rPr>
                <w:rFonts w:hint="eastAsia" w:ascii="宋体" w:hAnsi="宋体" w:cs="仿宋"/>
                <w:kern w:val="0"/>
                <w:szCs w:val="21"/>
              </w:rPr>
              <w:t>楼</w:t>
            </w:r>
          </w:p>
        </w:tc>
        <w:tc>
          <w:tcPr>
            <w:tcW w:w="2841" w:type="dxa"/>
            <w:vAlign w:val="center"/>
          </w:tcPr>
          <w:p>
            <w:pPr>
              <w:jc w:val="center"/>
              <w:rPr>
                <w:rFonts w:ascii="宋体" w:hAnsi="宋体" w:cs="仿宋"/>
                <w:kern w:val="0"/>
                <w:szCs w:val="21"/>
              </w:rPr>
            </w:pPr>
            <w:r>
              <w:rPr>
                <w:rFonts w:hint="eastAsia" w:ascii="宋体" w:hAnsi="宋体" w:cs="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ascii="宋体" w:hAnsi="宋体" w:cs="仿宋"/>
                <w:kern w:val="0"/>
                <w:szCs w:val="21"/>
              </w:rPr>
            </w:pPr>
          </w:p>
        </w:tc>
        <w:tc>
          <w:tcPr>
            <w:tcW w:w="3427" w:type="dxa"/>
            <w:gridSpan w:val="2"/>
            <w:vAlign w:val="center"/>
          </w:tcPr>
          <w:p>
            <w:pPr>
              <w:jc w:val="center"/>
              <w:rPr>
                <w:rFonts w:ascii="宋体" w:hAnsi="宋体" w:cs="仿宋"/>
                <w:kern w:val="0"/>
                <w:szCs w:val="21"/>
              </w:rPr>
            </w:pPr>
            <w:r>
              <w:rPr>
                <w:rFonts w:hint="eastAsia" w:ascii="宋体" w:hAnsi="宋体" w:cs="仿宋"/>
                <w:kern w:val="0"/>
                <w:szCs w:val="21"/>
              </w:rPr>
              <w:t>发热门诊</w:t>
            </w:r>
          </w:p>
        </w:tc>
        <w:tc>
          <w:tcPr>
            <w:tcW w:w="2841" w:type="dxa"/>
            <w:vAlign w:val="center"/>
          </w:tcPr>
          <w:p>
            <w:pPr>
              <w:jc w:val="center"/>
              <w:rPr>
                <w:rFonts w:ascii="宋体" w:hAnsi="宋体" w:cs="仿宋"/>
                <w:kern w:val="0"/>
                <w:szCs w:val="21"/>
              </w:rPr>
            </w:pPr>
            <w:r>
              <w:rPr>
                <w:rFonts w:ascii="宋体" w:hAnsi="宋体" w:cs="仿宋"/>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ascii="宋体" w:hAnsi="宋体" w:cs="仿宋"/>
                <w:kern w:val="0"/>
                <w:szCs w:val="21"/>
              </w:rPr>
            </w:pPr>
          </w:p>
        </w:tc>
        <w:tc>
          <w:tcPr>
            <w:tcW w:w="3427" w:type="dxa"/>
            <w:gridSpan w:val="2"/>
            <w:vAlign w:val="center"/>
          </w:tcPr>
          <w:p>
            <w:pPr>
              <w:jc w:val="center"/>
              <w:rPr>
                <w:rFonts w:ascii="宋体" w:hAnsi="宋体" w:cs="仿宋"/>
                <w:kern w:val="0"/>
                <w:szCs w:val="21"/>
              </w:rPr>
            </w:pPr>
            <w:r>
              <w:rPr>
                <w:rFonts w:hint="eastAsia" w:ascii="宋体" w:hAnsi="宋体" w:cs="仿宋"/>
                <w:kern w:val="0"/>
                <w:szCs w:val="21"/>
              </w:rPr>
              <w:t>新冠疫苗接种点</w:t>
            </w:r>
          </w:p>
        </w:tc>
        <w:tc>
          <w:tcPr>
            <w:tcW w:w="2841" w:type="dxa"/>
            <w:vAlign w:val="center"/>
          </w:tcPr>
          <w:p>
            <w:pPr>
              <w:jc w:val="center"/>
              <w:rPr>
                <w:rFonts w:ascii="宋体" w:hAnsi="宋体" w:cs="仿宋"/>
                <w:kern w:val="0"/>
                <w:szCs w:val="21"/>
              </w:rPr>
            </w:pPr>
            <w:r>
              <w:rPr>
                <w:rFonts w:hint="eastAsia" w:ascii="宋体" w:hAnsi="宋体" w:cs="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ascii="宋体" w:hAnsi="宋体" w:cs="仿宋"/>
                <w:kern w:val="0"/>
                <w:szCs w:val="21"/>
              </w:rPr>
            </w:pPr>
          </w:p>
        </w:tc>
        <w:tc>
          <w:tcPr>
            <w:tcW w:w="3427" w:type="dxa"/>
            <w:gridSpan w:val="2"/>
            <w:vAlign w:val="center"/>
          </w:tcPr>
          <w:p>
            <w:pPr>
              <w:jc w:val="center"/>
              <w:rPr>
                <w:rFonts w:ascii="宋体" w:hAnsi="宋体" w:cs="仿宋"/>
                <w:kern w:val="0"/>
                <w:szCs w:val="21"/>
              </w:rPr>
            </w:pPr>
            <w:r>
              <w:rPr>
                <w:rFonts w:hint="eastAsia" w:ascii="宋体" w:hAnsi="宋体" w:cs="仿宋"/>
                <w:kern w:val="0"/>
                <w:szCs w:val="21"/>
              </w:rPr>
              <w:t>行政楼及附属楼</w:t>
            </w:r>
          </w:p>
        </w:tc>
        <w:tc>
          <w:tcPr>
            <w:tcW w:w="2841" w:type="dxa"/>
            <w:vAlign w:val="center"/>
          </w:tcPr>
          <w:p>
            <w:pPr>
              <w:jc w:val="center"/>
              <w:rPr>
                <w:rFonts w:ascii="宋体" w:hAnsi="宋体" w:cs="仿宋"/>
                <w:kern w:val="0"/>
                <w:szCs w:val="21"/>
              </w:rPr>
            </w:pPr>
            <w:r>
              <w:rPr>
                <w:rFonts w:ascii="宋体" w:hAnsi="宋体" w:cs="仿宋"/>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ascii="宋体" w:hAnsi="宋体" w:cs="仿宋"/>
                <w:kern w:val="0"/>
                <w:szCs w:val="21"/>
              </w:rPr>
            </w:pPr>
          </w:p>
        </w:tc>
        <w:tc>
          <w:tcPr>
            <w:tcW w:w="3427" w:type="dxa"/>
            <w:gridSpan w:val="2"/>
            <w:vAlign w:val="center"/>
          </w:tcPr>
          <w:p>
            <w:pPr>
              <w:jc w:val="center"/>
              <w:rPr>
                <w:rFonts w:ascii="宋体" w:hAnsi="宋体" w:cs="仿宋"/>
                <w:kern w:val="0"/>
                <w:szCs w:val="21"/>
              </w:rPr>
            </w:pPr>
            <w:r>
              <w:rPr>
                <w:rFonts w:hint="eastAsia" w:ascii="宋体" w:hAnsi="宋体" w:cs="仿宋"/>
                <w:kern w:val="0"/>
                <w:szCs w:val="21"/>
              </w:rPr>
              <w:t>外围</w:t>
            </w:r>
          </w:p>
        </w:tc>
        <w:tc>
          <w:tcPr>
            <w:tcW w:w="2841" w:type="dxa"/>
            <w:vAlign w:val="center"/>
          </w:tcPr>
          <w:p>
            <w:pPr>
              <w:jc w:val="center"/>
              <w:rPr>
                <w:rFonts w:ascii="宋体" w:hAnsi="宋体" w:cs="仿宋"/>
                <w:kern w:val="0"/>
                <w:szCs w:val="21"/>
              </w:rPr>
            </w:pPr>
            <w:r>
              <w:rPr>
                <w:rFonts w:hint="eastAsia" w:ascii="宋体" w:hAnsi="宋体" w:cs="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gridSpan w:val="2"/>
            <w:vMerge w:val="continue"/>
            <w:vAlign w:val="center"/>
          </w:tcPr>
          <w:p>
            <w:pPr>
              <w:jc w:val="center"/>
              <w:rPr>
                <w:rFonts w:ascii="宋体" w:hAnsi="宋体" w:cs="仿宋"/>
                <w:kern w:val="0"/>
                <w:szCs w:val="21"/>
              </w:rPr>
            </w:pPr>
          </w:p>
        </w:tc>
        <w:tc>
          <w:tcPr>
            <w:tcW w:w="3427" w:type="dxa"/>
            <w:gridSpan w:val="2"/>
            <w:vAlign w:val="center"/>
          </w:tcPr>
          <w:p>
            <w:pPr>
              <w:jc w:val="center"/>
              <w:rPr>
                <w:rFonts w:ascii="宋体" w:hAnsi="宋体" w:cs="仿宋"/>
                <w:kern w:val="0"/>
                <w:szCs w:val="21"/>
              </w:rPr>
            </w:pPr>
            <w:r>
              <w:rPr>
                <w:rFonts w:hint="eastAsia" w:ascii="宋体" w:hAnsi="宋体" w:cs="仿宋"/>
                <w:kern w:val="0"/>
                <w:szCs w:val="21"/>
              </w:rPr>
              <w:t>机动人员</w:t>
            </w:r>
          </w:p>
        </w:tc>
        <w:tc>
          <w:tcPr>
            <w:tcW w:w="2841" w:type="dxa"/>
            <w:vAlign w:val="center"/>
          </w:tcPr>
          <w:p>
            <w:pPr>
              <w:jc w:val="center"/>
              <w:rPr>
                <w:rFonts w:ascii="宋体" w:hAnsi="宋体" w:cs="仿宋"/>
                <w:kern w:val="0"/>
                <w:szCs w:val="21"/>
              </w:rPr>
            </w:pPr>
            <w:r>
              <w:rPr>
                <w:rFonts w:hint="eastAsia" w:ascii="宋体" w:hAnsi="宋体" w:cs="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407" w:type="dxa"/>
            <w:gridSpan w:val="4"/>
            <w:vAlign w:val="center"/>
          </w:tcPr>
          <w:p>
            <w:pPr>
              <w:jc w:val="center"/>
              <w:rPr>
                <w:rFonts w:ascii="宋体" w:hAnsi="宋体" w:cs="仿宋"/>
                <w:kern w:val="0"/>
                <w:szCs w:val="21"/>
              </w:rPr>
            </w:pPr>
            <w:r>
              <w:rPr>
                <w:rFonts w:hint="eastAsia" w:ascii="宋体" w:hAnsi="宋体" w:cs="仿宋"/>
                <w:kern w:val="0"/>
                <w:szCs w:val="21"/>
              </w:rPr>
              <w:t>合计</w:t>
            </w:r>
          </w:p>
        </w:tc>
        <w:tc>
          <w:tcPr>
            <w:tcW w:w="2841" w:type="dxa"/>
            <w:vAlign w:val="center"/>
          </w:tcPr>
          <w:p>
            <w:pPr>
              <w:jc w:val="center"/>
              <w:rPr>
                <w:rFonts w:ascii="宋体" w:hAnsi="宋体" w:cs="仿宋"/>
                <w:kern w:val="0"/>
                <w:szCs w:val="21"/>
              </w:rPr>
            </w:pPr>
            <w:r>
              <w:rPr>
                <w:rFonts w:hint="eastAsia" w:ascii="宋体" w:hAnsi="宋体" w:cs="仿宋"/>
                <w:kern w:val="0"/>
                <w:szCs w:val="21"/>
              </w:rPr>
              <w:t>4</w:t>
            </w:r>
            <w:r>
              <w:rPr>
                <w:rFonts w:ascii="宋体" w:hAnsi="宋体" w:cs="仿宋"/>
                <w:kern w:val="0"/>
                <w:szCs w:val="21"/>
              </w:rPr>
              <w:t>0</w:t>
            </w:r>
            <w:r>
              <w:rPr>
                <w:rFonts w:hint="eastAsia" w:ascii="宋体" w:hAnsi="宋体" w:cs="仿宋"/>
                <w:kern w:val="0"/>
                <w:szCs w:val="21"/>
              </w:rPr>
              <w:t>人</w:t>
            </w:r>
          </w:p>
        </w:tc>
      </w:tr>
    </w:tbl>
    <w:p>
      <w:pPr>
        <w:pStyle w:val="2"/>
      </w:pPr>
    </w:p>
    <w:p>
      <w:pPr>
        <w:spacing w:line="360" w:lineRule="auto"/>
        <w:rPr>
          <w:rFonts w:ascii="宋体" w:hAnsi="宋体" w:cs="宋体"/>
          <w:b/>
          <w:bCs/>
          <w:color w:val="000000"/>
          <w:sz w:val="24"/>
        </w:rPr>
      </w:pPr>
      <w:r>
        <w:rPr>
          <w:rFonts w:hint="eastAsia" w:ascii="宋体" w:hAnsi="宋体" w:cs="宋体"/>
          <w:b/>
          <w:bCs/>
          <w:color w:val="000000"/>
          <w:sz w:val="24"/>
        </w:rPr>
        <w:t>第四条  服务费用及付款方式：</w:t>
      </w:r>
    </w:p>
    <w:p>
      <w:pPr>
        <w:spacing w:line="360" w:lineRule="auto"/>
        <w:ind w:firstLine="525"/>
        <w:rPr>
          <w:rFonts w:ascii="宋体" w:hAnsi="宋体" w:cs="宋体"/>
          <w:color w:val="000000"/>
          <w:sz w:val="24"/>
        </w:rPr>
      </w:pPr>
      <w:r>
        <w:rPr>
          <w:rFonts w:hint="eastAsia" w:ascii="宋体" w:hAnsi="宋体" w:cs="宋体"/>
          <w:bCs/>
          <w:color w:val="000000"/>
          <w:sz w:val="24"/>
        </w:rPr>
        <w:t>中标金额为</w:t>
      </w:r>
      <w:r>
        <w:rPr>
          <w:rFonts w:hint="eastAsia" w:ascii="宋体" w:hAnsi="宋体" w:cs="宋体"/>
          <w:bCs/>
          <w:color w:val="000000"/>
          <w:sz w:val="24"/>
          <w:u w:val="single"/>
        </w:rPr>
        <w:t xml:space="preserve">       </w:t>
      </w:r>
      <w:r>
        <w:rPr>
          <w:rFonts w:hint="eastAsia" w:ascii="宋体" w:hAnsi="宋体" w:cs="宋体"/>
          <w:bCs/>
          <w:color w:val="000000"/>
          <w:sz w:val="24"/>
        </w:rPr>
        <w:t>元/年（大写：元/年），</w:t>
      </w:r>
      <w:r>
        <w:rPr>
          <w:rFonts w:hint="eastAsia" w:ascii="宋体" w:hAnsi="宋体" w:cs="宋体"/>
          <w:color w:val="000000"/>
          <w:sz w:val="24"/>
        </w:rPr>
        <w:t>甲方每月10日前以转账方式向乙方支付上月的本项目服务费用￥</w:t>
      </w:r>
      <w:r>
        <w:rPr>
          <w:rFonts w:hint="eastAsia" w:ascii="宋体" w:hAnsi="宋体" w:cs="宋体"/>
          <w:color w:val="000000"/>
          <w:sz w:val="24"/>
          <w:u w:val="single"/>
        </w:rPr>
        <w:t xml:space="preserve">      </w:t>
      </w:r>
      <w:r>
        <w:rPr>
          <w:rFonts w:hint="eastAsia" w:ascii="宋体" w:hAnsi="宋体" w:cs="宋体"/>
          <w:color w:val="000000"/>
          <w:sz w:val="24"/>
        </w:rPr>
        <w:t>元/月（大写：）。乙方提供正规发票。</w:t>
      </w:r>
    </w:p>
    <w:p>
      <w:pPr>
        <w:spacing w:line="360" w:lineRule="auto"/>
        <w:ind w:firstLine="525"/>
        <w:rPr>
          <w:rFonts w:hint="eastAsia" w:ascii="宋体" w:hAnsi="宋体" w:cs="宋体"/>
          <w:color w:val="000000"/>
          <w:sz w:val="24"/>
          <w:lang w:val="en-US" w:eastAsia="zh-CN"/>
        </w:rPr>
      </w:pPr>
      <w:r>
        <w:rPr>
          <w:rFonts w:hint="eastAsia" w:ascii="宋体" w:hAnsi="宋体" w:cs="宋体"/>
          <w:color w:val="000000"/>
          <w:sz w:val="24"/>
          <w:lang w:val="en-US" w:eastAsia="zh-CN"/>
        </w:rPr>
        <w:t>签订合同后5个工作日内支付合同金额的30%作为预付款，已支付的预付款在季度服务费用中扣回，预付款全部扣回后正常支付月服务费。每月管理费按考核规定奖惩后，由中标单位财务出具收款票据，采购人于次月十日前当月服务费根据票据一次性支付给中标单位。</w:t>
      </w:r>
    </w:p>
    <w:p>
      <w:pPr>
        <w:spacing w:line="360" w:lineRule="auto"/>
        <w:rPr>
          <w:rFonts w:ascii="宋体" w:hAnsi="宋体" w:cs="宋体"/>
          <w:b/>
          <w:color w:val="000000"/>
          <w:sz w:val="24"/>
        </w:rPr>
      </w:pPr>
      <w:r>
        <w:rPr>
          <w:rFonts w:hint="eastAsia" w:ascii="宋体" w:hAnsi="宋体" w:cs="宋体"/>
          <w:b/>
          <w:bCs/>
          <w:color w:val="000000"/>
          <w:sz w:val="24"/>
        </w:rPr>
        <w:t>第五</w:t>
      </w:r>
      <w:r>
        <w:rPr>
          <w:rFonts w:hint="eastAsia" w:ascii="宋体" w:hAnsi="宋体" w:cs="宋体"/>
          <w:b/>
          <w:color w:val="000000"/>
          <w:sz w:val="24"/>
        </w:rPr>
        <w:t>条  知识产权</w:t>
      </w:r>
    </w:p>
    <w:p>
      <w:pPr>
        <w:spacing w:line="360" w:lineRule="auto"/>
        <w:rPr>
          <w:rFonts w:ascii="宋体" w:hAnsi="宋体" w:cs="宋体"/>
          <w:color w:val="000000"/>
          <w:sz w:val="24"/>
        </w:rPr>
      </w:pPr>
      <w:r>
        <w:rPr>
          <w:rFonts w:hint="eastAsia" w:ascii="宋体" w:hAnsi="宋体" w:cs="宋体"/>
          <w:color w:val="000000"/>
          <w:sz w:val="24"/>
        </w:rPr>
        <w:t xml:space="preserve">    乙方应保证所提供的服务或其任何一部分均不会侵犯任何第三方的专利权、商标权或著作权。</w:t>
      </w:r>
    </w:p>
    <w:p>
      <w:pPr>
        <w:spacing w:line="360" w:lineRule="auto"/>
        <w:rPr>
          <w:rFonts w:ascii="宋体" w:hAnsi="宋体" w:cs="宋体"/>
          <w:b/>
          <w:bCs/>
          <w:color w:val="000000"/>
          <w:sz w:val="24"/>
        </w:rPr>
      </w:pPr>
      <w:r>
        <w:rPr>
          <w:rFonts w:hint="eastAsia" w:ascii="宋体" w:hAnsi="宋体" w:cs="宋体"/>
          <w:b/>
          <w:bCs/>
          <w:color w:val="000000"/>
          <w:sz w:val="24"/>
        </w:rPr>
        <w:t>第六条  无产权瑕疵条款</w:t>
      </w:r>
    </w:p>
    <w:p>
      <w:pPr>
        <w:spacing w:line="360" w:lineRule="auto"/>
        <w:rPr>
          <w:rFonts w:ascii="宋体" w:hAnsi="宋体" w:cs="宋体"/>
          <w:b/>
          <w:color w:val="000000"/>
          <w:sz w:val="24"/>
        </w:rPr>
      </w:pPr>
      <w:r>
        <w:rPr>
          <w:rFonts w:hint="eastAsia" w:ascii="宋体" w:hAnsi="宋体" w:cs="宋体"/>
          <w:color w:val="000000"/>
          <w:sz w:val="24"/>
        </w:rPr>
        <w:t xml:space="preserve">    乙方保证所提供的服务的所有权完全属于乙方且无任何抵押、查封等产权瑕疵。如有产权瑕疵的，视为乙方违约。乙方应负担由此而产生的一切损失。</w:t>
      </w:r>
    </w:p>
    <w:p>
      <w:pPr>
        <w:spacing w:line="360" w:lineRule="auto"/>
        <w:rPr>
          <w:rFonts w:ascii="宋体" w:hAnsi="宋体" w:cs="宋体"/>
          <w:b/>
          <w:bCs/>
          <w:color w:val="000000"/>
          <w:sz w:val="24"/>
        </w:rPr>
      </w:pPr>
      <w:r>
        <w:rPr>
          <w:rFonts w:hint="eastAsia" w:ascii="宋体" w:hAnsi="宋体" w:cs="宋体"/>
          <w:b/>
          <w:color w:val="000000"/>
          <w:sz w:val="24"/>
        </w:rPr>
        <w:t>第七条</w:t>
      </w:r>
      <w:r>
        <w:rPr>
          <w:rFonts w:hint="eastAsia" w:ascii="宋体" w:hAnsi="宋体" w:cs="宋体"/>
          <w:color w:val="000000"/>
          <w:sz w:val="24"/>
        </w:rPr>
        <w:t xml:space="preserve">  </w:t>
      </w:r>
      <w:r>
        <w:rPr>
          <w:rFonts w:hint="eastAsia" w:ascii="宋体" w:hAnsi="宋体" w:cs="宋体"/>
          <w:b/>
          <w:bCs/>
          <w:color w:val="000000"/>
          <w:sz w:val="24"/>
        </w:rPr>
        <w:t>甲乙双方权利和义务</w:t>
      </w:r>
    </w:p>
    <w:p>
      <w:pPr>
        <w:spacing w:line="360" w:lineRule="auto"/>
        <w:rPr>
          <w:rFonts w:ascii="宋体" w:hAnsi="宋体" w:cs="宋体"/>
          <w:color w:val="000000"/>
          <w:sz w:val="24"/>
        </w:rPr>
      </w:pPr>
      <w:r>
        <w:rPr>
          <w:rFonts w:hint="eastAsia" w:ascii="宋体" w:hAnsi="宋体" w:cs="宋体"/>
          <w:color w:val="000000"/>
          <w:sz w:val="24"/>
        </w:rPr>
        <w:t xml:space="preserve"> 1、甲方的权利和义务：</w:t>
      </w:r>
    </w:p>
    <w:p>
      <w:pPr>
        <w:widowControl/>
        <w:snapToGrid w:val="0"/>
        <w:spacing w:line="360" w:lineRule="auto"/>
        <w:ind w:firstLine="480"/>
        <w:jc w:val="left"/>
        <w:rPr>
          <w:rFonts w:ascii="宋体" w:hAnsi="宋体" w:cs="宋体"/>
          <w:color w:val="000000"/>
          <w:kern w:val="0"/>
          <w:sz w:val="24"/>
        </w:rPr>
      </w:pPr>
      <w:r>
        <w:rPr>
          <w:rFonts w:hint="eastAsia" w:ascii="宋体" w:hAnsi="宋体" w:cs="宋体"/>
          <w:color w:val="000000"/>
          <w:kern w:val="0"/>
          <w:sz w:val="24"/>
        </w:rPr>
        <w:t>（1）甲方有权对合同规定范围内乙方的服务行为进行监督和检查，拥有监管权。有权定期核对乙方提供服务所配备的人员数量。对甲方认为不合理的部分有权下达整改通知书，并要求乙方限期整改。</w:t>
      </w:r>
    </w:p>
    <w:p>
      <w:pPr>
        <w:widowControl/>
        <w:snapToGrid w:val="0"/>
        <w:spacing w:line="360" w:lineRule="auto"/>
        <w:ind w:firstLine="480"/>
        <w:jc w:val="left"/>
        <w:rPr>
          <w:rFonts w:ascii="宋体" w:hAnsi="宋体" w:cs="宋体"/>
          <w:color w:val="000000"/>
          <w:kern w:val="0"/>
          <w:sz w:val="24"/>
        </w:rPr>
      </w:pPr>
      <w:r>
        <w:rPr>
          <w:rFonts w:hint="eastAsia" w:ascii="宋体" w:hAnsi="宋体" w:cs="宋体"/>
          <w:color w:val="000000"/>
          <w:kern w:val="0"/>
          <w:sz w:val="24"/>
        </w:rPr>
        <w:t>（2）甲方有权依据双方签订的考评办法对乙方提供的服务进行定期考评。当考评结果未达到标准时，有权依据考评办法约定的数额扣除相应费用。</w:t>
      </w:r>
    </w:p>
    <w:p>
      <w:pPr>
        <w:widowControl/>
        <w:snapToGrid w:val="0"/>
        <w:spacing w:line="360" w:lineRule="auto"/>
        <w:ind w:firstLine="480"/>
        <w:jc w:val="left"/>
        <w:rPr>
          <w:rFonts w:ascii="宋体" w:hAnsi="宋体" w:cs="宋体"/>
          <w:color w:val="000000"/>
          <w:kern w:val="0"/>
          <w:sz w:val="24"/>
        </w:rPr>
      </w:pPr>
      <w:r>
        <w:rPr>
          <w:rFonts w:hint="eastAsia" w:ascii="宋体" w:hAnsi="宋体" w:cs="宋体"/>
          <w:color w:val="000000"/>
          <w:kern w:val="0"/>
          <w:sz w:val="24"/>
        </w:rPr>
        <w:t>（3）负责检查监督乙方管理工作的实施及制度的执行情况。</w:t>
      </w:r>
    </w:p>
    <w:p>
      <w:pPr>
        <w:widowControl/>
        <w:snapToGrid w:val="0"/>
        <w:spacing w:line="360" w:lineRule="auto"/>
        <w:ind w:firstLine="480"/>
        <w:jc w:val="left"/>
        <w:rPr>
          <w:rFonts w:ascii="宋体" w:hAnsi="宋体" w:cs="宋体"/>
          <w:color w:val="000000"/>
          <w:kern w:val="0"/>
          <w:sz w:val="24"/>
        </w:rPr>
      </w:pPr>
      <w:r>
        <w:rPr>
          <w:rFonts w:hint="eastAsia" w:ascii="宋体" w:hAnsi="宋体" w:cs="宋体"/>
          <w:color w:val="000000"/>
          <w:kern w:val="0"/>
          <w:sz w:val="24"/>
        </w:rPr>
        <w:t>（4）甲方为乙方提供办公室及存放材料、工具等放置用房壹间。</w:t>
      </w:r>
    </w:p>
    <w:p>
      <w:pPr>
        <w:widowControl/>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（5）宣传、教育甲方人员遵守保洁制度，共同维护清洁卫生。</w:t>
      </w:r>
    </w:p>
    <w:p>
      <w:pPr>
        <w:spacing w:line="360" w:lineRule="auto"/>
        <w:ind w:firstLine="480" w:firstLineChars="200"/>
        <w:rPr>
          <w:rFonts w:ascii="宋体" w:hAnsi="宋体" w:cs="宋体"/>
          <w:color w:val="000000"/>
          <w:sz w:val="24"/>
        </w:rPr>
      </w:pPr>
      <w:r>
        <w:rPr>
          <w:rFonts w:hint="eastAsia" w:ascii="宋体" w:hAnsi="宋体" w:cs="宋体"/>
          <w:color w:val="000000"/>
          <w:sz w:val="24"/>
        </w:rPr>
        <w:t>（6）根据本合同规定，按时向乙方支付应付服务费用。</w:t>
      </w:r>
    </w:p>
    <w:p>
      <w:pPr>
        <w:spacing w:line="360" w:lineRule="auto"/>
        <w:ind w:firstLine="480" w:firstLineChars="200"/>
        <w:rPr>
          <w:rFonts w:ascii="宋体" w:hAnsi="宋体" w:cs="宋体"/>
          <w:color w:val="000000"/>
          <w:sz w:val="24"/>
        </w:rPr>
      </w:pPr>
      <w:r>
        <w:rPr>
          <w:rFonts w:hint="eastAsia" w:ascii="宋体" w:hAnsi="宋体" w:cs="宋体"/>
          <w:color w:val="000000"/>
          <w:sz w:val="24"/>
        </w:rPr>
        <w:t>（7）国家法律、法规所规定由甲方承担的其它责任。</w:t>
      </w:r>
    </w:p>
    <w:p>
      <w:pPr>
        <w:widowControl/>
        <w:snapToGrid w:val="0"/>
        <w:spacing w:line="360" w:lineRule="auto"/>
        <w:jc w:val="left"/>
        <w:rPr>
          <w:rFonts w:ascii="宋体" w:hAnsi="宋体" w:cs="宋体"/>
          <w:color w:val="000000"/>
          <w:kern w:val="0"/>
          <w:sz w:val="24"/>
        </w:rPr>
      </w:pPr>
      <w:r>
        <w:rPr>
          <w:rFonts w:hint="eastAsia" w:ascii="宋体" w:hAnsi="宋体" w:cs="宋体"/>
          <w:color w:val="000000"/>
          <w:kern w:val="0"/>
          <w:sz w:val="24"/>
        </w:rPr>
        <w:t xml:space="preserve">   （8）乙方人员在上、下班途中及工作时间、工作场所发生的一切事故（包括生病等 ）均由乙方负责，与甲方无关。</w:t>
      </w:r>
    </w:p>
    <w:p>
      <w:pPr>
        <w:widowControl/>
        <w:snapToGrid w:val="0"/>
        <w:spacing w:line="360" w:lineRule="auto"/>
        <w:jc w:val="left"/>
        <w:rPr>
          <w:rFonts w:ascii="宋体" w:hAnsi="宋体" w:cs="宋体"/>
          <w:color w:val="000000"/>
          <w:kern w:val="0"/>
          <w:sz w:val="24"/>
        </w:rPr>
      </w:pPr>
      <w:r>
        <w:rPr>
          <w:rFonts w:hint="eastAsia" w:ascii="宋体" w:hAnsi="宋体" w:cs="宋体"/>
          <w:color w:val="000000"/>
          <w:kern w:val="0"/>
          <w:sz w:val="24"/>
        </w:rPr>
        <w:t xml:space="preserve">   （9）甲方提供的所有硬件设施、器材（如磅称、平板推车等），乙方须小心爱护，恶意损坏后，由乙方照价赔偿。</w:t>
      </w:r>
    </w:p>
    <w:p>
      <w:pPr>
        <w:spacing w:line="360" w:lineRule="auto"/>
        <w:rPr>
          <w:rFonts w:ascii="宋体" w:hAnsi="宋体" w:cs="宋体"/>
          <w:color w:val="000000"/>
          <w:sz w:val="24"/>
        </w:rPr>
      </w:pPr>
      <w:r>
        <w:rPr>
          <w:rFonts w:hint="eastAsia" w:ascii="宋体" w:hAnsi="宋体" w:cs="宋体"/>
          <w:color w:val="000000"/>
          <w:sz w:val="24"/>
        </w:rPr>
        <w:t xml:space="preserve"> 2、乙方的权利和义务：</w:t>
      </w:r>
    </w:p>
    <w:p>
      <w:pPr>
        <w:widowControl/>
        <w:snapToGrid w:val="0"/>
        <w:spacing w:line="360" w:lineRule="auto"/>
        <w:ind w:firstLine="480"/>
        <w:jc w:val="left"/>
        <w:rPr>
          <w:rFonts w:ascii="宋体" w:hAnsi="宋体" w:cs="宋体"/>
          <w:color w:val="000000"/>
          <w:kern w:val="0"/>
          <w:sz w:val="24"/>
        </w:rPr>
      </w:pPr>
      <w:r>
        <w:rPr>
          <w:rFonts w:hint="eastAsia" w:ascii="宋体" w:hAnsi="宋体" w:cs="宋体"/>
          <w:color w:val="000000"/>
          <w:kern w:val="0"/>
          <w:sz w:val="24"/>
        </w:rPr>
        <w:t>（1）对本合同约定的委托服务范围内的项目享有管理权及服务义务,并保证于合同签字生效之后3日内进场履行合同义务。</w:t>
      </w:r>
    </w:p>
    <w:p>
      <w:pPr>
        <w:widowControl/>
        <w:snapToGrid w:val="0"/>
        <w:spacing w:line="360" w:lineRule="auto"/>
        <w:ind w:firstLine="480"/>
        <w:jc w:val="left"/>
        <w:rPr>
          <w:rFonts w:ascii="宋体" w:hAnsi="宋体" w:cs="宋体"/>
          <w:color w:val="000000"/>
          <w:kern w:val="0"/>
          <w:sz w:val="24"/>
        </w:rPr>
      </w:pPr>
      <w:r>
        <w:rPr>
          <w:rFonts w:hint="eastAsia" w:ascii="宋体" w:hAnsi="宋体" w:cs="宋体"/>
          <w:color w:val="000000"/>
          <w:kern w:val="0"/>
          <w:sz w:val="24"/>
        </w:rPr>
        <w:t>（2）根据本合同的规定向甲方收取相关服务费用，并有权在本项目管理范围内管理及合理使用。</w:t>
      </w:r>
    </w:p>
    <w:p>
      <w:pPr>
        <w:widowControl/>
        <w:snapToGrid w:val="0"/>
        <w:spacing w:line="360" w:lineRule="auto"/>
        <w:ind w:firstLine="480"/>
        <w:jc w:val="left"/>
        <w:rPr>
          <w:rFonts w:ascii="宋体" w:hAnsi="宋体" w:cs="宋体"/>
          <w:color w:val="000000"/>
          <w:kern w:val="0"/>
          <w:sz w:val="24"/>
        </w:rPr>
      </w:pPr>
      <w:r>
        <w:rPr>
          <w:rFonts w:hint="eastAsia" w:ascii="宋体" w:hAnsi="宋体" w:cs="宋体"/>
          <w:color w:val="000000"/>
          <w:kern w:val="0"/>
          <w:sz w:val="24"/>
        </w:rPr>
        <w:t>（3）及时向甲方通告本项目服务范围内有关服务的重大事项，及时配合处理投诉。</w:t>
      </w:r>
    </w:p>
    <w:p>
      <w:pPr>
        <w:widowControl/>
        <w:snapToGrid w:val="0"/>
        <w:spacing w:line="360" w:lineRule="auto"/>
        <w:ind w:firstLine="480"/>
        <w:jc w:val="left"/>
        <w:rPr>
          <w:rFonts w:ascii="宋体" w:hAnsi="宋体" w:cs="宋体"/>
          <w:color w:val="000000"/>
          <w:kern w:val="0"/>
          <w:sz w:val="24"/>
        </w:rPr>
      </w:pPr>
      <w:r>
        <w:rPr>
          <w:rFonts w:hint="eastAsia" w:ascii="宋体" w:hAnsi="宋体" w:cs="宋体"/>
          <w:color w:val="000000"/>
          <w:kern w:val="0"/>
          <w:sz w:val="24"/>
        </w:rPr>
        <w:t>（4）接受项目行业管理部门及政府有关部门的指导，接受甲方的监督。</w:t>
      </w:r>
    </w:p>
    <w:p>
      <w:pPr>
        <w:widowControl/>
        <w:snapToGrid w:val="0"/>
        <w:spacing w:line="360" w:lineRule="auto"/>
        <w:ind w:firstLine="480"/>
        <w:jc w:val="left"/>
        <w:rPr>
          <w:rFonts w:ascii="宋体" w:hAnsi="宋体" w:cs="宋体"/>
          <w:color w:val="000000"/>
          <w:kern w:val="0"/>
          <w:sz w:val="24"/>
        </w:rPr>
      </w:pPr>
      <w:r>
        <w:rPr>
          <w:rFonts w:hint="eastAsia" w:ascii="宋体" w:hAnsi="宋体" w:cs="宋体"/>
          <w:color w:val="000000"/>
          <w:kern w:val="0"/>
          <w:sz w:val="24"/>
        </w:rPr>
        <w:t>（5）乙方必须严格遵守国家法律法规，遵守本合同条款和医院的各种规章制度，教育、规范乙方工作人员文明服务，保证乙方人员具有良好的思想、道德、业务素质、身体健康、无传染病，严格执行《保洁管理制度》。</w:t>
      </w:r>
    </w:p>
    <w:p>
      <w:pPr>
        <w:widowControl/>
        <w:snapToGrid w:val="0"/>
        <w:spacing w:line="360" w:lineRule="auto"/>
        <w:ind w:firstLine="480"/>
        <w:jc w:val="left"/>
        <w:rPr>
          <w:rFonts w:hint="eastAsia" w:ascii="宋体" w:hAnsi="宋体" w:cs="宋体"/>
          <w:color w:val="000000"/>
          <w:kern w:val="0"/>
          <w:sz w:val="24"/>
        </w:rPr>
      </w:pPr>
      <w:r>
        <w:rPr>
          <w:rFonts w:hint="eastAsia" w:ascii="宋体" w:hAnsi="宋体" w:cs="宋体"/>
          <w:color w:val="000000"/>
          <w:kern w:val="0"/>
          <w:sz w:val="24"/>
        </w:rPr>
        <w:t>（6）负责</w:t>
      </w:r>
      <w:r>
        <w:rPr>
          <w:rFonts w:hint="eastAsia" w:ascii="宋体" w:hAnsi="宋体" w:cs="宋体"/>
          <w:color w:val="000000"/>
          <w:kern w:val="0"/>
          <w:sz w:val="24"/>
          <w:lang w:eastAsia="zh-CN"/>
        </w:rPr>
        <w:t>物业服务人员</w:t>
      </w:r>
      <w:r>
        <w:rPr>
          <w:rFonts w:hint="eastAsia" w:ascii="宋体" w:hAnsi="宋体" w:cs="宋体"/>
          <w:color w:val="000000"/>
          <w:kern w:val="0"/>
          <w:sz w:val="24"/>
        </w:rPr>
        <w:t>的招聘及日常管理；负责</w:t>
      </w:r>
      <w:r>
        <w:rPr>
          <w:rFonts w:hint="eastAsia" w:ascii="宋体" w:hAnsi="宋体" w:cs="宋体"/>
          <w:color w:val="000000"/>
          <w:kern w:val="0"/>
          <w:sz w:val="24"/>
          <w:lang w:eastAsia="zh-CN"/>
        </w:rPr>
        <w:t>按照物业服务内容及标准对物业人员进行培训，</w:t>
      </w:r>
      <w:r>
        <w:rPr>
          <w:rFonts w:hint="eastAsia" w:ascii="宋体" w:hAnsi="宋体" w:cs="宋体"/>
          <w:color w:val="000000"/>
          <w:kern w:val="0"/>
          <w:sz w:val="24"/>
        </w:rPr>
        <w:t>不断提高服务质量。</w:t>
      </w:r>
    </w:p>
    <w:p>
      <w:pPr>
        <w:widowControl/>
        <w:snapToGrid w:val="0"/>
        <w:spacing w:line="360" w:lineRule="auto"/>
        <w:ind w:firstLine="480"/>
        <w:jc w:val="left"/>
        <w:rPr>
          <w:rFonts w:hint="eastAsia" w:ascii="宋体" w:hAnsi="宋体" w:cs="宋体"/>
          <w:color w:val="000000"/>
          <w:kern w:val="0"/>
          <w:sz w:val="24"/>
        </w:rPr>
      </w:pPr>
      <w:r>
        <w:rPr>
          <w:rFonts w:hint="eastAsia" w:ascii="宋体" w:hAnsi="宋体" w:cs="宋体"/>
          <w:color w:val="000000"/>
          <w:kern w:val="0"/>
          <w:sz w:val="24"/>
        </w:rPr>
        <w:t>（7）国家法律、法规所规定由乙方承担的其它责任。</w:t>
      </w:r>
    </w:p>
    <w:p>
      <w:pPr>
        <w:widowControl/>
        <w:snapToGrid w:val="0"/>
        <w:spacing w:line="360" w:lineRule="auto"/>
        <w:ind w:firstLine="480"/>
        <w:jc w:val="left"/>
        <w:rPr>
          <w:rFonts w:hint="eastAsia" w:ascii="宋体" w:hAnsi="宋体" w:cs="宋体"/>
          <w:color w:val="000000"/>
          <w:kern w:val="0"/>
          <w:sz w:val="24"/>
        </w:rPr>
      </w:pPr>
      <w:r>
        <w:rPr>
          <w:rFonts w:hint="eastAsia" w:ascii="宋体" w:hAnsi="宋体" w:cs="宋体"/>
          <w:color w:val="000000"/>
          <w:kern w:val="0"/>
          <w:sz w:val="24"/>
        </w:rPr>
        <w:t>（</w:t>
      </w:r>
      <w:r>
        <w:rPr>
          <w:rFonts w:hint="eastAsia" w:ascii="宋体" w:hAnsi="宋体" w:cs="宋体"/>
          <w:color w:val="000000"/>
          <w:kern w:val="0"/>
          <w:sz w:val="24"/>
          <w:lang w:val="en-US" w:eastAsia="zh-CN"/>
        </w:rPr>
        <w:t>8</w:t>
      </w:r>
      <w:r>
        <w:rPr>
          <w:rFonts w:hint="eastAsia" w:ascii="宋体" w:hAnsi="宋体" w:cs="宋体"/>
          <w:color w:val="000000"/>
          <w:kern w:val="0"/>
          <w:sz w:val="24"/>
        </w:rPr>
        <w:t>）乙方须提供</w:t>
      </w:r>
      <w:r>
        <w:rPr>
          <w:rFonts w:hint="eastAsia" w:ascii="宋体" w:hAnsi="宋体" w:cs="宋体"/>
          <w:color w:val="000000"/>
          <w:kern w:val="0"/>
          <w:sz w:val="24"/>
          <w:lang w:eastAsia="zh-CN"/>
        </w:rPr>
        <w:t>物业服务</w:t>
      </w:r>
      <w:r>
        <w:rPr>
          <w:rFonts w:hint="eastAsia" w:ascii="宋体" w:hAnsi="宋体" w:cs="宋体"/>
          <w:color w:val="000000"/>
          <w:kern w:val="0"/>
          <w:sz w:val="24"/>
        </w:rPr>
        <w:t>所需的</w:t>
      </w:r>
      <w:r>
        <w:rPr>
          <w:rFonts w:hint="eastAsia" w:ascii="宋体" w:hAnsi="宋体" w:cs="宋体"/>
          <w:color w:val="000000"/>
          <w:kern w:val="0"/>
          <w:sz w:val="24"/>
          <w:lang w:eastAsia="zh-CN"/>
        </w:rPr>
        <w:t>物品</w:t>
      </w:r>
      <w:r>
        <w:rPr>
          <w:rFonts w:hint="eastAsia" w:ascii="宋体" w:hAnsi="宋体" w:cs="宋体"/>
          <w:color w:val="000000"/>
          <w:kern w:val="0"/>
          <w:sz w:val="24"/>
        </w:rPr>
        <w:t>（如</w:t>
      </w:r>
      <w:r>
        <w:rPr>
          <w:rFonts w:hint="eastAsia" w:ascii="宋体" w:hAnsi="宋体" w:cs="宋体"/>
          <w:color w:val="000000"/>
          <w:kern w:val="0"/>
          <w:sz w:val="24"/>
          <w:lang w:eastAsia="zh-CN"/>
        </w:rPr>
        <w:t>工作服、办公桌、电脑等乙方自用的设施设备</w:t>
      </w:r>
      <w:r>
        <w:rPr>
          <w:rFonts w:hint="eastAsia" w:ascii="宋体" w:hAnsi="宋体" w:cs="宋体"/>
          <w:color w:val="000000"/>
          <w:kern w:val="0"/>
          <w:sz w:val="24"/>
        </w:rPr>
        <w:t>），提供清洁所需耗材（包括分区的地巾、毛巾、清洁车、橡胶手套等）。</w:t>
      </w:r>
    </w:p>
    <w:p>
      <w:pPr>
        <w:adjustRightInd w:val="0"/>
        <w:spacing w:line="360" w:lineRule="auto"/>
        <w:jc w:val="left"/>
        <w:textAlignment w:val="baseline"/>
        <w:rPr>
          <w:rFonts w:ascii="宋体" w:hAnsi="宋体" w:cs="宋体"/>
          <w:b/>
          <w:bCs/>
          <w:color w:val="000000"/>
          <w:sz w:val="24"/>
        </w:rPr>
      </w:pPr>
      <w:r>
        <w:rPr>
          <w:rFonts w:hint="eastAsia" w:ascii="宋体" w:hAnsi="宋体" w:cs="宋体"/>
          <w:b/>
          <w:color w:val="000000"/>
          <w:sz w:val="24"/>
        </w:rPr>
        <w:t>第八条</w:t>
      </w:r>
      <w:r>
        <w:rPr>
          <w:rFonts w:hint="eastAsia" w:ascii="宋体" w:hAnsi="宋体" w:cs="宋体"/>
          <w:color w:val="000000"/>
          <w:sz w:val="24"/>
        </w:rPr>
        <w:t xml:space="preserve">  </w:t>
      </w:r>
      <w:r>
        <w:rPr>
          <w:rFonts w:hint="eastAsia" w:ascii="宋体" w:hAnsi="宋体" w:cs="宋体"/>
          <w:b/>
          <w:bCs/>
          <w:color w:val="000000"/>
          <w:sz w:val="24"/>
        </w:rPr>
        <w:t>考核要求</w:t>
      </w:r>
    </w:p>
    <w:p>
      <w:pPr>
        <w:spacing w:line="360" w:lineRule="auto"/>
        <w:ind w:firstLine="360" w:firstLineChars="150"/>
        <w:rPr>
          <w:rFonts w:ascii="宋体" w:hAnsi="宋体" w:cs="宋体"/>
          <w:color w:val="000000"/>
          <w:sz w:val="24"/>
        </w:rPr>
      </w:pPr>
      <w:r>
        <w:rPr>
          <w:rFonts w:hint="eastAsia" w:ascii="宋体" w:hAnsi="宋体" w:cs="宋体"/>
          <w:color w:val="000000"/>
          <w:sz w:val="24"/>
        </w:rPr>
        <w:t>1、甲方有权利对乙方的工作每月实施考核，根据考核检查表进行考核处罚。(考核标准见附件一）</w:t>
      </w:r>
    </w:p>
    <w:p>
      <w:pPr>
        <w:spacing w:line="360" w:lineRule="auto"/>
        <w:rPr>
          <w:rFonts w:ascii="宋体" w:hAnsi="宋体" w:cs="宋体"/>
          <w:color w:val="000000"/>
          <w:sz w:val="24"/>
        </w:rPr>
      </w:pPr>
      <w:r>
        <w:rPr>
          <w:rFonts w:hint="eastAsia" w:ascii="宋体" w:hAnsi="宋体" w:cs="宋体"/>
          <w:color w:val="000000"/>
          <w:sz w:val="24"/>
        </w:rPr>
        <w:t xml:space="preserve">   2、甲方接受国家、省、市或卫生部门的检查时，乙方需配合并保证其清洁工作达到相关部门检查合格。</w:t>
      </w:r>
    </w:p>
    <w:p>
      <w:pPr>
        <w:widowControl/>
        <w:spacing w:line="360" w:lineRule="auto"/>
        <w:rPr>
          <w:rFonts w:ascii="宋体" w:hAnsi="宋体" w:cs="宋体"/>
          <w:b/>
          <w:bCs/>
          <w:color w:val="000000"/>
          <w:kern w:val="0"/>
          <w:sz w:val="24"/>
        </w:rPr>
      </w:pPr>
      <w:r>
        <w:rPr>
          <w:rFonts w:hint="eastAsia" w:ascii="宋体" w:hAnsi="宋体" w:cs="宋体"/>
          <w:b/>
          <w:bCs/>
          <w:color w:val="000000"/>
          <w:kern w:val="0"/>
          <w:sz w:val="24"/>
        </w:rPr>
        <w:t xml:space="preserve"> 第九条  违约责任</w:t>
      </w:r>
    </w:p>
    <w:p>
      <w:pPr>
        <w:widowControl/>
        <w:snapToGrid w:val="0"/>
        <w:spacing w:line="360" w:lineRule="auto"/>
        <w:ind w:firstLine="480"/>
        <w:jc w:val="left"/>
        <w:rPr>
          <w:rFonts w:ascii="宋体" w:hAnsi="宋体" w:cs="宋体"/>
          <w:color w:val="000000"/>
          <w:kern w:val="0"/>
          <w:sz w:val="24"/>
        </w:rPr>
      </w:pPr>
      <w:r>
        <w:rPr>
          <w:rFonts w:hint="eastAsia" w:ascii="宋体" w:hAnsi="宋体" w:cs="宋体"/>
          <w:color w:val="000000"/>
          <w:kern w:val="0"/>
          <w:sz w:val="24"/>
        </w:rPr>
        <w:t>1、甲乙双方必须遵守本合同并执行合同中的各项规定，保证本合同的正常履行。</w:t>
      </w:r>
    </w:p>
    <w:p>
      <w:pPr>
        <w:widowControl/>
        <w:snapToGrid w:val="0"/>
        <w:spacing w:line="360" w:lineRule="auto"/>
        <w:ind w:firstLine="480"/>
        <w:jc w:val="left"/>
        <w:rPr>
          <w:rFonts w:ascii="宋体" w:hAnsi="宋体" w:cs="宋体"/>
          <w:color w:val="000000"/>
          <w:kern w:val="0"/>
          <w:sz w:val="24"/>
        </w:rPr>
      </w:pPr>
      <w:r>
        <w:rPr>
          <w:rFonts w:hint="eastAsia" w:ascii="宋体" w:hAnsi="宋体" w:cs="宋体"/>
          <w:color w:val="000000"/>
          <w:kern w:val="0"/>
          <w:sz w:val="24"/>
        </w:rPr>
        <w:t>2、如因乙方工作人员在履行职务过程中的疏忽、失职、过错等原因给甲方造成损失或侵害，乙方对此应承担相应的责任。</w:t>
      </w:r>
    </w:p>
    <w:p>
      <w:pPr>
        <w:spacing w:line="360" w:lineRule="auto"/>
        <w:rPr>
          <w:rFonts w:ascii="宋体" w:hAnsi="宋体" w:cs="宋体"/>
          <w:color w:val="000000"/>
          <w:sz w:val="24"/>
        </w:rPr>
      </w:pPr>
      <w:r>
        <w:rPr>
          <w:rFonts w:hint="eastAsia" w:ascii="宋体" w:hAnsi="宋体" w:cs="宋体"/>
          <w:color w:val="000000"/>
          <w:sz w:val="24"/>
        </w:rPr>
        <w:t xml:space="preserve">    3、若一方无故解除合同，违约方应给对方本合同总额30﹪的违约金。</w:t>
      </w:r>
    </w:p>
    <w:p>
      <w:pPr>
        <w:spacing w:line="360" w:lineRule="auto"/>
        <w:rPr>
          <w:rFonts w:ascii="宋体" w:hAnsi="宋体" w:cs="宋体"/>
          <w:color w:val="000000"/>
          <w:sz w:val="24"/>
        </w:rPr>
      </w:pPr>
      <w:r>
        <w:rPr>
          <w:rFonts w:hint="eastAsia" w:ascii="宋体" w:hAnsi="宋体" w:cs="宋体"/>
          <w:color w:val="000000"/>
          <w:sz w:val="24"/>
        </w:rPr>
        <w:t xml:space="preserve">    4、若甲方逾期未支付乙方合同服务费用，甲方除及时支付服务费用外，另逾期未支付款项，按照该费用的10﹪作赔偿金支付乙方。</w:t>
      </w:r>
    </w:p>
    <w:p>
      <w:pPr>
        <w:widowControl/>
        <w:spacing w:line="360" w:lineRule="auto"/>
        <w:rPr>
          <w:rFonts w:ascii="宋体" w:hAnsi="宋体" w:cs="宋体"/>
          <w:b/>
          <w:bCs/>
          <w:color w:val="000000"/>
          <w:kern w:val="0"/>
          <w:sz w:val="24"/>
        </w:rPr>
      </w:pPr>
      <w:r>
        <w:rPr>
          <w:rFonts w:hint="eastAsia" w:ascii="宋体" w:hAnsi="宋体" w:cs="宋体"/>
          <w:b/>
          <w:bCs/>
          <w:color w:val="000000"/>
          <w:kern w:val="0"/>
          <w:sz w:val="24"/>
        </w:rPr>
        <w:t>第十条  不可抗力事件处理</w:t>
      </w:r>
    </w:p>
    <w:p>
      <w:pPr>
        <w:widowControl/>
        <w:spacing w:line="360" w:lineRule="auto"/>
        <w:ind w:firstLine="480"/>
        <w:rPr>
          <w:rFonts w:ascii="宋体" w:hAnsi="宋体" w:cs="宋体"/>
          <w:color w:val="000000"/>
          <w:kern w:val="0"/>
          <w:sz w:val="24"/>
        </w:rPr>
      </w:pPr>
      <w:r>
        <w:rPr>
          <w:rFonts w:hint="eastAsia" w:ascii="宋体" w:hAnsi="宋体" w:cs="宋体"/>
          <w:color w:val="000000"/>
          <w:kern w:val="0"/>
          <w:sz w:val="24"/>
        </w:rPr>
        <w:t>1、在合同有效期内，任何一方因不可抗力事件导致不能履行合同，则合同履行期可延长，其延长期与不可抗力影响期相同。</w:t>
      </w:r>
    </w:p>
    <w:p>
      <w:pPr>
        <w:widowControl/>
        <w:spacing w:line="360" w:lineRule="auto"/>
        <w:ind w:firstLine="480"/>
        <w:rPr>
          <w:rFonts w:ascii="宋体" w:hAnsi="宋体" w:cs="宋体"/>
          <w:color w:val="000000"/>
          <w:kern w:val="0"/>
          <w:sz w:val="24"/>
        </w:rPr>
      </w:pPr>
      <w:r>
        <w:rPr>
          <w:rFonts w:hint="eastAsia" w:ascii="宋体" w:hAnsi="宋体" w:cs="宋体"/>
          <w:color w:val="000000"/>
          <w:kern w:val="0"/>
          <w:sz w:val="24"/>
        </w:rPr>
        <w:t>2、不可抗力事件发生后，应立即通知对方，并寄送有关权威机构出具的证明。</w:t>
      </w:r>
    </w:p>
    <w:p>
      <w:pPr>
        <w:widowControl/>
        <w:spacing w:line="360" w:lineRule="auto"/>
        <w:ind w:firstLine="480"/>
        <w:rPr>
          <w:rFonts w:ascii="宋体" w:hAnsi="宋体" w:cs="宋体"/>
          <w:color w:val="000000"/>
          <w:kern w:val="0"/>
          <w:sz w:val="24"/>
        </w:rPr>
      </w:pPr>
      <w:r>
        <w:rPr>
          <w:rFonts w:hint="eastAsia" w:ascii="宋体" w:hAnsi="宋体" w:cs="宋体"/>
          <w:color w:val="000000"/>
          <w:kern w:val="0"/>
          <w:sz w:val="24"/>
        </w:rPr>
        <w:t>3、不可抗力事件延续30天以上，双方应通过友好协商，确定是否继续履行合同。</w:t>
      </w:r>
    </w:p>
    <w:p>
      <w:pPr>
        <w:widowControl/>
        <w:spacing w:line="360" w:lineRule="auto"/>
        <w:rPr>
          <w:rFonts w:ascii="宋体" w:hAnsi="宋体" w:cs="宋体"/>
          <w:b/>
          <w:bCs/>
          <w:color w:val="000000"/>
          <w:kern w:val="0"/>
          <w:sz w:val="24"/>
        </w:rPr>
      </w:pPr>
      <w:r>
        <w:rPr>
          <w:rFonts w:hint="eastAsia" w:ascii="宋体" w:hAnsi="宋体" w:cs="宋体"/>
          <w:b/>
          <w:bCs/>
          <w:color w:val="000000"/>
          <w:kern w:val="0"/>
          <w:sz w:val="24"/>
        </w:rPr>
        <w:t>第十一条  解决合同纠纷的方式</w:t>
      </w:r>
    </w:p>
    <w:p>
      <w:pPr>
        <w:widowControl/>
        <w:spacing w:line="360" w:lineRule="auto"/>
        <w:ind w:firstLine="480"/>
        <w:rPr>
          <w:rFonts w:ascii="宋体" w:hAnsi="宋体" w:cs="宋体"/>
          <w:color w:val="000000"/>
          <w:kern w:val="0"/>
          <w:sz w:val="24"/>
        </w:rPr>
      </w:pPr>
      <w:r>
        <w:rPr>
          <w:rFonts w:hint="eastAsia" w:ascii="宋体" w:hAnsi="宋体" w:cs="宋体"/>
          <w:color w:val="000000"/>
          <w:kern w:val="0"/>
          <w:sz w:val="24"/>
        </w:rPr>
        <w:t>1、在执行本合同中发生的或与本合同有关的争端，双方应通过友好协商解决，经协商在30天内不能达成协议时，应提交劳动仲裁委员会仲裁。</w:t>
      </w:r>
    </w:p>
    <w:p>
      <w:pPr>
        <w:widowControl/>
        <w:spacing w:line="360" w:lineRule="auto"/>
        <w:ind w:firstLine="480"/>
        <w:rPr>
          <w:rFonts w:ascii="宋体" w:hAnsi="宋体" w:cs="宋体"/>
          <w:color w:val="000000"/>
          <w:kern w:val="0"/>
          <w:sz w:val="24"/>
        </w:rPr>
      </w:pPr>
      <w:r>
        <w:rPr>
          <w:rFonts w:hint="eastAsia" w:ascii="宋体" w:hAnsi="宋体" w:cs="宋体"/>
          <w:color w:val="000000"/>
          <w:kern w:val="0"/>
          <w:sz w:val="24"/>
        </w:rPr>
        <w:t>2、仲裁裁决应为最终决定，并对双方具有约束力。</w:t>
      </w:r>
    </w:p>
    <w:p>
      <w:pPr>
        <w:widowControl/>
        <w:spacing w:line="360" w:lineRule="auto"/>
        <w:ind w:firstLine="480"/>
        <w:rPr>
          <w:rFonts w:ascii="宋体" w:hAnsi="宋体" w:cs="宋体"/>
          <w:color w:val="000000"/>
          <w:kern w:val="0"/>
          <w:sz w:val="24"/>
        </w:rPr>
      </w:pPr>
      <w:r>
        <w:rPr>
          <w:rFonts w:hint="eastAsia" w:ascii="宋体" w:hAnsi="宋体" w:cs="宋体"/>
          <w:color w:val="000000"/>
          <w:kern w:val="0"/>
          <w:sz w:val="24"/>
        </w:rPr>
        <w:t xml:space="preserve">3、除另有裁决外，仲裁费应由败诉方负担。 </w:t>
      </w:r>
    </w:p>
    <w:p>
      <w:pPr>
        <w:widowControl/>
        <w:spacing w:line="360" w:lineRule="auto"/>
        <w:ind w:firstLine="480"/>
        <w:rPr>
          <w:rFonts w:ascii="宋体" w:hAnsi="宋体" w:cs="宋体"/>
          <w:color w:val="000000"/>
          <w:kern w:val="0"/>
          <w:sz w:val="24"/>
        </w:rPr>
      </w:pPr>
      <w:r>
        <w:rPr>
          <w:rFonts w:hint="eastAsia" w:ascii="宋体" w:hAnsi="宋体" w:cs="宋体"/>
          <w:color w:val="000000"/>
          <w:kern w:val="0"/>
          <w:sz w:val="24"/>
        </w:rPr>
        <w:t xml:space="preserve">4、在仲裁期间，除正在进行仲裁部分外，合同其他部分继续执行。  </w:t>
      </w:r>
    </w:p>
    <w:p>
      <w:pPr>
        <w:widowControl/>
        <w:spacing w:line="360" w:lineRule="auto"/>
        <w:rPr>
          <w:rFonts w:ascii="宋体" w:hAnsi="宋体" w:cs="宋体"/>
          <w:b/>
          <w:bCs/>
          <w:color w:val="000000"/>
          <w:kern w:val="0"/>
          <w:sz w:val="24"/>
        </w:rPr>
      </w:pPr>
      <w:r>
        <w:rPr>
          <w:rFonts w:hint="eastAsia" w:ascii="宋体" w:hAnsi="宋体" w:cs="宋体"/>
          <w:b/>
          <w:bCs/>
          <w:color w:val="000000"/>
          <w:kern w:val="0"/>
          <w:sz w:val="24"/>
        </w:rPr>
        <w:t>第十二条  合同生效及其他</w:t>
      </w:r>
    </w:p>
    <w:p>
      <w:pPr>
        <w:widowControl/>
        <w:spacing w:line="360" w:lineRule="auto"/>
        <w:ind w:firstLine="480"/>
        <w:rPr>
          <w:rFonts w:ascii="宋体" w:hAnsi="宋体" w:cs="宋体"/>
          <w:color w:val="000000"/>
          <w:kern w:val="0"/>
          <w:sz w:val="24"/>
        </w:rPr>
      </w:pPr>
      <w:r>
        <w:rPr>
          <w:rFonts w:hint="eastAsia" w:ascii="宋体" w:hAnsi="宋体" w:cs="宋体"/>
          <w:color w:val="000000"/>
          <w:kern w:val="0"/>
          <w:sz w:val="24"/>
        </w:rPr>
        <w:t>1、合同经双方法定代表人或授权委托代理人签字并加盖单位公章后生效。</w:t>
      </w:r>
    </w:p>
    <w:p>
      <w:pPr>
        <w:widowControl/>
        <w:spacing w:line="360" w:lineRule="auto"/>
        <w:ind w:firstLine="480"/>
        <w:rPr>
          <w:rFonts w:ascii="宋体" w:hAnsi="宋体" w:cs="宋体"/>
          <w:color w:val="000000"/>
          <w:kern w:val="0"/>
          <w:sz w:val="24"/>
        </w:rPr>
      </w:pPr>
      <w:r>
        <w:rPr>
          <w:rFonts w:hint="eastAsia" w:ascii="宋体" w:hAnsi="宋体" w:cs="宋体"/>
          <w:color w:val="000000"/>
          <w:kern w:val="0"/>
          <w:sz w:val="24"/>
        </w:rPr>
        <w:t>2、合同执行中涉及采购资金和采购内容修改或补充的，须经甲乙双方协商并签书面补充协议，方可作为主合同不可分割的一部分。</w:t>
      </w:r>
    </w:p>
    <w:p>
      <w:pPr>
        <w:widowControl/>
        <w:spacing w:line="360" w:lineRule="auto"/>
        <w:rPr>
          <w:rFonts w:ascii="宋体" w:hAnsi="宋体" w:cs="宋体"/>
          <w:color w:val="000000"/>
          <w:kern w:val="0"/>
          <w:sz w:val="24"/>
        </w:rPr>
      </w:pPr>
      <w:r>
        <w:rPr>
          <w:rFonts w:hint="eastAsia" w:ascii="宋体" w:hAnsi="宋体" w:cs="宋体"/>
          <w:color w:val="000000"/>
          <w:kern w:val="0"/>
          <w:sz w:val="24"/>
        </w:rPr>
        <w:t xml:space="preserve">    3、如根据项目需要作业人员调整及遇国家相关政策调整，服务费作相应调整。</w:t>
      </w:r>
    </w:p>
    <w:p>
      <w:pPr>
        <w:widowControl/>
        <w:spacing w:line="360" w:lineRule="auto"/>
        <w:ind w:firstLine="480"/>
        <w:rPr>
          <w:rFonts w:ascii="宋体" w:hAnsi="宋体" w:cs="宋体"/>
          <w:color w:val="000000"/>
          <w:kern w:val="0"/>
          <w:sz w:val="24"/>
        </w:rPr>
      </w:pPr>
      <w:r>
        <w:rPr>
          <w:rFonts w:hint="eastAsia" w:ascii="宋体" w:hAnsi="宋体" w:cs="宋体"/>
          <w:color w:val="000000"/>
          <w:kern w:val="0"/>
          <w:sz w:val="24"/>
        </w:rPr>
        <w:t>4、本合同一式六份，自双方签章之日起起效。甲方二份，乙方二份，招标采购代理机构一份，上级主管部门备案一份，具有同等法律效力。</w:t>
      </w:r>
    </w:p>
    <w:p>
      <w:pPr>
        <w:widowControl/>
        <w:spacing w:line="360" w:lineRule="auto"/>
        <w:rPr>
          <w:rFonts w:ascii="宋体" w:hAnsi="宋体" w:cs="宋体"/>
          <w:b/>
          <w:bCs/>
          <w:color w:val="000000"/>
          <w:kern w:val="0"/>
          <w:sz w:val="24"/>
        </w:rPr>
      </w:pPr>
      <w:r>
        <w:rPr>
          <w:rFonts w:hint="eastAsia" w:ascii="宋体" w:hAnsi="宋体" w:cs="宋体"/>
          <w:b/>
          <w:bCs/>
          <w:color w:val="000000"/>
          <w:kern w:val="0"/>
          <w:sz w:val="24"/>
        </w:rPr>
        <w:t>第十三条   附件</w:t>
      </w:r>
    </w:p>
    <w:p>
      <w:pPr>
        <w:spacing w:line="360" w:lineRule="auto"/>
        <w:ind w:firstLine="480" w:firstLineChars="200"/>
        <w:rPr>
          <w:rFonts w:ascii="宋体" w:hAnsi="宋体" w:cs="宋体"/>
          <w:color w:val="000000"/>
          <w:sz w:val="24"/>
        </w:rPr>
      </w:pPr>
      <w:r>
        <w:rPr>
          <w:rFonts w:hint="eastAsia" w:ascii="宋体" w:hAnsi="宋体" w:cs="宋体"/>
          <w:color w:val="000000"/>
          <w:sz w:val="24"/>
        </w:rPr>
        <w:t>附件一：考核标准</w:t>
      </w:r>
    </w:p>
    <w:p>
      <w:pPr>
        <w:widowControl/>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附件二：中标通知书</w:t>
      </w:r>
    </w:p>
    <w:p>
      <w:pPr>
        <w:widowControl/>
        <w:spacing w:line="360" w:lineRule="auto"/>
        <w:rPr>
          <w:rFonts w:ascii="宋体" w:hAnsi="宋体" w:cs="宋体"/>
          <w:color w:val="000000"/>
          <w:kern w:val="0"/>
          <w:sz w:val="24"/>
        </w:rPr>
      </w:pPr>
    </w:p>
    <w:p>
      <w:pPr>
        <w:widowControl/>
        <w:spacing w:line="360" w:lineRule="auto"/>
        <w:rPr>
          <w:rFonts w:ascii="宋体" w:hAnsi="宋体" w:cs="宋体"/>
          <w:color w:val="000000"/>
          <w:kern w:val="0"/>
          <w:sz w:val="24"/>
        </w:rPr>
      </w:pPr>
      <w:r>
        <w:rPr>
          <w:rFonts w:hint="eastAsia" w:ascii="宋体" w:hAnsi="宋体" w:cs="宋体"/>
          <w:color w:val="000000"/>
          <w:kern w:val="0"/>
          <w:sz w:val="24"/>
        </w:rPr>
        <w:t xml:space="preserve">甲方：   （盖章）   </w:t>
      </w:r>
      <w:r>
        <w:rPr>
          <w:rFonts w:hint="eastAsia" w:ascii="宋体" w:hAnsi="宋体" w:cs="宋体"/>
          <w:color w:val="000000"/>
          <w:kern w:val="0"/>
          <w:sz w:val="24"/>
        </w:rPr>
        <w:tab/>
      </w:r>
      <w:r>
        <w:rPr>
          <w:rFonts w:hint="eastAsia" w:ascii="宋体" w:hAnsi="宋体" w:cs="宋体"/>
          <w:color w:val="000000"/>
          <w:kern w:val="0"/>
          <w:sz w:val="24"/>
        </w:rPr>
        <w:tab/>
      </w:r>
      <w:r>
        <w:rPr>
          <w:rFonts w:hint="eastAsia" w:ascii="宋体" w:hAnsi="宋体" w:cs="宋体"/>
          <w:color w:val="000000"/>
          <w:kern w:val="0"/>
          <w:sz w:val="24"/>
        </w:rPr>
        <w:tab/>
      </w:r>
      <w:r>
        <w:rPr>
          <w:rFonts w:hint="eastAsia" w:ascii="宋体" w:hAnsi="宋体" w:cs="宋体"/>
          <w:color w:val="000000"/>
          <w:kern w:val="0"/>
          <w:sz w:val="24"/>
        </w:rPr>
        <w:t xml:space="preserve">             乙方：   （盖章）</w:t>
      </w:r>
    </w:p>
    <w:p>
      <w:pPr>
        <w:widowControl/>
        <w:spacing w:line="360" w:lineRule="auto"/>
        <w:rPr>
          <w:rFonts w:ascii="宋体" w:hAnsi="宋体" w:cs="宋体"/>
          <w:color w:val="000000"/>
          <w:kern w:val="0"/>
          <w:sz w:val="24"/>
        </w:rPr>
      </w:pPr>
      <w:r>
        <w:rPr>
          <w:rFonts w:hint="eastAsia" w:ascii="宋体" w:hAnsi="宋体" w:cs="宋体"/>
          <w:color w:val="000000"/>
          <w:kern w:val="0"/>
          <w:sz w:val="24"/>
        </w:rPr>
        <w:t>法定代表人（授权代表）：                 法定代表人（授权代表）：</w:t>
      </w:r>
    </w:p>
    <w:p>
      <w:pPr>
        <w:widowControl/>
        <w:spacing w:line="360" w:lineRule="auto"/>
        <w:rPr>
          <w:rFonts w:ascii="宋体" w:hAnsi="宋体" w:cs="宋体"/>
          <w:color w:val="000000"/>
          <w:kern w:val="0"/>
          <w:sz w:val="24"/>
        </w:rPr>
      </w:pPr>
      <w:r>
        <w:rPr>
          <w:rFonts w:hint="eastAsia" w:ascii="宋体" w:hAnsi="宋体" w:cs="宋体"/>
          <w:color w:val="000000"/>
          <w:kern w:val="0"/>
          <w:sz w:val="24"/>
        </w:rPr>
        <w:t xml:space="preserve">地    址：                               地    址： </w:t>
      </w:r>
    </w:p>
    <w:p>
      <w:pPr>
        <w:rPr>
          <w:rFonts w:ascii="宋体" w:hAnsi="宋体" w:cs="宋体"/>
          <w:color w:val="000000"/>
          <w:sz w:val="24"/>
        </w:rPr>
      </w:pPr>
      <w:r>
        <w:rPr>
          <w:rFonts w:hint="eastAsia" w:ascii="宋体" w:hAnsi="宋体" w:cs="宋体"/>
          <w:color w:val="000000"/>
          <w:sz w:val="24"/>
        </w:rPr>
        <w:t xml:space="preserve">开户银行：                               开户银行：       </w:t>
      </w:r>
    </w:p>
    <w:p>
      <w:pPr>
        <w:rPr>
          <w:rFonts w:ascii="宋体" w:hAnsi="宋体" w:cs="宋体"/>
          <w:color w:val="000000"/>
          <w:sz w:val="24"/>
        </w:rPr>
      </w:pPr>
      <w:r>
        <w:rPr>
          <w:rFonts w:hint="eastAsia" w:ascii="宋体" w:hAnsi="宋体" w:cs="宋体"/>
          <w:color w:val="000000"/>
          <w:sz w:val="24"/>
        </w:rPr>
        <w:t xml:space="preserve">账  </w:t>
      </w:r>
      <w:r>
        <w:rPr>
          <w:rFonts w:ascii="宋体" w:hAnsi="宋体" w:cs="宋体"/>
          <w:color w:val="000000"/>
          <w:sz w:val="24"/>
        </w:rPr>
        <w:t xml:space="preserve"> </w:t>
      </w:r>
      <w:r>
        <w:rPr>
          <w:rFonts w:hint="eastAsia" w:ascii="宋体" w:hAnsi="宋体" w:cs="宋体"/>
          <w:color w:val="000000"/>
          <w:sz w:val="24"/>
        </w:rPr>
        <w:t xml:space="preserve"> 号：                               账    号：</w:t>
      </w:r>
    </w:p>
    <w:p>
      <w:pPr>
        <w:widowControl/>
        <w:spacing w:line="360" w:lineRule="auto"/>
        <w:rPr>
          <w:rFonts w:ascii="宋体" w:hAnsi="宋体" w:cs="宋体"/>
          <w:color w:val="000000"/>
          <w:kern w:val="0"/>
          <w:sz w:val="24"/>
        </w:rPr>
      </w:pPr>
      <w:r>
        <w:rPr>
          <w:rFonts w:hint="eastAsia" w:ascii="宋体" w:hAnsi="宋体" w:cs="宋体"/>
          <w:color w:val="000000"/>
          <w:kern w:val="0"/>
          <w:sz w:val="24"/>
        </w:rPr>
        <w:t>电    话：                               电    话：</w:t>
      </w:r>
    </w:p>
    <w:p>
      <w:pPr>
        <w:widowControl/>
        <w:spacing w:line="360" w:lineRule="auto"/>
        <w:rPr>
          <w:rFonts w:ascii="宋体" w:hAnsi="宋体" w:cs="宋体"/>
          <w:color w:val="000000"/>
          <w:kern w:val="0"/>
          <w:sz w:val="24"/>
        </w:rPr>
      </w:pPr>
      <w:r>
        <w:rPr>
          <w:rFonts w:hint="eastAsia" w:ascii="宋体" w:hAnsi="宋体" w:cs="宋体"/>
          <w:color w:val="000000"/>
          <w:kern w:val="0"/>
          <w:sz w:val="24"/>
        </w:rPr>
        <w:t>传    真：                               传    真：</w:t>
      </w:r>
    </w:p>
    <w:p>
      <w:pPr>
        <w:widowControl/>
        <w:spacing w:line="360" w:lineRule="auto"/>
        <w:rPr>
          <w:rFonts w:ascii="宋体" w:hAnsi="宋体" w:cs="宋体"/>
          <w:color w:val="000000"/>
          <w:kern w:val="0"/>
          <w:sz w:val="24"/>
        </w:rPr>
      </w:pPr>
      <w:r>
        <w:rPr>
          <w:rFonts w:hint="eastAsia" w:ascii="宋体" w:hAnsi="宋体" w:cs="宋体"/>
          <w:color w:val="000000"/>
          <w:kern w:val="0"/>
          <w:sz w:val="24"/>
        </w:rPr>
        <w:t xml:space="preserve">签约日期：    年  月  日 </w:t>
      </w:r>
      <w:r>
        <w:rPr>
          <w:rFonts w:hint="eastAsia" w:ascii="宋体" w:hAnsi="宋体" w:cs="宋体"/>
          <w:color w:val="000000"/>
          <w:kern w:val="0"/>
          <w:sz w:val="24"/>
        </w:rPr>
        <w:tab/>
      </w:r>
      <w:r>
        <w:rPr>
          <w:rFonts w:hint="eastAsia" w:ascii="宋体" w:hAnsi="宋体" w:cs="宋体"/>
          <w:color w:val="000000"/>
          <w:kern w:val="0"/>
          <w:sz w:val="24"/>
        </w:rPr>
        <w:tab/>
      </w:r>
      <w:r>
        <w:rPr>
          <w:rFonts w:hint="eastAsia" w:ascii="宋体" w:hAnsi="宋体" w:cs="宋体"/>
          <w:color w:val="000000"/>
          <w:kern w:val="0"/>
          <w:sz w:val="24"/>
        </w:rPr>
        <w:tab/>
      </w:r>
      <w:r>
        <w:rPr>
          <w:rFonts w:hint="eastAsia" w:ascii="宋体" w:hAnsi="宋体" w:cs="宋体"/>
          <w:color w:val="000000"/>
          <w:kern w:val="0"/>
          <w:sz w:val="24"/>
        </w:rPr>
        <w:t xml:space="preserve">  </w:t>
      </w:r>
      <w:r>
        <w:rPr>
          <w:rFonts w:ascii="宋体" w:hAnsi="宋体" w:cs="宋体"/>
          <w:color w:val="000000"/>
          <w:kern w:val="0"/>
          <w:sz w:val="24"/>
        </w:rPr>
        <w:t xml:space="preserve">    </w:t>
      </w:r>
      <w:r>
        <w:rPr>
          <w:rFonts w:hint="eastAsia" w:ascii="宋体" w:hAnsi="宋体" w:cs="宋体"/>
          <w:color w:val="000000"/>
          <w:kern w:val="0"/>
          <w:sz w:val="24"/>
        </w:rPr>
        <w:t>签约日期：     年  月  日</w:t>
      </w:r>
    </w:p>
    <w:p>
      <w:pPr>
        <w:rPr>
          <w:rFonts w:ascii="宋体" w:hAnsi="宋体" w:cs="宋体"/>
          <w:b/>
          <w:bCs/>
          <w:color w:val="000000"/>
          <w:sz w:val="24"/>
        </w:rPr>
      </w:pPr>
      <w:bookmarkStart w:id="219" w:name="_Toc445480208"/>
      <w:r>
        <w:rPr>
          <w:rFonts w:hint="eastAsia" w:ascii="宋体" w:hAnsi="宋体" w:cs="宋体"/>
          <w:b/>
          <w:bCs/>
          <w:color w:val="000000"/>
          <w:sz w:val="24"/>
        </w:rPr>
        <w:br w:type="page"/>
      </w:r>
    </w:p>
    <w:p>
      <w:pPr>
        <w:rPr>
          <w:rFonts w:ascii="宋体" w:hAnsi="宋体" w:cs="宋体"/>
          <w:b/>
          <w:bCs/>
          <w:color w:val="000000"/>
          <w:sz w:val="24"/>
        </w:rPr>
      </w:pPr>
      <w:r>
        <w:rPr>
          <w:rFonts w:hint="eastAsia" w:ascii="宋体" w:hAnsi="宋体" w:cs="宋体"/>
          <w:b/>
          <w:bCs/>
          <w:color w:val="000000"/>
          <w:sz w:val="24"/>
        </w:rPr>
        <w:t>附件一：考核标准</w:t>
      </w:r>
      <w:bookmarkEnd w:id="219"/>
    </w:p>
    <w:p>
      <w:pPr>
        <w:widowControl/>
        <w:adjustRightInd w:val="0"/>
        <w:snapToGrid w:val="0"/>
        <w:spacing w:line="360" w:lineRule="auto"/>
        <w:ind w:right="-84" w:rightChars="-40" w:firstLine="480" w:firstLineChars="200"/>
        <w:jc w:val="left"/>
        <w:rPr>
          <w:rFonts w:ascii="宋体" w:hAnsi="宋体"/>
          <w:sz w:val="24"/>
        </w:rPr>
      </w:pPr>
      <w:r>
        <w:rPr>
          <w:rFonts w:hint="eastAsia" w:ascii="宋体" w:hAnsi="宋体"/>
          <w:sz w:val="24"/>
        </w:rPr>
        <w:t>为切实加强采购人环境卫生长效管理工作，充分调动物业公司及服务人员工作积极性，增强工作责任感，提高采购人服务工作管理水平和服务水平，现制定服务工作考核办法，通过对服务工作质量的检查，将考核结果和物业公司的月服务费用挂钩，当月的考核对应当月的服务费用，具体考核办法如下：</w:t>
      </w:r>
    </w:p>
    <w:p>
      <w:pPr>
        <w:widowControl/>
        <w:adjustRightInd w:val="0"/>
        <w:snapToGrid w:val="0"/>
        <w:spacing w:line="360" w:lineRule="auto"/>
        <w:ind w:left="-424" w:leftChars="-202" w:right="-84" w:rightChars="-40" w:firstLine="482" w:firstLineChars="200"/>
        <w:jc w:val="left"/>
        <w:rPr>
          <w:rFonts w:ascii="宋体" w:hAnsi="宋体"/>
          <w:b/>
          <w:bCs/>
          <w:sz w:val="24"/>
        </w:rPr>
      </w:pPr>
      <w:r>
        <w:rPr>
          <w:rFonts w:hint="eastAsia" w:ascii="宋体" w:hAnsi="宋体"/>
          <w:b/>
          <w:bCs/>
          <w:sz w:val="24"/>
        </w:rPr>
        <w:t>考核原则</w:t>
      </w:r>
    </w:p>
    <w:p>
      <w:pPr>
        <w:widowControl/>
        <w:adjustRightInd w:val="0"/>
        <w:snapToGrid w:val="0"/>
        <w:spacing w:line="360" w:lineRule="auto"/>
        <w:ind w:right="-84" w:rightChars="-40" w:firstLine="480" w:firstLineChars="200"/>
        <w:jc w:val="left"/>
        <w:rPr>
          <w:rFonts w:ascii="宋体" w:hAnsi="宋体"/>
          <w:sz w:val="24"/>
        </w:rPr>
      </w:pPr>
      <w:r>
        <w:rPr>
          <w:rFonts w:hint="eastAsia" w:ascii="宋体" w:hAnsi="宋体"/>
          <w:sz w:val="24"/>
        </w:rPr>
        <w:t>服务人员的日常工作归所在科室管理、考核，院办公室、感染科不定期抽查考核。</w:t>
      </w:r>
    </w:p>
    <w:p>
      <w:pPr>
        <w:widowControl/>
        <w:adjustRightInd w:val="0"/>
        <w:snapToGrid w:val="0"/>
        <w:spacing w:line="360" w:lineRule="auto"/>
        <w:ind w:left="-424" w:leftChars="-202" w:right="-84" w:rightChars="-40" w:firstLine="482" w:firstLineChars="200"/>
        <w:jc w:val="left"/>
        <w:rPr>
          <w:rFonts w:ascii="宋体" w:hAnsi="宋体"/>
          <w:b/>
          <w:bCs/>
          <w:sz w:val="24"/>
        </w:rPr>
      </w:pPr>
      <w:r>
        <w:rPr>
          <w:rFonts w:hint="eastAsia" w:ascii="宋体" w:hAnsi="宋体"/>
          <w:b/>
          <w:bCs/>
          <w:sz w:val="24"/>
        </w:rPr>
        <w:t>考核小组</w:t>
      </w:r>
    </w:p>
    <w:p>
      <w:pPr>
        <w:widowControl/>
        <w:adjustRightInd w:val="0"/>
        <w:snapToGrid w:val="0"/>
        <w:spacing w:line="360" w:lineRule="auto"/>
        <w:ind w:left="-424" w:leftChars="-202" w:right="-84" w:rightChars="-40" w:firstLine="480" w:firstLineChars="200"/>
        <w:jc w:val="left"/>
        <w:rPr>
          <w:rFonts w:ascii="宋体" w:hAnsi="宋体"/>
          <w:sz w:val="24"/>
        </w:rPr>
      </w:pPr>
      <w:r>
        <w:rPr>
          <w:rFonts w:hint="eastAsia" w:ascii="宋体" w:hAnsi="宋体"/>
          <w:sz w:val="24"/>
        </w:rPr>
        <w:t>由院办公室、各病区护士长、感染科组成。</w:t>
      </w:r>
    </w:p>
    <w:p>
      <w:pPr>
        <w:widowControl/>
        <w:adjustRightInd w:val="0"/>
        <w:snapToGrid w:val="0"/>
        <w:spacing w:line="360" w:lineRule="auto"/>
        <w:ind w:left="-424" w:leftChars="-202" w:right="-84" w:rightChars="-40" w:firstLine="482" w:firstLineChars="200"/>
        <w:jc w:val="left"/>
        <w:rPr>
          <w:rFonts w:ascii="宋体" w:hAnsi="宋体"/>
          <w:sz w:val="24"/>
        </w:rPr>
      </w:pPr>
      <w:r>
        <w:rPr>
          <w:rFonts w:hint="eastAsia" w:ascii="宋体" w:hAnsi="宋体"/>
          <w:b/>
          <w:bCs/>
          <w:sz w:val="24"/>
        </w:rPr>
        <w:t>考核办法</w:t>
      </w:r>
    </w:p>
    <w:p>
      <w:pPr>
        <w:widowControl/>
        <w:adjustRightInd w:val="0"/>
        <w:snapToGrid w:val="0"/>
        <w:spacing w:line="360" w:lineRule="auto"/>
        <w:ind w:right="-84" w:rightChars="-40" w:firstLine="480" w:firstLineChars="200"/>
        <w:jc w:val="left"/>
        <w:rPr>
          <w:rFonts w:ascii="宋体" w:hAnsi="宋体"/>
          <w:sz w:val="24"/>
        </w:rPr>
      </w:pPr>
      <w:r>
        <w:rPr>
          <w:rFonts w:hint="eastAsia" w:ascii="宋体" w:hAnsi="宋体"/>
          <w:sz w:val="24"/>
        </w:rPr>
        <w:t>采购人制定《考评细则》将每月到各临床科室进行工作检查， 根据各科室护士长意见汇总后，作为每月的考核指标。</w:t>
      </w:r>
    </w:p>
    <w:tbl>
      <w:tblPr>
        <w:tblStyle w:val="15"/>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528"/>
        <w:gridCol w:w="851"/>
        <w:gridCol w:w="850"/>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jc w:val="center"/>
        </w:trPr>
        <w:tc>
          <w:tcPr>
            <w:tcW w:w="704" w:type="dxa"/>
            <w:vAlign w:val="center"/>
          </w:tcPr>
          <w:p>
            <w:pPr>
              <w:spacing w:line="360" w:lineRule="auto"/>
              <w:jc w:val="center"/>
              <w:rPr>
                <w:rFonts w:ascii="仿宋" w:hAnsi="仿宋" w:eastAsia="仿宋"/>
                <w:b/>
                <w:bCs/>
                <w:sz w:val="18"/>
                <w:szCs w:val="18"/>
              </w:rPr>
            </w:pPr>
            <w:r>
              <w:rPr>
                <w:rFonts w:hint="eastAsia" w:ascii="仿宋" w:hAnsi="仿宋" w:eastAsia="仿宋"/>
                <w:b/>
                <w:bCs/>
                <w:sz w:val="18"/>
                <w:szCs w:val="18"/>
              </w:rPr>
              <w:t>序号</w:t>
            </w:r>
          </w:p>
        </w:tc>
        <w:tc>
          <w:tcPr>
            <w:tcW w:w="5528" w:type="dxa"/>
            <w:vAlign w:val="center"/>
          </w:tcPr>
          <w:p>
            <w:pPr>
              <w:spacing w:line="360" w:lineRule="auto"/>
              <w:ind w:firstLine="480"/>
              <w:jc w:val="center"/>
              <w:rPr>
                <w:rFonts w:ascii="仿宋" w:hAnsi="仿宋" w:eastAsia="仿宋"/>
                <w:b/>
                <w:bCs/>
                <w:sz w:val="18"/>
                <w:szCs w:val="18"/>
              </w:rPr>
            </w:pPr>
            <w:r>
              <w:rPr>
                <w:rFonts w:hint="eastAsia" w:ascii="仿宋" w:hAnsi="仿宋" w:eastAsia="仿宋"/>
                <w:b/>
                <w:bCs/>
                <w:sz w:val="18"/>
                <w:szCs w:val="18"/>
              </w:rPr>
              <w:t>考核内容</w:t>
            </w:r>
          </w:p>
        </w:tc>
        <w:tc>
          <w:tcPr>
            <w:tcW w:w="851" w:type="dxa"/>
            <w:vAlign w:val="center"/>
          </w:tcPr>
          <w:p>
            <w:pPr>
              <w:spacing w:line="360" w:lineRule="auto"/>
              <w:jc w:val="center"/>
              <w:rPr>
                <w:rFonts w:ascii="仿宋" w:hAnsi="仿宋" w:eastAsia="仿宋"/>
                <w:b/>
                <w:bCs/>
                <w:sz w:val="18"/>
                <w:szCs w:val="18"/>
              </w:rPr>
            </w:pPr>
            <w:r>
              <w:rPr>
                <w:rFonts w:hint="eastAsia" w:ascii="仿宋" w:hAnsi="仿宋" w:eastAsia="仿宋"/>
                <w:b/>
                <w:bCs/>
                <w:sz w:val="18"/>
                <w:szCs w:val="18"/>
              </w:rPr>
              <w:t>单项</w:t>
            </w:r>
          </w:p>
          <w:p>
            <w:pPr>
              <w:spacing w:line="360" w:lineRule="auto"/>
              <w:jc w:val="center"/>
              <w:rPr>
                <w:rFonts w:ascii="仿宋" w:hAnsi="仿宋" w:eastAsia="仿宋"/>
                <w:b/>
                <w:bCs/>
                <w:sz w:val="18"/>
                <w:szCs w:val="18"/>
              </w:rPr>
            </w:pPr>
            <w:r>
              <w:rPr>
                <w:rFonts w:hint="eastAsia" w:ascii="仿宋" w:hAnsi="仿宋" w:eastAsia="仿宋"/>
                <w:b/>
                <w:bCs/>
                <w:sz w:val="18"/>
                <w:szCs w:val="18"/>
              </w:rPr>
              <w:t>应得分</w:t>
            </w:r>
          </w:p>
        </w:tc>
        <w:tc>
          <w:tcPr>
            <w:tcW w:w="850" w:type="dxa"/>
            <w:vAlign w:val="center"/>
          </w:tcPr>
          <w:p>
            <w:pPr>
              <w:spacing w:line="360" w:lineRule="auto"/>
              <w:jc w:val="center"/>
              <w:rPr>
                <w:rFonts w:ascii="仿宋" w:hAnsi="仿宋" w:eastAsia="仿宋"/>
                <w:b/>
                <w:bCs/>
                <w:sz w:val="18"/>
                <w:szCs w:val="18"/>
              </w:rPr>
            </w:pPr>
            <w:r>
              <w:rPr>
                <w:rFonts w:hint="eastAsia" w:ascii="仿宋" w:hAnsi="仿宋" w:eastAsia="仿宋"/>
                <w:b/>
                <w:bCs/>
                <w:sz w:val="18"/>
                <w:szCs w:val="18"/>
              </w:rPr>
              <w:t>单项</w:t>
            </w:r>
          </w:p>
          <w:p>
            <w:pPr>
              <w:spacing w:line="360" w:lineRule="auto"/>
              <w:jc w:val="center"/>
              <w:rPr>
                <w:rFonts w:ascii="仿宋" w:hAnsi="仿宋" w:eastAsia="仿宋"/>
                <w:b/>
                <w:bCs/>
                <w:sz w:val="18"/>
                <w:szCs w:val="18"/>
              </w:rPr>
            </w:pPr>
            <w:r>
              <w:rPr>
                <w:rFonts w:hint="eastAsia" w:ascii="仿宋" w:hAnsi="仿宋" w:eastAsia="仿宋"/>
                <w:b/>
                <w:bCs/>
                <w:sz w:val="18"/>
                <w:szCs w:val="18"/>
              </w:rPr>
              <w:t>扣分</w:t>
            </w:r>
          </w:p>
        </w:tc>
        <w:tc>
          <w:tcPr>
            <w:tcW w:w="787" w:type="dxa"/>
            <w:vAlign w:val="center"/>
          </w:tcPr>
          <w:p>
            <w:pPr>
              <w:spacing w:line="360" w:lineRule="auto"/>
              <w:jc w:val="center"/>
              <w:rPr>
                <w:rFonts w:ascii="仿宋" w:hAnsi="仿宋" w:eastAsia="仿宋"/>
                <w:b/>
                <w:bCs/>
                <w:sz w:val="18"/>
                <w:szCs w:val="18"/>
              </w:rPr>
            </w:pPr>
            <w:r>
              <w:rPr>
                <w:rFonts w:hint="eastAsia" w:ascii="仿宋" w:hAnsi="仿宋" w:eastAsia="仿宋"/>
                <w:b/>
                <w:bCs/>
                <w:sz w:val="18"/>
                <w:szCs w:val="18"/>
              </w:rPr>
              <w:t>单项</w:t>
            </w:r>
          </w:p>
          <w:p>
            <w:pPr>
              <w:spacing w:line="360" w:lineRule="auto"/>
              <w:jc w:val="center"/>
              <w:rPr>
                <w:rFonts w:ascii="仿宋" w:hAnsi="仿宋" w:eastAsia="仿宋"/>
                <w:b/>
                <w:bCs/>
                <w:sz w:val="18"/>
                <w:szCs w:val="18"/>
              </w:rPr>
            </w:pPr>
            <w:r>
              <w:rPr>
                <w:rFonts w:hint="eastAsia" w:ascii="仿宋" w:hAnsi="仿宋" w:eastAsia="仿宋"/>
                <w:b/>
                <w:bCs/>
                <w:sz w:val="18"/>
                <w:szCs w:val="18"/>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704" w:type="dxa"/>
            <w:vAlign w:val="center"/>
          </w:tcPr>
          <w:p>
            <w:pPr>
              <w:spacing w:line="360" w:lineRule="auto"/>
              <w:jc w:val="center"/>
              <w:rPr>
                <w:rFonts w:ascii="仿宋" w:hAnsi="仿宋" w:eastAsia="仿宋"/>
                <w:b/>
                <w:sz w:val="18"/>
                <w:szCs w:val="18"/>
              </w:rPr>
            </w:pPr>
            <w:r>
              <w:rPr>
                <w:rFonts w:hint="eastAsia" w:ascii="仿宋" w:hAnsi="仿宋" w:eastAsia="仿宋"/>
                <w:b/>
                <w:sz w:val="18"/>
                <w:szCs w:val="18"/>
              </w:rPr>
              <w:t>一</w:t>
            </w:r>
          </w:p>
        </w:tc>
        <w:tc>
          <w:tcPr>
            <w:tcW w:w="5528" w:type="dxa"/>
            <w:vAlign w:val="center"/>
          </w:tcPr>
          <w:p>
            <w:pPr>
              <w:spacing w:line="360" w:lineRule="auto"/>
              <w:jc w:val="left"/>
              <w:rPr>
                <w:rFonts w:ascii="仿宋" w:hAnsi="仿宋" w:eastAsia="仿宋"/>
                <w:b/>
                <w:sz w:val="18"/>
                <w:szCs w:val="18"/>
              </w:rPr>
            </w:pPr>
            <w:r>
              <w:rPr>
                <w:rFonts w:hint="eastAsia" w:ascii="仿宋" w:hAnsi="仿宋" w:eastAsia="仿宋"/>
                <w:b/>
                <w:sz w:val="18"/>
                <w:szCs w:val="18"/>
              </w:rPr>
              <w:t>完善的管理制度、科学的保洁服务（30分）</w:t>
            </w:r>
          </w:p>
        </w:tc>
        <w:tc>
          <w:tcPr>
            <w:tcW w:w="851" w:type="dxa"/>
            <w:vAlign w:val="center"/>
          </w:tcPr>
          <w:p>
            <w:pPr>
              <w:spacing w:line="360" w:lineRule="auto"/>
              <w:ind w:firstLine="482"/>
              <w:jc w:val="center"/>
              <w:rPr>
                <w:rFonts w:ascii="仿宋" w:hAnsi="仿宋" w:eastAsia="仿宋"/>
                <w:b/>
                <w:sz w:val="18"/>
                <w:szCs w:val="18"/>
              </w:rPr>
            </w:pP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1</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员工岗位制度（不完善的扣1分；没有的不得分）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2</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2</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劳动纪律制度（不完善的扣1分；没有的不得分）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2</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3</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物业管理检查制度（不完善的扣1分；没有的不得分）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2</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4</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清洁机具设备的操作和保养制度（不完善的扣1分）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4</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5</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统一服装和工作牌（没有统一的不得分）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2</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6</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制定保洁工作的操作细则（不完善的扣2分；没有的不得分）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3</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7</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制定中央运输管理制度（不完善的扣2分；没有的不得分）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4</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8</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定人、定点、定时、定任务、定质量标准（没有不得分）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4</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9</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协助院方临时性工作安排（不服从安排的不得分）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5</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10</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做好文明劝导（不尽职不得分）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2</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04" w:type="dxa"/>
            <w:vAlign w:val="center"/>
          </w:tcPr>
          <w:p>
            <w:pPr>
              <w:spacing w:line="360" w:lineRule="auto"/>
              <w:jc w:val="center"/>
              <w:rPr>
                <w:rFonts w:ascii="仿宋" w:hAnsi="仿宋" w:eastAsia="仿宋"/>
                <w:b/>
                <w:sz w:val="18"/>
                <w:szCs w:val="18"/>
              </w:rPr>
            </w:pPr>
            <w:r>
              <w:rPr>
                <w:rFonts w:hint="eastAsia" w:ascii="仿宋" w:hAnsi="仿宋" w:eastAsia="仿宋"/>
                <w:b/>
                <w:sz w:val="18"/>
                <w:szCs w:val="18"/>
              </w:rPr>
              <w:t>二</w:t>
            </w:r>
          </w:p>
        </w:tc>
        <w:tc>
          <w:tcPr>
            <w:tcW w:w="5528" w:type="dxa"/>
            <w:vAlign w:val="center"/>
          </w:tcPr>
          <w:p>
            <w:pPr>
              <w:spacing w:line="360" w:lineRule="auto"/>
              <w:jc w:val="left"/>
              <w:rPr>
                <w:rFonts w:ascii="仿宋" w:hAnsi="仿宋" w:eastAsia="仿宋"/>
                <w:b/>
                <w:sz w:val="18"/>
                <w:szCs w:val="18"/>
              </w:rPr>
            </w:pPr>
            <w:r>
              <w:rPr>
                <w:rFonts w:hint="eastAsia" w:ascii="仿宋" w:hAnsi="仿宋" w:eastAsia="仿宋"/>
                <w:b/>
                <w:sz w:val="18"/>
                <w:szCs w:val="18"/>
              </w:rPr>
              <w:t>信誉质量（8分）</w:t>
            </w:r>
          </w:p>
        </w:tc>
        <w:tc>
          <w:tcPr>
            <w:tcW w:w="851" w:type="dxa"/>
            <w:vAlign w:val="center"/>
          </w:tcPr>
          <w:p>
            <w:pPr>
              <w:spacing w:line="360" w:lineRule="auto"/>
              <w:ind w:firstLine="482"/>
              <w:jc w:val="center"/>
              <w:rPr>
                <w:rFonts w:ascii="仿宋" w:hAnsi="仿宋" w:eastAsia="仿宋"/>
                <w:b/>
                <w:sz w:val="18"/>
                <w:szCs w:val="18"/>
              </w:rPr>
            </w:pP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1</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每月与甲方交流工作（没有做到的不得分）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4</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2</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维护甲方声誉（没有做到的不得分）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4</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b/>
                <w:sz w:val="18"/>
                <w:szCs w:val="18"/>
              </w:rPr>
            </w:pPr>
            <w:r>
              <w:rPr>
                <w:rFonts w:hint="eastAsia" w:ascii="仿宋" w:hAnsi="仿宋" w:eastAsia="仿宋"/>
                <w:b/>
                <w:sz w:val="18"/>
                <w:szCs w:val="18"/>
              </w:rPr>
              <w:t>三</w:t>
            </w:r>
          </w:p>
        </w:tc>
        <w:tc>
          <w:tcPr>
            <w:tcW w:w="5528" w:type="dxa"/>
            <w:vAlign w:val="center"/>
          </w:tcPr>
          <w:p>
            <w:pPr>
              <w:spacing w:line="360" w:lineRule="auto"/>
              <w:jc w:val="left"/>
              <w:rPr>
                <w:rFonts w:ascii="仿宋" w:hAnsi="仿宋" w:eastAsia="仿宋"/>
                <w:b/>
                <w:sz w:val="18"/>
                <w:szCs w:val="18"/>
              </w:rPr>
            </w:pPr>
            <w:r>
              <w:rPr>
                <w:rFonts w:hint="eastAsia" w:ascii="仿宋" w:hAnsi="仿宋" w:eastAsia="仿宋"/>
                <w:b/>
                <w:sz w:val="18"/>
                <w:szCs w:val="18"/>
              </w:rPr>
              <w:t>妥善的工作人员到位情况（6分）</w:t>
            </w:r>
          </w:p>
        </w:tc>
        <w:tc>
          <w:tcPr>
            <w:tcW w:w="851" w:type="dxa"/>
            <w:vAlign w:val="center"/>
          </w:tcPr>
          <w:p>
            <w:pPr>
              <w:spacing w:line="360" w:lineRule="auto"/>
              <w:ind w:firstLine="482"/>
              <w:jc w:val="center"/>
              <w:rPr>
                <w:rFonts w:ascii="仿宋" w:hAnsi="仿宋" w:eastAsia="仿宋"/>
                <w:b/>
                <w:sz w:val="18"/>
                <w:szCs w:val="18"/>
              </w:rPr>
            </w:pP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1</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岗位设置规定的人员到位情况（没有按照规定设置人员的不得分）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3</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2</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员工积极的工作态度、熟练的作业技能（表现好得3分；良好得2分；不好的不得分）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3</w:t>
            </w: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b/>
                <w:sz w:val="18"/>
                <w:szCs w:val="18"/>
              </w:rPr>
            </w:pPr>
            <w:r>
              <w:rPr>
                <w:rFonts w:hint="eastAsia" w:ascii="仿宋" w:hAnsi="仿宋" w:eastAsia="仿宋"/>
                <w:b/>
                <w:sz w:val="18"/>
                <w:szCs w:val="18"/>
              </w:rPr>
              <w:t>四</w:t>
            </w:r>
          </w:p>
        </w:tc>
        <w:tc>
          <w:tcPr>
            <w:tcW w:w="5528" w:type="dxa"/>
            <w:vAlign w:val="center"/>
          </w:tcPr>
          <w:p>
            <w:pPr>
              <w:spacing w:line="360" w:lineRule="auto"/>
              <w:jc w:val="left"/>
              <w:rPr>
                <w:rFonts w:ascii="仿宋" w:hAnsi="仿宋" w:eastAsia="仿宋"/>
                <w:b/>
                <w:sz w:val="18"/>
                <w:szCs w:val="18"/>
              </w:rPr>
            </w:pPr>
            <w:r>
              <w:rPr>
                <w:rFonts w:hint="eastAsia" w:ascii="仿宋" w:hAnsi="仿宋" w:eastAsia="仿宋"/>
                <w:b/>
                <w:sz w:val="18"/>
                <w:szCs w:val="18"/>
              </w:rPr>
              <w:t>清洁质量标准 （34分）</w:t>
            </w:r>
          </w:p>
        </w:tc>
        <w:tc>
          <w:tcPr>
            <w:tcW w:w="851" w:type="dxa"/>
            <w:vAlign w:val="center"/>
          </w:tcPr>
          <w:p>
            <w:pPr>
              <w:spacing w:line="360" w:lineRule="auto"/>
              <w:ind w:firstLine="482"/>
              <w:jc w:val="center"/>
              <w:rPr>
                <w:rFonts w:ascii="仿宋" w:hAnsi="仿宋" w:eastAsia="仿宋"/>
                <w:b/>
                <w:sz w:val="18"/>
                <w:szCs w:val="18"/>
              </w:rPr>
            </w:pPr>
          </w:p>
        </w:tc>
        <w:tc>
          <w:tcPr>
            <w:tcW w:w="850" w:type="dxa"/>
            <w:vAlign w:val="center"/>
          </w:tcPr>
          <w:p>
            <w:pPr>
              <w:spacing w:line="360" w:lineRule="auto"/>
              <w:ind w:firstLine="480"/>
              <w:jc w:val="left"/>
              <w:rPr>
                <w:rFonts w:ascii="仿宋" w:hAnsi="仿宋" w:eastAsia="仿宋"/>
                <w:sz w:val="18"/>
                <w:szCs w:val="18"/>
              </w:rPr>
            </w:pPr>
          </w:p>
        </w:tc>
        <w:tc>
          <w:tcPr>
            <w:tcW w:w="787" w:type="dxa"/>
            <w:vAlign w:val="center"/>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1</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地面、绿化带干净、无污迹、烟头、痰迹、纸屑、无果皮(发现一处扣0.1分）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5</w:t>
            </w:r>
          </w:p>
        </w:tc>
        <w:tc>
          <w:tcPr>
            <w:tcW w:w="850" w:type="dxa"/>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2</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门窗、玻璃干净、无积尘、污迹（发现一处扣0.1分）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5</w:t>
            </w:r>
          </w:p>
        </w:tc>
        <w:tc>
          <w:tcPr>
            <w:tcW w:w="850" w:type="dxa"/>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3</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洗手池、痰盂等卫生设施清洁，无污垢、无异味（发现一处扣0.1分）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5</w:t>
            </w:r>
          </w:p>
        </w:tc>
        <w:tc>
          <w:tcPr>
            <w:tcW w:w="850" w:type="dxa"/>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4</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扶手、栏杆无积尘，公共设施设备洁净，无尘、垢，告示牌、指示牌无污无尘（发现一处扣0.1分）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5</w:t>
            </w:r>
          </w:p>
        </w:tc>
        <w:tc>
          <w:tcPr>
            <w:tcW w:w="850" w:type="dxa"/>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5</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厕所便池通畅，蹲位干净，无无污物、积水（发现一处扣0.1分）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5</w:t>
            </w:r>
          </w:p>
        </w:tc>
        <w:tc>
          <w:tcPr>
            <w:tcW w:w="850" w:type="dxa"/>
            <w:vAlign w:val="center"/>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6</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设施外观保持清洁，果屑、垃圾箱定期擦洗，无过夜垃圾（发现一处扣0.1分）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5</w:t>
            </w:r>
          </w:p>
        </w:tc>
        <w:tc>
          <w:tcPr>
            <w:tcW w:w="850" w:type="dxa"/>
            <w:vAlign w:val="center"/>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7</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绿化带内无白色垃圾、纸屑、果皮等（发现一处扣0.1分）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4</w:t>
            </w:r>
          </w:p>
        </w:tc>
        <w:tc>
          <w:tcPr>
            <w:tcW w:w="850" w:type="dxa"/>
            <w:vAlign w:val="center"/>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b/>
                <w:bCs/>
                <w:sz w:val="18"/>
                <w:szCs w:val="18"/>
              </w:rPr>
            </w:pPr>
            <w:r>
              <w:rPr>
                <w:rFonts w:hint="eastAsia" w:ascii="仿宋" w:hAnsi="仿宋" w:eastAsia="仿宋"/>
                <w:b/>
                <w:bCs/>
                <w:sz w:val="18"/>
                <w:szCs w:val="18"/>
              </w:rPr>
              <w:t>五</w:t>
            </w:r>
          </w:p>
        </w:tc>
        <w:tc>
          <w:tcPr>
            <w:tcW w:w="5528" w:type="dxa"/>
            <w:vAlign w:val="center"/>
          </w:tcPr>
          <w:p>
            <w:pPr>
              <w:spacing w:line="360" w:lineRule="auto"/>
              <w:jc w:val="left"/>
              <w:rPr>
                <w:rFonts w:ascii="仿宋" w:hAnsi="仿宋" w:eastAsia="仿宋"/>
                <w:b/>
                <w:bCs/>
                <w:sz w:val="18"/>
                <w:szCs w:val="18"/>
              </w:rPr>
            </w:pPr>
            <w:r>
              <w:rPr>
                <w:rFonts w:hint="eastAsia" w:ascii="仿宋" w:hAnsi="仿宋" w:eastAsia="仿宋"/>
                <w:b/>
                <w:bCs/>
                <w:sz w:val="18"/>
                <w:szCs w:val="18"/>
              </w:rPr>
              <w:t>中央运输人员工作要求（1</w:t>
            </w:r>
            <w:r>
              <w:rPr>
                <w:rFonts w:ascii="仿宋" w:hAnsi="仿宋" w:eastAsia="仿宋"/>
                <w:b/>
                <w:bCs/>
                <w:sz w:val="18"/>
                <w:szCs w:val="18"/>
              </w:rPr>
              <w:t>3</w:t>
            </w:r>
            <w:r>
              <w:rPr>
                <w:rFonts w:hint="eastAsia" w:ascii="仿宋" w:hAnsi="仿宋" w:eastAsia="仿宋"/>
                <w:b/>
                <w:bCs/>
                <w:sz w:val="18"/>
                <w:szCs w:val="18"/>
              </w:rPr>
              <w:t>分）</w:t>
            </w:r>
          </w:p>
        </w:tc>
        <w:tc>
          <w:tcPr>
            <w:tcW w:w="851" w:type="dxa"/>
            <w:vAlign w:val="center"/>
          </w:tcPr>
          <w:p>
            <w:pPr>
              <w:spacing w:line="360" w:lineRule="auto"/>
              <w:jc w:val="center"/>
              <w:rPr>
                <w:rFonts w:ascii="仿宋" w:hAnsi="仿宋" w:eastAsia="仿宋"/>
                <w:sz w:val="18"/>
                <w:szCs w:val="18"/>
              </w:rPr>
            </w:pPr>
          </w:p>
        </w:tc>
        <w:tc>
          <w:tcPr>
            <w:tcW w:w="850" w:type="dxa"/>
            <w:vAlign w:val="center"/>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1</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中央运输工作人员在标本或药品交接必须履行签字交接手续，做到三查七对（未完善手续一次扣0</w:t>
            </w:r>
            <w:r>
              <w:rPr>
                <w:rFonts w:ascii="仿宋" w:hAnsi="仿宋" w:eastAsia="仿宋"/>
                <w:sz w:val="18"/>
                <w:szCs w:val="18"/>
              </w:rPr>
              <w:t>.1</w:t>
            </w:r>
            <w:r>
              <w:rPr>
                <w:rFonts w:hint="eastAsia" w:ascii="仿宋" w:hAnsi="仿宋" w:eastAsia="仿宋"/>
                <w:sz w:val="18"/>
                <w:szCs w:val="18"/>
              </w:rPr>
              <w:t>分）</w:t>
            </w:r>
          </w:p>
        </w:tc>
        <w:tc>
          <w:tcPr>
            <w:tcW w:w="851" w:type="dxa"/>
            <w:vAlign w:val="center"/>
          </w:tcPr>
          <w:p>
            <w:pPr>
              <w:spacing w:line="360" w:lineRule="auto"/>
              <w:jc w:val="center"/>
              <w:rPr>
                <w:rFonts w:ascii="仿宋" w:hAnsi="仿宋" w:eastAsia="仿宋"/>
                <w:sz w:val="18"/>
                <w:szCs w:val="18"/>
              </w:rPr>
            </w:pPr>
            <w:r>
              <w:rPr>
                <w:rFonts w:ascii="仿宋" w:hAnsi="仿宋" w:eastAsia="仿宋"/>
                <w:sz w:val="18"/>
                <w:szCs w:val="18"/>
              </w:rPr>
              <w:t>5</w:t>
            </w:r>
          </w:p>
        </w:tc>
        <w:tc>
          <w:tcPr>
            <w:tcW w:w="850" w:type="dxa"/>
            <w:vAlign w:val="center"/>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2</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中央运输工作人员应严格按照运送注意事项推送病人陪检工作，不得因工作疏忽导致病人二次伤害（一次扣</w:t>
            </w:r>
            <w:r>
              <w:rPr>
                <w:rFonts w:ascii="仿宋" w:hAnsi="仿宋" w:eastAsia="仿宋"/>
                <w:sz w:val="18"/>
                <w:szCs w:val="18"/>
              </w:rPr>
              <w:t>2</w:t>
            </w:r>
            <w:r>
              <w:rPr>
                <w:rFonts w:hint="eastAsia" w:ascii="仿宋" w:hAnsi="仿宋" w:eastAsia="仿宋"/>
                <w:sz w:val="18"/>
                <w:szCs w:val="18"/>
              </w:rPr>
              <w:t>分）</w:t>
            </w:r>
          </w:p>
        </w:tc>
        <w:tc>
          <w:tcPr>
            <w:tcW w:w="851" w:type="dxa"/>
            <w:vAlign w:val="center"/>
          </w:tcPr>
          <w:p>
            <w:pPr>
              <w:spacing w:line="360" w:lineRule="auto"/>
              <w:jc w:val="center"/>
              <w:rPr>
                <w:rFonts w:ascii="仿宋" w:hAnsi="仿宋" w:eastAsia="仿宋"/>
                <w:sz w:val="18"/>
                <w:szCs w:val="18"/>
              </w:rPr>
            </w:pPr>
            <w:r>
              <w:rPr>
                <w:rFonts w:ascii="仿宋" w:hAnsi="仿宋" w:eastAsia="仿宋"/>
                <w:sz w:val="18"/>
                <w:szCs w:val="18"/>
              </w:rPr>
              <w:t>4</w:t>
            </w:r>
          </w:p>
        </w:tc>
        <w:tc>
          <w:tcPr>
            <w:tcW w:w="850" w:type="dxa"/>
            <w:vAlign w:val="center"/>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3</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中央运输工作人员运送服务项目属协助医护人员完成的后勤临床服务工作，服务态度代表医院形象工作，不得说话粗鲁或者与病人及家属发生争吵等（一次扣</w:t>
            </w:r>
            <w:r>
              <w:rPr>
                <w:rFonts w:ascii="仿宋" w:hAnsi="仿宋" w:eastAsia="仿宋"/>
                <w:sz w:val="18"/>
                <w:szCs w:val="18"/>
              </w:rPr>
              <w:t>2</w:t>
            </w:r>
            <w:r>
              <w:rPr>
                <w:rFonts w:hint="eastAsia" w:ascii="仿宋" w:hAnsi="仿宋" w:eastAsia="仿宋"/>
                <w:sz w:val="18"/>
                <w:szCs w:val="18"/>
              </w:rPr>
              <w:t>分）</w:t>
            </w:r>
          </w:p>
        </w:tc>
        <w:tc>
          <w:tcPr>
            <w:tcW w:w="851" w:type="dxa"/>
            <w:vAlign w:val="center"/>
          </w:tcPr>
          <w:p>
            <w:pPr>
              <w:spacing w:line="360" w:lineRule="auto"/>
              <w:jc w:val="center"/>
              <w:rPr>
                <w:rFonts w:ascii="仿宋" w:hAnsi="仿宋" w:eastAsia="仿宋"/>
                <w:sz w:val="18"/>
                <w:szCs w:val="18"/>
              </w:rPr>
            </w:pPr>
            <w:r>
              <w:rPr>
                <w:rFonts w:ascii="仿宋" w:hAnsi="仿宋" w:eastAsia="仿宋"/>
                <w:sz w:val="18"/>
                <w:szCs w:val="18"/>
              </w:rPr>
              <w:t>4</w:t>
            </w:r>
          </w:p>
        </w:tc>
        <w:tc>
          <w:tcPr>
            <w:tcW w:w="850" w:type="dxa"/>
            <w:vAlign w:val="center"/>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b/>
                <w:sz w:val="18"/>
                <w:szCs w:val="18"/>
              </w:rPr>
            </w:pPr>
            <w:r>
              <w:rPr>
                <w:rFonts w:hint="eastAsia" w:ascii="仿宋" w:hAnsi="仿宋" w:eastAsia="仿宋"/>
                <w:b/>
                <w:sz w:val="18"/>
                <w:szCs w:val="18"/>
              </w:rPr>
              <w:t>六</w:t>
            </w:r>
          </w:p>
        </w:tc>
        <w:tc>
          <w:tcPr>
            <w:tcW w:w="5528" w:type="dxa"/>
            <w:vAlign w:val="center"/>
          </w:tcPr>
          <w:p>
            <w:pPr>
              <w:spacing w:line="360" w:lineRule="auto"/>
              <w:jc w:val="left"/>
              <w:rPr>
                <w:rFonts w:ascii="仿宋" w:hAnsi="仿宋" w:eastAsia="仿宋"/>
                <w:b/>
                <w:sz w:val="18"/>
                <w:szCs w:val="18"/>
              </w:rPr>
            </w:pPr>
            <w:r>
              <w:rPr>
                <w:rFonts w:hint="eastAsia" w:ascii="仿宋" w:hAnsi="仿宋" w:eastAsia="仿宋"/>
                <w:b/>
                <w:sz w:val="18"/>
                <w:szCs w:val="18"/>
              </w:rPr>
              <w:t>供应室工勤员（护工）工作要求（</w:t>
            </w:r>
            <w:r>
              <w:rPr>
                <w:rFonts w:ascii="仿宋" w:hAnsi="仿宋" w:eastAsia="仿宋"/>
                <w:b/>
                <w:sz w:val="18"/>
                <w:szCs w:val="18"/>
              </w:rPr>
              <w:t>9</w:t>
            </w:r>
            <w:r>
              <w:rPr>
                <w:rFonts w:hint="eastAsia" w:ascii="仿宋" w:hAnsi="仿宋" w:eastAsia="仿宋"/>
                <w:b/>
                <w:sz w:val="18"/>
                <w:szCs w:val="18"/>
              </w:rPr>
              <w:t>分）</w:t>
            </w:r>
          </w:p>
        </w:tc>
        <w:tc>
          <w:tcPr>
            <w:tcW w:w="851" w:type="dxa"/>
            <w:vAlign w:val="center"/>
          </w:tcPr>
          <w:p>
            <w:pPr>
              <w:spacing w:line="360" w:lineRule="auto"/>
              <w:ind w:firstLine="482"/>
              <w:jc w:val="center"/>
              <w:rPr>
                <w:rFonts w:ascii="仿宋" w:hAnsi="仿宋" w:eastAsia="仿宋"/>
                <w:b/>
                <w:sz w:val="18"/>
                <w:szCs w:val="18"/>
              </w:rPr>
            </w:pPr>
          </w:p>
        </w:tc>
        <w:tc>
          <w:tcPr>
            <w:tcW w:w="850" w:type="dxa"/>
            <w:vAlign w:val="center"/>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1</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供应室工勤人员操作时必须严格遵守操作规范和制度，洁污分开，专车专用（一次扣1分）</w:t>
            </w:r>
          </w:p>
        </w:tc>
        <w:tc>
          <w:tcPr>
            <w:tcW w:w="851" w:type="dxa"/>
            <w:vAlign w:val="center"/>
          </w:tcPr>
          <w:p>
            <w:pPr>
              <w:spacing w:line="360" w:lineRule="auto"/>
              <w:jc w:val="center"/>
              <w:rPr>
                <w:rFonts w:ascii="仿宋" w:hAnsi="仿宋" w:eastAsia="仿宋"/>
                <w:sz w:val="18"/>
                <w:szCs w:val="18"/>
              </w:rPr>
            </w:pPr>
            <w:r>
              <w:rPr>
                <w:rFonts w:ascii="仿宋" w:hAnsi="仿宋" w:eastAsia="仿宋"/>
                <w:sz w:val="18"/>
                <w:szCs w:val="18"/>
              </w:rPr>
              <w:t>5</w:t>
            </w:r>
          </w:p>
        </w:tc>
        <w:tc>
          <w:tcPr>
            <w:tcW w:w="850" w:type="dxa"/>
            <w:vAlign w:val="center"/>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04"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2</w:t>
            </w:r>
          </w:p>
        </w:tc>
        <w:tc>
          <w:tcPr>
            <w:tcW w:w="5528" w:type="dxa"/>
            <w:vAlign w:val="center"/>
          </w:tcPr>
          <w:p>
            <w:pPr>
              <w:spacing w:line="360" w:lineRule="auto"/>
              <w:jc w:val="left"/>
              <w:rPr>
                <w:rFonts w:ascii="仿宋" w:hAnsi="仿宋" w:eastAsia="仿宋"/>
                <w:sz w:val="18"/>
                <w:szCs w:val="18"/>
              </w:rPr>
            </w:pPr>
            <w:r>
              <w:rPr>
                <w:rFonts w:hint="eastAsia" w:ascii="仿宋" w:hAnsi="仿宋" w:eastAsia="仿宋"/>
                <w:sz w:val="18"/>
                <w:szCs w:val="18"/>
              </w:rPr>
              <w:t>供应室内清洁卫生必须按照相关消毒规程执行（一次扣0</w:t>
            </w:r>
            <w:r>
              <w:rPr>
                <w:rFonts w:ascii="仿宋" w:hAnsi="仿宋" w:eastAsia="仿宋"/>
                <w:sz w:val="18"/>
                <w:szCs w:val="18"/>
              </w:rPr>
              <w:t>.5</w:t>
            </w:r>
            <w:r>
              <w:rPr>
                <w:rFonts w:hint="eastAsia" w:ascii="仿宋" w:hAnsi="仿宋" w:eastAsia="仿宋"/>
                <w:sz w:val="18"/>
                <w:szCs w:val="18"/>
              </w:rPr>
              <w:t>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4</w:t>
            </w:r>
          </w:p>
        </w:tc>
        <w:tc>
          <w:tcPr>
            <w:tcW w:w="850" w:type="dxa"/>
            <w:vAlign w:val="center"/>
          </w:tcPr>
          <w:p>
            <w:pPr>
              <w:spacing w:line="360" w:lineRule="auto"/>
              <w:ind w:firstLine="480"/>
              <w:jc w:val="left"/>
              <w:rPr>
                <w:rFonts w:ascii="仿宋" w:hAnsi="仿宋" w:eastAsia="仿宋"/>
                <w:sz w:val="18"/>
                <w:szCs w:val="18"/>
              </w:rPr>
            </w:pPr>
          </w:p>
        </w:tc>
        <w:tc>
          <w:tcPr>
            <w:tcW w:w="787" w:type="dxa"/>
          </w:tcPr>
          <w:p>
            <w:pPr>
              <w:spacing w:line="360" w:lineRule="auto"/>
              <w:ind w:firstLine="480"/>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6232" w:type="dxa"/>
            <w:gridSpan w:val="2"/>
            <w:vAlign w:val="center"/>
          </w:tcPr>
          <w:p>
            <w:pPr>
              <w:spacing w:line="360" w:lineRule="auto"/>
              <w:ind w:firstLine="270" w:firstLineChars="150"/>
              <w:jc w:val="center"/>
              <w:rPr>
                <w:rFonts w:ascii="仿宋" w:hAnsi="仿宋" w:eastAsia="仿宋"/>
                <w:sz w:val="18"/>
                <w:szCs w:val="18"/>
              </w:rPr>
            </w:pPr>
            <w:r>
              <w:rPr>
                <w:rFonts w:hint="eastAsia" w:ascii="仿宋" w:hAnsi="仿宋" w:eastAsia="仿宋"/>
                <w:sz w:val="18"/>
                <w:szCs w:val="18"/>
              </w:rPr>
              <w:t>合计总分</w:t>
            </w:r>
          </w:p>
        </w:tc>
        <w:tc>
          <w:tcPr>
            <w:tcW w:w="851" w:type="dxa"/>
            <w:vAlign w:val="center"/>
          </w:tcPr>
          <w:p>
            <w:pPr>
              <w:spacing w:line="360" w:lineRule="auto"/>
              <w:jc w:val="center"/>
              <w:rPr>
                <w:rFonts w:ascii="仿宋" w:hAnsi="仿宋" w:eastAsia="仿宋"/>
                <w:sz w:val="18"/>
                <w:szCs w:val="18"/>
              </w:rPr>
            </w:pPr>
            <w:r>
              <w:rPr>
                <w:rFonts w:hint="eastAsia" w:ascii="仿宋" w:hAnsi="仿宋" w:eastAsia="仿宋"/>
                <w:sz w:val="18"/>
                <w:szCs w:val="18"/>
              </w:rPr>
              <w:t>100</w:t>
            </w:r>
          </w:p>
        </w:tc>
        <w:tc>
          <w:tcPr>
            <w:tcW w:w="850" w:type="dxa"/>
            <w:vAlign w:val="center"/>
          </w:tcPr>
          <w:p>
            <w:pPr>
              <w:spacing w:line="360" w:lineRule="auto"/>
              <w:ind w:firstLine="482"/>
              <w:jc w:val="left"/>
              <w:rPr>
                <w:rFonts w:ascii="仿宋" w:hAnsi="仿宋" w:eastAsia="仿宋"/>
                <w:b/>
                <w:sz w:val="18"/>
                <w:szCs w:val="18"/>
              </w:rPr>
            </w:pPr>
          </w:p>
        </w:tc>
        <w:tc>
          <w:tcPr>
            <w:tcW w:w="787" w:type="dxa"/>
          </w:tcPr>
          <w:p>
            <w:pPr>
              <w:spacing w:line="360" w:lineRule="auto"/>
              <w:ind w:firstLine="480"/>
              <w:jc w:val="left"/>
              <w:rPr>
                <w:rFonts w:ascii="仿宋" w:hAnsi="仿宋" w:eastAsia="仿宋"/>
                <w:sz w:val="18"/>
                <w:szCs w:val="18"/>
              </w:rPr>
            </w:pPr>
          </w:p>
        </w:tc>
      </w:tr>
    </w:tbl>
    <w:p>
      <w:pPr>
        <w:widowControl/>
        <w:adjustRightInd w:val="0"/>
        <w:snapToGrid w:val="0"/>
        <w:spacing w:line="360" w:lineRule="auto"/>
        <w:ind w:right="-84" w:rightChars="-40"/>
        <w:jc w:val="left"/>
        <w:rPr>
          <w:rFonts w:ascii="宋体" w:hAnsi="宋体"/>
          <w:b/>
          <w:sz w:val="24"/>
        </w:rPr>
      </w:pPr>
      <w:r>
        <w:rPr>
          <w:rFonts w:hint="eastAsia" w:ascii="宋体" w:hAnsi="宋体"/>
          <w:b/>
          <w:bCs/>
          <w:sz w:val="24"/>
        </w:rPr>
        <w:t>考核结果使用</w:t>
      </w:r>
    </w:p>
    <w:p>
      <w:r>
        <w:rPr>
          <w:rFonts w:hint="eastAsia" w:ascii="宋体" w:hAnsi="宋体"/>
          <w:sz w:val="24"/>
        </w:rPr>
        <w:t>总分为100分，80分为合格，80分以下为不合格。每月考核成绩在80分以上（含80分），视为合格（备注：每次检查不合格给予一次整改机会，复查仍未达标的按评分标准扣分），全额支付物业服务费用；每月低于80分以下，每减少一分扣物业服务费用1000元（即减少0.1分扣物业服务费用100元），若考核成绩一年内连续三个月得分在80分以下，采购人有权终止《物业服务合同》。</w:t>
      </w:r>
    </w:p>
    <w:p>
      <w:pPr>
        <w:rPr>
          <w:rFonts w:ascii="宋体" w:hAnsi="宋体" w:eastAsia="宋体" w:cs="Tahoma"/>
          <w:b/>
          <w:sz w:val="30"/>
          <w:szCs w:val="30"/>
        </w:rPr>
      </w:pPr>
      <w:r>
        <w:rPr>
          <w:rFonts w:hint="eastAsia" w:ascii="宋体" w:hAnsi="宋体" w:eastAsia="宋体" w:cs="Tahoma"/>
          <w:b/>
          <w:sz w:val="30"/>
          <w:szCs w:val="30"/>
        </w:rPr>
        <w:t>附件</w:t>
      </w: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PingFang SC">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2DB583"/>
    <w:multiLevelType w:val="singleLevel"/>
    <w:tmpl w:val="982DB583"/>
    <w:lvl w:ilvl="0" w:tentative="0">
      <w:start w:val="2"/>
      <w:numFmt w:val="decimal"/>
      <w:suff w:val="nothing"/>
      <w:lvlText w:val="%1、"/>
      <w:lvlJc w:val="left"/>
    </w:lvl>
  </w:abstractNum>
  <w:abstractNum w:abstractNumId="1">
    <w:nsid w:val="CE125865"/>
    <w:multiLevelType w:val="singleLevel"/>
    <w:tmpl w:val="CE125865"/>
    <w:lvl w:ilvl="0" w:tentative="0">
      <w:start w:val="1"/>
      <w:numFmt w:val="decimal"/>
      <w:suff w:val="nothing"/>
      <w:lvlText w:val="（%1）"/>
      <w:lvlJc w:val="left"/>
    </w:lvl>
  </w:abstractNum>
  <w:abstractNum w:abstractNumId="2">
    <w:nsid w:val="ED01F53A"/>
    <w:multiLevelType w:val="singleLevel"/>
    <w:tmpl w:val="ED01F53A"/>
    <w:lvl w:ilvl="0" w:tentative="0">
      <w:start w:val="1"/>
      <w:numFmt w:val="decimal"/>
      <w:suff w:val="nothing"/>
      <w:lvlText w:val="（%1）"/>
      <w:lvlJc w:val="left"/>
    </w:lvl>
  </w:abstractNum>
  <w:abstractNum w:abstractNumId="3">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4">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6">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9">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2">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5">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7">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8">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9">
    <w:nsid w:val="0D6B6379"/>
    <w:multiLevelType w:val="multilevel"/>
    <w:tmpl w:val="0D6B6379"/>
    <w:lvl w:ilvl="0" w:tentative="0">
      <w:start w:val="1"/>
      <w:numFmt w:val="chineseCountingThousand"/>
      <w:lvlText w:val="%1、"/>
      <w:lvlJc w:val="left"/>
      <w:pPr>
        <w:ind w:left="987" w:hanging="420"/>
      </w:pPr>
      <w:rPr>
        <w:rFonts w:hint="eastAsia" w:ascii="宋体" w:hAnsi="宋体" w:eastAsia="宋体" w:cstheme="minorEastAsia"/>
        <w:b/>
        <w:bCs/>
        <w:sz w:val="28"/>
        <w:szCs w:val="28"/>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0">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1">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93"/>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6">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8">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9">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1">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743C5A2"/>
    <w:multiLevelType w:val="singleLevel"/>
    <w:tmpl w:val="5743C5A2"/>
    <w:lvl w:ilvl="0" w:tentative="0">
      <w:start w:val="1"/>
      <w:numFmt w:val="chineseCounting"/>
      <w:suff w:val="space"/>
      <w:lvlText w:val="第%1条"/>
      <w:lvlJc w:val="left"/>
      <w:pPr>
        <w:ind w:left="0" w:firstLine="0"/>
      </w:pPr>
    </w:lvl>
  </w:abstractNum>
  <w:abstractNum w:abstractNumId="3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646260FA"/>
    <w:multiLevelType w:val="multilevel"/>
    <w:tmpl w:val="646260FA"/>
    <w:lvl w:ilvl="0" w:tentative="0">
      <w:start w:val="1"/>
      <w:numFmt w:val="decimal"/>
      <w:pStyle w:val="95"/>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0">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1">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3">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5">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6">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1"/>
  </w:num>
  <w:num w:numId="2">
    <w:abstractNumId w:val="22"/>
  </w:num>
  <w:num w:numId="3">
    <w:abstractNumId w:val="39"/>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83D45"/>
    <w:rsid w:val="006F7A32"/>
    <w:rsid w:val="009904B6"/>
    <w:rsid w:val="01201D30"/>
    <w:rsid w:val="019908FC"/>
    <w:rsid w:val="019922FE"/>
    <w:rsid w:val="01E71957"/>
    <w:rsid w:val="025F10B4"/>
    <w:rsid w:val="029B51A7"/>
    <w:rsid w:val="03B525A0"/>
    <w:rsid w:val="03C35576"/>
    <w:rsid w:val="03DD7DD2"/>
    <w:rsid w:val="03F016CF"/>
    <w:rsid w:val="04290775"/>
    <w:rsid w:val="05134858"/>
    <w:rsid w:val="052556ED"/>
    <w:rsid w:val="05436BBF"/>
    <w:rsid w:val="05C42B06"/>
    <w:rsid w:val="05CE62CF"/>
    <w:rsid w:val="06133F0F"/>
    <w:rsid w:val="06B90B6A"/>
    <w:rsid w:val="06BC52F1"/>
    <w:rsid w:val="06E26C4E"/>
    <w:rsid w:val="07647128"/>
    <w:rsid w:val="076B696D"/>
    <w:rsid w:val="0795533A"/>
    <w:rsid w:val="08AB6053"/>
    <w:rsid w:val="08AC7DFB"/>
    <w:rsid w:val="08EC0490"/>
    <w:rsid w:val="093C2BEE"/>
    <w:rsid w:val="094C5078"/>
    <w:rsid w:val="09AE2CD7"/>
    <w:rsid w:val="0A5B4549"/>
    <w:rsid w:val="0A6B6CB3"/>
    <w:rsid w:val="0B341445"/>
    <w:rsid w:val="0B4F076E"/>
    <w:rsid w:val="0B573578"/>
    <w:rsid w:val="0B9F10D1"/>
    <w:rsid w:val="0C1D10E3"/>
    <w:rsid w:val="0C990845"/>
    <w:rsid w:val="0D132F22"/>
    <w:rsid w:val="0D831DBC"/>
    <w:rsid w:val="0D9F7680"/>
    <w:rsid w:val="0DC46DE1"/>
    <w:rsid w:val="0EE16F5F"/>
    <w:rsid w:val="0F737071"/>
    <w:rsid w:val="0FEC0FA5"/>
    <w:rsid w:val="10A736C8"/>
    <w:rsid w:val="10B80E31"/>
    <w:rsid w:val="10D24ABA"/>
    <w:rsid w:val="1148181C"/>
    <w:rsid w:val="1254371D"/>
    <w:rsid w:val="129D4AEE"/>
    <w:rsid w:val="12A85590"/>
    <w:rsid w:val="12A91AF4"/>
    <w:rsid w:val="12CA4727"/>
    <w:rsid w:val="134A0EFD"/>
    <w:rsid w:val="137A106F"/>
    <w:rsid w:val="139D13A5"/>
    <w:rsid w:val="13C8680A"/>
    <w:rsid w:val="13E67CB4"/>
    <w:rsid w:val="140D5AA3"/>
    <w:rsid w:val="14115C4A"/>
    <w:rsid w:val="14166DFE"/>
    <w:rsid w:val="14CB44CC"/>
    <w:rsid w:val="151E4E55"/>
    <w:rsid w:val="151F7185"/>
    <w:rsid w:val="15307A52"/>
    <w:rsid w:val="156E5A03"/>
    <w:rsid w:val="15AE02C8"/>
    <w:rsid w:val="176D5316"/>
    <w:rsid w:val="17F068CD"/>
    <w:rsid w:val="181C7CD3"/>
    <w:rsid w:val="185271BE"/>
    <w:rsid w:val="189C4A00"/>
    <w:rsid w:val="1923069C"/>
    <w:rsid w:val="194277C5"/>
    <w:rsid w:val="194E3517"/>
    <w:rsid w:val="19665D4E"/>
    <w:rsid w:val="19912E67"/>
    <w:rsid w:val="19BF788E"/>
    <w:rsid w:val="19D27FA5"/>
    <w:rsid w:val="19F103D1"/>
    <w:rsid w:val="1A6F49F9"/>
    <w:rsid w:val="1AE8560C"/>
    <w:rsid w:val="1B621741"/>
    <w:rsid w:val="1B663109"/>
    <w:rsid w:val="1B840666"/>
    <w:rsid w:val="1BA9783F"/>
    <w:rsid w:val="1DBE0AAD"/>
    <w:rsid w:val="1DCC7D4F"/>
    <w:rsid w:val="1DD926C2"/>
    <w:rsid w:val="1E161E4E"/>
    <w:rsid w:val="1E3408D4"/>
    <w:rsid w:val="1E3E5231"/>
    <w:rsid w:val="1F256AB6"/>
    <w:rsid w:val="1F3E485B"/>
    <w:rsid w:val="1F4C5CC5"/>
    <w:rsid w:val="1F4D374B"/>
    <w:rsid w:val="1FBA3593"/>
    <w:rsid w:val="210C6191"/>
    <w:rsid w:val="211248A7"/>
    <w:rsid w:val="217B1EBF"/>
    <w:rsid w:val="21C3636A"/>
    <w:rsid w:val="220313BE"/>
    <w:rsid w:val="224003C9"/>
    <w:rsid w:val="224019D1"/>
    <w:rsid w:val="22E42522"/>
    <w:rsid w:val="233A5802"/>
    <w:rsid w:val="233D216E"/>
    <w:rsid w:val="238F0935"/>
    <w:rsid w:val="23C92180"/>
    <w:rsid w:val="23D94A3F"/>
    <w:rsid w:val="23DE51ED"/>
    <w:rsid w:val="23DE607E"/>
    <w:rsid w:val="23F61AA1"/>
    <w:rsid w:val="242B2691"/>
    <w:rsid w:val="243B27CA"/>
    <w:rsid w:val="24461951"/>
    <w:rsid w:val="246A6DF1"/>
    <w:rsid w:val="24CD1B6F"/>
    <w:rsid w:val="256D7908"/>
    <w:rsid w:val="256F02EF"/>
    <w:rsid w:val="256F3D87"/>
    <w:rsid w:val="2594545B"/>
    <w:rsid w:val="25C20203"/>
    <w:rsid w:val="25ED5569"/>
    <w:rsid w:val="26260386"/>
    <w:rsid w:val="26476E62"/>
    <w:rsid w:val="265C1FC6"/>
    <w:rsid w:val="26870466"/>
    <w:rsid w:val="26A65E8D"/>
    <w:rsid w:val="26E94E7B"/>
    <w:rsid w:val="26ED7B90"/>
    <w:rsid w:val="273E698B"/>
    <w:rsid w:val="27426E9B"/>
    <w:rsid w:val="2745745E"/>
    <w:rsid w:val="27477601"/>
    <w:rsid w:val="275415C2"/>
    <w:rsid w:val="275520E4"/>
    <w:rsid w:val="27DC4E9F"/>
    <w:rsid w:val="27ED7013"/>
    <w:rsid w:val="27F85338"/>
    <w:rsid w:val="28BA4589"/>
    <w:rsid w:val="28C51FFA"/>
    <w:rsid w:val="28E16679"/>
    <w:rsid w:val="28F82243"/>
    <w:rsid w:val="292E0BDF"/>
    <w:rsid w:val="2A0D05FB"/>
    <w:rsid w:val="2A747BDD"/>
    <w:rsid w:val="2A776991"/>
    <w:rsid w:val="2A7C42A7"/>
    <w:rsid w:val="2A7E037A"/>
    <w:rsid w:val="2AA726D1"/>
    <w:rsid w:val="2ACB1C5D"/>
    <w:rsid w:val="2B637B77"/>
    <w:rsid w:val="2B66355D"/>
    <w:rsid w:val="2B6F1891"/>
    <w:rsid w:val="2BCB285F"/>
    <w:rsid w:val="2C103A8F"/>
    <w:rsid w:val="2C954195"/>
    <w:rsid w:val="2CC50878"/>
    <w:rsid w:val="2D605137"/>
    <w:rsid w:val="2DBB7EEB"/>
    <w:rsid w:val="2E6B5BA8"/>
    <w:rsid w:val="2EDD7DB1"/>
    <w:rsid w:val="2F390666"/>
    <w:rsid w:val="2F5862A7"/>
    <w:rsid w:val="2FC73F0E"/>
    <w:rsid w:val="30092B55"/>
    <w:rsid w:val="301D1AB0"/>
    <w:rsid w:val="303644A7"/>
    <w:rsid w:val="303E3D32"/>
    <w:rsid w:val="304A094E"/>
    <w:rsid w:val="30857D9E"/>
    <w:rsid w:val="30A428E8"/>
    <w:rsid w:val="310C49AB"/>
    <w:rsid w:val="319736F2"/>
    <w:rsid w:val="31A4298C"/>
    <w:rsid w:val="31B6763E"/>
    <w:rsid w:val="31BB2E0B"/>
    <w:rsid w:val="31D46F33"/>
    <w:rsid w:val="32064A9F"/>
    <w:rsid w:val="32093C25"/>
    <w:rsid w:val="325E2104"/>
    <w:rsid w:val="32A20DFD"/>
    <w:rsid w:val="336A7170"/>
    <w:rsid w:val="33B354C6"/>
    <w:rsid w:val="33CA479E"/>
    <w:rsid w:val="3414611A"/>
    <w:rsid w:val="341F36EF"/>
    <w:rsid w:val="343529BC"/>
    <w:rsid w:val="3490267F"/>
    <w:rsid w:val="351C6E0F"/>
    <w:rsid w:val="356F6271"/>
    <w:rsid w:val="35856724"/>
    <w:rsid w:val="35EA1CA5"/>
    <w:rsid w:val="37553620"/>
    <w:rsid w:val="376E10FD"/>
    <w:rsid w:val="37EF2EFD"/>
    <w:rsid w:val="380B0473"/>
    <w:rsid w:val="38126E29"/>
    <w:rsid w:val="383A7868"/>
    <w:rsid w:val="3850315D"/>
    <w:rsid w:val="386729D3"/>
    <w:rsid w:val="38A25685"/>
    <w:rsid w:val="38CC1EE8"/>
    <w:rsid w:val="39972A2E"/>
    <w:rsid w:val="3A5211CE"/>
    <w:rsid w:val="3A744C20"/>
    <w:rsid w:val="3A816258"/>
    <w:rsid w:val="3A950D58"/>
    <w:rsid w:val="3AE877BB"/>
    <w:rsid w:val="3B0375D5"/>
    <w:rsid w:val="3B4A2122"/>
    <w:rsid w:val="3B982E07"/>
    <w:rsid w:val="3BA75D7D"/>
    <w:rsid w:val="3BAF0DEE"/>
    <w:rsid w:val="3C193D55"/>
    <w:rsid w:val="3CFC09C8"/>
    <w:rsid w:val="3D2B48E6"/>
    <w:rsid w:val="3D6154DB"/>
    <w:rsid w:val="3E401E19"/>
    <w:rsid w:val="3EE12D3E"/>
    <w:rsid w:val="3F06767F"/>
    <w:rsid w:val="3FB952F7"/>
    <w:rsid w:val="3FE458DE"/>
    <w:rsid w:val="400A64D8"/>
    <w:rsid w:val="404213BA"/>
    <w:rsid w:val="4069344E"/>
    <w:rsid w:val="40801E8F"/>
    <w:rsid w:val="40845106"/>
    <w:rsid w:val="40CD0EAC"/>
    <w:rsid w:val="40D111CB"/>
    <w:rsid w:val="415F46FC"/>
    <w:rsid w:val="41996633"/>
    <w:rsid w:val="41AF5B4E"/>
    <w:rsid w:val="41D8035A"/>
    <w:rsid w:val="42B44D29"/>
    <w:rsid w:val="42C40C34"/>
    <w:rsid w:val="433C4AC6"/>
    <w:rsid w:val="439B26E7"/>
    <w:rsid w:val="43A023A2"/>
    <w:rsid w:val="43AD294A"/>
    <w:rsid w:val="43B90ADE"/>
    <w:rsid w:val="440037C6"/>
    <w:rsid w:val="44104314"/>
    <w:rsid w:val="44DB1FE4"/>
    <w:rsid w:val="44DC72AC"/>
    <w:rsid w:val="453A0C7D"/>
    <w:rsid w:val="45672FEC"/>
    <w:rsid w:val="45DD3171"/>
    <w:rsid w:val="45E06734"/>
    <w:rsid w:val="45EC6514"/>
    <w:rsid w:val="45F62E2E"/>
    <w:rsid w:val="460562F5"/>
    <w:rsid w:val="473E665C"/>
    <w:rsid w:val="474F5CD5"/>
    <w:rsid w:val="47FB2F4F"/>
    <w:rsid w:val="48891CA7"/>
    <w:rsid w:val="48B26C4E"/>
    <w:rsid w:val="48EB2DB9"/>
    <w:rsid w:val="493B648D"/>
    <w:rsid w:val="495048BA"/>
    <w:rsid w:val="49970512"/>
    <w:rsid w:val="499D6FB4"/>
    <w:rsid w:val="4A0D00F2"/>
    <w:rsid w:val="4A587E18"/>
    <w:rsid w:val="4AA91983"/>
    <w:rsid w:val="4ACB10EB"/>
    <w:rsid w:val="4B1F5709"/>
    <w:rsid w:val="4B4108B4"/>
    <w:rsid w:val="4B6A5F9E"/>
    <w:rsid w:val="4BAF355A"/>
    <w:rsid w:val="4BB57442"/>
    <w:rsid w:val="4C1E335A"/>
    <w:rsid w:val="4C7E5546"/>
    <w:rsid w:val="4D1B7493"/>
    <w:rsid w:val="4D497122"/>
    <w:rsid w:val="4D6B3A81"/>
    <w:rsid w:val="4DC429F6"/>
    <w:rsid w:val="4DEB2D46"/>
    <w:rsid w:val="4E570E81"/>
    <w:rsid w:val="4E780CDD"/>
    <w:rsid w:val="4E7D2348"/>
    <w:rsid w:val="4EC71876"/>
    <w:rsid w:val="4EC71A0A"/>
    <w:rsid w:val="4EE364A3"/>
    <w:rsid w:val="4F2C4521"/>
    <w:rsid w:val="4F7B5151"/>
    <w:rsid w:val="4FB80F90"/>
    <w:rsid w:val="4FDB5871"/>
    <w:rsid w:val="4FE90CB5"/>
    <w:rsid w:val="4FEE458B"/>
    <w:rsid w:val="50077466"/>
    <w:rsid w:val="50142192"/>
    <w:rsid w:val="501D508A"/>
    <w:rsid w:val="50582322"/>
    <w:rsid w:val="50B750EB"/>
    <w:rsid w:val="516C5B5B"/>
    <w:rsid w:val="51953E51"/>
    <w:rsid w:val="51DE7771"/>
    <w:rsid w:val="52AD0FD4"/>
    <w:rsid w:val="52F27F69"/>
    <w:rsid w:val="533D67A7"/>
    <w:rsid w:val="536569E2"/>
    <w:rsid w:val="53986646"/>
    <w:rsid w:val="539D2E02"/>
    <w:rsid w:val="53CE7141"/>
    <w:rsid w:val="54337CD0"/>
    <w:rsid w:val="54973394"/>
    <w:rsid w:val="549B6E2C"/>
    <w:rsid w:val="54C76213"/>
    <w:rsid w:val="54DD31B0"/>
    <w:rsid w:val="54E57410"/>
    <w:rsid w:val="551C17DD"/>
    <w:rsid w:val="552D7A22"/>
    <w:rsid w:val="552E60F4"/>
    <w:rsid w:val="55326BC5"/>
    <w:rsid w:val="56425196"/>
    <w:rsid w:val="56F468B3"/>
    <w:rsid w:val="575072DC"/>
    <w:rsid w:val="57B27068"/>
    <w:rsid w:val="57B9619B"/>
    <w:rsid w:val="57D65F02"/>
    <w:rsid w:val="582015A4"/>
    <w:rsid w:val="58750E20"/>
    <w:rsid w:val="58904D71"/>
    <w:rsid w:val="58DC148F"/>
    <w:rsid w:val="58FF3FBB"/>
    <w:rsid w:val="590326AA"/>
    <w:rsid w:val="59427D30"/>
    <w:rsid w:val="595118F9"/>
    <w:rsid w:val="59882E61"/>
    <w:rsid w:val="598B1BC0"/>
    <w:rsid w:val="59B82688"/>
    <w:rsid w:val="59D219AD"/>
    <w:rsid w:val="59D26CD7"/>
    <w:rsid w:val="5A7E66C3"/>
    <w:rsid w:val="5AE66F31"/>
    <w:rsid w:val="5AF848DA"/>
    <w:rsid w:val="5B92544F"/>
    <w:rsid w:val="5BC345DC"/>
    <w:rsid w:val="5BF30FC0"/>
    <w:rsid w:val="5C0D44D6"/>
    <w:rsid w:val="5C9B5A78"/>
    <w:rsid w:val="5CA261F3"/>
    <w:rsid w:val="5CEC0184"/>
    <w:rsid w:val="5CF95F8F"/>
    <w:rsid w:val="5D063523"/>
    <w:rsid w:val="5D4B0F09"/>
    <w:rsid w:val="5D632B58"/>
    <w:rsid w:val="5D6A1BFC"/>
    <w:rsid w:val="5D772567"/>
    <w:rsid w:val="5D821336"/>
    <w:rsid w:val="5DB65FBC"/>
    <w:rsid w:val="5E2C6091"/>
    <w:rsid w:val="5E3E1871"/>
    <w:rsid w:val="5E8D1806"/>
    <w:rsid w:val="5EB0424F"/>
    <w:rsid w:val="5ED03530"/>
    <w:rsid w:val="5EE90AFB"/>
    <w:rsid w:val="5EEC094C"/>
    <w:rsid w:val="5EF65E2B"/>
    <w:rsid w:val="5EFB5E04"/>
    <w:rsid w:val="5F15455D"/>
    <w:rsid w:val="5FDB6851"/>
    <w:rsid w:val="601E2FE8"/>
    <w:rsid w:val="603320B6"/>
    <w:rsid w:val="604638DA"/>
    <w:rsid w:val="60E21FBC"/>
    <w:rsid w:val="6104312B"/>
    <w:rsid w:val="617D2B6C"/>
    <w:rsid w:val="61D802B2"/>
    <w:rsid w:val="61EE2E97"/>
    <w:rsid w:val="6202633D"/>
    <w:rsid w:val="622B3DBA"/>
    <w:rsid w:val="62D116C3"/>
    <w:rsid w:val="63677390"/>
    <w:rsid w:val="63872427"/>
    <w:rsid w:val="63EB2369"/>
    <w:rsid w:val="64234341"/>
    <w:rsid w:val="64A80600"/>
    <w:rsid w:val="654B0F78"/>
    <w:rsid w:val="654E58ED"/>
    <w:rsid w:val="659D7D48"/>
    <w:rsid w:val="65BC625A"/>
    <w:rsid w:val="65F15C90"/>
    <w:rsid w:val="665E0A93"/>
    <w:rsid w:val="667506DA"/>
    <w:rsid w:val="66EE0966"/>
    <w:rsid w:val="6712040B"/>
    <w:rsid w:val="67301A95"/>
    <w:rsid w:val="67A0545E"/>
    <w:rsid w:val="67A07797"/>
    <w:rsid w:val="67A32CAD"/>
    <w:rsid w:val="684A0234"/>
    <w:rsid w:val="68591BB8"/>
    <w:rsid w:val="68724683"/>
    <w:rsid w:val="697D1351"/>
    <w:rsid w:val="69E77DAD"/>
    <w:rsid w:val="69F863C4"/>
    <w:rsid w:val="6A1C6787"/>
    <w:rsid w:val="6A2223F3"/>
    <w:rsid w:val="6A264160"/>
    <w:rsid w:val="6A7C6497"/>
    <w:rsid w:val="6B1A2B5E"/>
    <w:rsid w:val="6BD33FC7"/>
    <w:rsid w:val="6C731E53"/>
    <w:rsid w:val="6C7F1E85"/>
    <w:rsid w:val="6CB026A2"/>
    <w:rsid w:val="6CB80FCF"/>
    <w:rsid w:val="6CD47B0C"/>
    <w:rsid w:val="6CFC3C00"/>
    <w:rsid w:val="6CFC780B"/>
    <w:rsid w:val="6D4B460C"/>
    <w:rsid w:val="6D721D1D"/>
    <w:rsid w:val="6D9E0F7C"/>
    <w:rsid w:val="6E2F5FA1"/>
    <w:rsid w:val="6E655792"/>
    <w:rsid w:val="6EA3791E"/>
    <w:rsid w:val="6EA80B7C"/>
    <w:rsid w:val="6EFC2F33"/>
    <w:rsid w:val="6F3C0602"/>
    <w:rsid w:val="6FF74E60"/>
    <w:rsid w:val="70586027"/>
    <w:rsid w:val="70D172DB"/>
    <w:rsid w:val="71315B5B"/>
    <w:rsid w:val="71687F48"/>
    <w:rsid w:val="71A72738"/>
    <w:rsid w:val="71AF05D8"/>
    <w:rsid w:val="71D930D1"/>
    <w:rsid w:val="71FE68ED"/>
    <w:rsid w:val="726C1357"/>
    <w:rsid w:val="72AB0831"/>
    <w:rsid w:val="72D25E60"/>
    <w:rsid w:val="72DA26C2"/>
    <w:rsid w:val="73990943"/>
    <w:rsid w:val="73A8645F"/>
    <w:rsid w:val="73EA3086"/>
    <w:rsid w:val="741603C7"/>
    <w:rsid w:val="741E1886"/>
    <w:rsid w:val="74230F7C"/>
    <w:rsid w:val="74725D8A"/>
    <w:rsid w:val="747A6C03"/>
    <w:rsid w:val="7488751E"/>
    <w:rsid w:val="75225EBA"/>
    <w:rsid w:val="75364A2B"/>
    <w:rsid w:val="75E440D7"/>
    <w:rsid w:val="760F4985"/>
    <w:rsid w:val="76274E08"/>
    <w:rsid w:val="764C16DA"/>
    <w:rsid w:val="7665589F"/>
    <w:rsid w:val="76D83BAF"/>
    <w:rsid w:val="774F7006"/>
    <w:rsid w:val="78816175"/>
    <w:rsid w:val="788B6CAD"/>
    <w:rsid w:val="78B71359"/>
    <w:rsid w:val="78B82A14"/>
    <w:rsid w:val="78CF5B2A"/>
    <w:rsid w:val="791969D7"/>
    <w:rsid w:val="793A4A2A"/>
    <w:rsid w:val="7940087C"/>
    <w:rsid w:val="79543139"/>
    <w:rsid w:val="797A2301"/>
    <w:rsid w:val="79D730D6"/>
    <w:rsid w:val="79DA3284"/>
    <w:rsid w:val="79F06332"/>
    <w:rsid w:val="7A0F057B"/>
    <w:rsid w:val="7A1555E4"/>
    <w:rsid w:val="7A237B91"/>
    <w:rsid w:val="7A3C678F"/>
    <w:rsid w:val="7A9A7FE5"/>
    <w:rsid w:val="7B1303C8"/>
    <w:rsid w:val="7BA56B95"/>
    <w:rsid w:val="7BA85534"/>
    <w:rsid w:val="7BAA11E2"/>
    <w:rsid w:val="7BC336CB"/>
    <w:rsid w:val="7BFC1727"/>
    <w:rsid w:val="7C32267F"/>
    <w:rsid w:val="7C3C5E46"/>
    <w:rsid w:val="7C732A72"/>
    <w:rsid w:val="7CE04151"/>
    <w:rsid w:val="7D3C186E"/>
    <w:rsid w:val="7D4A6CBD"/>
    <w:rsid w:val="7D4F44D5"/>
    <w:rsid w:val="7D9A0BC7"/>
    <w:rsid w:val="7DF723B6"/>
    <w:rsid w:val="7E0D2C7B"/>
    <w:rsid w:val="7E321FB0"/>
    <w:rsid w:val="7F8F3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iPriority="99" w:semiHidden="0" w:name="annotation text"/>
    <w:lsdException w:qFormat="1" w:uiPriority="99"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9"/>
    <w:pPr>
      <w:keepNext/>
      <w:keepLines/>
      <w:widowControl w:val="0"/>
      <w:numPr>
        <w:ilvl w:val="1"/>
        <w:numId w:val="1"/>
      </w:numPr>
      <w:tabs>
        <w:tab w:val="left" w:pos="426"/>
        <w:tab w:val="left" w:pos="567"/>
      </w:tabs>
      <w:spacing w:after="200" w:line="360" w:lineRule="auto"/>
      <w:jc w:val="both"/>
      <w:outlineLvl w:val="1"/>
    </w:pPr>
    <w:rPr>
      <w:rFonts w:ascii="宋体" w:hAnsi="宋体" w:eastAsia="宋体" w:cs="Times New Roman"/>
      <w:b/>
      <w:bCs/>
      <w:iCs/>
      <w:sz w:val="28"/>
      <w:szCs w:val="28"/>
      <w:lang w:val="en-US" w:eastAsia="zh-CN" w:bidi="ar-SA"/>
    </w:rPr>
  </w:style>
  <w:style w:type="paragraph" w:styleId="4">
    <w:name w:val="heading 3"/>
    <w:basedOn w:val="1"/>
    <w:next w:val="1"/>
    <w:qFormat/>
    <w:uiPriority w:val="0"/>
    <w:pPr>
      <w:keepNext/>
      <w:keepLines/>
      <w:spacing w:before="80" w:after="80" w:line="360" w:lineRule="auto"/>
      <w:outlineLvl w:val="2"/>
    </w:pPr>
    <w:rPr>
      <w:b/>
      <w:bCs/>
      <w:sz w:val="24"/>
      <w:szCs w:val="32"/>
    </w:rPr>
  </w:style>
  <w:style w:type="character" w:default="1" w:styleId="17">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5">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6">
    <w:name w:val="annotation text"/>
    <w:basedOn w:val="1"/>
    <w:unhideWhenUsed/>
    <w:qFormat/>
    <w:uiPriority w:val="99"/>
    <w:pPr>
      <w:jc w:val="left"/>
    </w:pPr>
  </w:style>
  <w:style w:type="paragraph" w:styleId="7">
    <w:name w:val="Body Text Indent"/>
    <w:basedOn w:val="1"/>
    <w:qFormat/>
    <w:uiPriority w:val="0"/>
    <w:pPr>
      <w:ind w:firstLine="630"/>
    </w:pPr>
    <w:rPr>
      <w:sz w:val="32"/>
      <w:szCs w:val="20"/>
    </w:rPr>
  </w:style>
  <w:style w:type="paragraph" w:styleId="8">
    <w:name w:val="Plain Text"/>
    <w:basedOn w:val="1"/>
    <w:next w:val="5"/>
    <w:qFormat/>
    <w:uiPriority w:val="0"/>
    <w:pPr>
      <w:widowControl w:val="0"/>
      <w:jc w:val="both"/>
    </w:pPr>
    <w:rPr>
      <w:rFonts w:ascii="宋体" w:hAnsi="Courier New" w:eastAsia="宋体" w:cs="Times New Roman"/>
      <w:kern w:val="0"/>
      <w:sz w:val="20"/>
      <w:szCs w:val="18"/>
      <w:lang w:val="en-US" w:eastAsia="zh-CN"/>
    </w:rPr>
  </w:style>
  <w:style w:type="paragraph" w:styleId="9">
    <w:name w:val="footer"/>
    <w:basedOn w:val="1"/>
    <w:unhideWhenUsed/>
    <w:qFormat/>
    <w:uiPriority w:val="0"/>
    <w:pPr>
      <w:tabs>
        <w:tab w:val="center" w:pos="4153"/>
        <w:tab w:val="right" w:pos="8306"/>
      </w:tabs>
      <w:snapToGrid w:val="0"/>
      <w:spacing w:beforeLines="0" w:afterLines="0"/>
    </w:pPr>
    <w:rPr>
      <w:rFonts w:hint="default"/>
      <w:kern w:val="0"/>
      <w:sz w:val="18"/>
      <w:lang w:val="zh-CN"/>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Subtitle"/>
    <w:basedOn w:val="1"/>
    <w:next w:val="1"/>
    <w:qFormat/>
    <w:uiPriority w:val="11"/>
    <w:pPr>
      <w:spacing w:after="60"/>
      <w:jc w:val="center"/>
      <w:outlineLvl w:val="1"/>
    </w:pPr>
    <w:rPr>
      <w:rFonts w:ascii="Cambria" w:hAnsi="Cambria"/>
    </w:rPr>
  </w:style>
  <w:style w:type="paragraph" w:styleId="13">
    <w:name w:val="toc 2"/>
    <w:basedOn w:val="1"/>
    <w:next w:val="1"/>
    <w:qFormat/>
    <w:uiPriority w:val="0"/>
    <w:pPr>
      <w:ind w:left="420" w:leftChars="200"/>
    </w:pPr>
  </w:style>
  <w:style w:type="paragraph" w:styleId="14">
    <w:name w:val="Normal (Web)"/>
    <w:basedOn w:val="1"/>
    <w:qFormat/>
    <w:uiPriority w:val="0"/>
    <w:rPr>
      <w:rFonts w:ascii="Times New Roman" w:hAnsi="Times New Roman"/>
      <w:sz w:val="24"/>
    </w:rPr>
  </w:style>
  <w:style w:type="table" w:styleId="16">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Strong"/>
    <w:basedOn w:val="17"/>
    <w:qFormat/>
    <w:uiPriority w:val="0"/>
    <w:rPr>
      <w:b/>
    </w:rPr>
  </w:style>
  <w:style w:type="character" w:styleId="19">
    <w:name w:val="FollowedHyperlink"/>
    <w:basedOn w:val="17"/>
    <w:qFormat/>
    <w:uiPriority w:val="0"/>
    <w:rPr>
      <w:color w:val="3177FD"/>
      <w:u w:val="none"/>
    </w:rPr>
  </w:style>
  <w:style w:type="character" w:styleId="20">
    <w:name w:val="HTML Definition"/>
    <w:basedOn w:val="17"/>
    <w:qFormat/>
    <w:uiPriority w:val="0"/>
    <w:rPr>
      <w:i/>
      <w:sz w:val="21"/>
      <w:szCs w:val="21"/>
      <w:bdr w:val="single" w:color="auto" w:sz="2" w:space="0"/>
    </w:rPr>
  </w:style>
  <w:style w:type="character" w:styleId="21">
    <w:name w:val="Hyperlink"/>
    <w:basedOn w:val="17"/>
    <w:qFormat/>
    <w:uiPriority w:val="0"/>
    <w:rPr>
      <w:color w:val="3177FD"/>
      <w:u w:val="none"/>
    </w:rPr>
  </w:style>
  <w:style w:type="character" w:styleId="22">
    <w:name w:val="HTML Code"/>
    <w:basedOn w:val="17"/>
    <w:qFormat/>
    <w:uiPriority w:val="0"/>
    <w:rPr>
      <w:rFonts w:ascii="Consolas" w:hAnsi="Consolas" w:eastAsia="Consolas" w:cs="Consolas"/>
      <w:b/>
      <w:sz w:val="21"/>
      <w:szCs w:val="21"/>
      <w:u w:val="none"/>
    </w:rPr>
  </w:style>
  <w:style w:type="character" w:styleId="23">
    <w:name w:val="annotation reference"/>
    <w:basedOn w:val="17"/>
    <w:semiHidden/>
    <w:unhideWhenUsed/>
    <w:qFormat/>
    <w:uiPriority w:val="99"/>
    <w:rPr>
      <w:sz w:val="21"/>
      <w:szCs w:val="21"/>
    </w:rPr>
  </w:style>
  <w:style w:type="character" w:styleId="24">
    <w:name w:val="HTML Keyboard"/>
    <w:basedOn w:val="17"/>
    <w:qFormat/>
    <w:uiPriority w:val="0"/>
    <w:rPr>
      <w:rFonts w:hint="default" w:ascii="Consolas" w:hAnsi="Consolas" w:eastAsia="Consolas" w:cs="Consolas"/>
      <w:sz w:val="21"/>
      <w:szCs w:val="21"/>
    </w:rPr>
  </w:style>
  <w:style w:type="character" w:styleId="25">
    <w:name w:val="HTML Sample"/>
    <w:basedOn w:val="17"/>
    <w:qFormat/>
    <w:uiPriority w:val="0"/>
    <w:rPr>
      <w:rFonts w:hint="default" w:ascii="Consolas" w:hAnsi="Consolas" w:eastAsia="Consolas" w:cs="Consolas"/>
      <w:sz w:val="21"/>
      <w:szCs w:val="21"/>
      <w:shd w:val="clear" w:fill="3177FD"/>
    </w:rPr>
  </w:style>
  <w:style w:type="paragraph" w:customStyle="1" w:styleId="2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7">
    <w:name w:val="large"/>
    <w:basedOn w:val="17"/>
    <w:qFormat/>
    <w:uiPriority w:val="0"/>
    <w:rPr>
      <w:color w:val="197AFF"/>
      <w:sz w:val="24"/>
      <w:szCs w:val="24"/>
    </w:rPr>
  </w:style>
  <w:style w:type="character" w:customStyle="1" w:styleId="28">
    <w:name w:val="right"/>
    <w:basedOn w:val="17"/>
    <w:qFormat/>
    <w:uiPriority w:val="0"/>
    <w:rPr>
      <w:sz w:val="18"/>
      <w:szCs w:val="18"/>
    </w:rPr>
  </w:style>
  <w:style w:type="character" w:customStyle="1" w:styleId="29">
    <w:name w:val="last-child"/>
    <w:basedOn w:val="17"/>
    <w:qFormat/>
    <w:uiPriority w:val="0"/>
    <w:rPr>
      <w:color w:val="1C2026"/>
      <w:sz w:val="36"/>
      <w:szCs w:val="36"/>
    </w:rPr>
  </w:style>
  <w:style w:type="character" w:customStyle="1" w:styleId="30">
    <w:name w:val="last-child1"/>
    <w:basedOn w:val="17"/>
    <w:qFormat/>
    <w:uiPriority w:val="0"/>
    <w:rPr>
      <w:color w:val="1C2026"/>
      <w:sz w:val="36"/>
      <w:szCs w:val="36"/>
    </w:rPr>
  </w:style>
  <w:style w:type="character" w:customStyle="1" w:styleId="31">
    <w:name w:val="last-child2"/>
    <w:basedOn w:val="17"/>
    <w:qFormat/>
    <w:uiPriority w:val="0"/>
    <w:rPr>
      <w:color w:val="1C2026"/>
      <w:sz w:val="36"/>
      <w:szCs w:val="36"/>
    </w:rPr>
  </w:style>
  <w:style w:type="character" w:customStyle="1" w:styleId="32">
    <w:name w:val="last-child3"/>
    <w:basedOn w:val="17"/>
    <w:qFormat/>
    <w:uiPriority w:val="0"/>
    <w:rPr>
      <w:color w:val="3445FD"/>
    </w:rPr>
  </w:style>
  <w:style w:type="character" w:customStyle="1" w:styleId="33">
    <w:name w:val="last-child4"/>
    <w:basedOn w:val="17"/>
    <w:qFormat/>
    <w:uiPriority w:val="0"/>
    <w:rPr>
      <w:color w:val="1C2026"/>
      <w:sz w:val="36"/>
      <w:szCs w:val="36"/>
    </w:rPr>
  </w:style>
  <w:style w:type="character" w:customStyle="1" w:styleId="34">
    <w:name w:val="last-child5"/>
    <w:basedOn w:val="17"/>
    <w:qFormat/>
    <w:uiPriority w:val="0"/>
    <w:rPr>
      <w:b/>
      <w:color w:val="1C2026"/>
      <w:sz w:val="24"/>
      <w:szCs w:val="24"/>
    </w:rPr>
  </w:style>
  <w:style w:type="character" w:customStyle="1" w:styleId="35">
    <w:name w:val="ant-select-tree-checkbox"/>
    <w:basedOn w:val="17"/>
    <w:qFormat/>
    <w:uiPriority w:val="0"/>
  </w:style>
  <w:style w:type="character" w:customStyle="1" w:styleId="36">
    <w:name w:val="desc"/>
    <w:basedOn w:val="17"/>
    <w:qFormat/>
    <w:uiPriority w:val="0"/>
  </w:style>
  <w:style w:type="character" w:customStyle="1" w:styleId="37">
    <w:name w:val="year"/>
    <w:basedOn w:val="17"/>
    <w:qFormat/>
    <w:uiPriority w:val="0"/>
  </w:style>
  <w:style w:type="character" w:customStyle="1" w:styleId="38">
    <w:name w:val="small"/>
    <w:basedOn w:val="17"/>
    <w:qFormat/>
    <w:uiPriority w:val="0"/>
    <w:rPr>
      <w:color w:val="197AFF"/>
      <w:sz w:val="18"/>
      <w:szCs w:val="18"/>
    </w:rPr>
  </w:style>
  <w:style w:type="character" w:customStyle="1" w:styleId="39">
    <w:name w:val="small1"/>
    <w:basedOn w:val="17"/>
    <w:qFormat/>
    <w:uiPriority w:val="0"/>
    <w:rPr>
      <w:sz w:val="18"/>
      <w:szCs w:val="18"/>
    </w:rPr>
  </w:style>
  <w:style w:type="character" w:customStyle="1" w:styleId="40">
    <w:name w:val="small2"/>
    <w:basedOn w:val="17"/>
    <w:qFormat/>
    <w:uiPriority w:val="0"/>
    <w:rPr>
      <w:sz w:val="21"/>
      <w:szCs w:val="21"/>
    </w:rPr>
  </w:style>
  <w:style w:type="character" w:customStyle="1" w:styleId="41">
    <w:name w:val="href-title"/>
    <w:basedOn w:val="17"/>
    <w:qFormat/>
    <w:uiPriority w:val="0"/>
  </w:style>
  <w:style w:type="character" w:customStyle="1" w:styleId="42">
    <w:name w:val="nth-child(2n)"/>
    <w:basedOn w:val="17"/>
    <w:qFormat/>
    <w:uiPriority w:val="0"/>
    <w:rPr>
      <w:sz w:val="60"/>
      <w:szCs w:val="60"/>
    </w:rPr>
  </w:style>
  <w:style w:type="character" w:customStyle="1" w:styleId="43">
    <w:name w:val="nth-child(2n)1"/>
    <w:basedOn w:val="17"/>
    <w:qFormat/>
    <w:uiPriority w:val="0"/>
  </w:style>
  <w:style w:type="character" w:customStyle="1" w:styleId="44">
    <w:name w:val="nth-child(2n)2"/>
    <w:basedOn w:val="17"/>
    <w:qFormat/>
    <w:uiPriority w:val="0"/>
    <w:rPr>
      <w:sz w:val="60"/>
      <w:szCs w:val="60"/>
    </w:rPr>
  </w:style>
  <w:style w:type="character" w:customStyle="1" w:styleId="45">
    <w:name w:val="nth-child(2n)3"/>
    <w:basedOn w:val="17"/>
    <w:qFormat/>
    <w:uiPriority w:val="0"/>
  </w:style>
  <w:style w:type="character" w:customStyle="1" w:styleId="46">
    <w:name w:val="ant-select-tree-iconele"/>
    <w:basedOn w:val="17"/>
    <w:qFormat/>
    <w:uiPriority w:val="0"/>
  </w:style>
  <w:style w:type="character" w:customStyle="1" w:styleId="47">
    <w:name w:val="ant-radio+*"/>
    <w:basedOn w:val="17"/>
    <w:qFormat/>
    <w:uiPriority w:val="0"/>
  </w:style>
  <w:style w:type="character" w:customStyle="1" w:styleId="48">
    <w:name w:val="ant-radio+*1"/>
    <w:basedOn w:val="17"/>
    <w:qFormat/>
    <w:uiPriority w:val="0"/>
  </w:style>
  <w:style w:type="character" w:customStyle="1" w:styleId="49">
    <w:name w:val="ant-select-tree-switcher"/>
    <w:basedOn w:val="17"/>
    <w:qFormat/>
    <w:uiPriority w:val="0"/>
  </w:style>
  <w:style w:type="character" w:customStyle="1" w:styleId="50">
    <w:name w:val="ant-input38"/>
    <w:basedOn w:val="17"/>
    <w:qFormat/>
    <w:uiPriority w:val="0"/>
  </w:style>
  <w:style w:type="character" w:customStyle="1" w:styleId="51">
    <w:name w:val="first-child"/>
    <w:basedOn w:val="17"/>
    <w:qFormat/>
    <w:uiPriority w:val="0"/>
    <w:rPr>
      <w:color w:val="818898"/>
      <w:sz w:val="18"/>
      <w:szCs w:val="18"/>
    </w:rPr>
  </w:style>
  <w:style w:type="character" w:customStyle="1" w:styleId="52">
    <w:name w:val="first-child1"/>
    <w:basedOn w:val="17"/>
    <w:qFormat/>
    <w:uiPriority w:val="0"/>
    <w:rPr>
      <w:color w:val="818898"/>
      <w:sz w:val="18"/>
      <w:szCs w:val="18"/>
    </w:rPr>
  </w:style>
  <w:style w:type="character" w:customStyle="1" w:styleId="53">
    <w:name w:val="first-child2"/>
    <w:basedOn w:val="17"/>
    <w:qFormat/>
    <w:uiPriority w:val="0"/>
    <w:rPr>
      <w:color w:val="818898"/>
      <w:sz w:val="18"/>
      <w:szCs w:val="18"/>
    </w:rPr>
  </w:style>
  <w:style w:type="character" w:customStyle="1" w:styleId="54">
    <w:name w:val="first-child3"/>
    <w:basedOn w:val="17"/>
    <w:qFormat/>
    <w:uiPriority w:val="0"/>
    <w:rPr>
      <w:color w:val="818898"/>
      <w:sz w:val="18"/>
      <w:szCs w:val="18"/>
    </w:rPr>
  </w:style>
  <w:style w:type="character" w:customStyle="1" w:styleId="55">
    <w:name w:val="first-child4"/>
    <w:basedOn w:val="17"/>
    <w:qFormat/>
    <w:uiPriority w:val="0"/>
    <w:rPr>
      <w:b/>
      <w:color w:val="818898"/>
      <w:sz w:val="18"/>
      <w:szCs w:val="18"/>
    </w:rPr>
  </w:style>
  <w:style w:type="character" w:customStyle="1" w:styleId="56">
    <w:name w:val="nth-child(odd)"/>
    <w:basedOn w:val="17"/>
    <w:qFormat/>
    <w:uiPriority w:val="0"/>
    <w:rPr>
      <w:rFonts w:ascii="PingFang SC" w:hAnsi="PingFang SC" w:eastAsia="PingFang SC" w:cs="PingFang SC"/>
      <w:sz w:val="72"/>
      <w:szCs w:val="72"/>
      <w:shd w:val="clear" w:fill="F2F5F9"/>
    </w:rPr>
  </w:style>
  <w:style w:type="character" w:customStyle="1" w:styleId="57">
    <w:name w:val="nth-child(odd)1"/>
    <w:basedOn w:val="17"/>
    <w:qFormat/>
    <w:uiPriority w:val="0"/>
    <w:rPr>
      <w:rFonts w:hint="default" w:ascii="PingFang SC" w:hAnsi="PingFang SC" w:eastAsia="PingFang SC" w:cs="PingFang SC"/>
      <w:sz w:val="27"/>
      <w:szCs w:val="27"/>
      <w:shd w:val="clear" w:fill="FFFFFF"/>
    </w:rPr>
  </w:style>
  <w:style w:type="character" w:customStyle="1" w:styleId="58">
    <w:name w:val="nth-child(odd)2"/>
    <w:basedOn w:val="17"/>
    <w:qFormat/>
    <w:uiPriority w:val="0"/>
    <w:rPr>
      <w:rFonts w:hint="default" w:ascii="PingFang SC" w:hAnsi="PingFang SC" w:eastAsia="PingFang SC" w:cs="PingFang SC"/>
      <w:sz w:val="72"/>
      <w:szCs w:val="72"/>
      <w:shd w:val="clear" w:fill="F2F5F9"/>
    </w:rPr>
  </w:style>
  <w:style w:type="character" w:customStyle="1" w:styleId="59">
    <w:name w:val="nth-child(odd)3"/>
    <w:basedOn w:val="17"/>
    <w:qFormat/>
    <w:uiPriority w:val="0"/>
    <w:rPr>
      <w:rFonts w:hint="default" w:ascii="PingFang SC" w:hAnsi="PingFang SC" w:eastAsia="PingFang SC" w:cs="PingFang SC"/>
      <w:sz w:val="27"/>
      <w:szCs w:val="27"/>
      <w:shd w:val="clear" w:fill="FFFFFF"/>
    </w:rPr>
  </w:style>
  <w:style w:type="character" w:customStyle="1" w:styleId="60">
    <w:name w:val="small-suffix"/>
    <w:basedOn w:val="17"/>
    <w:qFormat/>
    <w:uiPriority w:val="0"/>
    <w:rPr>
      <w:rFonts w:hint="default" w:ascii="PingFang SC" w:hAnsi="PingFang SC" w:eastAsia="PingFang SC" w:cs="PingFang SC"/>
      <w:sz w:val="24"/>
      <w:szCs w:val="24"/>
    </w:rPr>
  </w:style>
  <w:style w:type="character" w:customStyle="1" w:styleId="61">
    <w:name w:val="small-suffix1"/>
    <w:basedOn w:val="17"/>
    <w:qFormat/>
    <w:uiPriority w:val="0"/>
    <w:rPr>
      <w:rFonts w:hint="default" w:ascii="PingFang SC" w:hAnsi="PingFang SC" w:eastAsia="PingFang SC" w:cs="PingFang SC"/>
      <w:sz w:val="24"/>
      <w:szCs w:val="24"/>
    </w:rPr>
  </w:style>
  <w:style w:type="character" w:customStyle="1" w:styleId="62">
    <w:name w:val="ant-select-tree-checkbox2"/>
    <w:basedOn w:val="17"/>
    <w:qFormat/>
    <w:uiPriority w:val="0"/>
  </w:style>
  <w:style w:type="character" w:customStyle="1" w:styleId="63">
    <w:name w:val="hover10"/>
    <w:basedOn w:val="17"/>
    <w:qFormat/>
    <w:uiPriority w:val="0"/>
    <w:rPr>
      <w:color w:val="3177FD"/>
    </w:rPr>
  </w:style>
  <w:style w:type="character" w:customStyle="1" w:styleId="64">
    <w:name w:val="info-content"/>
    <w:basedOn w:val="17"/>
    <w:qFormat/>
    <w:uiPriority w:val="0"/>
    <w:rPr>
      <w:color w:val="808080"/>
    </w:rPr>
  </w:style>
  <w:style w:type="character" w:customStyle="1" w:styleId="65">
    <w:name w:val="change-camera-place"/>
    <w:basedOn w:val="17"/>
    <w:qFormat/>
    <w:uiPriority w:val="0"/>
    <w:rPr>
      <w:color w:val="3177FD"/>
    </w:rPr>
  </w:style>
  <w:style w:type="character" w:customStyle="1" w:styleId="66">
    <w:name w:val="last-of-type"/>
    <w:basedOn w:val="17"/>
    <w:qFormat/>
    <w:uiPriority w:val="0"/>
    <w:rPr>
      <w:color w:val="FF4A44"/>
      <w:sz w:val="27"/>
      <w:szCs w:val="27"/>
    </w:rPr>
  </w:style>
  <w:style w:type="character" w:customStyle="1" w:styleId="67">
    <w:name w:val="info-label"/>
    <w:basedOn w:val="17"/>
    <w:qFormat/>
    <w:uiPriority w:val="0"/>
    <w:rPr>
      <w:b/>
    </w:rPr>
  </w:style>
  <w:style w:type="character" w:customStyle="1" w:styleId="68">
    <w:name w:val="ant-tree-icon_loading"/>
    <w:basedOn w:val="17"/>
    <w:qFormat/>
    <w:uiPriority w:val="0"/>
    <w:rPr>
      <w:shd w:val="clear" w:fill="FFFFFF"/>
    </w:rPr>
  </w:style>
  <w:style w:type="character" w:customStyle="1" w:styleId="69">
    <w:name w:val="content"/>
    <w:basedOn w:val="17"/>
    <w:qFormat/>
    <w:uiPriority w:val="0"/>
  </w:style>
  <w:style w:type="character" w:customStyle="1" w:styleId="70">
    <w:name w:val="label"/>
    <w:basedOn w:val="17"/>
    <w:qFormat/>
    <w:uiPriority w:val="0"/>
  </w:style>
  <w:style w:type="character" w:customStyle="1" w:styleId="71">
    <w:name w:val="ant-input56"/>
    <w:basedOn w:val="17"/>
    <w:qFormat/>
    <w:uiPriority w:val="0"/>
  </w:style>
  <w:style w:type="character" w:customStyle="1" w:styleId="72">
    <w:name w:val="ant-badge-status-dot2"/>
    <w:basedOn w:val="17"/>
    <w:qFormat/>
    <w:uiPriority w:val="0"/>
    <w:rPr>
      <w:shd w:val="clear" w:fill="FFFFFF"/>
    </w:rPr>
  </w:style>
  <w:style w:type="character" w:customStyle="1" w:styleId="73">
    <w:name w:val="ant-tree-checkbox2"/>
    <w:basedOn w:val="17"/>
    <w:qFormat/>
    <w:uiPriority w:val="0"/>
  </w:style>
  <w:style w:type="character" w:customStyle="1" w:styleId="74">
    <w:name w:val="ant-tree-iconele"/>
    <w:basedOn w:val="17"/>
    <w:qFormat/>
    <w:uiPriority w:val="0"/>
  </w:style>
  <w:style w:type="character" w:customStyle="1" w:styleId="75">
    <w:name w:val="ant-tree-switcher"/>
    <w:basedOn w:val="17"/>
    <w:qFormat/>
    <w:uiPriority w:val="0"/>
  </w:style>
  <w:style w:type="character" w:customStyle="1" w:styleId="76">
    <w:name w:val="tag-type"/>
    <w:basedOn w:val="17"/>
    <w:qFormat/>
    <w:uiPriority w:val="0"/>
    <w:rPr>
      <w:color w:val="FFFFFF"/>
      <w:sz w:val="18"/>
      <w:szCs w:val="18"/>
      <w:shd w:val="clear" w:fill="317FFD"/>
    </w:rPr>
  </w:style>
  <w:style w:type="character" w:customStyle="1" w:styleId="77">
    <w:name w:val="tag-type1"/>
    <w:basedOn w:val="17"/>
    <w:qFormat/>
    <w:uiPriority w:val="0"/>
    <w:rPr>
      <w:color w:val="FFFFFF"/>
      <w:sz w:val="18"/>
      <w:szCs w:val="18"/>
      <w:shd w:val="clear" w:fill="317FFD"/>
    </w:rPr>
  </w:style>
  <w:style w:type="character" w:customStyle="1" w:styleId="78">
    <w:name w:val="last-child6"/>
    <w:basedOn w:val="17"/>
    <w:qFormat/>
    <w:uiPriority w:val="0"/>
  </w:style>
  <w:style w:type="character" w:customStyle="1" w:styleId="79">
    <w:name w:val="last-child7"/>
    <w:basedOn w:val="17"/>
    <w:qFormat/>
    <w:uiPriority w:val="0"/>
  </w:style>
  <w:style w:type="character" w:customStyle="1" w:styleId="80">
    <w:name w:val="last-child8"/>
    <w:basedOn w:val="17"/>
    <w:qFormat/>
    <w:uiPriority w:val="0"/>
  </w:style>
  <w:style w:type="character" w:customStyle="1" w:styleId="81">
    <w:name w:val="last-child9"/>
    <w:basedOn w:val="17"/>
    <w:qFormat/>
    <w:uiPriority w:val="0"/>
  </w:style>
  <w:style w:type="character" w:customStyle="1" w:styleId="82">
    <w:name w:val="current"/>
    <w:basedOn w:val="17"/>
    <w:qFormat/>
    <w:uiPriority w:val="0"/>
    <w:rPr>
      <w:color w:val="00C1DE"/>
    </w:rPr>
  </w:style>
  <w:style w:type="character" w:customStyle="1" w:styleId="83">
    <w:name w:val="current1"/>
    <w:basedOn w:val="17"/>
    <w:qFormat/>
    <w:uiPriority w:val="0"/>
    <w:rPr>
      <w:color w:val="00C1DE"/>
    </w:rPr>
  </w:style>
  <w:style w:type="character" w:customStyle="1" w:styleId="84">
    <w:name w:val="ant-form-item-children1"/>
    <w:basedOn w:val="17"/>
    <w:qFormat/>
    <w:uiPriority w:val="0"/>
  </w:style>
  <w:style w:type="character" w:customStyle="1" w:styleId="85">
    <w:name w:val="label2"/>
    <w:basedOn w:val="17"/>
    <w:qFormat/>
    <w:uiPriority w:val="0"/>
  </w:style>
  <w:style w:type="character" w:customStyle="1" w:styleId="86">
    <w:name w:val="content10"/>
    <w:basedOn w:val="17"/>
    <w:qFormat/>
    <w:uiPriority w:val="0"/>
  </w:style>
  <w:style w:type="paragraph" w:customStyle="1" w:styleId="87">
    <w:name w:val="GW-正文"/>
    <w:basedOn w:val="1"/>
    <w:qFormat/>
    <w:uiPriority w:val="0"/>
    <w:pPr>
      <w:spacing w:line="360" w:lineRule="auto"/>
      <w:ind w:firstLine="200"/>
    </w:pPr>
    <w:rPr>
      <w:rFonts w:ascii="Times New Roman" w:hAnsi="Times New Roman" w:cs="Times New Roman"/>
    </w:rPr>
  </w:style>
  <w:style w:type="paragraph" w:customStyle="1" w:styleId="88">
    <w:name w:val="样式 首行缩进:  2 字符"/>
    <w:basedOn w:val="1"/>
    <w:qFormat/>
    <w:uiPriority w:val="0"/>
    <w:pPr>
      <w:spacing w:line="400" w:lineRule="exact"/>
      <w:ind w:firstLine="200" w:firstLineChars="200"/>
    </w:pPr>
    <w:rPr>
      <w:rFonts w:cs="宋体"/>
      <w:sz w:val="24"/>
    </w:rPr>
  </w:style>
  <w:style w:type="paragraph" w:customStyle="1" w:styleId="89">
    <w:name w:val="列出段落1"/>
    <w:basedOn w:val="1"/>
    <w:qFormat/>
    <w:uiPriority w:val="34"/>
    <w:pPr>
      <w:ind w:firstLine="420"/>
    </w:pPr>
    <w:rPr>
      <w:rFonts w:ascii="Times New Roman" w:hAnsi="Times New Roman" w:cs="Times New Roman"/>
    </w:rPr>
  </w:style>
  <w:style w:type="paragraph" w:customStyle="1" w:styleId="90">
    <w:name w:val="_Style 35"/>
    <w:basedOn w:val="1"/>
    <w:qFormat/>
    <w:uiPriority w:val="0"/>
    <w:pPr>
      <w:ind w:firstLine="420"/>
    </w:pPr>
    <w:rPr>
      <w:sz w:val="18"/>
      <w:szCs w:val="18"/>
    </w:rPr>
  </w:style>
  <w:style w:type="paragraph" w:customStyle="1" w:styleId="91">
    <w:name w:val="07、“1.1”正文五级标题"/>
    <w:basedOn w:val="1"/>
    <w:qFormat/>
    <w:uiPriority w:val="0"/>
    <w:pPr>
      <w:spacing w:after="200" w:line="276" w:lineRule="auto"/>
    </w:pPr>
    <w:rPr>
      <w:rFonts w:ascii="Times New Roman" w:hAnsi="Times New Roman"/>
    </w:rPr>
  </w:style>
  <w:style w:type="paragraph" w:styleId="92">
    <w:name w:val="List Paragraph"/>
    <w:basedOn w:val="1"/>
    <w:qFormat/>
    <w:uiPriority w:val="34"/>
    <w:pPr>
      <w:spacing w:after="200" w:line="276" w:lineRule="auto"/>
      <w:ind w:firstLine="420" w:firstLineChars="200"/>
    </w:pPr>
    <w:rPr>
      <w:rFonts w:ascii="Times New Roman" w:hAnsi="Times New Roman" w:eastAsia="宋体" w:cs="Times New Roman"/>
      <w:sz w:val="24"/>
      <w:szCs w:val="24"/>
      <w:lang w:val="en-US" w:eastAsia="zh-CN" w:bidi="ar-SA"/>
    </w:rPr>
  </w:style>
  <w:style w:type="paragraph" w:customStyle="1" w:styleId="93">
    <w:name w:val="二级条标题"/>
    <w:next w:val="94"/>
    <w:qFormat/>
    <w:uiPriority w:val="0"/>
    <w:pPr>
      <w:numPr>
        <w:ilvl w:val="2"/>
        <w:numId w:val="2"/>
      </w:numPr>
      <w:spacing w:before="50" w:beforeLines="50" w:after="50" w:afterLines="50"/>
      <w:outlineLvl w:val="3"/>
    </w:pPr>
    <w:rPr>
      <w:rFonts w:ascii="黑体" w:hAnsi="Times New Roman" w:eastAsia="黑体" w:cs="Times New Roman"/>
      <w:sz w:val="21"/>
      <w:szCs w:val="21"/>
      <w:lang w:val="en-US" w:eastAsia="zh-CN" w:bidi="ar-SA"/>
    </w:rPr>
  </w:style>
  <w:style w:type="paragraph" w:customStyle="1" w:styleId="9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95">
    <w:name w:val="正文表标题"/>
    <w:next w:val="94"/>
    <w:qFormat/>
    <w:uiPriority w:val="0"/>
    <w:pPr>
      <w:numPr>
        <w:ilvl w:val="0"/>
        <w:numId w:val="3"/>
      </w:numPr>
      <w:spacing w:beforeLines="50" w:afterLines="50"/>
      <w:jc w:val="center"/>
    </w:pPr>
    <w:rPr>
      <w:rFonts w:ascii="黑体" w:hAnsi="Times New Roman" w:eastAsia="黑体" w:cs="Times New Roman"/>
      <w:sz w:val="21"/>
      <w:lang w:val="en-US" w:eastAsia="zh-CN" w:bidi="ar-SA"/>
    </w:rPr>
  </w:style>
  <w:style w:type="paragraph" w:customStyle="1" w:styleId="96">
    <w:name w:val="正文首行缩进两字符"/>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97">
    <w:name w:val="列出段落4"/>
    <w:qFormat/>
    <w:uiPriority w:val="0"/>
    <w:pPr>
      <w:widowControl w:val="0"/>
      <w:ind w:firstLine="420" w:firstLineChars="200"/>
      <w:jc w:val="both"/>
    </w:pPr>
    <w:rPr>
      <w:rFonts w:ascii="Times New Roman" w:hAnsi="Times New Roman" w:eastAsia="宋体" w:cs="Times New Roman"/>
      <w:sz w:val="34"/>
      <w:szCs w:val="24"/>
      <w:lang w:val="en-US" w:eastAsia="zh-CN" w:bidi="ar-SA"/>
    </w:rPr>
  </w:style>
  <w:style w:type="paragraph" w:customStyle="1" w:styleId="98">
    <w:name w:val="Normal_0"/>
    <w:qFormat/>
    <w:uiPriority w:val="0"/>
    <w:pPr>
      <w:widowControl w:val="0"/>
      <w:adjustRightInd w:val="0"/>
      <w:spacing w:after="200" w:line="312" w:lineRule="atLeast"/>
      <w:jc w:val="both"/>
      <w:textAlignment w:val="baseline"/>
    </w:pPr>
    <w:rPr>
      <w:rFonts w:ascii="宋体" w:hAnsi="Times New Roman"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34223</Words>
  <Characters>35471</Characters>
  <Lines>0</Lines>
  <Paragraphs>0</Paragraphs>
  <TotalTime>2</TotalTime>
  <ScaleCrop>false</ScaleCrop>
  <LinksUpToDate>false</LinksUpToDate>
  <CharactersWithSpaces>36351</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魏婷</cp:lastModifiedBy>
  <dcterms:modified xsi:type="dcterms:W3CDTF">2021-11-26T01:27:21Z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