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宋体" w:hAnsi="宋体" w:eastAsia="宋体" w:cs="宋体"/>
          <w:spacing w:val="20"/>
          <w:sz w:val="28"/>
          <w:szCs w:val="28"/>
        </w:rPr>
      </w:pPr>
    </w:p>
    <w:p>
      <w:pPr>
        <w:spacing w:line="360" w:lineRule="auto"/>
        <w:rPr>
          <w:rFonts w:hint="eastAsia" w:ascii="宋体" w:hAnsi="宋体" w:eastAsia="宋体" w:cs="宋体"/>
          <w:spacing w:val="20"/>
          <w:sz w:val="28"/>
          <w:szCs w:val="28"/>
        </w:rPr>
      </w:pPr>
    </w:p>
    <w:p>
      <w:pPr>
        <w:spacing w:line="360" w:lineRule="auto"/>
        <w:jc w:val="center"/>
        <w:rPr>
          <w:rFonts w:hint="eastAsia" w:ascii="宋体" w:hAnsi="宋体" w:eastAsia="宋体" w:cs="宋体"/>
          <w:b/>
          <w:bCs/>
          <w:spacing w:val="-20"/>
          <w:sz w:val="96"/>
          <w:szCs w:val="96"/>
        </w:rPr>
      </w:pPr>
      <w:r>
        <w:rPr>
          <w:rFonts w:hint="eastAsia" w:ascii="宋体" w:hAnsi="宋体" w:eastAsia="宋体" w:cs="宋体"/>
          <w:b/>
          <w:bCs/>
          <w:spacing w:val="-20"/>
          <w:sz w:val="96"/>
          <w:szCs w:val="96"/>
        </w:rPr>
        <w:t>竞争性磋商文件</w:t>
      </w:r>
    </w:p>
    <w:p>
      <w:pPr>
        <w:spacing w:line="360" w:lineRule="auto"/>
        <w:ind w:left="2191" w:leftChars="236" w:hanging="1695" w:hangingChars="471"/>
        <w:rPr>
          <w:rFonts w:hint="eastAsia" w:ascii="宋体" w:hAnsi="宋体" w:eastAsia="宋体" w:cs="宋体"/>
          <w:spacing w:val="20"/>
          <w:sz w:val="32"/>
          <w:szCs w:val="32"/>
        </w:rPr>
      </w:pPr>
    </w:p>
    <w:p>
      <w:pPr>
        <w:pStyle w:val="2"/>
        <w:rPr>
          <w:rFonts w:hint="eastAsia"/>
        </w:rPr>
      </w:pPr>
    </w:p>
    <w:p>
      <w:pPr>
        <w:spacing w:line="360" w:lineRule="auto"/>
        <w:ind w:left="638" w:leftChars="304" w:firstLine="0" w:firstLineChars="0"/>
        <w:rPr>
          <w:rFonts w:hint="eastAsia" w:ascii="宋体" w:hAnsi="宋体" w:cs="宋体"/>
          <w:spacing w:val="20"/>
          <w:sz w:val="32"/>
          <w:szCs w:val="32"/>
          <w:lang w:eastAsia="zh-CN"/>
        </w:rPr>
      </w:pPr>
      <w:r>
        <w:rPr>
          <w:rFonts w:hint="eastAsia" w:ascii="宋体" w:hAnsi="宋体" w:eastAsia="宋体" w:cs="宋体"/>
          <w:spacing w:val="20"/>
          <w:sz w:val="32"/>
          <w:szCs w:val="32"/>
        </w:rPr>
        <w:t>项目名称：</w:t>
      </w:r>
      <w:r>
        <w:rPr>
          <w:rFonts w:hint="eastAsia" w:ascii="宋体" w:hAnsi="宋体" w:cs="宋体"/>
          <w:spacing w:val="20"/>
          <w:sz w:val="32"/>
          <w:szCs w:val="32"/>
          <w:lang w:eastAsia="zh-CN"/>
        </w:rPr>
        <w:t>成都市新都区石板滩街道木兰卫生院LED显示屏采购项目（第二次）</w:t>
      </w:r>
    </w:p>
    <w:p>
      <w:pPr>
        <w:spacing w:line="360" w:lineRule="auto"/>
        <w:ind w:left="638" w:leftChars="304" w:firstLine="0" w:firstLineChars="0"/>
        <w:rPr>
          <w:rFonts w:hint="default" w:ascii="宋体" w:hAnsi="宋体" w:cs="宋体"/>
          <w:spacing w:val="20"/>
          <w:sz w:val="32"/>
          <w:szCs w:val="32"/>
          <w:lang w:val="en-US" w:eastAsia="zh-CN"/>
        </w:rPr>
      </w:pPr>
      <w:r>
        <w:rPr>
          <w:rFonts w:hint="eastAsia" w:ascii="宋体" w:hAnsi="宋体" w:cs="宋体"/>
          <w:spacing w:val="20"/>
          <w:sz w:val="32"/>
          <w:szCs w:val="32"/>
          <w:lang w:eastAsia="zh-CN"/>
        </w:rPr>
        <w:t>项目</w:t>
      </w:r>
      <w:r>
        <w:rPr>
          <w:rFonts w:hint="eastAsia" w:ascii="宋体" w:hAnsi="宋体" w:eastAsia="宋体" w:cs="宋体"/>
          <w:spacing w:val="20"/>
          <w:sz w:val="32"/>
          <w:szCs w:val="32"/>
        </w:rPr>
        <w:t>编号：</w:t>
      </w:r>
      <w:r>
        <w:rPr>
          <w:rFonts w:hint="eastAsia" w:ascii="宋体" w:hAnsi="宋体" w:cs="宋体"/>
          <w:spacing w:val="20"/>
          <w:sz w:val="32"/>
          <w:szCs w:val="32"/>
          <w:lang w:eastAsia="zh-CN"/>
        </w:rPr>
        <w:t>新都政采（2021）A0036号-1</w:t>
      </w: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中国·成都</w:t>
      </w:r>
    </w:p>
    <w:p>
      <w:pPr>
        <w:spacing w:line="560" w:lineRule="exact"/>
        <w:jc w:val="center"/>
        <w:rPr>
          <w:rFonts w:hint="eastAsia" w:ascii="宋体" w:hAnsi="宋体" w:cs="宋体"/>
          <w:sz w:val="32"/>
          <w:szCs w:val="32"/>
          <w:lang w:eastAsia="zh-CN"/>
        </w:rPr>
      </w:pPr>
      <w:r>
        <w:rPr>
          <w:rFonts w:hint="eastAsia" w:ascii="宋体" w:hAnsi="宋体" w:cs="宋体"/>
          <w:sz w:val="32"/>
          <w:szCs w:val="32"/>
          <w:lang w:eastAsia="zh-CN"/>
        </w:rPr>
        <w:t>成都市新都区石板滩街道木兰卫生院</w:t>
      </w:r>
    </w:p>
    <w:p>
      <w:pPr>
        <w:spacing w:line="560" w:lineRule="exact"/>
        <w:jc w:val="center"/>
        <w:rPr>
          <w:rFonts w:hint="eastAsia" w:ascii="宋体" w:hAnsi="宋体" w:cs="宋体"/>
          <w:sz w:val="32"/>
          <w:szCs w:val="32"/>
          <w:lang w:eastAsia="zh-CN"/>
        </w:rPr>
      </w:pPr>
      <w:r>
        <w:rPr>
          <w:rFonts w:hint="eastAsia" w:ascii="宋体" w:hAnsi="宋体" w:cs="宋体"/>
          <w:sz w:val="32"/>
          <w:szCs w:val="32"/>
          <w:lang w:eastAsia="zh-CN"/>
        </w:rPr>
        <w:t>成都市新都区公共资源交易服务中心</w:t>
      </w:r>
    </w:p>
    <w:p>
      <w:pPr>
        <w:spacing w:line="560" w:lineRule="exact"/>
        <w:jc w:val="center"/>
        <w:rPr>
          <w:rFonts w:hint="eastAsia" w:ascii="宋体" w:hAnsi="宋体" w:eastAsia="宋体" w:cs="宋体"/>
          <w:sz w:val="32"/>
          <w:szCs w:val="32"/>
        </w:rPr>
      </w:pPr>
      <w:r>
        <w:rPr>
          <w:rFonts w:hint="eastAsia" w:ascii="宋体" w:hAnsi="宋体" w:eastAsia="宋体" w:cs="宋体"/>
          <w:sz w:val="32"/>
          <w:szCs w:val="32"/>
        </w:rPr>
        <w:t>共同编制</w:t>
      </w:r>
    </w:p>
    <w:p>
      <w:pPr>
        <w:tabs>
          <w:tab w:val="center" w:pos="4153"/>
          <w:tab w:val="right" w:pos="8306"/>
        </w:tabs>
        <w:spacing w:line="360" w:lineRule="auto"/>
        <w:jc w:val="center"/>
        <w:rPr>
          <w:rFonts w:hint="eastAsia" w:ascii="宋体" w:hAnsi="宋体" w:eastAsia="宋体" w:cs="宋体"/>
          <w:bCs/>
          <w:sz w:val="32"/>
          <w:szCs w:val="32"/>
        </w:rPr>
      </w:pPr>
      <w:r>
        <w:rPr>
          <w:rFonts w:hint="eastAsia" w:ascii="宋体" w:hAnsi="宋体" w:eastAsia="宋体" w:cs="宋体"/>
          <w:bCs/>
          <w:sz w:val="32"/>
          <w:szCs w:val="32"/>
        </w:rPr>
        <w:t>二○二一年</w:t>
      </w:r>
      <w:r>
        <w:rPr>
          <w:rFonts w:hint="eastAsia" w:ascii="宋体" w:hAnsi="宋体" w:cs="宋体"/>
          <w:bCs/>
          <w:sz w:val="32"/>
          <w:szCs w:val="32"/>
          <w:lang w:eastAsia="zh-CN"/>
        </w:rPr>
        <w:t>十</w:t>
      </w:r>
      <w:bookmarkStart w:id="172" w:name="_GoBack"/>
      <w:bookmarkEnd w:id="172"/>
      <w:r>
        <w:rPr>
          <w:rFonts w:hint="eastAsia" w:ascii="宋体" w:hAnsi="宋体" w:eastAsia="宋体" w:cs="宋体"/>
          <w:bCs/>
          <w:sz w:val="32"/>
          <w:szCs w:val="32"/>
        </w:rPr>
        <w:t>月</w:t>
      </w:r>
    </w:p>
    <w:p>
      <w:pPr>
        <w:tabs>
          <w:tab w:val="center" w:pos="4153"/>
          <w:tab w:val="right" w:pos="8306"/>
        </w:tabs>
        <w:spacing w:line="360" w:lineRule="auto"/>
        <w:jc w:val="center"/>
        <w:rPr>
          <w:rFonts w:hint="eastAsia" w:ascii="宋体" w:hAnsi="宋体" w:eastAsia="宋体" w:cs="宋体"/>
          <w:b/>
          <w:bCs/>
          <w:sz w:val="36"/>
          <w:szCs w:val="36"/>
        </w:rPr>
      </w:pPr>
      <w:r>
        <w:rPr>
          <w:rFonts w:hint="eastAsia" w:ascii="宋体" w:hAnsi="宋体" w:eastAsia="宋体" w:cs="宋体"/>
          <w:bCs/>
          <w:sz w:val="36"/>
          <w:szCs w:val="36"/>
        </w:rPr>
        <w:br w:type="page"/>
      </w:r>
      <w:r>
        <w:rPr>
          <w:rFonts w:hint="eastAsia" w:ascii="宋体" w:hAnsi="宋体" w:eastAsia="宋体" w:cs="宋体"/>
          <w:b/>
          <w:bCs/>
          <w:sz w:val="36"/>
          <w:szCs w:val="36"/>
        </w:rPr>
        <w:t>目 录</w:t>
      </w:r>
    </w:p>
    <w:p>
      <w:pPr>
        <w:pStyle w:val="30"/>
        <w:tabs>
          <w:tab w:val="right" w:leader="dot" w:pos="9214"/>
          <w:tab w:val="clear" w:pos="709"/>
          <w:tab w:val="clear" w:pos="8364"/>
        </w:tabs>
        <w:rPr>
          <w:rFonts w:hint="eastAsia" w:ascii="宋体" w:hAnsi="宋体" w:eastAsia="宋体" w:cs="宋体"/>
        </w:rPr>
      </w:pP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TOC \o "1-2" \h \z \u</w:instrText>
      </w:r>
      <w:r>
        <w:rPr>
          <w:rFonts w:hint="eastAsia" w:ascii="宋体" w:hAnsi="宋体" w:eastAsia="宋体" w:cs="宋体"/>
          <w:sz w:val="36"/>
          <w:szCs w:val="36"/>
        </w:rPr>
        <w:fldChar w:fldCharType="separate"/>
      </w:r>
      <w:r>
        <w:rPr>
          <w:rFonts w:hint="eastAsia" w:ascii="宋体" w:hAnsi="宋体" w:eastAsia="宋体" w:cs="宋体"/>
          <w:szCs w:val="36"/>
        </w:rPr>
        <w:fldChar w:fldCharType="begin"/>
      </w:r>
      <w:r>
        <w:rPr>
          <w:rFonts w:hint="eastAsia" w:ascii="宋体" w:hAnsi="宋体" w:eastAsia="宋体" w:cs="宋体"/>
          <w:szCs w:val="36"/>
        </w:rPr>
        <w:instrText xml:space="preserve"> HYPERLINK \l _Toc226 </w:instrText>
      </w:r>
      <w:r>
        <w:rPr>
          <w:rFonts w:hint="eastAsia" w:ascii="宋体" w:hAnsi="宋体" w:eastAsia="宋体" w:cs="宋体"/>
          <w:szCs w:val="36"/>
        </w:rPr>
        <w:fldChar w:fldCharType="separate"/>
      </w:r>
      <w:r>
        <w:rPr>
          <w:rFonts w:hint="eastAsia" w:ascii="宋体" w:hAnsi="宋体" w:eastAsia="宋体" w:cs="宋体"/>
          <w:i w:val="0"/>
          <w:szCs w:val="28"/>
        </w:rPr>
        <w:t xml:space="preserve">第1章 </w:t>
      </w:r>
      <w:r>
        <w:rPr>
          <w:rFonts w:hint="eastAsia" w:ascii="宋体" w:hAnsi="宋体" w:eastAsia="宋体" w:cs="宋体"/>
        </w:rPr>
        <w:t>竞争性磋商邀请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szCs w:val="36"/>
        </w:rPr>
        <w:fldChar w:fldCharType="end"/>
      </w:r>
    </w:p>
    <w:p>
      <w:pPr>
        <w:pStyle w:val="30"/>
        <w:tabs>
          <w:tab w:val="right" w:leader="dot" w:pos="9214"/>
          <w:tab w:val="clear" w:pos="709"/>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_Toc10638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第2章 </w:t>
      </w:r>
      <w:r>
        <w:rPr>
          <w:rFonts w:hint="eastAsia" w:ascii="宋体" w:hAnsi="宋体" w:eastAsia="宋体" w:cs="宋体"/>
        </w:rPr>
        <w:t>供应商须知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_Toc10638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_Toc27317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 </w:t>
      </w:r>
      <w:r>
        <w:rPr>
          <w:rFonts w:hint="eastAsia" w:ascii="宋体" w:hAnsi="宋体" w:eastAsia="宋体" w:cs="宋体"/>
        </w:rPr>
        <w:t>供应商须知前附表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_Toc27317 \h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_Toc27694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2.2 </w:t>
      </w:r>
      <w:r>
        <w:rPr>
          <w:rFonts w:hint="eastAsia" w:ascii="宋体" w:hAnsi="宋体" w:eastAsia="宋体" w:cs="宋体"/>
        </w:rPr>
        <w:t>总则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_Toc27694 \h </w:instrText>
      </w:r>
      <w:r>
        <w:rPr>
          <w:rFonts w:hint="eastAsia" w:ascii="宋体" w:hAnsi="宋体" w:eastAsia="宋体" w:cs="宋体"/>
        </w:rPr>
        <w:fldChar w:fldCharType="separate"/>
      </w:r>
      <w:r>
        <w:rPr>
          <w:rFonts w:hint="eastAsia" w:ascii="宋体" w:hAnsi="宋体" w:eastAsia="宋体" w:cs="宋体"/>
        </w:rPr>
        <w:t>10</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_Toc30119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2.3 </w:t>
      </w:r>
      <w:r>
        <w:rPr>
          <w:rFonts w:hint="eastAsia" w:ascii="宋体" w:hAnsi="宋体" w:eastAsia="宋体" w:cs="宋体"/>
        </w:rPr>
        <w:t>磋商文件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_Toc30119 \h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_Toc22918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2.4 </w:t>
      </w:r>
      <w:r>
        <w:rPr>
          <w:rFonts w:hint="eastAsia" w:ascii="宋体" w:hAnsi="宋体" w:eastAsia="宋体" w:cs="宋体"/>
        </w:rPr>
        <w:t>响应文件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_Toc22918 \h </w:instrText>
      </w:r>
      <w:r>
        <w:rPr>
          <w:rFonts w:hint="eastAsia" w:ascii="宋体" w:hAnsi="宋体" w:eastAsia="宋体" w:cs="宋体"/>
        </w:rPr>
        <w:fldChar w:fldCharType="separate"/>
      </w:r>
      <w:r>
        <w:rPr>
          <w:rFonts w:hint="eastAsia" w:ascii="宋体" w:hAnsi="宋体" w:eastAsia="宋体" w:cs="宋体"/>
        </w:rPr>
        <w:t>13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_Toc28471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2.5 </w:t>
      </w:r>
      <w:r>
        <w:rPr>
          <w:rFonts w:hint="eastAsia" w:ascii="宋体" w:hAnsi="宋体" w:eastAsia="宋体" w:cs="宋体"/>
        </w:rPr>
        <w:t>磋商开启活动程序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_Toc28471 \h </w:instrText>
      </w:r>
      <w:r>
        <w:rPr>
          <w:rFonts w:hint="eastAsia" w:ascii="宋体" w:hAnsi="宋体" w:eastAsia="宋体" w:cs="宋体"/>
        </w:rPr>
        <w:fldChar w:fldCharType="separate"/>
      </w:r>
      <w:r>
        <w:rPr>
          <w:rFonts w:hint="eastAsia" w:ascii="宋体" w:hAnsi="宋体" w:eastAsia="宋体" w:cs="宋体"/>
        </w:rPr>
        <w:t>21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_Toc25509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2.6 </w:t>
      </w:r>
      <w:r>
        <w:rPr>
          <w:rFonts w:hint="eastAsia" w:ascii="宋体" w:hAnsi="宋体" w:eastAsia="宋体" w:cs="宋体"/>
        </w:rPr>
        <w:t>成交通知书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_Toc25509 \h </w:instrText>
      </w:r>
      <w:r>
        <w:rPr>
          <w:rFonts w:hint="eastAsia" w:ascii="宋体" w:hAnsi="宋体" w:eastAsia="宋体" w:cs="宋体"/>
        </w:rPr>
        <w:fldChar w:fldCharType="separate"/>
      </w:r>
      <w:r>
        <w:rPr>
          <w:rFonts w:hint="eastAsia" w:ascii="宋体" w:hAnsi="宋体" w:eastAsia="宋体" w:cs="宋体"/>
        </w:rPr>
        <w:t>22</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_Toc14729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2.7 </w:t>
      </w:r>
      <w:r>
        <w:rPr>
          <w:rFonts w:hint="eastAsia" w:ascii="宋体" w:hAnsi="宋体" w:eastAsia="宋体" w:cs="宋体"/>
        </w:rPr>
        <w:t>签订及履行合同和验收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_Toc14729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_Toc25416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2.8 </w:t>
      </w:r>
      <w:r>
        <w:rPr>
          <w:rFonts w:hint="eastAsia" w:ascii="宋体" w:hAnsi="宋体" w:eastAsia="宋体" w:cs="宋体"/>
        </w:rPr>
        <w:t>竞争性磋商工作纪律及要求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_Toc25416 \h </w:instrText>
      </w:r>
      <w:r>
        <w:rPr>
          <w:rFonts w:hint="eastAsia" w:ascii="宋体" w:hAnsi="宋体" w:eastAsia="宋体" w:cs="宋体"/>
        </w:rPr>
        <w:fldChar w:fldCharType="separate"/>
      </w:r>
      <w:r>
        <w:rPr>
          <w:rFonts w:hint="eastAsia" w:ascii="宋体" w:hAnsi="宋体" w:eastAsia="宋体" w:cs="宋体"/>
        </w:rPr>
        <w:t>25</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_Toc21755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2.9 </w:t>
      </w:r>
      <w:r>
        <w:rPr>
          <w:rFonts w:hint="eastAsia" w:ascii="宋体" w:hAnsi="宋体" w:eastAsia="宋体" w:cs="宋体"/>
        </w:rPr>
        <w:t>询问、质疑和投诉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_Toc21755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_Toc8063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2.10 </w:t>
      </w:r>
      <w:r>
        <w:rPr>
          <w:rFonts w:hint="eastAsia" w:ascii="宋体" w:hAnsi="宋体" w:eastAsia="宋体" w:cs="宋体"/>
        </w:rPr>
        <w:t>中小企业信用担保融资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_Toc8063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_Toc23494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2.11 </w:t>
      </w:r>
      <w:r>
        <w:rPr>
          <w:rFonts w:hint="eastAsia" w:ascii="宋体" w:hAnsi="宋体" w:eastAsia="宋体" w:cs="宋体"/>
        </w:rPr>
        <w:t>其他</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_Toc23494 \h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0"/>
        <w:tabs>
          <w:tab w:val="right" w:leader="dot" w:pos="9214"/>
          <w:tab w:val="clear" w:pos="709"/>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_Toc9063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第3章 </w:t>
      </w:r>
      <w:r>
        <w:rPr>
          <w:rFonts w:hint="eastAsia" w:ascii="宋体" w:hAnsi="宋体" w:eastAsia="宋体" w:cs="宋体"/>
        </w:rPr>
        <w:t>响应文件格式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_Toc9063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_Toc10066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3.1 </w:t>
      </w:r>
      <w:r>
        <w:rPr>
          <w:rFonts w:hint="eastAsia" w:ascii="宋体" w:hAnsi="宋体" w:eastAsia="宋体" w:cs="宋体"/>
        </w:rPr>
        <w:t>响应文件封面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_Toc10066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_Toc23194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3.2 </w:t>
      </w:r>
      <w:r>
        <w:rPr>
          <w:rFonts w:hint="eastAsia" w:ascii="宋体" w:hAnsi="宋体" w:eastAsia="宋体" w:cs="宋体"/>
        </w:rPr>
        <w:t>资格性响应文件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_Toc23194 \h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_Toc21848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3.3 </w:t>
      </w:r>
      <w:r>
        <w:rPr>
          <w:rFonts w:hint="eastAsia" w:ascii="宋体" w:hAnsi="宋体" w:eastAsia="宋体" w:cs="宋体"/>
        </w:rPr>
        <w:t>商务技术响应文件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_Toc21848 \h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_Toc29259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3.4 </w:t>
      </w:r>
      <w:r>
        <w:rPr>
          <w:rFonts w:hint="eastAsia" w:ascii="宋体" w:hAnsi="宋体" w:eastAsia="宋体" w:cs="宋体"/>
        </w:rPr>
        <w:t>报价要求响应文件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_Toc29259 \h </w:instrText>
      </w:r>
      <w:r>
        <w:rPr>
          <w:rFonts w:hint="eastAsia" w:ascii="宋体" w:hAnsi="宋体" w:eastAsia="宋体" w:cs="宋体"/>
        </w:rPr>
        <w:fldChar w:fldCharType="separate"/>
      </w:r>
      <w:r>
        <w:rPr>
          <w:rFonts w:hint="eastAsia" w:ascii="宋体" w:hAnsi="宋体" w:eastAsia="宋体" w:cs="宋体"/>
        </w:rPr>
        <w:t>47</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0"/>
        <w:tabs>
          <w:tab w:val="right" w:leader="dot" w:pos="9214"/>
          <w:tab w:val="clear" w:pos="709"/>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_Toc21273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第4章 </w:t>
      </w:r>
      <w:r>
        <w:rPr>
          <w:rFonts w:hint="eastAsia" w:ascii="宋体" w:hAnsi="宋体" w:eastAsia="宋体" w:cs="宋体"/>
        </w:rPr>
        <w:t>技术、服务、商务及其他要求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_Toc21273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_Toc11309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4.1 </w:t>
      </w:r>
      <w:r>
        <w:rPr>
          <w:rFonts w:hint="eastAsia" w:ascii="宋体" w:hAnsi="宋体" w:eastAsia="宋体" w:cs="宋体"/>
        </w:rPr>
        <w:t>项目概况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_Toc11309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_Toc1829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4.2 </w:t>
      </w:r>
      <w:r>
        <w:rPr>
          <w:rFonts w:hint="eastAsia" w:ascii="宋体" w:hAnsi="宋体" w:eastAsia="宋体" w:cs="宋体"/>
        </w:rPr>
        <w:t>采购内容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_Toc1829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_Toc31119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4.3 </w:t>
      </w:r>
      <w:r>
        <w:rPr>
          <w:rFonts w:hint="eastAsia" w:ascii="宋体" w:hAnsi="宋体" w:eastAsia="宋体" w:cs="宋体"/>
        </w:rPr>
        <w:t>技术参数及要求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_Toc31119 \h </w:instrText>
      </w:r>
      <w:r>
        <w:rPr>
          <w:rFonts w:hint="eastAsia" w:ascii="宋体" w:hAnsi="宋体" w:eastAsia="宋体" w:cs="宋体"/>
        </w:rPr>
        <w:fldChar w:fldCharType="separate"/>
      </w:r>
      <w:r>
        <w:rPr>
          <w:rFonts w:hint="eastAsia" w:ascii="宋体" w:hAnsi="宋体" w:eastAsia="宋体" w:cs="宋体"/>
        </w:rPr>
        <w:t>49</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_Toc13966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4.4 </w:t>
      </w:r>
      <w:r>
        <w:rPr>
          <w:rFonts w:hint="eastAsia" w:ascii="宋体" w:hAnsi="宋体" w:eastAsia="宋体" w:cs="宋体"/>
        </w:rPr>
        <w:t>商务要求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_Toc13966 \h </w:instrText>
      </w:r>
      <w:r>
        <w:rPr>
          <w:rFonts w:hint="eastAsia" w:ascii="宋体" w:hAnsi="宋体" w:eastAsia="宋体" w:cs="宋体"/>
        </w:rPr>
        <w:fldChar w:fldCharType="separate"/>
      </w:r>
      <w:r>
        <w:rPr>
          <w:rFonts w:hint="eastAsia" w:ascii="宋体" w:hAnsi="宋体" w:eastAsia="宋体" w:cs="宋体"/>
        </w:rPr>
        <w:t>54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_Toc10321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4.5 </w:t>
      </w:r>
      <w:r>
        <w:rPr>
          <w:rFonts w:hint="eastAsia" w:ascii="宋体" w:hAnsi="宋体" w:eastAsia="宋体" w:cs="宋体"/>
        </w:rPr>
        <w:t>其他要求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_Toc10321 \h </w:instrText>
      </w:r>
      <w:r>
        <w:rPr>
          <w:rFonts w:hint="eastAsia" w:ascii="宋体" w:hAnsi="宋体" w:eastAsia="宋体" w:cs="宋体"/>
        </w:rPr>
        <w:fldChar w:fldCharType="separate"/>
      </w:r>
      <w:r>
        <w:rPr>
          <w:rFonts w:hint="eastAsia" w:ascii="宋体" w:hAnsi="宋体" w:eastAsia="宋体" w:cs="宋体"/>
        </w:rPr>
        <w:t>61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_Toc26743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4.6 </w:t>
      </w:r>
      <w:r>
        <w:rPr>
          <w:rFonts w:hint="eastAsia" w:ascii="宋体" w:hAnsi="宋体" w:eastAsia="宋体" w:cs="宋体"/>
        </w:rPr>
        <w:t>满足采购需求的最低要求</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_Toc26743 \h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0"/>
        <w:tabs>
          <w:tab w:val="right" w:leader="dot" w:pos="9214"/>
          <w:tab w:val="clear" w:pos="709"/>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_Toc30887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第5章 </w:t>
      </w:r>
      <w:r>
        <w:rPr>
          <w:rFonts w:hint="eastAsia" w:ascii="宋体" w:hAnsi="宋体" w:eastAsia="宋体" w:cs="宋体"/>
        </w:rPr>
        <w:t>磋商办法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_Toc30887 \h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_Toc25442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5.1 </w:t>
      </w:r>
      <w:r>
        <w:rPr>
          <w:rFonts w:hint="eastAsia" w:ascii="宋体" w:hAnsi="宋体" w:eastAsia="宋体" w:cs="宋体"/>
        </w:rPr>
        <w:t>总则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_Toc25442 \h </w:instrText>
      </w:r>
      <w:r>
        <w:rPr>
          <w:rFonts w:hint="eastAsia" w:ascii="宋体" w:hAnsi="宋体" w:eastAsia="宋体" w:cs="宋体"/>
        </w:rPr>
        <w:fldChar w:fldCharType="separate"/>
      </w:r>
      <w:r>
        <w:rPr>
          <w:rFonts w:hint="eastAsia" w:ascii="宋体" w:hAnsi="宋体" w:eastAsia="宋体" w:cs="宋体"/>
        </w:rPr>
        <w:t>63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_Toc27072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5.2 </w:t>
      </w:r>
      <w:r>
        <w:rPr>
          <w:rFonts w:hint="eastAsia" w:ascii="宋体" w:hAnsi="宋体" w:eastAsia="宋体" w:cs="宋体"/>
        </w:rPr>
        <w:t>磋商程序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_Toc27072 \h </w:instrText>
      </w:r>
      <w:r>
        <w:rPr>
          <w:rFonts w:hint="eastAsia" w:ascii="宋体" w:hAnsi="宋体" w:eastAsia="宋体" w:cs="宋体"/>
        </w:rPr>
        <w:fldChar w:fldCharType="separate"/>
      </w:r>
      <w:r>
        <w:rPr>
          <w:rFonts w:hint="eastAsia" w:ascii="宋体" w:hAnsi="宋体" w:eastAsia="宋体" w:cs="宋体"/>
        </w:rPr>
        <w:t>64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_Toc31147 </w:instrText>
      </w:r>
      <w:r>
        <w:rPr>
          <w:rFonts w:hint="eastAsia" w:ascii="宋体" w:hAnsi="宋体" w:eastAsia="宋体" w:cs="宋体"/>
          <w:bCs w:val="0"/>
          <w:szCs w:val="36"/>
        </w:rPr>
        <w:fldChar w:fldCharType="separate"/>
      </w:r>
      <w:r>
        <w:rPr>
          <w:rFonts w:hint="eastAsia" w:ascii="宋体" w:hAnsi="宋体" w:eastAsia="宋体" w:cs="宋体"/>
          <w:i w:val="0"/>
        </w:rPr>
        <w:t xml:space="preserve">5.2.9 </w:t>
      </w:r>
      <w:r>
        <w:rPr>
          <w:rFonts w:hint="eastAsia" w:ascii="宋体" w:hAnsi="宋体" w:eastAsia="宋体" w:cs="宋体"/>
        </w:rPr>
        <w:t>比较与评价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_Toc31147 \h </w:instrText>
      </w:r>
      <w:r>
        <w:rPr>
          <w:rFonts w:hint="eastAsia" w:ascii="宋体" w:hAnsi="宋体" w:eastAsia="宋体" w:cs="宋体"/>
        </w:rPr>
        <w:fldChar w:fldCharType="separate"/>
      </w:r>
      <w:r>
        <w:rPr>
          <w:rFonts w:hint="eastAsia" w:ascii="宋体" w:hAnsi="宋体" w:eastAsia="宋体" w:cs="宋体"/>
        </w:rPr>
        <w:t>75</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_Toc15558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5.3 </w:t>
      </w:r>
      <w:r>
        <w:rPr>
          <w:rFonts w:hint="eastAsia" w:ascii="宋体" w:hAnsi="宋体" w:eastAsia="宋体" w:cs="宋体"/>
        </w:rPr>
        <w:t>争议处理规则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_Toc15558 \h </w:instrText>
      </w:r>
      <w:r>
        <w:rPr>
          <w:rFonts w:hint="eastAsia" w:ascii="宋体" w:hAnsi="宋体" w:eastAsia="宋体" w:cs="宋体"/>
        </w:rPr>
        <w:fldChar w:fldCharType="separate"/>
      </w:r>
      <w:r>
        <w:rPr>
          <w:rFonts w:hint="eastAsia" w:ascii="宋体" w:hAnsi="宋体" w:eastAsia="宋体" w:cs="宋体"/>
        </w:rPr>
        <w:t>78</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_Toc18191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5.4 </w:t>
      </w:r>
      <w:r>
        <w:rPr>
          <w:rFonts w:hint="eastAsia" w:ascii="宋体" w:hAnsi="宋体" w:eastAsia="宋体" w:cs="宋体"/>
        </w:rPr>
        <w:t>评审办法和标准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_Toc18191 \h </w:instrText>
      </w:r>
      <w:r>
        <w:rPr>
          <w:rFonts w:hint="eastAsia" w:ascii="宋体" w:hAnsi="宋体" w:eastAsia="宋体" w:cs="宋体"/>
        </w:rPr>
        <w:fldChar w:fldCharType="separate"/>
      </w:r>
      <w:r>
        <w:rPr>
          <w:rFonts w:hint="eastAsia" w:ascii="宋体" w:hAnsi="宋体" w:eastAsia="宋体" w:cs="宋体"/>
        </w:rPr>
        <w:t>78</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_Toc26844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5.5 </w:t>
      </w:r>
      <w:r>
        <w:rPr>
          <w:rFonts w:hint="eastAsia" w:ascii="宋体" w:hAnsi="宋体" w:eastAsia="宋体" w:cs="宋体"/>
        </w:rPr>
        <w:t>采购失败情形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_Toc26844 \h </w:instrText>
      </w:r>
      <w:r>
        <w:rPr>
          <w:rFonts w:hint="eastAsia" w:ascii="宋体" w:hAnsi="宋体" w:eastAsia="宋体" w:cs="宋体"/>
        </w:rPr>
        <w:fldChar w:fldCharType="separate"/>
      </w:r>
      <w:r>
        <w:rPr>
          <w:rFonts w:hint="eastAsia" w:ascii="宋体" w:hAnsi="宋体" w:eastAsia="宋体" w:cs="宋体"/>
        </w:rPr>
        <w:t>81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_Toc20269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5.6 </w:t>
      </w:r>
      <w:r>
        <w:rPr>
          <w:rFonts w:hint="eastAsia" w:ascii="宋体" w:hAnsi="宋体" w:eastAsia="宋体" w:cs="宋体"/>
        </w:rPr>
        <w:t>确定成交供应商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_Toc20269 \h </w:instrText>
      </w:r>
      <w:r>
        <w:rPr>
          <w:rFonts w:hint="eastAsia" w:ascii="宋体" w:hAnsi="宋体" w:eastAsia="宋体" w:cs="宋体"/>
        </w:rPr>
        <w:fldChar w:fldCharType="separate"/>
      </w:r>
      <w:r>
        <w:rPr>
          <w:rFonts w:hint="eastAsia" w:ascii="宋体" w:hAnsi="宋体" w:eastAsia="宋体" w:cs="宋体"/>
        </w:rPr>
        <w:t>81</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_Toc20478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5.7 </w:t>
      </w:r>
      <w:r>
        <w:rPr>
          <w:rFonts w:hint="eastAsia" w:ascii="宋体" w:hAnsi="宋体" w:eastAsia="宋体" w:cs="宋体"/>
        </w:rPr>
        <w:t>磋商小组成员义务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_Toc20478 \h </w:instrText>
      </w:r>
      <w:r>
        <w:rPr>
          <w:rFonts w:hint="eastAsia" w:ascii="宋体" w:hAnsi="宋体" w:eastAsia="宋体" w:cs="宋体"/>
        </w:rPr>
        <w:fldChar w:fldCharType="separate"/>
      </w:r>
      <w:r>
        <w:rPr>
          <w:rFonts w:hint="eastAsia" w:ascii="宋体" w:hAnsi="宋体" w:eastAsia="宋体" w:cs="宋体"/>
        </w:rPr>
        <w:t>82</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_Toc11627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5.8 </w:t>
      </w:r>
      <w:r>
        <w:rPr>
          <w:rFonts w:hint="eastAsia" w:ascii="宋体" w:hAnsi="宋体" w:eastAsia="宋体" w:cs="宋体"/>
        </w:rPr>
        <w:t>磋商小组及其成员不得有下列行为</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_Toc11627 \h </w:instrText>
      </w:r>
      <w:r>
        <w:rPr>
          <w:rFonts w:hint="eastAsia" w:ascii="宋体" w:hAnsi="宋体" w:eastAsia="宋体" w:cs="宋体"/>
        </w:rPr>
        <w:fldChar w:fldCharType="separate"/>
      </w:r>
      <w:r>
        <w:rPr>
          <w:rFonts w:hint="eastAsia" w:ascii="宋体" w:hAnsi="宋体" w:eastAsia="宋体" w:cs="宋体"/>
        </w:rPr>
        <w:t>83</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6"/>
        <w:tabs>
          <w:tab w:val="right" w:leader="dot" w:pos="9214"/>
          <w:tab w:val="clear" w:pos="620"/>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_Toc17395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5.9 </w:t>
      </w:r>
      <w:r>
        <w:rPr>
          <w:rFonts w:hint="eastAsia" w:ascii="宋体" w:hAnsi="宋体" w:eastAsia="宋体" w:cs="宋体"/>
        </w:rPr>
        <w:t>磋商纪律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_Toc17395 \h </w:instrText>
      </w:r>
      <w:r>
        <w:rPr>
          <w:rFonts w:hint="eastAsia" w:ascii="宋体" w:hAnsi="宋体" w:eastAsia="宋体" w:cs="宋体"/>
        </w:rPr>
        <w:fldChar w:fldCharType="separate"/>
      </w:r>
      <w:r>
        <w:rPr>
          <w:rFonts w:hint="eastAsia" w:ascii="宋体" w:hAnsi="宋体" w:eastAsia="宋体" w:cs="宋体"/>
        </w:rPr>
        <w:t>84</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0"/>
        <w:tabs>
          <w:tab w:val="right" w:leader="dot" w:pos="9214"/>
          <w:tab w:val="clear" w:pos="709"/>
          <w:tab w:val="clear" w:pos="8364"/>
        </w:tabs>
        <w:rPr>
          <w:rFonts w:hint="eastAsia" w:ascii="宋体" w:hAnsi="宋体" w:eastAsia="宋体" w:cs="宋体"/>
        </w:rPr>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_Toc18596 </w:instrText>
      </w:r>
      <w:r>
        <w:rPr>
          <w:rFonts w:hint="eastAsia" w:ascii="宋体" w:hAnsi="宋体" w:eastAsia="宋体" w:cs="宋体"/>
          <w:bCs w:val="0"/>
          <w:szCs w:val="36"/>
        </w:rPr>
        <w:fldChar w:fldCharType="separate"/>
      </w:r>
      <w:r>
        <w:rPr>
          <w:rFonts w:hint="eastAsia" w:ascii="宋体" w:hAnsi="宋体" w:eastAsia="宋体" w:cs="宋体"/>
          <w:i w:val="0"/>
          <w:szCs w:val="28"/>
        </w:rPr>
        <w:t xml:space="preserve">第6章 </w:t>
      </w:r>
      <w:r>
        <w:rPr>
          <w:rFonts w:hint="eastAsia" w:ascii="宋体" w:hAnsi="宋体" w:eastAsia="宋体" w:cs="宋体"/>
        </w:rPr>
        <w:t>合同草案条款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_Toc18596 \h </w:instrText>
      </w:r>
      <w:r>
        <w:rPr>
          <w:rFonts w:hint="eastAsia" w:ascii="宋体" w:hAnsi="宋体" w:eastAsia="宋体" w:cs="宋体"/>
        </w:rPr>
        <w:fldChar w:fldCharType="separate"/>
      </w:r>
      <w:r>
        <w:rPr>
          <w:rFonts w:hint="eastAsia" w:ascii="宋体" w:hAnsi="宋体" w:eastAsia="宋体" w:cs="宋体"/>
        </w:rPr>
        <w:t>86</w:t>
      </w:r>
      <w:r>
        <w:rPr>
          <w:rFonts w:hint="eastAsia" w:ascii="宋体" w:hAnsi="宋体" w:eastAsia="宋体" w:cs="宋体"/>
        </w:rPr>
        <w:fldChar w:fldCharType="end"/>
      </w:r>
      <w:r>
        <w:rPr>
          <w:rFonts w:hint="eastAsia" w:ascii="宋体" w:hAnsi="宋体" w:eastAsia="宋体" w:cs="宋体"/>
          <w:bCs w:val="0"/>
          <w:szCs w:val="36"/>
        </w:rPr>
        <w:fldChar w:fldCharType="end"/>
      </w:r>
    </w:p>
    <w:p>
      <w:pPr>
        <w:pStyle w:val="30"/>
        <w:spacing w:line="300" w:lineRule="exact"/>
        <w:rPr>
          <w:rFonts w:ascii="宋体" w:hAnsi="宋体"/>
          <w:b/>
          <w:bCs w:val="0"/>
          <w:sz w:val="36"/>
          <w:szCs w:val="36"/>
        </w:rPr>
      </w:pPr>
      <w:r>
        <w:rPr>
          <w:rFonts w:hint="eastAsia" w:ascii="宋体" w:hAnsi="宋体" w:eastAsia="宋体" w:cs="宋体"/>
          <w:bCs w:val="0"/>
          <w:szCs w:val="36"/>
        </w:rPr>
        <w:fldChar w:fldCharType="end"/>
      </w:r>
    </w:p>
    <w:p>
      <w:pPr>
        <w:rPr>
          <w:rFonts w:ascii="宋体" w:hAnsi="宋体"/>
          <w:caps/>
          <w:sz w:val="36"/>
          <w:szCs w:val="36"/>
        </w:rPr>
        <w:sectPr>
          <w:footerReference r:id="rId3" w:type="default"/>
          <w:pgSz w:w="11906" w:h="16838"/>
          <w:pgMar w:top="1134" w:right="1274" w:bottom="1440" w:left="1418" w:header="851" w:footer="992" w:gutter="0"/>
          <w:cols w:space="720" w:num="1"/>
          <w:docGrid w:type="lines" w:linePitch="312" w:charSpace="0"/>
        </w:sectPr>
      </w:pPr>
    </w:p>
    <w:p>
      <w:pPr>
        <w:pStyle w:val="3"/>
        <w:widowControl/>
        <w:numPr>
          <w:ilvl w:val="0"/>
          <w:numId w:val="6"/>
        </w:numPr>
        <w:spacing w:before="0" w:after="0" w:line="360" w:lineRule="auto"/>
        <w:ind w:left="0" w:firstLine="0"/>
      </w:pPr>
      <w:bookmarkStart w:id="0" w:name="_Toc226"/>
      <w:r>
        <w:rPr>
          <w:rFonts w:hint="eastAsia"/>
        </w:rPr>
        <w:t>竞争性磋商邀请</w:t>
      </w:r>
      <w:bookmarkEnd w:id="0"/>
    </w:p>
    <w:p>
      <w:pPr>
        <w:spacing w:line="360" w:lineRule="auto"/>
        <w:ind w:left="-124" w:leftChars="-59" w:right="-21" w:rightChars="-10" w:firstLine="703" w:firstLineChars="250"/>
        <w:rPr>
          <w:rFonts w:ascii="宋体" w:hAnsi="宋体"/>
          <w:sz w:val="28"/>
          <w:szCs w:val="28"/>
        </w:rPr>
      </w:pPr>
      <w:r>
        <w:rPr>
          <w:rFonts w:hint="eastAsia" w:ascii="宋体" w:hAnsi="宋体"/>
          <w:b/>
          <w:sz w:val="28"/>
          <w:szCs w:val="28"/>
          <w:lang w:eastAsia="zh-CN"/>
        </w:rPr>
        <w:t>成都市新都区公共资源交易服务中心</w:t>
      </w:r>
      <w:r>
        <w:rPr>
          <w:rFonts w:hint="eastAsia" w:ascii="宋体" w:hAnsi="宋体"/>
          <w:sz w:val="28"/>
          <w:szCs w:val="28"/>
        </w:rPr>
        <w:t>(以下简称“</w:t>
      </w:r>
      <w:r>
        <w:rPr>
          <w:rFonts w:hint="eastAsia" w:ascii="宋体" w:hAnsi="宋体"/>
          <w:sz w:val="28"/>
          <w:szCs w:val="28"/>
          <w:lang w:eastAsia="zh-CN"/>
        </w:rPr>
        <w:t>区交易中心</w:t>
      </w:r>
      <w:r>
        <w:rPr>
          <w:rFonts w:hint="eastAsia" w:ascii="宋体" w:hAnsi="宋体"/>
          <w:sz w:val="28"/>
          <w:szCs w:val="28"/>
        </w:rPr>
        <w:t>”)受</w:t>
      </w:r>
      <w:r>
        <w:rPr>
          <w:rFonts w:hint="eastAsia" w:ascii="宋体" w:hAnsi="宋体"/>
          <w:b/>
          <w:sz w:val="28"/>
          <w:szCs w:val="28"/>
          <w:lang w:eastAsia="zh-CN"/>
        </w:rPr>
        <w:t>成都市新都区石板滩街道木兰卫生院</w:t>
      </w:r>
      <w:r>
        <w:rPr>
          <w:rFonts w:hint="eastAsia" w:ascii="宋体" w:hAnsi="宋体"/>
          <w:sz w:val="28"/>
          <w:szCs w:val="28"/>
        </w:rPr>
        <w:t>委托,拟对</w:t>
      </w:r>
      <w:r>
        <w:rPr>
          <w:rFonts w:hint="eastAsia" w:ascii="宋体" w:hAnsi="宋体"/>
          <w:b/>
          <w:sz w:val="28"/>
          <w:szCs w:val="28"/>
          <w:lang w:eastAsia="zh-CN"/>
        </w:rPr>
        <w:t>成都市新都区石板滩街道木兰卫生院LED显示屏采购项目（第二次）</w:t>
      </w:r>
      <w:r>
        <w:rPr>
          <w:rFonts w:hint="eastAsia" w:ascii="宋体" w:hAnsi="宋体"/>
          <w:sz w:val="28"/>
          <w:szCs w:val="28"/>
        </w:rPr>
        <w:t>采用竞争性磋商采购方式进行采购，欢迎供应商参加该项目的竞争性磋商。</w:t>
      </w:r>
    </w:p>
    <w:p>
      <w:pPr>
        <w:widowControl/>
        <w:numPr>
          <w:ilvl w:val="0"/>
          <w:numId w:val="7"/>
        </w:numPr>
        <w:spacing w:after="200" w:line="360" w:lineRule="auto"/>
        <w:ind w:left="0" w:firstLine="567"/>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lang w:eastAsia="zh-CN"/>
        </w:rPr>
        <w:t>新都政采（2021）A0036号-1</w:t>
      </w:r>
    </w:p>
    <w:p>
      <w:pPr>
        <w:spacing w:line="360" w:lineRule="auto"/>
        <w:ind w:left="-124" w:leftChars="-59" w:right="-21" w:rightChars="-10" w:firstLine="703" w:firstLineChars="250"/>
        <w:rPr>
          <w:rFonts w:ascii="宋体" w:hAnsi="宋体"/>
          <w:b/>
          <w:sz w:val="28"/>
          <w:szCs w:val="28"/>
        </w:rPr>
      </w:pPr>
      <w:r>
        <w:rPr>
          <w:rFonts w:hint="eastAsia" w:ascii="宋体" w:hAnsi="宋体"/>
          <w:b/>
          <w:sz w:val="28"/>
          <w:szCs w:val="28"/>
        </w:rPr>
        <w:t>（采购项目编号：510114202100</w:t>
      </w:r>
      <w:r>
        <w:rPr>
          <w:rFonts w:hint="eastAsia" w:ascii="宋体" w:hAnsi="宋体"/>
          <w:b/>
          <w:sz w:val="28"/>
          <w:szCs w:val="28"/>
          <w:lang w:val="en-US" w:eastAsia="zh-CN"/>
        </w:rPr>
        <w:t>237</w:t>
      </w:r>
      <w:r>
        <w:rPr>
          <w:rFonts w:hint="eastAsia" w:ascii="宋体" w:hAnsi="宋体"/>
          <w:b/>
          <w:sz w:val="28"/>
          <w:szCs w:val="28"/>
        </w:rPr>
        <w:t>）</w:t>
      </w:r>
    </w:p>
    <w:p>
      <w:pPr>
        <w:widowControl/>
        <w:numPr>
          <w:ilvl w:val="0"/>
          <w:numId w:val="7"/>
        </w:numPr>
        <w:spacing w:after="200" w:line="360" w:lineRule="auto"/>
        <w:ind w:left="0" w:firstLine="567"/>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sz w:val="28"/>
          <w:szCs w:val="28"/>
          <w:lang w:eastAsia="zh-CN"/>
        </w:rPr>
        <w:t>成都市新都区石板滩街道木兰卫生院LED显示屏采购项目（第二次）</w:t>
      </w:r>
    </w:p>
    <w:p>
      <w:pPr>
        <w:widowControl/>
        <w:numPr>
          <w:ilvl w:val="0"/>
          <w:numId w:val="7"/>
        </w:numPr>
        <w:spacing w:after="200" w:line="360" w:lineRule="auto"/>
        <w:ind w:left="0" w:firstLine="567"/>
        <w:rPr>
          <w:rFonts w:ascii="宋体" w:hAnsi="宋体"/>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财政性资金，政府采购实施计划备案表号：(2021)06</w:t>
      </w:r>
      <w:r>
        <w:rPr>
          <w:rFonts w:hint="eastAsia" w:ascii="宋体" w:hAnsi="宋体"/>
          <w:sz w:val="28"/>
          <w:szCs w:val="28"/>
          <w:lang w:val="en-US" w:eastAsia="zh-CN"/>
        </w:rPr>
        <w:t>7</w:t>
      </w:r>
      <w:r>
        <w:rPr>
          <w:rFonts w:hint="eastAsia" w:ascii="宋体" w:hAnsi="宋体"/>
          <w:sz w:val="28"/>
          <w:szCs w:val="28"/>
        </w:rPr>
        <w:t>2号。预算品目：A02</w:t>
      </w:r>
      <w:r>
        <w:rPr>
          <w:rFonts w:hint="eastAsia" w:ascii="宋体" w:hAnsi="宋体"/>
          <w:sz w:val="28"/>
          <w:szCs w:val="28"/>
          <w:lang w:val="en-US" w:eastAsia="zh-CN"/>
        </w:rPr>
        <w:t xml:space="preserve">0207LED显示屏 </w:t>
      </w:r>
      <w:r>
        <w:rPr>
          <w:rFonts w:hint="eastAsia" w:ascii="宋体" w:hAnsi="宋体"/>
          <w:sz w:val="28"/>
          <w:szCs w:val="28"/>
        </w:rPr>
        <w:t>；预算金额：</w:t>
      </w:r>
      <w:r>
        <w:rPr>
          <w:rFonts w:hint="eastAsia" w:ascii="宋体" w:hAnsi="宋体"/>
          <w:sz w:val="28"/>
          <w:szCs w:val="28"/>
          <w:lang w:val="en-US" w:eastAsia="zh-CN"/>
        </w:rPr>
        <w:t>30</w:t>
      </w:r>
      <w:r>
        <w:rPr>
          <w:rFonts w:hint="eastAsia" w:ascii="宋体" w:hAnsi="宋体"/>
          <w:sz w:val="28"/>
          <w:szCs w:val="28"/>
        </w:rPr>
        <w:t>万元；最高限价</w:t>
      </w:r>
      <w:r>
        <w:rPr>
          <w:rFonts w:hint="eastAsia" w:ascii="宋体" w:hAnsi="宋体"/>
          <w:sz w:val="28"/>
          <w:szCs w:val="28"/>
          <w:lang w:val="en-US" w:eastAsia="zh-CN"/>
        </w:rPr>
        <w:t>30</w:t>
      </w:r>
      <w:r>
        <w:rPr>
          <w:rFonts w:hint="eastAsia" w:ascii="宋体" w:hAnsi="宋体"/>
          <w:sz w:val="28"/>
          <w:szCs w:val="28"/>
        </w:rPr>
        <w:t>万元。</w:t>
      </w:r>
    </w:p>
    <w:p>
      <w:pPr>
        <w:widowControl/>
        <w:numPr>
          <w:ilvl w:val="0"/>
          <w:numId w:val="7"/>
        </w:numPr>
        <w:spacing w:after="200"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pStyle w:val="151"/>
        <w:numPr>
          <w:ilvl w:val="0"/>
          <w:numId w:val="8"/>
        </w:numPr>
        <w:tabs>
          <w:tab w:val="left" w:pos="1134"/>
        </w:tabs>
        <w:spacing w:after="200"/>
        <w:ind w:left="1050" w:leftChars="0" w:firstLineChars="0"/>
        <w:rPr>
          <w:rFonts w:ascii="宋体" w:hAnsi="宋体"/>
          <w:sz w:val="28"/>
          <w:szCs w:val="28"/>
        </w:rPr>
      </w:pPr>
      <w:r>
        <w:rPr>
          <w:rFonts w:hint="eastAsia" w:ascii="宋体" w:hAnsi="宋体"/>
          <w:sz w:val="28"/>
          <w:szCs w:val="28"/>
        </w:rPr>
        <w:t>符合《政府采购法》第二十二条第一款规定的条件；</w:t>
      </w:r>
    </w:p>
    <w:p>
      <w:pPr>
        <w:pStyle w:val="151"/>
        <w:numPr>
          <w:ilvl w:val="0"/>
          <w:numId w:val="8"/>
        </w:numPr>
        <w:tabs>
          <w:tab w:val="left" w:pos="0"/>
          <w:tab w:val="left" w:pos="1134"/>
        </w:tabs>
        <w:spacing w:after="200"/>
        <w:ind w:left="62" w:leftChars="0" w:firstLine="568" w:firstLineChars="0"/>
        <w:rPr>
          <w:rFonts w:ascii="宋体" w:hAnsi="宋体"/>
          <w:b/>
          <w:bCs/>
          <w:sz w:val="28"/>
          <w:szCs w:val="28"/>
        </w:rPr>
      </w:pPr>
      <w:r>
        <w:rPr>
          <w:rFonts w:hint="eastAsia" w:ascii="宋体" w:hAnsi="宋体"/>
          <w:b/>
          <w:bCs/>
          <w:sz w:val="28"/>
          <w:szCs w:val="28"/>
        </w:rPr>
        <w:t>本项目为专门面向中小企业采购项目，供</w:t>
      </w:r>
      <w:r>
        <w:rPr>
          <w:rFonts w:hint="eastAsia" w:ascii="宋体" w:hAnsi="宋体"/>
          <w:b/>
          <w:bCs/>
          <w:sz w:val="28"/>
          <w:szCs w:val="28"/>
          <w:highlight w:val="none"/>
        </w:rPr>
        <w:t>应商提供的货物全部由符合政策要求的中小企业制造。（说明：监狱企业、残疾人福利性单位</w:t>
      </w:r>
      <w:r>
        <w:rPr>
          <w:rFonts w:hint="eastAsia" w:ascii="宋体" w:hAnsi="宋体"/>
          <w:b/>
          <w:bCs/>
          <w:sz w:val="28"/>
          <w:szCs w:val="28"/>
        </w:rPr>
        <w:t>视同小型、微型企业）</w:t>
      </w:r>
    </w:p>
    <w:p>
      <w:pPr>
        <w:pStyle w:val="151"/>
        <w:numPr>
          <w:ilvl w:val="0"/>
          <w:numId w:val="8"/>
        </w:numPr>
        <w:tabs>
          <w:tab w:val="left" w:pos="0"/>
          <w:tab w:val="left" w:pos="1134"/>
        </w:tabs>
        <w:spacing w:after="200"/>
        <w:ind w:left="62" w:leftChars="0" w:firstLine="568" w:firstLineChars="0"/>
        <w:rPr>
          <w:rFonts w:hint="eastAsia" w:ascii="宋体" w:hAnsi="宋体"/>
          <w:b w:val="0"/>
          <w:bCs w:val="0"/>
          <w:sz w:val="28"/>
          <w:szCs w:val="28"/>
        </w:rPr>
      </w:pPr>
      <w:r>
        <w:rPr>
          <w:rFonts w:hint="eastAsia" w:ascii="宋体" w:hAnsi="宋体"/>
          <w:b w:val="0"/>
          <w:bCs w:val="0"/>
          <w:sz w:val="28"/>
          <w:szCs w:val="28"/>
        </w:rPr>
        <w:t>未被列入失信被执行人、重大税收违法案件当事人名单、政府采购严重违法失信行为记录名单；</w:t>
      </w:r>
    </w:p>
    <w:p>
      <w:pPr>
        <w:pStyle w:val="151"/>
        <w:numPr>
          <w:ilvl w:val="0"/>
          <w:numId w:val="8"/>
        </w:numPr>
        <w:tabs>
          <w:tab w:val="left" w:pos="0"/>
          <w:tab w:val="left" w:pos="1134"/>
        </w:tabs>
        <w:spacing w:after="200"/>
        <w:ind w:left="62" w:leftChars="0" w:firstLine="568" w:firstLineChars="0"/>
        <w:rPr>
          <w:rFonts w:hint="eastAsia" w:ascii="宋体" w:hAnsi="宋体"/>
          <w:b w:val="0"/>
          <w:bCs w:val="0"/>
          <w:sz w:val="28"/>
          <w:szCs w:val="28"/>
        </w:rPr>
      </w:pPr>
      <w:r>
        <w:rPr>
          <w:rFonts w:hint="eastAsia" w:ascii="宋体" w:hAnsi="宋体"/>
          <w:b w:val="0"/>
          <w:bCs w:val="0"/>
          <w:sz w:val="28"/>
          <w:szCs w:val="28"/>
        </w:rPr>
        <w:t>在行贿犯罪信息查询期限内，供应商及其现任法定代表人、主要负责人没有行贿犯罪记录；</w:t>
      </w:r>
    </w:p>
    <w:p>
      <w:pPr>
        <w:pStyle w:val="151"/>
        <w:numPr>
          <w:ilvl w:val="0"/>
          <w:numId w:val="8"/>
        </w:numPr>
        <w:tabs>
          <w:tab w:val="left" w:pos="0"/>
          <w:tab w:val="left" w:pos="1134"/>
        </w:tabs>
        <w:spacing w:after="200"/>
        <w:ind w:left="62" w:leftChars="0" w:firstLine="568" w:firstLineChars="0"/>
        <w:rPr>
          <w:rFonts w:hint="eastAsia" w:ascii="宋体" w:hAnsi="宋体"/>
          <w:b w:val="0"/>
          <w:bCs w:val="0"/>
          <w:sz w:val="28"/>
          <w:szCs w:val="28"/>
        </w:rPr>
      </w:pPr>
      <w:r>
        <w:rPr>
          <w:rFonts w:hint="eastAsia" w:ascii="宋体" w:hAnsi="宋体"/>
          <w:b w:val="0"/>
          <w:bCs w:val="0"/>
          <w:sz w:val="28"/>
          <w:szCs w:val="28"/>
        </w:rPr>
        <w:t>未处于被行政部门禁止参与政府采购活动的期限内；</w:t>
      </w:r>
    </w:p>
    <w:p>
      <w:pPr>
        <w:pStyle w:val="151"/>
        <w:numPr>
          <w:ilvl w:val="0"/>
          <w:numId w:val="8"/>
        </w:numPr>
        <w:tabs>
          <w:tab w:val="left" w:pos="0"/>
          <w:tab w:val="left" w:pos="1134"/>
        </w:tabs>
        <w:spacing w:after="200"/>
        <w:ind w:left="62" w:leftChars="0" w:firstLine="568" w:firstLineChars="0"/>
        <w:rPr>
          <w:rFonts w:hint="eastAsia" w:ascii="宋体" w:hAnsi="宋体"/>
          <w:b w:val="0"/>
          <w:bCs w:val="0"/>
          <w:sz w:val="28"/>
          <w:szCs w:val="28"/>
        </w:rPr>
      </w:pPr>
      <w:r>
        <w:rPr>
          <w:rFonts w:hint="eastAsia" w:ascii="宋体" w:hAnsi="宋体"/>
          <w:b w:val="0"/>
          <w:bCs w:val="0"/>
          <w:sz w:val="28"/>
          <w:szCs w:val="28"/>
        </w:rPr>
        <w:t>不属于其他国家相关法律法规规定的禁止参加磋商的供应商；</w:t>
      </w:r>
    </w:p>
    <w:p>
      <w:pPr>
        <w:pStyle w:val="151"/>
        <w:numPr>
          <w:ilvl w:val="0"/>
          <w:numId w:val="8"/>
        </w:numPr>
        <w:tabs>
          <w:tab w:val="left" w:pos="0"/>
          <w:tab w:val="left" w:pos="1134"/>
        </w:tabs>
        <w:spacing w:after="200"/>
        <w:ind w:left="62" w:leftChars="0" w:firstLine="568" w:firstLineChars="0"/>
        <w:rPr>
          <w:rFonts w:hint="eastAsia" w:ascii="宋体" w:hAnsi="宋体"/>
          <w:b w:val="0"/>
          <w:bCs w:val="0"/>
          <w:sz w:val="28"/>
          <w:szCs w:val="28"/>
          <w:highlight w:val="none"/>
        </w:rPr>
      </w:pPr>
      <w:r>
        <w:rPr>
          <w:rFonts w:hint="eastAsia" w:ascii="宋体" w:hAnsi="宋体"/>
          <w:b w:val="0"/>
          <w:bCs w:val="0"/>
          <w:sz w:val="28"/>
          <w:szCs w:val="28"/>
        </w:rPr>
        <w:t>在中华人民共和国境内依法登记注册，并有效存续具有独立法人资格的供</w:t>
      </w:r>
      <w:r>
        <w:rPr>
          <w:rFonts w:hint="eastAsia" w:ascii="宋体" w:hAnsi="宋体"/>
          <w:b w:val="0"/>
          <w:bCs w:val="0"/>
          <w:sz w:val="28"/>
          <w:szCs w:val="28"/>
          <w:highlight w:val="none"/>
        </w:rPr>
        <w:t>应商；</w:t>
      </w:r>
    </w:p>
    <w:p>
      <w:pPr>
        <w:pStyle w:val="151"/>
        <w:numPr>
          <w:ilvl w:val="0"/>
          <w:numId w:val="8"/>
        </w:numPr>
        <w:tabs>
          <w:tab w:val="left" w:pos="0"/>
          <w:tab w:val="left" w:pos="1134"/>
        </w:tabs>
        <w:spacing w:after="200"/>
        <w:ind w:left="62" w:leftChars="0" w:firstLine="568" w:firstLineChars="0"/>
        <w:rPr>
          <w:rFonts w:hint="eastAsia" w:ascii="宋体" w:hAnsi="宋体"/>
          <w:b w:val="0"/>
          <w:bCs w:val="0"/>
          <w:sz w:val="28"/>
          <w:szCs w:val="28"/>
        </w:rPr>
      </w:pPr>
      <w:r>
        <w:rPr>
          <w:rFonts w:hint="eastAsia" w:ascii="宋体" w:hAnsi="宋体"/>
          <w:b w:val="0"/>
          <w:bCs w:val="0"/>
          <w:sz w:val="28"/>
          <w:szCs w:val="28"/>
        </w:rPr>
        <w:t>本次政府采购活动不接受供应商</w:t>
      </w:r>
      <w:r>
        <w:rPr>
          <w:rFonts w:hint="eastAsia" w:ascii="宋体" w:hAnsi="宋体"/>
          <w:b w:val="0"/>
          <w:bCs w:val="0"/>
          <w:sz w:val="28"/>
          <w:szCs w:val="28"/>
          <w:highlight w:val="none"/>
        </w:rPr>
        <w:t>以联合体的形式参加</w:t>
      </w:r>
      <w:r>
        <w:rPr>
          <w:rFonts w:hint="eastAsia" w:ascii="宋体" w:hAnsi="宋体"/>
          <w:b w:val="0"/>
          <w:bCs w:val="0"/>
          <w:sz w:val="28"/>
          <w:szCs w:val="28"/>
        </w:rPr>
        <w:t>磋商。</w:t>
      </w:r>
    </w:p>
    <w:p>
      <w:pPr>
        <w:widowControl/>
        <w:numPr>
          <w:ilvl w:val="0"/>
          <w:numId w:val="7"/>
        </w:numPr>
        <w:spacing w:after="200" w:line="360" w:lineRule="auto"/>
        <w:ind w:left="0" w:firstLine="567"/>
        <w:rPr>
          <w:rFonts w:ascii="宋体" w:hAnsi="宋体"/>
          <w:b/>
          <w:sz w:val="28"/>
          <w:szCs w:val="28"/>
        </w:rPr>
      </w:pPr>
      <w:r>
        <w:rPr>
          <w:rFonts w:hint="eastAsia" w:ascii="宋体" w:hAnsi="宋体"/>
          <w:b/>
          <w:sz w:val="28"/>
          <w:szCs w:val="28"/>
        </w:rPr>
        <w:t>采购项目技术、服务、商务和报价要求</w:t>
      </w:r>
    </w:p>
    <w:p>
      <w:pPr>
        <w:widowControl/>
        <w:numPr>
          <w:ilvl w:val="0"/>
          <w:numId w:val="9"/>
        </w:numPr>
        <w:tabs>
          <w:tab w:val="left" w:pos="851"/>
        </w:tabs>
        <w:spacing w:after="200" w:line="360" w:lineRule="auto"/>
        <w:jc w:val="left"/>
        <w:rPr>
          <w:rFonts w:ascii="宋体" w:hAnsi="宋体"/>
          <w:sz w:val="28"/>
          <w:szCs w:val="28"/>
        </w:rPr>
      </w:pPr>
      <w:r>
        <w:rPr>
          <w:rFonts w:hint="eastAsia" w:ascii="宋体" w:hAnsi="宋体"/>
          <w:sz w:val="28"/>
          <w:szCs w:val="28"/>
        </w:rPr>
        <w:t>采购内容</w:t>
      </w:r>
    </w:p>
    <w:tbl>
      <w:tblPr>
        <w:tblStyle w:val="42"/>
        <w:tblW w:w="9381" w:type="dxa"/>
        <w:jc w:val="center"/>
        <w:tblInd w:w="0" w:type="dxa"/>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1787"/>
        <w:gridCol w:w="3532"/>
        <w:gridCol w:w="853"/>
        <w:gridCol w:w="1607"/>
        <w:gridCol w:w="1602"/>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产品名称</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单位</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数量</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标的物所属行业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液晶拼接单元（一）</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台</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9</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2</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LCD屏支架（一）</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套</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9</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eastAsia="zh-CN"/>
              </w:rPr>
            </w:pPr>
            <w:r>
              <w:rPr>
                <w:rFonts w:hint="eastAsia" w:ascii="宋体" w:hAnsi="宋体" w:eastAsia="宋体" w:cs="宋体"/>
                <w:color w:val="000000"/>
                <w:kern w:val="0"/>
                <w:sz w:val="24"/>
                <w:szCs w:val="24"/>
                <w:highlight w:val="none"/>
                <w:lang w:eastAsia="zh-CN"/>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视音频线缆（一）</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根</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分频器（一）</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个</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5</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液晶拼接单元（二）</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台</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12</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6</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LCD屏支架（二）</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套</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12</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7</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视音频线缆（二）</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根</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8</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分频器（二）</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个</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9</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P3户内表贴全彩LED屏</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套</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10</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P10户外直插单红LED屏</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套</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r>
              <w:rPr>
                <w:rFonts w:hint="eastAsia" w:ascii="宋体" w:hAnsi="宋体" w:cs="宋体"/>
                <w:color w:val="000000"/>
                <w:kern w:val="0"/>
                <w:sz w:val="24"/>
                <w:szCs w:val="24"/>
                <w:highlight w:val="none"/>
                <w:lang w:val="en-US" w:eastAsia="zh-CN"/>
              </w:rPr>
              <w:t>1</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视频控制器</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台</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r>
              <w:rPr>
                <w:rFonts w:hint="eastAsia" w:ascii="宋体" w:hAnsi="宋体" w:cs="宋体"/>
                <w:color w:val="000000"/>
                <w:kern w:val="0"/>
                <w:sz w:val="24"/>
                <w:szCs w:val="24"/>
                <w:highlight w:val="none"/>
                <w:lang w:val="en-US" w:eastAsia="zh-CN"/>
              </w:rPr>
              <w:t>2</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接收卡</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批</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r>
              <w:rPr>
                <w:rFonts w:hint="eastAsia" w:ascii="宋体" w:hAnsi="宋体" w:cs="宋体"/>
                <w:color w:val="000000"/>
                <w:kern w:val="0"/>
                <w:sz w:val="24"/>
                <w:szCs w:val="24"/>
                <w:highlight w:val="none"/>
                <w:lang w:val="en-US" w:eastAsia="zh-CN"/>
              </w:rPr>
              <w:t>3</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显示屏专用配电柜</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台</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702"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r>
              <w:rPr>
                <w:rFonts w:hint="eastAsia" w:ascii="宋体" w:hAnsi="宋体" w:cs="宋体"/>
                <w:color w:val="000000"/>
                <w:kern w:val="0"/>
                <w:sz w:val="24"/>
                <w:szCs w:val="24"/>
                <w:highlight w:val="none"/>
                <w:lang w:val="en-US" w:eastAsia="zh-CN"/>
              </w:rPr>
              <w:t>4</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安装、系统集成</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项</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textAlignment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w:t>
            </w:r>
          </w:p>
        </w:tc>
      </w:tr>
    </w:tbl>
    <w:p>
      <w:pPr>
        <w:widowControl/>
        <w:numPr>
          <w:ilvl w:val="0"/>
          <w:numId w:val="0"/>
        </w:numPr>
        <w:tabs>
          <w:tab w:val="left" w:pos="851"/>
        </w:tabs>
        <w:spacing w:after="200" w:line="360" w:lineRule="auto"/>
        <w:jc w:val="left"/>
        <w:rPr>
          <w:rFonts w:hint="eastAsia" w:ascii="宋体" w:hAnsi="宋体" w:eastAsia="宋体"/>
          <w:sz w:val="28"/>
          <w:szCs w:val="28"/>
          <w:lang w:val="en-US" w:eastAsia="zh-CN"/>
        </w:rPr>
      </w:pPr>
      <w:r>
        <w:rPr>
          <w:rFonts w:hint="eastAsia" w:ascii="宋体" w:hAnsi="宋体"/>
          <w:sz w:val="28"/>
          <w:szCs w:val="28"/>
          <w:lang w:val="en-US" w:eastAsia="zh-CN"/>
        </w:rPr>
        <w:t>注：可以不提供“安装、系统集成”此项的企业的中小企业声明。</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具体采购内容见磋商文件 “第4章项目技术、服务、商务及其他要求”。</w:t>
      </w:r>
    </w:p>
    <w:p>
      <w:pPr>
        <w:widowControl/>
        <w:numPr>
          <w:ilvl w:val="0"/>
          <w:numId w:val="9"/>
        </w:numPr>
        <w:tabs>
          <w:tab w:val="left" w:pos="851"/>
        </w:tabs>
        <w:spacing w:after="200" w:line="360" w:lineRule="auto"/>
        <w:jc w:val="left"/>
        <w:rPr>
          <w:rFonts w:ascii="宋体" w:hAnsi="宋体"/>
          <w:sz w:val="28"/>
          <w:szCs w:val="28"/>
        </w:rPr>
      </w:pPr>
      <w:r>
        <w:rPr>
          <w:rFonts w:hint="eastAsia" w:ascii="宋体" w:hAnsi="宋体"/>
          <w:sz w:val="28"/>
          <w:szCs w:val="28"/>
        </w:rPr>
        <w:t>技术、服务要求</w:t>
      </w:r>
    </w:p>
    <w:p>
      <w:pPr>
        <w:spacing w:line="360" w:lineRule="auto"/>
        <w:ind w:firstLine="560" w:firstLineChars="200"/>
        <w:rPr>
          <w:rFonts w:ascii="宋体" w:hAnsi="宋体"/>
          <w:sz w:val="28"/>
          <w:szCs w:val="28"/>
        </w:rPr>
      </w:pPr>
      <w:r>
        <w:rPr>
          <w:rFonts w:hint="eastAsia" w:ascii="宋体" w:hAnsi="宋体"/>
          <w:sz w:val="28"/>
          <w:szCs w:val="28"/>
        </w:rPr>
        <w:t>见磋商文件 “第4章项目技术、服务、商务及其他要求”。</w:t>
      </w:r>
    </w:p>
    <w:p>
      <w:pPr>
        <w:widowControl/>
        <w:numPr>
          <w:ilvl w:val="0"/>
          <w:numId w:val="9"/>
        </w:numPr>
        <w:tabs>
          <w:tab w:val="left" w:pos="851"/>
        </w:tabs>
        <w:spacing w:after="200" w:line="360" w:lineRule="auto"/>
        <w:jc w:val="left"/>
        <w:rPr>
          <w:rFonts w:ascii="宋体" w:hAnsi="宋体"/>
          <w:sz w:val="28"/>
          <w:szCs w:val="28"/>
        </w:rPr>
      </w:pPr>
      <w:r>
        <w:rPr>
          <w:rFonts w:hint="eastAsia" w:ascii="宋体" w:hAnsi="宋体"/>
          <w:sz w:val="28"/>
          <w:szCs w:val="28"/>
        </w:rPr>
        <w:t>报价要求</w:t>
      </w:r>
    </w:p>
    <w:p>
      <w:pPr>
        <w:spacing w:line="360" w:lineRule="auto"/>
        <w:ind w:firstLine="562" w:firstLineChars="201"/>
        <w:rPr>
          <w:rFonts w:ascii="宋体" w:hAnsi="宋体"/>
          <w:sz w:val="28"/>
          <w:szCs w:val="28"/>
        </w:rPr>
      </w:pPr>
      <w:r>
        <w:rPr>
          <w:rFonts w:hint="eastAsia" w:ascii="宋体" w:hAnsi="宋体"/>
          <w:sz w:val="28"/>
          <w:szCs w:val="28"/>
        </w:rPr>
        <w:t>供应商按磋商文件要求进行报价。</w:t>
      </w:r>
    </w:p>
    <w:p>
      <w:pPr>
        <w:widowControl/>
        <w:numPr>
          <w:ilvl w:val="0"/>
          <w:numId w:val="7"/>
        </w:numPr>
        <w:spacing w:after="200" w:line="360" w:lineRule="auto"/>
        <w:ind w:left="0" w:firstLine="567"/>
        <w:rPr>
          <w:rFonts w:ascii="宋体" w:hAnsi="宋体"/>
          <w:sz w:val="28"/>
          <w:szCs w:val="28"/>
        </w:rPr>
      </w:pPr>
      <w:r>
        <w:rPr>
          <w:rFonts w:hint="eastAsia" w:ascii="宋体" w:hAnsi="宋体"/>
          <w:b/>
          <w:sz w:val="28"/>
          <w:szCs w:val="28"/>
        </w:rPr>
        <w:t>磋商文件获取时间</w:t>
      </w:r>
    </w:p>
    <w:p>
      <w:pPr>
        <w:spacing w:line="600" w:lineRule="exact"/>
        <w:ind w:firstLine="562" w:firstLineChars="200"/>
        <w:rPr>
          <w:rFonts w:ascii="宋体" w:hAnsi="宋体"/>
          <w:b/>
          <w:sz w:val="28"/>
          <w:szCs w:val="28"/>
        </w:rPr>
      </w:pPr>
      <w:r>
        <w:rPr>
          <w:rFonts w:hint="eastAsia" w:ascii="宋体" w:hAnsi="宋体"/>
          <w:b/>
          <w:sz w:val="28"/>
          <w:szCs w:val="28"/>
        </w:rPr>
        <w:t>（一）磋商文件获取时间：2021年</w:t>
      </w:r>
      <w:r>
        <w:rPr>
          <w:rFonts w:hint="eastAsia" w:ascii="宋体" w:hAnsi="宋体"/>
          <w:b/>
          <w:sz w:val="28"/>
          <w:szCs w:val="28"/>
          <w:lang w:val="en-US" w:eastAsia="zh-CN"/>
        </w:rPr>
        <w:t>10</w:t>
      </w:r>
      <w:r>
        <w:rPr>
          <w:rFonts w:hint="eastAsia" w:ascii="宋体" w:hAnsi="宋体"/>
          <w:b/>
          <w:sz w:val="28"/>
          <w:szCs w:val="28"/>
        </w:rPr>
        <w:t>月</w:t>
      </w:r>
      <w:r>
        <w:rPr>
          <w:rFonts w:hint="eastAsia" w:ascii="宋体" w:hAnsi="宋体"/>
          <w:b/>
          <w:sz w:val="28"/>
          <w:szCs w:val="28"/>
          <w:lang w:val="en-US" w:eastAsia="zh-CN"/>
        </w:rPr>
        <w:t>15</w:t>
      </w:r>
      <w:r>
        <w:rPr>
          <w:rFonts w:hint="eastAsia" w:ascii="宋体" w:hAnsi="宋体"/>
          <w:b/>
          <w:sz w:val="28"/>
          <w:szCs w:val="28"/>
        </w:rPr>
        <w:t>日至</w:t>
      </w:r>
      <w:r>
        <w:rPr>
          <w:rFonts w:hint="eastAsia" w:ascii="宋体" w:hAnsi="宋体"/>
          <w:b/>
          <w:sz w:val="28"/>
          <w:szCs w:val="28"/>
          <w:lang w:val="en-US" w:eastAsia="zh-CN"/>
        </w:rPr>
        <w:t>2021年10</w:t>
      </w:r>
      <w:r>
        <w:rPr>
          <w:rFonts w:hint="eastAsia" w:ascii="宋体" w:hAnsi="宋体"/>
          <w:b/>
          <w:sz w:val="28"/>
          <w:szCs w:val="28"/>
        </w:rPr>
        <w:t>月</w:t>
      </w:r>
      <w:r>
        <w:rPr>
          <w:rFonts w:hint="eastAsia" w:ascii="宋体" w:hAnsi="宋体"/>
          <w:b/>
          <w:sz w:val="28"/>
          <w:szCs w:val="28"/>
          <w:lang w:val="en-US" w:eastAsia="zh-CN"/>
        </w:rPr>
        <w:t>25</w:t>
      </w:r>
      <w:r>
        <w:rPr>
          <w:rFonts w:hint="eastAsia" w:ascii="宋体" w:hAnsi="宋体"/>
          <w:b/>
          <w:sz w:val="28"/>
          <w:szCs w:val="28"/>
        </w:rPr>
        <w:t>日。</w:t>
      </w:r>
    </w:p>
    <w:p>
      <w:pPr>
        <w:spacing w:line="600" w:lineRule="exact"/>
        <w:ind w:firstLine="562" w:firstLineChars="200"/>
        <w:rPr>
          <w:rFonts w:ascii="宋体" w:hAnsi="宋体"/>
          <w:sz w:val="28"/>
          <w:szCs w:val="28"/>
        </w:rPr>
      </w:pPr>
      <w:r>
        <w:rPr>
          <w:rFonts w:hint="eastAsia" w:ascii="宋体" w:hAnsi="宋体"/>
          <w:b/>
          <w:sz w:val="28"/>
          <w:szCs w:val="28"/>
        </w:rPr>
        <w:t>（二）公告期限：2021年</w:t>
      </w:r>
      <w:r>
        <w:rPr>
          <w:rFonts w:hint="eastAsia" w:ascii="宋体" w:hAnsi="宋体"/>
          <w:b/>
          <w:sz w:val="28"/>
          <w:szCs w:val="28"/>
          <w:lang w:val="en-US" w:eastAsia="zh-CN"/>
        </w:rPr>
        <w:t>10</w:t>
      </w:r>
      <w:r>
        <w:rPr>
          <w:rFonts w:hint="eastAsia" w:ascii="宋体" w:hAnsi="宋体"/>
          <w:b/>
          <w:sz w:val="28"/>
          <w:szCs w:val="28"/>
        </w:rPr>
        <w:t>月</w:t>
      </w:r>
      <w:r>
        <w:rPr>
          <w:rFonts w:hint="eastAsia" w:ascii="宋体" w:hAnsi="宋体"/>
          <w:b/>
          <w:sz w:val="28"/>
          <w:szCs w:val="28"/>
          <w:lang w:val="en-US" w:eastAsia="zh-CN"/>
        </w:rPr>
        <w:t>15</w:t>
      </w:r>
      <w:r>
        <w:rPr>
          <w:rFonts w:hint="eastAsia" w:ascii="宋体" w:hAnsi="宋体"/>
          <w:b/>
          <w:sz w:val="28"/>
          <w:szCs w:val="28"/>
        </w:rPr>
        <w:t>日至</w:t>
      </w:r>
      <w:r>
        <w:rPr>
          <w:rFonts w:hint="eastAsia" w:ascii="宋体" w:hAnsi="宋体"/>
          <w:b/>
          <w:sz w:val="28"/>
          <w:szCs w:val="28"/>
          <w:lang w:val="en-US" w:eastAsia="zh-CN"/>
        </w:rPr>
        <w:t>2021年10</w:t>
      </w:r>
      <w:r>
        <w:rPr>
          <w:rFonts w:hint="eastAsia" w:ascii="宋体" w:hAnsi="宋体"/>
          <w:b/>
          <w:sz w:val="28"/>
          <w:szCs w:val="28"/>
        </w:rPr>
        <w:t>月</w:t>
      </w:r>
      <w:r>
        <w:rPr>
          <w:rFonts w:hint="eastAsia" w:ascii="宋体" w:hAnsi="宋体"/>
          <w:b/>
          <w:sz w:val="28"/>
          <w:szCs w:val="28"/>
          <w:lang w:val="en-US" w:eastAsia="zh-CN"/>
        </w:rPr>
        <w:t>19</w:t>
      </w:r>
      <w:r>
        <w:rPr>
          <w:rFonts w:hint="eastAsia" w:ascii="宋体" w:hAnsi="宋体"/>
          <w:b/>
          <w:sz w:val="28"/>
          <w:szCs w:val="28"/>
        </w:rPr>
        <w:t>日</w:t>
      </w:r>
    </w:p>
    <w:p>
      <w:pPr>
        <w:widowControl/>
        <w:numPr>
          <w:ilvl w:val="0"/>
          <w:numId w:val="7"/>
        </w:numPr>
        <w:spacing w:after="200" w:line="360" w:lineRule="auto"/>
        <w:ind w:left="0" w:firstLine="567"/>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2" w:firstLineChars="201"/>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2" w:firstLineChars="201"/>
        <w:rPr>
          <w:rFonts w:ascii="宋体" w:hAnsi="宋体"/>
          <w:sz w:val="28"/>
          <w:szCs w:val="28"/>
        </w:rPr>
      </w:pPr>
      <w:r>
        <w:rPr>
          <w:rFonts w:hint="eastAsia" w:ascii="宋体" w:hAnsi="宋体"/>
          <w:sz w:val="28"/>
          <w:szCs w:val="28"/>
        </w:rPr>
        <w:t>提示：</w:t>
      </w:r>
    </w:p>
    <w:p>
      <w:pPr>
        <w:spacing w:line="360" w:lineRule="auto"/>
        <w:ind w:firstLine="562" w:firstLineChars="201"/>
        <w:rPr>
          <w:rFonts w:ascii="宋体" w:hAnsi="宋体"/>
          <w:sz w:val="28"/>
          <w:szCs w:val="28"/>
        </w:rPr>
      </w:pPr>
      <w:r>
        <w:rPr>
          <w:rFonts w:hint="eastAsia" w:ascii="宋体" w:hAnsi="宋体"/>
          <w:sz w:val="28"/>
          <w:szCs w:val="28"/>
        </w:rPr>
        <w:t>（1）本项目采购文件免费获取。</w:t>
      </w:r>
    </w:p>
    <w:p>
      <w:pPr>
        <w:spacing w:line="360" w:lineRule="auto"/>
        <w:ind w:firstLine="562" w:firstLineChars="201"/>
        <w:rPr>
          <w:rFonts w:hint="eastAsia" w:ascii="宋体" w:hAnsi="宋体"/>
          <w:sz w:val="28"/>
          <w:szCs w:val="28"/>
        </w:rPr>
      </w:pPr>
      <w:r>
        <w:rPr>
          <w:rFonts w:hint="eastAsia" w:ascii="宋体" w:hAnsi="宋体"/>
          <w:sz w:val="28"/>
          <w:szCs w:val="28"/>
        </w:rPr>
        <w:t>（2）成都市公共资源交易服务中心门户网站上采购公告附件内的采购文件仅供下载阅览使用，</w:t>
      </w:r>
      <w:r>
        <w:rPr>
          <w:rFonts w:hint="eastAsia" w:ascii="宋体" w:hAnsi="宋体"/>
          <w:sz w:val="28"/>
          <w:szCs w:val="28"/>
          <w:lang w:eastAsia="zh-CN"/>
        </w:rPr>
        <w:t>供应商</w:t>
      </w:r>
      <w:r>
        <w:rPr>
          <w:rFonts w:hint="eastAsia" w:ascii="宋体" w:hAnsi="宋体"/>
          <w:sz w:val="28"/>
          <w:szCs w:val="28"/>
        </w:rPr>
        <w:t>只有在“政府采购云平台”完成获取采购文件申请并下载采购文件后才视作依法参与本项目。如未在“政府采购云平台”内完成相关流程，</w:t>
      </w:r>
      <w:r>
        <w:rPr>
          <w:rFonts w:hint="eastAsia" w:ascii="宋体" w:hAnsi="宋体"/>
          <w:sz w:val="28"/>
          <w:szCs w:val="28"/>
          <w:lang w:eastAsia="zh-CN"/>
        </w:rPr>
        <w:t>导致相关行为</w:t>
      </w:r>
      <w:r>
        <w:rPr>
          <w:rFonts w:hint="eastAsia" w:ascii="宋体" w:hAnsi="宋体"/>
          <w:sz w:val="28"/>
          <w:szCs w:val="28"/>
        </w:rPr>
        <w:t>无效</w:t>
      </w:r>
      <w:r>
        <w:rPr>
          <w:rFonts w:hint="eastAsia" w:ascii="宋体" w:hAnsi="宋体"/>
          <w:sz w:val="28"/>
          <w:szCs w:val="28"/>
          <w:lang w:eastAsia="zh-CN"/>
        </w:rPr>
        <w:t>等后果的</w:t>
      </w:r>
      <w:r>
        <w:rPr>
          <w:rFonts w:hint="eastAsia" w:ascii="宋体" w:hAnsi="宋体"/>
          <w:sz w:val="28"/>
          <w:szCs w:val="28"/>
        </w:rPr>
        <w:t>责任自负。</w:t>
      </w:r>
    </w:p>
    <w:p>
      <w:pPr>
        <w:spacing w:line="360" w:lineRule="auto"/>
        <w:ind w:firstLine="562" w:firstLineChars="201"/>
        <w:rPr>
          <w:rFonts w:hint="eastAsia" w:ascii="宋体" w:hAnsi="宋体"/>
          <w:sz w:val="28"/>
          <w:szCs w:val="28"/>
        </w:rPr>
      </w:pPr>
      <w:r>
        <w:rPr>
          <w:rFonts w:hint="eastAsia" w:ascii="宋体" w:hAnsi="宋体"/>
          <w:sz w:val="28"/>
          <w:szCs w:val="28"/>
        </w:rPr>
        <w:t>（3）首次登录成都市公共资源交易服务中心门户网站的新用户应先点击“注册新用户”，注册成功后再登录。</w:t>
      </w:r>
    </w:p>
    <w:p>
      <w:pPr>
        <w:spacing w:line="360" w:lineRule="auto"/>
        <w:ind w:firstLine="562" w:firstLineChars="201"/>
        <w:rPr>
          <w:rFonts w:ascii="宋体" w:hAnsi="宋体"/>
          <w:sz w:val="28"/>
          <w:szCs w:val="28"/>
        </w:rPr>
      </w:pPr>
      <w:r>
        <w:rPr>
          <w:rFonts w:hint="eastAsia" w:ascii="宋体" w:hAnsi="宋体"/>
          <w:sz w:val="28"/>
          <w:szCs w:val="28"/>
        </w:rPr>
        <w:t>（4）本项目为电子采购项目，供应商参与本项目全过程中凡涉及系统操作请详见《成都市全流程电子化采购系统操作指南——供应商版》（操作指南请登陆政府采购云平台后，点击“前台大厅—操作指南—供应商”处下载查看）。</w:t>
      </w:r>
    </w:p>
    <w:p>
      <w:pPr>
        <w:widowControl/>
        <w:numPr>
          <w:ilvl w:val="0"/>
          <w:numId w:val="7"/>
        </w:numPr>
        <w:spacing w:after="200" w:line="360" w:lineRule="auto"/>
        <w:ind w:left="0" w:firstLine="567"/>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widowControl/>
        <w:numPr>
          <w:ilvl w:val="0"/>
          <w:numId w:val="7"/>
        </w:numPr>
        <w:spacing w:after="200" w:line="360" w:lineRule="auto"/>
        <w:ind w:left="0" w:firstLine="568" w:firstLineChars="202"/>
        <w:rPr>
          <w:rFonts w:ascii="宋体" w:hAnsi="宋体"/>
          <w:sz w:val="28"/>
          <w:szCs w:val="28"/>
        </w:rPr>
      </w:pPr>
      <w:r>
        <w:rPr>
          <w:rFonts w:hint="eastAsia" w:ascii="宋体" w:hAnsi="宋体"/>
          <w:b/>
          <w:sz w:val="28"/>
          <w:szCs w:val="28"/>
        </w:rPr>
        <w:t>响应文件递交时间、截止时间及开启时间（北京时间）、地点、方式</w:t>
      </w:r>
    </w:p>
    <w:p>
      <w:pPr>
        <w:spacing w:line="360" w:lineRule="auto"/>
        <w:ind w:firstLine="551" w:firstLineChars="196"/>
        <w:rPr>
          <w:rFonts w:ascii="宋体" w:hAnsi="宋体"/>
          <w:b/>
          <w:sz w:val="28"/>
          <w:szCs w:val="28"/>
        </w:rPr>
      </w:pPr>
      <w:r>
        <w:rPr>
          <w:rFonts w:hint="eastAsia" w:ascii="宋体" w:hAnsi="宋体"/>
          <w:b/>
          <w:sz w:val="28"/>
          <w:szCs w:val="28"/>
        </w:rPr>
        <w:t>（一）响应文件递交截止时间及开启时间：2021年</w:t>
      </w:r>
      <w:r>
        <w:rPr>
          <w:rFonts w:hint="eastAsia" w:ascii="宋体" w:hAnsi="宋体"/>
          <w:b/>
          <w:sz w:val="28"/>
          <w:szCs w:val="28"/>
          <w:lang w:val="en-US" w:eastAsia="zh-CN"/>
        </w:rPr>
        <w:t>10</w:t>
      </w:r>
      <w:r>
        <w:rPr>
          <w:rFonts w:hint="eastAsia" w:ascii="宋体" w:hAnsi="宋体"/>
          <w:b/>
          <w:sz w:val="28"/>
          <w:szCs w:val="28"/>
        </w:rPr>
        <w:t>月</w:t>
      </w:r>
      <w:r>
        <w:rPr>
          <w:rFonts w:hint="eastAsia" w:ascii="宋体" w:hAnsi="宋体"/>
          <w:b/>
          <w:sz w:val="28"/>
          <w:szCs w:val="28"/>
          <w:lang w:val="en-US" w:eastAsia="zh-CN"/>
        </w:rPr>
        <w:t>26</w:t>
      </w:r>
      <w:r>
        <w:rPr>
          <w:rFonts w:hint="eastAsia" w:ascii="宋体" w:hAnsi="宋体"/>
          <w:b/>
          <w:sz w:val="28"/>
          <w:szCs w:val="28"/>
          <w:highlight w:val="none"/>
        </w:rPr>
        <w:t>日上午9:</w:t>
      </w:r>
      <w:r>
        <w:rPr>
          <w:rFonts w:hint="eastAsia" w:ascii="宋体" w:hAnsi="宋体"/>
          <w:b/>
          <w:sz w:val="28"/>
          <w:szCs w:val="28"/>
          <w:highlight w:val="none"/>
          <w:lang w:val="en-US" w:eastAsia="zh-CN"/>
        </w:rPr>
        <w:t>3</w:t>
      </w:r>
      <w:r>
        <w:rPr>
          <w:rFonts w:hint="eastAsia" w:ascii="宋体" w:hAnsi="宋体"/>
          <w:b/>
          <w:sz w:val="28"/>
          <w:szCs w:val="28"/>
          <w:highlight w:val="none"/>
        </w:rPr>
        <w:t>0。</w:t>
      </w:r>
    </w:p>
    <w:p>
      <w:pPr>
        <w:spacing w:line="360" w:lineRule="auto"/>
        <w:ind w:firstLine="551" w:firstLineChars="196"/>
        <w:rPr>
          <w:rFonts w:ascii="宋体" w:hAnsi="宋体"/>
          <w:b/>
          <w:sz w:val="28"/>
          <w:szCs w:val="28"/>
        </w:rPr>
      </w:pPr>
      <w:r>
        <w:rPr>
          <w:rFonts w:hint="eastAsia" w:ascii="宋体" w:hAnsi="宋体"/>
          <w:b/>
          <w:sz w:val="28"/>
          <w:szCs w:val="28"/>
        </w:rPr>
        <w:t>（二）响应文件递交方式、地点：</w:t>
      </w:r>
      <w:r>
        <w:rPr>
          <w:rFonts w:hint="eastAsia" w:ascii="宋体" w:hAnsi="宋体"/>
          <w:b w:val="0"/>
          <w:bCs/>
          <w:sz w:val="28"/>
          <w:szCs w:val="28"/>
        </w:rPr>
        <w:t>响应文件递交截止时间前，供应商应将加密的响应文件递交至“政府采购云平台”对应项目（包件）。</w:t>
      </w:r>
    </w:p>
    <w:p>
      <w:pPr>
        <w:spacing w:line="360" w:lineRule="auto"/>
        <w:ind w:firstLine="548" w:firstLineChars="196"/>
        <w:rPr>
          <w:rFonts w:ascii="宋体" w:hAnsi="宋体"/>
          <w:sz w:val="28"/>
          <w:szCs w:val="28"/>
        </w:rPr>
      </w:pPr>
      <w:r>
        <w:rPr>
          <w:rFonts w:hint="eastAsia" w:ascii="宋体" w:hAnsi="宋体"/>
          <w:sz w:val="28"/>
          <w:szCs w:val="28"/>
        </w:rPr>
        <w:t>本项目只接受供应商加密并递交至“政府采购云平台”的响应文件。</w:t>
      </w:r>
    </w:p>
    <w:p>
      <w:pPr>
        <w:widowControl/>
        <w:numPr>
          <w:ilvl w:val="0"/>
          <w:numId w:val="7"/>
        </w:numPr>
        <w:spacing w:after="200" w:line="360" w:lineRule="auto"/>
        <w:ind w:left="0" w:firstLine="567"/>
        <w:rPr>
          <w:rFonts w:ascii="宋体" w:hAnsi="宋体"/>
          <w:sz w:val="28"/>
          <w:szCs w:val="28"/>
        </w:rPr>
      </w:pPr>
      <w:r>
        <w:rPr>
          <w:rFonts w:hint="eastAsia" w:ascii="宋体" w:hAnsi="宋体"/>
          <w:b/>
          <w:sz w:val="28"/>
          <w:szCs w:val="28"/>
        </w:rPr>
        <w:t>磋商地点</w:t>
      </w:r>
    </w:p>
    <w:p>
      <w:pPr>
        <w:spacing w:line="360" w:lineRule="auto"/>
        <w:ind w:firstLine="580" w:firstLineChars="200"/>
        <w:rPr>
          <w:rFonts w:ascii="宋体" w:hAnsi="宋体"/>
          <w:b/>
          <w:sz w:val="28"/>
          <w:szCs w:val="28"/>
        </w:rPr>
      </w:pPr>
      <w:r>
        <w:rPr>
          <w:rFonts w:hint="eastAsia"/>
          <w:sz w:val="29"/>
          <w:szCs w:val="29"/>
        </w:rPr>
        <w:t>本项目磋商为不见面</w:t>
      </w:r>
      <w:r>
        <w:rPr>
          <w:rFonts w:hint="eastAsia"/>
          <w:sz w:val="29"/>
          <w:szCs w:val="29"/>
          <w:lang w:eastAsia="zh-CN"/>
        </w:rPr>
        <w:t>磋商</w:t>
      </w:r>
      <w:r>
        <w:rPr>
          <w:rFonts w:hint="eastAsia" w:ascii="宋体" w:hAnsi="宋体"/>
          <w:b/>
          <w:sz w:val="28"/>
          <w:szCs w:val="28"/>
        </w:rPr>
        <w:t>。</w:t>
      </w:r>
    </w:p>
    <w:p>
      <w:pPr>
        <w:spacing w:line="360" w:lineRule="auto"/>
        <w:ind w:firstLine="582" w:firstLineChars="200"/>
        <w:rPr>
          <w:rFonts w:ascii="宋体" w:hAnsi="宋体"/>
          <w:b/>
          <w:sz w:val="28"/>
          <w:szCs w:val="28"/>
        </w:rPr>
      </w:pPr>
      <w:r>
        <w:rPr>
          <w:rFonts w:hint="eastAsia"/>
          <w:b/>
          <w:sz w:val="29"/>
          <w:szCs w:val="29"/>
        </w:rPr>
        <w:t>磋商地点：政府采购云平台开标大厅</w:t>
      </w:r>
    </w:p>
    <w:p>
      <w:pPr>
        <w:widowControl/>
        <w:numPr>
          <w:ilvl w:val="0"/>
          <w:numId w:val="7"/>
        </w:numPr>
        <w:spacing w:after="200" w:line="360" w:lineRule="auto"/>
        <w:ind w:left="0" w:firstLine="567"/>
        <w:rPr>
          <w:rFonts w:ascii="宋体" w:hAnsi="宋体"/>
          <w:b/>
          <w:sz w:val="28"/>
          <w:szCs w:val="28"/>
        </w:rPr>
      </w:pPr>
      <w:r>
        <w:rPr>
          <w:rFonts w:hint="eastAsia" w:ascii="宋体" w:hAnsi="宋体"/>
          <w:b/>
          <w:sz w:val="28"/>
          <w:szCs w:val="28"/>
        </w:rPr>
        <w:t>政采信用担保融资</w:t>
      </w:r>
    </w:p>
    <w:p>
      <w:pPr>
        <w:spacing w:line="360" w:lineRule="auto"/>
        <w:ind w:firstLine="560" w:firstLineChars="200"/>
        <w:rPr>
          <w:rFonts w:ascii="宋体" w:hAnsi="宋体"/>
          <w:sz w:val="28"/>
          <w:szCs w:val="28"/>
        </w:rPr>
      </w:pPr>
      <w:r>
        <w:rPr>
          <w:rFonts w:hint="eastAsia" w:ascii="宋体" w:hAnsi="宋体"/>
          <w:sz w:val="28"/>
          <w:szCs w:val="28"/>
        </w:rPr>
        <w:t>参加本次磋商活动成交的中小企业无需提供财产抵押或第三方担保，凭借政府采购合同可向融资机构申请融资。具体内容详见采购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新都区财政局关于公布新都区开展政府采购信用融资业务金融机构名单的通知》（新都财采〔2021〕160号）。</w:t>
      </w:r>
    </w:p>
    <w:p>
      <w:pPr>
        <w:widowControl/>
        <w:numPr>
          <w:ilvl w:val="0"/>
          <w:numId w:val="7"/>
        </w:numPr>
        <w:spacing w:after="200" w:line="360" w:lineRule="auto"/>
        <w:ind w:left="0" w:firstLine="567"/>
        <w:rPr>
          <w:rFonts w:ascii="宋体" w:hAnsi="宋体"/>
          <w:b/>
          <w:sz w:val="28"/>
          <w:szCs w:val="28"/>
        </w:rPr>
      </w:pPr>
      <w:r>
        <w:rPr>
          <w:rFonts w:hint="eastAsia" w:ascii="宋体" w:hAnsi="宋体"/>
          <w:b/>
          <w:sz w:val="28"/>
          <w:szCs w:val="28"/>
        </w:rPr>
        <w:t>联系人及联系电话</w:t>
      </w:r>
    </w:p>
    <w:p>
      <w:pPr>
        <w:spacing w:line="360" w:lineRule="auto"/>
        <w:ind w:firstLine="708" w:firstLineChars="252"/>
        <w:rPr>
          <w:rFonts w:hint="eastAsia" w:ascii="宋体" w:hAnsi="宋体" w:eastAsia="宋体"/>
          <w:b/>
          <w:sz w:val="28"/>
          <w:szCs w:val="28"/>
          <w:highlight w:val="none"/>
          <w:lang w:eastAsia="zh-CN"/>
        </w:rPr>
      </w:pPr>
      <w:r>
        <w:rPr>
          <w:rFonts w:hint="eastAsia" w:ascii="宋体" w:hAnsi="宋体"/>
          <w:b/>
          <w:sz w:val="28"/>
          <w:szCs w:val="28"/>
          <w:highlight w:val="none"/>
        </w:rPr>
        <w:t>采购人：</w:t>
      </w:r>
      <w:r>
        <w:rPr>
          <w:rFonts w:hint="eastAsia" w:ascii="宋体" w:hAnsi="宋体"/>
          <w:b/>
          <w:sz w:val="28"/>
          <w:szCs w:val="28"/>
          <w:highlight w:val="none"/>
          <w:lang w:eastAsia="zh-CN"/>
        </w:rPr>
        <w:t>成都市新都区石板滩街道木兰卫生院</w:t>
      </w:r>
    </w:p>
    <w:p>
      <w:pPr>
        <w:spacing w:line="360" w:lineRule="auto"/>
        <w:ind w:firstLine="705" w:firstLineChars="252"/>
        <w:rPr>
          <w:rFonts w:hint="default" w:ascii="宋体" w:hAnsi="宋体" w:eastAsia="宋体"/>
          <w:sz w:val="28"/>
          <w:szCs w:val="28"/>
          <w:highlight w:val="none"/>
          <w:lang w:val="en-US" w:eastAsia="zh-CN"/>
        </w:rPr>
      </w:pPr>
      <w:r>
        <w:rPr>
          <w:rFonts w:hint="eastAsia" w:ascii="宋体" w:hAnsi="宋体"/>
          <w:sz w:val="28"/>
          <w:szCs w:val="28"/>
          <w:highlight w:val="none"/>
        </w:rPr>
        <w:t>地  址：成都市新都区</w:t>
      </w:r>
      <w:r>
        <w:rPr>
          <w:rFonts w:hint="eastAsia" w:ascii="宋体" w:hAnsi="宋体"/>
          <w:sz w:val="28"/>
          <w:szCs w:val="28"/>
          <w:highlight w:val="none"/>
          <w:lang w:eastAsia="zh-CN"/>
        </w:rPr>
        <w:t>石板滩街道木兰街</w:t>
      </w:r>
      <w:r>
        <w:rPr>
          <w:rFonts w:hint="eastAsia" w:ascii="宋体" w:hAnsi="宋体"/>
          <w:sz w:val="28"/>
          <w:szCs w:val="28"/>
          <w:highlight w:val="none"/>
          <w:lang w:val="en-US" w:eastAsia="zh-CN"/>
        </w:rPr>
        <w:t>94号</w:t>
      </w:r>
    </w:p>
    <w:p>
      <w:pPr>
        <w:spacing w:line="360" w:lineRule="auto"/>
        <w:ind w:firstLine="705" w:firstLineChars="252"/>
        <w:rPr>
          <w:rFonts w:hint="eastAsia" w:ascii="宋体" w:hAnsi="宋体" w:eastAsia="宋体"/>
          <w:sz w:val="28"/>
          <w:szCs w:val="28"/>
          <w:highlight w:val="none"/>
          <w:lang w:eastAsia="zh-CN"/>
        </w:rPr>
      </w:pPr>
      <w:r>
        <w:rPr>
          <w:rFonts w:hint="eastAsia" w:ascii="宋体" w:hAnsi="宋体"/>
          <w:sz w:val="28"/>
          <w:szCs w:val="28"/>
          <w:highlight w:val="none"/>
        </w:rPr>
        <w:t>联系人：</w:t>
      </w:r>
      <w:r>
        <w:rPr>
          <w:rFonts w:hint="eastAsia" w:ascii="宋体" w:hAnsi="宋体"/>
          <w:sz w:val="28"/>
          <w:szCs w:val="28"/>
          <w:highlight w:val="none"/>
          <w:lang w:eastAsia="zh-CN"/>
        </w:rPr>
        <w:t>陈婷</w:t>
      </w:r>
    </w:p>
    <w:p>
      <w:pPr>
        <w:spacing w:line="360" w:lineRule="auto"/>
        <w:ind w:firstLine="705" w:firstLineChars="252"/>
        <w:rPr>
          <w:rFonts w:hint="default" w:ascii="宋体" w:hAnsi="宋体" w:eastAsia="宋体"/>
          <w:sz w:val="28"/>
          <w:szCs w:val="28"/>
          <w:highlight w:val="none"/>
          <w:lang w:val="en-US" w:eastAsia="zh-CN"/>
        </w:rPr>
      </w:pPr>
      <w:r>
        <w:rPr>
          <w:rFonts w:hint="eastAsia" w:ascii="宋体" w:hAnsi="宋体"/>
          <w:sz w:val="28"/>
          <w:szCs w:val="28"/>
          <w:highlight w:val="none"/>
        </w:rPr>
        <w:t>联系电话：</w:t>
      </w:r>
      <w:r>
        <w:rPr>
          <w:rFonts w:hint="eastAsia" w:ascii="宋体" w:hAnsi="宋体"/>
          <w:sz w:val="28"/>
          <w:szCs w:val="28"/>
          <w:highlight w:val="none"/>
          <w:lang w:val="en-US" w:eastAsia="zh-CN"/>
        </w:rPr>
        <w:t>13880362116</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cs="Times New Roman"/>
          <w:color w:val="000000"/>
          <w:kern w:val="0"/>
          <w:sz w:val="28"/>
          <w:szCs w:val="22"/>
          <w:highlight w:val="none"/>
          <w:lang w:eastAsia="zh-CN"/>
        </w:rPr>
        <w:t>魏婷</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kern w:val="0"/>
          <w:sz w:val="28"/>
          <w:szCs w:val="22"/>
          <w:highlight w:val="none"/>
        </w:rPr>
        <w:t>028-</w:t>
      </w:r>
      <w:r>
        <w:rPr>
          <w:rFonts w:hint="eastAsia" w:ascii="宋体" w:hAnsi="宋体" w:cs="Times New Roman"/>
          <w:color w:val="000000"/>
          <w:kern w:val="0"/>
          <w:sz w:val="28"/>
          <w:szCs w:val="22"/>
          <w:highlight w:val="none"/>
          <w:lang w:val="en-US" w:eastAsia="zh-CN"/>
        </w:rPr>
        <w:t>61790025</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spacing w:line="360" w:lineRule="auto"/>
        <w:ind w:firstLine="705" w:firstLineChars="252"/>
        <w:rPr>
          <w:rFonts w:ascii="宋体" w:hAnsi="宋体"/>
          <w:sz w:val="28"/>
          <w:szCs w:val="28"/>
        </w:rPr>
      </w:pPr>
      <w:r>
        <w:rPr>
          <w:rFonts w:hint="eastAsia" w:ascii="宋体" w:hAnsi="宋体" w:eastAsia="宋体" w:cs="Times New Roman"/>
          <w:b w:val="0"/>
          <w:bCs/>
          <w:sz w:val="28"/>
          <w:szCs w:val="28"/>
          <w:highlight w:val="none"/>
        </w:rPr>
        <w:t>联系电话：028-89396791</w:t>
      </w:r>
    </w:p>
    <w:p>
      <w:pPr>
        <w:spacing w:line="360" w:lineRule="auto"/>
        <w:rPr>
          <w:rFonts w:ascii="宋体" w:hAnsi="宋体"/>
          <w:sz w:val="28"/>
          <w:szCs w:val="28"/>
        </w:rPr>
        <w:sectPr>
          <w:pgSz w:w="11906" w:h="16838"/>
          <w:pgMar w:top="1304" w:right="1276" w:bottom="1531" w:left="1418" w:header="851" w:footer="992" w:gutter="0"/>
          <w:cols w:space="720" w:num="1"/>
          <w:docGrid w:type="lines" w:linePitch="326" w:charSpace="0"/>
        </w:sectPr>
      </w:pPr>
    </w:p>
    <w:p>
      <w:pPr>
        <w:pStyle w:val="3"/>
        <w:widowControl/>
        <w:numPr>
          <w:ilvl w:val="0"/>
          <w:numId w:val="6"/>
        </w:numPr>
        <w:spacing w:before="0" w:after="0" w:line="360" w:lineRule="auto"/>
        <w:ind w:left="0" w:firstLine="0"/>
      </w:pPr>
      <w:bookmarkStart w:id="1" w:name="_Toc10638"/>
      <w:bookmarkStart w:id="2" w:name="_Toc391885334"/>
      <w:bookmarkStart w:id="3" w:name="_Toc287623638"/>
      <w:bookmarkStart w:id="4" w:name="_Toc381263230"/>
      <w:r>
        <w:rPr>
          <w:rFonts w:hint="eastAsia"/>
        </w:rPr>
        <w:t>供应商须知</w:t>
      </w:r>
      <w:bookmarkEnd w:id="1"/>
      <w:bookmarkEnd w:id="2"/>
    </w:p>
    <w:p>
      <w:pPr>
        <w:pStyle w:val="4"/>
        <w:numPr>
          <w:ilvl w:val="1"/>
          <w:numId w:val="6"/>
        </w:numPr>
        <w:tabs>
          <w:tab w:val="left" w:pos="426"/>
          <w:tab w:val="left" w:pos="567"/>
        </w:tabs>
        <w:spacing w:before="0" w:after="200"/>
        <w:ind w:left="851" w:hanging="851"/>
        <w:jc w:val="both"/>
      </w:pPr>
      <w:bookmarkStart w:id="5" w:name="_Toc27317"/>
      <w:r>
        <w:rPr>
          <w:rFonts w:hint="eastAsia"/>
        </w:rPr>
        <w:t>供应商须知前附表</w:t>
      </w:r>
      <w:bookmarkEnd w:id="5"/>
    </w:p>
    <w:tbl>
      <w:tblPr>
        <w:tblStyle w:val="42"/>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816"/>
        <w:gridCol w:w="68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spacing w:line="360" w:lineRule="auto"/>
              <w:jc w:val="center"/>
              <w:rPr>
                <w:rFonts w:ascii="宋体" w:hAnsi="宋体"/>
                <w:b/>
                <w:szCs w:val="21"/>
              </w:rPr>
            </w:pPr>
            <w:r>
              <w:rPr>
                <w:rFonts w:hint="eastAsia" w:ascii="宋体" w:hAnsi="宋体"/>
                <w:b/>
                <w:szCs w:val="21"/>
                <w:lang w:val="zh-CN"/>
              </w:rPr>
              <w:t>序号</w:t>
            </w:r>
          </w:p>
        </w:tc>
        <w:tc>
          <w:tcPr>
            <w:tcW w:w="1816" w:type="dxa"/>
            <w:tcBorders>
              <w:top w:val="single" w:color="auto" w:sz="18" w:space="0"/>
              <w:left w:val="single" w:color="auto" w:sz="8" w:space="0"/>
              <w:bottom w:val="single" w:color="auto" w:sz="8" w:space="0"/>
              <w:right w:val="single" w:color="auto" w:sz="8" w:space="0"/>
            </w:tcBorders>
            <w:vAlign w:val="center"/>
          </w:tcPr>
          <w:p>
            <w:pPr>
              <w:pStyle w:val="122"/>
              <w:spacing w:line="360" w:lineRule="auto"/>
              <w:ind w:left="420"/>
              <w:rPr>
                <w:b/>
                <w:kern w:val="2"/>
                <w:sz w:val="21"/>
                <w:szCs w:val="21"/>
                <w:lang w:val="zh-CN"/>
              </w:rPr>
            </w:pPr>
            <w:r>
              <w:rPr>
                <w:rFonts w:hint="eastAsia"/>
                <w:b/>
                <w:kern w:val="2"/>
                <w:sz w:val="21"/>
                <w:szCs w:val="21"/>
                <w:lang w:val="zh-CN"/>
              </w:rPr>
              <w:t>应知事项</w:t>
            </w:r>
          </w:p>
        </w:tc>
        <w:tc>
          <w:tcPr>
            <w:tcW w:w="6810" w:type="dxa"/>
            <w:tcBorders>
              <w:top w:val="single" w:color="auto" w:sz="18" w:space="0"/>
              <w:left w:val="single" w:color="auto" w:sz="8" w:space="0"/>
              <w:bottom w:val="single" w:color="auto" w:sz="8" w:space="0"/>
              <w:right w:val="single" w:color="auto" w:sz="18" w:space="0"/>
            </w:tcBorders>
            <w:vAlign w:val="center"/>
          </w:tcPr>
          <w:p>
            <w:pPr>
              <w:pStyle w:val="122"/>
              <w:spacing w:line="360" w:lineRule="auto"/>
              <w:ind w:firstLine="562"/>
              <w:jc w:val="center"/>
              <w:rPr>
                <w:b/>
                <w:kern w:val="2"/>
                <w:sz w:val="21"/>
                <w:szCs w:val="21"/>
                <w:lang w:val="zh-CN"/>
              </w:rPr>
            </w:pPr>
            <w:r>
              <w:rPr>
                <w:rFonts w:hint="eastAsia"/>
                <w:b/>
                <w:kern w:val="2"/>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65"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szCs w:val="21"/>
              </w:rPr>
            </w:pPr>
            <w:r>
              <w:rPr>
                <w:rFonts w:hint="eastAsia" w:ascii="宋体" w:hAnsi="宋体"/>
                <w:szCs w:val="21"/>
              </w:rPr>
              <w:t>采购预算</w:t>
            </w:r>
          </w:p>
        </w:tc>
        <w:tc>
          <w:tcPr>
            <w:tcW w:w="6810" w:type="dxa"/>
            <w:tcBorders>
              <w:top w:val="single" w:color="auto" w:sz="8" w:space="0"/>
              <w:left w:val="single" w:color="auto" w:sz="8" w:space="0"/>
              <w:bottom w:val="single" w:color="auto" w:sz="8" w:space="0"/>
              <w:right w:val="single" w:color="auto" w:sz="18" w:space="0"/>
            </w:tcBorders>
            <w:vAlign w:val="center"/>
          </w:tcPr>
          <w:p>
            <w:pPr>
              <w:spacing w:line="360" w:lineRule="auto"/>
              <w:ind w:right="210"/>
              <w:rPr>
                <w:rFonts w:ascii="宋体" w:hAnsi="宋体"/>
                <w:b/>
                <w:szCs w:val="21"/>
              </w:rPr>
            </w:pPr>
            <w:r>
              <w:rPr>
                <w:rFonts w:hint="eastAsia" w:ascii="宋体" w:hAnsi="宋体"/>
                <w:b/>
                <w:szCs w:val="21"/>
              </w:rPr>
              <w:t>人民币</w:t>
            </w:r>
            <w:r>
              <w:rPr>
                <w:rFonts w:hint="eastAsia" w:ascii="宋体" w:hAnsi="宋体"/>
                <w:b/>
                <w:szCs w:val="21"/>
                <w:lang w:eastAsia="zh-CN"/>
              </w:rPr>
              <w:t>3</w:t>
            </w:r>
            <w:r>
              <w:rPr>
                <w:rFonts w:hint="eastAsia" w:ascii="宋体" w:hAnsi="宋体"/>
                <w:b/>
                <w:szCs w:val="21"/>
                <w:lang w:val="en-US" w:eastAsia="zh-CN"/>
              </w:rPr>
              <w:t>0</w:t>
            </w:r>
            <w:r>
              <w:rPr>
                <w:rFonts w:hint="eastAsia" w:ascii="宋体" w:hAnsi="宋体"/>
                <w:b/>
                <w:szCs w:val="21"/>
                <w:lang w:eastAsia="zh-CN"/>
              </w:rPr>
              <w:t>万元</w:t>
            </w:r>
            <w:r>
              <w:rPr>
                <w:rFonts w:hint="eastAsia" w:ascii="宋体" w:hAnsi="宋体"/>
                <w:b/>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246"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2"/>
              <w:spacing w:line="360" w:lineRule="auto"/>
              <w:rPr>
                <w:kern w:val="2"/>
                <w:sz w:val="21"/>
                <w:szCs w:val="21"/>
                <w:lang w:val="zh-CN"/>
              </w:rPr>
            </w:pPr>
            <w:r>
              <w:rPr>
                <w:rFonts w:hint="eastAsia"/>
                <w:kern w:val="2"/>
                <w:sz w:val="21"/>
                <w:szCs w:val="21"/>
                <w:lang w:val="zh-CN"/>
              </w:rPr>
              <w:t>最高限价</w:t>
            </w:r>
          </w:p>
        </w:tc>
        <w:tc>
          <w:tcPr>
            <w:tcW w:w="6810" w:type="dxa"/>
            <w:tcBorders>
              <w:top w:val="single" w:color="auto" w:sz="8" w:space="0"/>
              <w:left w:val="single" w:color="auto" w:sz="8" w:space="0"/>
              <w:bottom w:val="single" w:color="auto" w:sz="8" w:space="0"/>
              <w:right w:val="single" w:color="auto" w:sz="18" w:space="0"/>
            </w:tcBorders>
            <w:vAlign w:val="center"/>
          </w:tcPr>
          <w:p>
            <w:pPr>
              <w:pStyle w:val="122"/>
              <w:spacing w:line="360" w:lineRule="auto"/>
              <w:ind w:left="9"/>
              <w:rPr>
                <w:kern w:val="2"/>
                <w:sz w:val="21"/>
                <w:szCs w:val="21"/>
                <w:lang w:val="zh-CN"/>
              </w:rPr>
            </w:pPr>
            <w:r>
              <w:rPr>
                <w:rFonts w:hint="eastAsia"/>
                <w:b/>
                <w:kern w:val="2"/>
                <w:sz w:val="21"/>
                <w:szCs w:val="21"/>
                <w:lang w:val="zh-CN"/>
              </w:rPr>
              <w:t>最高限价</w:t>
            </w:r>
            <w:r>
              <w:rPr>
                <w:rFonts w:hint="eastAsia"/>
                <w:b/>
                <w:kern w:val="2"/>
                <w:sz w:val="21"/>
                <w:szCs w:val="21"/>
                <w:lang w:eastAsia="zh-CN"/>
              </w:rPr>
              <w:t>3</w:t>
            </w:r>
            <w:r>
              <w:rPr>
                <w:rFonts w:hint="eastAsia"/>
                <w:b/>
                <w:kern w:val="2"/>
                <w:sz w:val="21"/>
                <w:szCs w:val="21"/>
                <w:lang w:val="en-US" w:eastAsia="zh-CN"/>
              </w:rPr>
              <w:t>0</w:t>
            </w:r>
            <w:r>
              <w:rPr>
                <w:rFonts w:hint="eastAsia"/>
                <w:b/>
                <w:kern w:val="2"/>
                <w:sz w:val="21"/>
                <w:szCs w:val="21"/>
                <w:lang w:eastAsia="zh-CN"/>
              </w:rPr>
              <w:t>万元</w:t>
            </w:r>
            <w:r>
              <w:rPr>
                <w:rFonts w:hint="eastAsia"/>
                <w:b/>
                <w:kern w:val="2"/>
                <w:sz w:val="21"/>
                <w:szCs w:val="21"/>
                <w:lang w:val="zh-CN"/>
              </w:rPr>
              <w:t>。供应商最后报价高于最高限价的则其响应文件将按无效响应文件处理。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2"/>
              <w:spacing w:line="360" w:lineRule="auto"/>
              <w:jc w:val="both"/>
              <w:rPr>
                <w:kern w:val="2"/>
                <w:sz w:val="21"/>
                <w:szCs w:val="21"/>
                <w:lang w:val="zh-CN"/>
              </w:rPr>
            </w:pPr>
            <w:r>
              <w:rPr>
                <w:rFonts w:hint="eastAsia"/>
                <w:kern w:val="2"/>
                <w:sz w:val="21"/>
                <w:szCs w:val="21"/>
                <w:lang w:val="zh-CN"/>
              </w:rPr>
              <w:t>采购方式</w:t>
            </w:r>
          </w:p>
        </w:tc>
        <w:tc>
          <w:tcPr>
            <w:tcW w:w="6810" w:type="dxa"/>
            <w:tcBorders>
              <w:top w:val="single" w:color="auto" w:sz="8" w:space="0"/>
              <w:left w:val="single" w:color="auto" w:sz="8" w:space="0"/>
              <w:bottom w:val="single" w:color="auto" w:sz="8" w:space="0"/>
              <w:right w:val="single" w:color="auto" w:sz="18" w:space="0"/>
            </w:tcBorders>
            <w:vAlign w:val="center"/>
          </w:tcPr>
          <w:p>
            <w:pPr>
              <w:pStyle w:val="122"/>
              <w:spacing w:line="360" w:lineRule="auto"/>
              <w:jc w:val="both"/>
              <w:rPr>
                <w:kern w:val="2"/>
                <w:sz w:val="21"/>
                <w:szCs w:val="21"/>
                <w:lang w:val="zh-CN"/>
              </w:rPr>
            </w:pPr>
            <w:r>
              <w:rPr>
                <w:rFonts w:hint="eastAsia"/>
                <w:kern w:val="2"/>
                <w:sz w:val="21"/>
                <w:szCs w:val="21"/>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2"/>
              <w:spacing w:line="360" w:lineRule="auto"/>
              <w:jc w:val="both"/>
              <w:rPr>
                <w:kern w:val="2"/>
                <w:sz w:val="21"/>
                <w:szCs w:val="21"/>
                <w:lang w:val="zh-CN"/>
              </w:rPr>
            </w:pPr>
            <w:r>
              <w:rPr>
                <w:rFonts w:hint="eastAsia"/>
                <w:kern w:val="2"/>
                <w:sz w:val="21"/>
                <w:szCs w:val="21"/>
                <w:lang w:val="zh-CN"/>
              </w:rPr>
              <w:t>评审方法</w:t>
            </w:r>
          </w:p>
        </w:tc>
        <w:tc>
          <w:tcPr>
            <w:tcW w:w="6810" w:type="dxa"/>
            <w:tcBorders>
              <w:top w:val="single" w:color="auto" w:sz="8" w:space="0"/>
              <w:left w:val="single" w:color="auto" w:sz="8" w:space="0"/>
              <w:bottom w:val="single" w:color="auto" w:sz="8" w:space="0"/>
              <w:right w:val="single" w:color="auto" w:sz="18" w:space="0"/>
            </w:tcBorders>
            <w:vAlign w:val="center"/>
          </w:tcPr>
          <w:p>
            <w:pPr>
              <w:pStyle w:val="122"/>
              <w:spacing w:line="360" w:lineRule="auto"/>
              <w:jc w:val="both"/>
              <w:rPr>
                <w:kern w:val="2"/>
                <w:sz w:val="21"/>
                <w:szCs w:val="21"/>
                <w:lang w:val="zh-CN"/>
              </w:rPr>
            </w:pPr>
            <w:r>
              <w:rPr>
                <w:rFonts w:hint="eastAsia"/>
                <w:kern w:val="2"/>
                <w:sz w:val="21"/>
                <w:szCs w:val="21"/>
                <w:lang w:val="zh-CN"/>
              </w:rPr>
              <w:t>综合评分法(详见第5章)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7"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pStyle w:val="122"/>
              <w:spacing w:line="360" w:lineRule="auto"/>
              <w:rPr>
                <w:kern w:val="2"/>
                <w:sz w:val="21"/>
                <w:szCs w:val="21"/>
                <w:lang w:val="zh-CN"/>
              </w:rPr>
            </w:pPr>
            <w:r>
              <w:rPr>
                <w:rFonts w:hint="eastAsia"/>
                <w:kern w:val="2"/>
                <w:sz w:val="21"/>
                <w:szCs w:val="21"/>
                <w:lang w:val="zh-CN"/>
              </w:rPr>
              <w:t>低于成本价不正当竞争预防措施</w:t>
            </w:r>
          </w:p>
        </w:tc>
        <w:tc>
          <w:tcPr>
            <w:tcW w:w="68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b/>
                <w:szCs w:val="21"/>
              </w:rPr>
            </w:pPr>
            <w:r>
              <w:rPr>
                <w:rFonts w:hint="eastAsia" w:ascii="宋体" w:hAnsi="宋体" w:cs="宋体"/>
                <w:szCs w:val="21"/>
                <w:lang w:val="zh-CN"/>
              </w:rPr>
              <w:t>在评审过程中，磋商小组认为供应商最后报价明显低于其他通过符合性审查供应商的最后报价，有可能影响服务质量或者不能诚信履约的，磋商小组应当要求其在评审现场合理的时间内提供成本构成书面说明，必要时提交相关证明材料。供应商提交的书面说明、相关证明材料（如涉及）应当由主要负责人或授权代表签字或加盖公章，否则无效。供应商不能证明其报价合理性的，磋商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8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4" w:space="0"/>
              <w:right w:val="single" w:color="auto" w:sz="8" w:space="0"/>
            </w:tcBorders>
            <w:vAlign w:val="center"/>
          </w:tcPr>
          <w:p>
            <w:pPr>
              <w:pStyle w:val="122"/>
              <w:spacing w:line="360" w:lineRule="auto"/>
              <w:jc w:val="both"/>
              <w:rPr>
                <w:rFonts w:ascii="宋体" w:hAnsi="宋体" w:cs="宋体"/>
                <w:highlight w:val="yellow"/>
                <w:lang w:val="zh-CN"/>
              </w:rPr>
            </w:pPr>
            <w:r>
              <w:rPr>
                <w:rFonts w:hint="eastAsia"/>
                <w:kern w:val="2"/>
                <w:sz w:val="21"/>
                <w:szCs w:val="21"/>
                <w:lang w:val="zh-CN"/>
              </w:rPr>
              <w:t>磋商保证金</w:t>
            </w:r>
          </w:p>
        </w:tc>
        <w:tc>
          <w:tcPr>
            <w:tcW w:w="6810" w:type="dxa"/>
            <w:tcBorders>
              <w:top w:val="single" w:color="auto" w:sz="8" w:space="0"/>
              <w:left w:val="single" w:color="auto" w:sz="8" w:space="0"/>
              <w:bottom w:val="single" w:color="auto" w:sz="4" w:space="0"/>
              <w:right w:val="single" w:color="auto" w:sz="18" w:space="0"/>
            </w:tcBorders>
            <w:vAlign w:val="center"/>
          </w:tcPr>
          <w:p>
            <w:pPr>
              <w:spacing w:line="360" w:lineRule="auto"/>
              <w:rPr>
                <w:rFonts w:ascii="宋体" w:hAnsi="宋体" w:cs="宋体"/>
                <w:highlight w:val="yellow"/>
                <w:lang w:val="zh-CN"/>
              </w:rPr>
            </w:pPr>
            <w:r>
              <w:rPr>
                <w:rFonts w:hint="eastAsia" w:ascii="宋体" w:hAnsi="宋体"/>
                <w:b/>
                <w:szCs w:val="21"/>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6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4" w:space="0"/>
              <w:left w:val="single" w:color="auto" w:sz="8" w:space="0"/>
              <w:bottom w:val="single" w:color="auto" w:sz="4" w:space="0"/>
              <w:right w:val="single" w:color="auto" w:sz="8" w:space="0"/>
            </w:tcBorders>
            <w:vAlign w:val="center"/>
          </w:tcPr>
          <w:p>
            <w:pPr>
              <w:spacing w:line="360" w:lineRule="auto"/>
              <w:rPr>
                <w:rFonts w:ascii="宋体" w:hAnsi="宋体" w:cs="宋体"/>
                <w:highlight w:val="yellow"/>
                <w:lang w:val="zh-CN"/>
              </w:rPr>
            </w:pPr>
            <w:r>
              <w:rPr>
                <w:rFonts w:hint="eastAsia" w:ascii="宋体" w:hAnsi="宋体" w:cs="宋体"/>
                <w:szCs w:val="21"/>
                <w:lang w:val="zh-CN"/>
              </w:rPr>
              <w:t>履约保证金</w:t>
            </w:r>
          </w:p>
        </w:tc>
        <w:tc>
          <w:tcPr>
            <w:tcW w:w="6810" w:type="dxa"/>
            <w:tcBorders>
              <w:top w:val="single" w:color="auto" w:sz="4" w:space="0"/>
              <w:left w:val="single" w:color="auto" w:sz="8" w:space="0"/>
              <w:bottom w:val="single" w:color="auto" w:sz="4" w:space="0"/>
              <w:right w:val="single" w:color="auto" w:sz="18" w:space="0"/>
            </w:tcBorders>
            <w:vAlign w:val="center"/>
          </w:tcPr>
          <w:p>
            <w:pPr>
              <w:spacing w:line="360" w:lineRule="auto"/>
              <w:rPr>
                <w:rFonts w:ascii="宋体" w:hAnsi="宋体" w:cs="宋体"/>
                <w:highlight w:val="none"/>
                <w:lang w:val="zh-CN"/>
              </w:rPr>
            </w:pPr>
            <w:r>
              <w:rPr>
                <w:rFonts w:hint="eastAsia" w:ascii="宋体" w:hAnsi="宋体" w:cs="宋体"/>
                <w:b/>
                <w:szCs w:val="21"/>
                <w:highlight w:val="none"/>
                <w:lang w:val="zh-CN"/>
              </w:rPr>
              <w:t>详见磋商</w:t>
            </w:r>
            <w:r>
              <w:rPr>
                <w:rFonts w:ascii="宋体" w:hAnsi="宋体" w:cs="宋体"/>
                <w:b/>
                <w:szCs w:val="21"/>
                <w:highlight w:val="none"/>
                <w:lang w:val="zh-CN"/>
              </w:rPr>
              <w:t>文件</w:t>
            </w:r>
            <w:r>
              <w:rPr>
                <w:rFonts w:hint="eastAsia" w:ascii="宋体" w:hAnsi="宋体" w:cs="宋体"/>
                <w:b/>
                <w:szCs w:val="21"/>
                <w:highlight w:val="none"/>
                <w:lang w:val="zh-CN"/>
              </w:rPr>
              <w:t>2.7.4。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75"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4" w:space="0"/>
              <w:left w:val="single" w:color="auto" w:sz="8" w:space="0"/>
              <w:bottom w:val="single" w:color="auto" w:sz="8" w:space="0"/>
              <w:right w:val="single" w:color="auto" w:sz="8" w:space="0"/>
            </w:tcBorders>
            <w:vAlign w:val="center"/>
          </w:tcPr>
          <w:p>
            <w:pPr>
              <w:spacing w:line="360" w:lineRule="auto"/>
              <w:rPr>
                <w:rFonts w:ascii="宋体" w:hAnsi="宋体" w:cs="宋体"/>
                <w:highlight w:val="yellow"/>
                <w:lang w:val="zh-CN"/>
              </w:rPr>
            </w:pPr>
            <w:r>
              <w:rPr>
                <w:rFonts w:hint="eastAsia" w:ascii="宋体" w:hAnsi="宋体"/>
              </w:rPr>
              <w:t>响应文件的制作和签章、加密</w:t>
            </w:r>
          </w:p>
        </w:tc>
        <w:tc>
          <w:tcPr>
            <w:tcW w:w="6810" w:type="dxa"/>
            <w:tcBorders>
              <w:top w:val="single" w:color="auto" w:sz="4" w:space="0"/>
              <w:left w:val="single" w:color="auto" w:sz="8" w:space="0"/>
              <w:bottom w:val="single" w:color="auto" w:sz="8" w:space="0"/>
              <w:right w:val="single" w:color="auto" w:sz="18" w:space="0"/>
            </w:tcBorders>
            <w:vAlign w:val="center"/>
          </w:tcPr>
          <w:p>
            <w:pPr>
              <w:spacing w:line="360" w:lineRule="auto"/>
              <w:rPr>
                <w:rFonts w:ascii="宋体" w:hAnsi="宋体" w:cs="宋体"/>
                <w:highlight w:val="none"/>
                <w:lang w:val="zh-CN"/>
              </w:rPr>
            </w:pPr>
            <w:r>
              <w:rPr>
                <w:rFonts w:hint="eastAsia" w:ascii="宋体" w:hAnsi="宋体"/>
                <w:highlight w:val="none"/>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pacing w:line="360" w:lineRule="auto"/>
              <w:rPr>
                <w:kern w:val="2"/>
                <w:sz w:val="21"/>
                <w:szCs w:val="21"/>
                <w:lang w:val="zh-CN"/>
              </w:rPr>
            </w:pPr>
            <w:r>
              <w:rPr>
                <w:rFonts w:hint="eastAsia" w:ascii="宋体" w:hAnsi="宋体"/>
              </w:rPr>
              <w:t>响应文件的递交</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highlight w:val="none"/>
              </w:rPr>
            </w:pPr>
            <w:r>
              <w:rPr>
                <w:rFonts w:hint="eastAsia" w:ascii="宋体" w:hAnsi="宋体"/>
                <w:highlight w:val="none"/>
              </w:rPr>
              <w:t>详见供应商须知2.4.12</w:t>
            </w:r>
          </w:p>
          <w:p>
            <w:pPr>
              <w:spacing w:line="360" w:lineRule="auto"/>
              <w:rPr>
                <w:rFonts w:ascii="宋体" w:hAnsi="宋体"/>
                <w:szCs w:val="21"/>
                <w:highlight w:val="none"/>
              </w:rPr>
            </w:pPr>
            <w:r>
              <w:rPr>
                <w:rFonts w:hint="eastAsia" w:ascii="宋体" w:hAnsi="宋体"/>
                <w:highlight w:val="none"/>
              </w:rPr>
              <w:t>注：供应商使用</w:t>
            </w:r>
            <w:r>
              <w:rPr>
                <w:rFonts w:ascii="宋体" w:hAnsi="宋体"/>
                <w:highlight w:val="none"/>
              </w:rPr>
              <w:t>CA证书在</w:t>
            </w:r>
            <w:r>
              <w:rPr>
                <w:rFonts w:hint="eastAsia" w:ascii="宋体" w:hAnsi="宋体"/>
                <w:highlight w:val="none"/>
              </w:rPr>
              <w:t>递交</w:t>
            </w:r>
            <w:r>
              <w:rPr>
                <w:rFonts w:ascii="宋体" w:hAnsi="宋体"/>
                <w:highlight w:val="none"/>
              </w:rPr>
              <w:t>响应文件</w:t>
            </w:r>
            <w:r>
              <w:rPr>
                <w:rFonts w:hint="eastAsia" w:ascii="宋体" w:hAnsi="宋体"/>
                <w:highlight w:val="none"/>
              </w:rPr>
              <w:t>截止时间前，将响应文件上传至政府</w:t>
            </w:r>
            <w:r>
              <w:rPr>
                <w:rFonts w:ascii="宋体" w:hAnsi="宋体"/>
                <w:highlight w:val="none"/>
              </w:rPr>
              <w:t>采购</w:t>
            </w:r>
            <w:r>
              <w:rPr>
                <w:rFonts w:hint="eastAsia" w:ascii="宋体" w:hAnsi="宋体"/>
                <w:highlight w:val="none"/>
              </w:rPr>
              <w:t>云平台，</w:t>
            </w:r>
            <w:r>
              <w:rPr>
                <w:rFonts w:hint="eastAsia" w:ascii="宋体" w:hAnsi="宋体"/>
                <w:b/>
                <w:bCs/>
                <w:highlight w:val="none"/>
              </w:rPr>
              <w:t>上传前须对响应文件是否有电子签章等进行核对</w:t>
            </w:r>
            <w:r>
              <w:rPr>
                <w:rFonts w:hint="eastAsia" w:ascii="宋体" w:hAnsi="宋体"/>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szCs w:val="21"/>
                <w:lang w:val="zh-CN"/>
              </w:rPr>
            </w:pPr>
            <w:r>
              <w:rPr>
                <w:rFonts w:hint="eastAsia" w:ascii="宋体" w:hAnsi="宋体"/>
              </w:rPr>
              <w:t>响应文件的补充、修改和撤回</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cs="宋体"/>
                <w:b/>
                <w:szCs w:val="21"/>
                <w:lang w:val="zh-CN"/>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szCs w:val="21"/>
                <w:highlight w:val="none"/>
                <w:lang w:val="zh-CN"/>
              </w:rPr>
            </w:pPr>
            <w:r>
              <w:rPr>
                <w:rFonts w:hint="eastAsia"/>
                <w:b/>
                <w:highlight w:val="none"/>
              </w:rPr>
              <w:t>磋商开启活动程序</w:t>
            </w:r>
          </w:p>
        </w:tc>
        <w:tc>
          <w:tcPr>
            <w:tcW w:w="68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highlight w:val="none"/>
              </w:rPr>
            </w:pPr>
            <w:r>
              <w:rPr>
                <w:rFonts w:hint="eastAsia" w:ascii="宋体" w:hAnsi="宋体"/>
                <w:b/>
                <w:highlight w:val="none"/>
              </w:rPr>
              <w:t>详见供应商须知2.</w:t>
            </w:r>
            <w:r>
              <w:rPr>
                <w:rFonts w:hint="eastAsia" w:ascii="宋体" w:hAnsi="宋体"/>
                <w:b/>
                <w:highlight w:val="none"/>
                <w:lang w:val="en-US" w:eastAsia="zh-CN"/>
              </w:rPr>
              <w:t>5</w:t>
            </w:r>
            <w:r>
              <w:rPr>
                <w:rFonts w:hint="eastAsia" w:ascii="宋体" w:hAnsi="宋体"/>
                <w:b/>
                <w:highlight w:val="none"/>
              </w:rPr>
              <w:t>。</w:t>
            </w:r>
          </w:p>
          <w:p>
            <w:pPr>
              <w:snapToGrid w:val="0"/>
              <w:spacing w:line="360" w:lineRule="auto"/>
              <w:rPr>
                <w:rFonts w:ascii="宋体" w:hAnsi="宋体"/>
                <w:b/>
                <w:highlight w:val="none"/>
              </w:rPr>
            </w:pPr>
            <w:r>
              <w:rPr>
                <w:rFonts w:hint="eastAsia" w:ascii="宋体" w:hAnsi="宋体"/>
                <w:b/>
                <w:highlight w:val="none"/>
              </w:rPr>
              <w:t>响应文件解密：开启解密后，供应商应在系统提示的解密开始时间后</w:t>
            </w:r>
            <w:r>
              <w:rPr>
                <w:rFonts w:ascii="宋体" w:hAnsi="宋体"/>
                <w:b/>
                <w:highlight w:val="none"/>
              </w:rPr>
              <w:t>60</w:t>
            </w:r>
            <w:r>
              <w:rPr>
                <w:rFonts w:hint="eastAsia" w:ascii="宋体" w:hAnsi="宋体"/>
                <w:b/>
                <w:highlight w:val="none"/>
              </w:rPr>
              <w:t>分钟内，使用对响应文件进行加密的CA证书在线完成对供应商递交至政府采购云平台的响应文件的解密。</w:t>
            </w:r>
          </w:p>
          <w:p>
            <w:pPr>
              <w:snapToGrid w:val="0"/>
              <w:spacing w:line="360" w:lineRule="auto"/>
              <w:rPr>
                <w:rFonts w:ascii="宋体" w:hAnsi="宋体"/>
                <w:b/>
                <w:highlight w:val="none"/>
              </w:rPr>
            </w:pPr>
            <w:r>
              <w:rPr>
                <w:rFonts w:hint="eastAsia" w:ascii="宋体" w:hAnsi="宋体"/>
                <w:b/>
                <w:highlight w:val="none"/>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cs="宋体"/>
                <w:b/>
                <w:szCs w:val="21"/>
                <w:highlight w:val="none"/>
                <w:lang w:val="zh-CN"/>
              </w:rPr>
            </w:pPr>
            <w:r>
              <w:rPr>
                <w:rFonts w:hint="eastAsia" w:ascii="宋体" w:hAnsi="宋体"/>
                <w:b/>
                <w:highlight w:val="none"/>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szCs w:val="21"/>
              </w:rPr>
              <w:t>对磋商文件中供应商参加本次政府采购活动应当具备的条件，采购项目技术、服务、商务及其他要求，评分细则及标准的询问、质疑</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szCs w:val="21"/>
              </w:rPr>
              <w:t>向采购人提出，并由采购人按相关规定作出答复（详见供应商须知2.</w:t>
            </w:r>
            <w:r>
              <w:rPr>
                <w:rFonts w:hint="eastAsia" w:ascii="宋体" w:hAnsi="宋体"/>
                <w:szCs w:val="21"/>
                <w:lang w:val="en-US" w:eastAsia="zh-CN"/>
              </w:rPr>
              <w:t>9</w:t>
            </w:r>
            <w:r>
              <w:rPr>
                <w:rFonts w:hint="eastAsia" w:ascii="宋体" w:hAnsi="宋体"/>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szCs w:val="21"/>
              </w:rPr>
              <w:t>对磋商文件中的其他内容、采购过程及成交结果的询问、质疑</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szCs w:val="21"/>
              </w:rPr>
              <w:t>向集中采购机构提出，并由集中采购机构按相关规定作出答复（详见供应商须知2.</w:t>
            </w:r>
            <w:r>
              <w:rPr>
                <w:rFonts w:hint="eastAsia" w:ascii="宋体" w:hAnsi="宋体"/>
                <w:szCs w:val="21"/>
                <w:lang w:val="en-US" w:eastAsia="zh-CN"/>
              </w:rPr>
              <w:t>9</w:t>
            </w:r>
            <w:r>
              <w:rPr>
                <w:rFonts w:hint="eastAsia" w:ascii="宋体" w:hAnsi="宋体"/>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szCs w:val="21"/>
              </w:rPr>
              <w:t>供应商投诉</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szCs w:val="21"/>
              </w:rPr>
            </w:pPr>
            <w:r>
              <w:rPr>
                <w:rFonts w:hint="eastAsia" w:ascii="宋体" w:hAnsi="宋体"/>
                <w:szCs w:val="21"/>
              </w:rPr>
              <w:t>投诉受理单位：本项目同级财政部门，即成都市新都区财政局。</w:t>
            </w:r>
          </w:p>
          <w:p>
            <w:pPr>
              <w:tabs>
                <w:tab w:val="left" w:pos="7665"/>
              </w:tabs>
              <w:snapToGrid w:val="0"/>
              <w:spacing w:line="360" w:lineRule="auto"/>
              <w:rPr>
                <w:rFonts w:ascii="宋体" w:hAnsi="宋体"/>
              </w:rPr>
            </w:pPr>
            <w:r>
              <w:rPr>
                <w:rFonts w:hint="eastAsia" w:ascii="宋体" w:hAnsi="宋体"/>
                <w:szCs w:val="21"/>
              </w:rPr>
              <w:t>联系电话：028-89396791。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szCs w:val="21"/>
              </w:rPr>
            </w:pPr>
            <w:r>
              <w:rPr>
                <w:rFonts w:hint="eastAsia" w:ascii="宋体" w:hAnsi="宋体"/>
                <w:szCs w:val="21"/>
              </w:rPr>
              <w:t>响应文件有效期</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cs="Helvetica"/>
                <w:szCs w:val="21"/>
              </w:rPr>
              <w:t>递交响应文件的截止</w:t>
            </w:r>
            <w:r>
              <w:rPr>
                <w:rFonts w:hint="eastAsia" w:ascii="宋体" w:hAnsi="宋体" w:cs="Helvetica"/>
                <w:szCs w:val="21"/>
                <w:highlight w:val="none"/>
              </w:rPr>
              <w:t>之日起</w:t>
            </w:r>
            <w:r>
              <w:rPr>
                <w:rFonts w:hint="eastAsia" w:ascii="宋体" w:hAnsi="宋体"/>
                <w:szCs w:val="21"/>
                <w:highlight w:val="none"/>
                <w:u w:val="single"/>
              </w:rPr>
              <w:t>120</w:t>
            </w:r>
            <w:r>
              <w:rPr>
                <w:rFonts w:hint="eastAsia" w:ascii="宋体" w:hAnsi="宋体"/>
                <w:szCs w:val="21"/>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szCs w:val="21"/>
              </w:rPr>
            </w:pPr>
            <w:r>
              <w:rPr>
                <w:rFonts w:hint="eastAsia" w:ascii="宋体" w:hAnsi="宋体" w:cs="宋体"/>
                <w:szCs w:val="21"/>
                <w:lang w:val="zh-CN"/>
              </w:rPr>
              <w:t>评审情况公告</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pacing w:line="360" w:lineRule="auto"/>
              <w:rPr>
                <w:rFonts w:ascii="宋体" w:hAnsi="宋体"/>
                <w:szCs w:val="21"/>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资格审查情况、响应文件符合性审查情况、采用综合评分法时的总得分和分项汇总得分情况、评审结果等将在“成都市公共资源交易服务中心网”、“四川政府采购网”采购结果公告栏中予以公告。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szCs w:val="21"/>
              </w:rPr>
            </w:pPr>
            <w:r>
              <w:rPr>
                <w:rFonts w:hint="eastAsia" w:ascii="宋体" w:hAnsi="宋体" w:cs="宋体"/>
                <w:szCs w:val="21"/>
                <w:lang w:val="zh-CN"/>
              </w:rPr>
              <w:t>成交通知书领取</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after="200" w:line="360" w:lineRule="auto"/>
              <w:ind w:left="420"/>
              <w:jc w:val="center"/>
              <w:rPr>
                <w:rFonts w:ascii="宋体" w:hAnsi="宋体"/>
                <w:szCs w:val="21"/>
              </w:rPr>
            </w:pPr>
          </w:p>
        </w:tc>
        <w:tc>
          <w:tcPr>
            <w:tcW w:w="18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szCs w:val="21"/>
              </w:rPr>
            </w:pPr>
            <w:r>
              <w:rPr>
                <w:rFonts w:hint="eastAsia" w:ascii="宋体" w:hAnsi="宋体"/>
                <w:szCs w:val="21"/>
              </w:rPr>
              <w:t>合同签订地点</w:t>
            </w:r>
          </w:p>
        </w:tc>
        <w:tc>
          <w:tcPr>
            <w:tcW w:w="68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szCs w:val="21"/>
              </w:rPr>
              <w:t>四川省成都市</w:t>
            </w:r>
            <w:r>
              <w:rPr>
                <w:rFonts w:hint="eastAsia" w:ascii="宋体" w:hAnsi="宋体"/>
                <w:szCs w:val="21"/>
                <w:lang w:eastAsia="zh-CN"/>
              </w:rPr>
              <w:t>新都区</w:t>
            </w:r>
            <w:r>
              <w:rPr>
                <w:rFonts w:hint="eastAsia" w:ascii="宋体" w:hAnsi="宋体"/>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after="200" w:line="360" w:lineRule="auto"/>
              <w:ind w:left="0" w:firstLine="0"/>
              <w:jc w:val="center"/>
              <w:rPr>
                <w:rFonts w:ascii="宋体" w:hAnsi="宋体"/>
                <w:szCs w:val="21"/>
              </w:rPr>
            </w:pPr>
          </w:p>
        </w:tc>
        <w:tc>
          <w:tcPr>
            <w:tcW w:w="18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cs="宋体"/>
                <w:szCs w:val="21"/>
                <w:lang w:val="zh-CN"/>
              </w:rPr>
            </w:pPr>
            <w:r>
              <w:rPr>
                <w:rFonts w:hint="eastAsia" w:ascii="宋体" w:hAnsi="宋体"/>
                <w:szCs w:val="21"/>
              </w:rPr>
              <w:t>政府采购合同公告、备案</w:t>
            </w:r>
          </w:p>
        </w:tc>
        <w:tc>
          <w:tcPr>
            <w:tcW w:w="68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rightChars="0" w:firstLine="12" w:firstLineChars="6"/>
              <w:rPr>
                <w:rFonts w:ascii="宋体" w:hAnsi="宋体" w:cs="宋体"/>
                <w:szCs w:val="21"/>
                <w:lang w:val="zh-CN"/>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成都市新都区财政局</w:t>
            </w:r>
            <w:r>
              <w:rPr>
                <w:rFonts w:hint="eastAsia" w:ascii="宋体" w:hAnsi="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after="200" w:line="360" w:lineRule="auto"/>
              <w:ind w:left="0" w:firstLine="0"/>
              <w:jc w:val="center"/>
              <w:rPr>
                <w:rFonts w:ascii="宋体" w:hAnsi="宋体"/>
                <w:szCs w:val="21"/>
              </w:rPr>
            </w:pPr>
          </w:p>
        </w:tc>
        <w:tc>
          <w:tcPr>
            <w:tcW w:w="18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ind w:left="210" w:leftChars="100" w:right="210" w:rightChars="100"/>
              <w:rPr>
                <w:rFonts w:ascii="宋体" w:hAnsi="宋体"/>
                <w:szCs w:val="21"/>
              </w:rPr>
            </w:pPr>
            <w:r>
              <w:rPr>
                <w:rFonts w:hint="eastAsia" w:ascii="宋体" w:hAnsi="宋体"/>
                <w:szCs w:val="21"/>
              </w:rPr>
              <w:t>中小企业政府采购信用融资（“蓉采贷”）</w:t>
            </w:r>
          </w:p>
        </w:tc>
        <w:tc>
          <w:tcPr>
            <w:tcW w:w="6810" w:type="dxa"/>
            <w:tcBorders>
              <w:top w:val="single" w:color="auto" w:sz="8" w:space="0"/>
              <w:left w:val="single" w:color="auto" w:sz="8" w:space="0"/>
              <w:bottom w:val="single" w:color="auto" w:sz="4" w:space="0"/>
              <w:right w:val="single" w:color="auto" w:sz="18" w:space="0"/>
            </w:tcBorders>
            <w:vAlign w:val="center"/>
          </w:tcPr>
          <w:p>
            <w:pPr>
              <w:snapToGrid w:val="0"/>
              <w:spacing w:line="360" w:lineRule="auto"/>
              <w:rPr>
                <w:rFonts w:ascii="宋体" w:hAnsi="宋体"/>
                <w:szCs w:val="21"/>
              </w:rPr>
            </w:pPr>
            <w:r>
              <w:rPr>
                <w:rFonts w:hint="eastAsia" w:ascii="宋体" w:hAnsi="宋体"/>
                <w:szCs w:val="21"/>
              </w:rPr>
              <w:t>参加本次磋商活动成交的中小企业无需提供财产抵押或第三方担保，凭借政府采购合同可向融资机构申请融资。具体内容详见采购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新都区财政局关于公布新都区开展政府采购信用融资业务金融机构名单的通知》（新都财采〔2021〕160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after="200" w:line="360" w:lineRule="auto"/>
              <w:ind w:left="0" w:firstLine="0"/>
              <w:jc w:val="center"/>
              <w:rPr>
                <w:rFonts w:ascii="宋体" w:hAnsi="宋体"/>
                <w:szCs w:val="21"/>
              </w:rPr>
            </w:pPr>
          </w:p>
        </w:tc>
        <w:tc>
          <w:tcPr>
            <w:tcW w:w="18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szCs w:val="21"/>
              </w:rPr>
            </w:pPr>
            <w:r>
              <w:rPr>
                <w:rFonts w:hint="eastAsia" w:ascii="宋体" w:hAnsi="宋体"/>
                <w:szCs w:val="21"/>
              </w:rPr>
              <w:t>进口产品（如采购内容中涉及货物采购的）</w:t>
            </w:r>
          </w:p>
        </w:tc>
        <w:tc>
          <w:tcPr>
            <w:tcW w:w="68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szCs w:val="21"/>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after="200" w:line="360" w:lineRule="auto"/>
              <w:ind w:left="0" w:firstLine="0"/>
              <w:jc w:val="center"/>
              <w:rPr>
                <w:rFonts w:ascii="宋体" w:hAnsi="宋体"/>
                <w:szCs w:val="21"/>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szCs w:val="21"/>
              </w:rPr>
            </w:pPr>
            <w:r>
              <w:rPr>
                <w:rFonts w:hint="eastAsia" w:ascii="宋体" w:hAnsi="宋体"/>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numPr>
          <w:ilvl w:val="1"/>
          <w:numId w:val="6"/>
        </w:numPr>
        <w:tabs>
          <w:tab w:val="left" w:pos="426"/>
          <w:tab w:val="left" w:pos="567"/>
        </w:tabs>
        <w:spacing w:before="0" w:after="200"/>
        <w:ind w:left="1985" w:hanging="1985"/>
        <w:jc w:val="both"/>
      </w:pPr>
      <w:bookmarkStart w:id="6" w:name="_Toc494095619"/>
      <w:bookmarkEnd w:id="6"/>
      <w:bookmarkStart w:id="7" w:name="_Toc494356973"/>
      <w:bookmarkEnd w:id="7"/>
      <w:bookmarkStart w:id="8" w:name="_Toc27694"/>
      <w:r>
        <w:rPr>
          <w:rFonts w:hint="eastAsia"/>
        </w:rPr>
        <w:t>总则</w:t>
      </w:r>
      <w:bookmarkEnd w:id="8"/>
    </w:p>
    <w:p>
      <w:pPr>
        <w:pStyle w:val="5"/>
        <w:numPr>
          <w:ilvl w:val="2"/>
          <w:numId w:val="6"/>
        </w:numPr>
        <w:spacing w:after="200"/>
        <w:ind w:left="0" w:firstLine="0"/>
        <w:rPr>
          <w:color w:val="auto"/>
        </w:rPr>
      </w:pPr>
      <w:r>
        <w:rPr>
          <w:rFonts w:hint="eastAsia"/>
          <w:color w:val="auto"/>
        </w:rPr>
        <w:t>适用范围</w:t>
      </w:r>
      <w:bookmarkEnd w:id="3"/>
      <w:bookmarkEnd w:id="4"/>
    </w:p>
    <w:p>
      <w:pPr>
        <w:numPr>
          <w:ilvl w:val="0"/>
          <w:numId w:val="11"/>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本磋商文件仅适用于本竞争性磋商邀请中所叙述项目的采购。</w:t>
      </w:r>
    </w:p>
    <w:p>
      <w:pPr>
        <w:numPr>
          <w:ilvl w:val="0"/>
          <w:numId w:val="11"/>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区交易中心</w:t>
      </w:r>
      <w:r>
        <w:rPr>
          <w:rFonts w:hint="eastAsia" w:ascii="宋体" w:hAnsi="宋体"/>
          <w:sz w:val="28"/>
          <w:szCs w:val="28"/>
        </w:rPr>
        <w:t>享有。磋商文件中供应商参加本次政府采购活动应当具备的条件、项目服务、商务及其他要求以及评分细则及标准由采购人负责解释。除上述磋商文件内容，其他内容由</w:t>
      </w:r>
      <w:r>
        <w:rPr>
          <w:rFonts w:hint="eastAsia" w:ascii="宋体" w:hAnsi="宋体"/>
          <w:sz w:val="28"/>
          <w:szCs w:val="28"/>
          <w:lang w:eastAsia="zh-CN"/>
        </w:rPr>
        <w:t>区交易中心</w:t>
      </w:r>
      <w:r>
        <w:rPr>
          <w:rFonts w:hint="eastAsia" w:ascii="宋体" w:hAnsi="宋体"/>
          <w:sz w:val="28"/>
          <w:szCs w:val="28"/>
        </w:rPr>
        <w:t>负责解释。</w:t>
      </w:r>
    </w:p>
    <w:p>
      <w:pPr>
        <w:pStyle w:val="5"/>
        <w:numPr>
          <w:ilvl w:val="2"/>
          <w:numId w:val="6"/>
        </w:numPr>
        <w:spacing w:after="200"/>
        <w:ind w:left="0" w:firstLine="0"/>
        <w:rPr>
          <w:color w:val="auto"/>
        </w:rPr>
      </w:pPr>
      <w:bookmarkStart w:id="9" w:name="_Toc287623639"/>
      <w:r>
        <w:rPr>
          <w:rFonts w:hint="eastAsia"/>
          <w:color w:val="auto"/>
        </w:rPr>
        <w:t>有关定义</w:t>
      </w:r>
      <w:bookmarkEnd w:id="9"/>
    </w:p>
    <w:p>
      <w:pPr>
        <w:numPr>
          <w:ilvl w:val="0"/>
          <w:numId w:val="12"/>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rPr>
        <w:t>“采购人”、“甲方”系指依法进行政府采购的成都市级机关、事业单位、团体组织。本次竞争性磋商项目的采购人是</w:t>
      </w:r>
      <w:r>
        <w:rPr>
          <w:rFonts w:hint="eastAsia" w:ascii="宋体" w:hAnsi="宋体"/>
          <w:b/>
          <w:sz w:val="28"/>
          <w:szCs w:val="28"/>
          <w:lang w:eastAsia="zh-CN"/>
        </w:rPr>
        <w:t>成都市新都区石板滩街道木兰卫生院</w:t>
      </w:r>
      <w:r>
        <w:rPr>
          <w:rFonts w:hint="eastAsia" w:ascii="宋体" w:hAnsi="宋体"/>
          <w:sz w:val="28"/>
          <w:szCs w:val="28"/>
        </w:rPr>
        <w:t>。</w:t>
      </w:r>
    </w:p>
    <w:p>
      <w:pPr>
        <w:numPr>
          <w:ilvl w:val="0"/>
          <w:numId w:val="12"/>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rPr>
        <w:t>“供应商”系指在系统中成功提交响应文件，拟参加竞争性磋商和向采购人提供货物及服务的供应商。“乙方”系指本项目的成交供应商。</w:t>
      </w:r>
    </w:p>
    <w:p>
      <w:pPr>
        <w:numPr>
          <w:ilvl w:val="0"/>
          <w:numId w:val="12"/>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rPr>
        <w:t>本磋商文件各部分规定的期间以时、日、月、年计算。期间开始的时和日，不计算在期间内，而从次日开始计算。期间届满的最后一天是节假日的，以节假日后的第一日为期间届满的日期。</w:t>
      </w:r>
    </w:p>
    <w:p>
      <w:pPr>
        <w:numPr>
          <w:ilvl w:val="0"/>
          <w:numId w:val="12"/>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rPr>
        <w:t>磋商文件中所称的“以上”、“以下”、“内”、“以内”，包括本数；所称的“不足”，不包括本数。</w:t>
      </w:r>
    </w:p>
    <w:p>
      <w:pPr>
        <w:numPr>
          <w:ilvl w:val="0"/>
          <w:numId w:val="12"/>
        </w:numPr>
        <w:tabs>
          <w:tab w:val="left" w:pos="1130"/>
          <w:tab w:val="left" w:pos="1200"/>
        </w:tabs>
        <w:spacing w:after="200" w:line="360" w:lineRule="auto"/>
        <w:ind w:left="0" w:firstLine="599" w:firstLineChars="214"/>
        <w:rPr>
          <w:rFonts w:hint="eastAsia"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numPr>
          <w:ilvl w:val="0"/>
          <w:numId w:val="12"/>
        </w:numPr>
        <w:tabs>
          <w:tab w:val="left" w:pos="1130"/>
          <w:tab w:val="left" w:pos="1200"/>
        </w:tabs>
        <w:spacing w:after="200" w:line="360" w:lineRule="auto"/>
        <w:ind w:left="0" w:firstLine="599" w:firstLineChars="214"/>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区交易中心</w:t>
      </w:r>
      <w:r>
        <w:rPr>
          <w:rFonts w:hint="eastAsia" w:ascii="宋体" w:hAnsi="宋体"/>
          <w:sz w:val="28"/>
          <w:szCs w:val="28"/>
        </w:rPr>
        <w:t>依托政府采购云平台</w:t>
      </w:r>
      <w:r>
        <w:rPr>
          <w:rFonts w:hint="eastAsia" w:ascii="宋体" w:hAnsi="宋体"/>
          <w:sz w:val="28"/>
          <w:szCs w:val="28"/>
          <w:highlight w:val="none"/>
        </w:rPr>
        <w:t>组织</w:t>
      </w:r>
      <w:r>
        <w:rPr>
          <w:rFonts w:hint="eastAsia" w:ascii="宋体" w:hAnsi="宋体"/>
          <w:sz w:val="28"/>
          <w:szCs w:val="28"/>
          <w:highlight w:val="none"/>
          <w:lang w:eastAsia="zh-CN"/>
        </w:rPr>
        <w:t>磋商</w:t>
      </w:r>
      <w:r>
        <w:rPr>
          <w:rFonts w:hint="eastAsia" w:ascii="宋体" w:hAnsi="宋体"/>
          <w:sz w:val="28"/>
          <w:szCs w:val="28"/>
        </w:rPr>
        <w:t>活动，供应商在线参与</w:t>
      </w:r>
      <w:r>
        <w:rPr>
          <w:rFonts w:hint="eastAsia" w:ascii="宋体" w:hAnsi="宋体"/>
          <w:sz w:val="28"/>
          <w:szCs w:val="28"/>
          <w:lang w:eastAsia="zh-CN"/>
        </w:rPr>
        <w:t>磋商</w:t>
      </w:r>
      <w:r>
        <w:rPr>
          <w:rFonts w:hint="eastAsia" w:ascii="宋体" w:hAnsi="宋体"/>
          <w:sz w:val="28"/>
          <w:szCs w:val="28"/>
        </w:rPr>
        <w:t>的一种组织形式。</w:t>
      </w:r>
    </w:p>
    <w:p>
      <w:pPr>
        <w:pStyle w:val="5"/>
        <w:numPr>
          <w:ilvl w:val="2"/>
          <w:numId w:val="6"/>
        </w:numPr>
        <w:spacing w:after="200"/>
        <w:ind w:left="0" w:firstLine="0"/>
        <w:rPr>
          <w:color w:val="auto"/>
        </w:rPr>
      </w:pPr>
      <w:r>
        <w:rPr>
          <w:rFonts w:hint="eastAsia"/>
          <w:color w:val="auto"/>
        </w:rPr>
        <w:t>合格的供应商</w:t>
      </w:r>
    </w:p>
    <w:p>
      <w:pPr>
        <w:tabs>
          <w:tab w:val="left" w:pos="1134"/>
        </w:tabs>
        <w:spacing w:line="360" w:lineRule="auto"/>
        <w:ind w:firstLine="560" w:firstLineChars="200"/>
      </w:pPr>
      <w:r>
        <w:rPr>
          <w:rFonts w:hint="eastAsia" w:ascii="宋体" w:hAnsi="宋体"/>
          <w:sz w:val="28"/>
          <w:szCs w:val="28"/>
        </w:rPr>
        <w:t>合格的供应商应具备以下条件：</w:t>
      </w:r>
    </w:p>
    <w:p>
      <w:pPr>
        <w:numPr>
          <w:ilvl w:val="0"/>
          <w:numId w:val="13"/>
        </w:numPr>
        <w:tabs>
          <w:tab w:val="left" w:pos="1134"/>
        </w:tabs>
        <w:spacing w:line="360" w:lineRule="auto"/>
        <w:rPr>
          <w:rFonts w:ascii="宋体" w:hAnsi="宋体"/>
          <w:sz w:val="28"/>
          <w:szCs w:val="28"/>
        </w:rPr>
      </w:pPr>
      <w:bookmarkStart w:id="10" w:name="_Toc287623640"/>
      <w:bookmarkStart w:id="11" w:name="_Toc320698717"/>
      <w:r>
        <w:rPr>
          <w:rFonts w:hint="eastAsia" w:ascii="宋体" w:hAnsi="宋体"/>
          <w:sz w:val="28"/>
          <w:szCs w:val="28"/>
        </w:rPr>
        <w:t>本磋商文件“竞争性磋商邀请”第四条规定的条件；</w:t>
      </w:r>
    </w:p>
    <w:p>
      <w:pPr>
        <w:numPr>
          <w:ilvl w:val="0"/>
          <w:numId w:val="13"/>
        </w:numPr>
        <w:tabs>
          <w:tab w:val="left" w:pos="1134"/>
        </w:tabs>
        <w:spacing w:line="360" w:lineRule="auto"/>
        <w:ind w:left="0" w:firstLine="568"/>
        <w:rPr>
          <w:rFonts w:ascii="宋体" w:hAnsi="宋体"/>
          <w:sz w:val="28"/>
          <w:szCs w:val="28"/>
        </w:rPr>
      </w:pPr>
      <w:r>
        <w:rPr>
          <w:rFonts w:hint="eastAsia" w:ascii="宋体" w:hAnsi="宋体"/>
          <w:sz w:val="28"/>
          <w:szCs w:val="28"/>
        </w:rPr>
        <w:t>按照磋商文件“竞争性磋商邀请”中第七、八条规定获取了磋商文件。</w:t>
      </w:r>
    </w:p>
    <w:p>
      <w:pPr>
        <w:pStyle w:val="5"/>
        <w:numPr>
          <w:ilvl w:val="2"/>
          <w:numId w:val="6"/>
        </w:numPr>
        <w:spacing w:after="200"/>
        <w:ind w:left="0" w:firstLine="0"/>
        <w:rPr>
          <w:color w:val="auto"/>
        </w:rPr>
      </w:pPr>
      <w:r>
        <w:rPr>
          <w:rFonts w:hint="eastAsia"/>
          <w:color w:val="auto"/>
        </w:rPr>
        <w:t>参加竞争性磋商的费用</w:t>
      </w:r>
      <w:bookmarkEnd w:id="10"/>
    </w:p>
    <w:p>
      <w:pPr>
        <w:tabs>
          <w:tab w:val="left" w:pos="7665"/>
        </w:tabs>
        <w:spacing w:line="360" w:lineRule="auto"/>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numPr>
          <w:ilvl w:val="2"/>
          <w:numId w:val="6"/>
        </w:numPr>
        <w:spacing w:after="200"/>
        <w:ind w:left="0" w:firstLine="0"/>
        <w:rPr>
          <w:color w:val="auto"/>
        </w:rPr>
      </w:pPr>
      <w:r>
        <w:rPr>
          <w:rFonts w:hint="eastAsia"/>
          <w:color w:val="auto"/>
        </w:rPr>
        <w:t>充分、公平竞争保障措施</w:t>
      </w:r>
    </w:p>
    <w:p>
      <w:pPr>
        <w:numPr>
          <w:ilvl w:val="1"/>
          <w:numId w:val="14"/>
        </w:numPr>
        <w:tabs>
          <w:tab w:val="left" w:pos="1134"/>
        </w:tabs>
        <w:spacing w:after="200" w:line="360" w:lineRule="auto"/>
        <w:ind w:left="0" w:firstLine="568"/>
        <w:rPr>
          <w:rFonts w:ascii="宋体" w:hAnsi="宋体"/>
          <w:sz w:val="28"/>
          <w:szCs w:val="28"/>
        </w:rPr>
      </w:pPr>
      <w:r>
        <w:rPr>
          <w:rFonts w:hint="eastAsia" w:ascii="宋体" w:hAnsi="宋体"/>
          <w:sz w:val="28"/>
          <w:szCs w:val="28"/>
        </w:rPr>
        <w:t>单位负责人为同一人或者存在直接控股、管理关系的不同供应商，不得参加同一项目的磋商。</w:t>
      </w:r>
    </w:p>
    <w:p>
      <w:pPr>
        <w:numPr>
          <w:ilvl w:val="1"/>
          <w:numId w:val="14"/>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hAnsi="宋体"/>
          <w:sz w:val="28"/>
          <w:szCs w:val="28"/>
          <w:lang w:eastAsia="zh-CN"/>
        </w:rPr>
        <w:t>区交易中心</w:t>
      </w:r>
      <w:r>
        <w:rPr>
          <w:rFonts w:hint="eastAsia" w:ascii="宋体" w:hAnsi="宋体"/>
          <w:sz w:val="28"/>
          <w:szCs w:val="28"/>
        </w:rPr>
        <w:t>在确定采购需求、编制采购文件过程中提供咨询论证，其提供的咨询论证意见成为采购文件中规定的供应商资格条件、技术、服务要求、评审因素和标准、政府采购合同等实质性内容条款的，视同为采购项目提供规范编制。</w:t>
      </w:r>
      <w:r>
        <w:rPr>
          <w:rFonts w:hint="eastAsia" w:ascii="宋体" w:hAnsi="宋体"/>
          <w:b/>
          <w:sz w:val="28"/>
          <w:szCs w:val="28"/>
        </w:rPr>
        <w:t>（说明：无供应商为本项目提供整体设计、规范编制或者项目管理、监理、检测等服务）</w:t>
      </w:r>
    </w:p>
    <w:p>
      <w:pPr>
        <w:numPr>
          <w:ilvl w:val="1"/>
          <w:numId w:val="14"/>
        </w:numPr>
        <w:tabs>
          <w:tab w:val="left" w:pos="1134"/>
        </w:tabs>
        <w:spacing w:after="200" w:line="360" w:lineRule="auto"/>
        <w:ind w:left="0" w:firstLine="560" w:firstLineChars="200"/>
        <w:rPr>
          <w:rFonts w:hint="eastAsia" w:ascii="宋体" w:hAnsi="宋体" w:cs="Times New Roman"/>
          <w:sz w:val="28"/>
          <w:szCs w:val="28"/>
          <w:highlight w:val="none"/>
        </w:rPr>
      </w:pPr>
      <w:r>
        <w:rPr>
          <w:rFonts w:hint="eastAsia" w:ascii="宋体" w:hAnsi="宋体" w:cs="Times New Roman"/>
          <w:sz w:val="28"/>
          <w:szCs w:val="28"/>
          <w:highlight w:val="none"/>
        </w:rPr>
        <w:t>本项目核心产品为：</w:t>
      </w:r>
      <w:r>
        <w:rPr>
          <w:rFonts w:hint="eastAsia" w:ascii="宋体" w:hAnsi="宋体" w:eastAsia="宋体" w:cs="Times New Roman"/>
          <w:sz w:val="28"/>
          <w:szCs w:val="28"/>
          <w:highlight w:val="none"/>
          <w:lang w:val="en-US" w:eastAsia="zh-CN"/>
        </w:rPr>
        <w:t>液晶拼接单元（一）、液晶拼接单元（二）</w:t>
      </w:r>
      <w:r>
        <w:rPr>
          <w:rFonts w:hint="eastAsia" w:ascii="宋体" w:hAnsi="宋体" w:cs="Times New Roman"/>
          <w:sz w:val="28"/>
          <w:szCs w:val="28"/>
          <w:highlight w:val="none"/>
        </w:rPr>
        <w:t>。提供核心产品品牌相同且通过资格检查和其他实质性检查的不同供应商参加同一项目磋商的，按一家供应商计算，评审后得分最高的供应商获得成交候选人推荐资格；评审得分相同的，报价最低的供应商获得成交候选人推荐资格；评审得分相同且报价相同的，由磋商小组采取随机抽取的方式确定一个供应商获得成交候选人推荐资格。</w:t>
      </w:r>
    </w:p>
    <w:p>
      <w:pPr>
        <w:pStyle w:val="4"/>
        <w:numPr>
          <w:ilvl w:val="1"/>
          <w:numId w:val="6"/>
        </w:numPr>
        <w:tabs>
          <w:tab w:val="left" w:pos="426"/>
          <w:tab w:val="left" w:pos="567"/>
        </w:tabs>
        <w:spacing w:before="0" w:after="200"/>
        <w:ind w:left="1985" w:hanging="1985"/>
        <w:jc w:val="both"/>
      </w:pPr>
      <w:bookmarkStart w:id="12" w:name="_Toc30119"/>
      <w:r>
        <w:rPr>
          <w:rFonts w:hint="eastAsia"/>
        </w:rPr>
        <w:t>磋商文件</w:t>
      </w:r>
      <w:bookmarkEnd w:id="12"/>
    </w:p>
    <w:p>
      <w:pPr>
        <w:pStyle w:val="5"/>
        <w:numPr>
          <w:ilvl w:val="2"/>
          <w:numId w:val="6"/>
        </w:numPr>
        <w:spacing w:after="200"/>
        <w:ind w:left="0" w:firstLine="0"/>
        <w:rPr>
          <w:color w:val="auto"/>
        </w:rPr>
      </w:pPr>
      <w:r>
        <w:rPr>
          <w:rFonts w:hint="eastAsia"/>
          <w:color w:val="auto"/>
        </w:rPr>
        <w:t>磋商文件的构成</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竞争性磋商文件是供应商准备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（三）响应文件格式；</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（六）合同草案条款。</w:t>
      </w:r>
    </w:p>
    <w:p>
      <w:pPr>
        <w:tabs>
          <w:tab w:val="left" w:pos="1134"/>
        </w:tabs>
        <w:spacing w:line="360" w:lineRule="auto"/>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二、供应商应认真阅读和充分理解竞争性磋商文件中所有的事项、格式条款和规范要求。供应商没有对竞争性磋商文件全面做出实质性响应所产生的风险由供应商承担。</w:t>
      </w:r>
      <w:bookmarkEnd w:id="11"/>
    </w:p>
    <w:p>
      <w:pPr>
        <w:pStyle w:val="5"/>
        <w:numPr>
          <w:ilvl w:val="2"/>
          <w:numId w:val="6"/>
        </w:numPr>
        <w:spacing w:after="200"/>
        <w:ind w:left="0" w:firstLine="0"/>
        <w:rPr>
          <w:color w:val="auto"/>
        </w:rPr>
      </w:pPr>
      <w:bookmarkStart w:id="13" w:name="_Toc183582211"/>
      <w:bookmarkStart w:id="14" w:name="_Toc183682348"/>
      <w:bookmarkStart w:id="15" w:name="_Toc217446040"/>
      <w:r>
        <w:rPr>
          <w:rFonts w:hint="eastAsia"/>
          <w:color w:val="auto"/>
        </w:rPr>
        <w:t>磋商文件的澄清</w:t>
      </w:r>
      <w:bookmarkEnd w:id="13"/>
      <w:bookmarkEnd w:id="14"/>
      <w:r>
        <w:rPr>
          <w:rFonts w:hint="eastAsia"/>
          <w:color w:val="auto"/>
        </w:rPr>
        <w:t>和修改</w:t>
      </w:r>
      <w:bookmarkEnd w:id="15"/>
    </w:p>
    <w:p>
      <w:pPr>
        <w:numPr>
          <w:ilvl w:val="0"/>
          <w:numId w:val="15"/>
        </w:numPr>
        <w:tabs>
          <w:tab w:val="left" w:pos="1134"/>
        </w:tabs>
        <w:spacing w:after="200" w:line="360" w:lineRule="auto"/>
        <w:ind w:left="0" w:firstLine="560"/>
        <w:rPr>
          <w:rFonts w:ascii="宋体" w:hAnsi="宋体"/>
          <w:sz w:val="28"/>
          <w:szCs w:val="28"/>
        </w:rPr>
      </w:pPr>
      <w:r>
        <w:rPr>
          <w:rFonts w:hint="eastAsia" w:ascii="宋体" w:hAnsi="宋体"/>
          <w:sz w:val="28"/>
          <w:szCs w:val="28"/>
        </w:rPr>
        <w:t>在递交响应文件截止时间前，采购人或</w:t>
      </w:r>
      <w:r>
        <w:rPr>
          <w:rFonts w:hint="eastAsia" w:ascii="宋体" w:hAnsi="宋体"/>
          <w:sz w:val="28"/>
          <w:szCs w:val="28"/>
          <w:lang w:eastAsia="zh-CN"/>
        </w:rPr>
        <w:t>区交易中心</w:t>
      </w:r>
      <w:r>
        <w:rPr>
          <w:rFonts w:hint="eastAsia" w:ascii="宋体" w:hAnsi="宋体"/>
          <w:sz w:val="28"/>
          <w:szCs w:val="28"/>
        </w:rPr>
        <w:t>无论出于何种原因，可以对磋商文件进行澄清或者修改。</w:t>
      </w:r>
    </w:p>
    <w:p>
      <w:pPr>
        <w:numPr>
          <w:ilvl w:val="0"/>
          <w:numId w:val="15"/>
        </w:numPr>
        <w:tabs>
          <w:tab w:val="left" w:pos="1134"/>
        </w:tabs>
        <w:spacing w:after="200" w:line="360" w:lineRule="auto"/>
        <w:ind w:left="0" w:firstLine="560"/>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区交易中心</w:t>
      </w:r>
      <w:r>
        <w:rPr>
          <w:rFonts w:hint="eastAsia" w:ascii="宋体" w:hAnsi="宋体"/>
          <w:sz w:val="28"/>
          <w:szCs w:val="28"/>
        </w:rPr>
        <w:t>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numPr>
          <w:ilvl w:val="0"/>
          <w:numId w:val="15"/>
        </w:numPr>
        <w:tabs>
          <w:tab w:val="left" w:pos="1134"/>
        </w:tabs>
        <w:spacing w:after="200" w:line="360" w:lineRule="auto"/>
        <w:ind w:left="0" w:firstLine="560"/>
        <w:rPr>
          <w:rFonts w:ascii="宋体" w:hAnsi="宋体"/>
          <w:sz w:val="28"/>
          <w:szCs w:val="28"/>
        </w:rPr>
      </w:pPr>
      <w:bookmarkStart w:id="16" w:name="_Toc320698720"/>
      <w:r>
        <w:rPr>
          <w:rFonts w:ascii="宋体" w:hAnsi="宋体"/>
          <w:sz w:val="28"/>
          <w:szCs w:val="28"/>
        </w:rPr>
        <w:t>澄清或者修改的内容可能影响响应文件编制的，</w:t>
      </w:r>
      <w:r>
        <w:rPr>
          <w:rFonts w:hint="eastAsia" w:ascii="宋体" w:hAnsi="宋体"/>
          <w:sz w:val="28"/>
          <w:szCs w:val="28"/>
          <w:lang w:eastAsia="zh-CN"/>
        </w:rPr>
        <w:t>区交易中心</w:t>
      </w:r>
      <w:r>
        <w:rPr>
          <w:rFonts w:ascii="宋体" w:hAnsi="宋体"/>
          <w:sz w:val="28"/>
          <w:szCs w:val="28"/>
        </w:rPr>
        <w:t>应当在提交首次</w:t>
      </w:r>
      <w:r>
        <w:rPr>
          <w:rFonts w:ascii="宋体" w:hAnsi="宋体"/>
          <w:sz w:val="28"/>
          <w:szCs w:val="28"/>
          <w:highlight w:val="none"/>
        </w:rPr>
        <w:t>响应文件截止时间至少5日前，</w:t>
      </w:r>
      <w:r>
        <w:rPr>
          <w:rFonts w:hint="eastAsia" w:ascii="宋体" w:hAnsi="宋体"/>
          <w:sz w:val="28"/>
          <w:szCs w:val="28"/>
          <w:highlight w:val="none"/>
        </w:rPr>
        <w:t>通过政府采购云平台或</w:t>
      </w:r>
      <w:r>
        <w:rPr>
          <w:rFonts w:hint="eastAsia" w:ascii="宋体" w:hAnsi="宋体"/>
          <w:bCs/>
          <w:sz w:val="28"/>
          <w:szCs w:val="28"/>
          <w:highlight w:val="none"/>
        </w:rPr>
        <w:t>以电子邮件方式</w:t>
      </w:r>
      <w:r>
        <w:rPr>
          <w:rFonts w:hint="eastAsia" w:ascii="宋体" w:hAnsi="宋体"/>
          <w:sz w:val="28"/>
          <w:szCs w:val="28"/>
          <w:highlight w:val="none"/>
        </w:rPr>
        <w:t>通知所有获取采购文件的潜在供应商</w:t>
      </w:r>
      <w:r>
        <w:rPr>
          <w:rFonts w:ascii="宋体" w:hAnsi="宋体"/>
          <w:sz w:val="28"/>
          <w:szCs w:val="28"/>
          <w:highlight w:val="none"/>
        </w:rPr>
        <w:t>；不足5日的，</w:t>
      </w:r>
      <w:r>
        <w:rPr>
          <w:rFonts w:hint="eastAsia" w:ascii="宋体" w:hAnsi="宋体"/>
          <w:sz w:val="28"/>
          <w:szCs w:val="28"/>
          <w:highlight w:val="none"/>
        </w:rPr>
        <w:t>采购人或</w:t>
      </w:r>
      <w:r>
        <w:rPr>
          <w:rFonts w:hint="eastAsia" w:ascii="宋体" w:hAnsi="宋体"/>
          <w:sz w:val="28"/>
          <w:szCs w:val="28"/>
          <w:highlight w:val="none"/>
          <w:lang w:eastAsia="zh-CN"/>
        </w:rPr>
        <w:t>区交易中心</w:t>
      </w:r>
      <w:r>
        <w:rPr>
          <w:rFonts w:ascii="宋体" w:hAnsi="宋体"/>
          <w:sz w:val="28"/>
          <w:szCs w:val="28"/>
          <w:highlight w:val="none"/>
        </w:rPr>
        <w:t>应当顺延提交首次响应文件截</w:t>
      </w:r>
      <w:r>
        <w:rPr>
          <w:rFonts w:ascii="宋体" w:hAnsi="宋体"/>
          <w:sz w:val="28"/>
          <w:szCs w:val="28"/>
        </w:rPr>
        <w:t>止</w:t>
      </w:r>
      <w:r>
        <w:rPr>
          <w:rFonts w:hint="eastAsia" w:ascii="宋体" w:hAnsi="宋体"/>
          <w:sz w:val="28"/>
          <w:szCs w:val="28"/>
        </w:rPr>
        <w:t>时间。</w:t>
      </w:r>
    </w:p>
    <w:p>
      <w:pPr>
        <w:pStyle w:val="4"/>
        <w:numPr>
          <w:ilvl w:val="1"/>
          <w:numId w:val="6"/>
        </w:numPr>
        <w:tabs>
          <w:tab w:val="left" w:pos="426"/>
          <w:tab w:val="left" w:pos="567"/>
        </w:tabs>
        <w:spacing w:before="0" w:after="200"/>
        <w:ind w:left="1985" w:hanging="1985"/>
        <w:jc w:val="both"/>
      </w:pPr>
      <w:bookmarkStart w:id="17" w:name="_Toc22918"/>
      <w:r>
        <w:rPr>
          <w:rFonts w:hint="eastAsia"/>
        </w:rPr>
        <w:t>响应文件</w:t>
      </w:r>
      <w:bookmarkEnd w:id="16"/>
      <w:bookmarkEnd w:id="17"/>
    </w:p>
    <w:p>
      <w:pPr>
        <w:pStyle w:val="5"/>
        <w:numPr>
          <w:ilvl w:val="2"/>
          <w:numId w:val="6"/>
        </w:numPr>
        <w:spacing w:after="200"/>
        <w:ind w:left="0" w:firstLine="0"/>
        <w:rPr>
          <w:color w:val="auto"/>
        </w:rPr>
      </w:pPr>
      <w:bookmarkStart w:id="18" w:name="_Toc320698721"/>
      <w:r>
        <w:rPr>
          <w:rFonts w:hint="eastAsia"/>
          <w:color w:val="auto"/>
        </w:rPr>
        <w:t>响应文件的语言</w:t>
      </w:r>
      <w:bookmarkEnd w:id="18"/>
    </w:p>
    <w:p>
      <w:pPr>
        <w:numPr>
          <w:ilvl w:val="0"/>
          <w:numId w:val="16"/>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供应商提交的响应文件以及供应商与采购人或</w:t>
      </w:r>
      <w:r>
        <w:rPr>
          <w:rFonts w:hint="eastAsia" w:ascii="宋体" w:hAnsi="宋体"/>
          <w:sz w:val="28"/>
          <w:szCs w:val="28"/>
          <w:lang w:eastAsia="zh-CN"/>
        </w:rPr>
        <w:t>区交易中心</w:t>
      </w:r>
      <w:r>
        <w:rPr>
          <w:rFonts w:hint="eastAsia" w:ascii="宋体" w:hAnsi="宋体"/>
          <w:sz w:val="28"/>
          <w:szCs w:val="28"/>
        </w:rPr>
        <w:t>就有关竞争性磋商采购活动的所有来往书面文件均须使用中文，响应文件中所附或引用的外文资料，应翻译成中文附在相关外文资料后面（说明：供应商的</w:t>
      </w:r>
      <w:r>
        <w:rPr>
          <w:rFonts w:hint="eastAsia" w:ascii="宋体" w:hAnsi="宋体"/>
          <w:sz w:val="28"/>
        </w:rPr>
        <w:t>负责人</w:t>
      </w:r>
      <w:r>
        <w:rPr>
          <w:rFonts w:hint="eastAsia" w:ascii="宋体" w:hAnsi="宋体"/>
          <w:sz w:val="28"/>
          <w:szCs w:val="28"/>
        </w:rPr>
        <w:t>为外籍人士的，则</w:t>
      </w:r>
      <w:r>
        <w:rPr>
          <w:rFonts w:hint="eastAsia" w:ascii="宋体" w:hAnsi="宋体"/>
          <w:sz w:val="28"/>
        </w:rPr>
        <w:t>负责人</w:t>
      </w:r>
      <w:r>
        <w:rPr>
          <w:rFonts w:hint="eastAsia" w:ascii="宋体" w:hAnsi="宋体"/>
          <w:sz w:val="28"/>
          <w:szCs w:val="28"/>
        </w:rPr>
        <w:t>的签字和护照除外）。</w:t>
      </w:r>
    </w:p>
    <w:p>
      <w:pPr>
        <w:numPr>
          <w:ilvl w:val="0"/>
          <w:numId w:val="16"/>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对不同文字文本响应文件的解释发生异议的，以中文文本为准。若供应商响应文件中提供的外文资料未翻译成中文，则磋商小组可将其视为无效材料。</w:t>
      </w:r>
    </w:p>
    <w:p>
      <w:pPr>
        <w:pStyle w:val="5"/>
        <w:numPr>
          <w:ilvl w:val="2"/>
          <w:numId w:val="6"/>
        </w:numPr>
        <w:spacing w:after="200"/>
        <w:ind w:left="0" w:firstLine="0"/>
        <w:rPr>
          <w:color w:val="auto"/>
        </w:rPr>
      </w:pPr>
      <w:r>
        <w:rPr>
          <w:rFonts w:hint="eastAsia"/>
          <w:color w:val="auto"/>
        </w:rPr>
        <w:t>计量单位</w:t>
      </w:r>
    </w:p>
    <w:p>
      <w:pPr>
        <w:tabs>
          <w:tab w:val="left" w:pos="1200"/>
        </w:tabs>
        <w:spacing w:line="360" w:lineRule="auto"/>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numPr>
          <w:ilvl w:val="2"/>
          <w:numId w:val="6"/>
        </w:numPr>
        <w:spacing w:after="200"/>
        <w:ind w:left="0" w:firstLine="0"/>
        <w:rPr>
          <w:color w:val="auto"/>
        </w:rPr>
      </w:pPr>
      <w:bookmarkStart w:id="19" w:name="_Toc320698722"/>
      <w:r>
        <w:rPr>
          <w:rFonts w:hint="eastAsia"/>
          <w:color w:val="auto"/>
        </w:rPr>
        <w:t>报价货币及报价要求</w:t>
      </w:r>
      <w:bookmarkEnd w:id="19"/>
    </w:p>
    <w:p>
      <w:pPr>
        <w:numPr>
          <w:ilvl w:val="0"/>
          <w:numId w:val="17"/>
        </w:numPr>
        <w:tabs>
          <w:tab w:val="left" w:pos="1134"/>
        </w:tabs>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报价一律以人民币币种报价。采购人不接受任何非人民币币种的报价。</w:t>
      </w:r>
    </w:p>
    <w:p>
      <w:pPr>
        <w:numPr>
          <w:ilvl w:val="0"/>
          <w:numId w:val="17"/>
        </w:numPr>
        <w:tabs>
          <w:tab w:val="left" w:pos="1134"/>
        </w:tabs>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供应商要按报价表（统一格式）的内容填写产品单价、总价、最后报价及其他事项。</w:t>
      </w:r>
    </w:p>
    <w:p>
      <w:pPr>
        <w:numPr>
          <w:ilvl w:val="0"/>
          <w:numId w:val="17"/>
        </w:numPr>
        <w:tabs>
          <w:tab w:val="left" w:pos="1134"/>
        </w:tabs>
        <w:spacing w:after="200" w:line="360" w:lineRule="auto"/>
        <w:ind w:left="0" w:firstLine="560" w:firstLineChars="200"/>
        <w:rPr>
          <w:rFonts w:ascii="宋体" w:hAnsi="宋体"/>
          <w:sz w:val="28"/>
          <w:szCs w:val="28"/>
          <w:highlight w:val="none"/>
        </w:rPr>
      </w:pPr>
      <w:r>
        <w:rPr>
          <w:rFonts w:hint="eastAsia" w:ascii="宋体" w:hAnsi="宋体"/>
          <w:sz w:val="28"/>
          <w:szCs w:val="28"/>
          <w:highlight w:val="none"/>
        </w:rPr>
        <w:t>供应商的报价为完成本项目所有采购内容的价格（包括本采购项目涉及的等全部费用）。</w:t>
      </w:r>
    </w:p>
    <w:p>
      <w:pPr>
        <w:pStyle w:val="5"/>
        <w:numPr>
          <w:ilvl w:val="2"/>
          <w:numId w:val="6"/>
        </w:numPr>
        <w:spacing w:after="200"/>
        <w:ind w:left="0" w:firstLine="0"/>
        <w:rPr>
          <w:color w:val="auto"/>
        </w:rPr>
      </w:pPr>
      <w:bookmarkStart w:id="20" w:name="_Toc320698723"/>
      <w:r>
        <w:rPr>
          <w:rFonts w:hint="eastAsia"/>
          <w:color w:val="auto"/>
        </w:rPr>
        <w:t>联合体</w:t>
      </w:r>
      <w:bookmarkEnd w:id="20"/>
    </w:p>
    <w:p>
      <w:pPr>
        <w:tabs>
          <w:tab w:val="left" w:pos="1200"/>
        </w:tabs>
        <w:spacing w:line="360" w:lineRule="auto"/>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numPr>
          <w:ilvl w:val="2"/>
          <w:numId w:val="6"/>
        </w:numPr>
        <w:spacing w:after="200"/>
        <w:ind w:left="0" w:firstLine="0"/>
        <w:rPr>
          <w:color w:val="auto"/>
        </w:rPr>
      </w:pPr>
      <w:bookmarkStart w:id="21" w:name="_Toc217446047"/>
      <w:r>
        <w:rPr>
          <w:rFonts w:hint="eastAsia"/>
          <w:color w:val="auto"/>
        </w:rPr>
        <w:t>知识产权</w:t>
      </w:r>
      <w:bookmarkEnd w:id="21"/>
    </w:p>
    <w:p>
      <w:pPr>
        <w:numPr>
          <w:ilvl w:val="0"/>
          <w:numId w:val="18"/>
        </w:numPr>
        <w:tabs>
          <w:tab w:val="left" w:pos="1134"/>
        </w:tabs>
        <w:spacing w:after="200" w:line="360" w:lineRule="auto"/>
        <w:ind w:left="0" w:firstLine="567"/>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0"/>
          <w:numId w:val="18"/>
        </w:numPr>
        <w:tabs>
          <w:tab w:val="left" w:pos="1134"/>
        </w:tabs>
        <w:spacing w:after="200" w:line="360" w:lineRule="auto"/>
        <w:ind w:left="0" w:firstLine="567"/>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18"/>
        </w:numPr>
        <w:tabs>
          <w:tab w:val="left" w:pos="1134"/>
        </w:tabs>
        <w:spacing w:after="200" w:line="360" w:lineRule="auto"/>
        <w:ind w:left="0" w:firstLine="567"/>
        <w:rPr>
          <w:rFonts w:ascii="宋体" w:hAnsi="宋体"/>
          <w:sz w:val="28"/>
          <w:szCs w:val="28"/>
        </w:rPr>
      </w:pPr>
      <w:r>
        <w:rPr>
          <w:rFonts w:hint="eastAsia" w:ascii="宋体" w:hAnsi="宋体"/>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numPr>
          <w:ilvl w:val="0"/>
          <w:numId w:val="18"/>
        </w:numPr>
        <w:tabs>
          <w:tab w:val="left" w:pos="1134"/>
        </w:tabs>
        <w:spacing w:after="200" w:line="360" w:lineRule="auto"/>
        <w:ind w:left="0" w:firstLine="567"/>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numPr>
          <w:ilvl w:val="2"/>
          <w:numId w:val="6"/>
        </w:numPr>
        <w:spacing w:after="200"/>
        <w:ind w:left="0" w:firstLine="0"/>
        <w:rPr>
          <w:color w:val="auto"/>
        </w:rPr>
      </w:pPr>
      <w:bookmarkStart w:id="22" w:name="_Toc320698724"/>
      <w:bookmarkStart w:id="23" w:name="_Toc320698725"/>
      <w:r>
        <w:rPr>
          <w:rFonts w:hint="eastAsia"/>
          <w:color w:val="auto"/>
        </w:rPr>
        <w:t>响应文件的组成</w:t>
      </w:r>
      <w:bookmarkEnd w:id="22"/>
    </w:p>
    <w:p>
      <w:pPr>
        <w:tabs>
          <w:tab w:val="left" w:pos="1200"/>
        </w:tabs>
        <w:ind w:firstLine="565" w:firstLineChars="202"/>
        <w:rPr>
          <w:rFonts w:ascii="宋体" w:hAnsi="宋体"/>
          <w:sz w:val="28"/>
          <w:szCs w:val="28"/>
        </w:rPr>
      </w:pPr>
      <w:r>
        <w:rPr>
          <w:rFonts w:hint="eastAsia" w:ascii="宋体" w:hAnsi="宋体"/>
          <w:sz w:val="28"/>
          <w:szCs w:val="28"/>
        </w:rPr>
        <w:t>供应商应按照磋商文件的规定和要求编制响应文件。供应商编写的响应文件应包括下列部分：</w:t>
      </w:r>
    </w:p>
    <w:p>
      <w:pPr>
        <w:spacing w:line="360" w:lineRule="auto"/>
        <w:ind w:firstLine="565" w:firstLineChars="202"/>
        <w:rPr>
          <w:rFonts w:ascii="宋体" w:hAnsi="宋体"/>
          <w:sz w:val="28"/>
          <w:szCs w:val="28"/>
        </w:rPr>
      </w:pPr>
      <w:r>
        <w:rPr>
          <w:rFonts w:hint="eastAsia" w:ascii="宋体" w:hAnsi="宋体"/>
          <w:sz w:val="28"/>
          <w:szCs w:val="28"/>
        </w:rPr>
        <w:t>一、资格响应文件：用于磋商小组资格审查；</w:t>
      </w:r>
    </w:p>
    <w:p>
      <w:pPr>
        <w:spacing w:line="360" w:lineRule="auto"/>
        <w:ind w:firstLine="565" w:firstLineChars="202"/>
        <w:rPr>
          <w:rFonts w:ascii="宋体" w:hAnsi="宋体"/>
          <w:sz w:val="28"/>
          <w:szCs w:val="28"/>
        </w:rPr>
      </w:pPr>
      <w:r>
        <w:rPr>
          <w:rFonts w:hint="eastAsia" w:ascii="宋体" w:hAnsi="宋体"/>
          <w:sz w:val="28"/>
          <w:szCs w:val="28"/>
        </w:rPr>
        <w:t>二、商务技术响应文件、报价要求响应文件：用于供应商与磋商小组磋商；</w:t>
      </w:r>
    </w:p>
    <w:p>
      <w:pPr>
        <w:spacing w:line="360" w:lineRule="auto"/>
        <w:ind w:firstLine="565" w:firstLineChars="202"/>
        <w:rPr>
          <w:rFonts w:ascii="宋体" w:hAnsi="宋体"/>
          <w:sz w:val="28"/>
          <w:szCs w:val="28"/>
          <w:highlight w:val="none"/>
        </w:rPr>
      </w:pPr>
      <w:r>
        <w:rPr>
          <w:rFonts w:hint="eastAsia" w:ascii="宋体" w:hAnsi="宋体"/>
          <w:sz w:val="28"/>
          <w:szCs w:val="28"/>
          <w:highlight w:val="none"/>
        </w:rPr>
        <w:t>三、最后报价文件（按磋商小组的要求提供最后报价）。</w:t>
      </w:r>
    </w:p>
    <w:p>
      <w:pPr>
        <w:pStyle w:val="5"/>
        <w:numPr>
          <w:ilvl w:val="3"/>
          <w:numId w:val="6"/>
        </w:numPr>
        <w:spacing w:after="200"/>
        <w:ind w:left="1843" w:hanging="1843"/>
        <w:rPr>
          <w:color w:val="auto"/>
        </w:rPr>
      </w:pPr>
      <w:r>
        <w:rPr>
          <w:rFonts w:hint="eastAsia"/>
          <w:color w:val="auto"/>
        </w:rPr>
        <w:t>资格响应文件</w:t>
      </w:r>
      <w:bookmarkEnd w:id="23"/>
    </w:p>
    <w:p>
      <w:pPr>
        <w:ind w:firstLine="560" w:firstLineChars="200"/>
        <w:rPr>
          <w:rFonts w:ascii="宋体" w:hAnsi="宋体"/>
          <w:sz w:val="28"/>
          <w:szCs w:val="28"/>
        </w:rPr>
      </w:pPr>
      <w:r>
        <w:rPr>
          <w:rFonts w:hint="eastAsia" w:ascii="宋体" w:hAnsi="宋体"/>
          <w:sz w:val="28"/>
          <w:szCs w:val="28"/>
        </w:rPr>
        <w:t>资格性响应文件由以下部分组成：</w:t>
      </w:r>
    </w:p>
    <w:p>
      <w:pPr>
        <w:pStyle w:val="151"/>
        <w:numPr>
          <w:ilvl w:val="0"/>
          <w:numId w:val="19"/>
        </w:numPr>
        <w:tabs>
          <w:tab w:val="left" w:pos="1134"/>
        </w:tabs>
        <w:spacing w:after="200"/>
        <w:ind w:left="0" w:firstLine="560"/>
        <w:rPr>
          <w:rFonts w:ascii="宋体" w:hAnsi="宋体"/>
          <w:sz w:val="28"/>
          <w:szCs w:val="28"/>
          <w:highlight w:val="none"/>
        </w:rPr>
      </w:pPr>
      <w:r>
        <w:rPr>
          <w:rFonts w:hint="eastAsia" w:ascii="宋体" w:hAnsi="宋体"/>
          <w:sz w:val="28"/>
          <w:szCs w:val="28"/>
          <w:highlight w:val="none"/>
        </w:rPr>
        <w:t>供应商资格申明函；</w:t>
      </w:r>
    </w:p>
    <w:p>
      <w:pPr>
        <w:pStyle w:val="151"/>
        <w:numPr>
          <w:ilvl w:val="0"/>
          <w:numId w:val="19"/>
        </w:numPr>
        <w:tabs>
          <w:tab w:val="left" w:pos="1134"/>
        </w:tabs>
        <w:spacing w:after="200"/>
        <w:ind w:left="0" w:firstLine="560"/>
        <w:rPr>
          <w:rFonts w:ascii="宋体" w:hAnsi="宋体"/>
          <w:sz w:val="28"/>
          <w:szCs w:val="28"/>
        </w:rPr>
      </w:pPr>
      <w:r>
        <w:rPr>
          <w:rFonts w:hint="eastAsia" w:ascii="宋体" w:hAnsi="宋体"/>
          <w:sz w:val="28"/>
          <w:szCs w:val="28"/>
        </w:rPr>
        <w:t>声明；</w:t>
      </w:r>
    </w:p>
    <w:p>
      <w:pPr>
        <w:pStyle w:val="151"/>
        <w:numPr>
          <w:ilvl w:val="0"/>
          <w:numId w:val="19"/>
        </w:numPr>
        <w:tabs>
          <w:tab w:val="left" w:pos="1134"/>
        </w:tabs>
        <w:spacing w:after="200"/>
        <w:ind w:left="0" w:firstLine="560"/>
        <w:rPr>
          <w:rFonts w:hint="eastAsia" w:ascii="宋体" w:hAnsi="宋体"/>
          <w:sz w:val="28"/>
          <w:szCs w:val="28"/>
        </w:rPr>
      </w:pPr>
      <w:r>
        <w:rPr>
          <w:rFonts w:hint="eastAsia" w:ascii="宋体" w:hAnsi="宋体"/>
          <w:sz w:val="28"/>
          <w:szCs w:val="28"/>
        </w:rPr>
        <w:t>中小企业声明函（说明：提供了《残疾人福利性单位声明函》或监狱企业证明文件复印件的不需提供）；</w:t>
      </w:r>
    </w:p>
    <w:p>
      <w:pPr>
        <w:pStyle w:val="151"/>
        <w:numPr>
          <w:ilvl w:val="0"/>
          <w:numId w:val="19"/>
        </w:numPr>
        <w:tabs>
          <w:tab w:val="left" w:pos="1134"/>
        </w:tabs>
        <w:spacing w:after="200"/>
        <w:ind w:left="0" w:firstLine="560"/>
        <w:rPr>
          <w:rFonts w:hint="eastAsia" w:ascii="宋体" w:hAnsi="宋体"/>
          <w:sz w:val="28"/>
          <w:szCs w:val="28"/>
        </w:rPr>
      </w:pPr>
      <w:r>
        <w:rPr>
          <w:rFonts w:hint="eastAsia" w:ascii="宋体" w:hAnsi="宋体"/>
          <w:sz w:val="28"/>
          <w:szCs w:val="28"/>
        </w:rPr>
        <w:t>残疾人福利性单位声明函（说明：提供了《中小企业声明函》或监狱企业证明文件复印件的不需提供）；</w:t>
      </w:r>
    </w:p>
    <w:p>
      <w:pPr>
        <w:pStyle w:val="151"/>
        <w:numPr>
          <w:ilvl w:val="0"/>
          <w:numId w:val="19"/>
        </w:numPr>
        <w:tabs>
          <w:tab w:val="left" w:pos="1134"/>
        </w:tabs>
        <w:spacing w:after="200"/>
        <w:ind w:left="0" w:firstLine="560"/>
        <w:rPr>
          <w:rFonts w:hint="eastAsia" w:ascii="宋体" w:hAnsi="宋体"/>
          <w:sz w:val="28"/>
          <w:szCs w:val="28"/>
        </w:rPr>
      </w:pPr>
      <w:r>
        <w:rPr>
          <w:rFonts w:hint="eastAsia" w:ascii="宋体" w:hAnsi="宋体"/>
          <w:sz w:val="28"/>
          <w:szCs w:val="28"/>
          <w:lang w:eastAsia="zh-CN"/>
        </w:rPr>
        <w:t>供应商</w:t>
      </w:r>
      <w:r>
        <w:rPr>
          <w:rFonts w:hint="eastAsia" w:ascii="宋体" w:hAnsi="宋体"/>
          <w:sz w:val="28"/>
          <w:szCs w:val="28"/>
        </w:rPr>
        <w:t>应提交的相关资格证明材料：</w:t>
      </w:r>
    </w:p>
    <w:p>
      <w:pPr>
        <w:widowControl w:val="0"/>
        <w:numPr>
          <w:ilvl w:val="0"/>
          <w:numId w:val="20"/>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由省级以上监狱管理局、戒毒管理局（含新疆生产建设兵团）出具的</w:t>
      </w:r>
      <w:r>
        <w:rPr>
          <w:rFonts w:hint="eastAsia" w:ascii="宋体" w:hAnsi="宋体" w:cs="Times New Roman"/>
          <w:b w:val="0"/>
          <w:bCs/>
          <w:kern w:val="2"/>
          <w:sz w:val="28"/>
          <w:szCs w:val="28"/>
          <w:highlight w:val="none"/>
          <w:lang w:val="en-US" w:eastAsia="zh-CN" w:bidi="ar-SA"/>
        </w:rPr>
        <w:t>供应商</w:t>
      </w:r>
      <w:r>
        <w:rPr>
          <w:rFonts w:hint="eastAsia" w:ascii="宋体" w:hAnsi="宋体" w:eastAsia="宋体" w:cs="Times New Roman"/>
          <w:b w:val="0"/>
          <w:bCs/>
          <w:kern w:val="2"/>
          <w:sz w:val="28"/>
          <w:szCs w:val="28"/>
          <w:highlight w:val="none"/>
          <w:lang w:val="en-US" w:eastAsia="zh-CN" w:bidi="ar-SA"/>
        </w:rPr>
        <w:t>属于监狱企业的证明文件复印件（说明：提供了《中小企业声明函》或《残疾人福利性单位声明函》的不需提供）</w:t>
      </w:r>
    </w:p>
    <w:p>
      <w:pPr>
        <w:widowControl w:val="0"/>
        <w:numPr>
          <w:ilvl w:val="0"/>
          <w:numId w:val="20"/>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营业执照复印件（正本或副本）或法人证书复印件（正本或副本）；</w:t>
      </w:r>
    </w:p>
    <w:p>
      <w:pPr>
        <w:widowControl w:val="0"/>
        <w:numPr>
          <w:ilvl w:val="0"/>
          <w:numId w:val="20"/>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2020会计年度资产负债表复印件（说明：供应商成立时间至递交响应文件截止时间止不足一年的，提供成立后任意时段的资产负债表复印件）；</w:t>
      </w:r>
    </w:p>
    <w:p>
      <w:pPr>
        <w:widowControl w:val="0"/>
        <w:numPr>
          <w:ilvl w:val="0"/>
          <w:numId w:val="20"/>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供应商缴纳2021年任意时段的税收的银行电子回单或者行政部门出具的纳税证明或完税证明复印件；</w:t>
      </w:r>
    </w:p>
    <w:p>
      <w:pPr>
        <w:widowControl w:val="0"/>
        <w:numPr>
          <w:ilvl w:val="0"/>
          <w:numId w:val="20"/>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采购人对供应商履行合同所必须的设备和专业技术能力无特殊要求，供应商具有效的营业执照或法人证书即可，可不提供其他证明材料；</w:t>
      </w:r>
    </w:p>
    <w:p>
      <w:pPr>
        <w:widowControl w:val="0"/>
        <w:numPr>
          <w:ilvl w:val="0"/>
          <w:numId w:val="20"/>
        </w:numPr>
        <w:spacing w:after="200" w:line="360" w:lineRule="auto"/>
        <w:ind w:left="0" w:firstLine="573" w:firstLineChars="0"/>
        <w:jc w:val="both"/>
        <w:rPr>
          <w:rFonts w:hint="eastAsia" w:ascii="宋体" w:hAnsi="宋体" w:eastAsia="宋体" w:cs="Times New Roman"/>
          <w:b w:val="0"/>
          <w:bCs/>
          <w:kern w:val="2"/>
          <w:sz w:val="28"/>
          <w:szCs w:val="28"/>
          <w:highlight w:val="none"/>
          <w:lang w:val="en-US" w:eastAsia="zh-CN" w:bidi="ar-SA"/>
        </w:rPr>
      </w:pPr>
      <w:r>
        <w:rPr>
          <w:rFonts w:hint="eastAsia" w:ascii="宋体" w:hAnsi="宋体" w:eastAsia="宋体" w:cs="Times New Roman"/>
          <w:b w:val="0"/>
          <w:bCs/>
          <w:kern w:val="2"/>
          <w:sz w:val="28"/>
          <w:szCs w:val="28"/>
          <w:highlight w:val="none"/>
          <w:lang w:val="en-US" w:eastAsia="zh-CN" w:bidi="ar-SA"/>
        </w:rPr>
        <w:t>供应商缴纳2021年任意时段的社保的银行电子回单或者行政部门出具的社保缴纳证明材料复印件；</w:t>
      </w:r>
    </w:p>
    <w:p>
      <w:pPr>
        <w:widowControl w:val="0"/>
        <w:numPr>
          <w:ilvl w:val="0"/>
          <w:numId w:val="20"/>
        </w:numPr>
        <w:spacing w:after="200" w:line="360" w:lineRule="auto"/>
        <w:ind w:left="0" w:firstLine="573" w:firstLineChars="0"/>
        <w:jc w:val="both"/>
        <w:rPr>
          <w:rFonts w:hint="eastAsia" w:ascii="宋体" w:hAnsi="宋体"/>
          <w:sz w:val="28"/>
          <w:szCs w:val="28"/>
          <w:highlight w:val="none"/>
        </w:rPr>
      </w:pPr>
      <w:r>
        <w:rPr>
          <w:rFonts w:hint="eastAsia" w:ascii="宋体" w:hAnsi="宋体" w:eastAsia="宋体" w:cs="Times New Roman"/>
          <w:b w:val="0"/>
          <w:bCs/>
          <w:kern w:val="2"/>
          <w:sz w:val="28"/>
          <w:szCs w:val="28"/>
          <w:highlight w:val="none"/>
          <w:lang w:val="en-US" w:eastAsia="zh-CN" w:bidi="ar-SA"/>
        </w:rPr>
        <w:t>采购人对法律、行政法规规定的其他条件无其他特殊要求，</w:t>
      </w:r>
      <w:r>
        <w:rPr>
          <w:rFonts w:hint="eastAsia" w:ascii="宋体" w:hAnsi="宋体"/>
          <w:sz w:val="28"/>
          <w:szCs w:val="28"/>
          <w:highlight w:val="none"/>
        </w:rPr>
        <w:t>供应商具有效的营业执照或法人证书即可，可不提供其他证明材料</w:t>
      </w:r>
      <w:r>
        <w:rPr>
          <w:rFonts w:hint="eastAsia" w:ascii="宋体" w:hAnsi="宋体"/>
          <w:sz w:val="28"/>
          <w:szCs w:val="28"/>
          <w:highlight w:val="none"/>
          <w:lang w:eastAsia="zh-CN"/>
        </w:rPr>
        <w:t>。</w:t>
      </w:r>
    </w:p>
    <w:p>
      <w:pPr>
        <w:pStyle w:val="5"/>
        <w:numPr>
          <w:ilvl w:val="3"/>
          <w:numId w:val="6"/>
        </w:numPr>
        <w:spacing w:after="200"/>
        <w:ind w:left="1843" w:hanging="1843"/>
        <w:rPr>
          <w:color w:val="auto"/>
        </w:rPr>
      </w:pPr>
      <w:bookmarkStart w:id="24" w:name="_Toc320698726"/>
      <w:r>
        <w:rPr>
          <w:rFonts w:hint="eastAsia"/>
          <w:color w:val="auto"/>
        </w:rPr>
        <w:t>商务技术响应文件</w:t>
      </w:r>
      <w:bookmarkEnd w:id="24"/>
    </w:p>
    <w:p>
      <w:pPr>
        <w:pStyle w:val="2"/>
        <w:widowControl/>
        <w:numPr>
          <w:ilvl w:val="0"/>
          <w:numId w:val="21"/>
        </w:numPr>
        <w:tabs>
          <w:tab w:val="left" w:pos="1134"/>
        </w:tabs>
        <w:spacing w:after="0" w:line="360" w:lineRule="auto"/>
        <w:jc w:val="left"/>
        <w:rPr>
          <w:rFonts w:ascii="宋体" w:hAnsi="宋体"/>
          <w:sz w:val="28"/>
          <w:szCs w:val="28"/>
        </w:rPr>
      </w:pPr>
      <w:bookmarkStart w:id="25" w:name="_Toc320698727"/>
      <w:r>
        <w:rPr>
          <w:rFonts w:hint="eastAsia" w:ascii="宋体" w:hAnsi="宋体"/>
          <w:sz w:val="28"/>
          <w:szCs w:val="28"/>
        </w:rPr>
        <w:t>报价函；</w:t>
      </w:r>
    </w:p>
    <w:p>
      <w:pPr>
        <w:pStyle w:val="2"/>
        <w:widowControl/>
        <w:numPr>
          <w:ilvl w:val="0"/>
          <w:numId w:val="21"/>
        </w:numPr>
        <w:tabs>
          <w:tab w:val="left" w:pos="1134"/>
        </w:tabs>
        <w:spacing w:after="0" w:line="360" w:lineRule="auto"/>
        <w:ind w:left="0" w:firstLine="568"/>
        <w:jc w:val="left"/>
        <w:rPr>
          <w:rFonts w:ascii="宋体" w:hAnsi="宋体"/>
          <w:sz w:val="28"/>
          <w:szCs w:val="28"/>
        </w:rPr>
      </w:pPr>
      <w:r>
        <w:rPr>
          <w:rFonts w:hint="eastAsia" w:ascii="宋体" w:hAnsi="宋体"/>
          <w:sz w:val="28"/>
        </w:rPr>
        <w:t>法定代表人</w:t>
      </w:r>
      <w:r>
        <w:rPr>
          <w:rFonts w:hint="eastAsia" w:ascii="宋体" w:hAnsi="宋体"/>
          <w:sz w:val="28"/>
          <w:szCs w:val="28"/>
        </w:rPr>
        <w:t>身份证明书以及</w:t>
      </w:r>
      <w:r>
        <w:rPr>
          <w:rFonts w:hint="eastAsia" w:ascii="宋体" w:hAnsi="宋体"/>
          <w:sz w:val="28"/>
        </w:rPr>
        <w:t>法定代表人</w:t>
      </w:r>
      <w:r>
        <w:rPr>
          <w:rFonts w:hint="eastAsia" w:ascii="宋体" w:hAnsi="宋体"/>
          <w:sz w:val="28"/>
          <w:szCs w:val="28"/>
        </w:rPr>
        <w:t>身份证复印件（身份证两面均应复印）或护照复印件（说明：供应商的</w:t>
      </w:r>
      <w:r>
        <w:rPr>
          <w:rFonts w:hint="eastAsia" w:ascii="宋体" w:hAnsi="宋体"/>
          <w:sz w:val="28"/>
        </w:rPr>
        <w:t>法定代表人</w:t>
      </w:r>
      <w:r>
        <w:rPr>
          <w:rFonts w:hint="eastAsia" w:ascii="宋体" w:hAnsi="宋体"/>
          <w:sz w:val="28"/>
          <w:szCs w:val="28"/>
        </w:rPr>
        <w:t>为外籍人士的，则提供护照复印件）；</w:t>
      </w:r>
    </w:p>
    <w:p>
      <w:pPr>
        <w:pStyle w:val="2"/>
        <w:widowControl/>
        <w:numPr>
          <w:ilvl w:val="0"/>
          <w:numId w:val="21"/>
        </w:numPr>
        <w:tabs>
          <w:tab w:val="left" w:pos="1134"/>
        </w:tabs>
        <w:spacing w:after="0" w:line="360" w:lineRule="auto"/>
        <w:jc w:val="left"/>
        <w:rPr>
          <w:rFonts w:ascii="宋体" w:hAnsi="宋体"/>
          <w:sz w:val="28"/>
          <w:szCs w:val="28"/>
        </w:rPr>
      </w:pPr>
      <w:r>
        <w:rPr>
          <w:rFonts w:hint="eastAsia" w:ascii="宋体" w:hAnsi="宋体"/>
          <w:sz w:val="28"/>
          <w:szCs w:val="28"/>
        </w:rPr>
        <w:t>报价产品技术性能、技术参数和配置的详细描述；</w:t>
      </w:r>
    </w:p>
    <w:p>
      <w:pPr>
        <w:pStyle w:val="2"/>
        <w:widowControl/>
        <w:numPr>
          <w:ilvl w:val="0"/>
          <w:numId w:val="21"/>
        </w:numPr>
        <w:tabs>
          <w:tab w:val="left" w:pos="1134"/>
        </w:tabs>
        <w:spacing w:after="0" w:line="360" w:lineRule="auto"/>
        <w:ind w:left="0" w:firstLine="567"/>
        <w:jc w:val="left"/>
        <w:rPr>
          <w:rFonts w:ascii="宋体" w:hAnsi="宋体"/>
          <w:sz w:val="28"/>
          <w:szCs w:val="28"/>
        </w:rPr>
      </w:pPr>
      <w:r>
        <w:rPr>
          <w:rFonts w:hint="eastAsia" w:ascii="宋体" w:hAnsi="宋体"/>
          <w:sz w:val="28"/>
          <w:szCs w:val="28"/>
        </w:rPr>
        <w:t>售后服务方案；</w:t>
      </w:r>
    </w:p>
    <w:p>
      <w:pPr>
        <w:pStyle w:val="2"/>
        <w:widowControl/>
        <w:numPr>
          <w:ilvl w:val="0"/>
          <w:numId w:val="21"/>
        </w:numPr>
        <w:tabs>
          <w:tab w:val="left" w:pos="1134"/>
        </w:tabs>
        <w:spacing w:after="0" w:line="360" w:lineRule="auto"/>
        <w:ind w:left="0" w:firstLine="567"/>
        <w:jc w:val="left"/>
        <w:rPr>
          <w:rFonts w:ascii="宋体" w:hAnsi="宋体"/>
          <w:sz w:val="28"/>
          <w:szCs w:val="28"/>
        </w:rPr>
      </w:pPr>
      <w:r>
        <w:rPr>
          <w:rFonts w:hint="eastAsia" w:ascii="宋体" w:hAnsi="宋体"/>
          <w:sz w:val="28"/>
          <w:szCs w:val="28"/>
        </w:rPr>
        <w:t>承诺函。</w:t>
      </w:r>
    </w:p>
    <w:p>
      <w:pPr>
        <w:pStyle w:val="5"/>
        <w:numPr>
          <w:ilvl w:val="3"/>
          <w:numId w:val="6"/>
        </w:numPr>
        <w:spacing w:after="200"/>
        <w:ind w:left="1843" w:hanging="1843"/>
        <w:rPr>
          <w:color w:val="auto"/>
        </w:rPr>
      </w:pPr>
      <w:r>
        <w:rPr>
          <w:rFonts w:hint="eastAsia"/>
          <w:color w:val="auto"/>
        </w:rPr>
        <w:t>报价要求响应文件</w:t>
      </w:r>
    </w:p>
    <w:p>
      <w:pPr>
        <w:numPr>
          <w:ilvl w:val="0"/>
          <w:numId w:val="22"/>
        </w:numPr>
        <w:tabs>
          <w:tab w:val="left" w:pos="1134"/>
        </w:tabs>
        <w:spacing w:line="360" w:lineRule="auto"/>
        <w:ind w:left="0" w:firstLine="567"/>
        <w:jc w:val="left"/>
        <w:rPr>
          <w:rFonts w:ascii="宋体" w:hAnsi="宋体"/>
          <w:b/>
          <w:sz w:val="28"/>
          <w:szCs w:val="28"/>
          <w:highlight w:val="none"/>
        </w:rPr>
      </w:pPr>
      <w:r>
        <w:rPr>
          <w:rFonts w:hint="eastAsia" w:ascii="宋体" w:hAnsi="宋体"/>
          <w:b/>
          <w:sz w:val="28"/>
          <w:szCs w:val="28"/>
          <w:highlight w:val="none"/>
        </w:rPr>
        <w:t>开标一览表；</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分项报价明细表（分项报价明细表格式中要求填写品牌、规格型号、制造商、进口或国产的，供应商必须载明其报价产品的品牌、规格型号、制造商、进口或国产）</w:t>
      </w:r>
      <w:r>
        <w:rPr>
          <w:rFonts w:hint="eastAsia" w:ascii="宋体" w:hAnsi="宋体"/>
          <w:b/>
          <w:sz w:val="28"/>
          <w:szCs w:val="28"/>
          <w:lang w:eastAsia="zh-CN"/>
        </w:rPr>
        <w:t>。</w:t>
      </w:r>
    </w:p>
    <w:p>
      <w:pPr>
        <w:pStyle w:val="5"/>
        <w:numPr>
          <w:ilvl w:val="3"/>
          <w:numId w:val="6"/>
        </w:numPr>
        <w:spacing w:after="200"/>
        <w:ind w:left="1843" w:hanging="1843"/>
        <w:rPr>
          <w:color w:val="auto"/>
        </w:rPr>
      </w:pPr>
      <w:r>
        <w:rPr>
          <w:rFonts w:hint="eastAsia"/>
          <w:color w:val="auto"/>
        </w:rPr>
        <w:t>最后报价文件</w:t>
      </w:r>
    </w:p>
    <w:p>
      <w:pPr>
        <w:pStyle w:val="2"/>
        <w:tabs>
          <w:tab w:val="left" w:pos="1134"/>
        </w:tabs>
        <w:spacing w:after="0" w:line="360" w:lineRule="auto"/>
        <w:ind w:firstLine="565" w:firstLineChars="202"/>
      </w:pPr>
      <w:r>
        <w:rPr>
          <w:rFonts w:hint="eastAsia" w:ascii="宋体" w:hAnsi="宋体"/>
          <w:sz w:val="28"/>
        </w:rPr>
        <w:t>参加最后报价的供应商按磋商小组的要求在政府采购云平台中提供最后报价，报价应是包括磋商文件规定的全部相应内容的报价</w:t>
      </w:r>
      <w:r>
        <w:rPr>
          <w:rFonts w:hint="eastAsia" w:ascii="宋体" w:hAnsi="宋体"/>
          <w:sz w:val="28"/>
          <w:szCs w:val="28"/>
        </w:rPr>
        <w:t>。</w:t>
      </w:r>
    </w:p>
    <w:p>
      <w:pPr>
        <w:pStyle w:val="5"/>
        <w:numPr>
          <w:ilvl w:val="2"/>
          <w:numId w:val="6"/>
        </w:numPr>
        <w:spacing w:after="200"/>
        <w:ind w:left="0" w:firstLine="0"/>
        <w:rPr>
          <w:color w:val="auto"/>
        </w:rPr>
      </w:pPr>
      <w:r>
        <w:rPr>
          <w:rFonts w:hint="eastAsia"/>
          <w:color w:val="auto"/>
        </w:rPr>
        <w:t>响应文件格式</w:t>
      </w:r>
    </w:p>
    <w:p>
      <w:pPr>
        <w:pStyle w:val="2"/>
        <w:tabs>
          <w:tab w:val="left" w:pos="1134"/>
        </w:tabs>
        <w:spacing w:after="0" w:line="360" w:lineRule="auto"/>
        <w:ind w:firstLine="565" w:firstLineChars="202"/>
        <w:rPr>
          <w:rFonts w:ascii="宋体" w:hAnsi="宋体"/>
          <w:bCs/>
          <w:sz w:val="28"/>
          <w:szCs w:val="28"/>
        </w:rPr>
      </w:pPr>
      <w:r>
        <w:rPr>
          <w:rFonts w:hint="eastAsia" w:ascii="宋体" w:hAnsi="宋体"/>
          <w:bCs/>
          <w:sz w:val="28"/>
          <w:szCs w:val="28"/>
        </w:rPr>
        <w:t>一、供应商应按照竞争性磋商文件第3章中提供的“响应文件格式”填写相关内容，</w:t>
      </w:r>
      <w:r>
        <w:rPr>
          <w:rFonts w:hint="eastAsia" w:ascii="宋体" w:hAnsi="宋体"/>
          <w:bCs/>
          <w:kern w:val="0"/>
          <w:sz w:val="28"/>
          <w:szCs w:val="28"/>
        </w:rPr>
        <w:t>除格式中明确将该格式作为实质性要求的，不具有强制性</w:t>
      </w:r>
      <w:r>
        <w:rPr>
          <w:rFonts w:hint="eastAsia" w:ascii="宋体" w:hAnsi="宋体"/>
          <w:bCs/>
          <w:sz w:val="28"/>
          <w:szCs w:val="28"/>
        </w:rPr>
        <w:t>。</w:t>
      </w:r>
    </w:p>
    <w:p>
      <w:pPr>
        <w:pStyle w:val="2"/>
        <w:tabs>
          <w:tab w:val="left" w:pos="1134"/>
        </w:tabs>
        <w:spacing w:after="0" w:line="360" w:lineRule="auto"/>
        <w:ind w:firstLine="565" w:firstLineChars="202"/>
        <w:rPr>
          <w:rFonts w:ascii="宋体" w:hAnsi="宋体"/>
          <w:bCs/>
          <w:sz w:val="28"/>
          <w:szCs w:val="28"/>
        </w:rPr>
      </w:pPr>
      <w:r>
        <w:rPr>
          <w:rFonts w:hint="eastAsia" w:ascii="宋体" w:hAnsi="宋体"/>
          <w:bCs/>
          <w:sz w:val="28"/>
          <w:szCs w:val="28"/>
        </w:rPr>
        <w:t>二、对于没有格式要求的响应文件由供应商自行编写。</w:t>
      </w:r>
    </w:p>
    <w:p>
      <w:pPr>
        <w:pStyle w:val="5"/>
        <w:numPr>
          <w:ilvl w:val="2"/>
          <w:numId w:val="6"/>
        </w:numPr>
        <w:spacing w:after="200"/>
        <w:ind w:left="0" w:firstLine="0"/>
        <w:rPr>
          <w:color w:val="auto"/>
        </w:rPr>
      </w:pPr>
      <w:r>
        <w:rPr>
          <w:rFonts w:hint="eastAsia"/>
          <w:color w:val="auto"/>
        </w:rPr>
        <w:t>最后报价</w:t>
      </w:r>
    </w:p>
    <w:p>
      <w:pPr>
        <w:numPr>
          <w:ilvl w:val="0"/>
          <w:numId w:val="23"/>
        </w:numPr>
        <w:tabs>
          <w:tab w:val="left" w:pos="1134"/>
        </w:tabs>
        <w:spacing w:after="200" w:line="360" w:lineRule="auto"/>
        <w:ind w:left="0" w:firstLine="560"/>
        <w:rPr>
          <w:rFonts w:ascii="宋体" w:hAnsi="宋体"/>
          <w:sz w:val="28"/>
          <w:szCs w:val="28"/>
          <w:highlight w:val="none"/>
        </w:rPr>
      </w:pPr>
      <w:r>
        <w:rPr>
          <w:rFonts w:hint="eastAsia" w:ascii="宋体" w:hAnsi="宋体"/>
          <w:sz w:val="28"/>
          <w:szCs w:val="28"/>
          <w:highlight w:val="none"/>
        </w:rPr>
        <w:t>供应商的最后报价是供应商响应采购项目要求的价格体现，包括供应商完成本项目所需的一切费用。</w:t>
      </w:r>
    </w:p>
    <w:p>
      <w:pPr>
        <w:numPr>
          <w:ilvl w:val="0"/>
          <w:numId w:val="23"/>
        </w:numPr>
        <w:tabs>
          <w:tab w:val="left" w:pos="1134"/>
        </w:tabs>
        <w:spacing w:after="200" w:line="360" w:lineRule="auto"/>
        <w:ind w:left="0" w:firstLine="560"/>
        <w:rPr>
          <w:highlight w:val="none"/>
        </w:rPr>
      </w:pPr>
      <w:r>
        <w:rPr>
          <w:rFonts w:hint="eastAsia" w:ascii="宋体" w:hAnsi="宋体"/>
          <w:sz w:val="28"/>
          <w:szCs w:val="28"/>
          <w:highlight w:val="none"/>
        </w:rPr>
        <w:t>供应商每种货物及服务内容只允许有一个报价，并且在合同履行过程中是固定不变的，任何有选择或可调整的报价将不予接受，并按无效响应处理。</w:t>
      </w:r>
    </w:p>
    <w:p>
      <w:pPr>
        <w:numPr>
          <w:ilvl w:val="0"/>
          <w:numId w:val="23"/>
        </w:numPr>
        <w:tabs>
          <w:tab w:val="left" w:pos="1134"/>
        </w:tabs>
        <w:spacing w:after="200" w:line="360" w:lineRule="auto"/>
        <w:ind w:left="0" w:firstLine="560"/>
        <w:rPr>
          <w:rFonts w:ascii="宋体" w:hAnsi="宋体"/>
          <w:sz w:val="28"/>
          <w:szCs w:val="28"/>
          <w:highlight w:val="none"/>
        </w:rPr>
      </w:pPr>
      <w:r>
        <w:rPr>
          <w:rFonts w:hint="eastAsia" w:ascii="宋体" w:hAnsi="宋体"/>
          <w:sz w:val="28"/>
          <w:szCs w:val="28"/>
          <w:highlight w:val="none"/>
        </w:rPr>
        <w:t>参加最后报价的供应商按磋商小组的要求提供最后报价。</w:t>
      </w:r>
    </w:p>
    <w:bookmarkEnd w:id="25"/>
    <w:p>
      <w:pPr>
        <w:pStyle w:val="5"/>
        <w:numPr>
          <w:ilvl w:val="2"/>
          <w:numId w:val="6"/>
        </w:numPr>
        <w:spacing w:after="200"/>
        <w:ind w:left="0" w:firstLine="0"/>
        <w:rPr>
          <w:color w:val="auto"/>
        </w:rPr>
      </w:pPr>
      <w:bookmarkStart w:id="26" w:name="_Toc320698728"/>
      <w:r>
        <w:rPr>
          <w:rFonts w:hint="eastAsia"/>
          <w:color w:val="auto"/>
        </w:rPr>
        <w:t>磋商保证金</w:t>
      </w:r>
    </w:p>
    <w:p>
      <w:pPr>
        <w:spacing w:line="360" w:lineRule="auto"/>
        <w:ind w:firstLine="562" w:firstLineChars="200"/>
        <w:rPr>
          <w:rFonts w:cs="宋体" w:asciiTheme="minorEastAsia" w:hAnsiTheme="minorEastAsia"/>
          <w:b/>
          <w:sz w:val="28"/>
          <w:szCs w:val="28"/>
        </w:rPr>
      </w:pPr>
      <w:r>
        <w:rPr>
          <w:rFonts w:hint="eastAsia" w:asciiTheme="minorEastAsia" w:hAnsiTheme="minorEastAsia"/>
          <w:b/>
          <w:sz w:val="28"/>
          <w:szCs w:val="28"/>
        </w:rPr>
        <w:t>本项目不收取磋商保证金。</w:t>
      </w:r>
    </w:p>
    <w:p>
      <w:pPr>
        <w:pStyle w:val="5"/>
        <w:numPr>
          <w:ilvl w:val="2"/>
          <w:numId w:val="6"/>
        </w:numPr>
        <w:spacing w:after="200"/>
        <w:ind w:left="0" w:firstLine="0"/>
        <w:rPr>
          <w:color w:val="auto"/>
        </w:rPr>
      </w:pPr>
      <w:r>
        <w:rPr>
          <w:rFonts w:hint="eastAsia"/>
          <w:color w:val="auto"/>
        </w:rPr>
        <w:t>响应文件有效期</w:t>
      </w:r>
      <w:bookmarkEnd w:id="26"/>
    </w:p>
    <w:p>
      <w:pPr>
        <w:pStyle w:val="82"/>
        <w:widowControl/>
        <w:numPr>
          <w:ilvl w:val="0"/>
          <w:numId w:val="24"/>
        </w:numPr>
        <w:tabs>
          <w:tab w:val="left" w:pos="1134"/>
        </w:tabs>
        <w:spacing w:after="200" w:line="360" w:lineRule="auto"/>
        <w:ind w:left="0" w:firstLine="566" w:firstLineChars="0"/>
        <w:jc w:val="distribute"/>
        <w:rPr>
          <w:rFonts w:ascii="宋体" w:hAnsi="宋体" w:eastAsia="宋体"/>
          <w:sz w:val="28"/>
          <w:szCs w:val="28"/>
        </w:rPr>
      </w:pPr>
      <w:r>
        <w:rPr>
          <w:rFonts w:hint="eastAsia" w:ascii="宋体" w:hAnsi="宋体" w:eastAsia="宋体"/>
          <w:sz w:val="28"/>
          <w:szCs w:val="28"/>
        </w:rPr>
        <w:t>响应文件有效期为递交响应文件截止</w:t>
      </w:r>
      <w:r>
        <w:rPr>
          <w:rFonts w:hint="eastAsia" w:ascii="宋体" w:hAnsi="宋体" w:eastAsia="宋体"/>
          <w:sz w:val="28"/>
          <w:szCs w:val="28"/>
          <w:highlight w:val="none"/>
        </w:rPr>
        <w:t>之日起</w:t>
      </w:r>
      <w:r>
        <w:rPr>
          <w:rFonts w:hint="eastAsia" w:ascii="宋体" w:hAnsi="宋体" w:eastAsia="宋体"/>
          <w:sz w:val="28"/>
          <w:szCs w:val="28"/>
          <w:highlight w:val="none"/>
          <w:u w:val="single"/>
        </w:rPr>
        <w:t>120</w:t>
      </w:r>
      <w:r>
        <w:rPr>
          <w:rFonts w:hint="eastAsia" w:ascii="宋体" w:hAnsi="宋体" w:eastAsia="宋体"/>
          <w:sz w:val="28"/>
          <w:szCs w:val="28"/>
          <w:highlight w:val="none"/>
        </w:rPr>
        <w:t>天。响</w:t>
      </w:r>
      <w:r>
        <w:rPr>
          <w:rFonts w:hint="eastAsia" w:ascii="宋体" w:hAnsi="宋体" w:eastAsia="宋体"/>
          <w:sz w:val="28"/>
          <w:szCs w:val="28"/>
        </w:rPr>
        <w:t>应文件有效期短于此规定期限的或不作响应的，其响应文件将按无效响应文件处理。</w:t>
      </w:r>
    </w:p>
    <w:p>
      <w:pPr>
        <w:pStyle w:val="82"/>
        <w:widowControl/>
        <w:numPr>
          <w:ilvl w:val="0"/>
          <w:numId w:val="24"/>
        </w:numPr>
        <w:tabs>
          <w:tab w:val="left" w:pos="1134"/>
        </w:tabs>
        <w:spacing w:after="200" w:line="360" w:lineRule="auto"/>
        <w:ind w:left="0" w:firstLine="566" w:firstLineChars="0"/>
        <w:rPr>
          <w:rFonts w:ascii="宋体" w:hAnsi="宋体" w:eastAsia="宋体"/>
          <w:sz w:val="28"/>
          <w:szCs w:val="28"/>
        </w:rPr>
      </w:pPr>
      <w:r>
        <w:rPr>
          <w:rFonts w:hint="eastAsia" w:ascii="宋体" w:hAnsi="宋体" w:eastAsia="宋体"/>
          <w:sz w:val="28"/>
          <w:szCs w:val="28"/>
        </w:rPr>
        <w:t>特殊情况下，采购人可于响应文件有效期满之前要求供应商同意延长有效期，要求与答复均应为书面形式。供应商可以拒绝上述要求，其磋商保证金不被没收。同意延长响应文件有效期的供应商不能修改其响应文件，关于磋商保证金的有关规定在延长的响应文件有效期内继续有效。</w:t>
      </w:r>
    </w:p>
    <w:p>
      <w:pPr>
        <w:pStyle w:val="5"/>
        <w:numPr>
          <w:ilvl w:val="2"/>
          <w:numId w:val="6"/>
        </w:numPr>
        <w:spacing w:after="200"/>
        <w:ind w:left="0" w:firstLine="0"/>
        <w:rPr>
          <w:color w:val="auto"/>
        </w:rPr>
      </w:pPr>
      <w:bookmarkStart w:id="27" w:name="_Toc320698729"/>
      <w:bookmarkStart w:id="28" w:name="_Toc320698730"/>
      <w:r>
        <w:rPr>
          <w:rFonts w:hint="eastAsia"/>
          <w:color w:val="auto"/>
        </w:rPr>
        <w:t>响应文件的</w:t>
      </w:r>
      <w:bookmarkEnd w:id="27"/>
      <w:r>
        <w:rPr>
          <w:rFonts w:hint="eastAsia"/>
          <w:color w:val="auto"/>
          <w:lang w:eastAsia="zh-CN"/>
        </w:rPr>
        <w:t>制作、</w:t>
      </w:r>
      <w:r>
        <w:rPr>
          <w:rFonts w:hint="eastAsia"/>
          <w:color w:val="auto"/>
        </w:rPr>
        <w:t>签章和</w:t>
      </w:r>
      <w:r>
        <w:rPr>
          <w:color w:val="auto"/>
        </w:rPr>
        <w:t>加密</w:t>
      </w:r>
    </w:p>
    <w:p>
      <w:pPr>
        <w:spacing w:line="360" w:lineRule="auto"/>
        <w:ind w:firstLine="560" w:firstLineChars="200"/>
        <w:rPr>
          <w:rFonts w:ascii="宋体" w:hAnsi="宋体"/>
          <w:sz w:val="28"/>
          <w:szCs w:val="28"/>
        </w:rPr>
      </w:pPr>
      <w:r>
        <w:rPr>
          <w:rFonts w:hint="eastAsia" w:ascii="宋体" w:hAnsi="宋体"/>
          <w:sz w:val="28"/>
          <w:szCs w:val="28"/>
        </w:rPr>
        <w:t>一、响应文件应根据磋商文件的要求进行制作。（说明：1、响应文件中要求提供复印件证明材料的，包含提供原件的影印件或复印件。2、要求提供复印件的证明材料须清晰可辨。）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应</w:t>
      </w:r>
      <w:r>
        <w:rPr>
          <w:rFonts w:hint="eastAsia" w:ascii="宋体" w:hAnsi="宋体"/>
          <w:sz w:val="28"/>
          <w:szCs w:val="28"/>
          <w:highlight w:val="none"/>
        </w:rPr>
        <w:t>按</w:t>
      </w:r>
      <w:r>
        <w:rPr>
          <w:rFonts w:hint="eastAsia" w:ascii="宋体" w:hAnsi="宋体"/>
          <w:sz w:val="28"/>
          <w:szCs w:val="28"/>
          <w:highlight w:val="none"/>
          <w:lang w:eastAsia="zh-CN"/>
        </w:rPr>
        <w:t>磋商</w:t>
      </w:r>
      <w:r>
        <w:rPr>
          <w:rFonts w:hint="eastAsia" w:ascii="宋体" w:hAnsi="宋体"/>
          <w:sz w:val="28"/>
          <w:szCs w:val="28"/>
          <w:highlight w:val="none"/>
        </w:rPr>
        <w:t>文件要求，</w:t>
      </w:r>
      <w:r>
        <w:rPr>
          <w:rFonts w:hint="eastAsia" w:ascii="宋体" w:hAnsi="宋体"/>
          <w:sz w:val="28"/>
          <w:szCs w:val="28"/>
        </w:rPr>
        <w:t>通过“政采云投标客户端”制作、加密并提交响应文件。</w:t>
      </w:r>
    </w:p>
    <w:p>
      <w:pPr>
        <w:spacing w:line="360" w:lineRule="auto"/>
        <w:ind w:firstLine="562" w:firstLineChars="200"/>
        <w:rPr>
          <w:rFonts w:ascii="宋体" w:hAnsi="宋体"/>
          <w:b/>
          <w:sz w:val="28"/>
          <w:szCs w:val="28"/>
        </w:rPr>
      </w:pPr>
      <w:r>
        <w:rPr>
          <w:rFonts w:hint="eastAsia" w:ascii="宋体" w:hAnsi="宋体"/>
          <w:b/>
          <w:sz w:val="28"/>
          <w:szCs w:val="28"/>
        </w:rPr>
        <w:t>2、响应文件应加盖供应商（法定名称）电子签章，不得使用供应商专用章（如经济合同章、投标专用章等）或下属单位印章代替。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以上CA数字证书均可在成都市公共资源交易服务中心3楼窗口办理，其他办理服务点及办理方式可拨打官方服务电话咨询400-028-1130(四川CA)；(028)6578532、400-8809888(CFCA)；400-819-9995、15928647082(天威CA)。供应商只需办理其中一家CA数字证书及签章（提示：办理时请说明参与成都市政府采购项目）。供应商应及时完成在“政府采购云平台”的CA账号绑定，确保顺利参与电子采购。</w:t>
      </w:r>
    </w:p>
    <w:bookmarkEnd w:id="28"/>
    <w:p>
      <w:pPr>
        <w:pStyle w:val="5"/>
        <w:numPr>
          <w:ilvl w:val="2"/>
          <w:numId w:val="6"/>
        </w:numPr>
        <w:spacing w:after="200"/>
        <w:ind w:left="0" w:firstLine="0"/>
        <w:rPr>
          <w:color w:val="auto"/>
        </w:rPr>
      </w:pPr>
      <w:r>
        <w:rPr>
          <w:rFonts w:hint="eastAsia"/>
          <w:color w:val="auto"/>
        </w:rPr>
        <w:t>响应文件的递交</w:t>
      </w:r>
    </w:p>
    <w:p>
      <w:pPr>
        <w:numPr>
          <w:ilvl w:val="0"/>
          <w:numId w:val="25"/>
        </w:numPr>
        <w:tabs>
          <w:tab w:val="left" w:pos="1134"/>
        </w:tabs>
        <w:spacing w:line="600" w:lineRule="exact"/>
        <w:ind w:left="0" w:firstLine="567"/>
        <w:rPr>
          <w:rFonts w:ascii="宋体" w:hAnsi="宋体"/>
          <w:bCs/>
          <w:sz w:val="28"/>
          <w:szCs w:val="28"/>
        </w:rPr>
      </w:pPr>
      <w:r>
        <w:rPr>
          <w:rFonts w:hint="eastAsia" w:ascii="宋体" w:hAnsi="宋体"/>
          <w:bCs/>
          <w:sz w:val="28"/>
          <w:szCs w:val="28"/>
        </w:rPr>
        <w:t>供应商应当在响应文件递交截止时间前，将生成的已加密的响应文件成功递交至“政府采购云平台”。</w:t>
      </w:r>
    </w:p>
    <w:p>
      <w:pPr>
        <w:numPr>
          <w:ilvl w:val="0"/>
          <w:numId w:val="25"/>
        </w:numPr>
        <w:tabs>
          <w:tab w:val="left" w:pos="1134"/>
        </w:tabs>
        <w:spacing w:line="600" w:lineRule="exact"/>
        <w:ind w:left="0" w:firstLine="567"/>
        <w:rPr>
          <w:rFonts w:ascii="宋体" w:hAnsi="宋体"/>
          <w:bCs/>
          <w:sz w:val="28"/>
          <w:szCs w:val="28"/>
        </w:rPr>
      </w:pPr>
      <w:r>
        <w:rPr>
          <w:rFonts w:hint="eastAsia" w:ascii="宋体" w:hAnsi="宋体"/>
          <w:bCs/>
          <w:sz w:val="28"/>
          <w:szCs w:val="28"/>
        </w:rPr>
        <w:t>因磋商文件的修改推迟响应文件递交截止日期的，供应商按</w:t>
      </w:r>
      <w:r>
        <w:rPr>
          <w:rFonts w:hint="eastAsia" w:ascii="宋体" w:hAnsi="宋体"/>
          <w:bCs/>
          <w:sz w:val="28"/>
          <w:szCs w:val="28"/>
          <w:lang w:eastAsia="zh-CN"/>
        </w:rPr>
        <w:t>区交易中心</w:t>
      </w:r>
      <w:r>
        <w:rPr>
          <w:rFonts w:hint="eastAsia" w:ascii="宋体" w:hAnsi="宋体"/>
          <w:bCs/>
          <w:sz w:val="28"/>
          <w:szCs w:val="28"/>
        </w:rPr>
        <w:t>在“四川政府采购网”和“成都市公共资源交易服务中心”网站上发布的澄清公告中修改的时间递交响应文件，同时通过“政府采购云平台”将澄清或者修改的内容告知所有在系统中成功获取磋商文件的潜在供应商。</w:t>
      </w:r>
    </w:p>
    <w:p>
      <w:pPr>
        <w:numPr>
          <w:ilvl w:val="0"/>
          <w:numId w:val="25"/>
        </w:numPr>
        <w:tabs>
          <w:tab w:val="left" w:pos="1134"/>
        </w:tabs>
        <w:spacing w:line="600" w:lineRule="exact"/>
        <w:ind w:left="0" w:firstLine="567"/>
        <w:rPr>
          <w:rFonts w:ascii="宋体" w:hAnsi="宋体"/>
          <w:sz w:val="28"/>
          <w:szCs w:val="28"/>
        </w:rPr>
      </w:pPr>
      <w:r>
        <w:rPr>
          <w:rFonts w:hint="eastAsia" w:ascii="宋体" w:hAnsi="宋体"/>
          <w:bCs/>
          <w:sz w:val="28"/>
          <w:szCs w:val="28"/>
        </w:rPr>
        <w:t>供应商应充分考虑递交响应文件的不可预见因素，未在递交</w:t>
      </w:r>
      <w:r>
        <w:rPr>
          <w:rFonts w:ascii="宋体" w:hAnsi="宋体"/>
          <w:bCs/>
          <w:sz w:val="28"/>
          <w:szCs w:val="28"/>
        </w:rPr>
        <w:t>响应文件</w:t>
      </w:r>
      <w:r>
        <w:rPr>
          <w:rFonts w:hint="eastAsia" w:ascii="宋体" w:hAnsi="宋体"/>
          <w:bCs/>
          <w:sz w:val="28"/>
          <w:szCs w:val="28"/>
        </w:rPr>
        <w:t>截止时间前完成递交的，在递交</w:t>
      </w:r>
      <w:r>
        <w:rPr>
          <w:rFonts w:ascii="宋体" w:hAnsi="宋体"/>
          <w:bCs/>
          <w:sz w:val="28"/>
          <w:szCs w:val="28"/>
        </w:rPr>
        <w:t>响应文件</w:t>
      </w:r>
      <w:r>
        <w:rPr>
          <w:rFonts w:hint="eastAsia" w:ascii="宋体" w:hAnsi="宋体"/>
          <w:bCs/>
          <w:sz w:val="28"/>
          <w:szCs w:val="28"/>
        </w:rPr>
        <w:t>截止时间后将无法递交。</w:t>
      </w:r>
    </w:p>
    <w:p>
      <w:pPr>
        <w:pStyle w:val="5"/>
        <w:numPr>
          <w:ilvl w:val="2"/>
          <w:numId w:val="6"/>
        </w:numPr>
        <w:spacing w:after="200"/>
        <w:ind w:left="0" w:firstLine="0"/>
        <w:rPr>
          <w:color w:val="auto"/>
        </w:rPr>
      </w:pPr>
      <w:r>
        <w:rPr>
          <w:rFonts w:hint="eastAsia"/>
          <w:color w:val="auto"/>
        </w:rPr>
        <w:t>响应文件的补充、修改和撤回</w:t>
      </w:r>
    </w:p>
    <w:p>
      <w:pPr>
        <w:numPr>
          <w:ilvl w:val="0"/>
          <w:numId w:val="26"/>
        </w:numPr>
        <w:tabs>
          <w:tab w:val="left" w:pos="1134"/>
        </w:tabs>
        <w:spacing w:line="360" w:lineRule="auto"/>
        <w:ind w:left="0" w:firstLine="567"/>
        <w:rPr>
          <w:rFonts w:ascii="宋体" w:hAnsi="宋体"/>
          <w:sz w:val="28"/>
          <w:szCs w:val="28"/>
        </w:rPr>
      </w:pPr>
      <w:r>
        <w:rPr>
          <w:rFonts w:hint="eastAsia" w:ascii="宋体" w:hAnsi="宋体"/>
          <w:sz w:val="28"/>
          <w:szCs w:val="28"/>
        </w:rPr>
        <w:t>在递交</w:t>
      </w:r>
      <w:r>
        <w:rPr>
          <w:rFonts w:ascii="宋体" w:hAnsi="宋体"/>
          <w:sz w:val="28"/>
          <w:szCs w:val="28"/>
        </w:rPr>
        <w:t>响应文件</w:t>
      </w:r>
      <w:r>
        <w:rPr>
          <w:rFonts w:hint="eastAsia" w:ascii="宋体" w:hAnsi="宋体"/>
          <w:sz w:val="28"/>
          <w:szCs w:val="28"/>
        </w:rPr>
        <w:t>截止时间之前，供应商可对已递交的响应文件进行补充、修改。补充或者修改响应文件的，应当先撤回已递交的响应文件，在“政采云投标客户端”补充、修改响应文件并签章、加密后重新递交。撤回响应文件进行补充、修改，在递交响应文件截止时间前未重新递交的，视为撤回响应文件。</w:t>
      </w:r>
    </w:p>
    <w:p>
      <w:pPr>
        <w:numPr>
          <w:ilvl w:val="0"/>
          <w:numId w:val="26"/>
        </w:numPr>
        <w:tabs>
          <w:tab w:val="left" w:pos="1134"/>
        </w:tabs>
        <w:spacing w:line="360" w:lineRule="auto"/>
        <w:ind w:left="0" w:firstLine="567"/>
        <w:rPr>
          <w:rFonts w:ascii="宋体" w:hAnsi="宋体"/>
          <w:sz w:val="28"/>
          <w:szCs w:val="28"/>
        </w:rPr>
      </w:pPr>
      <w:r>
        <w:rPr>
          <w:rFonts w:hint="eastAsia" w:ascii="宋体" w:hAnsi="宋体"/>
          <w:sz w:val="28"/>
          <w:szCs w:val="28"/>
        </w:rPr>
        <w:t>在递交响应文件截止时间之后，供应商不得对其递交的响应文件做任何补充、修改。</w:t>
      </w:r>
    </w:p>
    <w:p>
      <w:pPr>
        <w:numPr>
          <w:ilvl w:val="0"/>
          <w:numId w:val="26"/>
        </w:numPr>
        <w:tabs>
          <w:tab w:val="left" w:pos="1134"/>
        </w:tabs>
        <w:spacing w:line="360" w:lineRule="auto"/>
        <w:ind w:left="0" w:firstLine="567"/>
        <w:rPr>
          <w:rFonts w:ascii="宋体" w:hAnsi="宋体"/>
          <w:sz w:val="28"/>
          <w:szCs w:val="28"/>
        </w:rPr>
      </w:pPr>
      <w:r>
        <w:rPr>
          <w:rFonts w:hint="eastAsia" w:ascii="宋体" w:hAnsi="宋体"/>
          <w:sz w:val="28"/>
          <w:szCs w:val="28"/>
        </w:rPr>
        <w:t>在递交响应文件截止时间之前，供应商可对已递交的响应文件进行撤回。在递交响应文件截止时间之后，供应商不得撤回响应文件。</w:t>
      </w:r>
    </w:p>
    <w:p>
      <w:pPr>
        <w:pStyle w:val="5"/>
        <w:numPr>
          <w:ilvl w:val="2"/>
          <w:numId w:val="6"/>
        </w:numPr>
        <w:spacing w:after="200"/>
        <w:ind w:left="0" w:firstLine="0"/>
        <w:rPr>
          <w:color w:val="auto"/>
        </w:rPr>
      </w:pPr>
      <w:bookmarkStart w:id="29" w:name="_Toc446487098"/>
      <w:r>
        <w:rPr>
          <w:rFonts w:hint="eastAsia"/>
          <w:color w:val="auto"/>
        </w:rPr>
        <w:t>响应文件的解密</w:t>
      </w:r>
      <w:bookmarkEnd w:id="29"/>
    </w:p>
    <w:p>
      <w:pPr>
        <w:tabs>
          <w:tab w:val="left" w:pos="1134"/>
        </w:tabs>
        <w:spacing w:after="200" w:line="360" w:lineRule="auto"/>
        <w:ind w:firstLine="708" w:firstLineChars="253"/>
        <w:rPr>
          <w:rFonts w:ascii="宋体" w:hAnsi="宋体"/>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区交易中心</w:t>
      </w:r>
      <w:r>
        <w:rPr>
          <w:rFonts w:hint="eastAsia" w:ascii="宋体" w:hAnsi="宋体"/>
          <w:sz w:val="28"/>
          <w:szCs w:val="28"/>
        </w:rPr>
        <w:t>开启解密后，</w:t>
      </w:r>
      <w:r>
        <w:rPr>
          <w:rFonts w:hint="eastAsia" w:ascii="宋体" w:hAnsi="宋体" w:cs="宋体"/>
          <w:sz w:val="28"/>
          <w:szCs w:val="28"/>
        </w:rPr>
        <w:t>供应商应在60分钟内，使用加密该响应文件的CA数字证书在线完成响应文件的解密。</w:t>
      </w:r>
      <w:r>
        <w:rPr>
          <w:rFonts w:hint="eastAsia" w:ascii="宋体" w:hAnsi="宋体"/>
          <w:bCs/>
          <w:sz w:val="28"/>
          <w:szCs w:val="28"/>
        </w:rPr>
        <w:t>除因</w:t>
      </w:r>
      <w:r>
        <w:rPr>
          <w:rFonts w:hint="eastAsia" w:ascii="宋体" w:hAnsi="宋体"/>
          <w:sz w:val="28"/>
          <w:szCs w:val="28"/>
          <w:lang w:eastAsia="zh-CN"/>
        </w:rPr>
        <w:t>区交易中心</w:t>
      </w:r>
      <w:r>
        <w:rPr>
          <w:rFonts w:hint="eastAsia" w:ascii="宋体" w:hAnsi="宋体"/>
          <w:bCs/>
          <w:sz w:val="28"/>
          <w:szCs w:val="28"/>
        </w:rPr>
        <w:t>断电、断网、系统故障或其他不可抗力等因素，导致系统无法使用外，供应商在规定的解密时间内，未成功解密的响应文件将视为无效响应文件。</w:t>
      </w:r>
    </w:p>
    <w:p>
      <w:pPr>
        <w:pStyle w:val="4"/>
        <w:numPr>
          <w:ilvl w:val="1"/>
          <w:numId w:val="6"/>
        </w:numPr>
        <w:tabs>
          <w:tab w:val="left" w:pos="426"/>
          <w:tab w:val="left" w:pos="567"/>
        </w:tabs>
        <w:spacing w:before="0" w:after="200"/>
        <w:ind w:left="1985" w:hanging="1985"/>
        <w:jc w:val="both"/>
      </w:pPr>
      <w:bookmarkStart w:id="30" w:name="_Toc494095623"/>
      <w:bookmarkEnd w:id="30"/>
      <w:bookmarkStart w:id="31" w:name="_Toc494356977"/>
      <w:bookmarkEnd w:id="31"/>
      <w:bookmarkStart w:id="32" w:name="_Toc28471"/>
      <w:r>
        <w:rPr>
          <w:rFonts w:hint="eastAsia"/>
        </w:rPr>
        <w:t>磋商开启活动程序</w:t>
      </w:r>
      <w:bookmarkEnd w:id="32"/>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递交响应文件的供应商不足3家的，不予继续开展磋商采购活动。</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准备工作。供应商需在递交响应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登录成都市公共资源交易服务中心门户网站（https://www.cdggzy.com/）—政府采购云平台—项目采购—开标评标—开标大厅（找到对应项目）。提示：供应商未按时登录不见面开标系统，错过解密时间的，由供应商自行承担不利后果。</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解密响应文件。待</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开启解密后，供应商进行线上解密。除因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断电、断网、系统故障或其他不可抗力等因素，导致系统无法使用外，供应商在规定的解密时间内，未成功解密的响应文件将视为无效响应文件。</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确认。解密时间截止或者所有供应商</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均完成解密后（以发生在先的时间为准），由“政府采购云平台”系统展示供应商名称、响应文件解密情况等内容。</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供应商对过程和记录有异议，以及认为采购人、</w:t>
      </w:r>
      <w:r>
        <w:rPr>
          <w:rFonts w:hint="eastAsia" w:ascii="宋体" w:hAnsi="宋体" w:eastAsia="宋体" w:cs="宋体"/>
          <w:b/>
          <w:sz w:val="28"/>
          <w:szCs w:val="28"/>
          <w:lang w:eastAsia="zh-CN"/>
        </w:rPr>
        <w:t>区交易中心</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对供应商提出的询问或者回避申请应当及时处理。</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断电、断网、系统故障或其他不可抗力等因素导致不见面开标系统无法正常运行的，</w:t>
      </w:r>
      <w:r>
        <w:rPr>
          <w:rFonts w:hint="eastAsia" w:ascii="宋体" w:hAnsi="宋体" w:eastAsia="宋体" w:cs="宋体"/>
          <w:b/>
          <w:sz w:val="28"/>
          <w:szCs w:val="28"/>
          <w:lang w:eastAsia="zh-CN"/>
        </w:rPr>
        <w:t>磋商</w:t>
      </w:r>
      <w:r>
        <w:rPr>
          <w:rFonts w:hint="eastAsia" w:ascii="宋体" w:hAnsi="宋体" w:eastAsia="宋体" w:cs="宋体"/>
          <w:b/>
          <w:sz w:val="28"/>
          <w:szCs w:val="28"/>
        </w:rPr>
        <w:t>活动中止或延迟，待系统恢复正常后继续进行开标活动。</w:t>
      </w:r>
    </w:p>
    <w:p>
      <w:pPr>
        <w:pStyle w:val="82"/>
        <w:numPr>
          <w:ilvl w:val="0"/>
          <w:numId w:val="27"/>
        </w:numPr>
        <w:tabs>
          <w:tab w:val="left" w:pos="1134"/>
        </w:tabs>
        <w:spacing w:before="156"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磋商活动开启过程中，各方主体均应遵守互联网有关规定，不得发表与交易活动无关的言论。</w:t>
      </w:r>
    </w:p>
    <w:p>
      <w:pPr>
        <w:pStyle w:val="4"/>
        <w:numPr>
          <w:ilvl w:val="1"/>
          <w:numId w:val="6"/>
        </w:numPr>
        <w:tabs>
          <w:tab w:val="left" w:pos="426"/>
          <w:tab w:val="left" w:pos="567"/>
        </w:tabs>
        <w:spacing w:before="0" w:after="200"/>
        <w:ind w:left="1985" w:hanging="1985"/>
        <w:jc w:val="both"/>
      </w:pPr>
      <w:bookmarkStart w:id="33" w:name="_Toc25509"/>
      <w:r>
        <w:rPr>
          <w:rFonts w:hint="eastAsia"/>
        </w:rPr>
        <w:t>成交通知书</w:t>
      </w:r>
      <w:bookmarkEnd w:id="33"/>
    </w:p>
    <w:p>
      <w:pPr>
        <w:spacing w:line="360" w:lineRule="auto"/>
        <w:ind w:right="210" w:firstLine="560" w:firstLineChars="200"/>
        <w:rPr>
          <w:rFonts w:ascii="宋体" w:hAnsi="宋体"/>
          <w:sz w:val="28"/>
          <w:szCs w:val="28"/>
        </w:rPr>
      </w:pPr>
      <w:r>
        <w:rPr>
          <w:rFonts w:hint="eastAsia" w:ascii="宋体" w:hAnsi="宋体"/>
          <w:sz w:val="28"/>
          <w:szCs w:val="28"/>
        </w:rPr>
        <w:t>一、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spacing w:line="360" w:lineRule="auto"/>
        <w:ind w:firstLine="560" w:firstLineChars="200"/>
        <w:rPr>
          <w:rFonts w:ascii="宋体" w:hAnsi="宋体"/>
          <w:sz w:val="28"/>
          <w:szCs w:val="28"/>
        </w:rPr>
      </w:pPr>
      <w:r>
        <w:rPr>
          <w:rFonts w:hint="eastAsia" w:ascii="宋体" w:hAnsi="宋体"/>
          <w:sz w:val="28"/>
          <w:szCs w:val="28"/>
        </w:rPr>
        <w:t>二、成交通知书对采购人和成交供应商均具有法律效力。成交通知书发出后，采购人改变成交结果，或者成交供应商无正当理由放弃成交的，应当承担相应的法律责任。</w:t>
      </w:r>
    </w:p>
    <w:p>
      <w:pPr>
        <w:spacing w:line="360" w:lineRule="auto"/>
        <w:ind w:firstLine="560" w:firstLineChars="200"/>
      </w:pPr>
      <w:r>
        <w:rPr>
          <w:rFonts w:hint="eastAsia" w:ascii="宋体" w:hAnsi="宋体"/>
          <w:sz w:val="28"/>
          <w:szCs w:val="28"/>
          <w:lang w:val="zh-CN"/>
        </w:rPr>
        <w:t>三、</w:t>
      </w:r>
      <w:r>
        <w:rPr>
          <w:rFonts w:hint="eastAsia" w:ascii="宋体" w:hAnsi="宋体"/>
          <w:sz w:val="28"/>
          <w:szCs w:val="28"/>
        </w:rPr>
        <w:t>成交公告在四川政府采购网上公告后，成交供应商自行登录政府</w:t>
      </w:r>
      <w:r>
        <w:rPr>
          <w:rFonts w:ascii="宋体" w:hAnsi="宋体"/>
          <w:sz w:val="28"/>
          <w:szCs w:val="28"/>
        </w:rPr>
        <w:t>采购</w:t>
      </w:r>
      <w:r>
        <w:rPr>
          <w:rFonts w:hint="eastAsia" w:ascii="宋体" w:hAnsi="宋体"/>
          <w:sz w:val="28"/>
          <w:szCs w:val="28"/>
        </w:rPr>
        <w:t>云平台下载成交通知书。</w:t>
      </w:r>
    </w:p>
    <w:p>
      <w:pPr>
        <w:pStyle w:val="4"/>
        <w:numPr>
          <w:ilvl w:val="1"/>
          <w:numId w:val="6"/>
        </w:numPr>
        <w:tabs>
          <w:tab w:val="left" w:pos="426"/>
          <w:tab w:val="left" w:pos="567"/>
        </w:tabs>
        <w:spacing w:before="0" w:after="200"/>
        <w:ind w:left="1985" w:hanging="1985"/>
        <w:jc w:val="both"/>
      </w:pPr>
      <w:bookmarkStart w:id="34" w:name="_Toc14729"/>
      <w:bookmarkStart w:id="35" w:name="_Toc287623650"/>
      <w:r>
        <w:rPr>
          <w:rFonts w:hint="eastAsia"/>
        </w:rPr>
        <w:t>签订及履行合同和验收</w:t>
      </w:r>
      <w:bookmarkEnd w:id="34"/>
    </w:p>
    <w:p>
      <w:pPr>
        <w:pStyle w:val="5"/>
        <w:numPr>
          <w:ilvl w:val="2"/>
          <w:numId w:val="6"/>
        </w:numPr>
        <w:spacing w:after="200"/>
        <w:ind w:left="0" w:firstLine="0"/>
        <w:rPr>
          <w:color w:val="auto"/>
        </w:rPr>
      </w:pPr>
      <w:r>
        <w:rPr>
          <w:rFonts w:hint="eastAsia"/>
          <w:color w:val="auto"/>
        </w:rPr>
        <w:t>签订合同</w:t>
      </w:r>
      <w:bookmarkEnd w:id="35"/>
    </w:p>
    <w:p>
      <w:pPr>
        <w:widowControl/>
        <w:numPr>
          <w:ilvl w:val="0"/>
          <w:numId w:val="28"/>
        </w:numPr>
        <w:tabs>
          <w:tab w:val="left" w:pos="1134"/>
        </w:tabs>
        <w:snapToGrid w:val="0"/>
        <w:spacing w:after="200" w:line="360" w:lineRule="auto"/>
        <w:ind w:left="0" w:firstLine="567"/>
        <w:jc w:val="left"/>
        <w:rPr>
          <w:rFonts w:ascii="宋体" w:hAnsi="宋体" w:cs="宋体"/>
          <w:sz w:val="28"/>
          <w:szCs w:val="28"/>
        </w:rPr>
      </w:pPr>
      <w:bookmarkStart w:id="36" w:name="_Toc217446069"/>
      <w:r>
        <w:rPr>
          <w:rFonts w:hint="eastAsia" w:ascii="宋体" w:hAnsi="宋体" w:cs="宋体"/>
          <w:sz w:val="28"/>
          <w:szCs w:val="28"/>
        </w:rPr>
        <w:t>疫情防控期间，采购人原则上应在成交通知书发出之日起5个工作日内与成交供应商签订采购合同。因成交供应商的原因在成交通知书发出之日起30日内逾期未与采购人签订采购合同或者成交供应商拒绝与采购人签订合同的，采购人可以按照评审报告推荐的成交候选人名单排序，确定下一候选人为成交供应商，也可以重新开展政府采购活动</w:t>
      </w:r>
      <w:r>
        <w:rPr>
          <w:rFonts w:hint="eastAsia" w:ascii="宋体" w:hAnsi="宋体"/>
          <w:sz w:val="28"/>
          <w:szCs w:val="28"/>
        </w:rPr>
        <w:t>。</w:t>
      </w:r>
    </w:p>
    <w:p>
      <w:pPr>
        <w:widowControl/>
        <w:numPr>
          <w:ilvl w:val="0"/>
          <w:numId w:val="28"/>
        </w:numPr>
        <w:tabs>
          <w:tab w:val="left" w:pos="1134"/>
        </w:tabs>
        <w:snapToGrid w:val="0"/>
        <w:spacing w:after="200" w:line="360" w:lineRule="auto"/>
        <w:ind w:left="0" w:firstLine="567"/>
        <w:jc w:val="left"/>
        <w:rPr>
          <w:rFonts w:ascii="宋体" w:hAnsi="宋体" w:cs="宋体"/>
          <w:sz w:val="28"/>
          <w:szCs w:val="28"/>
        </w:rPr>
      </w:pPr>
      <w:r>
        <w:rPr>
          <w:rFonts w:hint="eastAsia" w:ascii="宋体" w:hAnsi="宋体" w:cs="宋体"/>
          <w:sz w:val="28"/>
          <w:szCs w:val="28"/>
        </w:rPr>
        <w:t>采购人不得向成交供应商提出任何不合理的要求作为签订合同的条件，不得与成交供应商私下订立背离合同实质性内容的任何协议，所签订的合同不得对磋商文件和成交供应商响应文件作实质性修改。</w:t>
      </w:r>
    </w:p>
    <w:p>
      <w:pPr>
        <w:widowControl/>
        <w:numPr>
          <w:ilvl w:val="0"/>
          <w:numId w:val="28"/>
        </w:numPr>
        <w:tabs>
          <w:tab w:val="left" w:pos="1134"/>
        </w:tabs>
        <w:snapToGrid w:val="0"/>
        <w:spacing w:after="200" w:line="360" w:lineRule="auto"/>
        <w:ind w:left="0" w:firstLine="567"/>
        <w:jc w:val="left"/>
        <w:rPr>
          <w:rFonts w:ascii="宋体" w:hAnsi="宋体" w:cs="宋体"/>
          <w:i/>
          <w:sz w:val="28"/>
          <w:szCs w:val="28"/>
        </w:rPr>
      </w:pPr>
      <w:r>
        <w:rPr>
          <w:rFonts w:hint="eastAsia" w:ascii="宋体" w:hAnsi="宋体" w:cs="宋体"/>
          <w:sz w:val="28"/>
          <w:szCs w:val="28"/>
        </w:rPr>
        <w:t>磋商文件、响应文件、成交通知书等均成为有法律约束力的合同组成内容。</w:t>
      </w:r>
    </w:p>
    <w:p>
      <w:pPr>
        <w:widowControl/>
        <w:numPr>
          <w:ilvl w:val="0"/>
          <w:numId w:val="28"/>
        </w:numPr>
        <w:tabs>
          <w:tab w:val="left" w:pos="1134"/>
        </w:tabs>
        <w:snapToGrid w:val="0"/>
        <w:spacing w:after="200" w:line="360" w:lineRule="auto"/>
        <w:ind w:left="0" w:firstLine="567"/>
        <w:jc w:val="left"/>
        <w:rPr>
          <w:rFonts w:ascii="宋体" w:hAnsi="宋体" w:cs="宋体"/>
          <w:sz w:val="28"/>
          <w:szCs w:val="28"/>
        </w:rPr>
      </w:pPr>
      <w:r>
        <w:rPr>
          <w:rFonts w:hint="eastAsia" w:ascii="宋体" w:hAnsi="宋体"/>
          <w:sz w:val="28"/>
          <w:szCs w:val="28"/>
        </w:rPr>
        <w:t>询问或者质疑事项可能影响成交结果的，采购人应当暂停签订合同，已经签订合同的，应当中止履行合同。</w:t>
      </w:r>
    </w:p>
    <w:p>
      <w:pPr>
        <w:pStyle w:val="5"/>
        <w:numPr>
          <w:ilvl w:val="2"/>
          <w:numId w:val="6"/>
        </w:numPr>
        <w:spacing w:after="200"/>
        <w:ind w:left="0" w:firstLine="0"/>
        <w:rPr>
          <w:color w:val="auto"/>
        </w:rPr>
      </w:pPr>
      <w:bookmarkStart w:id="37" w:name="_Toc217446066"/>
      <w:r>
        <w:rPr>
          <w:rFonts w:hint="eastAsia"/>
          <w:color w:val="auto"/>
        </w:rPr>
        <w:t>合同分包</w:t>
      </w:r>
      <w:bookmarkEnd w:id="37"/>
      <w:r>
        <w:rPr>
          <w:rFonts w:hint="eastAsia"/>
          <w:color w:val="auto"/>
        </w:rPr>
        <w:t>和转包</w:t>
      </w:r>
    </w:p>
    <w:p>
      <w:pPr>
        <w:pStyle w:val="5"/>
        <w:numPr>
          <w:ilvl w:val="3"/>
          <w:numId w:val="6"/>
        </w:numPr>
        <w:spacing w:after="200"/>
        <w:ind w:left="709"/>
        <w:rPr>
          <w:color w:val="auto"/>
        </w:rPr>
      </w:pPr>
      <w:r>
        <w:rPr>
          <w:rFonts w:hint="eastAsia"/>
          <w:color w:val="auto"/>
        </w:rPr>
        <w:t>合同分包</w:t>
      </w:r>
    </w:p>
    <w:p>
      <w:pPr>
        <w:spacing w:line="360" w:lineRule="auto"/>
        <w:ind w:firstLine="495"/>
        <w:rPr>
          <w:rFonts w:ascii="宋体" w:hAnsi="宋体"/>
          <w:sz w:val="28"/>
          <w:szCs w:val="28"/>
        </w:rPr>
      </w:pPr>
      <w:r>
        <w:rPr>
          <w:rFonts w:hint="eastAsia" w:ascii="宋体" w:hAnsi="宋体"/>
          <w:sz w:val="28"/>
          <w:szCs w:val="28"/>
          <w:lang w:eastAsia="zh-CN"/>
        </w:rPr>
        <w:t>本项目不允许分包</w:t>
      </w:r>
      <w:r>
        <w:rPr>
          <w:rFonts w:hint="eastAsia" w:ascii="宋体" w:hAnsi="宋体"/>
          <w:sz w:val="28"/>
          <w:szCs w:val="28"/>
        </w:rPr>
        <w:t>。</w:t>
      </w:r>
    </w:p>
    <w:p>
      <w:pPr>
        <w:pStyle w:val="5"/>
        <w:numPr>
          <w:ilvl w:val="3"/>
          <w:numId w:val="6"/>
        </w:numPr>
        <w:spacing w:after="200"/>
        <w:ind w:left="709"/>
        <w:rPr>
          <w:strike/>
          <w:color w:val="auto"/>
        </w:rPr>
      </w:pPr>
      <w:r>
        <w:rPr>
          <w:rFonts w:hint="eastAsia"/>
          <w:color w:val="auto"/>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一、严禁成交供应商将本项目转包。本项目所称转包，是指</w:t>
      </w:r>
      <w:r>
        <w:rPr>
          <w:rFonts w:hint="eastAsia" w:ascii="宋体" w:hAnsi="宋体" w:cs="宋体"/>
          <w:sz w:val="28"/>
          <w:szCs w:val="28"/>
        </w:rPr>
        <w:t>将本项目转给他人或者将本项目全部肢解以后以分包的名义分别转给他人的行为。</w:t>
      </w:r>
    </w:p>
    <w:p>
      <w:pPr>
        <w:spacing w:line="360" w:lineRule="auto"/>
        <w:ind w:firstLine="495"/>
        <w:rPr>
          <w:rFonts w:ascii="宋体" w:hAnsi="宋体"/>
          <w:sz w:val="28"/>
          <w:szCs w:val="28"/>
        </w:rPr>
      </w:pPr>
      <w:r>
        <w:rPr>
          <w:rFonts w:hint="eastAsia" w:ascii="宋体" w:hAnsi="宋体"/>
          <w:sz w:val="28"/>
          <w:szCs w:val="28"/>
        </w:rPr>
        <w:t>二、成交供应商转包的，视同拒绝履行政府采购合同，将依法追究法律责任。</w:t>
      </w:r>
    </w:p>
    <w:p>
      <w:pPr>
        <w:pStyle w:val="5"/>
        <w:numPr>
          <w:ilvl w:val="2"/>
          <w:numId w:val="6"/>
        </w:numPr>
        <w:spacing w:after="200"/>
        <w:ind w:left="0" w:firstLine="0"/>
        <w:rPr>
          <w:color w:val="auto"/>
        </w:rPr>
      </w:pPr>
      <w:bookmarkStart w:id="38" w:name="_Toc217446067"/>
      <w:r>
        <w:rPr>
          <w:rFonts w:hint="eastAsia"/>
          <w:color w:val="auto"/>
        </w:rPr>
        <w:t>采购人增加合同标的的权</w:t>
      </w:r>
      <w:bookmarkEnd w:id="38"/>
      <w:r>
        <w:rPr>
          <w:rFonts w:hint="eastAsia"/>
          <w:color w:val="auto"/>
        </w:rPr>
        <w:t>利</w:t>
      </w:r>
    </w:p>
    <w:p>
      <w:pPr>
        <w:spacing w:line="360" w:lineRule="auto"/>
        <w:ind w:firstLine="567"/>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成交供应商协商签订补充合同，但所有补充合同的采购金额不得超过原合同采购金额的百分之十。</w:t>
      </w:r>
    </w:p>
    <w:p>
      <w:pPr>
        <w:pStyle w:val="5"/>
        <w:numPr>
          <w:ilvl w:val="2"/>
          <w:numId w:val="6"/>
        </w:numPr>
        <w:spacing w:after="200"/>
        <w:ind w:left="0" w:firstLine="0"/>
        <w:rPr>
          <w:color w:val="auto"/>
        </w:rPr>
      </w:pPr>
      <w:bookmarkStart w:id="39" w:name="_Toc217446068"/>
      <w:r>
        <w:rPr>
          <w:rFonts w:hint="eastAsia"/>
          <w:color w:val="auto"/>
        </w:rPr>
        <w:t>履约保证金</w:t>
      </w:r>
      <w:bookmarkEnd w:id="39"/>
    </w:p>
    <w:p>
      <w:pPr>
        <w:spacing w:line="360" w:lineRule="auto"/>
        <w:ind w:firstLine="562" w:firstLineChars="200"/>
        <w:rPr>
          <w:rFonts w:ascii="宋体" w:hAnsi="宋体"/>
          <w:b/>
          <w:sz w:val="28"/>
        </w:rPr>
      </w:pPr>
      <w:r>
        <w:rPr>
          <w:rFonts w:hint="eastAsia" w:ascii="宋体" w:hAnsi="宋体"/>
          <w:b/>
          <w:sz w:val="28"/>
          <w:szCs w:val="28"/>
        </w:rPr>
        <w:t>本项目不收取履约保证金。</w:t>
      </w:r>
    </w:p>
    <w:p>
      <w:pPr>
        <w:pStyle w:val="5"/>
        <w:numPr>
          <w:ilvl w:val="2"/>
          <w:numId w:val="6"/>
        </w:numPr>
        <w:spacing w:after="200"/>
        <w:ind w:left="0" w:firstLine="0"/>
        <w:rPr>
          <w:color w:val="auto"/>
        </w:rPr>
      </w:pPr>
      <w:r>
        <w:rPr>
          <w:rFonts w:hint="eastAsia"/>
          <w:color w:val="auto"/>
        </w:rPr>
        <w:t>合同公告</w:t>
      </w:r>
    </w:p>
    <w:p>
      <w:pPr>
        <w:spacing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采购人应当自政府采购合同签订之日起2个工作日内，将政府采购合同在四川政府采购网公告，但政府采购合同中涉及国家秘密、商业秘密的内容除外。</w:t>
      </w:r>
    </w:p>
    <w:p>
      <w:pPr>
        <w:pStyle w:val="5"/>
        <w:numPr>
          <w:ilvl w:val="2"/>
          <w:numId w:val="6"/>
        </w:numPr>
        <w:spacing w:after="200"/>
        <w:ind w:left="0" w:firstLine="0"/>
        <w:rPr>
          <w:color w:val="auto"/>
        </w:rPr>
      </w:pPr>
      <w:r>
        <w:rPr>
          <w:rFonts w:hint="eastAsia"/>
          <w:color w:val="auto"/>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w:t>
      </w:r>
      <w:r>
        <w:rPr>
          <w:rFonts w:hint="eastAsia" w:ascii="宋体" w:hAnsi="宋体"/>
          <w:sz w:val="28"/>
          <w:szCs w:val="28"/>
          <w:lang w:eastAsia="zh-CN"/>
        </w:rPr>
        <w:t>成都市新都区财政局</w:t>
      </w:r>
      <w:r>
        <w:rPr>
          <w:rFonts w:hint="eastAsia" w:ascii="宋体" w:hAnsi="宋体"/>
          <w:sz w:val="28"/>
          <w:szCs w:val="28"/>
        </w:rPr>
        <w:t>的要求完成合同备案工作。</w:t>
      </w:r>
    </w:p>
    <w:bookmarkEnd w:id="36"/>
    <w:p>
      <w:pPr>
        <w:pStyle w:val="5"/>
        <w:numPr>
          <w:ilvl w:val="2"/>
          <w:numId w:val="6"/>
        </w:numPr>
        <w:spacing w:after="200"/>
        <w:ind w:left="0" w:firstLine="0"/>
        <w:rPr>
          <w:color w:val="auto"/>
        </w:rPr>
      </w:pPr>
      <w:bookmarkStart w:id="40" w:name="_Toc217446070"/>
      <w:r>
        <w:rPr>
          <w:rFonts w:hint="eastAsia"/>
          <w:color w:val="auto"/>
        </w:rPr>
        <w:t>履行合同</w:t>
      </w:r>
    </w:p>
    <w:p>
      <w:pPr>
        <w:numPr>
          <w:ilvl w:val="0"/>
          <w:numId w:val="29"/>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合同一经签订，双方应严格履行合同规定的义务。</w:t>
      </w:r>
    </w:p>
    <w:p>
      <w:pPr>
        <w:numPr>
          <w:ilvl w:val="0"/>
          <w:numId w:val="29"/>
        </w:numPr>
        <w:tabs>
          <w:tab w:val="left" w:pos="1134"/>
        </w:tabs>
        <w:spacing w:after="200" w:line="360" w:lineRule="auto"/>
        <w:ind w:left="0" w:firstLine="565" w:firstLineChars="202"/>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numPr>
          <w:ilvl w:val="2"/>
          <w:numId w:val="6"/>
        </w:numPr>
        <w:spacing w:after="200"/>
        <w:ind w:left="0" w:firstLine="0"/>
        <w:rPr>
          <w:color w:val="auto"/>
        </w:rPr>
      </w:pPr>
      <w:r>
        <w:rPr>
          <w:rFonts w:hint="eastAsia"/>
          <w:color w:val="auto"/>
        </w:rPr>
        <w:t>验收</w:t>
      </w:r>
      <w:bookmarkEnd w:id="40"/>
    </w:p>
    <w:p>
      <w:pPr>
        <w:pStyle w:val="26"/>
        <w:spacing w:line="360" w:lineRule="auto"/>
        <w:ind w:left="0" w:leftChars="0" w:firstLine="565" w:firstLineChars="202"/>
        <w:rPr>
          <w:rFonts w:ascii="宋体" w:hAnsi="宋体"/>
          <w:sz w:val="28"/>
          <w:szCs w:val="28"/>
        </w:rPr>
      </w:pPr>
      <w:bookmarkStart w:id="41" w:name="_Toc217446071"/>
      <w:r>
        <w:rPr>
          <w:rFonts w:hint="eastAsia" w:ascii="宋体" w:hAnsi="宋体"/>
          <w:sz w:val="28"/>
          <w:szCs w:val="28"/>
        </w:rPr>
        <w:t>采购人严格按照国家相关法律法规的要求组织验收或考核。</w:t>
      </w:r>
      <w:bookmarkEnd w:id="41"/>
    </w:p>
    <w:p>
      <w:pPr>
        <w:pStyle w:val="5"/>
        <w:numPr>
          <w:ilvl w:val="2"/>
          <w:numId w:val="6"/>
        </w:numPr>
        <w:spacing w:after="200"/>
        <w:ind w:left="0" w:firstLine="0"/>
        <w:rPr>
          <w:color w:val="auto"/>
        </w:rPr>
      </w:pPr>
      <w:r>
        <w:rPr>
          <w:rFonts w:hint="eastAsia"/>
          <w:color w:val="auto"/>
        </w:rPr>
        <w:t>资金支付</w:t>
      </w:r>
    </w:p>
    <w:p>
      <w:pPr>
        <w:pStyle w:val="26"/>
        <w:spacing w:line="360" w:lineRule="auto"/>
        <w:ind w:left="0" w:leftChars="0"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numPr>
          <w:ilvl w:val="1"/>
          <w:numId w:val="6"/>
        </w:numPr>
        <w:tabs>
          <w:tab w:val="left" w:pos="426"/>
          <w:tab w:val="left" w:pos="567"/>
        </w:tabs>
        <w:spacing w:before="0" w:after="200"/>
        <w:ind w:left="1985" w:hanging="1985"/>
        <w:jc w:val="both"/>
      </w:pPr>
      <w:bookmarkStart w:id="42" w:name="_Toc25416"/>
      <w:r>
        <w:rPr>
          <w:rFonts w:hint="eastAsia"/>
        </w:rPr>
        <w:t>竞争性磋商工作纪律及要求</w:t>
      </w:r>
      <w:bookmarkEnd w:id="42"/>
    </w:p>
    <w:p>
      <w:pPr>
        <w:pStyle w:val="5"/>
        <w:numPr>
          <w:ilvl w:val="2"/>
          <w:numId w:val="6"/>
        </w:numPr>
        <w:spacing w:after="200"/>
        <w:ind w:left="0" w:firstLine="0"/>
        <w:rPr>
          <w:color w:val="auto"/>
        </w:rPr>
      </w:pPr>
      <w:bookmarkStart w:id="43" w:name="_Toc217446075"/>
      <w:r>
        <w:rPr>
          <w:rFonts w:hint="eastAsia"/>
          <w:color w:val="auto"/>
        </w:rPr>
        <w:t>供应商不得具有的情形</w:t>
      </w:r>
      <w:bookmarkEnd w:id="43"/>
    </w:p>
    <w:p>
      <w:pPr>
        <w:pStyle w:val="13"/>
        <w:ind w:firstLine="560"/>
        <w:rPr>
          <w:rFonts w:ascii="宋体" w:hAnsi="宋体"/>
          <w:sz w:val="28"/>
          <w:szCs w:val="28"/>
        </w:rPr>
      </w:pPr>
      <w:r>
        <w:rPr>
          <w:rFonts w:hint="eastAsia" w:ascii="宋体" w:hAnsi="宋体"/>
          <w:sz w:val="28"/>
          <w:szCs w:val="28"/>
        </w:rPr>
        <w:t>供应商参加磋商不得有下列情形：</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360" w:lineRule="auto"/>
        <w:ind w:left="538"/>
        <w:rPr>
          <w:rFonts w:ascii="宋体" w:hAnsi="宋体"/>
          <w:sz w:val="28"/>
          <w:szCs w:val="28"/>
        </w:rPr>
      </w:pPr>
      <w:r>
        <w:rPr>
          <w:rFonts w:hint="eastAsia" w:ascii="宋体" w:hAnsi="宋体"/>
          <w:sz w:val="28"/>
          <w:szCs w:val="28"/>
        </w:rPr>
        <w:t>（一）不同供应商的响应文件由同一单位或者个人编制；</w:t>
      </w:r>
    </w:p>
    <w:p>
      <w:pPr>
        <w:tabs>
          <w:tab w:val="left" w:pos="1134"/>
        </w:tabs>
        <w:spacing w:line="360" w:lineRule="auto"/>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360" w:lineRule="auto"/>
        <w:ind w:firstLine="537" w:firstLineChars="192"/>
        <w:rPr>
          <w:rFonts w:ascii="宋体" w:hAnsi="宋体"/>
          <w:sz w:val="28"/>
          <w:szCs w:val="28"/>
        </w:rPr>
      </w:pPr>
      <w:r>
        <w:rPr>
          <w:rFonts w:hint="eastAsia" w:ascii="宋体" w:hAnsi="宋体"/>
          <w:sz w:val="28"/>
          <w:szCs w:val="28"/>
        </w:rPr>
        <w:t>（三）不同供应商的响应文件载明的项目管理成员或者联系人员为同一人；</w:t>
      </w:r>
    </w:p>
    <w:p>
      <w:pPr>
        <w:tabs>
          <w:tab w:val="left" w:pos="1134"/>
        </w:tabs>
        <w:spacing w:line="360" w:lineRule="auto"/>
        <w:ind w:left="538"/>
        <w:rPr>
          <w:rFonts w:ascii="宋体" w:hAnsi="宋体"/>
          <w:sz w:val="28"/>
          <w:szCs w:val="28"/>
        </w:rPr>
      </w:pPr>
      <w:r>
        <w:rPr>
          <w:rFonts w:hint="eastAsia" w:ascii="宋体" w:hAnsi="宋体"/>
          <w:sz w:val="28"/>
          <w:szCs w:val="28"/>
        </w:rPr>
        <w:t>（四）不同供应商的响应文件异常一致或者最后报价呈规律性差异；</w:t>
      </w:r>
    </w:p>
    <w:p>
      <w:pPr>
        <w:tabs>
          <w:tab w:val="left" w:pos="1134"/>
        </w:tabs>
        <w:spacing w:line="360" w:lineRule="auto"/>
        <w:ind w:left="538"/>
        <w:rPr>
          <w:rFonts w:ascii="宋体" w:hAnsi="宋体"/>
          <w:sz w:val="28"/>
          <w:szCs w:val="28"/>
        </w:rPr>
      </w:pPr>
      <w:r>
        <w:rPr>
          <w:rFonts w:hint="eastAsia" w:ascii="宋体" w:hAnsi="宋体"/>
          <w:sz w:val="28"/>
          <w:szCs w:val="28"/>
        </w:rPr>
        <w:t>（五）不同供应商的响应文件相互混装；</w:t>
      </w:r>
    </w:p>
    <w:p>
      <w:pPr>
        <w:tabs>
          <w:tab w:val="left" w:pos="1134"/>
        </w:tabs>
        <w:spacing w:line="360" w:lineRule="auto"/>
        <w:ind w:left="538"/>
        <w:rPr>
          <w:rFonts w:ascii="宋体" w:hAnsi="宋体"/>
          <w:sz w:val="28"/>
          <w:szCs w:val="28"/>
        </w:rPr>
      </w:pPr>
      <w:r>
        <w:rPr>
          <w:rFonts w:hint="eastAsia" w:ascii="宋体" w:hAnsi="宋体"/>
          <w:sz w:val="28"/>
          <w:szCs w:val="28"/>
        </w:rPr>
        <w:t xml:space="preserve">（六）不同供应商的磋商保证金从同一单位或者个人的账户转出； </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提供虚假材料谋取成交；</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采取不正当手段诋毁、排挤其他供应商；</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区交易中心</w:t>
      </w:r>
      <w:r>
        <w:rPr>
          <w:rFonts w:hint="eastAsia" w:ascii="宋体" w:hAnsi="宋体"/>
          <w:sz w:val="28"/>
          <w:szCs w:val="28"/>
        </w:rPr>
        <w:t>、其他供应商恶意串通；</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区交易中心</w:t>
      </w:r>
      <w:r>
        <w:rPr>
          <w:rFonts w:hint="eastAsia" w:ascii="宋体" w:hAnsi="宋体"/>
          <w:sz w:val="28"/>
          <w:szCs w:val="28"/>
        </w:rPr>
        <w:t>、磋商小组成员行贿或者提供其他不正当利益；</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成交后无正当理由拒不与采购人签订政府采购合同；</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未按照采购文件确定的事项签订政府采购合同；</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将政府采购合同转包或者违规分包；</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提供假冒伪劣产品；</w:t>
      </w:r>
    </w:p>
    <w:p>
      <w:pPr>
        <w:numPr>
          <w:ilvl w:val="1"/>
          <w:numId w:val="30"/>
        </w:numPr>
        <w:tabs>
          <w:tab w:val="left" w:pos="1134"/>
        </w:tabs>
        <w:spacing w:after="200" w:line="360" w:lineRule="auto"/>
        <w:ind w:left="0" w:firstLine="567"/>
        <w:rPr>
          <w:rFonts w:ascii="宋体" w:hAnsi="宋体"/>
          <w:sz w:val="28"/>
          <w:szCs w:val="28"/>
        </w:rPr>
      </w:pPr>
      <w:r>
        <w:rPr>
          <w:rFonts w:hint="eastAsia" w:ascii="宋体" w:hAnsi="宋体"/>
          <w:sz w:val="28"/>
          <w:szCs w:val="28"/>
        </w:rPr>
        <w:t>擅自变更、中止或者终止政府采购合同；</w:t>
      </w:r>
    </w:p>
    <w:p>
      <w:pPr>
        <w:numPr>
          <w:ilvl w:val="1"/>
          <w:numId w:val="30"/>
        </w:numPr>
        <w:tabs>
          <w:tab w:val="left" w:pos="1418"/>
        </w:tabs>
        <w:spacing w:after="200" w:line="360" w:lineRule="auto"/>
        <w:ind w:left="0" w:firstLine="567"/>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numPr>
          <w:ilvl w:val="1"/>
          <w:numId w:val="30"/>
        </w:numPr>
        <w:tabs>
          <w:tab w:val="left" w:pos="1134"/>
          <w:tab w:val="left" w:pos="1418"/>
        </w:tabs>
        <w:spacing w:after="200" w:line="360" w:lineRule="auto"/>
        <w:ind w:left="0" w:firstLine="567"/>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numPr>
          <w:ilvl w:val="1"/>
          <w:numId w:val="30"/>
        </w:numPr>
        <w:tabs>
          <w:tab w:val="left" w:pos="1134"/>
          <w:tab w:val="left" w:pos="1418"/>
        </w:tabs>
        <w:spacing w:after="200" w:line="360" w:lineRule="auto"/>
        <w:ind w:left="0" w:firstLine="567"/>
        <w:rPr>
          <w:rFonts w:ascii="宋体" w:hAnsi="宋体"/>
          <w:sz w:val="28"/>
          <w:szCs w:val="28"/>
        </w:rPr>
      </w:pPr>
      <w:r>
        <w:rPr>
          <w:rFonts w:hint="eastAsia" w:ascii="宋体" w:hAnsi="宋体"/>
          <w:sz w:val="28"/>
          <w:szCs w:val="28"/>
        </w:rPr>
        <w:t>处于被行政部门禁止参与政府采购活动的期限内；</w:t>
      </w:r>
    </w:p>
    <w:p>
      <w:pPr>
        <w:numPr>
          <w:ilvl w:val="1"/>
          <w:numId w:val="30"/>
        </w:numPr>
        <w:tabs>
          <w:tab w:val="left" w:pos="1134"/>
          <w:tab w:val="left" w:pos="1418"/>
        </w:tabs>
        <w:spacing w:after="200" w:line="360" w:lineRule="auto"/>
        <w:ind w:left="0" w:firstLine="567"/>
        <w:rPr>
          <w:rFonts w:ascii="宋体" w:hAnsi="宋体"/>
          <w:sz w:val="28"/>
          <w:szCs w:val="28"/>
        </w:rPr>
      </w:pPr>
      <w:r>
        <w:rPr>
          <w:rFonts w:hint="eastAsia" w:ascii="宋体" w:hAnsi="宋体"/>
          <w:sz w:val="28"/>
          <w:szCs w:val="28"/>
        </w:rPr>
        <w:t>拒绝有关部门的监督检查或者向监督检查部门提供虚假情况；</w:t>
      </w:r>
    </w:p>
    <w:p>
      <w:pPr>
        <w:numPr>
          <w:ilvl w:val="1"/>
          <w:numId w:val="30"/>
        </w:numPr>
        <w:tabs>
          <w:tab w:val="left" w:pos="1134"/>
          <w:tab w:val="left" w:pos="1418"/>
        </w:tabs>
        <w:spacing w:after="200" w:line="360" w:lineRule="auto"/>
        <w:ind w:left="0" w:firstLine="567"/>
        <w:rPr>
          <w:rFonts w:ascii="宋体" w:hAnsi="宋体"/>
          <w:sz w:val="28"/>
          <w:szCs w:val="28"/>
        </w:rPr>
      </w:pPr>
      <w:r>
        <w:rPr>
          <w:rFonts w:hint="eastAsia" w:ascii="宋体" w:hAnsi="宋体"/>
          <w:sz w:val="28"/>
          <w:szCs w:val="28"/>
        </w:rPr>
        <w:t>法律法规规定的其他情形。</w:t>
      </w:r>
    </w:p>
    <w:p>
      <w:pPr>
        <w:pStyle w:val="13"/>
        <w:ind w:firstLine="568" w:firstLineChars="202"/>
        <w:rPr>
          <w:rFonts w:ascii="宋体" w:hAnsi="宋体" w:eastAsia="宋体"/>
          <w:b/>
          <w:sz w:val="28"/>
          <w:szCs w:val="28"/>
        </w:rPr>
      </w:pPr>
      <w:r>
        <w:rPr>
          <w:rFonts w:hint="eastAsia" w:ascii="宋体" w:hAnsi="宋体" w:eastAsia="宋体"/>
          <w:b/>
          <w:sz w:val="28"/>
          <w:szCs w:val="28"/>
        </w:rPr>
        <w:t>供应商有上述情形的，按照规定追究法律责任，具备一至十五条情形之一的，同时将认定供应商响应文件无效或不确定其为成交供应商，或者取消成交资格或认定成交无效。</w:t>
      </w:r>
    </w:p>
    <w:p>
      <w:pPr>
        <w:pStyle w:val="5"/>
        <w:numPr>
          <w:ilvl w:val="2"/>
          <w:numId w:val="6"/>
        </w:numPr>
        <w:spacing w:after="200"/>
        <w:ind w:left="0" w:firstLine="0"/>
        <w:rPr>
          <w:color w:val="auto"/>
        </w:rPr>
      </w:pPr>
      <w:bookmarkStart w:id="44" w:name="_Toc314574786"/>
      <w:r>
        <w:rPr>
          <w:rFonts w:hint="eastAsia"/>
          <w:color w:val="auto"/>
        </w:rPr>
        <w:t>保密</w:t>
      </w:r>
      <w:bookmarkEnd w:id="44"/>
    </w:p>
    <w:p>
      <w:pPr>
        <w:pStyle w:val="13"/>
        <w:numPr>
          <w:ilvl w:val="0"/>
          <w:numId w:val="31"/>
        </w:numPr>
        <w:tabs>
          <w:tab w:val="left" w:pos="1134"/>
        </w:tabs>
        <w:spacing w:after="0" w:line="600" w:lineRule="exact"/>
        <w:ind w:left="0" w:firstLine="560"/>
        <w:rPr>
          <w:rFonts w:ascii="宋体" w:hAnsi="宋体" w:eastAsia="宋体"/>
          <w:sz w:val="28"/>
          <w:szCs w:val="28"/>
          <w:highlight w:val="none"/>
        </w:rPr>
      </w:pPr>
      <w:r>
        <w:rPr>
          <w:rFonts w:hint="eastAsia" w:ascii="宋体" w:hAnsi="宋体" w:eastAsia="宋体"/>
          <w:sz w:val="28"/>
          <w:szCs w:val="28"/>
          <w:highlight w:val="none"/>
        </w:rPr>
        <w:t>不得透露有关潜在供应商的任何情况。</w:t>
      </w:r>
    </w:p>
    <w:p>
      <w:pPr>
        <w:pStyle w:val="13"/>
        <w:numPr>
          <w:ilvl w:val="0"/>
          <w:numId w:val="31"/>
        </w:numPr>
        <w:tabs>
          <w:tab w:val="left" w:pos="1134"/>
        </w:tabs>
        <w:spacing w:after="0" w:line="600" w:lineRule="exact"/>
        <w:ind w:left="0" w:firstLine="560"/>
        <w:rPr>
          <w:rFonts w:ascii="宋体" w:hAnsi="宋体" w:eastAsia="宋体"/>
          <w:sz w:val="28"/>
          <w:szCs w:val="28"/>
        </w:rPr>
      </w:pPr>
      <w:r>
        <w:rPr>
          <w:rFonts w:hint="eastAsia" w:ascii="宋体" w:hAnsi="宋体" w:eastAsia="宋体"/>
          <w:sz w:val="28"/>
          <w:szCs w:val="28"/>
          <w:highlight w:val="none"/>
        </w:rPr>
        <w:t>有关响应文件的审查、澄清、评估和比较以及合同授予意向等</w:t>
      </w:r>
      <w:r>
        <w:rPr>
          <w:rFonts w:hint="eastAsia" w:ascii="宋体" w:hAnsi="宋体" w:eastAsia="宋体"/>
          <w:sz w:val="28"/>
          <w:szCs w:val="28"/>
        </w:rPr>
        <w:t>情况都不得对外透露。</w:t>
      </w:r>
    </w:p>
    <w:p>
      <w:pPr>
        <w:pStyle w:val="5"/>
        <w:numPr>
          <w:ilvl w:val="2"/>
          <w:numId w:val="6"/>
        </w:numPr>
        <w:spacing w:after="200"/>
        <w:ind w:left="0" w:firstLine="0"/>
        <w:rPr>
          <w:color w:val="auto"/>
        </w:rPr>
      </w:pPr>
      <w:r>
        <w:rPr>
          <w:rFonts w:hint="eastAsia"/>
          <w:color w:val="auto"/>
        </w:rPr>
        <w:t>回避</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在政府采购活动中，采购人员（如采购人内部负责采购项目的具体经办工作人员或直接分管采购项目的负责人、</w:t>
      </w:r>
      <w:r>
        <w:rPr>
          <w:rFonts w:hint="eastAsia" w:ascii="宋体" w:hAnsi="宋体" w:eastAsia="宋体" w:cs="宋体"/>
          <w:kern w:val="0"/>
          <w:sz w:val="28"/>
          <w:szCs w:val="28"/>
          <w:lang w:eastAsia="zh-CN"/>
        </w:rPr>
        <w:t>区交易中心</w:t>
      </w:r>
      <w:r>
        <w:rPr>
          <w:rFonts w:hint="eastAsia" w:ascii="宋体" w:hAnsi="宋体" w:eastAsia="宋体" w:cs="宋体"/>
          <w:kern w:val="0"/>
          <w:sz w:val="28"/>
          <w:szCs w:val="28"/>
        </w:rPr>
        <w:t>负责采购项目的具体经办工作人员或直接分管采购活动的负责人等）及相关人员与供应商有下列利害关系之一的，应当回避：</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（一）参加采购活动前3年内与供应商存在劳动关系；</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（二）参加采购活动前3年内担任供应商的董事、监事；</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（三）参加采购活动前3年内是供应商的控股股东或者实际控制人；</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（四）与供应商的法定代表人或者负责人有夫妻、直系血亲、三代以内旁系血亲或者近姻亲关系；</w:t>
      </w:r>
    </w:p>
    <w:p>
      <w:pPr>
        <w:widowControl/>
        <w:spacing w:line="360" w:lineRule="auto"/>
        <w:ind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rPr>
        <w:t>（五）与供应商有其他可能影响政府采购活动公平、公正进行的关系。</w:t>
      </w:r>
    </w:p>
    <w:p>
      <w:pPr>
        <w:spacing w:line="360" w:lineRule="auto"/>
        <w:ind w:firstLine="560" w:firstLineChars="200"/>
        <w:rPr>
          <w:rFonts w:cs="Helvetica"/>
          <w:sz w:val="28"/>
          <w:szCs w:val="28"/>
        </w:rPr>
      </w:pPr>
      <w:r>
        <w:rPr>
          <w:rFonts w:hint="eastAsia"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numPr>
          <w:ilvl w:val="1"/>
          <w:numId w:val="6"/>
        </w:numPr>
        <w:tabs>
          <w:tab w:val="left" w:pos="426"/>
          <w:tab w:val="left" w:pos="567"/>
        </w:tabs>
        <w:spacing w:before="0" w:after="200"/>
        <w:ind w:left="1985" w:hanging="1985"/>
        <w:jc w:val="both"/>
      </w:pPr>
      <w:bookmarkStart w:id="45" w:name="_Toc405886181"/>
      <w:bookmarkStart w:id="46" w:name="_Toc21755"/>
      <w:r>
        <w:rPr>
          <w:rFonts w:hint="eastAsia"/>
        </w:rPr>
        <w:t>询问、质疑</w:t>
      </w:r>
      <w:bookmarkEnd w:id="45"/>
      <w:r>
        <w:rPr>
          <w:rFonts w:hint="eastAsia"/>
        </w:rPr>
        <w:t>和投诉</w:t>
      </w:r>
      <w:bookmarkEnd w:id="46"/>
    </w:p>
    <w:p>
      <w:pPr>
        <w:pStyle w:val="26"/>
        <w:numPr>
          <w:ilvl w:val="0"/>
          <w:numId w:val="32"/>
        </w:numPr>
        <w:tabs>
          <w:tab w:val="left" w:pos="1134"/>
        </w:tabs>
        <w:spacing w:after="200" w:line="360" w:lineRule="auto"/>
        <w:ind w:left="0" w:leftChars="0" w:firstLine="567"/>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26"/>
        <w:numPr>
          <w:ilvl w:val="0"/>
          <w:numId w:val="32"/>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询问、质疑、投诉的接收和处理严格按照《中华人民共和国政府采购法》、《中华人民共和国政府采购法实施条例》和《政府采购质疑和投诉办法》（财政部94号令）的规定办理。</w:t>
      </w:r>
    </w:p>
    <w:p>
      <w:pPr>
        <w:pStyle w:val="26"/>
        <w:numPr>
          <w:ilvl w:val="0"/>
          <w:numId w:val="32"/>
        </w:numPr>
        <w:tabs>
          <w:tab w:val="left" w:pos="1134"/>
        </w:tabs>
        <w:spacing w:after="200" w:line="360" w:lineRule="auto"/>
        <w:ind w:left="0" w:leftChars="0" w:firstLine="567"/>
        <w:rPr>
          <w:rFonts w:ascii="宋体" w:hAnsi="宋体"/>
          <w:sz w:val="28"/>
          <w:szCs w:val="28"/>
        </w:rPr>
      </w:pPr>
      <w:r>
        <w:rPr>
          <w:rFonts w:hint="eastAsia" w:ascii="宋体" w:hAnsi="宋体"/>
          <w:kern w:val="0"/>
          <w:sz w:val="28"/>
          <w:szCs w:val="28"/>
          <w:lang w:val="zh-CN"/>
        </w:rPr>
        <w:t>供应商询问、质疑的对象：</w:t>
      </w:r>
    </w:p>
    <w:p>
      <w:pPr>
        <w:pStyle w:val="26"/>
        <w:tabs>
          <w:tab w:val="left" w:pos="1134"/>
        </w:tabs>
        <w:spacing w:line="360" w:lineRule="auto"/>
        <w:ind w:firstLine="560" w:firstLineChars="200"/>
        <w:rPr>
          <w:rFonts w:ascii="宋体" w:hAnsi="宋体"/>
          <w:sz w:val="28"/>
          <w:szCs w:val="28"/>
        </w:rPr>
      </w:pPr>
      <w:r>
        <w:rPr>
          <w:rFonts w:hint="eastAsia" w:ascii="宋体" w:hAnsi="宋体"/>
          <w:sz w:val="28"/>
          <w:szCs w:val="28"/>
        </w:rPr>
        <w:t>（一）供应商对磋商文件中供应商参加本次政府采购活动应当具备的条件，采购项目技术、服务、商务及其他要求，评审细则及标准提出询问或质疑的，应向采购人提出；</w:t>
      </w:r>
    </w:p>
    <w:p>
      <w:pPr>
        <w:pStyle w:val="26"/>
        <w:tabs>
          <w:tab w:val="left" w:pos="1134"/>
        </w:tabs>
        <w:spacing w:line="360" w:lineRule="auto"/>
        <w:ind w:firstLine="560" w:firstLineChars="200"/>
        <w:rPr>
          <w:rFonts w:ascii="宋体" w:hAnsi="宋体"/>
          <w:sz w:val="28"/>
          <w:szCs w:val="28"/>
        </w:rPr>
      </w:pPr>
      <w:r>
        <w:rPr>
          <w:rFonts w:hint="eastAsia" w:ascii="宋体" w:hAnsi="宋体"/>
          <w:sz w:val="28"/>
          <w:szCs w:val="28"/>
        </w:rPr>
        <w:t>（二）供应商对除上述磋商文件中的其他内容，采购过程及成交结果提出询问或质疑的，应向</w:t>
      </w:r>
      <w:r>
        <w:rPr>
          <w:rFonts w:hint="eastAsia" w:ascii="宋体" w:hAnsi="宋体"/>
          <w:sz w:val="28"/>
          <w:szCs w:val="28"/>
          <w:lang w:eastAsia="zh-CN"/>
        </w:rPr>
        <w:t>区交易中心</w:t>
      </w:r>
      <w:r>
        <w:rPr>
          <w:rFonts w:hint="eastAsia" w:ascii="宋体" w:hAnsi="宋体"/>
          <w:sz w:val="28"/>
          <w:szCs w:val="28"/>
        </w:rPr>
        <w:t>提出。</w:t>
      </w:r>
    </w:p>
    <w:p>
      <w:pPr>
        <w:pStyle w:val="26"/>
        <w:numPr>
          <w:ilvl w:val="0"/>
          <w:numId w:val="32"/>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6"/>
        <w:numPr>
          <w:ilvl w:val="0"/>
          <w:numId w:val="32"/>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pStyle w:val="26"/>
        <w:numPr>
          <w:ilvl w:val="0"/>
          <w:numId w:val="32"/>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供应商提出质疑时应当准备的资料</w:t>
      </w:r>
    </w:p>
    <w:p>
      <w:pPr>
        <w:pStyle w:val="82"/>
        <w:numPr>
          <w:ilvl w:val="1"/>
          <w:numId w:val="33"/>
        </w:numPr>
        <w:tabs>
          <w:tab w:val="left" w:pos="1134"/>
        </w:tabs>
        <w:spacing w:before="156" w:after="200" w:line="600" w:lineRule="exact"/>
        <w:ind w:left="0" w:firstLine="567" w:firstLineChars="0"/>
        <w:rPr>
          <w:rFonts w:hint="eastAsia" w:ascii="宋体" w:hAnsi="宋体" w:eastAsia="宋体"/>
          <w:sz w:val="28"/>
          <w:szCs w:val="28"/>
        </w:rPr>
      </w:pPr>
      <w:r>
        <w:rPr>
          <w:rFonts w:hint="eastAsia" w:ascii="宋体" w:hAnsi="宋体" w:eastAsia="宋体"/>
          <w:sz w:val="28"/>
          <w:szCs w:val="28"/>
        </w:rPr>
        <w:t>质疑书1份（加盖公章）；</w:t>
      </w:r>
    </w:p>
    <w:p>
      <w:pPr>
        <w:pStyle w:val="82"/>
        <w:numPr>
          <w:ilvl w:val="1"/>
          <w:numId w:val="33"/>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2"/>
        <w:numPr>
          <w:ilvl w:val="1"/>
          <w:numId w:val="33"/>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营业执照或法人证书复印件1份；</w:t>
      </w:r>
    </w:p>
    <w:p>
      <w:pPr>
        <w:pStyle w:val="82"/>
        <w:numPr>
          <w:ilvl w:val="1"/>
          <w:numId w:val="33"/>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法定代表人身份证复印件1份；</w:t>
      </w:r>
    </w:p>
    <w:p>
      <w:pPr>
        <w:pStyle w:val="82"/>
        <w:numPr>
          <w:ilvl w:val="1"/>
          <w:numId w:val="33"/>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2"/>
        <w:numPr>
          <w:ilvl w:val="1"/>
          <w:numId w:val="33"/>
        </w:numPr>
        <w:tabs>
          <w:tab w:val="left" w:pos="1134"/>
        </w:tabs>
        <w:spacing w:before="156" w:after="200" w:line="600" w:lineRule="exact"/>
        <w:ind w:left="0" w:firstLine="567" w:firstLineChars="0"/>
        <w:rPr>
          <w:rFonts w:ascii="宋体" w:hAnsi="宋体" w:eastAsia="宋体"/>
          <w:sz w:val="28"/>
          <w:szCs w:val="28"/>
        </w:rPr>
      </w:pPr>
      <w:r>
        <w:rPr>
          <w:rFonts w:hint="eastAsia" w:ascii="宋体" w:hAnsi="宋体" w:eastAsia="宋体"/>
          <w:sz w:val="28"/>
          <w:szCs w:val="28"/>
        </w:rPr>
        <w:t>针对质疑事项必要的证明材料。</w:t>
      </w:r>
    </w:p>
    <w:p>
      <w:pPr>
        <w:pStyle w:val="26"/>
        <w:numPr>
          <w:ilvl w:val="0"/>
          <w:numId w:val="32"/>
        </w:numPr>
        <w:tabs>
          <w:tab w:val="left" w:pos="1134"/>
        </w:tabs>
        <w:spacing w:after="200" w:line="360" w:lineRule="auto"/>
        <w:ind w:left="0" w:leftChars="0" w:firstLine="567"/>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numPr>
          <w:ilvl w:val="1"/>
          <w:numId w:val="6"/>
        </w:numPr>
        <w:tabs>
          <w:tab w:val="left" w:pos="426"/>
          <w:tab w:val="left" w:pos="567"/>
        </w:tabs>
        <w:spacing w:before="0" w:after="200"/>
        <w:ind w:left="1985" w:hanging="1985"/>
        <w:jc w:val="both"/>
      </w:pPr>
      <w:bookmarkStart w:id="47" w:name="_Toc376425021"/>
      <w:bookmarkEnd w:id="47"/>
      <w:bookmarkStart w:id="48" w:name="_Toc23017"/>
      <w:bookmarkStart w:id="49" w:name="_Toc8063"/>
      <w:r>
        <w:rPr>
          <w:rFonts w:hint="eastAsia"/>
        </w:rPr>
        <w:t>中小企业信用担保融资</w:t>
      </w:r>
      <w:bookmarkEnd w:id="48"/>
      <w:bookmarkEnd w:id="49"/>
    </w:p>
    <w:p>
      <w:pPr>
        <w:widowControl/>
        <w:numPr>
          <w:ilvl w:val="2"/>
          <w:numId w:val="34"/>
        </w:numPr>
        <w:tabs>
          <w:tab w:val="left" w:pos="1134"/>
        </w:tabs>
        <w:spacing w:after="200" w:line="360" w:lineRule="auto"/>
        <w:ind w:left="0" w:firstLine="567"/>
        <w:rPr>
          <w:rFonts w:ascii="宋体" w:hAnsi="宋体"/>
          <w:sz w:val="28"/>
          <w:szCs w:val="28"/>
        </w:rPr>
      </w:pPr>
      <w:r>
        <w:rPr>
          <w:rFonts w:hint="eastAsia" w:ascii="宋体" w:hAnsi="宋体"/>
          <w:sz w:val="28"/>
          <w:szCs w:val="28"/>
        </w:rPr>
        <w:t>参与本次磋商活动成交的中小企业供应商无需提供财产抵押或第三方担保，凭借政府采购合同可向融资机构申请融资。</w:t>
      </w:r>
    </w:p>
    <w:p>
      <w:pPr>
        <w:widowControl/>
        <w:numPr>
          <w:ilvl w:val="2"/>
          <w:numId w:val="34"/>
        </w:numPr>
        <w:tabs>
          <w:tab w:val="left" w:pos="1134"/>
        </w:tabs>
        <w:spacing w:after="200" w:line="360" w:lineRule="auto"/>
        <w:ind w:left="0" w:firstLine="567"/>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新都区财政局关于公布新都区开展政府采购信用融资业务金融机构名单的通知》（新都财采〔2021〕160号）见附件。</w:t>
      </w:r>
    </w:p>
    <w:p>
      <w:pPr>
        <w:pStyle w:val="4"/>
        <w:numPr>
          <w:ilvl w:val="1"/>
          <w:numId w:val="6"/>
        </w:numPr>
        <w:tabs>
          <w:tab w:val="left" w:pos="426"/>
          <w:tab w:val="left" w:pos="567"/>
        </w:tabs>
        <w:spacing w:before="0" w:after="200"/>
        <w:ind w:left="1985" w:hanging="1985"/>
        <w:jc w:val="both"/>
      </w:pPr>
      <w:bookmarkStart w:id="50" w:name="_Toc23494"/>
      <w:r>
        <w:rPr>
          <w:rFonts w:hint="eastAsia"/>
        </w:rPr>
        <w:t>其他</w:t>
      </w:r>
      <w:bookmarkEnd w:id="50"/>
    </w:p>
    <w:p>
      <w:pPr>
        <w:tabs>
          <w:tab w:val="left" w:pos="1134"/>
        </w:tabs>
        <w:spacing w:line="360" w:lineRule="auto"/>
        <w:ind w:firstLine="565" w:firstLineChars="202"/>
        <w:rPr>
          <w:rFonts w:ascii="宋体" w:hAnsi="宋体"/>
          <w:sz w:val="28"/>
          <w:szCs w:val="28"/>
        </w:rPr>
      </w:pPr>
      <w:r>
        <w:rPr>
          <w:rFonts w:hint="eastAsia" w:ascii="宋体" w:hAnsi="宋体"/>
          <w:sz w:val="28"/>
          <w:szCs w:val="28"/>
        </w:rPr>
        <w:t>采购人可以要求参加政府采购的供应商提供有关资质证明文件和业绩情况，并根据《中华人民共和国政府采购法》规定的供应商条件和采购项目对供应商的特定要求，对供应商的资格进行审查。</w:t>
      </w:r>
    </w:p>
    <w:p>
      <w:pPr>
        <w:spacing w:line="360" w:lineRule="auto"/>
        <w:rPr>
          <w:rFonts w:ascii="宋体" w:hAnsi="宋体"/>
          <w:sz w:val="28"/>
          <w:szCs w:val="28"/>
        </w:rPr>
        <w:sectPr>
          <w:pgSz w:w="11906" w:h="16838"/>
          <w:pgMar w:top="1134" w:right="1274" w:bottom="1440" w:left="1418" w:header="851" w:footer="992" w:gutter="0"/>
          <w:cols w:space="720" w:num="1"/>
          <w:docGrid w:type="lines" w:linePitch="312" w:charSpace="0"/>
        </w:sectPr>
      </w:pPr>
    </w:p>
    <w:p>
      <w:pPr>
        <w:pStyle w:val="3"/>
        <w:widowControl/>
        <w:numPr>
          <w:ilvl w:val="0"/>
          <w:numId w:val="6"/>
        </w:numPr>
        <w:spacing w:before="0" w:after="0" w:line="360" w:lineRule="auto"/>
        <w:ind w:left="0" w:firstLine="0"/>
      </w:pPr>
      <w:bookmarkStart w:id="51" w:name="_Toc238581781"/>
      <w:bookmarkStart w:id="52" w:name="_Toc9063"/>
      <w:r>
        <w:rPr>
          <w:rFonts w:hint="eastAsia"/>
        </w:rPr>
        <w:t>响应</w:t>
      </w:r>
      <w:bookmarkEnd w:id="51"/>
      <w:r>
        <w:rPr>
          <w:rFonts w:hint="eastAsia"/>
        </w:rPr>
        <w:t>文件格式</w:t>
      </w:r>
      <w:bookmarkEnd w:id="52"/>
    </w:p>
    <w:p>
      <w:pPr>
        <w:pStyle w:val="4"/>
        <w:numPr>
          <w:ilvl w:val="1"/>
          <w:numId w:val="6"/>
        </w:numPr>
        <w:tabs>
          <w:tab w:val="left" w:pos="426"/>
          <w:tab w:val="left" w:pos="567"/>
        </w:tabs>
        <w:spacing w:before="0" w:after="200"/>
        <w:ind w:left="1985" w:hanging="1985"/>
        <w:jc w:val="both"/>
      </w:pPr>
      <w:bookmarkStart w:id="53" w:name="_Toc10066"/>
      <w:r>
        <w:rPr>
          <w:rFonts w:hint="eastAsia"/>
        </w:rPr>
        <w:t>响应文件封面</w:t>
      </w:r>
      <w:bookmarkEnd w:id="53"/>
    </w:p>
    <w:p/>
    <w:p/>
    <w:p>
      <w:pPr>
        <w:spacing w:line="360" w:lineRule="auto"/>
        <w:jc w:val="center"/>
        <w:rPr>
          <w:rFonts w:ascii="宋体" w:hAnsi="宋体"/>
          <w:spacing w:val="78"/>
          <w:sz w:val="96"/>
          <w:szCs w:val="120"/>
        </w:rPr>
      </w:pPr>
      <w:r>
        <w:rPr>
          <w:rFonts w:hint="eastAsia" w:ascii="宋体" w:hAnsi="宋体"/>
          <w:spacing w:val="78"/>
          <w:sz w:val="96"/>
          <w:szCs w:val="120"/>
        </w:rPr>
        <w:t>响应文件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成都市新都区石板滩街道木兰卫生院LED显示屏采购项目（第二次）</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新都政采（2021）A0036号-1</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
    <w:p/>
    <w:p/>
    <w:p/>
    <w:p/>
    <w:p/>
    <w:p/>
    <w:p>
      <w:pPr>
        <w:pStyle w:val="4"/>
        <w:numPr>
          <w:ilvl w:val="1"/>
          <w:numId w:val="6"/>
        </w:numPr>
        <w:tabs>
          <w:tab w:val="left" w:pos="426"/>
          <w:tab w:val="left" w:pos="567"/>
        </w:tabs>
        <w:spacing w:before="0" w:after="200"/>
        <w:ind w:left="1985" w:hanging="1985"/>
        <w:jc w:val="both"/>
      </w:pPr>
      <w:bookmarkStart w:id="54" w:name="_Toc23194"/>
      <w:r>
        <w:rPr>
          <w:rFonts w:hint="eastAsia"/>
        </w:rPr>
        <w:t>资格性响应文件</w:t>
      </w:r>
      <w:bookmarkEnd w:id="54"/>
    </w:p>
    <w:p>
      <w:pPr>
        <w:pStyle w:val="5"/>
        <w:numPr>
          <w:ilvl w:val="2"/>
          <w:numId w:val="6"/>
        </w:numPr>
        <w:tabs>
          <w:tab w:val="left" w:pos="709"/>
        </w:tabs>
        <w:spacing w:after="200"/>
        <w:ind w:left="709" w:hanging="709"/>
        <w:rPr>
          <w:color w:val="auto"/>
          <w:highlight w:val="none"/>
        </w:rPr>
      </w:pPr>
      <w:r>
        <w:rPr>
          <w:rFonts w:hint="eastAsia"/>
          <w:color w:val="auto"/>
          <w:highlight w:val="none"/>
        </w:rPr>
        <w:t>供应商资格申明函</w:t>
      </w:r>
    </w:p>
    <w:p>
      <w:pPr>
        <w:spacing w:line="360" w:lineRule="auto"/>
        <w:rPr>
          <w:rFonts w:hint="eastAsia" w:ascii="宋体" w:hAnsi="宋体" w:eastAsia="宋体"/>
          <w:sz w:val="28"/>
          <w:szCs w:val="28"/>
          <w:lang w:eastAsia="zh-CN"/>
        </w:rPr>
      </w:pPr>
      <w:r>
        <w:rPr>
          <w:rFonts w:hint="eastAsia" w:ascii="宋体" w:hAnsi="宋体"/>
          <w:sz w:val="28"/>
          <w:szCs w:val="28"/>
        </w:rPr>
        <w:t>致：</w:t>
      </w:r>
      <w:r>
        <w:rPr>
          <w:rFonts w:hint="eastAsia" w:ascii="宋体" w:hAnsi="宋体"/>
          <w:sz w:val="28"/>
          <w:szCs w:val="28"/>
          <w:lang w:eastAsia="zh-CN"/>
        </w:rPr>
        <w:t>成都市新都区公共资源交易服务中心</w:t>
      </w:r>
    </w:p>
    <w:p>
      <w:pPr>
        <w:spacing w:line="360" w:lineRule="auto"/>
        <w:ind w:firstLine="565" w:firstLineChars="202"/>
        <w:rPr>
          <w:rFonts w:ascii="宋体" w:hAnsi="宋体"/>
          <w:sz w:val="28"/>
          <w:szCs w:val="28"/>
        </w:rPr>
      </w:pPr>
      <w:bookmarkStart w:id="55" w:name="_Toc238581783"/>
      <w:r>
        <w:rPr>
          <w:rFonts w:hint="eastAsia" w:ascii="宋体" w:hAnsi="宋体"/>
          <w:sz w:val="28"/>
          <w:szCs w:val="28"/>
        </w:rPr>
        <w:t>关于我方对</w:t>
      </w:r>
      <w:r>
        <w:rPr>
          <w:rFonts w:hint="eastAsia" w:ascii="宋体" w:hAnsi="宋体"/>
          <w:b/>
          <w:sz w:val="28"/>
          <w:szCs w:val="28"/>
          <w:u w:val="single"/>
          <w:lang w:eastAsia="zh-CN"/>
        </w:rPr>
        <w:t>成都市新都区石板滩街道木兰卫生院LED显示屏采购项目（第二次）</w:t>
      </w:r>
      <w:r>
        <w:rPr>
          <w:rFonts w:hint="eastAsia" w:ascii="宋体" w:hAnsi="宋体"/>
          <w:b/>
          <w:sz w:val="28"/>
          <w:szCs w:val="28"/>
          <w:u w:val="single"/>
        </w:rPr>
        <w:t>（项目编号：</w:t>
      </w:r>
      <w:r>
        <w:rPr>
          <w:rFonts w:hint="eastAsia" w:ascii="宋体" w:hAnsi="宋体"/>
          <w:b/>
          <w:sz w:val="28"/>
          <w:szCs w:val="28"/>
          <w:u w:val="single"/>
          <w:lang w:eastAsia="zh-CN"/>
        </w:rPr>
        <w:t>新都政采（2021）A0036号-1</w:t>
      </w:r>
      <w:r>
        <w:rPr>
          <w:rFonts w:hint="eastAsia" w:ascii="宋体" w:hAnsi="宋体"/>
          <w:b/>
          <w:sz w:val="28"/>
          <w:szCs w:val="28"/>
          <w:u w:val="single"/>
        </w:rPr>
        <w:t>）</w:t>
      </w:r>
      <w:r>
        <w:rPr>
          <w:rFonts w:hint="eastAsia" w:ascii="宋体" w:hAnsi="宋体"/>
          <w:sz w:val="28"/>
          <w:szCs w:val="28"/>
        </w:rPr>
        <w:t>的竞争性磋商，提交的下列文件和说明是准确的和真实的。</w:t>
      </w:r>
      <w:bookmarkEnd w:id="55"/>
    </w:p>
    <w:p>
      <w:pPr>
        <w:widowControl/>
        <w:numPr>
          <w:ilvl w:val="2"/>
          <w:numId w:val="35"/>
        </w:numPr>
        <w:spacing w:line="360" w:lineRule="auto"/>
        <w:ind w:left="0" w:firstLine="560" w:firstLineChars="200"/>
        <w:rPr>
          <w:rFonts w:ascii="宋体" w:hAnsi="宋体"/>
          <w:sz w:val="28"/>
          <w:szCs w:val="28"/>
        </w:rPr>
      </w:pPr>
      <w:bookmarkStart w:id="56" w:name="_Toc238581784"/>
      <w:r>
        <w:rPr>
          <w:rFonts w:hint="eastAsia" w:ascii="宋体" w:hAnsi="宋体"/>
          <w:sz w:val="28"/>
          <w:szCs w:val="28"/>
        </w:rPr>
        <w:t>供应商名称及概况：</w:t>
      </w:r>
      <w:bookmarkEnd w:id="56"/>
    </w:p>
    <w:p>
      <w:pPr>
        <w:widowControl/>
        <w:numPr>
          <w:ilvl w:val="0"/>
          <w:numId w:val="36"/>
        </w:numPr>
        <w:spacing w:line="360" w:lineRule="auto"/>
        <w:ind w:left="0" w:firstLine="560" w:firstLineChars="200"/>
        <w:jc w:val="left"/>
        <w:rPr>
          <w:rFonts w:ascii="宋体" w:hAnsi="宋体"/>
          <w:sz w:val="28"/>
          <w:szCs w:val="28"/>
        </w:rPr>
      </w:pPr>
      <w:r>
        <w:rPr>
          <w:rFonts w:hint="eastAsia" w:ascii="宋体" w:hAnsi="宋体"/>
          <w:sz w:val="28"/>
          <w:szCs w:val="28"/>
        </w:rPr>
        <w:t>供应商名称：XXXX</w:t>
      </w:r>
    </w:p>
    <w:p>
      <w:pPr>
        <w:widowControl/>
        <w:numPr>
          <w:ilvl w:val="0"/>
          <w:numId w:val="36"/>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6"/>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6"/>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35"/>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ind w:firstLine="560" w:firstLineChars="200"/>
      </w:pPr>
      <w:r>
        <w:rPr>
          <w:rFonts w:hint="eastAsia" w:ascii="宋体" w:hAnsi="宋体"/>
          <w:bCs/>
          <w:sz w:val="28"/>
          <w:szCs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60" w:lineRule="auto"/>
        <w:rPr>
          <w:rFonts w:ascii="宋体" w:hAnsi="宋体"/>
          <w:bCs/>
          <w:sz w:val="28"/>
          <w:szCs w:val="28"/>
        </w:rPr>
        <w:sectPr>
          <w:pgSz w:w="11906" w:h="16838"/>
          <w:pgMar w:top="1134" w:right="1274" w:bottom="1440" w:left="1418" w:header="851" w:footer="992" w:gutter="0"/>
          <w:cols w:space="720" w:num="1"/>
          <w:docGrid w:type="lines" w:linePitch="312" w:charSpace="0"/>
        </w:sectPr>
      </w:pPr>
    </w:p>
    <w:p>
      <w:pPr>
        <w:pStyle w:val="5"/>
        <w:numPr>
          <w:ilvl w:val="2"/>
          <w:numId w:val="6"/>
        </w:numPr>
        <w:tabs>
          <w:tab w:val="left" w:pos="709"/>
        </w:tabs>
        <w:spacing w:after="200"/>
        <w:ind w:left="709" w:hanging="709"/>
        <w:rPr>
          <w:color w:val="auto"/>
        </w:rPr>
      </w:pPr>
      <w:bookmarkStart w:id="57" w:name="_Toc320698765"/>
      <w:r>
        <w:rPr>
          <w:rFonts w:hint="eastAsia"/>
          <w:color w:val="auto"/>
        </w:rPr>
        <w:t>声明</w:t>
      </w:r>
    </w:p>
    <w:p>
      <w:pPr>
        <w:snapToGrid w:val="0"/>
        <w:spacing w:line="360" w:lineRule="auto"/>
        <w:ind w:right="-624" w:rightChars="-297"/>
        <w:rPr>
          <w:rFonts w:hint="eastAsia" w:ascii="宋体" w:hAnsi="宋体" w:eastAsia="宋体"/>
          <w:b/>
          <w:sz w:val="28"/>
          <w:szCs w:val="28"/>
          <w:u w:val="single"/>
          <w:lang w:eastAsia="zh-CN"/>
        </w:rPr>
      </w:pPr>
      <w:r>
        <w:rPr>
          <w:rFonts w:hint="eastAsia" w:ascii="宋体" w:hAnsi="宋体"/>
          <w:b/>
          <w:sz w:val="28"/>
        </w:rPr>
        <w:t>项目名称：</w:t>
      </w:r>
      <w:r>
        <w:rPr>
          <w:rFonts w:hint="eastAsia" w:ascii="宋体" w:hAnsi="宋体"/>
          <w:b/>
          <w:sz w:val="28"/>
          <w:szCs w:val="28"/>
          <w:u w:val="single"/>
          <w:lang w:eastAsia="zh-CN"/>
        </w:rPr>
        <w:t>成都市新都区石板滩街道木兰卫生院LED显示屏采购项目（第二次）</w:t>
      </w:r>
    </w:p>
    <w:p>
      <w:pPr>
        <w:snapToGrid w:val="0"/>
        <w:spacing w:line="360" w:lineRule="auto"/>
        <w:ind w:right="-624" w:rightChars="-297"/>
        <w:rPr>
          <w:rFonts w:hint="eastAsia" w:ascii="宋体" w:hAnsi="宋体" w:eastAsia="宋体"/>
          <w:b/>
          <w:sz w:val="28"/>
          <w:szCs w:val="28"/>
          <w:u w:val="single"/>
          <w:lang w:eastAsia="zh-CN"/>
        </w:rPr>
      </w:pPr>
      <w:r>
        <w:rPr>
          <w:rFonts w:hint="eastAsia" w:ascii="宋体" w:hAnsi="宋体"/>
          <w:b/>
          <w:sz w:val="28"/>
        </w:rPr>
        <w:t>项目编号：</w:t>
      </w:r>
      <w:r>
        <w:rPr>
          <w:rFonts w:hint="eastAsia" w:ascii="宋体" w:hAnsi="宋体"/>
          <w:b/>
          <w:sz w:val="28"/>
          <w:szCs w:val="28"/>
          <w:u w:val="single"/>
          <w:lang w:eastAsia="zh-CN"/>
        </w:rPr>
        <w:t>新都政采（2021）A0036号-1</w:t>
      </w:r>
    </w:p>
    <w:p>
      <w:pPr>
        <w:spacing w:line="360" w:lineRule="auto"/>
        <w:rPr>
          <w:rFonts w:hint="eastAsia" w:ascii="宋体" w:hAnsi="宋体" w:eastAsia="宋体"/>
          <w:b/>
          <w:sz w:val="28"/>
          <w:szCs w:val="28"/>
          <w:lang w:eastAsia="zh-CN"/>
        </w:rPr>
      </w:pPr>
      <w:r>
        <w:rPr>
          <w:rFonts w:hint="eastAsia" w:ascii="宋体" w:hAnsi="宋体"/>
          <w:b/>
          <w:sz w:val="28"/>
          <w:szCs w:val="28"/>
        </w:rPr>
        <w:t>致：</w:t>
      </w:r>
      <w:r>
        <w:rPr>
          <w:rFonts w:hint="eastAsia" w:ascii="宋体" w:hAnsi="宋体"/>
          <w:b/>
          <w:sz w:val="28"/>
          <w:szCs w:val="28"/>
          <w:lang w:eastAsia="zh-CN"/>
        </w:rPr>
        <w:t>成都市新都区公共资源交易服务中心</w:t>
      </w:r>
    </w:p>
    <w:p>
      <w:pPr>
        <w:spacing w:line="600" w:lineRule="exact"/>
        <w:ind w:firstLine="560" w:firstLineChars="200"/>
      </w:pPr>
      <w:r>
        <w:rPr>
          <w:rFonts w:hint="eastAsia" w:ascii="宋体" w:hAnsi="宋体"/>
          <w:sz w:val="28"/>
        </w:rPr>
        <w:t>我单位作为</w:t>
      </w:r>
      <w:r>
        <w:rPr>
          <w:rFonts w:hint="eastAsia" w:ascii="宋体" w:hAnsi="宋体"/>
          <w:b/>
          <w:sz w:val="28"/>
          <w:szCs w:val="28"/>
          <w:u w:val="single"/>
          <w:lang w:eastAsia="zh-CN"/>
        </w:rPr>
        <w:t>成都市新都区石板滩街道木兰卫生院LED显示屏采购项目（第二次）</w:t>
      </w:r>
      <w:r>
        <w:rPr>
          <w:rFonts w:hint="eastAsia" w:ascii="宋体" w:hAnsi="宋体"/>
          <w:sz w:val="28"/>
        </w:rPr>
        <w:t>的竞争性磋商的供应商，在此郑重声明：</w:t>
      </w:r>
    </w:p>
    <w:p>
      <w:pPr>
        <w:spacing w:line="360" w:lineRule="auto"/>
        <w:ind w:firstLine="560" w:firstLineChars="200"/>
        <w:rPr>
          <w:rFonts w:ascii="宋体" w:hAnsi="宋体"/>
          <w:sz w:val="28"/>
          <w:szCs w:val="28"/>
        </w:rPr>
      </w:pPr>
      <w:r>
        <w:rPr>
          <w:rFonts w:hint="eastAsia" w:ascii="宋体" w:hAnsi="宋体"/>
          <w:sz w:val="28"/>
          <w:szCs w:val="28"/>
        </w:rPr>
        <w:t>一、我</w:t>
      </w:r>
      <w:r>
        <w:rPr>
          <w:rFonts w:hint="eastAsia" w:ascii="宋体" w:hAnsi="宋体"/>
          <w:sz w:val="28"/>
        </w:rPr>
        <w:t>单位</w:t>
      </w:r>
      <w:r>
        <w:rPr>
          <w:rFonts w:hint="eastAsia" w:ascii="宋体" w:hAnsi="宋体"/>
          <w:sz w:val="28"/>
          <w:szCs w:val="28"/>
        </w:rPr>
        <w:t>参加政府采购活动前三年内，在经营活动中</w:t>
      </w:r>
      <w:r>
        <w:rPr>
          <w:rFonts w:hint="eastAsia" w:ascii="宋体" w:hAnsi="宋体"/>
          <w:b/>
          <w:sz w:val="28"/>
          <w:szCs w:val="28"/>
          <w:u w:val="single"/>
        </w:rPr>
        <w:t>（说明：填写“无”或“有”</w:t>
      </w:r>
      <w:r>
        <w:rPr>
          <w:rFonts w:hint="eastAsia" w:ascii="宋体" w:hAnsi="宋体"/>
          <w:sz w:val="28"/>
          <w:szCs w:val="28"/>
          <w:u w:val="single"/>
        </w:rPr>
        <w:t>）</w:t>
      </w:r>
      <w:r>
        <w:rPr>
          <w:rFonts w:hint="eastAsia" w:ascii="宋体" w:hAnsi="宋体"/>
          <w:sz w:val="28"/>
          <w:szCs w:val="28"/>
        </w:rPr>
        <w:t>重大违法记录。</w:t>
      </w:r>
    </w:p>
    <w:p>
      <w:pPr>
        <w:spacing w:line="360" w:lineRule="auto"/>
        <w:ind w:firstLine="560" w:firstLineChars="200"/>
        <w:rPr>
          <w:rFonts w:ascii="宋体" w:hAnsi="宋体"/>
          <w:sz w:val="28"/>
          <w:szCs w:val="28"/>
        </w:rPr>
      </w:pPr>
      <w:r>
        <w:rPr>
          <w:rFonts w:hint="eastAsia" w:ascii="宋体" w:hAnsi="宋体"/>
          <w:sz w:val="28"/>
          <w:szCs w:val="28"/>
        </w:rPr>
        <w:t>二、我</w:t>
      </w:r>
      <w:r>
        <w:rPr>
          <w:rFonts w:hint="eastAsia" w:ascii="宋体" w:hAnsi="宋体"/>
          <w:sz w:val="28"/>
        </w:rPr>
        <w:t>单位</w:t>
      </w:r>
      <w:r>
        <w:rPr>
          <w:rFonts w:hint="eastAsia" w:ascii="宋体" w:hAnsi="宋体"/>
          <w:b/>
          <w:sz w:val="28"/>
          <w:szCs w:val="28"/>
          <w:u w:val="single"/>
        </w:rPr>
        <w:t>（说明：填写“具有”或“不具有”</w:t>
      </w:r>
      <w:r>
        <w:rPr>
          <w:rFonts w:hint="eastAsia" w:ascii="宋体" w:hAnsi="宋体"/>
          <w:sz w:val="28"/>
          <w:szCs w:val="28"/>
          <w:u w:val="single"/>
        </w:rPr>
        <w:t>）</w:t>
      </w:r>
      <w:r>
        <w:rPr>
          <w:rFonts w:hint="eastAsia" w:ascii="宋体" w:hAnsi="宋体"/>
          <w:sz w:val="28"/>
          <w:szCs w:val="28"/>
        </w:rPr>
        <w:t>良好的商业信誉。</w:t>
      </w:r>
    </w:p>
    <w:p>
      <w:pPr>
        <w:spacing w:line="360" w:lineRule="auto"/>
        <w:ind w:firstLine="560" w:firstLineChars="200"/>
        <w:rPr>
          <w:rFonts w:ascii="宋体" w:hAnsi="宋体"/>
          <w:b/>
          <w:sz w:val="28"/>
          <w:szCs w:val="28"/>
        </w:rPr>
      </w:pPr>
      <w:r>
        <w:rPr>
          <w:rFonts w:hint="eastAsia" w:ascii="宋体" w:hAnsi="宋体"/>
          <w:sz w:val="28"/>
          <w:szCs w:val="28"/>
        </w:rPr>
        <w:t>三、与我</w:t>
      </w:r>
      <w:r>
        <w:rPr>
          <w:rFonts w:hint="eastAsia" w:ascii="宋体" w:hAnsi="宋体"/>
          <w:sz w:val="28"/>
        </w:rPr>
        <w:t>单位</w:t>
      </w:r>
      <w:r>
        <w:rPr>
          <w:rFonts w:hint="eastAsia" w:ascii="宋体" w:hAnsi="宋体"/>
          <w:sz w:val="28"/>
          <w:szCs w:val="28"/>
        </w:rPr>
        <w:t>存在</w:t>
      </w:r>
      <w:r>
        <w:rPr>
          <w:rFonts w:hint="eastAsia" w:hAnsi="宋体"/>
          <w:sz w:val="28"/>
          <w:szCs w:val="28"/>
        </w:rPr>
        <w:t>单位</w:t>
      </w:r>
      <w:r>
        <w:rPr>
          <w:rFonts w:hint="eastAsia" w:ascii="宋体" w:hAnsi="宋体"/>
          <w:sz w:val="28"/>
        </w:rPr>
        <w:t>负责人</w:t>
      </w:r>
      <w:r>
        <w:rPr>
          <w:rFonts w:hint="eastAsia" w:hAnsi="宋体"/>
          <w:sz w:val="28"/>
          <w:szCs w:val="28"/>
        </w:rPr>
        <w:t>为同一人、</w:t>
      </w:r>
      <w:r>
        <w:rPr>
          <w:rFonts w:hint="eastAsia" w:ascii="宋体" w:hAnsi="宋体"/>
          <w:sz w:val="28"/>
          <w:szCs w:val="28"/>
        </w:rPr>
        <w:t>直接控股、管理关系的相关供应商：</w:t>
      </w:r>
      <w:r>
        <w:rPr>
          <w:rFonts w:hint="eastAsia" w:ascii="宋体" w:hAnsi="宋体"/>
          <w:b/>
          <w:sz w:val="28"/>
          <w:szCs w:val="28"/>
          <w:u w:val="single"/>
        </w:rPr>
        <w:t>（说明：填写“无”或“（一）供应商名称１；（二）供应商名称２ ；（三）……”）</w:t>
      </w:r>
      <w:r>
        <w:rPr>
          <w:rFonts w:hint="eastAsia" w:ascii="宋体" w:hAnsi="宋体"/>
          <w:b/>
          <w:sz w:val="28"/>
          <w:szCs w:val="28"/>
        </w:rPr>
        <w:t>。</w:t>
      </w:r>
    </w:p>
    <w:p>
      <w:pPr>
        <w:spacing w:line="360" w:lineRule="auto"/>
        <w:ind w:firstLine="560" w:firstLineChars="200"/>
        <w:rPr>
          <w:rFonts w:ascii="宋体" w:hAnsi="宋体"/>
          <w:sz w:val="28"/>
          <w:szCs w:val="28"/>
        </w:rPr>
      </w:pPr>
      <w:r>
        <w:rPr>
          <w:rFonts w:hint="eastAsia" w:ascii="宋体" w:hAnsi="宋体"/>
          <w:sz w:val="28"/>
          <w:szCs w:val="28"/>
        </w:rPr>
        <w:t>四、在行贿犯罪信息查询期限内，我单位及我单位现任</w:t>
      </w:r>
      <w:r>
        <w:rPr>
          <w:rFonts w:hint="eastAsia" w:ascii="宋体" w:hAnsi="宋体"/>
          <w:sz w:val="28"/>
        </w:rPr>
        <w:t>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失信被执行人、重大税收违法案件当事人名单。</w:t>
      </w:r>
    </w:p>
    <w:p>
      <w:pPr>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u w:val="single"/>
        </w:rPr>
        <w:t>）</w:t>
      </w:r>
      <w:r>
        <w:rPr>
          <w:rFonts w:hint="eastAsia" w:ascii="宋体" w:hAnsi="宋体"/>
          <w:sz w:val="28"/>
          <w:szCs w:val="28"/>
        </w:rPr>
        <w:t>政府采购严重违法失信行为记录名单。</w:t>
      </w:r>
    </w:p>
    <w:p>
      <w:pPr>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r>
        <w:rPr>
          <w:rFonts w:hint="eastAsia" w:ascii="宋体" w:hAnsi="宋体"/>
          <w:sz w:val="28"/>
          <w:szCs w:val="28"/>
        </w:rPr>
        <w:t>。</w:t>
      </w:r>
    </w:p>
    <w:p>
      <w:pPr>
        <w:spacing w:line="600" w:lineRule="exact"/>
        <w:ind w:firstLine="537" w:firstLineChars="192"/>
        <w:rPr>
          <w:rFonts w:ascii="宋体" w:hAnsi="宋体"/>
          <w:sz w:val="28"/>
          <w:szCs w:val="28"/>
        </w:rPr>
      </w:pPr>
      <w:r>
        <w:rPr>
          <w:rFonts w:hint="eastAsia" w:ascii="宋体" w:hAnsi="宋体"/>
          <w:sz w:val="28"/>
          <w:szCs w:val="28"/>
        </w:rPr>
        <w:t>特此声明。</w:t>
      </w:r>
    </w:p>
    <w:p>
      <w:pPr>
        <w:spacing w:line="560" w:lineRule="exact"/>
        <w:ind w:firstLine="537" w:firstLineChars="19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560" w:lineRule="exact"/>
        <w:ind w:firstLine="525"/>
        <w:rPr>
          <w:rFonts w:ascii="宋体" w:hAnsi="宋体"/>
          <w:bCs/>
          <w:sz w:val="28"/>
          <w:szCs w:val="28"/>
          <w:u w:val="single"/>
        </w:rPr>
      </w:pPr>
      <w:r>
        <w:rPr>
          <w:rFonts w:hint="eastAsia" w:ascii="宋体" w:hAnsi="宋体"/>
          <w:bCs/>
          <w:sz w:val="28"/>
          <w:szCs w:val="28"/>
        </w:rPr>
        <w:t>日      期：XX年XX月XX日</w:t>
      </w:r>
    </w:p>
    <w:p>
      <w:pPr>
        <w:spacing w:line="560" w:lineRule="exact"/>
        <w:ind w:firstLine="525"/>
        <w:rPr>
          <w:rFonts w:ascii="宋体" w:hAnsi="宋体"/>
          <w:sz w:val="28"/>
          <w:szCs w:val="28"/>
        </w:rPr>
      </w:pPr>
      <w:r>
        <w:rPr>
          <w:rFonts w:hint="eastAsia" w:ascii="宋体" w:hAnsi="宋体"/>
          <w:bCs/>
          <w:sz w:val="28"/>
          <w:szCs w:val="28"/>
        </w:rPr>
        <w:t>说明：</w:t>
      </w:r>
    </w:p>
    <w:p>
      <w:pPr>
        <w:spacing w:line="360" w:lineRule="auto"/>
        <w:ind w:left="283" w:leftChars="135" w:firstLine="470" w:firstLineChars="196"/>
        <w:rPr>
          <w:rFonts w:ascii="宋体" w:hAnsi="宋体"/>
          <w:sz w:val="24"/>
          <w:szCs w:val="24"/>
        </w:rPr>
      </w:pPr>
      <w:r>
        <w:rPr>
          <w:rFonts w:hint="eastAsia" w:ascii="宋体" w:hAnsi="宋体"/>
          <w:sz w:val="24"/>
          <w:szCs w:val="24"/>
        </w:rPr>
        <w:t>1、对声明中第一条的说明：如供应商在参加政府采购活动前三年内，在经营活动中有重大违法记录的，应填写“有”，供应商</w:t>
      </w:r>
      <w:r>
        <w:rPr>
          <w:rFonts w:hint="eastAsia"/>
          <w:sz w:val="24"/>
          <w:szCs w:val="24"/>
        </w:rPr>
        <w:t>将被认定为磋商无效或被取消成交资格；</w:t>
      </w:r>
    </w:p>
    <w:p>
      <w:pPr>
        <w:spacing w:line="360" w:lineRule="auto"/>
        <w:ind w:left="283" w:leftChars="135" w:firstLine="470" w:firstLineChars="196"/>
        <w:rPr>
          <w:rFonts w:hAnsi="宋体"/>
          <w:sz w:val="24"/>
          <w:szCs w:val="24"/>
        </w:rPr>
      </w:pPr>
      <w:r>
        <w:rPr>
          <w:rFonts w:hint="eastAsia" w:ascii="宋体" w:hAnsi="宋体"/>
          <w:sz w:val="24"/>
          <w:szCs w:val="24"/>
        </w:rPr>
        <w:t>2、对声明中第三条的说明：单位负责人为同一人或者存在直接控股、管理关系的不同供应商，不得参加同一合同项下的政府采购活动</w:t>
      </w:r>
      <w:r>
        <w:rPr>
          <w:rFonts w:hint="eastAsia" w:hAnsi="宋体"/>
          <w:sz w:val="24"/>
          <w:szCs w:val="24"/>
        </w:rPr>
        <w:t>；</w:t>
      </w:r>
    </w:p>
    <w:p>
      <w:pPr>
        <w:spacing w:line="360" w:lineRule="auto"/>
        <w:ind w:left="283" w:leftChars="135" w:firstLine="470" w:firstLineChars="196"/>
        <w:rPr>
          <w:sz w:val="24"/>
          <w:szCs w:val="24"/>
        </w:rPr>
      </w:pPr>
      <w:r>
        <w:rPr>
          <w:rFonts w:hint="eastAsia" w:ascii="宋体" w:hAnsi="宋体"/>
          <w:sz w:val="24"/>
          <w:szCs w:val="24"/>
        </w:rPr>
        <w:t>3、对声明中第四条的说明：在行贿犯罪信息查询期限内，供应商根据中国裁判文书网（https://wenshu.court.gov.cn）查询结果，如果供应商</w:t>
      </w:r>
      <w:r>
        <w:rPr>
          <w:rFonts w:hint="eastAsia"/>
          <w:sz w:val="24"/>
          <w:szCs w:val="24"/>
        </w:rPr>
        <w:t>及其现任法定代表人、主要负责人有行贿犯罪记录的，</w:t>
      </w:r>
      <w:r>
        <w:rPr>
          <w:rFonts w:hint="eastAsia" w:ascii="宋体" w:hAnsi="宋体"/>
          <w:sz w:val="24"/>
          <w:szCs w:val="24"/>
        </w:rPr>
        <w:t>供应商</w:t>
      </w:r>
      <w:r>
        <w:rPr>
          <w:rFonts w:hint="eastAsia"/>
          <w:sz w:val="24"/>
          <w:szCs w:val="24"/>
        </w:rPr>
        <w:t>应填写“有”，</w:t>
      </w:r>
      <w:r>
        <w:rPr>
          <w:rFonts w:hint="eastAsia" w:ascii="宋体" w:hAnsi="宋体"/>
          <w:sz w:val="24"/>
          <w:szCs w:val="24"/>
        </w:rPr>
        <w:t>供应商</w:t>
      </w:r>
      <w:r>
        <w:rPr>
          <w:rFonts w:hint="eastAsia"/>
          <w:sz w:val="24"/>
          <w:szCs w:val="24"/>
        </w:rPr>
        <w:t>将被认定为磋商无效或被取消成交资格。</w:t>
      </w:r>
    </w:p>
    <w:p>
      <w:pPr>
        <w:spacing w:line="360" w:lineRule="auto"/>
        <w:ind w:left="283" w:leftChars="135" w:firstLine="470" w:firstLineChars="196"/>
        <w:rPr>
          <w:rFonts w:ascii="宋体" w:hAnsi="宋体"/>
          <w:sz w:val="24"/>
          <w:szCs w:val="24"/>
        </w:rPr>
      </w:pPr>
      <w:r>
        <w:rPr>
          <w:rFonts w:hint="eastAsia" w:ascii="宋体" w:hAnsi="宋体"/>
          <w:sz w:val="24"/>
          <w:szCs w:val="24"/>
        </w:rPr>
        <w:t>4、对声明中第五条的说明：供应商</w:t>
      </w:r>
      <w:r>
        <w:rPr>
          <w:rFonts w:ascii="宋体" w:hAnsi="宋体"/>
          <w:sz w:val="24"/>
          <w:szCs w:val="24"/>
        </w:rPr>
        <w:t>如被列入失信被执行人、重大税收违法案件当事人名单，应填写“被列入”，</w:t>
      </w:r>
      <w:r>
        <w:rPr>
          <w:rFonts w:hint="eastAsia" w:ascii="宋体" w:hAnsi="宋体"/>
          <w:sz w:val="24"/>
          <w:szCs w:val="24"/>
        </w:rPr>
        <w:t xml:space="preserve"> 供应商</w:t>
      </w:r>
      <w:r>
        <w:rPr>
          <w:rFonts w:ascii="宋体" w:hAnsi="宋体"/>
          <w:sz w:val="24"/>
          <w:szCs w:val="24"/>
        </w:rPr>
        <w:t>将被认定</w:t>
      </w:r>
      <w:r>
        <w:rPr>
          <w:rFonts w:hint="eastAsia" w:ascii="宋体" w:hAnsi="宋体"/>
          <w:sz w:val="24"/>
          <w:szCs w:val="24"/>
        </w:rPr>
        <w:t>磋商</w:t>
      </w:r>
      <w:r>
        <w:rPr>
          <w:rFonts w:ascii="宋体" w:hAnsi="宋体"/>
          <w:sz w:val="24"/>
          <w:szCs w:val="24"/>
        </w:rPr>
        <w:t>无效或被取消</w:t>
      </w:r>
      <w:r>
        <w:rPr>
          <w:rFonts w:hint="eastAsia" w:ascii="宋体" w:hAnsi="宋体"/>
          <w:sz w:val="24"/>
          <w:szCs w:val="24"/>
        </w:rPr>
        <w:t>成交</w:t>
      </w:r>
      <w:r>
        <w:rPr>
          <w:rFonts w:ascii="宋体" w:hAnsi="宋体"/>
          <w:sz w:val="24"/>
          <w:szCs w:val="24"/>
        </w:rPr>
        <w:t>资格；</w:t>
      </w:r>
      <w:r>
        <w:rPr>
          <w:rFonts w:hint="eastAsia" w:ascii="宋体" w:hAnsi="宋体"/>
          <w:sz w:val="24"/>
          <w:szCs w:val="24"/>
        </w:rPr>
        <w:t>供应商</w:t>
      </w:r>
      <w:r>
        <w:rPr>
          <w:rFonts w:ascii="宋体" w:hAnsi="宋体"/>
          <w:sz w:val="24"/>
          <w:szCs w:val="24"/>
        </w:rPr>
        <w:t>如被列入政府采购严重违法失信行为记录名单，应填写“被列入”，</w:t>
      </w:r>
      <w:r>
        <w:rPr>
          <w:rFonts w:hint="eastAsia" w:ascii="宋体" w:hAnsi="宋体"/>
          <w:sz w:val="24"/>
          <w:szCs w:val="24"/>
        </w:rPr>
        <w:t xml:space="preserve"> 供应商</w:t>
      </w:r>
      <w:r>
        <w:rPr>
          <w:rFonts w:ascii="宋体" w:hAnsi="宋体"/>
          <w:sz w:val="24"/>
          <w:szCs w:val="24"/>
        </w:rPr>
        <w:t>将被认定</w:t>
      </w:r>
      <w:r>
        <w:rPr>
          <w:rFonts w:hint="eastAsia" w:ascii="宋体" w:hAnsi="宋体"/>
          <w:sz w:val="24"/>
          <w:szCs w:val="24"/>
        </w:rPr>
        <w:t>磋商</w:t>
      </w:r>
      <w:r>
        <w:rPr>
          <w:rFonts w:ascii="宋体" w:hAnsi="宋体"/>
          <w:sz w:val="24"/>
          <w:szCs w:val="24"/>
        </w:rPr>
        <w:t>无效或被取消</w:t>
      </w:r>
      <w:r>
        <w:rPr>
          <w:rFonts w:hint="eastAsia" w:ascii="宋体" w:hAnsi="宋体"/>
          <w:sz w:val="24"/>
          <w:szCs w:val="24"/>
        </w:rPr>
        <w:t>成交</w:t>
      </w:r>
      <w:r>
        <w:rPr>
          <w:rFonts w:ascii="宋体" w:hAnsi="宋体"/>
          <w:sz w:val="24"/>
          <w:szCs w:val="24"/>
        </w:rPr>
        <w:t>资格</w:t>
      </w:r>
      <w:r>
        <w:rPr>
          <w:rFonts w:hint="eastAsia" w:ascii="宋体" w:hAnsi="宋体"/>
          <w:sz w:val="24"/>
          <w:szCs w:val="24"/>
        </w:rPr>
        <w:t>。</w:t>
      </w:r>
    </w:p>
    <w:p>
      <w:pPr>
        <w:spacing w:line="360" w:lineRule="auto"/>
        <w:ind w:left="283" w:leftChars="135" w:firstLine="470" w:firstLineChars="196"/>
        <w:rPr>
          <w:rFonts w:ascii="宋体" w:hAnsi="宋体"/>
          <w:sz w:val="24"/>
          <w:szCs w:val="24"/>
        </w:rPr>
      </w:pPr>
      <w:r>
        <w:rPr>
          <w:rFonts w:hint="eastAsia" w:ascii="宋体" w:hAnsi="宋体"/>
          <w:sz w:val="24"/>
          <w:szCs w:val="24"/>
        </w:rPr>
        <w:t>5、对声明中第六条的说明：如供应商处于被行政部门禁止参加政府采购活动期限内的，该声明填“处于”，供应商将被认定磋商无效或被取消成交资格。</w:t>
      </w: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ind w:left="283" w:leftChars="135" w:firstLine="411" w:firstLineChars="196"/>
        <w:rPr>
          <w:rFonts w:ascii="宋体" w:hAnsi="宋体"/>
        </w:rPr>
      </w:pPr>
    </w:p>
    <w:p>
      <w:pPr>
        <w:spacing w:line="360" w:lineRule="auto"/>
      </w:pPr>
    </w:p>
    <w:p>
      <w:pPr>
        <w:spacing w:line="360" w:lineRule="auto"/>
        <w:ind w:left="283" w:leftChars="135" w:firstLine="411" w:firstLineChars="196"/>
      </w:pPr>
    </w:p>
    <w:p>
      <w:pPr>
        <w:pStyle w:val="5"/>
        <w:tabs>
          <w:tab w:val="left" w:pos="709"/>
        </w:tabs>
        <w:spacing w:beforeLines="0" w:after="200" w:afterLines="0"/>
        <w:ind w:left="1135" w:hanging="1135"/>
        <w:rPr>
          <w:rFonts w:hint="default"/>
          <w:color w:val="auto"/>
          <w:sz w:val="28"/>
        </w:rPr>
      </w:pPr>
      <w:r>
        <w:rPr>
          <w:rFonts w:hint="default"/>
          <w:color w:val="auto"/>
          <w:sz w:val="28"/>
        </w:rPr>
        <w:t>中小企业声明函</w:t>
      </w:r>
    </w:p>
    <w:p>
      <w:pPr>
        <w:spacing w:beforeLines="0" w:afterLines="0" w:line="588" w:lineRule="exact"/>
        <w:ind w:firstLine="563"/>
        <w:jc w:val="center"/>
        <w:rPr>
          <w:rFonts w:hint="default" w:ascii="宋体" w:hAnsi="宋体"/>
          <w:b/>
          <w:bCs/>
          <w:sz w:val="32"/>
          <w:szCs w:val="24"/>
        </w:rPr>
      </w:pPr>
      <w:r>
        <w:rPr>
          <w:rFonts w:hint="default" w:ascii="宋体" w:hAnsi="宋体"/>
          <w:b/>
          <w:bCs/>
          <w:sz w:val="32"/>
          <w:szCs w:val="24"/>
        </w:rPr>
        <w:t>中小企业声明函</w:t>
      </w:r>
    </w:p>
    <w:p>
      <w:pPr>
        <w:spacing w:beforeLines="0" w:afterLines="0" w:line="588" w:lineRule="exact"/>
        <w:ind w:firstLine="563"/>
        <w:rPr>
          <w:rFonts w:hint="default" w:ascii="宋体" w:hAnsi="宋体"/>
          <w:sz w:val="28"/>
        </w:rPr>
      </w:pPr>
      <w:r>
        <w:rPr>
          <w:rFonts w:hint="default" w:ascii="宋体" w:hAnsi="宋体"/>
          <w:sz w:val="28"/>
        </w:rPr>
        <w:t>本公司郑重声明，根据《政府采购促进中小企业发展管理办法》（财库﹝2020﹞46 号）的规定，本公司参加</w:t>
      </w:r>
      <w:r>
        <w:rPr>
          <w:rFonts w:hint="eastAsia" w:ascii="宋体" w:hAnsi="宋体"/>
          <w:b/>
          <w:sz w:val="28"/>
          <w:u w:val="single"/>
          <w:lang w:eastAsia="zh-CN"/>
        </w:rPr>
        <w:t>成都市新都区石板滩街道木兰卫生院</w:t>
      </w:r>
      <w:r>
        <w:rPr>
          <w:rFonts w:hint="default" w:ascii="宋体" w:hAnsi="宋体"/>
          <w:sz w:val="28"/>
        </w:rPr>
        <w:t>（单位名称）的</w:t>
      </w:r>
      <w:r>
        <w:rPr>
          <w:rFonts w:hint="eastAsia" w:ascii="宋体" w:hAnsi="宋体"/>
          <w:b/>
          <w:sz w:val="28"/>
          <w:u w:val="single"/>
          <w:lang w:eastAsia="zh-CN"/>
        </w:rPr>
        <w:t>成都市新都区石板滩街道木兰卫生院LED显示屏采购项目（第二次）</w:t>
      </w:r>
      <w:r>
        <w:rPr>
          <w:rFonts w:hint="default" w:ascii="宋体" w:hAnsi="宋体"/>
          <w:sz w:val="28"/>
        </w:rPr>
        <w:t>（项目名称）采购活动，提供的货物全部由符合政策要求的中小企业制造。相关企业的具体情况如下：</w:t>
      </w:r>
    </w:p>
    <w:p>
      <w:pPr>
        <w:spacing w:beforeLines="0" w:afterLines="0" w:line="588" w:lineRule="exact"/>
        <w:ind w:firstLine="563"/>
        <w:rPr>
          <w:rFonts w:hint="default" w:ascii="宋体" w:hAnsi="宋体"/>
          <w:sz w:val="28"/>
        </w:rPr>
      </w:pPr>
      <w:r>
        <w:rPr>
          <w:rFonts w:hint="default" w:ascii="宋体" w:hAnsi="宋体"/>
          <w:sz w:val="28"/>
        </w:rPr>
        <w:t xml:space="preserve"> 1. </w:t>
      </w:r>
      <w:r>
        <w:rPr>
          <w:rFonts w:hint="default" w:ascii="宋体" w:hAnsi="宋体"/>
          <w:sz w:val="28"/>
          <w:u w:val="single"/>
        </w:rPr>
        <w:t>___XXXX____</w:t>
      </w:r>
      <w:r>
        <w:rPr>
          <w:rFonts w:hint="default" w:ascii="宋体" w:hAnsi="宋体"/>
          <w:sz w:val="28"/>
        </w:rPr>
        <w:t>（标的名称），属于</w:t>
      </w:r>
      <w:r>
        <w:rPr>
          <w:rFonts w:hint="default" w:ascii="宋体" w:hAnsi="宋体"/>
          <w:sz w:val="28"/>
          <w:u w:val="single"/>
        </w:rPr>
        <w:t>___XXXX____</w:t>
      </w:r>
      <w:r>
        <w:rPr>
          <w:rFonts w:hint="default" w:ascii="宋体" w:hAnsi="宋体"/>
          <w:sz w:val="28"/>
        </w:rPr>
        <w:t>（采购文件中明确的所属行业）行业；制造商为</w:t>
      </w:r>
      <w:r>
        <w:rPr>
          <w:rFonts w:hint="default" w:ascii="宋体" w:hAnsi="宋体"/>
          <w:sz w:val="28"/>
          <w:u w:val="single"/>
        </w:rPr>
        <w:t>___XXXX__</w:t>
      </w:r>
      <w:r>
        <w:rPr>
          <w:rFonts w:hint="default" w:ascii="宋体" w:hAnsi="宋体"/>
          <w:sz w:val="28"/>
        </w:rPr>
        <w:t>（企业名称），从业人员</w:t>
      </w:r>
      <w:r>
        <w:rPr>
          <w:rFonts w:hint="default" w:ascii="宋体" w:hAnsi="宋体"/>
          <w:sz w:val="28"/>
          <w:u w:val="single"/>
        </w:rPr>
        <w:t>___XXXX___</w:t>
      </w:r>
      <w:r>
        <w:rPr>
          <w:rFonts w:hint="default" w:ascii="宋体" w:hAnsi="宋体"/>
          <w:sz w:val="28"/>
        </w:rPr>
        <w:t>人，营业收入为</w:t>
      </w:r>
      <w:r>
        <w:rPr>
          <w:rFonts w:hint="default" w:ascii="宋体" w:hAnsi="宋体"/>
          <w:sz w:val="28"/>
          <w:u w:val="single"/>
        </w:rPr>
        <w:t>__XXXX__</w:t>
      </w:r>
      <w:r>
        <w:rPr>
          <w:rFonts w:hint="default" w:ascii="宋体" w:hAnsi="宋体"/>
          <w:sz w:val="28"/>
        </w:rPr>
        <w:t>万元，资产总额为</w:t>
      </w:r>
      <w:r>
        <w:rPr>
          <w:rFonts w:hint="default" w:ascii="宋体" w:hAnsi="宋体"/>
          <w:sz w:val="28"/>
          <w:u w:val="single"/>
        </w:rPr>
        <w:t>___XXXX___</w:t>
      </w:r>
      <w:r>
        <w:rPr>
          <w:rFonts w:hint="default" w:ascii="宋体" w:hAnsi="宋体"/>
          <w:sz w:val="28"/>
        </w:rPr>
        <w:t>万元</w:t>
      </w:r>
      <w:r>
        <w:rPr>
          <w:rFonts w:hint="default" w:ascii="宋体" w:hAnsi="宋体"/>
          <w:sz w:val="28"/>
          <w:vertAlign w:val="superscript"/>
        </w:rPr>
        <w:t>1</w:t>
      </w:r>
      <w:r>
        <w:rPr>
          <w:rFonts w:hint="default" w:ascii="宋体" w:hAnsi="宋体"/>
          <w:sz w:val="28"/>
        </w:rPr>
        <w:t>，属于</w:t>
      </w:r>
      <w:r>
        <w:rPr>
          <w:rFonts w:hint="default" w:ascii="宋体" w:hAnsi="宋体"/>
          <w:sz w:val="28"/>
          <w:u w:val="single"/>
        </w:rPr>
        <w:t>___XXXX__</w:t>
      </w:r>
      <w:r>
        <w:rPr>
          <w:rFonts w:hint="default" w:ascii="宋体" w:hAnsi="宋体"/>
          <w:sz w:val="28"/>
        </w:rPr>
        <w:t>（中型企业、小型企业、微型企业）；</w:t>
      </w:r>
    </w:p>
    <w:p>
      <w:pPr>
        <w:spacing w:beforeLines="0" w:afterLines="0" w:line="588" w:lineRule="exact"/>
        <w:ind w:firstLine="563"/>
        <w:rPr>
          <w:rFonts w:hint="default" w:ascii="宋体" w:hAnsi="宋体"/>
          <w:sz w:val="28"/>
        </w:rPr>
      </w:pPr>
      <w:r>
        <w:rPr>
          <w:rFonts w:hint="default" w:ascii="宋体" w:hAnsi="宋体"/>
          <w:sz w:val="28"/>
        </w:rPr>
        <w:t>2.</w:t>
      </w:r>
      <w:r>
        <w:rPr>
          <w:rFonts w:hint="default" w:ascii="宋体" w:hAnsi="宋体"/>
          <w:sz w:val="28"/>
          <w:u w:val="single"/>
        </w:rPr>
        <w:t xml:space="preserve"> ___XXXX____</w:t>
      </w:r>
      <w:r>
        <w:rPr>
          <w:rFonts w:hint="default" w:ascii="宋体" w:hAnsi="宋体"/>
          <w:sz w:val="28"/>
        </w:rPr>
        <w:t>（标的名称），属于</w:t>
      </w:r>
      <w:r>
        <w:rPr>
          <w:rFonts w:hint="default" w:ascii="宋体" w:hAnsi="宋体"/>
          <w:sz w:val="28"/>
          <w:u w:val="single"/>
        </w:rPr>
        <w:t>___XXXX____</w:t>
      </w:r>
      <w:r>
        <w:rPr>
          <w:rFonts w:hint="default" w:ascii="宋体" w:hAnsi="宋体"/>
          <w:sz w:val="28"/>
        </w:rPr>
        <w:t>（采购文件中明确的所属行业） 行业；制造商为</w:t>
      </w:r>
      <w:r>
        <w:rPr>
          <w:rFonts w:hint="default" w:ascii="宋体" w:hAnsi="宋体"/>
          <w:sz w:val="28"/>
          <w:u w:val="single"/>
        </w:rPr>
        <w:t>___XXXX__</w:t>
      </w:r>
      <w:r>
        <w:rPr>
          <w:rFonts w:hint="default" w:ascii="宋体" w:hAnsi="宋体"/>
          <w:sz w:val="28"/>
        </w:rPr>
        <w:t>（企业名称），从业人员</w:t>
      </w:r>
      <w:r>
        <w:rPr>
          <w:rFonts w:hint="default" w:ascii="宋体" w:hAnsi="宋体"/>
          <w:sz w:val="28"/>
          <w:u w:val="single"/>
        </w:rPr>
        <w:t>___XXXX__</w:t>
      </w:r>
      <w:r>
        <w:rPr>
          <w:rFonts w:hint="default" w:ascii="宋体" w:hAnsi="宋体"/>
          <w:sz w:val="28"/>
        </w:rPr>
        <w:t>人，营业收入为</w:t>
      </w:r>
      <w:r>
        <w:rPr>
          <w:rFonts w:hint="default" w:ascii="宋体" w:hAnsi="宋体"/>
          <w:sz w:val="28"/>
          <w:u w:val="single"/>
        </w:rPr>
        <w:t>___XXXX__</w:t>
      </w:r>
      <w:r>
        <w:rPr>
          <w:rFonts w:hint="default" w:ascii="宋体" w:hAnsi="宋体"/>
          <w:sz w:val="28"/>
        </w:rPr>
        <w:t>万元，资产总额为</w:t>
      </w:r>
      <w:r>
        <w:rPr>
          <w:rFonts w:hint="default" w:ascii="宋体" w:hAnsi="宋体"/>
          <w:sz w:val="28"/>
          <w:u w:val="single"/>
        </w:rPr>
        <w:t>___XXXX____</w:t>
      </w:r>
      <w:r>
        <w:rPr>
          <w:rFonts w:hint="default" w:ascii="宋体" w:hAnsi="宋体"/>
          <w:sz w:val="28"/>
        </w:rPr>
        <w:t>万元，属于</w:t>
      </w:r>
      <w:r>
        <w:rPr>
          <w:rFonts w:hint="default" w:ascii="宋体" w:hAnsi="宋体"/>
          <w:sz w:val="28"/>
          <w:u w:val="single"/>
        </w:rPr>
        <w:t>___XXXX__</w:t>
      </w:r>
      <w:r>
        <w:rPr>
          <w:rFonts w:hint="default" w:ascii="宋体" w:hAnsi="宋体"/>
          <w:sz w:val="28"/>
        </w:rPr>
        <w:t>（中型企业、小型企业、微型企业）；</w:t>
      </w:r>
    </w:p>
    <w:p>
      <w:pPr>
        <w:spacing w:beforeLines="0" w:afterLines="0" w:line="588" w:lineRule="exact"/>
        <w:ind w:firstLine="563"/>
        <w:rPr>
          <w:rFonts w:hint="default" w:ascii="宋体" w:hAnsi="宋体"/>
          <w:sz w:val="28"/>
        </w:rPr>
      </w:pPr>
      <w:r>
        <w:rPr>
          <w:rFonts w:hint="default" w:ascii="宋体" w:hAnsi="宋体"/>
          <w:sz w:val="28"/>
        </w:rPr>
        <w:t xml:space="preserve"> …… </w:t>
      </w:r>
    </w:p>
    <w:p>
      <w:pPr>
        <w:spacing w:beforeLines="0" w:afterLines="0" w:line="588" w:lineRule="exact"/>
        <w:ind w:firstLine="563"/>
        <w:rPr>
          <w:rFonts w:hint="default" w:ascii="宋体" w:hAnsi="宋体"/>
          <w:sz w:val="28"/>
        </w:rPr>
      </w:pPr>
      <w:r>
        <w:rPr>
          <w:rFonts w:hint="default" w:ascii="宋体" w:hAnsi="宋体"/>
          <w:sz w:val="28"/>
        </w:rPr>
        <w:t>以上企业，不属于大企业的分支机构，不存在控股股东 为大企业的情形，也不存在与大企业的负责人为同一人的情形。</w:t>
      </w:r>
    </w:p>
    <w:p>
      <w:pPr>
        <w:spacing w:beforeLines="0" w:afterLines="0" w:line="588" w:lineRule="exact"/>
        <w:ind w:firstLine="563"/>
        <w:rPr>
          <w:rFonts w:hint="default" w:ascii="宋体" w:hAnsi="宋体"/>
          <w:sz w:val="28"/>
        </w:rPr>
      </w:pPr>
      <w:r>
        <w:rPr>
          <w:rFonts w:hint="default" w:ascii="宋体" w:hAnsi="宋体"/>
          <w:sz w:val="28"/>
        </w:rPr>
        <w:t>本企业对上述声明内容的真实性负责。如有虚假，将依法承担相应责任。</w:t>
      </w:r>
    </w:p>
    <w:p>
      <w:pPr>
        <w:spacing w:beforeLines="0" w:afterLines="0" w:line="588" w:lineRule="exact"/>
        <w:ind w:right="280" w:firstLine="563"/>
        <w:jc w:val="right"/>
        <w:rPr>
          <w:rFonts w:hint="default" w:ascii="宋体" w:hAnsi="宋体"/>
          <w:sz w:val="28"/>
        </w:rPr>
      </w:pPr>
      <w:r>
        <w:rPr>
          <w:rFonts w:hint="default" w:ascii="宋体" w:hAnsi="宋体"/>
          <w:sz w:val="28"/>
        </w:rPr>
        <w:t>企业名称：</w:t>
      </w:r>
      <w:r>
        <w:rPr>
          <w:rFonts w:hint="default" w:ascii="宋体" w:hAnsi="宋体"/>
          <w:sz w:val="28"/>
          <w:u w:val="single"/>
        </w:rPr>
        <w:t>___XXXX____</w:t>
      </w:r>
    </w:p>
    <w:p>
      <w:pPr>
        <w:spacing w:beforeLines="0" w:afterLines="0" w:line="588" w:lineRule="exact"/>
        <w:ind w:firstLine="563"/>
        <w:rPr>
          <w:rFonts w:hint="default" w:ascii="宋体" w:hAnsi="宋体"/>
          <w:sz w:val="28"/>
        </w:rPr>
      </w:pPr>
      <w:r>
        <w:rPr>
          <w:rFonts w:hint="default" w:ascii="宋体" w:hAnsi="宋体"/>
          <w:sz w:val="28"/>
        </w:rPr>
        <w:t xml:space="preserve">                                日 期：202X年XX月XX日</w:t>
      </w:r>
    </w:p>
    <w:p>
      <w:pPr>
        <w:tabs>
          <w:tab w:val="left" w:pos="3969"/>
        </w:tabs>
        <w:spacing w:beforeLines="0" w:afterLines="0" w:line="500" w:lineRule="exact"/>
        <w:ind w:right="-58" w:firstLine="560" w:firstLineChars="200"/>
        <w:jc w:val="left"/>
        <w:rPr>
          <w:rFonts w:hint="default"/>
          <w:sz w:val="28"/>
        </w:rPr>
      </w:pPr>
    </w:p>
    <w:p>
      <w:pPr>
        <w:pStyle w:val="200"/>
        <w:spacing w:beforeLines="0" w:afterLines="0"/>
        <w:ind w:firstLine="565" w:firstLineChars="201"/>
        <w:rPr>
          <w:rFonts w:hint="default" w:ascii="宋体"/>
          <w:b/>
          <w:sz w:val="28"/>
        </w:rPr>
      </w:pPr>
      <w:r>
        <w:rPr>
          <w:rFonts w:hint="default" w:ascii="宋体"/>
          <w:b/>
          <w:sz w:val="28"/>
        </w:rPr>
        <w:t>说明：1.提供了《残疾人福利性单位声明函》或监狱企业证明文件复印件的不需提供；</w:t>
      </w:r>
    </w:p>
    <w:p>
      <w:pPr>
        <w:pStyle w:val="200"/>
        <w:spacing w:beforeLines="0" w:afterLines="0"/>
        <w:ind w:firstLine="565" w:firstLineChars="201"/>
        <w:rPr>
          <w:rFonts w:hint="default"/>
          <w:b/>
          <w:sz w:val="28"/>
        </w:rPr>
      </w:pPr>
      <w:r>
        <w:rPr>
          <w:rFonts w:hint="default" w:ascii="宋体"/>
          <w:b/>
          <w:sz w:val="28"/>
        </w:rPr>
        <w:t>2.从业人员、营业收入、资产总额填报上一年度数据，无上一年度数据的新成立企业可不填报。</w:t>
      </w: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200"/>
        <w:spacing w:beforeLines="0" w:afterLines="0"/>
        <w:ind w:firstLine="0"/>
        <w:rPr>
          <w:rFonts w:hint="default"/>
          <w:b/>
          <w:sz w:val="28"/>
        </w:rPr>
      </w:pPr>
    </w:p>
    <w:p>
      <w:pPr>
        <w:pStyle w:val="5"/>
        <w:tabs>
          <w:tab w:val="left" w:pos="709"/>
        </w:tabs>
        <w:spacing w:beforeLines="0" w:after="200" w:afterLines="0"/>
        <w:ind w:left="1135" w:hanging="1135"/>
        <w:rPr>
          <w:rFonts w:hint="default"/>
          <w:color w:val="auto"/>
          <w:sz w:val="28"/>
        </w:rPr>
      </w:pPr>
      <w:r>
        <w:rPr>
          <w:rFonts w:hint="default"/>
          <w:color w:val="auto"/>
          <w:sz w:val="28"/>
        </w:rPr>
        <w:t>残疾人福利性单位声明函</w:t>
      </w:r>
    </w:p>
    <w:p>
      <w:pPr>
        <w:spacing w:beforeLines="0" w:afterLines="0" w:line="588" w:lineRule="exact"/>
        <w:jc w:val="center"/>
        <w:rPr>
          <w:rFonts w:hint="default" w:ascii="宋体" w:hAnsi="宋体"/>
          <w:b/>
          <w:spacing w:val="6"/>
          <w:sz w:val="28"/>
        </w:rPr>
      </w:pPr>
      <w:r>
        <w:rPr>
          <w:rFonts w:hint="default" w:ascii="宋体" w:hAnsi="宋体"/>
          <w:b/>
          <w:spacing w:val="6"/>
          <w:sz w:val="28"/>
        </w:rPr>
        <w:t>残疾人福利性单位声明函</w:t>
      </w:r>
    </w:p>
    <w:p>
      <w:pPr>
        <w:spacing w:beforeLines="0" w:afterLines="0" w:line="588" w:lineRule="exact"/>
        <w:rPr>
          <w:rFonts w:hint="default" w:ascii="宋体" w:hAnsi="宋体"/>
          <w:spacing w:val="6"/>
          <w:sz w:val="28"/>
        </w:rPr>
      </w:pPr>
      <w:r>
        <w:rPr>
          <w:rFonts w:hint="default" w:ascii="宋体" w:hAnsi="宋体"/>
          <w:spacing w:val="6"/>
          <w:sz w:val="28"/>
        </w:rPr>
        <w:t>本单位郑重声明：</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spacing w:val="6"/>
          <w:sz w:val="28"/>
          <w:u w:val="single"/>
          <w:lang w:eastAsia="zh-CN"/>
        </w:rPr>
        <w:t>成都市新都区石板滩街道木兰卫生院</w:t>
      </w:r>
      <w:r>
        <w:rPr>
          <w:rFonts w:hint="default" w:ascii="宋体" w:hAnsi="宋体"/>
          <w:spacing w:val="6"/>
          <w:sz w:val="28"/>
        </w:rPr>
        <w:t>单位的</w:t>
      </w:r>
      <w:r>
        <w:rPr>
          <w:rFonts w:hint="eastAsia" w:ascii="宋体" w:hAnsi="宋体"/>
          <w:spacing w:val="6"/>
          <w:sz w:val="28"/>
          <w:highlight w:val="none"/>
          <w:u w:val="single"/>
          <w:lang w:eastAsia="zh-CN"/>
        </w:rPr>
        <w:t>成都市新都区石板滩街道木兰卫生院LED显示屏采购项目（第二次）</w:t>
      </w:r>
      <w:r>
        <w:rPr>
          <w:rFonts w:hint="default" w:ascii="宋体" w:hAnsi="宋体"/>
          <w:spacing w:val="6"/>
          <w:sz w:val="28"/>
        </w:rPr>
        <w:t>采购活动提供本单位制造的货物，或者提供其他残疾人福利性单位制造的货物（不包括使用非残疾人福利性单位注册商标的货物）。</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本单位对上述声明的真实性负责。如有虚假，将依法承担相应责任。</w:t>
      </w: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供应商名称：</w:t>
      </w:r>
      <w:r>
        <w:rPr>
          <w:rFonts w:hint="default" w:ascii="宋体" w:hAnsi="宋体"/>
          <w:spacing w:val="6"/>
          <w:sz w:val="28"/>
          <w:u w:val="single"/>
        </w:rPr>
        <w:t xml:space="preserve"> XXXX </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日 期：</w:t>
      </w:r>
      <w:r>
        <w:rPr>
          <w:rFonts w:hint="default" w:ascii="宋体" w:hAnsi="宋体"/>
          <w:spacing w:val="6"/>
          <w:sz w:val="28"/>
          <w:u w:val="single"/>
        </w:rPr>
        <w:t>20XX</w:t>
      </w:r>
      <w:r>
        <w:rPr>
          <w:rFonts w:hint="default" w:ascii="宋体" w:hAnsi="宋体"/>
          <w:spacing w:val="6"/>
          <w:sz w:val="28"/>
        </w:rPr>
        <w:t>年</w:t>
      </w:r>
      <w:r>
        <w:rPr>
          <w:rFonts w:hint="default" w:ascii="宋体" w:hAnsi="宋体"/>
          <w:spacing w:val="6"/>
          <w:sz w:val="28"/>
          <w:u w:val="single"/>
        </w:rPr>
        <w:t>XX</w:t>
      </w:r>
      <w:r>
        <w:rPr>
          <w:rFonts w:hint="default" w:ascii="宋体" w:hAnsi="宋体"/>
          <w:spacing w:val="6"/>
          <w:sz w:val="28"/>
        </w:rPr>
        <w:t>月</w:t>
      </w:r>
      <w:r>
        <w:rPr>
          <w:rFonts w:hint="default" w:ascii="宋体" w:hAnsi="宋体"/>
          <w:spacing w:val="6"/>
          <w:sz w:val="28"/>
          <w:u w:val="single"/>
        </w:rPr>
        <w:t>XX</w:t>
      </w:r>
      <w:r>
        <w:rPr>
          <w:rFonts w:hint="default" w:ascii="宋体" w:hAnsi="宋体"/>
          <w:spacing w:val="6"/>
          <w:sz w:val="28"/>
        </w:rPr>
        <w:t>日</w:t>
      </w: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63"/>
        <w:rPr>
          <w:rFonts w:hint="default" w:ascii="宋体" w:hAnsi="宋体"/>
          <w:b/>
          <w:sz w:val="28"/>
        </w:rPr>
      </w:pPr>
    </w:p>
    <w:p>
      <w:pPr>
        <w:spacing w:beforeLines="0" w:afterLines="0" w:line="588" w:lineRule="exact"/>
        <w:ind w:firstLine="563"/>
        <w:rPr>
          <w:rFonts w:hint="default" w:ascii="宋体" w:hAnsi="宋体"/>
          <w:b/>
          <w:sz w:val="28"/>
        </w:rPr>
      </w:pPr>
      <w:r>
        <w:rPr>
          <w:rFonts w:hint="eastAsia" w:ascii="宋体" w:hAnsi="宋体" w:eastAsia="宋体" w:cs="Times New Roman"/>
          <w:b/>
          <w:sz w:val="28"/>
          <w:szCs w:val="28"/>
          <w:highlight w:val="none"/>
        </w:rPr>
        <w:t>说明</w:t>
      </w:r>
      <w:r>
        <w:rPr>
          <w:rFonts w:ascii="宋体" w:hAnsi="宋体" w:eastAsia="宋体" w:cs="Times New Roman"/>
          <w:b/>
          <w:sz w:val="28"/>
          <w:szCs w:val="28"/>
          <w:highlight w:val="none"/>
        </w:rPr>
        <w:t>：</w:t>
      </w:r>
      <w:r>
        <w:rPr>
          <w:rFonts w:hint="eastAsia" w:ascii="宋体" w:hAnsi="宋体" w:eastAsia="宋体" w:cs="Times New Roman"/>
          <w:b/>
          <w:sz w:val="28"/>
          <w:szCs w:val="28"/>
          <w:highlight w:val="none"/>
        </w:rPr>
        <w:t>提供了《中小</w:t>
      </w:r>
      <w:r>
        <w:rPr>
          <w:rFonts w:ascii="宋体" w:hAnsi="宋体" w:eastAsia="宋体" w:cs="Times New Roman"/>
          <w:b/>
          <w:sz w:val="28"/>
          <w:szCs w:val="28"/>
          <w:highlight w:val="none"/>
        </w:rPr>
        <w:t>企业声明函</w:t>
      </w:r>
      <w:r>
        <w:rPr>
          <w:rFonts w:hint="eastAsia" w:ascii="宋体" w:hAnsi="宋体" w:eastAsia="宋体" w:cs="Times New Roman"/>
          <w:b/>
          <w:sz w:val="28"/>
          <w:szCs w:val="28"/>
          <w:highlight w:val="none"/>
        </w:rPr>
        <w:t>》或监狱企业证明文件复印件的不需提供。</w:t>
      </w:r>
    </w:p>
    <w:p>
      <w:pPr>
        <w:spacing w:beforeLines="0" w:afterLines="0"/>
        <w:rPr>
          <w:rFonts w:hint="default"/>
          <w:sz w:val="21"/>
        </w:rPr>
      </w:pPr>
    </w:p>
    <w:p>
      <w:pPr>
        <w:spacing w:beforeLines="0" w:afterLines="0"/>
        <w:rPr>
          <w:rFonts w:hint="default"/>
          <w:sz w:val="21"/>
        </w:rPr>
      </w:pPr>
    </w:p>
    <w:p>
      <w:pPr>
        <w:keepNext/>
        <w:keepLines/>
        <w:numPr>
          <w:ilvl w:val="2"/>
          <w:numId w:val="1"/>
        </w:numPr>
        <w:spacing w:beforeLines="0" w:afterLines="0" w:line="360" w:lineRule="auto"/>
        <w:ind w:left="3119" w:hanging="3119"/>
        <w:outlineLvl w:val="2"/>
        <w:rPr>
          <w:rFonts w:hint="default" w:ascii="宋体" w:hAnsi="宋体"/>
          <w:sz w:val="28"/>
        </w:rPr>
      </w:pPr>
      <w:r>
        <w:rPr>
          <w:rFonts w:hint="default" w:ascii="宋体" w:hAnsi="宋体"/>
          <w:b/>
          <w:sz w:val="28"/>
        </w:rPr>
        <w:t>报价产品制造商属于监狱企业的证明文件复印件</w:t>
      </w: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firstLine="708" w:firstLineChars="253"/>
        <w:rPr>
          <w:rFonts w:hint="default" w:ascii="宋体" w:hAnsi="宋体"/>
          <w:spacing w:val="6"/>
          <w:sz w:val="28"/>
        </w:rPr>
      </w:pPr>
      <w:r>
        <w:rPr>
          <w:rFonts w:hint="default" w:ascii="宋体"/>
          <w:sz w:val="28"/>
        </w:rPr>
        <w:t>报价产品中为监狱企业制造的货物应提供由省级以上监狱管理局、戒毒管理局（含新疆生产建设兵团）出具的制造商属于监狱企业的证明文件复印件。</w:t>
      </w: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说明：</w:t>
      </w:r>
      <w:r>
        <w:rPr>
          <w:rFonts w:hint="default" w:ascii="宋体" w:hAnsi="宋体" w:eastAsia="宋体" w:cs="Times New Roman"/>
          <w:b/>
          <w:sz w:val="28"/>
          <w:szCs w:val="28"/>
          <w:highlight w:val="none"/>
        </w:rPr>
        <w:t>提供了《中小企业声明函》或《残疾人福利性单位声明函》的不需提供</w:t>
      </w:r>
      <w:r>
        <w:rPr>
          <w:rFonts w:hint="eastAsia" w:ascii="宋体" w:hAnsi="宋体" w:cs="Times New Roman"/>
          <w:b/>
          <w:sz w:val="28"/>
          <w:szCs w:val="28"/>
          <w:highlight w:val="none"/>
          <w:lang w:eastAsia="zh-CN"/>
        </w:rPr>
        <w:t>。</w:t>
      </w:r>
    </w:p>
    <w:p>
      <w:pPr>
        <w:tabs>
          <w:tab w:val="left" w:pos="3969"/>
        </w:tabs>
        <w:spacing w:beforeLines="0" w:afterLines="0" w:line="588" w:lineRule="exact"/>
        <w:ind w:right="-58"/>
        <w:rPr>
          <w:rFonts w:hint="default" w:ascii="宋体" w:hAnsi="宋体"/>
          <w:spacing w:val="6"/>
          <w:sz w:val="28"/>
        </w:rPr>
      </w:pPr>
    </w:p>
    <w:p>
      <w:pPr>
        <w:rPr>
          <w:color w:val="auto"/>
        </w:rPr>
      </w:pPr>
      <w:r>
        <w:rPr>
          <w:rFonts w:hint="eastAsia"/>
          <w:color w:val="auto"/>
        </w:rPr>
        <w:br w:type="page"/>
      </w:r>
    </w:p>
    <w:p>
      <w:pPr>
        <w:pStyle w:val="5"/>
        <w:numPr>
          <w:ilvl w:val="2"/>
          <w:numId w:val="6"/>
        </w:numPr>
        <w:tabs>
          <w:tab w:val="left" w:pos="709"/>
        </w:tabs>
        <w:spacing w:after="200"/>
        <w:ind w:left="709" w:hanging="709"/>
        <w:rPr>
          <w:color w:val="auto"/>
          <w:highlight w:val="none"/>
        </w:rPr>
      </w:pPr>
      <w:r>
        <w:rPr>
          <w:rFonts w:hint="eastAsia"/>
          <w:color w:val="auto"/>
          <w:highlight w:val="none"/>
        </w:rPr>
        <w:t>供应商应提交的相关资格证明材料：</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(一)由省级以上监狱管理局、戒毒管理局（含新疆生产建设兵团）出具的</w:t>
      </w:r>
      <w:r>
        <w:rPr>
          <w:rFonts w:hint="eastAsia" w:ascii="宋体" w:hAnsi="宋体"/>
          <w:b/>
          <w:sz w:val="28"/>
          <w:szCs w:val="28"/>
          <w:lang w:eastAsia="zh-CN"/>
        </w:rPr>
        <w:t>供应商</w:t>
      </w:r>
      <w:r>
        <w:rPr>
          <w:rFonts w:hint="eastAsia" w:ascii="宋体" w:hAnsi="宋体"/>
          <w:b/>
          <w:sz w:val="28"/>
          <w:szCs w:val="28"/>
        </w:rPr>
        <w:t>属于监狱企业的证明文件复印件（说明：提供了《中小企业声明函》或《残疾人福利性单位声明函》的不需提供）</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(二)营业执照复印件（正本或副本）或法人证书复印件（正本或副本）；</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(三)2020会计年度资产负债表复印件（说明：供应商成立时间至递交响应文件截止时间止不足一年的，提供成立后任意时段的资产负债表复印件）；</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(四)供应商缴纳2021年任意时段的税收的银行电子回单或者行政部门出具的纳税证明或完税证明复印件；</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(五)采购人对供应商履行合同所必须的设备和专业技术能力无特殊要求，供应商具有效的营业执照或法人证书即可，可不提供其他证明材料；</w:t>
      </w:r>
    </w:p>
    <w:p>
      <w:pPr>
        <w:adjustRightInd w:val="0"/>
        <w:spacing w:line="360" w:lineRule="auto"/>
        <w:ind w:left="0" w:leftChars="0" w:firstLine="641" w:firstLineChars="228"/>
        <w:rPr>
          <w:rFonts w:hint="eastAsia" w:ascii="宋体" w:hAnsi="宋体"/>
          <w:b/>
          <w:sz w:val="28"/>
          <w:szCs w:val="28"/>
        </w:rPr>
      </w:pPr>
      <w:r>
        <w:rPr>
          <w:rFonts w:hint="eastAsia" w:ascii="宋体" w:hAnsi="宋体"/>
          <w:b/>
          <w:sz w:val="28"/>
          <w:szCs w:val="28"/>
        </w:rPr>
        <w:t>(六)供应商缴纳2021年任意时段的社保的银行电子回单或者行政部门出具的社保缴纳证明材料复印件；</w:t>
      </w:r>
    </w:p>
    <w:p>
      <w:pPr>
        <w:adjustRightInd w:val="0"/>
        <w:spacing w:line="360" w:lineRule="auto"/>
        <w:ind w:left="0" w:leftChars="0" w:firstLine="641" w:firstLineChars="228"/>
      </w:pPr>
      <w:r>
        <w:rPr>
          <w:rFonts w:hint="eastAsia" w:ascii="宋体" w:hAnsi="宋体" w:cs="Times New Roman"/>
          <w:b/>
          <w:sz w:val="28"/>
          <w:szCs w:val="28"/>
          <w:highlight w:val="none"/>
          <w:lang w:eastAsia="zh-CN"/>
        </w:rPr>
        <w:t>（七）</w:t>
      </w:r>
      <w:r>
        <w:rPr>
          <w:rFonts w:hint="eastAsia" w:ascii="宋体" w:hAnsi="宋体" w:cs="Times New Roman"/>
          <w:b/>
          <w:sz w:val="28"/>
          <w:szCs w:val="28"/>
          <w:highlight w:val="none"/>
        </w:rPr>
        <w:t>采购人对法律、行政法规规定的其他条件无其他特殊要求，供应商具有效的营业执照或法人证书即可，可不提供其他证明材料。</w:t>
      </w:r>
      <w:bookmarkStart w:id="58" w:name="_Toc448403805"/>
      <w:r>
        <w:rPr>
          <w:rFonts w:hint="eastAsia"/>
        </w:rPr>
        <w:br w:type="page"/>
      </w:r>
    </w:p>
    <w:p>
      <w:pPr>
        <w:pStyle w:val="4"/>
        <w:numPr>
          <w:ilvl w:val="1"/>
          <w:numId w:val="6"/>
        </w:numPr>
        <w:tabs>
          <w:tab w:val="left" w:pos="426"/>
          <w:tab w:val="left" w:pos="567"/>
        </w:tabs>
        <w:spacing w:before="0" w:after="200"/>
        <w:ind w:left="1985" w:hanging="1985"/>
        <w:jc w:val="both"/>
      </w:pPr>
      <w:bookmarkStart w:id="59" w:name="_Toc21848"/>
      <w:r>
        <w:rPr>
          <w:rFonts w:hint="eastAsia"/>
        </w:rPr>
        <w:t>商务技术响应文件</w:t>
      </w:r>
      <w:bookmarkEnd w:id="58"/>
      <w:bookmarkEnd w:id="59"/>
    </w:p>
    <w:bookmarkEnd w:id="57"/>
    <w:p>
      <w:pPr>
        <w:pStyle w:val="5"/>
        <w:numPr>
          <w:ilvl w:val="2"/>
          <w:numId w:val="6"/>
        </w:numPr>
        <w:tabs>
          <w:tab w:val="left" w:pos="709"/>
        </w:tabs>
        <w:spacing w:after="200"/>
        <w:ind w:left="709" w:hanging="709"/>
        <w:rPr>
          <w:bCs w:val="0"/>
          <w:color w:val="auto"/>
        </w:rPr>
      </w:pPr>
      <w:bookmarkStart w:id="60" w:name="_Toc320698766"/>
      <w:bookmarkStart w:id="61" w:name="_Toc386099146"/>
      <w:r>
        <w:rPr>
          <w:rFonts w:hint="eastAsia"/>
          <w:bCs w:val="0"/>
          <w:color w:val="auto"/>
        </w:rPr>
        <w:t>报价函</w:t>
      </w:r>
    </w:p>
    <w:p>
      <w:pPr>
        <w:spacing w:line="360" w:lineRule="auto"/>
        <w:rPr>
          <w:rFonts w:ascii="宋体" w:hAnsi="宋体"/>
          <w:sz w:val="28"/>
          <w:szCs w:val="28"/>
        </w:rPr>
      </w:pPr>
      <w:bookmarkStart w:id="62" w:name="_Toc119296788"/>
      <w:bookmarkStart w:id="63" w:name="_Toc119203988"/>
      <w:bookmarkStart w:id="64" w:name="_Toc146903609"/>
      <w:bookmarkStart w:id="65" w:name="_Toc119295087"/>
      <w:bookmarkStart w:id="66" w:name="_Toc52184753"/>
      <w:r>
        <w:rPr>
          <w:rFonts w:hint="eastAsia" w:ascii="宋体" w:hAnsi="宋体"/>
          <w:sz w:val="28"/>
          <w:szCs w:val="28"/>
          <w:lang w:eastAsia="zh-CN"/>
        </w:rPr>
        <w:t>成都市新都区公共资源交易服务中心</w:t>
      </w:r>
      <w:r>
        <w:rPr>
          <w:rFonts w:hint="eastAsia" w:ascii="宋体" w:hAnsi="宋体"/>
          <w:sz w:val="28"/>
          <w:szCs w:val="28"/>
        </w:rPr>
        <w:t>：</w:t>
      </w:r>
    </w:p>
    <w:p>
      <w:pPr>
        <w:pStyle w:val="26"/>
        <w:spacing w:line="360" w:lineRule="auto"/>
        <w:ind w:left="0" w:leftChars="0"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lang w:eastAsia="zh-CN"/>
        </w:rPr>
        <w:t>成都市新都区石板滩街道木兰卫生院LED显示屏采购项目（第二次）</w:t>
      </w:r>
      <w:r>
        <w:rPr>
          <w:rFonts w:hint="eastAsia" w:ascii="宋体" w:hAnsi="宋体"/>
          <w:b/>
          <w:bCs/>
          <w:sz w:val="28"/>
          <w:szCs w:val="28"/>
        </w:rPr>
        <w:t>”</w:t>
      </w:r>
      <w:r>
        <w:rPr>
          <w:rFonts w:hint="eastAsia" w:ascii="宋体" w:hAnsi="宋体"/>
          <w:b/>
          <w:bCs/>
          <w:sz w:val="28"/>
          <w:szCs w:val="28"/>
          <w:u w:val="single"/>
        </w:rPr>
        <w:t>（项目编号：</w:t>
      </w:r>
      <w:r>
        <w:rPr>
          <w:rFonts w:hint="eastAsia" w:ascii="宋体" w:hAnsi="宋体"/>
          <w:b/>
          <w:bCs/>
          <w:sz w:val="28"/>
          <w:szCs w:val="28"/>
          <w:u w:val="single"/>
          <w:lang w:eastAsia="zh-CN"/>
        </w:rPr>
        <w:t>新都政采（2021）A0036号-1</w:t>
      </w:r>
      <w:r>
        <w:rPr>
          <w:rFonts w:hint="eastAsia" w:ascii="宋体" w:hAnsi="宋体"/>
          <w:b/>
          <w:bCs/>
          <w:sz w:val="28"/>
          <w:szCs w:val="28"/>
        </w:rPr>
        <w:t>）</w:t>
      </w:r>
      <w:r>
        <w:rPr>
          <w:rFonts w:hint="eastAsia" w:ascii="宋体" w:hAnsi="宋体"/>
          <w:bCs/>
          <w:sz w:val="28"/>
          <w:szCs w:val="28"/>
        </w:rPr>
        <w:t>的磋商文件，决定参加贵单位组织的本项目的磋商。我方郑重承诺：</w:t>
      </w:r>
    </w:p>
    <w:p>
      <w:pPr>
        <w:numPr>
          <w:ilvl w:val="1"/>
          <w:numId w:val="37"/>
        </w:numPr>
        <w:tabs>
          <w:tab w:val="left" w:pos="1134"/>
        </w:tabs>
        <w:spacing w:after="200" w:line="360" w:lineRule="auto"/>
        <w:ind w:left="0" w:firstLine="567"/>
        <w:rPr>
          <w:rFonts w:ascii="宋体" w:hAnsi="宋体"/>
          <w:sz w:val="28"/>
          <w:szCs w:val="28"/>
        </w:rPr>
      </w:pPr>
      <w:r>
        <w:rPr>
          <w:rFonts w:hint="eastAsia" w:ascii="宋体" w:hAnsi="宋体"/>
          <w:sz w:val="28"/>
          <w:szCs w:val="28"/>
        </w:rPr>
        <w:t>我方自愿按照磋商文件规定的各项要求向采购人提供所需货物，</w:t>
      </w:r>
      <w:r>
        <w:rPr>
          <w:rFonts w:hint="eastAsia" w:ascii="宋体" w:hAnsi="宋体"/>
          <w:b/>
          <w:sz w:val="28"/>
          <w:szCs w:val="28"/>
        </w:rPr>
        <w:t>最后报价以按磋商小组的要求在政府采购云平台中提供最后报价为准</w:t>
      </w:r>
      <w:r>
        <w:rPr>
          <w:rFonts w:hint="eastAsia" w:ascii="宋体" w:hAnsi="宋体"/>
          <w:sz w:val="28"/>
          <w:szCs w:val="28"/>
        </w:rPr>
        <w:t>。</w:t>
      </w:r>
    </w:p>
    <w:p>
      <w:pPr>
        <w:numPr>
          <w:ilvl w:val="1"/>
          <w:numId w:val="37"/>
        </w:numPr>
        <w:tabs>
          <w:tab w:val="left" w:pos="1134"/>
        </w:tabs>
        <w:spacing w:after="200" w:line="360" w:lineRule="auto"/>
        <w:ind w:left="0" w:firstLine="567"/>
        <w:rPr>
          <w:rFonts w:ascii="宋体" w:hAnsi="宋体"/>
          <w:sz w:val="28"/>
          <w:szCs w:val="28"/>
        </w:rPr>
      </w:pPr>
      <w:r>
        <w:rPr>
          <w:rFonts w:hint="eastAsia" w:ascii="宋体" w:hAnsi="宋体"/>
          <w:sz w:val="28"/>
          <w:szCs w:val="28"/>
        </w:rPr>
        <w:t>如果我方成为本项目的成交供应商，我方将严格履行合同规定的责任和义务，否则将承担由此产生的一切责任。</w:t>
      </w:r>
    </w:p>
    <w:p>
      <w:pPr>
        <w:numPr>
          <w:ilvl w:val="1"/>
          <w:numId w:val="37"/>
        </w:numPr>
        <w:tabs>
          <w:tab w:val="left" w:pos="1134"/>
        </w:tabs>
        <w:spacing w:after="200" w:line="360" w:lineRule="auto"/>
        <w:ind w:left="0" w:firstLine="567"/>
        <w:rPr>
          <w:rFonts w:ascii="宋体" w:hAnsi="宋体"/>
          <w:sz w:val="28"/>
          <w:szCs w:val="28"/>
        </w:rPr>
      </w:pPr>
      <w:r>
        <w:rPr>
          <w:rFonts w:hint="eastAsia" w:ascii="宋体" w:hAnsi="宋体"/>
          <w:sz w:val="28"/>
          <w:szCs w:val="28"/>
        </w:rPr>
        <w:t>我方已知晓全部磋商文件的内容，包括修改文件（如有）以及全部相关资料和有关附件，并对上述文件均无异议。</w:t>
      </w:r>
    </w:p>
    <w:p>
      <w:pPr>
        <w:numPr>
          <w:ilvl w:val="1"/>
          <w:numId w:val="37"/>
        </w:numPr>
        <w:tabs>
          <w:tab w:val="left" w:pos="1134"/>
        </w:tabs>
        <w:spacing w:after="200" w:line="360" w:lineRule="auto"/>
        <w:ind w:left="0" w:firstLine="567"/>
        <w:rPr>
          <w:rFonts w:ascii="宋体" w:hAnsi="宋体"/>
          <w:sz w:val="28"/>
          <w:szCs w:val="28"/>
          <w:highlight w:val="none"/>
        </w:rPr>
      </w:pPr>
      <w:r>
        <w:rPr>
          <w:rFonts w:hint="eastAsia" w:ascii="宋体" w:hAnsi="宋体"/>
          <w:sz w:val="28"/>
          <w:szCs w:val="28"/>
        </w:rPr>
        <w:t>响应文件有效期为从递交响应文件截止之</w:t>
      </w:r>
      <w:r>
        <w:rPr>
          <w:rFonts w:hint="eastAsia" w:ascii="宋体" w:hAnsi="宋体"/>
          <w:sz w:val="28"/>
          <w:szCs w:val="28"/>
          <w:highlight w:val="none"/>
        </w:rPr>
        <w:t>日起</w:t>
      </w:r>
      <w:r>
        <w:rPr>
          <w:rFonts w:hint="eastAsia" w:ascii="宋体" w:hAnsi="宋体"/>
          <w:sz w:val="28"/>
          <w:szCs w:val="28"/>
          <w:highlight w:val="none"/>
          <w:u w:val="single"/>
        </w:rPr>
        <w:t>120</w:t>
      </w:r>
      <w:r>
        <w:rPr>
          <w:rFonts w:hint="eastAsia" w:ascii="宋体" w:hAnsi="宋体"/>
          <w:sz w:val="28"/>
          <w:szCs w:val="28"/>
          <w:highlight w:val="none"/>
        </w:rPr>
        <w:t>天。</w:t>
      </w:r>
    </w:p>
    <w:p>
      <w:pPr>
        <w:numPr>
          <w:ilvl w:val="1"/>
          <w:numId w:val="37"/>
        </w:numPr>
        <w:tabs>
          <w:tab w:val="left" w:pos="1134"/>
        </w:tabs>
        <w:spacing w:after="200" w:line="360" w:lineRule="auto"/>
        <w:ind w:left="0" w:firstLine="567"/>
        <w:rPr>
          <w:rFonts w:ascii="宋体" w:hAnsi="宋体"/>
          <w:sz w:val="28"/>
          <w:szCs w:val="28"/>
        </w:rPr>
      </w:pPr>
      <w:r>
        <w:rPr>
          <w:rFonts w:hint="eastAsia" w:ascii="宋体" w:hAnsi="宋体"/>
          <w:sz w:val="28"/>
          <w:szCs w:val="28"/>
        </w:rPr>
        <w:t>我方愿意提供贵中心可能另外要求的，与本项目有关的文件资料，并保证我方已提供和将要提供的文件资料是真实、准确的，并对此承担一切法律后果。</w:t>
      </w:r>
    </w:p>
    <w:p>
      <w:pPr>
        <w:numPr>
          <w:ilvl w:val="1"/>
          <w:numId w:val="37"/>
        </w:numPr>
        <w:tabs>
          <w:tab w:val="left" w:pos="1134"/>
        </w:tabs>
        <w:spacing w:after="200" w:line="360" w:lineRule="auto"/>
        <w:ind w:left="0" w:firstLine="567"/>
        <w:rPr>
          <w:rFonts w:ascii="宋体" w:hAnsi="宋体"/>
          <w:sz w:val="28"/>
          <w:szCs w:val="28"/>
        </w:rPr>
      </w:pPr>
      <w:r>
        <w:rPr>
          <w:rFonts w:hint="eastAsia" w:ascii="宋体" w:hAnsi="宋体"/>
          <w:sz w:val="28"/>
          <w:szCs w:val="28"/>
        </w:rPr>
        <w:t>我单位联系方式：</w:t>
      </w:r>
    </w:p>
    <w:p>
      <w:pPr>
        <w:pStyle w:val="26"/>
        <w:spacing w:line="360" w:lineRule="auto"/>
        <w:ind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pStyle w:val="26"/>
        <w:spacing w:line="360" w:lineRule="auto"/>
        <w:ind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pStyle w:val="26"/>
        <w:spacing w:line="360" w:lineRule="auto"/>
        <w:ind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pStyle w:val="26"/>
        <w:spacing w:line="360" w:lineRule="auto"/>
        <w:ind w:firstLine="560" w:firstLineChars="200"/>
        <w:rPr>
          <w:rFonts w:ascii="宋体" w:hAnsi="宋体"/>
          <w:bCs/>
          <w:sz w:val="28"/>
          <w:szCs w:val="28"/>
        </w:rPr>
      </w:pPr>
      <w:r>
        <w:rPr>
          <w:rFonts w:hint="eastAsia" w:ascii="宋体" w:hAnsi="宋体"/>
          <w:bCs/>
          <w:sz w:val="28"/>
          <w:szCs w:val="28"/>
        </w:rPr>
        <w:t>供应商名称：</w:t>
      </w:r>
      <w:r>
        <w:rPr>
          <w:rFonts w:hint="eastAsia" w:ascii="宋体" w:hAnsi="宋体"/>
          <w:bCs/>
          <w:sz w:val="28"/>
          <w:szCs w:val="28"/>
          <w:u w:val="single"/>
        </w:rPr>
        <w:t>XXXXXXXXXX</w:t>
      </w:r>
    </w:p>
    <w:bookmarkEnd w:id="62"/>
    <w:bookmarkEnd w:id="63"/>
    <w:bookmarkEnd w:id="64"/>
    <w:bookmarkEnd w:id="65"/>
    <w:bookmarkEnd w:id="66"/>
    <w:p>
      <w:pPr>
        <w:pStyle w:val="26"/>
        <w:spacing w:line="360" w:lineRule="auto"/>
        <w:ind w:firstLine="560" w:firstLineChars="200"/>
        <w:rPr>
          <w:rFonts w:ascii="宋体" w:hAnsi="宋体"/>
          <w:bCs/>
          <w:sz w:val="28"/>
          <w:szCs w:val="28"/>
        </w:rPr>
      </w:pPr>
      <w:r>
        <w:rPr>
          <w:rFonts w:hint="eastAsia" w:ascii="宋体" w:hAnsi="宋体"/>
          <w:bCs/>
          <w:sz w:val="28"/>
          <w:szCs w:val="28"/>
        </w:rPr>
        <w:t>日      期：</w:t>
      </w:r>
      <w:r>
        <w:rPr>
          <w:rFonts w:hint="eastAsia" w:ascii="宋体" w:hAnsi="宋体"/>
          <w:bCs/>
          <w:sz w:val="28"/>
          <w:szCs w:val="28"/>
          <w:u w:val="single"/>
        </w:rPr>
        <w:t>XX</w:t>
      </w:r>
      <w:r>
        <w:rPr>
          <w:rFonts w:hint="eastAsia" w:ascii="宋体" w:hAnsi="宋体"/>
          <w:bCs/>
          <w:sz w:val="28"/>
          <w:szCs w:val="28"/>
        </w:rPr>
        <w:t>年</w:t>
      </w:r>
      <w:r>
        <w:rPr>
          <w:rFonts w:hint="eastAsia" w:ascii="宋体" w:hAnsi="宋体"/>
          <w:bCs/>
          <w:sz w:val="28"/>
          <w:szCs w:val="28"/>
          <w:u w:val="single"/>
        </w:rPr>
        <w:t>XX</w:t>
      </w:r>
      <w:r>
        <w:rPr>
          <w:rFonts w:hint="eastAsia" w:ascii="宋体" w:hAnsi="宋体"/>
          <w:bCs/>
          <w:sz w:val="28"/>
          <w:szCs w:val="28"/>
        </w:rPr>
        <w:t>月</w:t>
      </w:r>
      <w:r>
        <w:rPr>
          <w:rFonts w:hint="eastAsia" w:ascii="宋体" w:hAnsi="宋体"/>
          <w:bCs/>
          <w:sz w:val="28"/>
          <w:szCs w:val="28"/>
          <w:u w:val="single"/>
        </w:rPr>
        <w:t>XX</w:t>
      </w:r>
      <w:r>
        <w:rPr>
          <w:rFonts w:hint="eastAsia" w:ascii="宋体" w:hAnsi="宋体"/>
          <w:bCs/>
          <w:sz w:val="28"/>
          <w:szCs w:val="28"/>
        </w:rPr>
        <w:t>日</w:t>
      </w:r>
    </w:p>
    <w:p>
      <w:r>
        <w:br w:type="page"/>
      </w:r>
    </w:p>
    <w:p>
      <w:pPr>
        <w:pStyle w:val="5"/>
        <w:numPr>
          <w:ilvl w:val="2"/>
          <w:numId w:val="6"/>
        </w:numPr>
        <w:tabs>
          <w:tab w:val="left" w:pos="709"/>
        </w:tabs>
        <w:spacing w:after="200"/>
        <w:ind w:left="709" w:hanging="709"/>
        <w:rPr>
          <w:color w:val="auto"/>
        </w:rPr>
      </w:pPr>
      <w:r>
        <w:rPr>
          <w:rFonts w:hint="eastAsia"/>
          <w:color w:val="auto"/>
        </w:rPr>
        <w:t>法定代表人身份证明书</w:t>
      </w:r>
    </w:p>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w:t>
      </w:r>
      <w:r>
        <w:rPr>
          <w:rFonts w:hint="eastAsia" w:ascii="宋体" w:hAnsi="宋体"/>
          <w:sz w:val="28"/>
          <w:szCs w:val="28"/>
          <w:u w:val="single"/>
        </w:rPr>
        <w:t>法定代表人</w:t>
      </w:r>
      <w:r>
        <w:rPr>
          <w:rFonts w:hint="eastAsia" w:ascii="宋体" w:hAnsi="宋体"/>
          <w:sz w:val="28"/>
          <w:szCs w:val="28"/>
          <w:u w:val="single"/>
          <w:lang w:val="zh-CN"/>
        </w:rPr>
        <w:t xml:space="preserve">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w:t>
      </w:r>
      <w:r>
        <w:rPr>
          <w:rFonts w:hint="eastAsia" w:ascii="宋体" w:hAnsi="宋体"/>
          <w:sz w:val="28"/>
          <w:szCs w:val="28"/>
        </w:rPr>
        <w:t>法定代表人</w:t>
      </w:r>
      <w:r>
        <w:rPr>
          <w:rFonts w:hint="eastAsia" w:ascii="宋体" w:hAnsi="宋体"/>
          <w:sz w:val="28"/>
          <w:szCs w:val="28"/>
          <w:lang w:val="zh-CN"/>
        </w:rPr>
        <w:t>。</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说明：上述证明文件在商务技术响应文件中附有法定代表人身份证复印件（身份证两面均应复印）或护照复印件（供应商的法定代表人为外籍人士的，则提供护照复印件）时才能生效。</w:t>
      </w: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spacing w:line="360" w:lineRule="auto"/>
        <w:ind w:firstLine="568" w:firstLineChars="202"/>
        <w:rPr>
          <w:rFonts w:ascii="宋体" w:hAnsi="宋体"/>
          <w:b/>
          <w:sz w:val="28"/>
          <w:szCs w:val="28"/>
          <w:lang w:val="zh-CN"/>
        </w:rPr>
      </w:pPr>
    </w:p>
    <w:p>
      <w:pPr>
        <w:pStyle w:val="26"/>
        <w:spacing w:line="360" w:lineRule="auto"/>
        <w:ind w:left="0" w:leftChars="0"/>
        <w:rPr>
          <w:rFonts w:ascii="宋体" w:hAnsi="宋体"/>
          <w:bCs/>
          <w:sz w:val="28"/>
          <w:szCs w:val="28"/>
        </w:rPr>
      </w:pPr>
    </w:p>
    <w:p>
      <w:pPr>
        <w:pStyle w:val="5"/>
        <w:tabs>
          <w:tab w:val="left" w:pos="709"/>
        </w:tabs>
        <w:ind w:left="709" w:hanging="709"/>
        <w:rPr>
          <w:color w:val="auto"/>
        </w:rPr>
      </w:pPr>
      <w:r>
        <w:rPr>
          <w:rFonts w:hint="eastAsia"/>
          <w:color w:val="auto"/>
        </w:rPr>
        <w:t>报价产品技术性能、技术参数和配置的详细描述</w:t>
      </w:r>
    </w:p>
    <w:p>
      <w:pPr>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pacing w:val="-20"/>
          <w:sz w:val="28"/>
          <w:szCs w:val="28"/>
          <w:u w:val="single"/>
          <w:lang w:eastAsia="zh-CN"/>
        </w:rPr>
        <w:t>成都市新都区石板滩街道木兰卫生院LED显示屏采购项目（第二次）</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新都政采（2021）A0036号-1</w:t>
      </w: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ind w:firstLine="492" w:firstLineChars="176"/>
        <w:rPr>
          <w:sz w:val="28"/>
        </w:rPr>
      </w:pPr>
    </w:p>
    <w:p>
      <w:pPr>
        <w:pStyle w:val="200"/>
        <w:rPr>
          <w:sz w:val="28"/>
        </w:rPr>
      </w:pPr>
    </w:p>
    <w:p>
      <w:pPr>
        <w:spacing w:line="360" w:lineRule="auto"/>
        <w:ind w:firstLine="425" w:firstLineChars="152"/>
        <w:rPr>
          <w:rFonts w:ascii="宋体" w:hAnsi="宋体"/>
          <w:sz w:val="28"/>
          <w:szCs w:val="28"/>
        </w:rPr>
      </w:pPr>
      <w:r>
        <w:rPr>
          <w:rFonts w:hint="eastAsia" w:ascii="宋体" w:hAnsi="宋体"/>
          <w:sz w:val="28"/>
          <w:szCs w:val="28"/>
        </w:rPr>
        <w:t>供应商名称：</w:t>
      </w:r>
      <w:r>
        <w:rPr>
          <w:rFonts w:hint="eastAsia" w:ascii="宋体" w:hAnsi="宋体"/>
          <w:sz w:val="28"/>
          <w:szCs w:val="28"/>
          <w:u w:val="single"/>
        </w:rPr>
        <w:t>XXXX</w:t>
      </w:r>
    </w:p>
    <w:p>
      <w:pPr>
        <w:spacing w:line="360" w:lineRule="auto"/>
        <w:ind w:firstLine="425" w:firstLineChars="152"/>
        <w:rPr>
          <w:rFonts w:ascii="宋体" w:hAnsi="宋体"/>
          <w:sz w:val="28"/>
        </w:rPr>
      </w:pPr>
      <w:r>
        <w:rPr>
          <w:rFonts w:hint="eastAsia" w:ascii="宋体" w:hAnsi="宋体"/>
          <w:sz w:val="28"/>
          <w:szCs w:val="28"/>
        </w:rPr>
        <w:t>日期：</w:t>
      </w:r>
      <w:r>
        <w:rPr>
          <w:rFonts w:hint="eastAsia" w:ascii="宋体" w:hAnsi="宋体"/>
          <w:sz w:val="28"/>
          <w:szCs w:val="28"/>
          <w:u w:val="single"/>
        </w:rPr>
        <w:t>XX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pStyle w:val="200"/>
        <w:ind w:firstLine="560" w:firstLineChars="200"/>
        <w:rPr>
          <w:rFonts w:ascii="宋体" w:hAnsi="宋体"/>
          <w:sz w:val="28"/>
        </w:rPr>
      </w:pPr>
    </w:p>
    <w:p>
      <w:pPr>
        <w:pStyle w:val="200"/>
        <w:ind w:firstLine="560" w:firstLineChars="200"/>
        <w:rPr>
          <w:rFonts w:ascii="宋体" w:hAnsi="宋体"/>
          <w:sz w:val="28"/>
        </w:rPr>
      </w:pPr>
    </w:p>
    <w:p>
      <w:pPr>
        <w:pStyle w:val="200"/>
        <w:ind w:firstLine="560" w:firstLineChars="200"/>
        <w:rPr>
          <w:rFonts w:ascii="宋体" w:hAnsi="宋体"/>
          <w:sz w:val="28"/>
        </w:rPr>
      </w:pPr>
    </w:p>
    <w:p>
      <w:pPr>
        <w:pStyle w:val="200"/>
        <w:ind w:firstLine="560" w:firstLineChars="200"/>
        <w:rPr>
          <w:rFonts w:ascii="宋体" w:hAnsi="宋体"/>
          <w:sz w:val="28"/>
        </w:rPr>
      </w:pPr>
    </w:p>
    <w:bookmarkEnd w:id="60"/>
    <w:bookmarkEnd w:id="61"/>
    <w:p>
      <w:pPr>
        <w:pStyle w:val="5"/>
        <w:tabs>
          <w:tab w:val="left" w:pos="709"/>
        </w:tabs>
        <w:ind w:left="709" w:hanging="709"/>
        <w:rPr>
          <w:bCs w:val="0"/>
          <w:color w:val="auto"/>
        </w:rPr>
      </w:pPr>
      <w:r>
        <w:rPr>
          <w:rFonts w:hint="eastAsia"/>
          <w:bCs w:val="0"/>
          <w:color w:val="auto"/>
        </w:rPr>
        <w:t>售后服务方案</w:t>
      </w:r>
    </w:p>
    <w:p>
      <w:pPr>
        <w:spacing w:line="360" w:lineRule="auto"/>
        <w:rPr>
          <w:rFonts w:hint="eastAsia" w:ascii="宋体" w:hAnsi="宋体" w:eastAsia="宋体"/>
          <w:b/>
          <w:spacing w:val="-20"/>
          <w:sz w:val="28"/>
          <w:szCs w:val="28"/>
          <w:u w:val="single"/>
          <w:lang w:eastAsia="zh-CN"/>
        </w:rPr>
      </w:pPr>
      <w:r>
        <w:rPr>
          <w:rFonts w:hint="eastAsia" w:ascii="宋体" w:hAnsi="宋体"/>
          <w:b/>
          <w:sz w:val="28"/>
          <w:szCs w:val="28"/>
        </w:rPr>
        <w:t>项目名称：</w:t>
      </w:r>
      <w:r>
        <w:rPr>
          <w:rFonts w:hint="eastAsia" w:ascii="宋体" w:hAnsi="宋体"/>
          <w:b/>
          <w:spacing w:val="-20"/>
          <w:sz w:val="28"/>
          <w:szCs w:val="28"/>
          <w:u w:val="single"/>
          <w:lang w:eastAsia="zh-CN"/>
        </w:rPr>
        <w:t>成都市新都区石板滩街道木兰卫生院LED显示屏采购项目（第二次）</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新都政采（2021）A0036号-1</w:t>
      </w: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pStyle w:val="26"/>
        <w:spacing w:line="360" w:lineRule="auto"/>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 xml:space="preserve">     XX      </w:t>
      </w:r>
    </w:p>
    <w:p>
      <w:pPr>
        <w:adjustRightInd w:val="0"/>
        <w:spacing w:line="400" w:lineRule="exact"/>
        <w:ind w:firstLine="420" w:firstLineChars="150"/>
        <w:rPr>
          <w:rFonts w:ascii="宋体" w:hAnsi="宋体"/>
          <w:bCs/>
          <w:sz w:val="28"/>
        </w:rPr>
      </w:pPr>
      <w:r>
        <w:rPr>
          <w:rFonts w:ascii="宋体" w:hAnsi="宋体"/>
          <w:sz w:val="28"/>
        </w:rPr>
        <w:t>日期：</w:t>
      </w:r>
      <w:r>
        <w:rPr>
          <w:rFonts w:ascii="宋体" w:hAnsi="宋体"/>
          <w:bCs/>
          <w:sz w:val="28"/>
        </w:rPr>
        <w:t>202X年XX月XX日</w:t>
      </w:r>
    </w:p>
    <w:p/>
    <w:p/>
    <w:p/>
    <w:p/>
    <w:p/>
    <w:p/>
    <w:p/>
    <w:p/>
    <w:p/>
    <w:p/>
    <w:p/>
    <w:p/>
    <w:p/>
    <w:p>
      <w:pPr>
        <w:pStyle w:val="5"/>
        <w:tabs>
          <w:tab w:val="left" w:pos="709"/>
        </w:tabs>
        <w:ind w:left="709" w:hanging="709"/>
        <w:rPr>
          <w:bCs w:val="0"/>
          <w:color w:val="auto"/>
          <w:highlight w:val="none"/>
        </w:rPr>
      </w:pPr>
      <w:r>
        <w:rPr>
          <w:rFonts w:hint="eastAsia"/>
          <w:bCs w:val="0"/>
          <w:color w:val="auto"/>
          <w:highlight w:val="none"/>
        </w:rPr>
        <w:t>承诺函</w:t>
      </w:r>
    </w:p>
    <w:p>
      <w:pPr>
        <w:spacing w:line="360" w:lineRule="auto"/>
        <w:rPr>
          <w:rFonts w:hint="eastAsia" w:ascii="宋体" w:hAnsi="宋体" w:eastAsia="宋体"/>
          <w:b/>
          <w:spacing w:val="-20"/>
          <w:sz w:val="28"/>
          <w:szCs w:val="28"/>
          <w:u w:val="single"/>
          <w:lang w:eastAsia="zh-CN"/>
        </w:rPr>
      </w:pPr>
      <w:r>
        <w:rPr>
          <w:rFonts w:hint="eastAsia" w:ascii="宋体" w:hAnsi="宋体"/>
          <w:b/>
          <w:sz w:val="28"/>
          <w:szCs w:val="28"/>
        </w:rPr>
        <w:t>项目名称：</w:t>
      </w:r>
      <w:r>
        <w:rPr>
          <w:rFonts w:hint="eastAsia" w:ascii="宋体" w:hAnsi="宋体"/>
          <w:b/>
          <w:spacing w:val="-20"/>
          <w:sz w:val="28"/>
          <w:szCs w:val="28"/>
          <w:u w:val="single"/>
          <w:lang w:eastAsia="zh-CN"/>
        </w:rPr>
        <w:t>成都市新都区石板滩街道木兰卫生院LED显示屏采购项目（第二次）</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新都政采（2021）A0036号-1</w:t>
      </w:r>
    </w:p>
    <w:p>
      <w:pPr>
        <w:snapToGrid w:val="0"/>
        <w:spacing w:line="360" w:lineRule="auto"/>
        <w:ind w:firstLine="560" w:firstLineChars="200"/>
        <w:rPr>
          <w:rFonts w:ascii="宋体" w:hAnsi="宋体"/>
        </w:rPr>
      </w:pPr>
      <w:r>
        <w:rPr>
          <w:rFonts w:hint="eastAsia" w:ascii="宋体" w:hAnsi="宋体"/>
          <w:sz w:val="28"/>
        </w:rPr>
        <w:t>我公司作为参加</w:t>
      </w:r>
      <w:r>
        <w:rPr>
          <w:rFonts w:hint="eastAsia" w:ascii="宋体" w:hAnsi="宋体"/>
          <w:b/>
          <w:sz w:val="28"/>
          <w:szCs w:val="28"/>
          <w:u w:val="single"/>
          <w:lang w:eastAsia="zh-CN"/>
        </w:rPr>
        <w:t>成都市新都区石板滩街道木兰卫生院LED显示屏采购项目（第二次）</w:t>
      </w:r>
      <w:r>
        <w:rPr>
          <w:rFonts w:hint="eastAsia" w:ascii="宋体" w:hAnsi="宋体"/>
          <w:sz w:val="28"/>
        </w:rPr>
        <w:t>的竞争性磋商的供应商，在此郑重承诺：</w:t>
      </w:r>
    </w:p>
    <w:p>
      <w:pPr>
        <w:pStyle w:val="82"/>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为本项目提供的所有产品、辅材中属于《国家强制性产品认证目录》范围内产品的，均通过国家强制性产品认证并取得认证证书。</w:t>
      </w:r>
    </w:p>
    <w:p>
      <w:pPr>
        <w:pStyle w:val="82"/>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为本项目提供的所有产品、辅材符合现行的强制性国家相关标准、行业标准。</w:t>
      </w:r>
    </w:p>
    <w:p>
      <w:pPr>
        <w:pStyle w:val="82"/>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供应商为本项目提供的所有产品中属于节能产品政府采购品目清单中的政府强制采购产品的，均应具有国家确定的认证机构出具的有效期内的节能产品认证证书。</w:t>
      </w:r>
    </w:p>
    <w:p>
      <w:pPr>
        <w:pStyle w:val="82"/>
        <w:numPr>
          <w:ilvl w:val="0"/>
          <w:numId w:val="38"/>
        </w:numPr>
        <w:tabs>
          <w:tab w:val="left" w:pos="1134"/>
        </w:tabs>
        <w:adjustRightInd w:val="0"/>
        <w:snapToGrid w:val="0"/>
        <w:spacing w:line="570" w:lineRule="exact"/>
        <w:ind w:left="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我方承诺完全响应</w:t>
      </w:r>
      <w:r>
        <w:rPr>
          <w:rFonts w:hint="eastAsia" w:ascii="宋体" w:hAnsi="宋体" w:eastAsia="宋体" w:cs="宋体"/>
          <w:color w:val="auto"/>
          <w:sz w:val="28"/>
          <w:szCs w:val="28"/>
          <w:highlight w:val="none"/>
          <w:lang w:eastAsia="zh-CN"/>
        </w:rPr>
        <w:t>磋商文件</w:t>
      </w: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val="en-US" w:eastAsia="zh-CN"/>
        </w:rPr>
        <w:t>3商务要求。</w:t>
      </w:r>
    </w:p>
    <w:p>
      <w:pPr>
        <w:pStyle w:val="82"/>
        <w:numPr>
          <w:ilvl w:val="0"/>
          <w:numId w:val="0"/>
        </w:numPr>
        <w:tabs>
          <w:tab w:val="left" w:pos="1134"/>
        </w:tabs>
        <w:adjustRightInd w:val="0"/>
        <w:snapToGrid w:val="0"/>
        <w:spacing w:line="570" w:lineRule="exact"/>
        <w:ind w:left="567" w:leftChars="0"/>
        <w:rPr>
          <w:rFonts w:hint="eastAsia" w:ascii="宋体" w:hAnsi="宋体" w:eastAsia="宋体" w:cs="宋体"/>
          <w:color w:val="auto"/>
          <w:sz w:val="28"/>
          <w:szCs w:val="28"/>
          <w:highlight w:val="none"/>
        </w:rPr>
      </w:pPr>
    </w:p>
    <w:p>
      <w:pPr>
        <w:pStyle w:val="82"/>
        <w:numPr>
          <w:ilvl w:val="0"/>
          <w:numId w:val="0"/>
        </w:numPr>
        <w:tabs>
          <w:tab w:val="left" w:pos="1134"/>
        </w:tabs>
        <w:adjustRightInd w:val="0"/>
        <w:snapToGrid w:val="0"/>
        <w:spacing w:line="570" w:lineRule="exact"/>
        <w:ind w:left="567" w:leftChars="0"/>
        <w:rPr>
          <w:rFonts w:hint="eastAsia" w:ascii="宋体" w:hAnsi="宋体" w:eastAsia="宋体" w:cs="宋体"/>
          <w:color w:val="auto"/>
          <w:sz w:val="28"/>
          <w:szCs w:val="28"/>
          <w:highlight w:val="none"/>
        </w:rPr>
      </w:pPr>
    </w:p>
    <w:p>
      <w:pPr>
        <w:snapToGrid w:val="0"/>
        <w:spacing w:line="360" w:lineRule="auto"/>
        <w:ind w:firstLine="560" w:firstLineChars="200"/>
        <w:rPr>
          <w:rFonts w:hint="eastAsia" w:ascii="宋体" w:hAnsi="宋体"/>
          <w:sz w:val="28"/>
          <w:u w:val="single"/>
        </w:rPr>
      </w:pPr>
      <w:r>
        <w:rPr>
          <w:rFonts w:hint="eastAsia" w:ascii="宋体" w:hAnsi="宋体"/>
          <w:sz w:val="28"/>
        </w:rPr>
        <w:t>供应商名称：</w:t>
      </w:r>
      <w:r>
        <w:rPr>
          <w:rFonts w:hint="eastAsia" w:ascii="宋体" w:hAnsi="宋体"/>
          <w:sz w:val="28"/>
          <w:u w:val="single"/>
        </w:rPr>
        <w:t xml:space="preserve"> XXXX </w:t>
      </w:r>
    </w:p>
    <w:p>
      <w:pPr>
        <w:snapToGrid w:val="0"/>
        <w:spacing w:line="360" w:lineRule="auto"/>
        <w:ind w:firstLine="560" w:firstLineChars="200"/>
        <w:rPr>
          <w:rFonts w:hint="eastAsia" w:ascii="宋体" w:hAnsi="宋体"/>
          <w:sz w:val="28"/>
        </w:rPr>
      </w:pPr>
      <w:r>
        <w:rPr>
          <w:rFonts w:hint="eastAsia" w:ascii="宋体" w:hAnsi="宋体"/>
          <w:sz w:val="28"/>
        </w:rPr>
        <w:t>日 期：</w:t>
      </w:r>
      <w:r>
        <w:rPr>
          <w:rFonts w:hint="eastAsia" w:ascii="宋体" w:hAnsi="宋体"/>
          <w:sz w:val="28"/>
          <w:u w:val="single"/>
        </w:rPr>
        <w:t>20XX</w:t>
      </w:r>
      <w:r>
        <w:rPr>
          <w:rFonts w:hint="eastAsia" w:ascii="宋体" w:hAnsi="宋体"/>
          <w:sz w:val="28"/>
        </w:rPr>
        <w:t>年</w:t>
      </w:r>
      <w:r>
        <w:rPr>
          <w:rFonts w:hint="eastAsia" w:ascii="宋体" w:hAnsi="宋体"/>
          <w:sz w:val="28"/>
          <w:u w:val="single"/>
        </w:rPr>
        <w:t>XX</w:t>
      </w:r>
      <w:r>
        <w:rPr>
          <w:rFonts w:hint="eastAsia" w:ascii="宋体" w:hAnsi="宋体"/>
          <w:sz w:val="28"/>
        </w:rPr>
        <w:t>月</w:t>
      </w:r>
      <w:r>
        <w:rPr>
          <w:rFonts w:hint="eastAsia" w:ascii="宋体" w:hAnsi="宋体"/>
          <w:sz w:val="28"/>
          <w:u w:val="single"/>
        </w:rPr>
        <w:t>XX</w:t>
      </w:r>
      <w:r>
        <w:rPr>
          <w:rFonts w:hint="eastAsia" w:ascii="宋体" w:hAnsi="宋体"/>
          <w:sz w:val="28"/>
        </w:rPr>
        <w:t>日</w:t>
      </w:r>
    </w:p>
    <w:p>
      <w:r>
        <w:rPr>
          <w:rFonts w:hint="eastAsia"/>
        </w:rPr>
        <w:br w:type="page"/>
      </w:r>
    </w:p>
    <w:p>
      <w:pPr>
        <w:pStyle w:val="4"/>
        <w:numPr>
          <w:ilvl w:val="1"/>
          <w:numId w:val="6"/>
        </w:numPr>
        <w:tabs>
          <w:tab w:val="left" w:pos="426"/>
          <w:tab w:val="left" w:pos="567"/>
        </w:tabs>
        <w:spacing w:before="0" w:after="200"/>
        <w:ind w:left="1985" w:hanging="1985"/>
        <w:jc w:val="both"/>
      </w:pPr>
      <w:bookmarkStart w:id="67" w:name="_Toc29259"/>
      <w:r>
        <w:rPr>
          <w:rFonts w:hint="eastAsia"/>
        </w:rPr>
        <w:t>报价要求响应文件</w:t>
      </w:r>
      <w:bookmarkEnd w:id="67"/>
    </w:p>
    <w:p>
      <w:pPr>
        <w:keepNext/>
        <w:keepLines/>
        <w:numPr>
          <w:ilvl w:val="2"/>
          <w:numId w:val="6"/>
        </w:numPr>
        <w:spacing w:line="360" w:lineRule="auto"/>
        <w:ind w:left="3119" w:hanging="3119"/>
        <w:outlineLvl w:val="2"/>
        <w:rPr>
          <w:rFonts w:hint="eastAsia" w:ascii="宋体" w:hAnsi="宋体"/>
          <w:b/>
          <w:bCs/>
          <w:kern w:val="0"/>
          <w:sz w:val="28"/>
          <w:szCs w:val="28"/>
          <w:highlight w:val="none"/>
        </w:rPr>
      </w:pPr>
      <w:r>
        <w:rPr>
          <w:rFonts w:hint="eastAsia" w:ascii="宋体" w:hAnsi="宋体"/>
          <w:b/>
          <w:bCs/>
          <w:kern w:val="0"/>
          <w:sz w:val="28"/>
          <w:szCs w:val="28"/>
          <w:highlight w:val="none"/>
        </w:rPr>
        <w:t>开标一览表</w:t>
      </w:r>
    </w:p>
    <w:tbl>
      <w:tblPr>
        <w:tblStyle w:val="43"/>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7" w:firstLineChars="152"/>
        <w:rPr>
          <w:rFonts w:hint="eastAsia" w:ascii="宋体" w:hAnsi="宋体"/>
          <w:b/>
          <w:bCs/>
          <w:sz w:val="28"/>
          <w:highlight w:val="yellow"/>
        </w:rPr>
      </w:pPr>
    </w:p>
    <w:p>
      <w:pPr>
        <w:tabs>
          <w:tab w:val="left" w:pos="1134"/>
        </w:tabs>
        <w:spacing w:line="560" w:lineRule="exact"/>
        <w:ind w:firstLine="427" w:firstLineChars="152"/>
        <w:rPr>
          <w:rFonts w:ascii="宋体" w:hAnsi="宋体"/>
          <w:b/>
          <w:bCs/>
          <w:sz w:val="28"/>
          <w:highlight w:val="none"/>
        </w:rPr>
      </w:pPr>
      <w:r>
        <w:rPr>
          <w:rFonts w:hint="eastAsia" w:ascii="宋体" w:hAnsi="宋体"/>
          <w:b/>
          <w:bCs/>
          <w:sz w:val="28"/>
          <w:szCs w:val="22"/>
          <w:highlight w:val="none"/>
        </w:rPr>
        <w:t>报价以</w:t>
      </w:r>
      <w:r>
        <w:rPr>
          <w:rFonts w:hint="eastAsia" w:ascii="宋体" w:hAnsi="宋体"/>
          <w:b/>
          <w:bCs/>
          <w:sz w:val="28"/>
          <w:szCs w:val="22"/>
          <w:highlight w:val="none"/>
          <w:lang w:eastAsia="zh-CN"/>
        </w:rPr>
        <w:t>供应商</w:t>
      </w:r>
      <w:r>
        <w:rPr>
          <w:rFonts w:hint="eastAsia" w:ascii="宋体" w:hAnsi="宋体"/>
          <w:b/>
          <w:bCs/>
          <w:sz w:val="28"/>
          <w:szCs w:val="22"/>
          <w:highlight w:val="none"/>
        </w:rPr>
        <w:t>在政府采购云平台开标一览表中填写的报价为准</w:t>
      </w:r>
      <w:r>
        <w:rPr>
          <w:rFonts w:hint="eastAsia" w:ascii="宋体" w:hAnsi="宋体"/>
          <w:b/>
          <w:bCs/>
          <w:sz w:val="28"/>
          <w:highlight w:val="none"/>
        </w:rPr>
        <w:t>。</w:t>
      </w:r>
    </w:p>
    <w:p>
      <w:pPr>
        <w:snapToGrid w:val="0"/>
        <w:spacing w:line="500" w:lineRule="exact"/>
        <w:ind w:left="1445" w:right="-57" w:rightChars="-27" w:hanging="1445" w:hangingChars="514"/>
        <w:rPr>
          <w:rFonts w:ascii="宋体" w:hAnsi="宋体"/>
          <w:b/>
          <w:bCs/>
          <w:sz w:val="28"/>
          <w:u w:val="single"/>
        </w:rPr>
      </w:pPr>
    </w:p>
    <w:p>
      <w:pPr>
        <w:spacing w:line="360" w:lineRule="auto"/>
        <w:rPr>
          <w:rFonts w:ascii="宋体" w:hAnsi="宋体"/>
          <w:b/>
          <w:sz w:val="28"/>
          <w:szCs w:val="28"/>
          <w:u w:val="singl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keepNext/>
        <w:keepLines/>
        <w:numPr>
          <w:ilvl w:val="2"/>
          <w:numId w:val="6"/>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p>
    <w:p>
      <w:pPr>
        <w:spacing w:line="360" w:lineRule="auto"/>
        <w:rPr>
          <w:rFonts w:hint="eastAsia" w:ascii="宋体" w:hAnsi="宋体" w:eastAsia="宋体"/>
          <w:b/>
          <w:spacing w:val="-20"/>
          <w:sz w:val="28"/>
          <w:szCs w:val="28"/>
          <w:u w:val="single"/>
          <w:lang w:eastAsia="zh-CN"/>
        </w:rPr>
      </w:pPr>
      <w:r>
        <w:rPr>
          <w:rFonts w:hint="eastAsia" w:ascii="宋体" w:hAnsi="宋体"/>
          <w:b/>
          <w:sz w:val="28"/>
          <w:szCs w:val="28"/>
        </w:rPr>
        <w:t>项目名称：</w:t>
      </w:r>
      <w:r>
        <w:rPr>
          <w:rFonts w:hint="eastAsia" w:ascii="宋体" w:hAnsi="宋体"/>
          <w:b/>
          <w:spacing w:val="-20"/>
          <w:sz w:val="28"/>
          <w:szCs w:val="28"/>
          <w:u w:val="single"/>
          <w:lang w:eastAsia="zh-CN"/>
        </w:rPr>
        <w:t>成都市新都区石板滩街道木兰卫生院LED显示屏采购项目（第二次）</w:t>
      </w:r>
    </w:p>
    <w:p>
      <w:pPr>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新都政采（2021）A0036号-1</w:t>
      </w:r>
    </w:p>
    <w:p>
      <w:pPr>
        <w:numPr>
          <w:ilvl w:val="0"/>
          <w:numId w:val="39"/>
        </w:numPr>
        <w:tabs>
          <w:tab w:val="left" w:pos="630"/>
          <w:tab w:val="left" w:pos="7560"/>
        </w:tabs>
        <w:spacing w:after="200" w:line="360" w:lineRule="auto"/>
        <w:ind w:left="0" w:firstLine="0"/>
        <w:rPr>
          <w:rFonts w:ascii="宋体" w:hAnsi="宋体"/>
          <w:b/>
          <w:sz w:val="28"/>
          <w:highlight w:val="none"/>
        </w:rPr>
      </w:pPr>
      <w:r>
        <w:rPr>
          <w:rFonts w:hint="eastAsia" w:ascii="宋体" w:hAnsi="宋体"/>
          <w:b/>
          <w:sz w:val="28"/>
        </w:rPr>
        <w:t>分项报价明细</w:t>
      </w:r>
      <w:r>
        <w:rPr>
          <w:rFonts w:hint="eastAsia" w:ascii="宋体" w:hAnsi="宋体"/>
          <w:b/>
          <w:sz w:val="28"/>
          <w:highlight w:val="none"/>
        </w:rPr>
        <w:t>表（供应商应根据其报价的构成提供详细的分项价格明细表，如表格不能满足需要，可自行制表填写</w:t>
      </w:r>
      <w:r>
        <w:rPr>
          <w:rFonts w:hint="eastAsia" w:ascii="宋体" w:hAnsi="宋体"/>
          <w:b/>
          <w:sz w:val="28"/>
          <w:highlight w:val="none"/>
          <w:lang w:eastAsia="zh-CN"/>
        </w:rPr>
        <w:t>。</w:t>
      </w:r>
      <w:r>
        <w:rPr>
          <w:rFonts w:hint="eastAsia" w:ascii="宋体" w:hAnsi="宋体"/>
          <w:b/>
          <w:sz w:val="28"/>
          <w:highlight w:val="none"/>
        </w:rPr>
        <w:t>）</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152"/>
        <w:gridCol w:w="894"/>
        <w:gridCol w:w="895"/>
        <w:gridCol w:w="895"/>
        <w:gridCol w:w="895"/>
        <w:gridCol w:w="1066"/>
        <w:gridCol w:w="898"/>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序号</w:t>
            </w:r>
          </w:p>
        </w:tc>
        <w:tc>
          <w:tcPr>
            <w:tcW w:w="115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hint="eastAsia" w:ascii="宋体" w:hAnsi="宋体"/>
                <w:b/>
                <w:bCs/>
                <w:sz w:val="24"/>
                <w:szCs w:val="28"/>
                <w:lang w:eastAsia="zh-CN"/>
              </w:rPr>
              <w:t>标的物</w:t>
            </w:r>
            <w:r>
              <w:rPr>
                <w:rFonts w:ascii="宋体" w:hAnsi="宋体"/>
                <w:b/>
                <w:bCs/>
                <w:sz w:val="24"/>
                <w:szCs w:val="28"/>
              </w:rPr>
              <w:t>名称</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品牌</w:t>
            </w: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规格型号</w:t>
            </w: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制造商</w:t>
            </w: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进口或国产</w:t>
            </w:r>
          </w:p>
        </w:tc>
        <w:tc>
          <w:tcPr>
            <w:tcW w:w="1066"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数量</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
                <w:bCs/>
                <w:sz w:val="24"/>
                <w:szCs w:val="28"/>
              </w:rPr>
            </w:pPr>
            <w:r>
              <w:rPr>
                <w:rFonts w:ascii="宋体" w:hAnsi="宋体"/>
                <w:b/>
                <w:bCs/>
                <w:sz w:val="24"/>
                <w:szCs w:val="28"/>
              </w:rPr>
              <w:t>单价</w:t>
            </w: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rPr>
            </w:pPr>
            <w:r>
              <w:rPr>
                <w:rFonts w:ascii="宋体" w:hAnsi="宋体"/>
                <w:b/>
                <w:bCs/>
                <w:sz w:val="24"/>
                <w:szCs w:val="28"/>
              </w:rPr>
              <w:t>总价</w:t>
            </w:r>
            <w:r>
              <w:rPr>
                <w:rFonts w:hint="eastAsia" w:ascii="宋体" w:hAnsi="宋体"/>
                <w:b/>
                <w:bCs/>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1</w:t>
            </w:r>
          </w:p>
        </w:tc>
        <w:tc>
          <w:tcPr>
            <w:tcW w:w="115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液晶拼接单元（一）</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宋体" w:hAnsi="宋体" w:eastAsia="宋体"/>
                <w:bCs/>
                <w:sz w:val="24"/>
                <w:szCs w:val="28"/>
                <w:highlight w:val="none"/>
                <w:lang w:val="en-US" w:eastAsia="zh-CN"/>
              </w:rPr>
            </w:pPr>
            <w:r>
              <w:rPr>
                <w:rFonts w:hint="eastAsia" w:ascii="仿宋" w:hAnsi="仿宋" w:eastAsia="仿宋" w:cs="仿宋"/>
                <w:color w:val="auto"/>
                <w:kern w:val="0"/>
                <w:sz w:val="24"/>
                <w:szCs w:val="24"/>
                <w:highlight w:val="none"/>
                <w:lang w:val="en-US" w:eastAsia="zh-CN" w:bidi="ar-SA"/>
              </w:rPr>
              <w:t>9台</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2</w:t>
            </w:r>
          </w:p>
        </w:tc>
        <w:tc>
          <w:tcPr>
            <w:tcW w:w="115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LCD屏支架（一）</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宋体" w:hAnsi="宋体" w:eastAsia="宋体"/>
                <w:bCs/>
                <w:sz w:val="24"/>
                <w:szCs w:val="28"/>
                <w:highlight w:val="none"/>
                <w:lang w:val="en-US" w:eastAsia="zh-CN"/>
              </w:rPr>
            </w:pPr>
            <w:r>
              <w:rPr>
                <w:rFonts w:hint="eastAsia" w:ascii="仿宋" w:hAnsi="仿宋" w:eastAsia="仿宋" w:cs="仿宋"/>
                <w:color w:val="auto"/>
                <w:kern w:val="0"/>
                <w:sz w:val="24"/>
                <w:szCs w:val="24"/>
                <w:highlight w:val="none"/>
                <w:lang w:val="en-US" w:eastAsia="zh-CN" w:bidi="ar-SA"/>
              </w:rPr>
              <w:t>9套</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3</w:t>
            </w:r>
          </w:p>
        </w:tc>
        <w:tc>
          <w:tcPr>
            <w:tcW w:w="115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视音频线缆（一）</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宋体" w:hAnsi="宋体" w:eastAsia="宋体"/>
                <w:bCs/>
                <w:sz w:val="24"/>
                <w:szCs w:val="28"/>
                <w:highlight w:val="none"/>
                <w:lang w:val="en-US" w:eastAsia="zh-CN"/>
              </w:rPr>
            </w:pPr>
            <w:r>
              <w:rPr>
                <w:rFonts w:hint="eastAsia" w:ascii="仿宋" w:hAnsi="仿宋" w:eastAsia="仿宋" w:cs="仿宋"/>
                <w:color w:val="auto"/>
                <w:kern w:val="0"/>
                <w:sz w:val="24"/>
                <w:szCs w:val="24"/>
                <w:highlight w:val="none"/>
                <w:lang w:val="en-US" w:eastAsia="zh-CN" w:bidi="ar-SA"/>
              </w:rPr>
              <w:t>1根</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4</w:t>
            </w:r>
          </w:p>
        </w:tc>
        <w:tc>
          <w:tcPr>
            <w:tcW w:w="115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分频器（一）</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宋体" w:hAnsi="宋体" w:eastAsia="宋体"/>
                <w:bCs/>
                <w:sz w:val="24"/>
                <w:szCs w:val="28"/>
                <w:highlight w:val="none"/>
                <w:lang w:val="en-US" w:eastAsia="zh-CN"/>
              </w:rPr>
            </w:pPr>
            <w:r>
              <w:rPr>
                <w:rFonts w:hint="eastAsia" w:ascii="仿宋" w:hAnsi="仿宋" w:eastAsia="仿宋" w:cs="仿宋"/>
                <w:color w:val="auto"/>
                <w:kern w:val="0"/>
                <w:sz w:val="24"/>
                <w:szCs w:val="24"/>
                <w:highlight w:val="none"/>
                <w:lang w:val="en-US" w:eastAsia="zh-CN" w:bidi="ar-SA"/>
              </w:rPr>
              <w:t>1个</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5</w:t>
            </w:r>
          </w:p>
        </w:tc>
        <w:tc>
          <w:tcPr>
            <w:tcW w:w="115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液晶拼接单元（二）</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suppressLineNumbers w:val="0"/>
              <w:kinsoku/>
              <w:wordWrap/>
              <w:overflowPunct/>
              <w:topLinePunct w:val="0"/>
              <w:bidi w:val="0"/>
              <w:adjustRightInd/>
              <w:snapToGrid/>
              <w:spacing w:line="360" w:lineRule="auto"/>
              <w:ind w:firstLine="0" w:firstLineChars="0"/>
              <w:jc w:val="center"/>
              <w:textAlignment w:val="center"/>
              <w:outlineLvl w:val="9"/>
              <w:rPr>
                <w:rFonts w:hint="default" w:ascii="宋体" w:hAnsi="宋体" w:eastAsia="宋体"/>
                <w:bCs/>
                <w:sz w:val="24"/>
                <w:szCs w:val="28"/>
                <w:highlight w:val="none"/>
                <w:lang w:val="en-US" w:eastAsia="zh-CN"/>
              </w:rPr>
            </w:pPr>
            <w:r>
              <w:rPr>
                <w:rFonts w:hint="eastAsia" w:ascii="仿宋" w:hAnsi="仿宋" w:eastAsia="仿宋" w:cs="仿宋"/>
                <w:color w:val="auto"/>
                <w:kern w:val="0"/>
                <w:sz w:val="24"/>
                <w:szCs w:val="24"/>
                <w:highlight w:val="none"/>
                <w:lang w:val="en-US" w:eastAsia="zh-CN" w:bidi="ar-SA"/>
              </w:rPr>
              <w:t>12台</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6</w:t>
            </w:r>
          </w:p>
        </w:tc>
        <w:tc>
          <w:tcPr>
            <w:tcW w:w="1152" w:type="dxa"/>
            <w:tcBorders>
              <w:top w:val="single" w:color="auto" w:sz="2" w:space="0"/>
              <w:left w:val="single" w:color="auto" w:sz="2" w:space="0"/>
              <w:bottom w:val="single" w:color="auto" w:sz="2" w:space="0"/>
              <w:right w:val="single" w:color="auto" w:sz="2" w:space="0"/>
            </w:tcBorders>
            <w:vAlign w:val="top"/>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LCD屏支架（二）</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widowControl/>
              <w:spacing w:after="0" w:line="240" w:lineRule="auto"/>
              <w:jc w:val="center"/>
              <w:textAlignment w:val="center"/>
              <w:rPr>
                <w:rFonts w:hint="eastAsia" w:ascii="宋体" w:hAnsi="宋体" w:eastAsia="宋体"/>
                <w:bCs/>
                <w:sz w:val="24"/>
                <w:szCs w:val="28"/>
                <w:highlight w:val="none"/>
                <w:lang w:val="en-US" w:eastAsia="zh-CN"/>
              </w:rPr>
            </w:pPr>
            <w:r>
              <w:rPr>
                <w:rFonts w:hint="eastAsia" w:ascii="宋体" w:hAnsi="宋体" w:eastAsia="宋体" w:cs="宋体"/>
                <w:color w:val="000000"/>
                <w:kern w:val="0"/>
                <w:sz w:val="24"/>
                <w:szCs w:val="24"/>
                <w:highlight w:val="none"/>
                <w:lang w:val="en-US" w:eastAsia="zh-CN"/>
              </w:rPr>
              <w:t>12</w:t>
            </w:r>
            <w:r>
              <w:rPr>
                <w:rFonts w:hint="eastAsia" w:ascii="宋体" w:hAnsi="宋体" w:cs="宋体"/>
                <w:color w:val="000000"/>
                <w:kern w:val="0"/>
                <w:sz w:val="24"/>
                <w:szCs w:val="24"/>
                <w:highlight w:val="none"/>
                <w:lang w:val="en-US" w:eastAsia="zh-CN"/>
              </w:rPr>
              <w:t>套</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7</w:t>
            </w:r>
          </w:p>
        </w:tc>
        <w:tc>
          <w:tcPr>
            <w:tcW w:w="1152" w:type="dxa"/>
            <w:tcBorders>
              <w:top w:val="single" w:color="auto" w:sz="2" w:space="0"/>
              <w:left w:val="single" w:color="auto" w:sz="2" w:space="0"/>
              <w:bottom w:val="single" w:color="auto" w:sz="2" w:space="0"/>
              <w:right w:val="single" w:color="auto" w:sz="2" w:space="0"/>
            </w:tcBorders>
            <w:vAlign w:val="top"/>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视音频线缆（二）</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widowControl/>
              <w:spacing w:after="0" w:line="240" w:lineRule="auto"/>
              <w:jc w:val="center"/>
              <w:textAlignment w:val="center"/>
              <w:rPr>
                <w:rFonts w:hint="eastAsia" w:ascii="宋体" w:hAnsi="宋体" w:eastAsia="宋体"/>
                <w:bCs/>
                <w:sz w:val="24"/>
                <w:szCs w:val="28"/>
                <w:highlight w:val="none"/>
                <w:lang w:val="en-US" w:eastAsia="zh-CN"/>
              </w:rPr>
            </w:pPr>
            <w:r>
              <w:rPr>
                <w:rFonts w:hint="eastAsia" w:ascii="宋体" w:hAnsi="宋体" w:cs="宋体"/>
                <w:color w:val="000000"/>
                <w:kern w:val="0"/>
                <w:sz w:val="24"/>
                <w:szCs w:val="24"/>
                <w:highlight w:val="none"/>
                <w:lang w:val="en-US" w:eastAsia="zh-CN"/>
              </w:rPr>
              <w:t>1根</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8</w:t>
            </w:r>
          </w:p>
        </w:tc>
        <w:tc>
          <w:tcPr>
            <w:tcW w:w="1152" w:type="dxa"/>
            <w:tcBorders>
              <w:top w:val="single" w:color="auto" w:sz="2" w:space="0"/>
              <w:left w:val="single" w:color="auto" w:sz="2" w:space="0"/>
              <w:bottom w:val="single" w:color="auto" w:sz="2" w:space="0"/>
              <w:right w:val="single" w:color="auto" w:sz="2" w:space="0"/>
            </w:tcBorders>
            <w:vAlign w:val="top"/>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分频器（二）</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widowControl/>
              <w:spacing w:after="0" w:line="240" w:lineRule="auto"/>
              <w:jc w:val="center"/>
              <w:textAlignment w:val="center"/>
              <w:rPr>
                <w:rFonts w:hint="eastAsia" w:ascii="宋体" w:hAnsi="宋体" w:eastAsia="宋体"/>
                <w:bCs/>
                <w:sz w:val="24"/>
                <w:szCs w:val="28"/>
                <w:highlight w:val="none"/>
                <w:lang w:val="en-US" w:eastAsia="zh-CN"/>
              </w:rPr>
            </w:pPr>
            <w:r>
              <w:rPr>
                <w:rFonts w:hint="eastAsia" w:ascii="宋体" w:hAnsi="宋体" w:eastAsia="宋体" w:cs="宋体"/>
                <w:color w:val="000000"/>
                <w:kern w:val="0"/>
                <w:sz w:val="24"/>
                <w:szCs w:val="24"/>
                <w:highlight w:val="none"/>
                <w:lang w:val="en-US" w:eastAsia="zh-CN"/>
              </w:rPr>
              <w:t>1</w:t>
            </w:r>
            <w:r>
              <w:rPr>
                <w:rFonts w:hint="eastAsia" w:ascii="宋体" w:hAnsi="宋体" w:cs="宋体"/>
                <w:color w:val="000000"/>
                <w:kern w:val="0"/>
                <w:sz w:val="24"/>
                <w:szCs w:val="24"/>
                <w:highlight w:val="none"/>
                <w:lang w:val="en-US" w:eastAsia="zh-CN"/>
              </w:rPr>
              <w:t>个</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eastAsia" w:ascii="宋体" w:hAnsi="宋体" w:eastAsia="宋体"/>
                <w:bCs/>
                <w:sz w:val="24"/>
                <w:szCs w:val="28"/>
                <w:highlight w:val="none"/>
                <w:lang w:val="en-US" w:eastAsia="zh-CN"/>
              </w:rPr>
            </w:pPr>
            <w:r>
              <w:rPr>
                <w:rFonts w:hint="eastAsia" w:ascii="宋体" w:hAnsi="宋体"/>
                <w:bCs/>
                <w:sz w:val="24"/>
                <w:szCs w:val="28"/>
                <w:highlight w:val="none"/>
                <w:lang w:val="en-US" w:eastAsia="zh-CN"/>
              </w:rPr>
              <w:t>9</w:t>
            </w:r>
          </w:p>
        </w:tc>
        <w:tc>
          <w:tcPr>
            <w:tcW w:w="115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P3户内表贴全彩LED屏</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widowControl/>
              <w:spacing w:after="0" w:line="240" w:lineRule="auto"/>
              <w:jc w:val="center"/>
              <w:textAlignment w:val="center"/>
              <w:rPr>
                <w:rFonts w:hint="eastAsia" w:ascii="宋体" w:hAnsi="宋体" w:eastAsia="宋体"/>
                <w:bCs/>
                <w:sz w:val="24"/>
                <w:szCs w:val="28"/>
                <w:highlight w:val="none"/>
                <w:lang w:val="en-US" w:eastAsia="zh-CN"/>
              </w:rPr>
            </w:pPr>
            <w:r>
              <w:rPr>
                <w:rFonts w:hint="eastAsia" w:ascii="宋体" w:hAnsi="宋体" w:eastAsia="宋体" w:cs="宋体"/>
                <w:color w:val="000000"/>
                <w:kern w:val="0"/>
                <w:sz w:val="24"/>
                <w:szCs w:val="24"/>
                <w:highlight w:val="none"/>
                <w:lang w:val="en-US" w:eastAsia="zh-CN"/>
              </w:rPr>
              <w:t>1</w:t>
            </w:r>
            <w:r>
              <w:rPr>
                <w:rFonts w:hint="eastAsia" w:ascii="宋体" w:hAnsi="宋体" w:cs="宋体"/>
                <w:color w:val="000000"/>
                <w:kern w:val="0"/>
                <w:sz w:val="24"/>
                <w:szCs w:val="24"/>
                <w:highlight w:val="none"/>
                <w:lang w:val="en-US" w:eastAsia="zh-CN"/>
              </w:rPr>
              <w:t>套</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default" w:ascii="宋体" w:hAnsi="宋体" w:eastAsia="宋体"/>
                <w:bCs/>
                <w:sz w:val="24"/>
                <w:szCs w:val="28"/>
                <w:highlight w:val="none"/>
                <w:lang w:val="en-US" w:eastAsia="zh-CN"/>
              </w:rPr>
            </w:pPr>
            <w:r>
              <w:rPr>
                <w:rFonts w:hint="eastAsia" w:ascii="宋体" w:hAnsi="宋体"/>
                <w:bCs/>
                <w:sz w:val="24"/>
                <w:szCs w:val="28"/>
                <w:highlight w:val="none"/>
                <w:lang w:val="en-US" w:eastAsia="zh-CN"/>
              </w:rPr>
              <w:t>10</w:t>
            </w:r>
          </w:p>
        </w:tc>
        <w:tc>
          <w:tcPr>
            <w:tcW w:w="115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P10户外直插单红LED屏</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widowControl/>
              <w:spacing w:after="0" w:line="240" w:lineRule="auto"/>
              <w:jc w:val="center"/>
              <w:textAlignment w:val="center"/>
              <w:rPr>
                <w:rFonts w:hint="eastAsia" w:ascii="宋体" w:hAnsi="宋体" w:eastAsia="宋体"/>
                <w:bCs/>
                <w:sz w:val="24"/>
                <w:szCs w:val="28"/>
                <w:highlight w:val="none"/>
                <w:lang w:val="en-US" w:eastAsia="zh-CN"/>
              </w:rPr>
            </w:pPr>
            <w:r>
              <w:rPr>
                <w:rFonts w:hint="eastAsia" w:ascii="宋体" w:hAnsi="宋体" w:eastAsia="宋体" w:cs="宋体"/>
                <w:color w:val="000000"/>
                <w:kern w:val="0"/>
                <w:sz w:val="24"/>
                <w:szCs w:val="24"/>
                <w:highlight w:val="none"/>
                <w:lang w:val="en-US" w:eastAsia="zh-CN"/>
              </w:rPr>
              <w:t>1</w:t>
            </w:r>
            <w:r>
              <w:rPr>
                <w:rFonts w:hint="eastAsia" w:ascii="宋体" w:hAnsi="宋体" w:cs="宋体"/>
                <w:color w:val="000000"/>
                <w:kern w:val="0"/>
                <w:sz w:val="24"/>
                <w:szCs w:val="24"/>
                <w:highlight w:val="none"/>
                <w:lang w:val="en-US" w:eastAsia="zh-CN"/>
              </w:rPr>
              <w:t>套</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default" w:ascii="宋体" w:hAnsi="宋体" w:eastAsia="宋体"/>
                <w:bCs/>
                <w:sz w:val="24"/>
                <w:szCs w:val="28"/>
                <w:highlight w:val="none"/>
                <w:lang w:val="en-US" w:eastAsia="zh-CN"/>
              </w:rPr>
            </w:pPr>
            <w:r>
              <w:rPr>
                <w:rFonts w:hint="eastAsia" w:ascii="宋体" w:hAnsi="宋体"/>
                <w:bCs/>
                <w:sz w:val="24"/>
                <w:szCs w:val="28"/>
                <w:highlight w:val="none"/>
                <w:lang w:val="en-US" w:eastAsia="zh-CN"/>
              </w:rPr>
              <w:t>11</w:t>
            </w:r>
          </w:p>
        </w:tc>
        <w:tc>
          <w:tcPr>
            <w:tcW w:w="115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视频控制器</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widowControl/>
              <w:spacing w:after="0" w:line="240" w:lineRule="auto"/>
              <w:jc w:val="center"/>
              <w:textAlignment w:val="center"/>
              <w:rPr>
                <w:rFonts w:hint="eastAsia" w:ascii="宋体" w:hAnsi="宋体" w:eastAsia="宋体"/>
                <w:bCs/>
                <w:sz w:val="24"/>
                <w:szCs w:val="28"/>
                <w:highlight w:val="none"/>
                <w:lang w:val="en-US" w:eastAsia="zh-CN"/>
              </w:rPr>
            </w:pPr>
            <w:r>
              <w:rPr>
                <w:rFonts w:hint="eastAsia" w:ascii="宋体" w:hAnsi="宋体" w:cs="宋体"/>
                <w:color w:val="000000"/>
                <w:kern w:val="0"/>
                <w:sz w:val="24"/>
                <w:szCs w:val="24"/>
                <w:highlight w:val="none"/>
                <w:lang w:val="en-US" w:eastAsia="zh-CN"/>
              </w:rPr>
              <w:t>1台</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default" w:ascii="宋体" w:hAnsi="宋体" w:eastAsia="宋体"/>
                <w:bCs/>
                <w:sz w:val="24"/>
                <w:szCs w:val="28"/>
                <w:highlight w:val="none"/>
                <w:lang w:val="en-US" w:eastAsia="zh-CN"/>
              </w:rPr>
            </w:pPr>
            <w:r>
              <w:rPr>
                <w:rFonts w:hint="eastAsia" w:ascii="宋体" w:hAnsi="宋体"/>
                <w:bCs/>
                <w:sz w:val="24"/>
                <w:szCs w:val="28"/>
                <w:highlight w:val="none"/>
                <w:lang w:val="en-US" w:eastAsia="zh-CN"/>
              </w:rPr>
              <w:t>12</w:t>
            </w:r>
          </w:p>
        </w:tc>
        <w:tc>
          <w:tcPr>
            <w:tcW w:w="115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接收卡</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eastAsia" w:ascii="宋体" w:hAnsi="宋体" w:eastAsia="宋体"/>
                <w:bCs/>
                <w:sz w:val="24"/>
                <w:szCs w:val="28"/>
                <w:highlight w:val="none"/>
                <w:lang w:val="en-US" w:eastAsia="zh-CN"/>
              </w:rPr>
            </w:pPr>
            <w:r>
              <w:rPr>
                <w:rFonts w:hint="eastAsia" w:ascii="仿宋" w:hAnsi="仿宋" w:eastAsia="仿宋" w:cs="仿宋"/>
                <w:color w:val="auto"/>
                <w:kern w:val="0"/>
                <w:sz w:val="24"/>
                <w:szCs w:val="24"/>
                <w:highlight w:val="none"/>
                <w:lang w:val="en-US" w:eastAsia="zh-CN"/>
              </w:rPr>
              <w:t>1批</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default" w:ascii="宋体" w:hAnsi="宋体" w:eastAsia="宋体"/>
                <w:bCs/>
                <w:sz w:val="24"/>
                <w:szCs w:val="28"/>
                <w:highlight w:val="none"/>
                <w:lang w:val="en-US" w:eastAsia="zh-CN"/>
              </w:rPr>
            </w:pPr>
            <w:r>
              <w:rPr>
                <w:rFonts w:hint="eastAsia" w:ascii="宋体" w:hAnsi="宋体"/>
                <w:bCs/>
                <w:sz w:val="24"/>
                <w:szCs w:val="28"/>
                <w:highlight w:val="none"/>
                <w:lang w:val="en-US" w:eastAsia="zh-CN"/>
              </w:rPr>
              <w:t>13</w:t>
            </w:r>
          </w:p>
        </w:tc>
        <w:tc>
          <w:tcPr>
            <w:tcW w:w="115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显示屏专用配电柜</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p>
        </w:tc>
        <w:tc>
          <w:tcPr>
            <w:tcW w:w="106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eastAsia" w:ascii="宋体" w:hAnsi="宋体" w:eastAsia="宋体"/>
                <w:bCs/>
                <w:sz w:val="24"/>
                <w:szCs w:val="28"/>
                <w:highlight w:val="none"/>
                <w:lang w:val="en-US" w:eastAsia="zh-CN"/>
              </w:rPr>
            </w:pPr>
            <w:r>
              <w:rPr>
                <w:rFonts w:hint="eastAsia" w:ascii="仿宋" w:hAnsi="仿宋" w:eastAsia="仿宋" w:cs="仿宋"/>
                <w:color w:val="auto"/>
                <w:kern w:val="0"/>
                <w:sz w:val="24"/>
                <w:szCs w:val="24"/>
                <w:highlight w:val="none"/>
                <w:lang w:val="en-US" w:eastAsia="zh-CN"/>
              </w:rPr>
              <w:t>1台</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hint="default" w:ascii="宋体" w:hAnsi="宋体" w:eastAsia="宋体"/>
                <w:bCs/>
                <w:sz w:val="24"/>
                <w:szCs w:val="28"/>
                <w:highlight w:val="none"/>
                <w:lang w:val="en-US" w:eastAsia="zh-CN"/>
              </w:rPr>
            </w:pPr>
            <w:r>
              <w:rPr>
                <w:rFonts w:hint="eastAsia" w:ascii="宋体" w:hAnsi="宋体"/>
                <w:bCs/>
                <w:sz w:val="24"/>
                <w:szCs w:val="28"/>
                <w:highlight w:val="none"/>
                <w:lang w:val="en-US" w:eastAsia="zh-CN"/>
              </w:rPr>
              <w:t>14</w:t>
            </w:r>
          </w:p>
        </w:tc>
        <w:tc>
          <w:tcPr>
            <w:tcW w:w="1152"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宋体" w:hAnsi="宋体" w:eastAsia="宋体" w:cs="Times New Roman"/>
                <w:bCs/>
                <w:kern w:val="2"/>
                <w:sz w:val="24"/>
                <w:szCs w:val="28"/>
                <w:highlight w:val="none"/>
                <w:lang w:val="en-US" w:eastAsia="zh-CN" w:bidi="ar-SA"/>
              </w:rPr>
            </w:pPr>
            <w:r>
              <w:rPr>
                <w:rFonts w:hint="eastAsia" w:ascii="宋体" w:hAnsi="宋体" w:eastAsia="宋体" w:cs="Times New Roman"/>
                <w:bCs/>
                <w:kern w:val="2"/>
                <w:sz w:val="24"/>
                <w:szCs w:val="28"/>
                <w:highlight w:val="none"/>
                <w:lang w:val="en-US" w:eastAsia="zh-CN" w:bidi="ar-SA"/>
              </w:rPr>
              <w:t>安装、系统集成</w:t>
            </w:r>
          </w:p>
        </w:tc>
        <w:tc>
          <w:tcPr>
            <w:tcW w:w="894"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ascii="宋体" w:hAnsi="宋体"/>
                <w:bCs/>
                <w:sz w:val="24"/>
                <w:szCs w:val="28"/>
                <w:highlight w:val="none"/>
                <w:lang w:val="en-US" w:eastAsia="zh-CN"/>
              </w:rPr>
              <w:t>/</w:t>
            </w: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ascii="宋体" w:hAnsi="宋体"/>
                <w:bCs/>
                <w:sz w:val="24"/>
                <w:szCs w:val="28"/>
                <w:highlight w:val="none"/>
                <w:lang w:val="en-US" w:eastAsia="zh-CN"/>
              </w:rPr>
              <w:t>/</w:t>
            </w: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ascii="宋体" w:hAnsi="宋体"/>
                <w:bCs/>
                <w:sz w:val="24"/>
                <w:szCs w:val="28"/>
                <w:highlight w:val="none"/>
                <w:lang w:val="en-US" w:eastAsia="zh-CN"/>
              </w:rPr>
              <w:t>/</w:t>
            </w:r>
          </w:p>
        </w:tc>
        <w:tc>
          <w:tcPr>
            <w:tcW w:w="895"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none"/>
              </w:rPr>
            </w:pPr>
            <w:r>
              <w:rPr>
                <w:rFonts w:hint="eastAsia" w:ascii="宋体" w:hAnsi="宋体"/>
                <w:bCs/>
                <w:sz w:val="24"/>
                <w:szCs w:val="28"/>
                <w:highlight w:val="none"/>
                <w:lang w:val="en-US" w:eastAsia="zh-CN"/>
              </w:rPr>
              <w:t>/</w:t>
            </w:r>
          </w:p>
        </w:tc>
        <w:tc>
          <w:tcPr>
            <w:tcW w:w="106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eastAsia" w:ascii="宋体" w:hAnsi="宋体" w:eastAsia="宋体"/>
                <w:bCs/>
                <w:sz w:val="24"/>
                <w:szCs w:val="28"/>
                <w:highlight w:val="none"/>
                <w:lang w:val="en-US" w:eastAsia="zh-CN"/>
              </w:rPr>
            </w:pPr>
            <w:r>
              <w:rPr>
                <w:rFonts w:hint="eastAsia" w:ascii="仿宋" w:hAnsi="仿宋" w:eastAsia="仿宋" w:cs="仿宋"/>
                <w:color w:val="auto"/>
                <w:kern w:val="0"/>
                <w:sz w:val="24"/>
                <w:szCs w:val="24"/>
                <w:highlight w:val="none"/>
                <w:lang w:val="en-US" w:eastAsia="zh-CN"/>
              </w:rPr>
              <w:t>1项</w:t>
            </w:r>
          </w:p>
        </w:tc>
        <w:tc>
          <w:tcPr>
            <w:tcW w:w="898"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c>
          <w:tcPr>
            <w:tcW w:w="932" w:type="dxa"/>
            <w:tcBorders>
              <w:top w:val="single" w:color="auto" w:sz="2" w:space="0"/>
              <w:left w:val="single" w:color="auto" w:sz="2" w:space="0"/>
              <w:bottom w:val="single" w:color="auto" w:sz="2" w:space="0"/>
              <w:right w:val="single" w:color="auto" w:sz="2" w:space="0"/>
            </w:tcBorders>
            <w:vAlign w:val="center"/>
          </w:tcPr>
          <w:p>
            <w:pPr>
              <w:pStyle w:val="26"/>
              <w:ind w:left="0" w:leftChars="0"/>
              <w:rPr>
                <w:rFonts w:ascii="宋体" w:hAnsi="宋体"/>
                <w:bCs/>
                <w:sz w:val="24"/>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90" w:type="dxa"/>
            <w:gridSpan w:val="8"/>
            <w:tcBorders>
              <w:top w:val="single" w:color="auto" w:sz="2" w:space="0"/>
              <w:left w:val="single" w:color="auto" w:sz="2" w:space="0"/>
              <w:bottom w:val="single" w:color="auto" w:sz="2" w:space="0"/>
              <w:right w:val="single" w:color="auto" w:sz="4" w:space="0"/>
            </w:tcBorders>
            <w:vAlign w:val="center"/>
          </w:tcPr>
          <w:p>
            <w:pPr>
              <w:pStyle w:val="26"/>
              <w:ind w:left="0" w:leftChars="0"/>
              <w:jc w:val="center"/>
              <w:rPr>
                <w:rFonts w:ascii="宋体" w:hAnsi="宋体"/>
                <w:bCs/>
                <w:sz w:val="24"/>
                <w:szCs w:val="28"/>
              </w:rPr>
            </w:pPr>
            <w:r>
              <w:rPr>
                <w:rFonts w:hint="eastAsia" w:ascii="宋体" w:hAnsi="宋体"/>
                <w:bCs/>
                <w:sz w:val="24"/>
                <w:szCs w:val="28"/>
              </w:rPr>
              <w:t>总报价（总价合计）</w:t>
            </w:r>
          </w:p>
        </w:tc>
        <w:tc>
          <w:tcPr>
            <w:tcW w:w="932" w:type="dxa"/>
            <w:tcBorders>
              <w:top w:val="single" w:color="auto" w:sz="2" w:space="0"/>
              <w:left w:val="single" w:color="auto" w:sz="4" w:space="0"/>
              <w:bottom w:val="single" w:color="auto" w:sz="2" w:space="0"/>
              <w:right w:val="single" w:color="auto" w:sz="2" w:space="0"/>
            </w:tcBorders>
            <w:vAlign w:val="center"/>
          </w:tcPr>
          <w:p>
            <w:pPr>
              <w:pStyle w:val="26"/>
              <w:ind w:left="0" w:leftChars="0"/>
              <w:rPr>
                <w:rFonts w:ascii="宋体" w:hAnsi="宋体"/>
                <w:bCs/>
                <w:sz w:val="24"/>
                <w:szCs w:val="28"/>
              </w:rPr>
            </w:pP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pPr>
      <w:r>
        <w:rPr>
          <w:rFonts w:hint="eastAsia" w:ascii="宋体" w:hAnsi="宋体"/>
          <w:b/>
          <w:sz w:val="28"/>
          <w:szCs w:val="28"/>
        </w:rPr>
        <w:t>2、分项报价明细表格式中</w:t>
      </w:r>
      <w:r>
        <w:rPr>
          <w:rFonts w:hint="eastAsia" w:ascii="宋体" w:hAnsi="宋体" w:eastAsia="宋体" w:cs="Times New Roman"/>
          <w:b/>
          <w:sz w:val="28"/>
          <w:szCs w:val="28"/>
          <w:lang w:val="en-US" w:eastAsia="zh-CN"/>
        </w:rPr>
        <w:t>(除</w:t>
      </w:r>
      <w:r>
        <w:rPr>
          <w:rFonts w:hint="eastAsia" w:ascii="宋体" w:hAnsi="宋体"/>
          <w:b/>
          <w:sz w:val="28"/>
          <w:szCs w:val="28"/>
          <w:lang w:val="en-US" w:eastAsia="zh-CN"/>
        </w:rPr>
        <w:t>安装、系统集成）</w:t>
      </w:r>
      <w:r>
        <w:rPr>
          <w:rFonts w:hint="eastAsia" w:ascii="宋体" w:hAnsi="宋体"/>
          <w:b/>
          <w:sz w:val="28"/>
          <w:szCs w:val="28"/>
        </w:rPr>
        <w:t>要求填写品牌、规格型号、制造商、进口或国产的，供应商必须载明其报价产品的品牌、规格型号、制造商、进口或国产。</w:t>
      </w:r>
    </w:p>
    <w:p>
      <w:pPr>
        <w:spacing w:line="360" w:lineRule="auto"/>
        <w:rPr>
          <w:rFonts w:ascii="宋体" w:hAnsi="宋体"/>
          <w:sz w:val="28"/>
          <w:lang w:val="zh-CN"/>
        </w:rPr>
      </w:pPr>
      <w:r>
        <w:rPr>
          <w:rFonts w:hint="eastAsia" w:ascii="宋体" w:hAnsi="宋体"/>
          <w:sz w:val="28"/>
          <w:lang w:val="zh-CN"/>
        </w:rPr>
        <w:t>供应商名称：</w:t>
      </w:r>
      <w:r>
        <w:rPr>
          <w:rFonts w:ascii="宋体" w:hAnsi="宋体"/>
          <w:sz w:val="28"/>
          <w:u w:val="single"/>
          <w:lang w:val="zh-CN"/>
        </w:rPr>
        <w:t>XXXXXXXX</w:t>
      </w:r>
    </w:p>
    <w:p>
      <w:pPr>
        <w:rPr>
          <w:rFonts w:ascii="宋体" w:hAnsi="宋体"/>
          <w:bCs/>
          <w:sz w:val="28"/>
        </w:rPr>
      </w:pPr>
      <w:r>
        <w:rPr>
          <w:rFonts w:ascii="宋体" w:hAnsi="宋体"/>
          <w:sz w:val="28"/>
        </w:rPr>
        <w:t>日期：</w:t>
      </w:r>
      <w:r>
        <w:rPr>
          <w:rFonts w:ascii="宋体" w:hAnsi="宋体"/>
          <w:bCs/>
          <w:sz w:val="28"/>
        </w:rPr>
        <w:t>202X年XX月XX日</w:t>
      </w:r>
    </w:p>
    <w:p>
      <w:pPr>
        <w:rPr>
          <w:rFonts w:ascii="宋体" w:hAnsi="宋体"/>
          <w:bCs/>
          <w:sz w:val="28"/>
        </w:rPr>
      </w:pPr>
    </w:p>
    <w:p>
      <w:pPr>
        <w:rPr>
          <w:rFonts w:hint="eastAsia" w:ascii="宋体" w:hAnsi="宋体"/>
          <w:b/>
          <w:sz w:val="28"/>
          <w:szCs w:val="28"/>
        </w:rPr>
      </w:pPr>
      <w:r>
        <w:rPr>
          <w:rFonts w:hint="eastAsia" w:ascii="宋体" w:hAnsi="宋体"/>
          <w:b/>
          <w:sz w:val="28"/>
          <w:szCs w:val="28"/>
        </w:rPr>
        <w:br w:type="page"/>
      </w:r>
    </w:p>
    <w:p>
      <w:pPr>
        <w:pStyle w:val="3"/>
        <w:widowControl/>
        <w:numPr>
          <w:ilvl w:val="0"/>
          <w:numId w:val="6"/>
        </w:numPr>
        <w:spacing w:line="360" w:lineRule="auto"/>
        <w:ind w:left="0" w:firstLine="0"/>
      </w:pPr>
      <w:bookmarkStart w:id="68" w:name="_Toc21273"/>
      <w:r>
        <w:rPr>
          <w:rFonts w:hint="eastAsia"/>
        </w:rPr>
        <w:t>技术、服务、商务及其他要求</w:t>
      </w:r>
      <w:bookmarkEnd w:id="68"/>
    </w:p>
    <w:p>
      <w:pPr>
        <w:pStyle w:val="4"/>
        <w:numPr>
          <w:ilvl w:val="1"/>
          <w:numId w:val="6"/>
        </w:numPr>
        <w:tabs>
          <w:tab w:val="left" w:pos="426"/>
          <w:tab w:val="left" w:pos="567"/>
        </w:tabs>
        <w:spacing w:before="0" w:after="200"/>
        <w:jc w:val="both"/>
      </w:pPr>
      <w:bookmarkStart w:id="69" w:name="_Toc1829"/>
      <w:r>
        <w:rPr>
          <w:rFonts w:hint="eastAsia"/>
        </w:rPr>
        <w:t>采购内容</w:t>
      </w:r>
      <w:bookmarkEnd w:id="69"/>
    </w:p>
    <w:tbl>
      <w:tblPr>
        <w:tblStyle w:val="42"/>
        <w:tblW w:w="9381" w:type="dxa"/>
        <w:jc w:val="center"/>
        <w:tblInd w:w="0" w:type="dxa"/>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1787"/>
        <w:gridCol w:w="3532"/>
        <w:gridCol w:w="853"/>
        <w:gridCol w:w="1607"/>
        <w:gridCol w:w="1602"/>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产品名称</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单位</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数量</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标的物所属行业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液晶拼接单元（一）</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台</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LCD屏支架（一）</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视音频线缆</w:t>
            </w:r>
            <w:r>
              <w:rPr>
                <w:rFonts w:hint="eastAsia" w:ascii="仿宋" w:hAnsi="仿宋" w:eastAsia="仿宋" w:cs="仿宋"/>
                <w:color w:val="auto"/>
                <w:sz w:val="24"/>
                <w:szCs w:val="24"/>
                <w:highlight w:val="none"/>
                <w:lang w:val="en-US" w:eastAsia="zh-CN"/>
              </w:rPr>
              <w:t>（一）</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根</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分频器（一）</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个</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液晶拼接单元（二）</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LCD屏支架（二）</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套</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视音频线缆（二）</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分频器（二）</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个</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P3户内表贴全彩LED屏</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套</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P10户外直插单红LED屏</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套</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视频控制器</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台</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接收卡</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批</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显示屏专用配电柜</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台</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工业</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Ex>
        <w:trPr>
          <w:trHeight w:val="567" w:hRule="atLeast"/>
          <w:jc w:val="center"/>
        </w:trPr>
        <w:tc>
          <w:tcPr>
            <w:tcW w:w="17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35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bidi="ar-SA"/>
              </w:rPr>
              <w:t>安装、系统集成</w:t>
            </w:r>
          </w:p>
        </w:tc>
        <w:tc>
          <w:tcPr>
            <w:tcW w:w="85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项</w:t>
            </w:r>
          </w:p>
        </w:tc>
        <w:tc>
          <w:tcPr>
            <w:tcW w:w="16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6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r>
    </w:tbl>
    <w:p/>
    <w:p>
      <w:pPr>
        <w:pStyle w:val="4"/>
        <w:numPr>
          <w:ilvl w:val="1"/>
          <w:numId w:val="6"/>
        </w:numPr>
        <w:tabs>
          <w:tab w:val="left" w:pos="426"/>
          <w:tab w:val="left" w:pos="567"/>
        </w:tabs>
        <w:spacing w:before="0" w:after="200"/>
        <w:jc w:val="both"/>
      </w:pPr>
      <w:bookmarkStart w:id="70" w:name="_Toc31119"/>
      <w:r>
        <w:rPr>
          <w:rFonts w:hint="eastAsia"/>
        </w:rPr>
        <w:t>技术参数及要求</w:t>
      </w:r>
      <w:bookmarkEnd w:id="70"/>
    </w:p>
    <w:tbl>
      <w:tblPr>
        <w:tblStyle w:val="43"/>
        <w:tblpPr w:leftFromText="180" w:rightFromText="180" w:vertAnchor="text" w:horzAnchor="page" w:tblpX="735" w:tblpY="688"/>
        <w:tblOverlap w:val="never"/>
        <w:tblW w:w="10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596"/>
        <w:gridCol w:w="6167"/>
        <w:gridCol w:w="879"/>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b/>
                <w:bCs/>
                <w:color w:val="auto"/>
                <w:kern w:val="0"/>
                <w:sz w:val="24"/>
                <w:szCs w:val="24"/>
                <w:highlight w:val="none"/>
                <w:vertAlign w:val="baseline"/>
              </w:rPr>
            </w:pPr>
            <w:r>
              <w:rPr>
                <w:rFonts w:hint="eastAsia" w:ascii="仿宋" w:hAnsi="仿宋" w:eastAsia="仿宋" w:cs="仿宋"/>
                <w:color w:val="auto"/>
                <w:sz w:val="24"/>
                <w:szCs w:val="24"/>
                <w:highlight w:val="none"/>
              </w:rPr>
              <w:t>序号</w:t>
            </w:r>
          </w:p>
        </w:tc>
        <w:tc>
          <w:tcPr>
            <w:tcW w:w="1596" w:type="dxa"/>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b/>
                <w:bCs/>
                <w:color w:val="auto"/>
                <w:kern w:val="0"/>
                <w:sz w:val="24"/>
                <w:szCs w:val="24"/>
                <w:highlight w:val="none"/>
                <w:vertAlign w:val="baseline"/>
              </w:rPr>
            </w:pPr>
            <w:r>
              <w:rPr>
                <w:rFonts w:hint="eastAsia" w:ascii="仿宋" w:hAnsi="仿宋" w:eastAsia="仿宋" w:cs="仿宋"/>
                <w:color w:val="auto"/>
                <w:sz w:val="24"/>
                <w:szCs w:val="24"/>
                <w:highlight w:val="none"/>
              </w:rPr>
              <w:t>设备名称</w:t>
            </w:r>
          </w:p>
        </w:tc>
        <w:tc>
          <w:tcPr>
            <w:tcW w:w="6167" w:type="dxa"/>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b/>
                <w:bCs/>
                <w:color w:val="auto"/>
                <w:kern w:val="0"/>
                <w:sz w:val="24"/>
                <w:szCs w:val="24"/>
                <w:highlight w:val="none"/>
                <w:vertAlign w:val="baseline"/>
              </w:rPr>
            </w:pPr>
            <w:r>
              <w:rPr>
                <w:rFonts w:hint="eastAsia" w:ascii="仿宋" w:hAnsi="仿宋" w:eastAsia="仿宋" w:cs="仿宋"/>
                <w:color w:val="auto"/>
                <w:sz w:val="24"/>
                <w:szCs w:val="24"/>
                <w:highlight w:val="none"/>
              </w:rPr>
              <w:t>技术要求</w:t>
            </w:r>
          </w:p>
        </w:tc>
        <w:tc>
          <w:tcPr>
            <w:tcW w:w="879" w:type="dxa"/>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b/>
                <w:bCs/>
                <w:color w:val="auto"/>
                <w:kern w:val="0"/>
                <w:sz w:val="24"/>
                <w:szCs w:val="24"/>
                <w:highlight w:val="none"/>
                <w:vertAlign w:val="baseline"/>
                <w:lang w:eastAsia="zh-CN"/>
              </w:rPr>
            </w:pPr>
            <w:r>
              <w:rPr>
                <w:rFonts w:hint="eastAsia" w:ascii="仿宋" w:hAnsi="仿宋" w:eastAsia="仿宋" w:cs="仿宋"/>
                <w:b/>
                <w:bCs/>
                <w:color w:val="auto"/>
                <w:kern w:val="0"/>
                <w:sz w:val="24"/>
                <w:szCs w:val="24"/>
                <w:highlight w:val="none"/>
                <w:vertAlign w:val="baseline"/>
                <w:lang w:eastAsia="zh-CN"/>
              </w:rPr>
              <w:t>单位</w:t>
            </w:r>
          </w:p>
        </w:tc>
        <w:tc>
          <w:tcPr>
            <w:tcW w:w="1002"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b/>
                <w:bCs/>
                <w:color w:val="auto"/>
                <w:kern w:val="0"/>
                <w:sz w:val="24"/>
                <w:szCs w:val="24"/>
                <w:highlight w:val="none"/>
                <w:vertAlign w:val="baseline"/>
              </w:rPr>
            </w:pPr>
            <w:r>
              <w:rPr>
                <w:rFonts w:hint="eastAsia" w:ascii="仿宋" w:hAnsi="仿宋" w:eastAsia="仿宋" w:cs="仿宋"/>
                <w:color w:val="auto"/>
                <w:sz w:val="24"/>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b/>
                <w:bCs/>
                <w:color w:val="auto"/>
                <w:kern w:val="0"/>
                <w:sz w:val="24"/>
                <w:szCs w:val="24"/>
                <w:highlight w:val="none"/>
                <w:vertAlign w:val="baseline"/>
              </w:rPr>
            </w:pPr>
            <w:r>
              <w:rPr>
                <w:rFonts w:hint="eastAsia" w:ascii="仿宋" w:hAnsi="仿宋" w:eastAsia="仿宋" w:cs="仿宋"/>
                <w:color w:val="auto"/>
                <w:sz w:val="24"/>
                <w:szCs w:val="24"/>
                <w:highlight w:val="none"/>
              </w:rPr>
              <w:t>1</w:t>
            </w:r>
          </w:p>
        </w:tc>
        <w:tc>
          <w:tcPr>
            <w:tcW w:w="1596" w:type="dxa"/>
            <w:vAlign w:val="center"/>
          </w:tcPr>
          <w:p>
            <w:pPr>
              <w:keepNext w:val="0"/>
              <w:keepLines w:val="0"/>
              <w:pageBreakBefore w:val="0"/>
              <w:kinsoku/>
              <w:wordWrap/>
              <w:overflowPunct/>
              <w:topLinePunct w:val="0"/>
              <w:bidi w:val="0"/>
              <w:adjustRightInd/>
              <w:snapToGrid/>
              <w:spacing w:line="360" w:lineRule="auto"/>
              <w:ind w:firstLine="0" w:firstLineChars="0"/>
              <w:jc w:val="center"/>
              <w:outlineLvl w:val="9"/>
              <w:rPr>
                <w:rFonts w:hint="eastAsia" w:ascii="仿宋" w:hAnsi="仿宋" w:eastAsia="仿宋" w:cs="仿宋"/>
                <w:b/>
                <w:bCs/>
                <w:color w:val="auto"/>
                <w:kern w:val="0"/>
                <w:sz w:val="24"/>
                <w:szCs w:val="24"/>
                <w:highlight w:val="none"/>
                <w:vertAlign w:val="baseline"/>
              </w:rPr>
            </w:pPr>
            <w:bookmarkStart w:id="71" w:name="OLE_LINK5"/>
            <w:r>
              <w:rPr>
                <w:rFonts w:hint="eastAsia" w:ascii="仿宋" w:hAnsi="仿宋" w:eastAsia="仿宋" w:cs="仿宋"/>
                <w:b/>
                <w:bCs/>
                <w:color w:val="auto"/>
                <w:kern w:val="0"/>
                <w:sz w:val="24"/>
                <w:szCs w:val="24"/>
                <w:highlight w:val="none"/>
              </w:rPr>
              <w:t>液晶拼接单元</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0"/>
                <w:sz w:val="24"/>
                <w:szCs w:val="24"/>
                <w:highlight w:val="none"/>
                <w:lang w:val="en-US" w:eastAsia="zh-CN"/>
              </w:rPr>
              <w:t>一</w:t>
            </w:r>
            <w:r>
              <w:rPr>
                <w:rFonts w:hint="eastAsia" w:ascii="仿宋" w:hAnsi="仿宋" w:eastAsia="仿宋" w:cs="仿宋"/>
                <w:b/>
                <w:bCs/>
                <w:color w:val="auto"/>
                <w:kern w:val="0"/>
                <w:sz w:val="24"/>
                <w:szCs w:val="24"/>
                <w:highlight w:val="none"/>
                <w:lang w:eastAsia="zh-CN"/>
              </w:rPr>
              <w:t>）</w:t>
            </w:r>
            <w:r>
              <w:rPr>
                <w:rFonts w:hint="eastAsia" w:ascii="仿宋" w:hAnsi="仿宋" w:eastAsia="仿宋" w:cs="仿宋"/>
                <w:b/>
                <w:bCs/>
                <w:color w:val="auto"/>
                <w:kern w:val="2"/>
                <w:sz w:val="24"/>
                <w:szCs w:val="24"/>
                <w:highlight w:val="none"/>
                <w:lang w:val="en-US" w:eastAsia="zh-CN" w:bidi="ar-SA"/>
              </w:rPr>
              <w:t>（强制节能产品）</w:t>
            </w:r>
            <w:bookmarkEnd w:id="71"/>
          </w:p>
        </w:tc>
        <w:tc>
          <w:tcPr>
            <w:tcW w:w="6167" w:type="dxa"/>
            <w:vAlign w:val="center"/>
          </w:tcPr>
          <w:p>
            <w:pPr>
              <w:pStyle w:val="279"/>
              <w:keepNext w:val="0"/>
              <w:keepLines w:val="0"/>
              <w:pageBreakBefore w:val="0"/>
              <w:widowControl w:val="0"/>
              <w:kinsoku/>
              <w:wordWrap w:val="0"/>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显示尺寸</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55英寸</w:t>
            </w:r>
            <w:r>
              <w:rPr>
                <w:rFonts w:hint="eastAsia" w:ascii="仿宋" w:hAnsi="仿宋" w:eastAsia="仿宋" w:cs="仿宋"/>
                <w:color w:val="auto"/>
                <w:kern w:val="0"/>
                <w:sz w:val="24"/>
                <w:szCs w:val="24"/>
                <w:highlight w:val="none"/>
                <w:lang w:val="en-US" w:eastAsia="zh-CN"/>
              </w:rPr>
              <w:t>液晶拼接屏</w:t>
            </w:r>
            <w:r>
              <w:rPr>
                <w:rFonts w:hint="eastAsia" w:ascii="仿宋" w:hAnsi="仿宋" w:eastAsia="仿宋" w:cs="仿宋"/>
                <w:color w:val="auto"/>
                <w:kern w:val="0"/>
                <w:sz w:val="24"/>
                <w:szCs w:val="24"/>
                <w:highlight w:val="none"/>
                <w:lang w:eastAsia="zh-CN"/>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整机一体化的无风扇散热方案设计</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采用工业级的全高清液晶面板，整机全金属结构</w:t>
            </w:r>
            <w:r>
              <w:rPr>
                <w:rFonts w:hint="eastAsia" w:ascii="仿宋" w:hAnsi="仿宋" w:eastAsia="仿宋" w:cs="仿宋"/>
                <w:color w:val="auto"/>
                <w:kern w:val="0"/>
                <w:sz w:val="24"/>
                <w:szCs w:val="24"/>
                <w:highlight w:val="none"/>
                <w:lang w:eastAsia="zh-CN"/>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bookmarkStart w:id="72" w:name="OLE_LINK1"/>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物理拼缝≤3.5 mm；整机厚度≤112mm；（</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液晶拼接屏必须采用整机设计，严禁使用飞线屏，显示屏具备完整后壳，不得以支架或挡板替代，无任何裸露在外的电路线，整体美观大方，而且产品符合检测规范，（</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亮度≥600cd/m2；对比度≥4000:1（</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亮度均匀性≥75%；亮度鉴别等级≥11级；（</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分辨率 ≥1920*1080；水平分辨力≥1000TVL；色彩≥32Bit；（</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输入接口：≥1路HDMI输入；≥1路DVI输入；≥1路</w:t>
            </w:r>
            <w:r>
              <w:rPr>
                <w:rFonts w:hint="eastAsia" w:ascii="仿宋" w:hAnsi="仿宋" w:eastAsia="仿宋" w:cs="仿宋"/>
                <w:color w:val="auto"/>
                <w:kern w:val="0"/>
                <w:sz w:val="24"/>
                <w:szCs w:val="24"/>
                <w:highlight w:val="none"/>
                <w:lang w:val="en-US" w:eastAsia="zh-CN"/>
              </w:rPr>
              <w:t>CVBS</w:t>
            </w:r>
            <w:r>
              <w:rPr>
                <w:rFonts w:hint="eastAsia" w:ascii="仿宋" w:hAnsi="仿宋" w:eastAsia="仿宋" w:cs="仿宋"/>
                <w:color w:val="auto"/>
                <w:kern w:val="0"/>
                <w:sz w:val="24"/>
                <w:szCs w:val="24"/>
                <w:highlight w:val="none"/>
              </w:rPr>
              <w:t>输入；≥1路VGA输入；≥1路RS232输入；≥1路USB输入。输出接口：≥2路RS232输出； （</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内置Media解码器，方便用户播放图片、视频等文件（</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在亮度和对比度设置50%，距离3倍屏幕高度的距离</w:t>
            </w:r>
            <w:r>
              <w:rPr>
                <w:rFonts w:hint="eastAsia" w:ascii="仿宋" w:hAnsi="仿宋" w:eastAsia="仿宋" w:cs="仿宋"/>
                <w:color w:val="auto"/>
                <w:sz w:val="24"/>
                <w:szCs w:val="24"/>
                <w:highlight w:val="none"/>
              </w:rPr>
              <w:t>漏光度</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0.004cd/㎡，在照度95Klx下整机能够正常工作；（</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sz w:val="24"/>
                <w:szCs w:val="24"/>
                <w:highlight w:val="none"/>
                <w:lang w:val="en-US" w:eastAsia="zh-CN"/>
              </w:rPr>
              <w:t>输入全黑场信号后，再输入全白场信号，整机由暗变亮的</w:t>
            </w:r>
            <w:r>
              <w:rPr>
                <w:rFonts w:hint="eastAsia" w:ascii="仿宋" w:hAnsi="仿宋" w:eastAsia="仿宋" w:cs="仿宋"/>
                <w:color w:val="auto"/>
                <w:sz w:val="24"/>
                <w:szCs w:val="24"/>
                <w:highlight w:val="none"/>
              </w:rPr>
              <w:t>响应时间≤6ms（</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bookmarkEnd w:id="72"/>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LCD显示单元支持边缘屏蔽功能，智能去除黑边功能，可消除显示终端上存在的黑边，及因拼缝带来的图像变形；</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eastAsia="zh-CN"/>
              </w:rPr>
              <w:t>、</w:t>
            </w:r>
            <w:bookmarkStart w:id="73" w:name="OLE_LINK2"/>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工作状态下</w:t>
            </w:r>
            <w:r>
              <w:rPr>
                <w:rFonts w:hint="eastAsia" w:ascii="仿宋" w:hAnsi="仿宋" w:eastAsia="仿宋" w:cs="仿宋"/>
                <w:color w:val="auto"/>
                <w:kern w:val="0"/>
                <w:sz w:val="24"/>
                <w:szCs w:val="24"/>
                <w:highlight w:val="none"/>
                <w:lang w:val="en-US" w:eastAsia="zh-CN"/>
              </w:rPr>
              <w:t>距离</w:t>
            </w:r>
            <w:r>
              <w:rPr>
                <w:rFonts w:hint="eastAsia" w:ascii="仿宋" w:hAnsi="仿宋" w:eastAsia="仿宋" w:cs="仿宋"/>
                <w:color w:val="auto"/>
                <w:kern w:val="0"/>
                <w:sz w:val="24"/>
                <w:szCs w:val="24"/>
                <w:highlight w:val="none"/>
              </w:rPr>
              <w:t>整机正面1米</w:t>
            </w:r>
            <w:r>
              <w:rPr>
                <w:rFonts w:hint="eastAsia" w:ascii="仿宋" w:hAnsi="仿宋" w:eastAsia="仿宋" w:cs="仿宋"/>
                <w:color w:val="auto"/>
                <w:kern w:val="0"/>
                <w:sz w:val="24"/>
                <w:szCs w:val="24"/>
                <w:highlight w:val="none"/>
                <w:lang w:val="en-US" w:eastAsia="zh-CN"/>
              </w:rPr>
              <w:t>处</w:t>
            </w:r>
            <w:r>
              <w:rPr>
                <w:rFonts w:hint="eastAsia" w:ascii="仿宋" w:hAnsi="仿宋" w:eastAsia="仿宋" w:cs="仿宋"/>
                <w:color w:val="auto"/>
                <w:kern w:val="0"/>
                <w:sz w:val="24"/>
                <w:szCs w:val="24"/>
                <w:highlight w:val="none"/>
              </w:rPr>
              <w:t>工作噪声≤20db（A）、背面工作噪声≤28db（A），待机状态下</w:t>
            </w:r>
            <w:r>
              <w:rPr>
                <w:rFonts w:hint="eastAsia" w:ascii="仿宋" w:hAnsi="仿宋" w:eastAsia="仿宋" w:cs="仿宋"/>
                <w:color w:val="auto"/>
                <w:kern w:val="0"/>
                <w:sz w:val="24"/>
                <w:szCs w:val="24"/>
                <w:highlight w:val="none"/>
                <w:lang w:val="en-US" w:eastAsia="zh-CN"/>
              </w:rPr>
              <w:t>距离</w:t>
            </w:r>
            <w:r>
              <w:rPr>
                <w:rFonts w:hint="eastAsia" w:ascii="仿宋" w:hAnsi="仿宋" w:eastAsia="仿宋" w:cs="仿宋"/>
                <w:color w:val="auto"/>
                <w:kern w:val="0"/>
                <w:sz w:val="24"/>
                <w:szCs w:val="24"/>
                <w:highlight w:val="none"/>
              </w:rPr>
              <w:t>整机背面1米</w:t>
            </w:r>
            <w:r>
              <w:rPr>
                <w:rFonts w:hint="eastAsia" w:ascii="仿宋" w:hAnsi="仿宋" w:eastAsia="仿宋" w:cs="仿宋"/>
                <w:color w:val="auto"/>
                <w:kern w:val="0"/>
                <w:sz w:val="24"/>
                <w:szCs w:val="24"/>
                <w:highlight w:val="none"/>
                <w:lang w:val="en-US" w:eastAsia="zh-CN"/>
              </w:rPr>
              <w:t>处</w:t>
            </w:r>
            <w:r>
              <w:rPr>
                <w:rFonts w:hint="eastAsia" w:ascii="仿宋" w:hAnsi="仿宋" w:eastAsia="仿宋" w:cs="仿宋"/>
                <w:color w:val="auto"/>
                <w:kern w:val="0"/>
                <w:sz w:val="24"/>
                <w:szCs w:val="24"/>
                <w:highlight w:val="none"/>
              </w:rPr>
              <w:t>工作噪声≤24db（A）</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bookmarkEnd w:id="73"/>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rPr>
              <w:t>、</w:t>
            </w:r>
            <w:bookmarkStart w:id="74" w:name="OLE_LINK3"/>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液晶拼接屏待机功耗≤0.5W; （</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bookmarkEnd w:id="74"/>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lang w:eastAsia="zh-CN"/>
              </w:rPr>
              <w:t>、</w:t>
            </w:r>
            <w:bookmarkStart w:id="75" w:name="OLE_LINK4"/>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可视角度可达≥178°，使得画质清晰、逼真，还原性更好、层次感更突出。（</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bookmarkEnd w:id="75"/>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16、系统管理控制软件包，大屏控制软件具备C/S和B/S结构：中文界面，可实现多用户操作管理，网络远程遥控管理，并能与集中控制系统一起实现一体化操作管理</w:t>
            </w:r>
          </w:p>
        </w:tc>
        <w:tc>
          <w:tcPr>
            <w:tcW w:w="879"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台</w:t>
            </w:r>
          </w:p>
        </w:tc>
        <w:tc>
          <w:tcPr>
            <w:tcW w:w="1002"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w:t>
            </w:r>
          </w:p>
        </w:tc>
        <w:tc>
          <w:tcPr>
            <w:tcW w:w="1596"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LCD屏支架</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一</w:t>
            </w:r>
            <w:r>
              <w:rPr>
                <w:rFonts w:hint="eastAsia" w:ascii="仿宋" w:hAnsi="仿宋" w:eastAsia="仿宋" w:cs="仿宋"/>
                <w:b w:val="0"/>
                <w:bCs w:val="0"/>
                <w:color w:val="auto"/>
                <w:kern w:val="0"/>
                <w:sz w:val="24"/>
                <w:szCs w:val="24"/>
                <w:highlight w:val="none"/>
                <w:lang w:eastAsia="zh-CN"/>
              </w:rPr>
              <w:t>）</w:t>
            </w:r>
          </w:p>
        </w:tc>
        <w:tc>
          <w:tcPr>
            <w:tcW w:w="6167" w:type="dxa"/>
            <w:vAlign w:val="center"/>
          </w:tcPr>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1、前维护支架，大小680mm*1210mm 厚度125mm-135mm可调</w:t>
            </w:r>
          </w:p>
        </w:tc>
        <w:tc>
          <w:tcPr>
            <w:tcW w:w="879"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套</w:t>
            </w:r>
          </w:p>
        </w:tc>
        <w:tc>
          <w:tcPr>
            <w:tcW w:w="1002"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3</w:t>
            </w:r>
          </w:p>
        </w:tc>
        <w:tc>
          <w:tcPr>
            <w:tcW w:w="1596" w:type="dxa"/>
            <w:vAlign w:val="center"/>
          </w:tcPr>
          <w:p>
            <w:pPr>
              <w:keepNext w:val="0"/>
              <w:keepLines w:val="0"/>
              <w:pageBreakBefore w:val="0"/>
              <w:widowControl/>
              <w:kinsoku/>
              <w:wordWrap/>
              <w:overflowPunct/>
              <w:topLinePunct w:val="0"/>
              <w:bidi w:val="0"/>
              <w:adjustRightInd/>
              <w:snapToGrid/>
              <w:spacing w:line="360" w:lineRule="auto"/>
              <w:ind w:firstLine="0" w:firstLineChars="0"/>
              <w:jc w:val="center"/>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bidi="ar"/>
              </w:rPr>
              <w:t>视音频线缆</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一</w:t>
            </w:r>
            <w:r>
              <w:rPr>
                <w:rFonts w:hint="eastAsia" w:ascii="仿宋" w:hAnsi="仿宋" w:eastAsia="仿宋" w:cs="仿宋"/>
                <w:b w:val="0"/>
                <w:bCs w:val="0"/>
                <w:color w:val="auto"/>
                <w:kern w:val="0"/>
                <w:sz w:val="24"/>
                <w:szCs w:val="24"/>
                <w:highlight w:val="none"/>
                <w:lang w:eastAsia="zh-CN"/>
              </w:rPr>
              <w:t>）</w:t>
            </w:r>
          </w:p>
        </w:tc>
        <w:tc>
          <w:tcPr>
            <w:tcW w:w="6167" w:type="dxa"/>
            <w:vAlign w:val="center"/>
          </w:tcPr>
          <w:p>
            <w:pPr>
              <w:keepNext w:val="0"/>
              <w:keepLines w:val="0"/>
              <w:pageBreakBefore w:val="0"/>
              <w:widowControl/>
              <w:kinsoku/>
              <w:wordWrap/>
              <w:overflowPunct/>
              <w:topLinePunct w:val="0"/>
              <w:bidi w:val="0"/>
              <w:adjustRightInd/>
              <w:snapToGrid/>
              <w:spacing w:line="360" w:lineRule="auto"/>
              <w:ind w:firstLine="0" w:firstLineChars="0"/>
              <w:jc w:val="both"/>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
              </w:rPr>
              <w:t>1、</w:t>
            </w:r>
            <w:r>
              <w:rPr>
                <w:rFonts w:hint="eastAsia" w:ascii="仿宋" w:hAnsi="仿宋" w:eastAsia="仿宋" w:cs="仿宋"/>
                <w:color w:val="auto"/>
                <w:kern w:val="0"/>
                <w:sz w:val="24"/>
                <w:szCs w:val="24"/>
                <w:highlight w:val="none"/>
                <w:lang w:bidi="ar"/>
              </w:rPr>
              <w:t>HDMI电缆,</w:t>
            </w:r>
            <w:r>
              <w:rPr>
                <w:rFonts w:hint="eastAsia" w:ascii="仿宋" w:hAnsi="仿宋" w:eastAsia="仿宋" w:cs="仿宋"/>
                <w:color w:val="auto"/>
                <w:kern w:val="0"/>
                <w:sz w:val="24"/>
                <w:szCs w:val="24"/>
                <w:highlight w:val="none"/>
                <w:lang w:val="en-US" w:eastAsia="zh-CN" w:bidi="ar"/>
              </w:rPr>
              <w:t>15</w:t>
            </w:r>
            <w:r>
              <w:rPr>
                <w:rFonts w:hint="eastAsia" w:ascii="仿宋" w:hAnsi="仿宋" w:eastAsia="仿宋" w:cs="仿宋"/>
                <w:color w:val="auto"/>
                <w:kern w:val="0"/>
                <w:sz w:val="24"/>
                <w:szCs w:val="24"/>
                <w:highlight w:val="none"/>
                <w:lang w:bidi="ar"/>
              </w:rPr>
              <w:t>m</w:t>
            </w:r>
            <w:r>
              <w:rPr>
                <w:rFonts w:hint="eastAsia" w:ascii="仿宋" w:hAnsi="仿宋" w:eastAsia="仿宋" w:cs="仿宋"/>
                <w:color w:val="auto"/>
                <w:kern w:val="0"/>
                <w:sz w:val="24"/>
                <w:szCs w:val="24"/>
                <w:highlight w:val="none"/>
                <w:lang w:bidi="ar"/>
              </w:rPr>
              <w:br w:type="textWrapping"/>
            </w:r>
            <w:r>
              <w:rPr>
                <w:rFonts w:hint="eastAsia" w:ascii="仿宋" w:hAnsi="仿宋" w:eastAsia="仿宋" w:cs="仿宋"/>
                <w:color w:val="auto"/>
                <w:kern w:val="0"/>
                <w:sz w:val="24"/>
                <w:szCs w:val="24"/>
                <w:highlight w:val="none"/>
                <w:lang w:val="en-US" w:eastAsia="zh-CN" w:bidi="ar"/>
              </w:rPr>
              <w:t>2、</w:t>
            </w:r>
            <w:r>
              <w:rPr>
                <w:rFonts w:hint="eastAsia" w:ascii="仿宋" w:hAnsi="仿宋" w:eastAsia="仿宋" w:cs="仿宋"/>
                <w:color w:val="auto"/>
                <w:kern w:val="0"/>
                <w:sz w:val="24"/>
                <w:szCs w:val="24"/>
                <w:highlight w:val="none"/>
                <w:lang w:bidi="ar"/>
              </w:rPr>
              <w:t>端子镀金，耐氧化，阻抗小，信号传输更稳定。</w:t>
            </w:r>
            <w:r>
              <w:rPr>
                <w:rFonts w:hint="eastAsia" w:ascii="仿宋" w:hAnsi="仿宋" w:eastAsia="仿宋" w:cs="仿宋"/>
                <w:color w:val="auto"/>
                <w:kern w:val="0"/>
                <w:sz w:val="24"/>
                <w:szCs w:val="24"/>
                <w:highlight w:val="none"/>
                <w:lang w:bidi="ar"/>
              </w:rPr>
              <w:br w:type="textWrapping"/>
            </w:r>
            <w:r>
              <w:rPr>
                <w:rFonts w:hint="eastAsia" w:ascii="仿宋" w:hAnsi="仿宋" w:eastAsia="仿宋" w:cs="仿宋"/>
                <w:color w:val="auto"/>
                <w:kern w:val="0"/>
                <w:sz w:val="24"/>
                <w:szCs w:val="24"/>
                <w:highlight w:val="none"/>
                <w:lang w:val="en-US" w:eastAsia="zh-CN" w:bidi="ar"/>
              </w:rPr>
              <w:t>3、</w:t>
            </w:r>
            <w:r>
              <w:rPr>
                <w:rFonts w:hint="eastAsia" w:ascii="仿宋" w:hAnsi="仿宋" w:eastAsia="仿宋" w:cs="仿宋"/>
                <w:color w:val="auto"/>
                <w:kern w:val="0"/>
                <w:sz w:val="24"/>
                <w:szCs w:val="24"/>
                <w:highlight w:val="none"/>
                <w:lang w:bidi="ar"/>
              </w:rPr>
              <w:t>接口类型：HDMI</w:t>
            </w:r>
            <w:r>
              <w:rPr>
                <w:rFonts w:hint="eastAsia" w:ascii="仿宋" w:hAnsi="仿宋" w:eastAsia="仿宋" w:cs="仿宋"/>
                <w:color w:val="auto"/>
                <w:kern w:val="0"/>
                <w:sz w:val="24"/>
                <w:szCs w:val="24"/>
                <w:highlight w:val="none"/>
                <w:lang w:bidi="ar"/>
              </w:rPr>
              <w:br w:type="textWrapping"/>
            </w:r>
            <w:r>
              <w:rPr>
                <w:rFonts w:hint="eastAsia" w:ascii="仿宋" w:hAnsi="仿宋" w:eastAsia="仿宋" w:cs="仿宋"/>
                <w:color w:val="auto"/>
                <w:kern w:val="0"/>
                <w:sz w:val="24"/>
                <w:szCs w:val="24"/>
                <w:highlight w:val="none"/>
                <w:lang w:val="en-US" w:eastAsia="zh-CN" w:bidi="ar"/>
              </w:rPr>
              <w:t>4、</w:t>
            </w:r>
            <w:r>
              <w:rPr>
                <w:rFonts w:hint="eastAsia" w:ascii="仿宋" w:hAnsi="仿宋" w:eastAsia="仿宋" w:cs="仿宋"/>
                <w:color w:val="auto"/>
                <w:kern w:val="0"/>
                <w:sz w:val="24"/>
                <w:szCs w:val="24"/>
                <w:highlight w:val="none"/>
                <w:lang w:bidi="ar"/>
              </w:rPr>
              <w:t xml:space="preserve">视频版本：HDMI </w:t>
            </w:r>
            <w:r>
              <w:rPr>
                <w:rFonts w:hint="eastAsia" w:ascii="仿宋" w:hAnsi="仿宋" w:eastAsia="仿宋" w:cs="仿宋"/>
                <w:color w:val="auto"/>
                <w:kern w:val="0"/>
                <w:sz w:val="24"/>
                <w:szCs w:val="24"/>
                <w:highlight w:val="none"/>
                <w:lang w:val="en-US" w:eastAsia="zh-CN" w:bidi="ar"/>
              </w:rPr>
              <w:t>2.0，</w:t>
            </w:r>
            <w:r>
              <w:rPr>
                <w:rFonts w:hint="eastAsia" w:ascii="仿宋" w:hAnsi="仿宋" w:eastAsia="仿宋" w:cs="仿宋"/>
                <w:color w:val="auto"/>
                <w:kern w:val="0"/>
                <w:sz w:val="24"/>
                <w:szCs w:val="24"/>
                <w:highlight w:val="none"/>
                <w:lang w:bidi="ar"/>
              </w:rPr>
              <w:t>支持最大分辨率：1080P 60Hz</w:t>
            </w:r>
          </w:p>
        </w:tc>
        <w:tc>
          <w:tcPr>
            <w:tcW w:w="879"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根</w:t>
            </w:r>
          </w:p>
        </w:tc>
        <w:tc>
          <w:tcPr>
            <w:tcW w:w="1002"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4</w:t>
            </w:r>
          </w:p>
        </w:tc>
        <w:tc>
          <w:tcPr>
            <w:tcW w:w="1596"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分频器</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一</w:t>
            </w:r>
            <w:r>
              <w:rPr>
                <w:rFonts w:hint="eastAsia" w:ascii="仿宋" w:hAnsi="仿宋" w:eastAsia="仿宋" w:cs="仿宋"/>
                <w:b w:val="0"/>
                <w:bCs w:val="0"/>
                <w:color w:val="auto"/>
                <w:kern w:val="0"/>
                <w:sz w:val="24"/>
                <w:szCs w:val="24"/>
                <w:highlight w:val="none"/>
                <w:lang w:eastAsia="zh-CN"/>
              </w:rPr>
              <w:t>）</w:t>
            </w:r>
          </w:p>
        </w:tc>
        <w:tc>
          <w:tcPr>
            <w:tcW w:w="6167" w:type="dxa"/>
            <w:vAlign w:val="center"/>
          </w:tcPr>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1、采用标准机架式设计，安装更方便；</w:t>
            </w:r>
          </w:p>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2、具有信号缓冲、放大能力；</w:t>
            </w:r>
          </w:p>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3、可以通过串接的方法实现超过15米的远距离传输（扩展）；</w:t>
            </w:r>
          </w:p>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4、可通过堆叠的方法提高HDMI输出端口的数量；</w:t>
            </w:r>
          </w:p>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5、可同时显示支持720i，720p，1080i，1080p分辨率；</w:t>
            </w:r>
          </w:p>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6、支持HDCP设备，支持高清视频，优质、清晰、高达1080p的HDTV分辨率；</w:t>
            </w:r>
          </w:p>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7、完全支持HDMI1.3协议。</w:t>
            </w:r>
          </w:p>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8、接口1进16出。</w:t>
            </w:r>
          </w:p>
        </w:tc>
        <w:tc>
          <w:tcPr>
            <w:tcW w:w="879"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个</w:t>
            </w:r>
          </w:p>
        </w:tc>
        <w:tc>
          <w:tcPr>
            <w:tcW w:w="1002" w:type="dxa"/>
            <w:vAlign w:val="center"/>
          </w:tcPr>
          <w:p>
            <w:pPr>
              <w:pStyle w:val="279"/>
              <w:keepNext w:val="0"/>
              <w:keepLines w:val="0"/>
              <w:pageBreakBefore w:val="0"/>
              <w:widowControl/>
              <w:kinsoku/>
              <w:wordWrap/>
              <w:overflowPunct/>
              <w:topLinePunct w:val="0"/>
              <w:bidi w:val="0"/>
              <w:adjustRightInd/>
              <w:snapToGrid/>
              <w:spacing w:line="360" w:lineRule="auto"/>
              <w:ind w:firstLine="0" w:firstLineChars="0"/>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vAlign w:val="center"/>
          </w:tcPr>
          <w:p>
            <w:pPr>
              <w:ind w:firstLine="199" w:firstLineChars="83"/>
              <w:jc w:val="center"/>
              <w:outlineLvl w:val="9"/>
              <w:rPr>
                <w:rFonts w:hint="eastAsia" w:ascii="仿宋" w:hAnsi="仿宋" w:eastAsia="仿宋" w:cs="仿宋"/>
                <w:b/>
                <w:bCs/>
                <w:color w:val="auto"/>
                <w:kern w:val="0"/>
                <w:sz w:val="24"/>
                <w:szCs w:val="24"/>
                <w:highlight w:val="none"/>
                <w:vertAlign w:val="baseline"/>
                <w:lang w:val="en-US" w:eastAsia="zh-CN"/>
              </w:rPr>
            </w:pPr>
            <w:r>
              <w:rPr>
                <w:rFonts w:hint="eastAsia" w:ascii="仿宋" w:hAnsi="仿宋" w:eastAsia="仿宋" w:cs="仿宋"/>
                <w:color w:val="auto"/>
                <w:sz w:val="24"/>
                <w:szCs w:val="24"/>
                <w:highlight w:val="none"/>
                <w:lang w:val="en-US" w:eastAsia="zh-CN"/>
              </w:rPr>
              <w:t>5</w:t>
            </w:r>
          </w:p>
        </w:tc>
        <w:tc>
          <w:tcPr>
            <w:tcW w:w="1596" w:type="dxa"/>
            <w:vAlign w:val="center"/>
          </w:tcPr>
          <w:p>
            <w:pPr>
              <w:outlineLvl w:val="9"/>
              <w:rPr>
                <w:rFonts w:hint="eastAsia" w:ascii="仿宋" w:hAnsi="仿宋" w:eastAsia="仿宋" w:cs="仿宋"/>
                <w:b w:val="0"/>
                <w:bCs w:val="0"/>
                <w:color w:val="auto"/>
                <w:kern w:val="2"/>
                <w:sz w:val="24"/>
                <w:szCs w:val="24"/>
                <w:highlight w:val="none"/>
                <w:lang w:val="en-US" w:eastAsia="zh-CN" w:bidi="ar-SA"/>
              </w:rPr>
            </w:pPr>
            <w:bookmarkStart w:id="76" w:name="OLE_LINK6"/>
            <w:r>
              <w:rPr>
                <w:rFonts w:hint="eastAsia" w:ascii="仿宋" w:hAnsi="仿宋" w:eastAsia="仿宋" w:cs="仿宋"/>
                <w:b/>
                <w:bCs/>
                <w:color w:val="auto"/>
                <w:kern w:val="2"/>
                <w:sz w:val="24"/>
                <w:szCs w:val="24"/>
                <w:highlight w:val="none"/>
                <w:lang w:val="en-US" w:eastAsia="zh-CN" w:bidi="ar-SA"/>
              </w:rPr>
              <w:t>液晶拼接单元（二）（强制节能产品）</w:t>
            </w:r>
            <w:bookmarkEnd w:id="76"/>
          </w:p>
        </w:tc>
        <w:tc>
          <w:tcPr>
            <w:tcW w:w="6167" w:type="dxa"/>
            <w:vAlign w:val="center"/>
          </w:tcPr>
          <w:p>
            <w:pPr>
              <w:pStyle w:val="279"/>
              <w:keepNext w:val="0"/>
              <w:keepLines w:val="0"/>
              <w:pageBreakBefore w:val="0"/>
              <w:widowControl w:val="0"/>
              <w:kinsoku/>
              <w:wordWrap w:val="0"/>
              <w:overflowPunct/>
              <w:topLinePunct w:val="0"/>
              <w:autoSpaceDE/>
              <w:autoSpaceDN/>
              <w:bidi w:val="0"/>
              <w:adjustRightInd/>
              <w:snapToGrid/>
              <w:spacing w:line="360" w:lineRule="auto"/>
              <w:ind w:firstLine="0" w:firstLineChars="0"/>
              <w:jc w:val="left"/>
              <w:textAlignment w:val="auto"/>
              <w:outlineLvl w:val="9"/>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显示尺寸</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55英寸</w:t>
            </w:r>
            <w:r>
              <w:rPr>
                <w:rFonts w:hint="eastAsia" w:ascii="仿宋" w:hAnsi="仿宋" w:eastAsia="仿宋" w:cs="仿宋"/>
                <w:color w:val="auto"/>
                <w:kern w:val="0"/>
                <w:sz w:val="24"/>
                <w:szCs w:val="24"/>
                <w:highlight w:val="none"/>
                <w:lang w:val="en-US" w:eastAsia="zh-CN"/>
              </w:rPr>
              <w:t>液晶拼接屏</w:t>
            </w:r>
            <w:r>
              <w:rPr>
                <w:rFonts w:hint="eastAsia" w:ascii="仿宋" w:hAnsi="仿宋" w:eastAsia="仿宋" w:cs="仿宋"/>
                <w:color w:val="auto"/>
                <w:kern w:val="0"/>
                <w:sz w:val="24"/>
                <w:szCs w:val="24"/>
                <w:highlight w:val="none"/>
                <w:lang w:eastAsia="zh-CN"/>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rPr>
              <w:t>2</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整机一体化的无风扇散热方案设计</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采用工业级的全高清液晶面板，整机全金属结构</w:t>
            </w:r>
            <w:r>
              <w:rPr>
                <w:rFonts w:hint="eastAsia" w:ascii="仿宋" w:hAnsi="仿宋" w:eastAsia="仿宋" w:cs="仿宋"/>
                <w:color w:val="auto"/>
                <w:kern w:val="0"/>
                <w:sz w:val="24"/>
                <w:szCs w:val="24"/>
                <w:highlight w:val="none"/>
                <w:lang w:eastAsia="zh-CN"/>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物理拼缝≤3.5 mm；整机厚度≤112mm；（</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液晶拼接屏必须采用整机设计，严禁使用飞线屏，显示屏具备完整后壳，不得以支架或挡板替代，无任何裸露在外的电路线，整体美观大方，而且产品符合检测规范，（</w:t>
            </w:r>
            <w:r>
              <w:rPr>
                <w:rFonts w:hint="eastAsia" w:ascii="仿宋" w:hAnsi="仿宋" w:eastAsia="仿宋" w:cs="仿宋"/>
                <w:color w:val="auto"/>
                <w:kern w:val="0"/>
                <w:sz w:val="24"/>
                <w:szCs w:val="24"/>
                <w:highlight w:val="none"/>
                <w:lang w:eastAsia="zh-CN"/>
              </w:rPr>
              <w:t>需提供带CMA标识的检测报告复印件</w:t>
            </w:r>
            <w:r>
              <w:rPr>
                <w:rFonts w:hint="eastAsia" w:ascii="仿宋" w:hAnsi="仿宋" w:eastAsia="仿宋" w:cs="仿宋"/>
                <w:color w:val="auto"/>
                <w:kern w:val="0"/>
                <w:sz w:val="24"/>
                <w:szCs w:val="24"/>
                <w:highlight w:val="none"/>
                <w:lang w:val="en-US" w:eastAsia="zh-CN"/>
              </w:rPr>
              <w:t>里</w:t>
            </w:r>
            <w:r>
              <w:rPr>
                <w:rFonts w:hint="eastAsia" w:ascii="仿宋" w:hAnsi="仿宋" w:eastAsia="仿宋" w:cs="仿宋"/>
                <w:color w:val="auto"/>
                <w:kern w:val="0"/>
                <w:sz w:val="24"/>
                <w:szCs w:val="24"/>
                <w:highlight w:val="none"/>
              </w:rPr>
              <w:t>的样品照片佐证</w:t>
            </w:r>
            <w:r>
              <w:rPr>
                <w:rFonts w:hint="eastAsia" w:ascii="仿宋" w:hAnsi="仿宋" w:eastAsia="仿宋" w:cs="仿宋"/>
                <w:color w:val="auto"/>
                <w:kern w:val="0"/>
                <w:sz w:val="24"/>
                <w:szCs w:val="24"/>
                <w:highlight w:val="none"/>
                <w:lang w:eastAsia="zh-CN"/>
              </w:rPr>
              <w:t>，加盖供应商公章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亮度≥600cd/m2；对比度≥4000:1（</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亮度均匀性≥75%；亮度鉴别等级≥11级；（</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7</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分辨率 ≥1920*1080；水平分辨力≥1000TVL；色彩≥32Bit；（</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输入接口：≥1路HDMI输入；≥1路DVI输入；≥1路</w:t>
            </w:r>
            <w:r>
              <w:rPr>
                <w:rFonts w:hint="eastAsia" w:ascii="仿宋" w:hAnsi="仿宋" w:eastAsia="仿宋" w:cs="仿宋"/>
                <w:color w:val="auto"/>
                <w:kern w:val="0"/>
                <w:sz w:val="24"/>
                <w:szCs w:val="24"/>
                <w:highlight w:val="none"/>
                <w:lang w:val="en-US" w:eastAsia="zh-CN"/>
              </w:rPr>
              <w:t>CVBS</w:t>
            </w:r>
            <w:r>
              <w:rPr>
                <w:rFonts w:hint="eastAsia" w:ascii="仿宋" w:hAnsi="仿宋" w:eastAsia="仿宋" w:cs="仿宋"/>
                <w:color w:val="auto"/>
                <w:kern w:val="0"/>
                <w:sz w:val="24"/>
                <w:szCs w:val="24"/>
                <w:highlight w:val="none"/>
              </w:rPr>
              <w:t>输入；≥1路VGA输入；≥1路RS232输入；≥1路USB输入。输出接口：≥2路RS232输出；（</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9</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内置Media解码器，方便用户播放图片、视频等文件（</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在亮度和对比度设置50%，距离3倍屏幕高度的距离</w:t>
            </w:r>
            <w:r>
              <w:rPr>
                <w:rFonts w:hint="eastAsia" w:ascii="仿宋" w:hAnsi="仿宋" w:eastAsia="仿宋" w:cs="仿宋"/>
                <w:color w:val="auto"/>
                <w:sz w:val="24"/>
                <w:szCs w:val="24"/>
                <w:highlight w:val="none"/>
              </w:rPr>
              <w:t>漏光度</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0.004cd/㎡，在照度95Klx下整机能够正常工作；（</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sz w:val="24"/>
                <w:szCs w:val="24"/>
                <w:highlight w:val="none"/>
                <w:lang w:val="en-US" w:eastAsia="zh-CN"/>
              </w:rPr>
              <w:t>输入全黑场信号后，再输入全白场信号，整机由暗变亮的</w:t>
            </w:r>
            <w:r>
              <w:rPr>
                <w:rFonts w:hint="eastAsia" w:ascii="仿宋" w:hAnsi="仿宋" w:eastAsia="仿宋" w:cs="仿宋"/>
                <w:color w:val="auto"/>
                <w:sz w:val="24"/>
                <w:szCs w:val="24"/>
                <w:highlight w:val="none"/>
              </w:rPr>
              <w:t>响应时间≤6ms（</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LCD显示单元支持边缘屏蔽功能，智能去除黑边功能，可消除显示终端上存在的黑边，及因拼缝带来的图像变形；</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rPr>
              <w:t>工作状态下</w:t>
            </w:r>
            <w:r>
              <w:rPr>
                <w:rFonts w:hint="eastAsia" w:ascii="仿宋" w:hAnsi="仿宋" w:eastAsia="仿宋" w:cs="仿宋"/>
                <w:color w:val="auto"/>
                <w:kern w:val="0"/>
                <w:sz w:val="24"/>
                <w:szCs w:val="24"/>
                <w:highlight w:val="none"/>
                <w:lang w:val="en-US" w:eastAsia="zh-CN"/>
              </w:rPr>
              <w:t>距离</w:t>
            </w:r>
            <w:r>
              <w:rPr>
                <w:rFonts w:hint="eastAsia" w:ascii="仿宋" w:hAnsi="仿宋" w:eastAsia="仿宋" w:cs="仿宋"/>
                <w:color w:val="auto"/>
                <w:kern w:val="0"/>
                <w:sz w:val="24"/>
                <w:szCs w:val="24"/>
                <w:highlight w:val="none"/>
              </w:rPr>
              <w:t>整机正面1米</w:t>
            </w:r>
            <w:r>
              <w:rPr>
                <w:rFonts w:hint="eastAsia" w:ascii="仿宋" w:hAnsi="仿宋" w:eastAsia="仿宋" w:cs="仿宋"/>
                <w:color w:val="auto"/>
                <w:kern w:val="0"/>
                <w:sz w:val="24"/>
                <w:szCs w:val="24"/>
                <w:highlight w:val="none"/>
                <w:lang w:val="en-US" w:eastAsia="zh-CN"/>
              </w:rPr>
              <w:t>处</w:t>
            </w:r>
            <w:r>
              <w:rPr>
                <w:rFonts w:hint="eastAsia" w:ascii="仿宋" w:hAnsi="仿宋" w:eastAsia="仿宋" w:cs="仿宋"/>
                <w:color w:val="auto"/>
                <w:kern w:val="0"/>
                <w:sz w:val="24"/>
                <w:szCs w:val="24"/>
                <w:highlight w:val="none"/>
              </w:rPr>
              <w:t>工作噪声≤20db（A）、背面工作噪声≤28db（A），待机状态下</w:t>
            </w:r>
            <w:r>
              <w:rPr>
                <w:rFonts w:hint="eastAsia" w:ascii="仿宋" w:hAnsi="仿宋" w:eastAsia="仿宋" w:cs="仿宋"/>
                <w:color w:val="auto"/>
                <w:kern w:val="0"/>
                <w:sz w:val="24"/>
                <w:szCs w:val="24"/>
                <w:highlight w:val="none"/>
                <w:lang w:val="en-US" w:eastAsia="zh-CN"/>
              </w:rPr>
              <w:t>距离</w:t>
            </w:r>
            <w:r>
              <w:rPr>
                <w:rFonts w:hint="eastAsia" w:ascii="仿宋" w:hAnsi="仿宋" w:eastAsia="仿宋" w:cs="仿宋"/>
                <w:color w:val="auto"/>
                <w:kern w:val="0"/>
                <w:sz w:val="24"/>
                <w:szCs w:val="24"/>
                <w:highlight w:val="none"/>
              </w:rPr>
              <w:t>整机背面1米</w:t>
            </w:r>
            <w:r>
              <w:rPr>
                <w:rFonts w:hint="eastAsia" w:ascii="仿宋" w:hAnsi="仿宋" w:eastAsia="仿宋" w:cs="仿宋"/>
                <w:color w:val="auto"/>
                <w:kern w:val="0"/>
                <w:sz w:val="24"/>
                <w:szCs w:val="24"/>
                <w:highlight w:val="none"/>
                <w:lang w:val="en-US" w:eastAsia="zh-CN"/>
              </w:rPr>
              <w:t>处</w:t>
            </w:r>
            <w:r>
              <w:rPr>
                <w:rFonts w:hint="eastAsia" w:ascii="仿宋" w:hAnsi="仿宋" w:eastAsia="仿宋" w:cs="仿宋"/>
                <w:color w:val="auto"/>
                <w:kern w:val="0"/>
                <w:sz w:val="24"/>
                <w:szCs w:val="24"/>
                <w:highlight w:val="none"/>
              </w:rPr>
              <w:t>工作噪声≤24db（A）</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kinsoku/>
              <w:wordWrap/>
              <w:overflowPunct/>
              <w:topLinePunct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液晶拼接屏待机功耗≤0.5W; （</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widowControl w:val="0"/>
              <w:kinsoku/>
              <w:wordWrap/>
              <w:overflowPunct/>
              <w:topLinePunct w:val="0"/>
              <w:bidi w:val="0"/>
              <w:adjustRightInd/>
              <w:snapToGrid/>
              <w:spacing w:line="360" w:lineRule="auto"/>
              <w:ind w:firstLine="0" w:firstLineChars="0"/>
              <w:jc w:val="both"/>
              <w:textAlignment w:val="auto"/>
              <w:outlineLvl w:val="9"/>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可视角度可达≥178°，使得画质清晰、逼真，还原性更好、层次感更突出。（</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kern w:val="0"/>
                <w:sz w:val="24"/>
                <w:szCs w:val="24"/>
                <w:highlight w:val="none"/>
              </w:rPr>
              <w:t>）</w:t>
            </w:r>
          </w:p>
          <w:p>
            <w:pPr>
              <w:pStyle w:val="279"/>
              <w:keepNext w:val="0"/>
              <w:keepLines w:val="0"/>
              <w:pageBreakBefore w:val="0"/>
              <w:widowControl w:val="0"/>
              <w:kinsoku/>
              <w:wordWrap/>
              <w:overflowPunct/>
              <w:topLinePunct w:val="0"/>
              <w:bidi w:val="0"/>
              <w:adjustRightInd/>
              <w:snapToGrid/>
              <w:spacing w:line="360" w:lineRule="auto"/>
              <w:ind w:firstLine="0" w:firstLineChars="0"/>
              <w:jc w:val="both"/>
              <w:textAlignment w:val="auto"/>
              <w:outlineLvl w:val="9"/>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16、系统管理控制软件包，大屏控制软件具备C/S和B/S结构：中文界面，可实现多用户操作管理，网络远程遥控管理，并能与集中控制系统一起实现一体化操作管理</w:t>
            </w:r>
          </w:p>
        </w:tc>
        <w:tc>
          <w:tcPr>
            <w:tcW w:w="879" w:type="dxa"/>
            <w:vAlign w:val="center"/>
          </w:tcPr>
          <w:p>
            <w:pPr>
              <w:pStyle w:val="279"/>
              <w:widowControl/>
              <w:spacing w:before="260" w:after="260" w:line="360" w:lineRule="auto"/>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台</w:t>
            </w:r>
          </w:p>
        </w:tc>
        <w:tc>
          <w:tcPr>
            <w:tcW w:w="1002" w:type="dxa"/>
            <w:vAlign w:val="center"/>
          </w:tcPr>
          <w:p>
            <w:pPr>
              <w:pStyle w:val="279"/>
              <w:widowControl/>
              <w:spacing w:before="260" w:after="260" w:line="360" w:lineRule="auto"/>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vAlign w:val="top"/>
          </w:tcPr>
          <w:p>
            <w:pPr>
              <w:pStyle w:val="279"/>
              <w:widowControl/>
              <w:spacing w:before="260" w:after="260" w:line="360" w:lineRule="auto"/>
              <w:jc w:val="center"/>
              <w:outlineLvl w:val="9"/>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6</w:t>
            </w:r>
          </w:p>
        </w:tc>
        <w:tc>
          <w:tcPr>
            <w:tcW w:w="1596" w:type="dxa"/>
            <w:vAlign w:val="top"/>
          </w:tcPr>
          <w:p>
            <w:pPr>
              <w:pStyle w:val="279"/>
              <w:widowControl/>
              <w:spacing w:before="260" w:after="260" w:line="360" w:lineRule="auto"/>
              <w:jc w:val="center"/>
              <w:outlineLvl w:val="9"/>
              <w:rPr>
                <w:rFonts w:hint="eastAsia" w:ascii="仿宋" w:hAnsi="仿宋" w:eastAsia="仿宋" w:cs="仿宋"/>
                <w:b w:val="0"/>
                <w:bCs w:val="0"/>
                <w:color w:val="auto"/>
                <w:sz w:val="24"/>
                <w:szCs w:val="24"/>
                <w:highlight w:val="none"/>
              </w:rPr>
            </w:pPr>
            <w:r>
              <w:rPr>
                <w:rFonts w:hint="eastAsia" w:ascii="仿宋" w:hAnsi="仿宋" w:eastAsia="仿宋" w:cs="仿宋"/>
                <w:color w:val="auto"/>
                <w:kern w:val="0"/>
                <w:sz w:val="24"/>
                <w:szCs w:val="24"/>
                <w:highlight w:val="none"/>
                <w:lang w:val="en-US" w:eastAsia="zh-CN" w:bidi="ar-SA"/>
              </w:rPr>
              <w:t>LCD屏支架（二）</w:t>
            </w:r>
          </w:p>
        </w:tc>
        <w:tc>
          <w:tcPr>
            <w:tcW w:w="616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1、前维护支架，大小680mm*1210mm 厚度125mm-135mm可调</w:t>
            </w:r>
          </w:p>
        </w:tc>
        <w:tc>
          <w:tcPr>
            <w:tcW w:w="879" w:type="dxa"/>
            <w:vAlign w:val="center"/>
          </w:tcPr>
          <w:p>
            <w:pPr>
              <w:pStyle w:val="279"/>
              <w:widowControl/>
              <w:spacing w:before="260" w:after="260" w:line="360" w:lineRule="auto"/>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套</w:t>
            </w:r>
          </w:p>
        </w:tc>
        <w:tc>
          <w:tcPr>
            <w:tcW w:w="1002" w:type="dxa"/>
            <w:vAlign w:val="center"/>
          </w:tcPr>
          <w:p>
            <w:pPr>
              <w:pStyle w:val="279"/>
              <w:widowControl/>
              <w:spacing w:before="260" w:after="260" w:line="360" w:lineRule="auto"/>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vAlign w:val="top"/>
          </w:tcPr>
          <w:p>
            <w:pPr>
              <w:pStyle w:val="279"/>
              <w:widowControl/>
              <w:spacing w:before="260" w:after="260" w:line="360" w:lineRule="auto"/>
              <w:jc w:val="center"/>
              <w:outlineLvl w:val="9"/>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7</w:t>
            </w:r>
          </w:p>
        </w:tc>
        <w:tc>
          <w:tcPr>
            <w:tcW w:w="1596" w:type="dxa"/>
            <w:vAlign w:val="top"/>
          </w:tcPr>
          <w:p>
            <w:pPr>
              <w:pStyle w:val="279"/>
              <w:widowControl/>
              <w:spacing w:before="260" w:after="260" w:line="360" w:lineRule="auto"/>
              <w:jc w:val="center"/>
              <w:outlineLvl w:val="9"/>
              <w:rPr>
                <w:rFonts w:hint="eastAsia" w:ascii="仿宋" w:hAnsi="仿宋" w:eastAsia="仿宋" w:cs="仿宋"/>
                <w:b w:val="0"/>
                <w:bCs w:val="0"/>
                <w:color w:val="auto"/>
                <w:sz w:val="24"/>
                <w:szCs w:val="24"/>
                <w:highlight w:val="none"/>
              </w:rPr>
            </w:pPr>
            <w:r>
              <w:rPr>
                <w:rFonts w:hint="eastAsia" w:ascii="仿宋" w:hAnsi="仿宋" w:eastAsia="仿宋" w:cs="仿宋"/>
                <w:color w:val="auto"/>
                <w:kern w:val="0"/>
                <w:sz w:val="24"/>
                <w:szCs w:val="24"/>
                <w:highlight w:val="none"/>
                <w:lang w:bidi="ar"/>
              </w:rPr>
              <w:t>视音频线缆</w:t>
            </w:r>
            <w:r>
              <w:rPr>
                <w:rFonts w:hint="eastAsia" w:ascii="仿宋" w:hAnsi="仿宋" w:eastAsia="仿宋" w:cs="仿宋"/>
                <w:color w:val="auto"/>
                <w:kern w:val="0"/>
                <w:sz w:val="24"/>
                <w:szCs w:val="24"/>
                <w:highlight w:val="none"/>
                <w:lang w:val="en-US" w:eastAsia="zh-CN" w:bidi="ar-SA"/>
              </w:rPr>
              <w:t>（二）</w:t>
            </w:r>
          </w:p>
        </w:tc>
        <w:tc>
          <w:tcPr>
            <w:tcW w:w="616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
              </w:rPr>
              <w:t>1、</w:t>
            </w:r>
            <w:r>
              <w:rPr>
                <w:rFonts w:hint="eastAsia" w:ascii="仿宋" w:hAnsi="仿宋" w:eastAsia="仿宋" w:cs="仿宋"/>
                <w:color w:val="auto"/>
                <w:kern w:val="0"/>
                <w:sz w:val="24"/>
                <w:szCs w:val="24"/>
                <w:highlight w:val="none"/>
                <w:lang w:bidi="ar"/>
              </w:rPr>
              <w:t>HDMI电缆,</w:t>
            </w:r>
            <w:r>
              <w:rPr>
                <w:rFonts w:hint="eastAsia" w:ascii="仿宋" w:hAnsi="仿宋" w:eastAsia="仿宋" w:cs="仿宋"/>
                <w:color w:val="auto"/>
                <w:kern w:val="0"/>
                <w:sz w:val="24"/>
                <w:szCs w:val="24"/>
                <w:highlight w:val="none"/>
                <w:lang w:val="en-US" w:eastAsia="zh-CN" w:bidi="ar"/>
              </w:rPr>
              <w:t>15</w:t>
            </w:r>
            <w:r>
              <w:rPr>
                <w:rFonts w:hint="eastAsia" w:ascii="仿宋" w:hAnsi="仿宋" w:eastAsia="仿宋" w:cs="仿宋"/>
                <w:color w:val="auto"/>
                <w:kern w:val="0"/>
                <w:sz w:val="24"/>
                <w:szCs w:val="24"/>
                <w:highlight w:val="none"/>
                <w:lang w:bidi="ar"/>
              </w:rPr>
              <w:t>m</w:t>
            </w:r>
            <w:r>
              <w:rPr>
                <w:rFonts w:hint="eastAsia" w:ascii="仿宋" w:hAnsi="仿宋" w:eastAsia="仿宋" w:cs="仿宋"/>
                <w:color w:val="auto"/>
                <w:kern w:val="0"/>
                <w:sz w:val="24"/>
                <w:szCs w:val="24"/>
                <w:highlight w:val="none"/>
                <w:lang w:bidi="ar"/>
              </w:rPr>
              <w:br w:type="textWrapping"/>
            </w:r>
            <w:r>
              <w:rPr>
                <w:rFonts w:hint="eastAsia" w:ascii="仿宋" w:hAnsi="仿宋" w:eastAsia="仿宋" w:cs="仿宋"/>
                <w:color w:val="auto"/>
                <w:kern w:val="0"/>
                <w:sz w:val="24"/>
                <w:szCs w:val="24"/>
                <w:highlight w:val="none"/>
                <w:lang w:val="en-US" w:eastAsia="zh-CN" w:bidi="ar"/>
              </w:rPr>
              <w:t>2、</w:t>
            </w:r>
            <w:r>
              <w:rPr>
                <w:rFonts w:hint="eastAsia" w:ascii="仿宋" w:hAnsi="仿宋" w:eastAsia="仿宋" w:cs="仿宋"/>
                <w:color w:val="auto"/>
                <w:kern w:val="0"/>
                <w:sz w:val="24"/>
                <w:szCs w:val="24"/>
                <w:highlight w:val="none"/>
                <w:lang w:bidi="ar"/>
              </w:rPr>
              <w:t>端子镀金，耐氧化，阻抗小，信号传输更稳定。</w:t>
            </w:r>
            <w:r>
              <w:rPr>
                <w:rFonts w:hint="eastAsia" w:ascii="仿宋" w:hAnsi="仿宋" w:eastAsia="仿宋" w:cs="仿宋"/>
                <w:color w:val="auto"/>
                <w:kern w:val="0"/>
                <w:sz w:val="24"/>
                <w:szCs w:val="24"/>
                <w:highlight w:val="none"/>
                <w:lang w:bidi="ar"/>
              </w:rPr>
              <w:br w:type="textWrapping"/>
            </w:r>
            <w:r>
              <w:rPr>
                <w:rFonts w:hint="eastAsia" w:ascii="仿宋" w:hAnsi="仿宋" w:eastAsia="仿宋" w:cs="仿宋"/>
                <w:color w:val="auto"/>
                <w:kern w:val="0"/>
                <w:sz w:val="24"/>
                <w:szCs w:val="24"/>
                <w:highlight w:val="none"/>
                <w:lang w:val="en-US" w:eastAsia="zh-CN" w:bidi="ar"/>
              </w:rPr>
              <w:t>3、</w:t>
            </w:r>
            <w:r>
              <w:rPr>
                <w:rFonts w:hint="eastAsia" w:ascii="仿宋" w:hAnsi="仿宋" w:eastAsia="仿宋" w:cs="仿宋"/>
                <w:color w:val="auto"/>
                <w:kern w:val="0"/>
                <w:sz w:val="24"/>
                <w:szCs w:val="24"/>
                <w:highlight w:val="none"/>
                <w:lang w:bidi="ar"/>
              </w:rPr>
              <w:t>接口类型：HDMI</w:t>
            </w:r>
            <w:r>
              <w:rPr>
                <w:rFonts w:hint="eastAsia" w:ascii="仿宋" w:hAnsi="仿宋" w:eastAsia="仿宋" w:cs="仿宋"/>
                <w:color w:val="auto"/>
                <w:kern w:val="0"/>
                <w:sz w:val="24"/>
                <w:szCs w:val="24"/>
                <w:highlight w:val="none"/>
                <w:lang w:bidi="ar"/>
              </w:rPr>
              <w:br w:type="textWrapping"/>
            </w:r>
            <w:r>
              <w:rPr>
                <w:rFonts w:hint="eastAsia" w:ascii="仿宋" w:hAnsi="仿宋" w:eastAsia="仿宋" w:cs="仿宋"/>
                <w:color w:val="auto"/>
                <w:kern w:val="0"/>
                <w:sz w:val="24"/>
                <w:szCs w:val="24"/>
                <w:highlight w:val="none"/>
                <w:lang w:val="en-US" w:eastAsia="zh-CN" w:bidi="ar"/>
              </w:rPr>
              <w:t>4、</w:t>
            </w:r>
            <w:r>
              <w:rPr>
                <w:rFonts w:hint="eastAsia" w:ascii="仿宋" w:hAnsi="仿宋" w:eastAsia="仿宋" w:cs="仿宋"/>
                <w:color w:val="auto"/>
                <w:kern w:val="0"/>
                <w:sz w:val="24"/>
                <w:szCs w:val="24"/>
                <w:highlight w:val="none"/>
                <w:lang w:bidi="ar"/>
              </w:rPr>
              <w:t xml:space="preserve">视频版本：HDMI </w:t>
            </w:r>
            <w:r>
              <w:rPr>
                <w:rFonts w:hint="eastAsia" w:ascii="仿宋" w:hAnsi="仿宋" w:eastAsia="仿宋" w:cs="仿宋"/>
                <w:color w:val="auto"/>
                <w:kern w:val="0"/>
                <w:sz w:val="24"/>
                <w:szCs w:val="24"/>
                <w:highlight w:val="none"/>
                <w:lang w:val="en-US" w:eastAsia="zh-CN" w:bidi="ar"/>
              </w:rPr>
              <w:t>2.0，</w:t>
            </w:r>
            <w:r>
              <w:rPr>
                <w:rFonts w:hint="eastAsia" w:ascii="仿宋" w:hAnsi="仿宋" w:eastAsia="仿宋" w:cs="仿宋"/>
                <w:color w:val="auto"/>
                <w:kern w:val="0"/>
                <w:sz w:val="24"/>
                <w:szCs w:val="24"/>
                <w:highlight w:val="none"/>
                <w:lang w:bidi="ar"/>
              </w:rPr>
              <w:t>支持最大分辨率：1080P 60Hz</w:t>
            </w:r>
          </w:p>
        </w:tc>
        <w:tc>
          <w:tcPr>
            <w:tcW w:w="879" w:type="dxa"/>
            <w:vAlign w:val="center"/>
          </w:tcPr>
          <w:p>
            <w:pPr>
              <w:pStyle w:val="279"/>
              <w:widowControl/>
              <w:spacing w:before="260" w:after="260" w:line="360" w:lineRule="auto"/>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根</w:t>
            </w:r>
          </w:p>
        </w:tc>
        <w:tc>
          <w:tcPr>
            <w:tcW w:w="1002" w:type="dxa"/>
            <w:vAlign w:val="center"/>
          </w:tcPr>
          <w:p>
            <w:pPr>
              <w:pStyle w:val="279"/>
              <w:widowControl/>
              <w:spacing w:before="260" w:after="260" w:line="360" w:lineRule="auto"/>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vAlign w:val="top"/>
          </w:tcPr>
          <w:p>
            <w:pPr>
              <w:pStyle w:val="279"/>
              <w:widowControl/>
              <w:spacing w:before="260" w:after="260" w:line="360" w:lineRule="auto"/>
              <w:jc w:val="center"/>
              <w:outlineLvl w:val="9"/>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8</w:t>
            </w:r>
          </w:p>
        </w:tc>
        <w:tc>
          <w:tcPr>
            <w:tcW w:w="1596" w:type="dxa"/>
            <w:vAlign w:val="top"/>
          </w:tcPr>
          <w:p>
            <w:pPr>
              <w:pStyle w:val="279"/>
              <w:widowControl/>
              <w:spacing w:before="260" w:after="260" w:line="360" w:lineRule="auto"/>
              <w:jc w:val="center"/>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分频器</w:t>
            </w:r>
            <w:r>
              <w:rPr>
                <w:rFonts w:hint="eastAsia" w:ascii="仿宋" w:hAnsi="仿宋" w:eastAsia="仿宋" w:cs="仿宋"/>
                <w:color w:val="auto"/>
                <w:kern w:val="0"/>
                <w:sz w:val="24"/>
                <w:szCs w:val="24"/>
                <w:highlight w:val="none"/>
                <w:lang w:val="en-US" w:eastAsia="zh-CN" w:bidi="ar-SA"/>
              </w:rPr>
              <w:t>（二）</w:t>
            </w:r>
          </w:p>
        </w:tc>
        <w:tc>
          <w:tcPr>
            <w:tcW w:w="6167" w:type="dxa"/>
            <w:vAlign w:val="center"/>
          </w:tcPr>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1、采用标准机架式设计，安装更方便；</w:t>
            </w:r>
          </w:p>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2、具有信号缓冲、放大能力；</w:t>
            </w:r>
          </w:p>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3、可以通过串接的方法实现超过15米的远距离传输（扩展）；</w:t>
            </w:r>
          </w:p>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4、可通过堆叠的方法提高HDMI输出端口的数量；</w:t>
            </w:r>
          </w:p>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5、可同时显示支持720i，720p，1080i，1080p分辨率；</w:t>
            </w:r>
          </w:p>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6、支持HDCP设备，支持高清视频，优质、清晰、高达1080p的HDTV分辨率；</w:t>
            </w:r>
          </w:p>
          <w:p>
            <w:pPr>
              <w:keepNext w:val="0"/>
              <w:keepLines w:val="0"/>
              <w:pageBreakBefore w:val="0"/>
              <w:kinsoku/>
              <w:wordWrap/>
              <w:overflowPunct/>
              <w:topLinePunct w:val="0"/>
              <w:autoSpaceDE w:val="0"/>
              <w:autoSpaceDN w:val="0"/>
              <w:bidi w:val="0"/>
              <w:adjustRightInd/>
              <w:snapToGrid/>
              <w:spacing w:line="360" w:lineRule="auto"/>
              <w:ind w:firstLine="0" w:firstLineChars="0"/>
              <w:jc w:val="both"/>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7、完全支持HDMI1.3协议。</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both"/>
              <w:textAlignment w:val="auto"/>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8、接口1进16出。</w:t>
            </w:r>
          </w:p>
        </w:tc>
        <w:tc>
          <w:tcPr>
            <w:tcW w:w="879" w:type="dxa"/>
            <w:vAlign w:val="center"/>
          </w:tcPr>
          <w:p>
            <w:pPr>
              <w:pStyle w:val="279"/>
              <w:widowControl/>
              <w:spacing w:before="260" w:after="260" w:line="360" w:lineRule="auto"/>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个</w:t>
            </w:r>
          </w:p>
        </w:tc>
        <w:tc>
          <w:tcPr>
            <w:tcW w:w="1002" w:type="dxa"/>
            <w:vAlign w:val="center"/>
          </w:tcPr>
          <w:p>
            <w:pPr>
              <w:pStyle w:val="279"/>
              <w:widowControl/>
              <w:spacing w:before="260" w:after="260" w:line="360" w:lineRule="auto"/>
              <w:jc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lang w:val="en-US" w:eastAsia="zh-CN"/>
              </w:rPr>
              <w:t>9</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default" w:ascii="仿宋" w:hAnsi="仿宋" w:eastAsia="仿宋" w:cs="仿宋"/>
                <w:b w:val="0"/>
                <w:bCs w:val="0"/>
                <w:color w:val="auto"/>
                <w:sz w:val="24"/>
                <w:szCs w:val="24"/>
                <w:highlight w:val="none"/>
                <w:lang w:val="en-US" w:eastAsia="zh-CN"/>
              </w:rPr>
            </w:pPr>
            <w:bookmarkStart w:id="77" w:name="OLE_LINK7"/>
            <w:r>
              <w:rPr>
                <w:rFonts w:hint="eastAsia" w:ascii="仿宋" w:hAnsi="仿宋" w:eastAsia="仿宋" w:cs="仿宋"/>
                <w:color w:val="auto"/>
                <w:kern w:val="0"/>
                <w:sz w:val="24"/>
                <w:szCs w:val="24"/>
                <w:highlight w:val="none"/>
                <w:lang w:val="en-US" w:eastAsia="zh-CN" w:bidi="ar-SA"/>
              </w:rPr>
              <w:t>P3户内表贴全彩LED屏</w:t>
            </w:r>
            <w:bookmarkEnd w:id="77"/>
          </w:p>
        </w:tc>
        <w:tc>
          <w:tcPr>
            <w:tcW w:w="6167"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1、显示尺寸:3.456m</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lang w:val="en-US" w:eastAsia="zh-CN"/>
              </w:rPr>
              <w:t>1.92m</w:t>
            </w:r>
            <w:r>
              <w:rPr>
                <w:rFonts w:hint="eastAsia" w:ascii="仿宋" w:hAnsi="仿宋" w:eastAsia="仿宋" w:cs="仿宋"/>
                <w:color w:val="auto"/>
                <w:kern w:val="2"/>
                <w:sz w:val="24"/>
                <w:szCs w:val="24"/>
                <w:highlight w:val="none"/>
                <w:lang w:val="en-US" w:eastAsia="zh-CN" w:bidi="ar-SA"/>
              </w:rPr>
              <w:t>，但因现场安装环境因素，实际面积偏差应控制在2%以内</w:t>
            </w:r>
            <w:r>
              <w:rPr>
                <w:rFonts w:hint="eastAsia" w:ascii="仿宋" w:hAnsi="仿宋" w:eastAsia="仿宋" w:cs="仿宋"/>
                <w:color w:val="auto"/>
                <w:sz w:val="24"/>
                <w:szCs w:val="24"/>
                <w:highlight w:val="none"/>
                <w:lang w:val="en-US" w:eastAsia="zh-CN"/>
              </w:rPr>
              <w:t>，分辨率：长≥1152点,高≥640点；</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2、LED封装方式：采用SMD2020封装灯珠，为保证产品的兼容性、稳定与可靠性，LED封装灯珠与LED显示屏为同一品牌。</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3、像素密度：111111 点/㎡</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4、模组尺寸：192mm*192mm</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5、模组接口：HUB75</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6、模组分辨率：64点*64点</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7、亮度：≥600 cd/m²</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8、水平视角：≥120°，垂直视角：≥120°</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9、刷新频率≥1920Hz，扫描方式:1/32扫描</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10、使用寿命：≥100000小时</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11、防护等级：IP40（正面）</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12、灰度级数：16384</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13、工作电压：4.2V/5V</w:t>
            </w:r>
          </w:p>
          <w:p>
            <w:pPr>
              <w:pStyle w:val="282"/>
              <w:keepNext w:val="0"/>
              <w:keepLines w:val="0"/>
              <w:pageBreakBefore w:val="0"/>
              <w:widowControl w:val="0"/>
              <w:kinsoku/>
              <w:wordWrap w:val="0"/>
              <w:overflowPunct/>
              <w:topLinePunct w:val="0"/>
              <w:autoSpaceDE/>
              <w:autoSpaceDN/>
              <w:bidi w:val="0"/>
              <w:adjustRightInd/>
              <w:snapToGrid/>
              <w:spacing w:line="360" w:lineRule="auto"/>
              <w:outlineLvl w:val="9"/>
              <w:rPr>
                <w:rFonts w:hint="eastAsia" w:ascii="仿宋" w:hAnsi="仿宋" w:eastAsia="仿宋" w:cs="仿宋"/>
                <w:color w:val="auto"/>
                <w:kern w:val="2"/>
                <w:sz w:val="24"/>
                <w:szCs w:val="24"/>
                <w:highlight w:val="none"/>
                <w:lang w:val="en-US" w:eastAsia="zh-CN" w:bidi="ar-SA"/>
              </w:rPr>
            </w:pPr>
            <w:bookmarkStart w:id="78" w:name="OLE_LINK8"/>
            <w:r>
              <w:rPr>
                <w:rFonts w:hint="eastAsia" w:ascii="仿宋" w:hAnsi="仿宋" w:eastAsia="仿宋" w:cs="仿宋"/>
                <w:color w:val="auto"/>
                <w:kern w:val="2"/>
                <w:sz w:val="24"/>
                <w:szCs w:val="24"/>
                <w:highlight w:val="none"/>
                <w:lang w:val="en-US" w:eastAsia="zh-CN" w:bidi="ar-SA"/>
              </w:rPr>
              <w:t xml:space="preserve">▲14、灯珠常温寿命：Te≥25℃ Ifr≤10mA IFg≤10mA Ifb≤10mA、通电≥1000H；灯珠点亮无异常（需提供带CMA标识的检测报告复印件加盖供应商公章） </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▲15、抗电强度：显示模组或LED显示屏应承受50Hz、1500VAC（交流有效值）的试验电压60S不发生绝缘击穿（需提供带CMA标识的检测报告复印件加盖供应商公章）</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0" w:firstLineChars="0"/>
              <w:jc w:val="left"/>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▲16、依据《IEC 62268-2-27：2008》、《IEC 60068-2-27：》、《IEC 62268-2-31：2008》、《ASTM D4857-11》，为保证LED显示屏产品受到外力情况下其可靠性及结构完好，须提供《冲击试验、碰撞试验、跌落试验、压力试验、拉力试验检测报告》（需提供带CMA标识的检测报告复印件加盖供应商公章）</w:t>
            </w:r>
            <w:bookmarkEnd w:id="78"/>
          </w:p>
        </w:tc>
        <w:tc>
          <w:tcPr>
            <w:tcW w:w="8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0" w:firstLineChars="0"/>
              <w:jc w:val="center"/>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套</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default" w:ascii="仿宋" w:hAnsi="仿宋" w:eastAsia="仿宋" w:cs="仿宋"/>
                <w:i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lang w:val="en-US" w:eastAsia="zh-CN"/>
              </w:rPr>
              <w:t>10</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bidi="ar-SA"/>
              </w:rPr>
              <w:t>P10户外直插单红LED屏</w:t>
            </w:r>
          </w:p>
        </w:tc>
        <w:tc>
          <w:tcPr>
            <w:tcW w:w="6167" w:type="dxa"/>
            <w:tcBorders>
              <w:top w:val="single" w:color="auto" w:sz="4" w:space="0"/>
              <w:left w:val="single" w:color="auto" w:sz="4" w:space="0"/>
              <w:bottom w:val="single" w:color="auto" w:sz="4" w:space="0"/>
              <w:right w:val="single" w:color="auto" w:sz="4" w:space="0"/>
            </w:tcBorders>
            <w:vAlign w:val="bottom"/>
          </w:tcPr>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1、像素规格 1R ，像素尺寸 32点 x16 点     </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2、模组规格 320mm x 160mm，主波长 620-625nm  </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3、模组功耗 20W ，屏幕亮度（cd/ &gt;1200cd ㎡） </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4、 扫描驱动方式  1/4 扫描  ，工作电压 5V     </w:t>
            </w:r>
          </w:p>
          <w:p>
            <w:pPr>
              <w:pStyle w:val="280"/>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5、包含大屏边框.背条.控制卡等辅材</w:t>
            </w:r>
          </w:p>
          <w:p>
            <w:pPr>
              <w:pStyle w:val="28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6、安装尺寸：10.98m*0.58m（6.36平方），但因现场安装环境因素，实际面积偏差应控制在2%以内。</w:t>
            </w:r>
          </w:p>
        </w:tc>
        <w:tc>
          <w:tcPr>
            <w:tcW w:w="8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0" w:firstLineChars="0"/>
              <w:jc w:val="center"/>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套</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default" w:ascii="仿宋" w:hAnsi="仿宋" w:eastAsia="仿宋" w:cs="仿宋"/>
                <w:i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lang w:val="en-US" w:eastAsia="zh-CN"/>
              </w:rPr>
              <w:t>11</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eastAsia" w:ascii="仿宋" w:hAnsi="仿宋" w:eastAsia="仿宋" w:cs="仿宋"/>
                <w:b w:val="0"/>
                <w:bCs w:val="0"/>
                <w:color w:val="auto"/>
                <w:sz w:val="24"/>
                <w:szCs w:val="24"/>
                <w:highlight w:val="none"/>
                <w:lang w:val="en-US" w:eastAsia="zh-CN"/>
              </w:rPr>
            </w:pPr>
            <w:bookmarkStart w:id="79" w:name="OLE_LINK9"/>
            <w:r>
              <w:rPr>
                <w:rFonts w:hint="eastAsia" w:ascii="仿宋" w:hAnsi="仿宋" w:eastAsia="仿宋" w:cs="仿宋"/>
                <w:color w:val="auto"/>
                <w:kern w:val="0"/>
                <w:sz w:val="24"/>
                <w:szCs w:val="24"/>
                <w:highlight w:val="none"/>
                <w:lang w:val="en-US" w:eastAsia="zh-CN" w:bidi="ar-SA"/>
              </w:rPr>
              <w:t>视频控制器</w:t>
            </w:r>
            <w:bookmarkEnd w:id="79"/>
          </w:p>
        </w:tc>
        <w:tc>
          <w:tcPr>
            <w:tcW w:w="6167" w:type="dxa"/>
            <w:tcBorders>
              <w:top w:val="single" w:color="auto" w:sz="4" w:space="0"/>
              <w:left w:val="single" w:color="auto" w:sz="4" w:space="0"/>
              <w:bottom w:val="single" w:color="auto" w:sz="4" w:space="0"/>
              <w:right w:val="single" w:color="auto" w:sz="4" w:space="0"/>
            </w:tcBorders>
            <w:vAlign w:val="bottom"/>
          </w:tcPr>
          <w:p>
            <w:pPr>
              <w:pStyle w:val="282"/>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420" w:leftChars="0" w:hanging="420" w:hangingChars="175"/>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1、支持5路输入接口，包括≥1路 DVI，≥1路HDMI1.3，≥1路VGA，≥1路USB播放，≥1路CVBS；</w:t>
            </w:r>
          </w:p>
          <w:p>
            <w:pPr>
              <w:pStyle w:val="282"/>
              <w:keepNext w:val="0"/>
              <w:keepLines w:val="0"/>
              <w:pageBreakBefore w:val="0"/>
              <w:widowControl w:val="0"/>
              <w:numPr>
                <w:ilvl w:val="0"/>
                <w:numId w:val="0"/>
              </w:numPr>
              <w:kinsoku/>
              <w:wordWrap w:val="0"/>
              <w:overflowPunct/>
              <w:topLinePunct w:val="0"/>
              <w:autoSpaceDE/>
              <w:autoSpaceDN/>
              <w:bidi w:val="0"/>
              <w:adjustRightInd/>
              <w:snapToGrid/>
              <w:spacing w:line="360" w:lineRule="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2、支持窗口位置、大小任意调整及窗口任意截取功能。 </w:t>
            </w:r>
          </w:p>
          <w:p>
            <w:pPr>
              <w:pStyle w:val="282"/>
              <w:keepNext w:val="0"/>
              <w:keepLines w:val="0"/>
              <w:pageBreakBefore w:val="0"/>
              <w:widowControl w:val="0"/>
              <w:kinsoku/>
              <w:wordWrap w:val="0"/>
              <w:overflowPunct/>
              <w:topLinePunct w:val="0"/>
              <w:autoSpaceDE/>
              <w:autoSpaceDN/>
              <w:bidi w:val="0"/>
              <w:adjustRightInd/>
              <w:snapToGrid/>
              <w:spacing w:line="360" w:lineRule="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3、支持面板一键画面全屏缩放、点对点缩放、自定义缩放三种缩放模式。</w:t>
            </w:r>
          </w:p>
          <w:p>
            <w:pPr>
              <w:pStyle w:val="282"/>
              <w:keepNext w:val="0"/>
              <w:keepLines w:val="0"/>
              <w:pageBreakBefore w:val="0"/>
              <w:widowControl w:val="0"/>
              <w:kinsoku/>
              <w:wordWrap w:val="0"/>
              <w:overflowPunct/>
              <w:topLinePunct w:val="0"/>
              <w:autoSpaceDE/>
              <w:autoSpaceDN/>
              <w:bidi w:val="0"/>
              <w:adjustRightInd/>
              <w:snapToGrid/>
              <w:spacing w:line="360" w:lineRule="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4、支持快捷点屏，简单操作即可完成屏体配置。 </w:t>
            </w:r>
          </w:p>
          <w:p>
            <w:pPr>
              <w:pStyle w:val="282"/>
              <w:keepNext w:val="0"/>
              <w:keepLines w:val="0"/>
              <w:pageBreakBefore w:val="0"/>
              <w:widowControl w:val="0"/>
              <w:kinsoku/>
              <w:wordWrap w:val="0"/>
              <w:overflowPunct/>
              <w:topLinePunct w:val="0"/>
              <w:autoSpaceDE/>
              <w:autoSpaceDN/>
              <w:bidi w:val="0"/>
              <w:adjustRightInd/>
              <w:snapToGrid/>
              <w:spacing w:line="360" w:lineRule="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5、支持 2 个网口输出，最大带载 130 万像素。 </w:t>
            </w:r>
          </w:p>
          <w:p>
            <w:pPr>
              <w:pStyle w:val="282"/>
              <w:keepNext w:val="0"/>
              <w:keepLines w:val="0"/>
              <w:pageBreakBefore w:val="0"/>
              <w:widowControl w:val="0"/>
              <w:kinsoku/>
              <w:wordWrap w:val="0"/>
              <w:overflowPunct/>
              <w:topLinePunct w:val="0"/>
              <w:autoSpaceDE/>
              <w:autoSpaceDN/>
              <w:bidi w:val="0"/>
              <w:adjustRightInd/>
              <w:snapToGrid/>
              <w:spacing w:line="360" w:lineRule="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 xml:space="preserve">6、支持屏体参数调整，例如亮度、Gamma 等。 </w:t>
            </w:r>
          </w:p>
          <w:p>
            <w:pPr>
              <w:pStyle w:val="282"/>
              <w:keepNext w:val="0"/>
              <w:keepLines w:val="0"/>
              <w:pageBreakBefore w:val="0"/>
              <w:widowControl w:val="0"/>
              <w:kinsoku/>
              <w:wordWrap w:val="0"/>
              <w:overflowPunct/>
              <w:topLinePunct w:val="0"/>
              <w:autoSpaceDE/>
              <w:autoSpaceDN/>
              <w:bidi w:val="0"/>
              <w:adjustRightInd/>
              <w:snapToGrid/>
              <w:spacing w:line="360" w:lineRule="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7、前面板直观的 OLED 显示界面，清晰的按键灯提示，简化系统的控制操作</w:t>
            </w:r>
          </w:p>
          <w:p>
            <w:pPr>
              <w:pStyle w:val="282"/>
              <w:keepNext w:val="0"/>
              <w:keepLines w:val="0"/>
              <w:pageBreakBefore w:val="0"/>
              <w:widowControl w:val="0"/>
              <w:kinsoku/>
              <w:wordWrap w:val="0"/>
              <w:overflowPunct/>
              <w:topLinePunct w:val="0"/>
              <w:autoSpaceDE/>
              <w:autoSpaceDN/>
              <w:bidi w:val="0"/>
              <w:adjustRightInd/>
              <w:snapToGrid/>
              <w:spacing w:line="360" w:lineRule="auto"/>
              <w:outlineLvl w:val="9"/>
              <w:rPr>
                <w:rFonts w:hint="eastAsia" w:ascii="仿宋" w:hAnsi="仿宋" w:eastAsia="仿宋" w:cs="仿宋"/>
                <w:color w:val="auto"/>
                <w:kern w:val="2"/>
                <w:sz w:val="24"/>
                <w:szCs w:val="24"/>
                <w:highlight w:val="none"/>
                <w:lang w:val="en-US" w:eastAsia="zh-CN" w:bidi="ar-SA"/>
              </w:rPr>
            </w:pPr>
            <w:bookmarkStart w:id="80" w:name="OLE_LINK10"/>
            <w:r>
              <w:rPr>
                <w:rFonts w:hint="eastAsia" w:ascii="仿宋" w:hAnsi="仿宋" w:eastAsia="仿宋" w:cs="仿宋"/>
                <w:color w:val="auto"/>
                <w:kern w:val="2"/>
                <w:sz w:val="24"/>
                <w:szCs w:val="24"/>
                <w:highlight w:val="none"/>
                <w:lang w:val="en-US" w:eastAsia="zh-CN" w:bidi="ar-SA"/>
              </w:rPr>
              <w:t>▲8、提供产品机内交流配电系统单元符合TN 配电系统在90V 50Hz至264V 60Hz之间仍可正常工作。（需提供带CMA标识的检测报告复印件加盖供应商公章）</w:t>
            </w:r>
          </w:p>
          <w:p>
            <w:pPr>
              <w:pStyle w:val="282"/>
              <w:keepNext w:val="0"/>
              <w:keepLines w:val="0"/>
              <w:pageBreakBefore w:val="0"/>
              <w:widowControl w:val="0"/>
              <w:kinsoku/>
              <w:wordWrap w:val="0"/>
              <w:overflowPunct/>
              <w:topLinePunct w:val="0"/>
              <w:autoSpaceDE/>
              <w:autoSpaceDN/>
              <w:bidi w:val="0"/>
              <w:adjustRightInd/>
              <w:snapToGrid/>
              <w:spacing w:line="360" w:lineRule="auto"/>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▲9、提供产品输入输出端子在接触温度检测的限值至少为70°C的条件。（需提供带CMA标识的检测报告复印件加盖供应商公章）</w:t>
            </w:r>
            <w:bookmarkEnd w:id="80"/>
            <w:r>
              <w:rPr>
                <w:rFonts w:hint="eastAsia" w:ascii="仿宋" w:hAnsi="仿宋" w:eastAsia="仿宋" w:cs="仿宋"/>
                <w:color w:val="auto"/>
                <w:kern w:val="2"/>
                <w:sz w:val="24"/>
                <w:szCs w:val="24"/>
                <w:highlight w:val="none"/>
                <w:lang w:val="en-US" w:eastAsia="zh-CN" w:bidi="ar-SA"/>
              </w:rPr>
              <w:t xml:space="preserve"> </w:t>
            </w:r>
          </w:p>
        </w:tc>
        <w:tc>
          <w:tcPr>
            <w:tcW w:w="8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0" w:firstLineChars="0"/>
              <w:jc w:val="center"/>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台</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default" w:ascii="仿宋" w:hAnsi="仿宋" w:eastAsia="仿宋" w:cs="仿宋"/>
                <w:i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lang w:val="en-US" w:eastAsia="zh-CN"/>
              </w:rPr>
              <w:t>12</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eastAsia" w:ascii="仿宋" w:hAnsi="仿宋" w:eastAsia="仿宋" w:cs="仿宋"/>
                <w:b w:val="0"/>
                <w:bCs w:val="0"/>
                <w:color w:val="auto"/>
                <w:sz w:val="24"/>
                <w:szCs w:val="24"/>
                <w:highlight w:val="none"/>
                <w:lang w:val="en-US" w:eastAsia="zh-CN"/>
              </w:rPr>
            </w:pPr>
            <w:bookmarkStart w:id="81" w:name="OLE_LINK11"/>
            <w:r>
              <w:rPr>
                <w:rFonts w:hint="eastAsia" w:ascii="仿宋" w:hAnsi="仿宋" w:eastAsia="仿宋" w:cs="仿宋"/>
                <w:color w:val="auto"/>
                <w:kern w:val="0"/>
                <w:sz w:val="24"/>
                <w:szCs w:val="24"/>
                <w:highlight w:val="none"/>
                <w:lang w:val="en-US" w:eastAsia="zh-CN" w:bidi="ar-SA"/>
              </w:rPr>
              <w:t>接收卡</w:t>
            </w:r>
            <w:bookmarkEnd w:id="81"/>
          </w:p>
        </w:tc>
        <w:tc>
          <w:tcPr>
            <w:tcW w:w="6167"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1、集成 16个标准HUB75 接口，免接HUB；</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2、支持 32 扫；</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3、单卡输出 RGB 数据32组；</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4、单卡带载像素为 512点×256点；</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5、支持配置文件回读；</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bookmarkStart w:id="82" w:name="OLE_LINK12"/>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sz w:val="24"/>
                <w:szCs w:val="24"/>
                <w:highlight w:val="none"/>
                <w:lang w:val="en-US" w:eastAsia="zh-CN"/>
              </w:rPr>
              <w:t>6、支持温度监控，支持网线通讯状态检测。</w:t>
            </w:r>
            <w:r>
              <w:rPr>
                <w:rFonts w:hint="eastAsia" w:ascii="仿宋" w:hAnsi="仿宋" w:eastAsia="仿宋" w:cs="仿宋"/>
                <w:color w:val="auto"/>
                <w:kern w:val="2"/>
                <w:sz w:val="24"/>
                <w:szCs w:val="24"/>
                <w:highlight w:val="none"/>
                <w:lang w:val="en-US" w:eastAsia="zh-CN" w:bidi="ar-SA"/>
              </w:rPr>
              <w:t>（需提供带CMA标识的检测报告复印件加盖供应商公章）</w:t>
            </w:r>
            <w:bookmarkEnd w:id="82"/>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7、支持供电电压检测</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8、支持高灰度高刷新；</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9、支持逐点亮色度校正，</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10、支持接收卡预存画面设置；</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11、支持Mapping功能；</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12、支持灯板Flash管理；</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13、支持5pin液晶模块；</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0" w:firstLineChars="0"/>
              <w:jc w:val="left"/>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14、支持固件程序版本回读。</w:t>
            </w:r>
          </w:p>
        </w:tc>
        <w:tc>
          <w:tcPr>
            <w:tcW w:w="8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0" w:firstLineChars="0"/>
              <w:jc w:val="center"/>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批</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default" w:ascii="仿宋" w:hAnsi="仿宋" w:eastAsia="仿宋" w:cs="仿宋"/>
                <w:i w:val="0"/>
                <w:color w:val="auto"/>
                <w:kern w:val="0"/>
                <w:sz w:val="24"/>
                <w:szCs w:val="24"/>
                <w:highlight w:val="none"/>
                <w:u w:val="none"/>
                <w:lang w:val="en-US" w:eastAsia="zh-CN" w:bidi="ar"/>
              </w:rPr>
            </w:pPr>
            <w:r>
              <w:rPr>
                <w:rFonts w:hint="eastAsia" w:ascii="仿宋" w:hAnsi="仿宋" w:eastAsia="仿宋" w:cs="仿宋"/>
                <w:color w:val="auto"/>
                <w:kern w:val="0"/>
                <w:sz w:val="24"/>
                <w:szCs w:val="24"/>
                <w:highlight w:val="none"/>
                <w:lang w:val="en-US" w:eastAsia="zh-CN"/>
              </w:rPr>
              <w:t>13</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bidi="ar-SA"/>
              </w:rPr>
              <w:t>显示屏专用配电柜</w:t>
            </w:r>
          </w:p>
        </w:tc>
        <w:tc>
          <w:tcPr>
            <w:tcW w:w="6167"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1、10KW功率，箱体大小（高x宽x厚）620mmx410mmx230mm</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2、负载路数1组4路，含1路风机,</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0" w:firstLineChars="0"/>
              <w:jc w:val="left"/>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3、功能：避雷浪涌保护、中间继电器、检修插座及照明开关，配置LED多功能卡远程上电开关。</w:t>
            </w:r>
          </w:p>
        </w:tc>
        <w:tc>
          <w:tcPr>
            <w:tcW w:w="8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0" w:firstLineChars="0"/>
              <w:jc w:val="center"/>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台</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安装、系统集成</w:t>
            </w:r>
          </w:p>
        </w:tc>
        <w:tc>
          <w:tcPr>
            <w:tcW w:w="6167"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1、钢结构及包边：采用镀锌方管20mm*40mm、40mm*40mm等规格焊接框架结构，保证屏体完成厚度≤20cm；四周采用不锈钢黑钛包边装饰，包边宽度根据实际环境定制。</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2、综合布线：大屏主电缆布设至专用配电柜；</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3、控制室到大屏布设六类网线；</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center"/>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4、系统集成。</w:t>
            </w:r>
          </w:p>
        </w:tc>
        <w:tc>
          <w:tcPr>
            <w:tcW w:w="8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0" w:firstLineChars="0"/>
              <w:jc w:val="center"/>
              <w:textAlignment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w:t>
            </w:r>
          </w:p>
        </w:tc>
        <w:tc>
          <w:tcPr>
            <w:tcW w:w="100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360" w:lineRule="auto"/>
              <w:jc w:val="center"/>
              <w:textAlignment w:val="center"/>
              <w:outlineLvl w:val="9"/>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r>
    </w:tbl>
    <w:p/>
    <w:p>
      <w:pPr>
        <w:keepNext w:val="0"/>
        <w:keepLines w:val="0"/>
        <w:pageBreakBefore w:val="0"/>
        <w:widowControl w:val="0"/>
        <w:kinsoku/>
        <w:wordWrap w:val="0"/>
        <w:overflowPunct/>
        <w:topLinePunct w:val="0"/>
        <w:autoSpaceDE/>
        <w:autoSpaceDN/>
        <w:bidi w:val="0"/>
        <w:adjustRightInd/>
        <w:snapToGrid/>
        <w:spacing w:line="360" w:lineRule="auto"/>
        <w:jc w:val="both"/>
        <w:textAlignment w:val="center"/>
        <w:outlineLvl w:val="9"/>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注：1、核心产品：液晶拼接单元（一）、液晶拼接单元（二）。</w:t>
      </w:r>
    </w:p>
    <w:p>
      <w:pPr>
        <w:pStyle w:val="2"/>
        <w:rPr>
          <w:rFonts w:hint="default"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★2、强制节能产品：液晶拼接单元（一）、液晶拼接单元（二）。</w:t>
      </w:r>
      <w:r>
        <w:rPr>
          <w:rFonts w:hint="default" w:ascii="仿宋" w:hAnsi="仿宋" w:eastAsia="仿宋" w:cs="仿宋"/>
          <w:b/>
          <w:bCs/>
          <w:color w:val="auto"/>
          <w:kern w:val="0"/>
          <w:sz w:val="28"/>
          <w:szCs w:val="28"/>
          <w:highlight w:val="none"/>
          <w:lang w:val="en-US" w:eastAsia="zh-CN" w:bidi="ar-SA"/>
        </w:rPr>
        <w:t>（投标人须提供国家确定的认证机构出具的、处于有效期之内的节能产品认证证书复印件加盖供应商公章）</w:t>
      </w:r>
    </w:p>
    <w:p>
      <w:pPr>
        <w:pStyle w:val="4"/>
        <w:numPr>
          <w:ilvl w:val="1"/>
          <w:numId w:val="6"/>
        </w:numPr>
        <w:tabs>
          <w:tab w:val="left" w:pos="426"/>
          <w:tab w:val="left" w:pos="567"/>
        </w:tabs>
        <w:spacing w:before="0" w:after="200"/>
        <w:jc w:val="both"/>
        <w:rPr>
          <w:rFonts w:hint="default" w:ascii="仿宋" w:hAnsi="仿宋" w:eastAsia="仿宋" w:cs="仿宋"/>
          <w:b/>
          <w:bCs/>
          <w:color w:val="auto"/>
          <w:kern w:val="0"/>
          <w:sz w:val="28"/>
          <w:szCs w:val="28"/>
          <w:highlight w:val="none"/>
          <w:lang w:val="en-US" w:eastAsia="zh-CN" w:bidi="ar-SA"/>
        </w:rPr>
      </w:pPr>
      <w:bookmarkStart w:id="83" w:name="_Toc13966"/>
      <w:r>
        <w:rPr>
          <w:rFonts w:hint="eastAsia" w:ascii="仿宋" w:hAnsi="仿宋" w:eastAsia="仿宋" w:cs="仿宋"/>
          <w:b/>
          <w:bCs/>
          <w:color w:val="auto"/>
          <w:kern w:val="0"/>
          <w:sz w:val="28"/>
          <w:szCs w:val="28"/>
          <w:highlight w:val="none"/>
          <w:lang w:val="en-US" w:eastAsia="zh-CN" w:bidi="ar-SA"/>
        </w:rPr>
        <w:t>★商务要求</w:t>
      </w:r>
      <w:bookmarkEnd w:id="83"/>
      <w:r>
        <w:rPr>
          <w:rFonts w:hint="default" w:ascii="仿宋" w:hAnsi="仿宋" w:eastAsia="仿宋" w:cs="仿宋"/>
          <w:b/>
          <w:bCs/>
          <w:color w:val="auto"/>
          <w:kern w:val="0"/>
          <w:sz w:val="28"/>
          <w:szCs w:val="28"/>
          <w:highlight w:val="none"/>
          <w:lang w:val="en-US" w:eastAsia="zh-CN" w:bidi="ar-SA"/>
        </w:rPr>
        <w:t>（说明：投标人应按</w:t>
      </w:r>
      <w:r>
        <w:rPr>
          <w:rFonts w:hint="eastAsia" w:ascii="仿宋" w:hAnsi="仿宋" w:eastAsia="仿宋" w:cs="仿宋"/>
          <w:b/>
          <w:bCs/>
          <w:color w:val="auto"/>
          <w:kern w:val="0"/>
          <w:sz w:val="28"/>
          <w:szCs w:val="28"/>
          <w:highlight w:val="none"/>
          <w:lang w:val="en-US" w:eastAsia="zh-CN" w:bidi="ar-SA"/>
        </w:rPr>
        <w:t>磋商</w:t>
      </w:r>
      <w:r>
        <w:rPr>
          <w:rFonts w:hint="default" w:ascii="仿宋" w:hAnsi="仿宋" w:eastAsia="仿宋" w:cs="仿宋"/>
          <w:b/>
          <w:bCs/>
          <w:color w:val="auto"/>
          <w:kern w:val="0"/>
          <w:sz w:val="28"/>
          <w:szCs w:val="28"/>
          <w:highlight w:val="none"/>
          <w:lang w:val="en-US" w:eastAsia="zh-CN" w:bidi="ar-SA"/>
        </w:rPr>
        <w:t>文件3.</w:t>
      </w:r>
      <w:r>
        <w:rPr>
          <w:rFonts w:hint="eastAsia" w:ascii="仿宋" w:hAnsi="仿宋" w:eastAsia="仿宋" w:cs="仿宋"/>
          <w:b/>
          <w:bCs/>
          <w:color w:val="auto"/>
          <w:kern w:val="0"/>
          <w:sz w:val="28"/>
          <w:szCs w:val="28"/>
          <w:highlight w:val="none"/>
          <w:lang w:val="en-US" w:eastAsia="zh-CN" w:bidi="ar-SA"/>
        </w:rPr>
        <w:t>3</w:t>
      </w:r>
      <w:r>
        <w:rPr>
          <w:rFonts w:hint="default" w:ascii="仿宋" w:hAnsi="仿宋" w:eastAsia="仿宋" w:cs="仿宋"/>
          <w:b/>
          <w:bCs/>
          <w:color w:val="auto"/>
          <w:kern w:val="0"/>
          <w:sz w:val="28"/>
          <w:szCs w:val="28"/>
          <w:highlight w:val="none"/>
          <w:lang w:val="en-US" w:eastAsia="zh-CN" w:bidi="ar-SA"/>
        </w:rPr>
        <w:t>.</w:t>
      </w:r>
      <w:r>
        <w:rPr>
          <w:rFonts w:hint="eastAsia" w:ascii="仿宋" w:hAnsi="仿宋" w:eastAsia="仿宋" w:cs="仿宋"/>
          <w:b/>
          <w:bCs/>
          <w:color w:val="auto"/>
          <w:kern w:val="0"/>
          <w:sz w:val="28"/>
          <w:szCs w:val="28"/>
          <w:highlight w:val="none"/>
          <w:lang w:val="en-US" w:eastAsia="zh-CN" w:bidi="ar-SA"/>
        </w:rPr>
        <w:t>5</w:t>
      </w:r>
      <w:r>
        <w:rPr>
          <w:rFonts w:hint="default" w:ascii="仿宋" w:hAnsi="仿宋" w:eastAsia="仿宋" w:cs="仿宋"/>
          <w:b/>
          <w:bCs/>
          <w:color w:val="auto"/>
          <w:kern w:val="0"/>
          <w:sz w:val="28"/>
          <w:szCs w:val="28"/>
          <w:highlight w:val="none"/>
          <w:lang w:val="en-US" w:eastAsia="zh-CN" w:bidi="ar-SA"/>
        </w:rPr>
        <w:t>承诺函的格式及要求提供承诺函。</w:t>
      </w:r>
      <w:r>
        <w:rPr>
          <w:rFonts w:hint="eastAsia" w:ascii="仿宋" w:hAnsi="仿宋" w:eastAsia="仿宋" w:cs="仿宋"/>
          <w:b/>
          <w:bCs/>
          <w:color w:val="auto"/>
          <w:kern w:val="0"/>
          <w:sz w:val="28"/>
          <w:szCs w:val="28"/>
          <w:highlight w:val="none"/>
          <w:lang w:val="en-US" w:eastAsia="zh-CN" w:bidi="ar-SA"/>
        </w:rPr>
        <w:t>）</w:t>
      </w:r>
    </w:p>
    <w:p>
      <w:pPr>
        <w:pageBreakBefore w:val="0"/>
        <w:widowControl/>
        <w:kinsoku/>
        <w:wordWrap/>
        <w:overflowPunct/>
        <w:topLinePunct w:val="0"/>
        <w:autoSpaceDE/>
        <w:autoSpaceDN/>
        <w:bidi w:val="0"/>
        <w:adjustRightInd w:val="0"/>
        <w:snapToGrid w:val="0"/>
        <w:spacing w:before="0" w:after="0" w:line="360" w:lineRule="auto"/>
        <w:ind w:left="0" w:firstLine="560" w:firstLineChars="200"/>
        <w:jc w:val="both"/>
        <w:textAlignment w:val="auto"/>
        <w:rPr>
          <w:rFonts w:hint="default" w:ascii="仿宋" w:hAnsi="仿宋" w:eastAsia="仿宋" w:cs="仿宋"/>
          <w:kern w:val="2"/>
          <w:sz w:val="28"/>
          <w:szCs w:val="28"/>
          <w:highlight w:val="none"/>
          <w:lang w:val="en-US" w:eastAsia="zh-CN"/>
        </w:rPr>
      </w:pPr>
      <w:r>
        <w:rPr>
          <w:rFonts w:hint="eastAsia" w:ascii="仿宋" w:hAnsi="仿宋" w:eastAsia="仿宋" w:cs="仿宋"/>
          <w:kern w:val="2"/>
          <w:sz w:val="28"/>
          <w:szCs w:val="28"/>
          <w:highlight w:val="none"/>
          <w:lang w:val="en-US" w:eastAsia="zh-CN"/>
        </w:rPr>
        <w:t>1、</w:t>
      </w:r>
      <w:r>
        <w:rPr>
          <w:rFonts w:hint="eastAsia" w:ascii="仿宋" w:hAnsi="仿宋" w:eastAsia="仿宋" w:cs="仿宋"/>
          <w:color w:val="auto"/>
          <w:kern w:val="2"/>
          <w:sz w:val="28"/>
          <w:szCs w:val="28"/>
          <w:highlight w:val="none"/>
          <w:lang w:val="en-US" w:eastAsia="zh-CN"/>
        </w:rPr>
        <w:t>交货时间：</w:t>
      </w:r>
      <w:r>
        <w:rPr>
          <w:rFonts w:hint="eastAsia" w:ascii="仿宋" w:hAnsi="仿宋" w:eastAsia="仿宋" w:cs="仿宋"/>
          <w:kern w:val="2"/>
          <w:sz w:val="28"/>
          <w:szCs w:val="28"/>
          <w:highlight w:val="none"/>
          <w:lang w:val="en-US" w:eastAsia="zh-CN"/>
        </w:rPr>
        <w:t>合同签订后15日内完成交货、安装、调试，并交付采购人验收使用。</w:t>
      </w:r>
    </w:p>
    <w:p>
      <w:pPr>
        <w:keepNext w:val="0"/>
        <w:keepLines w:val="0"/>
        <w:pageBreakBefore w:val="0"/>
        <w:widowControl w:val="0"/>
        <w:suppressLineNumbers w:val="0"/>
        <w:kinsoku/>
        <w:wordWrap/>
        <w:overflowPunct/>
        <w:topLinePunct w:val="0"/>
        <w:autoSpaceDE/>
        <w:autoSpaceDN/>
        <w:bidi w:val="0"/>
        <w:spacing w:beforeAutospacing="0" w:afterAutospacing="0" w:line="360" w:lineRule="auto"/>
        <w:ind w:left="0" w:right="0" w:firstLine="560" w:firstLineChars="200"/>
        <w:jc w:val="both"/>
        <w:textAlignment w:val="auto"/>
        <w:rPr>
          <w:rFonts w:hint="eastAsia" w:ascii="仿宋" w:hAnsi="仿宋" w:eastAsia="仿宋" w:cs="仿宋"/>
          <w:kern w:val="0"/>
          <w:sz w:val="28"/>
          <w:szCs w:val="28"/>
          <w:highlight w:val="none"/>
          <w:lang w:val="en-US" w:eastAsia="zh-CN" w:bidi="ar"/>
        </w:rPr>
      </w:pPr>
      <w:r>
        <w:rPr>
          <w:rFonts w:hint="eastAsia" w:ascii="仿宋" w:hAnsi="仿宋" w:eastAsia="仿宋" w:cs="仿宋"/>
          <w:kern w:val="2"/>
          <w:sz w:val="28"/>
          <w:szCs w:val="28"/>
          <w:highlight w:val="none"/>
          <w:lang w:val="en-US" w:eastAsia="zh-CN" w:bidi="ar"/>
        </w:rPr>
        <w:t>2、付款方式及时间：</w:t>
      </w:r>
      <w:r>
        <w:rPr>
          <w:rFonts w:hint="eastAsia" w:ascii="仿宋" w:hAnsi="仿宋" w:eastAsia="仿宋" w:cs="仿宋"/>
          <w:kern w:val="0"/>
          <w:sz w:val="28"/>
          <w:szCs w:val="28"/>
          <w:highlight w:val="none"/>
          <w:lang w:val="en-US" w:eastAsia="zh-CN" w:bidi="ar"/>
        </w:rPr>
        <w:t>签订合同后7个工作日内支付合同金额的50%款项，合同履约全部完成并履约验收合格接到供应商完整支付凭证后7个工作日内支付合同金额50%。</w:t>
      </w:r>
    </w:p>
    <w:p>
      <w:pPr>
        <w:keepNext w:val="0"/>
        <w:keepLines w:val="0"/>
        <w:pageBreakBefore w:val="0"/>
        <w:widowControl w:val="0"/>
        <w:suppressLineNumbers w:val="0"/>
        <w:kinsoku/>
        <w:wordWrap/>
        <w:overflowPunct/>
        <w:topLinePunct w:val="0"/>
        <w:autoSpaceDE/>
        <w:autoSpaceDN/>
        <w:bidi w:val="0"/>
        <w:spacing w:beforeAutospacing="0" w:afterAutospacing="0" w:line="360" w:lineRule="auto"/>
        <w:ind w:left="0" w:right="0" w:firstLine="560" w:firstLineChars="200"/>
        <w:jc w:val="both"/>
        <w:textAlignment w:val="auto"/>
        <w:rPr>
          <w:rFonts w:hint="eastAsia" w:ascii="仿宋" w:hAnsi="仿宋" w:eastAsia="仿宋" w:cs="仿宋"/>
          <w:kern w:val="0"/>
          <w:sz w:val="28"/>
          <w:szCs w:val="28"/>
          <w:highlight w:val="none"/>
          <w:lang w:val="en-US" w:eastAsia="zh-CN" w:bidi="ar"/>
        </w:rPr>
      </w:pPr>
      <w:r>
        <w:rPr>
          <w:rFonts w:hint="eastAsia" w:ascii="仿宋" w:hAnsi="仿宋" w:eastAsia="仿宋" w:cs="仿宋"/>
          <w:kern w:val="0"/>
          <w:sz w:val="28"/>
          <w:szCs w:val="28"/>
          <w:highlight w:val="none"/>
          <w:lang w:val="en-US" w:eastAsia="zh-CN" w:bidi="ar"/>
        </w:rPr>
        <w:t>3、服务响应时间：接到采购方服务通知后，1小时内电话响应，如远程不能解决，24小时内供应商应派相关工程师至现场解决问题。</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460" w:lineRule="exact"/>
        <w:ind w:firstLine="560" w:firstLineChars="200"/>
        <w:textAlignment w:val="auto"/>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4、验收办法及标准：</w:t>
      </w:r>
    </w:p>
    <w:p>
      <w:pPr>
        <w:keepNext w:val="0"/>
        <w:keepLines w:val="0"/>
        <w:pageBreakBefore w:val="0"/>
        <w:widowControl w:val="0"/>
        <w:kinsoku/>
        <w:wordWrap/>
        <w:overflowPunct/>
        <w:topLinePunct w:val="0"/>
        <w:autoSpaceDE w:val="0"/>
        <w:autoSpaceDN w:val="0"/>
        <w:bidi w:val="0"/>
        <w:adjustRightInd w:val="0"/>
        <w:snapToGrid/>
        <w:spacing w:after="0" w:line="460" w:lineRule="exact"/>
        <w:ind w:firstLine="560" w:firstLineChars="200"/>
        <w:textAlignment w:val="auto"/>
        <w:rPr>
          <w:rFonts w:hint="eastAsia" w:ascii="仿宋" w:hAnsi="仿宋" w:eastAsia="仿宋" w:cs="仿宋"/>
          <w:color w:val="auto"/>
          <w:kern w:val="0"/>
          <w:sz w:val="28"/>
          <w:szCs w:val="28"/>
          <w:highlight w:val="none"/>
          <w:lang w:val="en-US" w:eastAsia="zh-CN" w:bidi="ar"/>
        </w:rPr>
      </w:pPr>
      <w:r>
        <w:rPr>
          <w:rFonts w:hint="eastAsia" w:ascii="仿宋" w:hAnsi="仿宋" w:eastAsia="仿宋" w:cs="仿宋"/>
          <w:color w:val="auto"/>
          <w:kern w:val="0"/>
          <w:sz w:val="28"/>
          <w:szCs w:val="28"/>
          <w:highlight w:val="none"/>
          <w:lang w:val="en-US" w:eastAsia="zh-CN" w:bidi="ar"/>
        </w:rPr>
        <w:t xml:space="preserve">（1）验收办法：成交供应商与采购人应按照《财政部关于进一步加强政府采购需求和履约验收管理的指导意见》（财库〔2016〕205号）、并参照《四川省政府采购项目需求论证和履约验收管理办法》（川财采〔2015〕32号）的规定进行验收。 </w:t>
      </w:r>
    </w:p>
    <w:p>
      <w:pPr>
        <w:spacing w:before="62" w:beforeLines="20" w:after="62" w:afterLines="20" w:line="576" w:lineRule="exact"/>
        <w:ind w:firstLine="560" w:firstLineChars="200"/>
        <w:rPr>
          <w:rFonts w:ascii="Times New Roman" w:hAnsi="Times New Roman" w:eastAsia="仿宋_GB2312" w:cs="Times New Roman"/>
          <w:sz w:val="28"/>
          <w:szCs w:val="28"/>
        </w:rPr>
      </w:pPr>
      <w:r>
        <w:rPr>
          <w:rFonts w:hint="eastAsia" w:ascii="仿宋" w:hAnsi="仿宋" w:eastAsia="仿宋" w:cs="仿宋"/>
          <w:color w:val="auto"/>
          <w:kern w:val="0"/>
          <w:sz w:val="28"/>
          <w:szCs w:val="28"/>
          <w:highlight w:val="none"/>
          <w:lang w:val="en-US" w:eastAsia="zh-CN" w:bidi="ar"/>
        </w:rPr>
        <w:t>（2）验收标准：按国家有关规定、磋商文件的技术服务要求、成交供应商的响应文件以及合同约定标准进行验收。</w:t>
      </w:r>
    </w:p>
    <w:p/>
    <w:p>
      <w:pPr>
        <w:pStyle w:val="5"/>
        <w:numPr>
          <w:ilvl w:val="2"/>
          <w:numId w:val="0"/>
        </w:numPr>
        <w:tabs>
          <w:tab w:val="left" w:pos="426"/>
          <w:tab w:val="left" w:pos="567"/>
        </w:tabs>
        <w:spacing w:after="200"/>
        <w:ind w:leftChars="0"/>
        <w:rPr>
          <w:color w:val="auto"/>
        </w:rPr>
      </w:pPr>
      <w:bookmarkStart w:id="84" w:name="_Toc28334880"/>
      <w:r>
        <w:rPr>
          <w:rFonts w:hint="eastAsia"/>
          <w:color w:val="auto"/>
          <w:lang w:val="en-US" w:eastAsia="zh-CN"/>
        </w:rPr>
        <w:t>5、</w:t>
      </w:r>
      <w:r>
        <w:rPr>
          <w:rFonts w:hint="eastAsia" w:ascii="仿宋" w:hAnsi="仿宋" w:eastAsia="仿宋" w:cs="仿宋"/>
          <w:b/>
          <w:bCs/>
          <w:color w:val="auto"/>
          <w:kern w:val="0"/>
          <w:sz w:val="28"/>
          <w:szCs w:val="28"/>
          <w:highlight w:val="none"/>
          <w:lang w:val="en-US" w:eastAsia="zh-CN" w:bidi="ar-SA"/>
        </w:rPr>
        <w:t>最高限价</w:t>
      </w:r>
      <w:bookmarkEnd w:id="84"/>
    </w:p>
    <w:p>
      <w:pPr>
        <w:ind w:firstLine="562" w:firstLineChars="200"/>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zh-CN" w:eastAsia="zh-CN" w:bidi="ar-SA"/>
        </w:rPr>
        <w:t>★</w:t>
      </w:r>
      <w:r>
        <w:rPr>
          <w:rFonts w:hint="eastAsia" w:ascii="仿宋" w:hAnsi="仿宋" w:eastAsia="仿宋" w:cs="仿宋"/>
          <w:b/>
          <w:bCs/>
          <w:color w:val="auto"/>
          <w:kern w:val="0"/>
          <w:sz w:val="28"/>
          <w:szCs w:val="28"/>
          <w:highlight w:val="none"/>
          <w:lang w:val="en-US" w:eastAsia="zh-CN" w:bidi="ar-SA"/>
        </w:rPr>
        <w:t>本项目最高限价为人民币30万元。供应商最后报价高于最高限价的，则其响应文件将按无效响应文件处理。</w:t>
      </w:r>
    </w:p>
    <w:p>
      <w:pPr>
        <w:pStyle w:val="4"/>
        <w:tabs>
          <w:tab w:val="left" w:pos="426"/>
          <w:tab w:val="left" w:pos="567"/>
        </w:tabs>
        <w:spacing w:before="0" w:after="200"/>
        <w:jc w:val="both"/>
        <w:rPr>
          <w:rFonts w:hint="eastAsia" w:ascii="仿宋" w:hAnsi="仿宋" w:eastAsia="仿宋" w:cs="仿宋"/>
          <w:b/>
          <w:bCs/>
          <w:color w:val="auto"/>
          <w:kern w:val="0"/>
          <w:sz w:val="28"/>
          <w:szCs w:val="28"/>
          <w:highlight w:val="none"/>
          <w:lang w:val="en-US" w:eastAsia="zh-CN" w:bidi="ar-SA"/>
        </w:rPr>
      </w:pPr>
      <w:bookmarkStart w:id="85" w:name="_Toc10321"/>
      <w:r>
        <w:rPr>
          <w:rFonts w:hint="eastAsia" w:ascii="仿宋" w:hAnsi="仿宋" w:eastAsia="仿宋" w:cs="仿宋"/>
          <w:b/>
          <w:bCs/>
          <w:color w:val="auto"/>
          <w:kern w:val="0"/>
          <w:sz w:val="28"/>
          <w:szCs w:val="28"/>
          <w:highlight w:val="none"/>
          <w:lang w:val="en-US" w:eastAsia="zh-CN" w:bidi="ar-SA"/>
        </w:rPr>
        <w:t>其他要求</w:t>
      </w:r>
      <w:bookmarkEnd w:id="85"/>
    </w:p>
    <w:p>
      <w:pPr>
        <w:pStyle w:val="82"/>
        <w:numPr>
          <w:ilvl w:val="0"/>
          <w:numId w:val="0"/>
        </w:numPr>
        <w:tabs>
          <w:tab w:val="left" w:pos="1134"/>
        </w:tabs>
        <w:spacing w:line="360" w:lineRule="auto"/>
        <w:ind w:firstLine="562" w:firstLineChars="200"/>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1、★供应商为本项目提供的所有产品、辅材中属于《国家强制性产品认证目录》范围内产品的，均应通过国家强制性产品认证并取得认证证书。（说明：供应商应按采购文件3.3.5承诺函的格式及要求提供承诺函。）</w:t>
      </w:r>
    </w:p>
    <w:p>
      <w:pPr>
        <w:pStyle w:val="82"/>
        <w:numPr>
          <w:ilvl w:val="0"/>
          <w:numId w:val="0"/>
        </w:numPr>
        <w:tabs>
          <w:tab w:val="left" w:pos="1134"/>
        </w:tabs>
        <w:spacing w:line="360" w:lineRule="auto"/>
        <w:ind w:firstLine="562" w:firstLineChars="200"/>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2、★供应商为本项目提供的所有产品、辅材应符合现行的强制性国家相关标准、行业标准。（说明：供应商应按采购文件3.3.5承诺函的格式及要求提供承诺函。）</w:t>
      </w:r>
    </w:p>
    <w:p>
      <w:pPr>
        <w:pStyle w:val="82"/>
        <w:numPr>
          <w:ilvl w:val="0"/>
          <w:numId w:val="0"/>
        </w:numPr>
        <w:tabs>
          <w:tab w:val="left" w:pos="1134"/>
        </w:tabs>
        <w:spacing w:line="360" w:lineRule="auto"/>
        <w:ind w:firstLine="562" w:firstLineChars="200"/>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3、★供应商为本项目提供的所有产品中属于节能产品政府采购品目清单中的政府强制采购产品的，均应具有国家确定的认证机构出具的有效期内的节能产品认证证书。（说明：供应商应按采购文件3.3.5承诺函的格式及要求提供承诺函。）</w:t>
      </w:r>
    </w:p>
    <w:p>
      <w:pPr>
        <w:pStyle w:val="82"/>
        <w:numPr>
          <w:ilvl w:val="0"/>
          <w:numId w:val="0"/>
        </w:numPr>
        <w:tabs>
          <w:tab w:val="left" w:pos="1134"/>
        </w:tabs>
        <w:spacing w:line="360" w:lineRule="auto"/>
        <w:ind w:firstLine="562" w:firstLineChars="200"/>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4、★在评审过程中，磋商小组认为供应商最后报价明显低于其他通过符合性审查供应商的最后报价，有可能影响服务质量或者不能诚信履约的，磋商小组应当要求其在评审现场合理的时间内提供成本构成书面说明，必要时提交相关证明材料。供应商提交的书面说明、相关证明材料（如涉及）应当由法定代表人或授权代表签字或加盖公章，否则无效。供应商不能证明其报价合理性的，磋商小组应当将其响应文件作为无效处理。</w:t>
      </w:r>
    </w:p>
    <w:p>
      <w:pPr>
        <w:pStyle w:val="4"/>
        <w:tabs>
          <w:tab w:val="left" w:pos="426"/>
          <w:tab w:val="left" w:pos="567"/>
        </w:tabs>
        <w:spacing w:before="0" w:after="200"/>
        <w:jc w:val="both"/>
      </w:pPr>
      <w:bookmarkStart w:id="86" w:name="_Toc26743"/>
      <w:r>
        <w:rPr>
          <w:rFonts w:hint="eastAsia" w:ascii="仿宋" w:hAnsi="仿宋" w:eastAsia="仿宋" w:cs="仿宋"/>
          <w:b/>
          <w:bCs/>
          <w:color w:val="auto"/>
          <w:kern w:val="0"/>
          <w:sz w:val="28"/>
          <w:szCs w:val="28"/>
          <w:highlight w:val="none"/>
          <w:lang w:val="en-US" w:eastAsia="zh-CN" w:bidi="ar-SA"/>
        </w:rPr>
        <w:t>满足采购需求的最低要求</w:t>
      </w:r>
      <w:bookmarkEnd w:id="86"/>
    </w:p>
    <w:p>
      <w:pPr>
        <w:ind w:firstLine="562" w:firstLineChars="200"/>
        <w:rPr>
          <w:rFonts w:ascii="宋体" w:hAnsi="宋体"/>
          <w:b/>
          <w:sz w:val="28"/>
          <w:szCs w:val="28"/>
        </w:rPr>
      </w:pPr>
      <w:r>
        <w:rPr>
          <w:rFonts w:hint="eastAsia" w:ascii="仿宋" w:hAnsi="仿宋" w:eastAsia="仿宋" w:cs="仿宋"/>
          <w:b/>
          <w:bCs/>
          <w:color w:val="auto"/>
          <w:kern w:val="0"/>
          <w:sz w:val="28"/>
          <w:szCs w:val="28"/>
          <w:highlight w:val="none"/>
          <w:lang w:val="en-US" w:eastAsia="zh-CN" w:bidi="ar-SA"/>
        </w:rPr>
        <w:t>技术、服务、商务及其他要求中加★号的要求为满足采购需求的最低要求。</w:t>
      </w:r>
    </w:p>
    <w:p>
      <w:bookmarkStart w:id="87" w:name="_Toc360696963"/>
      <w:bookmarkStart w:id="88" w:name="_Toc238273564"/>
      <w:bookmarkStart w:id="89" w:name="_Toc205604899"/>
      <w:bookmarkStart w:id="90" w:name="_Toc236285891"/>
      <w:r>
        <w:rPr>
          <w:rFonts w:hint="eastAsia"/>
        </w:rPr>
        <w:br w:type="page"/>
      </w:r>
    </w:p>
    <w:p>
      <w:pPr>
        <w:pStyle w:val="3"/>
        <w:widowControl/>
        <w:numPr>
          <w:ilvl w:val="0"/>
          <w:numId w:val="6"/>
        </w:numPr>
        <w:spacing w:before="0" w:after="0" w:line="360" w:lineRule="auto"/>
        <w:ind w:left="0" w:firstLine="0"/>
      </w:pPr>
      <w:bookmarkStart w:id="91" w:name="_Toc30887"/>
      <w:r>
        <w:rPr>
          <w:rFonts w:hint="eastAsia"/>
        </w:rPr>
        <w:t>磋商办法</w:t>
      </w:r>
      <w:bookmarkEnd w:id="91"/>
    </w:p>
    <w:p>
      <w:pPr>
        <w:pStyle w:val="4"/>
        <w:numPr>
          <w:ilvl w:val="1"/>
          <w:numId w:val="6"/>
        </w:numPr>
        <w:tabs>
          <w:tab w:val="left" w:pos="426"/>
          <w:tab w:val="left" w:pos="567"/>
        </w:tabs>
        <w:spacing w:before="0" w:after="200"/>
        <w:ind w:left="1985" w:hanging="1985"/>
        <w:jc w:val="both"/>
      </w:pPr>
      <w:bookmarkStart w:id="92" w:name="_Toc25442"/>
      <w:r>
        <w:rPr>
          <w:rFonts w:hint="eastAsia"/>
        </w:rPr>
        <w:t>总则</w:t>
      </w:r>
      <w:bookmarkEnd w:id="92"/>
    </w:p>
    <w:p>
      <w:pPr>
        <w:numPr>
          <w:ilvl w:val="0"/>
          <w:numId w:val="40"/>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numPr>
          <w:ilvl w:val="0"/>
          <w:numId w:val="40"/>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评审工作由</w:t>
      </w:r>
      <w:r>
        <w:rPr>
          <w:rFonts w:hint="eastAsia" w:ascii="宋体" w:hAnsi="宋体"/>
          <w:sz w:val="28"/>
          <w:szCs w:val="28"/>
          <w:lang w:eastAsia="zh-CN"/>
        </w:rPr>
        <w:t>区交易中心</w:t>
      </w:r>
      <w:r>
        <w:rPr>
          <w:rFonts w:hint="eastAsia" w:ascii="宋体" w:hAnsi="宋体"/>
          <w:sz w:val="28"/>
          <w:szCs w:val="28"/>
        </w:rPr>
        <w:t>负责组织，具体评审事务由采购人和</w:t>
      </w:r>
      <w:r>
        <w:rPr>
          <w:rFonts w:hint="eastAsia" w:ascii="宋体" w:hAnsi="宋体"/>
          <w:sz w:val="28"/>
          <w:szCs w:val="28"/>
          <w:lang w:eastAsia="zh-CN"/>
        </w:rPr>
        <w:t>区交易中心</w:t>
      </w:r>
      <w:r>
        <w:rPr>
          <w:rFonts w:hint="eastAsia" w:ascii="宋体" w:hAnsi="宋体"/>
          <w:sz w:val="28"/>
          <w:szCs w:val="28"/>
        </w:rPr>
        <w:t>依法组建的磋商小组负责。磋商小组由采购人代表和评审专家组成。</w:t>
      </w:r>
    </w:p>
    <w:p>
      <w:pPr>
        <w:numPr>
          <w:ilvl w:val="0"/>
          <w:numId w:val="40"/>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评审工作应遵循公平、公正、科学及择优的原则，并以相同的评审程序和标准对待所有的供应商。</w:t>
      </w:r>
    </w:p>
    <w:p>
      <w:pPr>
        <w:numPr>
          <w:ilvl w:val="0"/>
          <w:numId w:val="40"/>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磋商小组按照磋商文件规定的磋商程序、评审方法和标准进行独立评审，并独立履行下列职责：</w:t>
      </w:r>
    </w:p>
    <w:p>
      <w:pPr>
        <w:numPr>
          <w:ilvl w:val="1"/>
          <w:numId w:val="41"/>
        </w:numPr>
        <w:spacing w:after="200" w:line="360" w:lineRule="auto"/>
        <w:ind w:left="0" w:firstLine="567"/>
        <w:rPr>
          <w:rFonts w:ascii="宋体" w:hAnsi="宋体"/>
          <w:sz w:val="28"/>
          <w:szCs w:val="28"/>
        </w:rPr>
      </w:pPr>
      <w:r>
        <w:rPr>
          <w:rFonts w:hint="eastAsia" w:ascii="宋体" w:hAnsi="宋体" w:cs="宋体"/>
          <w:sz w:val="28"/>
          <w:szCs w:val="28"/>
        </w:rPr>
        <w:t>确认或者制定磋商文件</w:t>
      </w:r>
      <w:r>
        <w:rPr>
          <w:rFonts w:hint="eastAsia" w:ascii="宋体" w:hAnsi="宋体"/>
          <w:sz w:val="28"/>
          <w:szCs w:val="28"/>
        </w:rPr>
        <w:t>；</w:t>
      </w:r>
    </w:p>
    <w:p>
      <w:pPr>
        <w:numPr>
          <w:ilvl w:val="1"/>
          <w:numId w:val="41"/>
        </w:numPr>
        <w:spacing w:after="200" w:line="360" w:lineRule="auto"/>
        <w:ind w:left="0" w:firstLine="567"/>
        <w:rPr>
          <w:rFonts w:ascii="宋体" w:hAnsi="宋体"/>
          <w:sz w:val="28"/>
          <w:szCs w:val="28"/>
        </w:rPr>
      </w:pPr>
      <w:r>
        <w:rPr>
          <w:rFonts w:hint="eastAsia" w:ascii="宋体" w:hAnsi="宋体"/>
          <w:sz w:val="28"/>
          <w:szCs w:val="28"/>
        </w:rPr>
        <w:t>从符合相应资格条件的供应商名单中确定不少于3家的供应商参加磋商；</w:t>
      </w:r>
    </w:p>
    <w:p>
      <w:pPr>
        <w:numPr>
          <w:ilvl w:val="1"/>
          <w:numId w:val="41"/>
        </w:numPr>
        <w:spacing w:after="200" w:line="360" w:lineRule="auto"/>
        <w:ind w:left="0" w:firstLine="567"/>
        <w:rPr>
          <w:rFonts w:ascii="宋体" w:hAnsi="宋体"/>
          <w:sz w:val="28"/>
          <w:szCs w:val="28"/>
        </w:rPr>
      </w:pPr>
      <w:r>
        <w:rPr>
          <w:rFonts w:hint="eastAsia" w:ascii="宋体" w:hAnsi="宋体" w:cs="宋体"/>
          <w:sz w:val="28"/>
          <w:szCs w:val="28"/>
        </w:rPr>
        <w:t>审查供应商的响应文件并作出评价</w:t>
      </w:r>
      <w:r>
        <w:rPr>
          <w:rFonts w:hint="eastAsia" w:ascii="宋体" w:hAnsi="宋体"/>
          <w:sz w:val="28"/>
          <w:szCs w:val="28"/>
        </w:rPr>
        <w:t>；</w:t>
      </w:r>
    </w:p>
    <w:p>
      <w:pPr>
        <w:numPr>
          <w:ilvl w:val="1"/>
          <w:numId w:val="41"/>
        </w:numPr>
        <w:spacing w:after="200" w:line="360" w:lineRule="auto"/>
        <w:ind w:left="0" w:firstLine="567"/>
        <w:rPr>
          <w:rFonts w:ascii="宋体" w:hAnsi="宋体"/>
          <w:sz w:val="28"/>
          <w:szCs w:val="28"/>
        </w:rPr>
      </w:pPr>
      <w:r>
        <w:rPr>
          <w:rFonts w:hint="eastAsia" w:ascii="宋体" w:hAnsi="宋体" w:cs="宋体"/>
          <w:sz w:val="28"/>
          <w:szCs w:val="28"/>
        </w:rPr>
        <w:t>要求供应商解释或者澄清其响应文件</w:t>
      </w:r>
      <w:r>
        <w:rPr>
          <w:rFonts w:hint="eastAsia" w:ascii="宋体" w:hAnsi="宋体"/>
          <w:sz w:val="28"/>
          <w:szCs w:val="28"/>
        </w:rPr>
        <w:t>；</w:t>
      </w:r>
    </w:p>
    <w:p>
      <w:pPr>
        <w:numPr>
          <w:ilvl w:val="1"/>
          <w:numId w:val="41"/>
        </w:numPr>
        <w:spacing w:after="200" w:line="360" w:lineRule="auto"/>
        <w:ind w:left="0" w:firstLine="567"/>
        <w:rPr>
          <w:rFonts w:ascii="宋体" w:hAnsi="宋体"/>
          <w:sz w:val="28"/>
          <w:szCs w:val="28"/>
        </w:rPr>
      </w:pPr>
      <w:r>
        <w:rPr>
          <w:rFonts w:hint="eastAsia" w:ascii="宋体" w:hAnsi="宋体" w:cs="宋体"/>
          <w:sz w:val="28"/>
          <w:szCs w:val="28"/>
        </w:rPr>
        <w:t>依法、客观、公平、公正开展供应商资格性审查、磋商和推荐成交候选供应商</w:t>
      </w:r>
      <w:r>
        <w:rPr>
          <w:rFonts w:hint="eastAsia" w:ascii="宋体" w:hAnsi="宋体"/>
          <w:sz w:val="28"/>
          <w:szCs w:val="28"/>
        </w:rPr>
        <w:t>；</w:t>
      </w:r>
    </w:p>
    <w:p>
      <w:pPr>
        <w:numPr>
          <w:ilvl w:val="1"/>
          <w:numId w:val="41"/>
        </w:numPr>
        <w:spacing w:after="200" w:line="360" w:lineRule="auto"/>
        <w:ind w:left="0" w:firstLine="567"/>
        <w:rPr>
          <w:rFonts w:ascii="宋体" w:hAnsi="宋体"/>
          <w:sz w:val="28"/>
          <w:szCs w:val="28"/>
        </w:rPr>
      </w:pPr>
      <w:r>
        <w:rPr>
          <w:rFonts w:hint="eastAsia" w:ascii="宋体" w:hAnsi="宋体" w:cs="宋体"/>
          <w:sz w:val="28"/>
          <w:szCs w:val="28"/>
        </w:rPr>
        <w:t>编写评审报告</w:t>
      </w:r>
      <w:r>
        <w:rPr>
          <w:rFonts w:hint="eastAsia" w:ascii="宋体" w:hAnsi="宋体"/>
          <w:sz w:val="28"/>
          <w:szCs w:val="28"/>
        </w:rPr>
        <w:t>；</w:t>
      </w:r>
    </w:p>
    <w:p>
      <w:pPr>
        <w:numPr>
          <w:ilvl w:val="1"/>
          <w:numId w:val="41"/>
        </w:numPr>
        <w:spacing w:after="200" w:line="360" w:lineRule="auto"/>
        <w:ind w:left="0" w:firstLine="567"/>
        <w:rPr>
          <w:rFonts w:ascii="宋体" w:hAnsi="宋体"/>
          <w:sz w:val="28"/>
          <w:szCs w:val="28"/>
        </w:rPr>
      </w:pPr>
      <w:r>
        <w:rPr>
          <w:rFonts w:hint="eastAsia" w:ascii="宋体" w:hAnsi="宋体" w:cs="宋体"/>
          <w:sz w:val="28"/>
          <w:szCs w:val="28"/>
        </w:rPr>
        <w:t>告知采购人、采购代理机构在评审过程中发现的供应商的违法违规行为</w:t>
      </w:r>
      <w:r>
        <w:rPr>
          <w:rFonts w:hint="eastAsia" w:ascii="宋体" w:hAnsi="宋体"/>
          <w:sz w:val="28"/>
          <w:szCs w:val="28"/>
        </w:rPr>
        <w:t>；</w:t>
      </w:r>
    </w:p>
    <w:p>
      <w:pPr>
        <w:numPr>
          <w:ilvl w:val="1"/>
          <w:numId w:val="41"/>
        </w:numPr>
        <w:spacing w:after="200" w:line="360" w:lineRule="auto"/>
        <w:ind w:left="0" w:firstLine="567"/>
        <w:rPr>
          <w:rFonts w:ascii="宋体" w:hAnsi="宋体"/>
          <w:sz w:val="28"/>
          <w:szCs w:val="28"/>
        </w:rPr>
      </w:pPr>
      <w:r>
        <w:rPr>
          <w:rFonts w:hint="eastAsia" w:ascii="宋体" w:hAnsi="宋体"/>
          <w:sz w:val="28"/>
          <w:szCs w:val="28"/>
        </w:rPr>
        <w:t>保守供应商的商业秘密；</w:t>
      </w:r>
    </w:p>
    <w:p>
      <w:pPr>
        <w:numPr>
          <w:ilvl w:val="1"/>
          <w:numId w:val="41"/>
        </w:numPr>
        <w:spacing w:after="200" w:line="360" w:lineRule="auto"/>
        <w:ind w:left="0" w:firstLine="567"/>
        <w:rPr>
          <w:rFonts w:ascii="宋体" w:hAnsi="宋体"/>
          <w:sz w:val="28"/>
          <w:szCs w:val="28"/>
        </w:rPr>
      </w:pPr>
      <w:r>
        <w:rPr>
          <w:rFonts w:hint="eastAsia" w:ascii="宋体" w:hAnsi="宋体"/>
          <w:sz w:val="28"/>
          <w:szCs w:val="28"/>
        </w:rPr>
        <w:t>配合处理供应商质疑；</w:t>
      </w:r>
    </w:p>
    <w:p>
      <w:pPr>
        <w:numPr>
          <w:ilvl w:val="1"/>
          <w:numId w:val="41"/>
        </w:numPr>
        <w:spacing w:after="200" w:line="360" w:lineRule="auto"/>
        <w:ind w:left="0" w:firstLine="567"/>
        <w:rPr>
          <w:rFonts w:ascii="宋体" w:hAnsi="宋体"/>
          <w:sz w:val="28"/>
          <w:szCs w:val="28"/>
        </w:rPr>
      </w:pPr>
      <w:r>
        <w:rPr>
          <w:rFonts w:hint="eastAsia" w:ascii="宋体" w:hAnsi="宋体"/>
          <w:sz w:val="28"/>
          <w:szCs w:val="28"/>
        </w:rPr>
        <w:t>配合处理供应商投诉；</w:t>
      </w:r>
    </w:p>
    <w:p>
      <w:pPr>
        <w:numPr>
          <w:ilvl w:val="1"/>
          <w:numId w:val="41"/>
        </w:numPr>
        <w:tabs>
          <w:tab w:val="left" w:pos="1418"/>
        </w:tabs>
        <w:spacing w:after="200" w:line="360" w:lineRule="auto"/>
        <w:ind w:left="0" w:firstLine="567"/>
        <w:rPr>
          <w:rFonts w:ascii="宋体" w:hAnsi="宋体"/>
          <w:sz w:val="28"/>
          <w:szCs w:val="28"/>
        </w:rPr>
      </w:pPr>
      <w:r>
        <w:rPr>
          <w:rFonts w:hint="eastAsia" w:ascii="宋体" w:hAnsi="宋体" w:cs="宋体"/>
          <w:sz w:val="28"/>
          <w:szCs w:val="28"/>
        </w:rPr>
        <w:t>其他需要履行的工作职责</w:t>
      </w:r>
      <w:r>
        <w:rPr>
          <w:rFonts w:hint="eastAsia" w:ascii="宋体" w:hAnsi="宋体"/>
          <w:sz w:val="28"/>
          <w:szCs w:val="28"/>
        </w:rPr>
        <w:t>。</w:t>
      </w:r>
    </w:p>
    <w:p>
      <w:pPr>
        <w:numPr>
          <w:ilvl w:val="0"/>
          <w:numId w:val="40"/>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评审过程独立、保密。供应商非法干预评审过程的行为将导致其响应文件作为无效处理。</w:t>
      </w:r>
    </w:p>
    <w:p>
      <w:pPr>
        <w:numPr>
          <w:ilvl w:val="0"/>
          <w:numId w:val="40"/>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磋商小组决定响应文件的响应性依据响应文件本身的内容，而不寻求外部的证据，磋商文件有明确约定的除外。</w:t>
      </w:r>
    </w:p>
    <w:p>
      <w:pPr>
        <w:numPr>
          <w:ilvl w:val="0"/>
          <w:numId w:val="40"/>
        </w:numPr>
        <w:tabs>
          <w:tab w:val="left" w:pos="1134"/>
        </w:tabs>
        <w:spacing w:after="200" w:line="360" w:lineRule="auto"/>
        <w:ind w:left="0" w:firstLine="565" w:firstLineChars="202"/>
        <w:rPr>
          <w:rFonts w:ascii="宋体" w:hAnsi="宋体"/>
          <w:sz w:val="28"/>
          <w:szCs w:val="28"/>
        </w:rPr>
      </w:pPr>
      <w:r>
        <w:rPr>
          <w:rFonts w:hint="eastAsia" w:ascii="宋体" w:hAnsi="宋体"/>
          <w:sz w:val="28"/>
          <w:szCs w:val="28"/>
        </w:rPr>
        <w:t>磋商小组发现磋商文件表述不明确或需要说明的事项，可提请采购人和</w:t>
      </w:r>
      <w:r>
        <w:rPr>
          <w:rFonts w:hint="eastAsia" w:ascii="宋体" w:hAnsi="宋体"/>
          <w:sz w:val="28"/>
          <w:szCs w:val="28"/>
          <w:lang w:eastAsia="zh-CN"/>
        </w:rPr>
        <w:t>区交易中心</w:t>
      </w:r>
      <w:r>
        <w:rPr>
          <w:rFonts w:hint="eastAsia" w:ascii="宋体" w:hAnsi="宋体"/>
          <w:sz w:val="28"/>
          <w:szCs w:val="28"/>
        </w:rPr>
        <w:t>书面解释说明。</w:t>
      </w:r>
    </w:p>
    <w:p>
      <w:pPr>
        <w:pStyle w:val="4"/>
        <w:numPr>
          <w:ilvl w:val="1"/>
          <w:numId w:val="6"/>
        </w:numPr>
        <w:tabs>
          <w:tab w:val="left" w:pos="426"/>
          <w:tab w:val="left" w:pos="567"/>
        </w:tabs>
        <w:spacing w:before="0" w:after="200"/>
        <w:ind w:left="1985" w:hanging="1985"/>
        <w:jc w:val="both"/>
      </w:pPr>
      <w:bookmarkStart w:id="93" w:name="_Toc27072"/>
      <w:r>
        <w:rPr>
          <w:rFonts w:hint="eastAsia"/>
        </w:rPr>
        <w:t>磋商程序</w:t>
      </w:r>
      <w:bookmarkEnd w:id="93"/>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区交易中心</w:t>
      </w:r>
      <w:r>
        <w:rPr>
          <w:rFonts w:hint="eastAsia" w:ascii="宋体" w:hAnsi="宋体"/>
          <w:sz w:val="28"/>
          <w:szCs w:val="28"/>
        </w:rPr>
        <w:t>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5"/>
        <w:numPr>
          <w:ilvl w:val="2"/>
          <w:numId w:val="6"/>
        </w:numPr>
        <w:spacing w:after="200"/>
        <w:ind w:left="0" w:firstLine="0"/>
        <w:rPr>
          <w:color w:val="auto"/>
        </w:rPr>
      </w:pPr>
      <w:bookmarkStart w:id="94" w:name="_Toc320698736"/>
      <w:r>
        <w:rPr>
          <w:rFonts w:hint="eastAsia"/>
          <w:color w:val="auto"/>
        </w:rPr>
        <w:t>递交响应文件</w:t>
      </w:r>
      <w:bookmarkEnd w:id="94"/>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递交响应文件。递交响应文件截止时间结束后，递交响应文件的供应商不足3家的，本次竞争性磋商采购活动终止，发布终止竞争性磋商公告。</w:t>
      </w:r>
    </w:p>
    <w:p>
      <w:pPr>
        <w:pStyle w:val="5"/>
        <w:numPr>
          <w:ilvl w:val="2"/>
          <w:numId w:val="6"/>
        </w:numPr>
        <w:spacing w:after="200"/>
        <w:ind w:left="1135" w:hanging="1135"/>
        <w:rPr>
          <w:color w:val="auto"/>
        </w:rPr>
      </w:pPr>
      <w:r>
        <w:rPr>
          <w:rFonts w:hint="eastAsia"/>
          <w:color w:val="auto"/>
        </w:rPr>
        <w:t>确定邀请参加磋商的供应商数量</w:t>
      </w:r>
    </w:p>
    <w:p>
      <w:pPr>
        <w:tabs>
          <w:tab w:val="left" w:pos="1134"/>
        </w:tabs>
        <w:spacing w:line="360" w:lineRule="auto"/>
        <w:ind w:firstLine="560" w:firstLineChars="200"/>
        <w:rPr>
          <w:rFonts w:ascii="宋体" w:hAnsi="宋体"/>
          <w:sz w:val="28"/>
          <w:szCs w:val="28"/>
        </w:rPr>
      </w:pPr>
      <w:bookmarkStart w:id="95" w:name="_Toc287623646"/>
      <w:r>
        <w:rPr>
          <w:rFonts w:hint="eastAsia" w:ascii="宋体" w:hAnsi="宋体"/>
          <w:sz w:val="28"/>
          <w:szCs w:val="28"/>
        </w:rPr>
        <w:t>邀请所有通过资格审查的供应商参加磋商。</w:t>
      </w:r>
    </w:p>
    <w:p>
      <w:pPr>
        <w:pStyle w:val="5"/>
        <w:numPr>
          <w:ilvl w:val="2"/>
          <w:numId w:val="6"/>
        </w:numPr>
        <w:spacing w:after="200"/>
        <w:ind w:left="1135" w:hanging="1135"/>
        <w:rPr>
          <w:color w:val="auto"/>
        </w:rPr>
      </w:pPr>
      <w:r>
        <w:rPr>
          <w:rFonts w:hint="eastAsia"/>
          <w:color w:val="auto"/>
        </w:rPr>
        <w:t>磋商小组</w:t>
      </w:r>
      <w:bookmarkEnd w:id="95"/>
    </w:p>
    <w:p>
      <w:pPr>
        <w:pStyle w:val="23"/>
        <w:spacing w:line="360" w:lineRule="auto"/>
        <w:ind w:firstLine="560" w:firstLineChars="200"/>
        <w:rPr>
          <w:rFonts w:hAnsi="宋体"/>
          <w:sz w:val="28"/>
          <w:szCs w:val="28"/>
        </w:rPr>
      </w:pPr>
      <w:r>
        <w:rPr>
          <w:rFonts w:hint="eastAsia" w:hAnsi="宋体"/>
          <w:sz w:val="28"/>
          <w:szCs w:val="28"/>
        </w:rPr>
        <w:t>磋商小组由采购人代表和根据采购项目情况确定的技术或经济或法律等有关专家</w:t>
      </w:r>
      <w:r>
        <w:rPr>
          <w:rFonts w:hAnsi="宋体"/>
          <w:sz w:val="28"/>
          <w:szCs w:val="28"/>
        </w:rPr>
        <w:t>3</w:t>
      </w:r>
      <w:r>
        <w:rPr>
          <w:rFonts w:hint="eastAsia" w:hAnsi="宋体"/>
          <w:sz w:val="28"/>
          <w:szCs w:val="28"/>
        </w:rPr>
        <w:t>人以上的单数组成。磋商小组负责本项目的磋商和评审工作。</w:t>
      </w:r>
    </w:p>
    <w:p>
      <w:pPr>
        <w:pStyle w:val="5"/>
        <w:numPr>
          <w:ilvl w:val="2"/>
          <w:numId w:val="6"/>
        </w:numPr>
        <w:spacing w:after="200"/>
        <w:ind w:left="1135" w:hanging="1135"/>
        <w:rPr>
          <w:color w:val="auto"/>
        </w:rPr>
      </w:pPr>
      <w:r>
        <w:rPr>
          <w:rFonts w:hint="eastAsia"/>
          <w:color w:val="auto"/>
        </w:rPr>
        <w:t>资格审查</w:t>
      </w:r>
    </w:p>
    <w:p>
      <w:pPr>
        <w:spacing w:line="360" w:lineRule="auto"/>
        <w:ind w:firstLine="599" w:firstLineChars="214"/>
        <w:rPr>
          <w:rFonts w:ascii="宋体" w:hAnsi="宋体"/>
          <w:sz w:val="28"/>
          <w:szCs w:val="28"/>
        </w:rPr>
      </w:pPr>
      <w:r>
        <w:rPr>
          <w:rFonts w:hint="eastAsia" w:ascii="宋体" w:hAnsi="宋体"/>
          <w:sz w:val="28"/>
          <w:szCs w:val="28"/>
        </w:rPr>
        <w:t>递交响应文件截止时间结束后，由磋商小组对递交响应文件的供应商进行资格审查，确定被邀请参加磋商的供应商名单。磋商小组在资格审查过程中，磋商小组成员对供应商资格是否符合规定存在争议的，应当以少数服从多数的原则处理，但不违背政府采购法和磋商文件规定。</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资格审查时因断电、断网、系统故障或其他不可抗力等因素，导致磋商小组无法通过系统阅读响应文件进行审查的，待系统恢复后继续审查。出现上述情况时，</w:t>
      </w:r>
      <w:r>
        <w:rPr>
          <w:rFonts w:hint="eastAsia" w:ascii="宋体" w:hAnsi="宋体"/>
          <w:sz w:val="28"/>
          <w:szCs w:val="28"/>
          <w:lang w:eastAsia="zh-CN"/>
        </w:rPr>
        <w:t>区交易中心</w:t>
      </w:r>
      <w:r>
        <w:rPr>
          <w:rFonts w:hint="eastAsia" w:ascii="宋体" w:hAnsi="宋体"/>
          <w:sz w:val="28"/>
          <w:szCs w:val="28"/>
        </w:rPr>
        <w:t>将通知各供应商。资格审查标准见下表：</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一、</w:t>
            </w: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一、</w:t>
            </w:r>
            <w:r>
              <w:rPr>
                <w:rFonts w:hint="eastAsia"/>
                <w:sz w:val="20"/>
              </w:rPr>
              <w:t>供应商具有良好的商业信誉的书面声明材料。【说明：</w:t>
            </w:r>
            <w:r>
              <w:rPr>
                <w:rFonts w:hint="eastAsia" w:ascii="宋体" w:hAnsi="宋体"/>
                <w:sz w:val="20"/>
                <w:szCs w:val="28"/>
              </w:rPr>
              <w:t>①</w:t>
            </w:r>
            <w:r>
              <w:rPr>
                <w:rFonts w:hint="eastAsia"/>
                <w:sz w:val="20"/>
              </w:rPr>
              <w:t>按采购文</w:t>
            </w:r>
            <w:r>
              <w:rPr>
                <w:rFonts w:hint="eastAsia"/>
                <w:sz w:val="20"/>
                <w:highlight w:val="none"/>
              </w:rPr>
              <w:t>件</w:t>
            </w:r>
            <w:r>
              <w:rPr>
                <w:sz w:val="20"/>
                <w:highlight w:val="none"/>
              </w:rPr>
              <w:t>3</w:t>
            </w:r>
            <w:r>
              <w:rPr>
                <w:rFonts w:hint="eastAsia"/>
                <w:sz w:val="20"/>
                <w:highlight w:val="none"/>
              </w:rPr>
              <w:t>.2.2声明的格式</w:t>
            </w:r>
            <w:r>
              <w:rPr>
                <w:sz w:val="20"/>
              </w:rPr>
              <w:t>及要求</w:t>
            </w:r>
            <w:r>
              <w:rPr>
                <w:rFonts w:hint="eastAsia"/>
                <w:sz w:val="20"/>
              </w:rPr>
              <w:t>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二、</w:t>
            </w: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二、</w:t>
            </w:r>
            <w:r>
              <w:rPr>
                <w:sz w:val="20"/>
              </w:rPr>
              <w:t>1.</w:t>
            </w:r>
            <w:r>
              <w:rPr>
                <w:rFonts w:hint="eastAsia"/>
                <w:sz w:val="20"/>
              </w:rPr>
              <w:t>供应商参加政府采购活动前三年内，在经营活动中没有重大违法记录的书面声明材料。【说明：</w:t>
            </w:r>
            <w:r>
              <w:rPr>
                <w:rFonts w:hint="eastAsia" w:ascii="宋体" w:hAnsi="宋体"/>
                <w:sz w:val="20"/>
                <w:szCs w:val="28"/>
              </w:rPr>
              <w:t>①</w:t>
            </w:r>
            <w:r>
              <w:rPr>
                <w:rFonts w:hint="eastAsia"/>
                <w:sz w:val="20"/>
              </w:rPr>
              <w:t>按采购文件</w:t>
            </w:r>
            <w:r>
              <w:rPr>
                <w:sz w:val="20"/>
              </w:rPr>
              <w:t>3</w:t>
            </w:r>
            <w:r>
              <w:rPr>
                <w:rFonts w:hint="eastAsia"/>
                <w:sz w:val="20"/>
              </w:rPr>
              <w:t>.2.2声明的格式</w:t>
            </w:r>
            <w:r>
              <w:rPr>
                <w:sz w:val="20"/>
              </w:rPr>
              <w:t>及要求</w:t>
            </w:r>
            <w:r>
              <w:rPr>
                <w:rFonts w:hint="eastAsia"/>
                <w:sz w:val="20"/>
              </w:rPr>
              <w:t>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2.</w:t>
            </w:r>
            <w:r>
              <w:rPr>
                <w:rFonts w:hint="eastAsia"/>
                <w:sz w:val="20"/>
              </w:rPr>
              <w:t>磋商小组根据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网站的查询结果，在资格审查期间对供应商在参加政府采购活动前三年内，在经营活动中是否有重大违法记录进行审查。【说明：供应商参加政府采购活动前三年内，在经营活动中没有重大违法记录。】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三、</w:t>
            </w: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三、</w:t>
            </w:r>
            <w:r>
              <w:rPr>
                <w:sz w:val="20"/>
              </w:rPr>
              <w:t>1.</w:t>
            </w:r>
            <w:r>
              <w:rPr>
                <w:rFonts w:hint="eastAsia"/>
                <w:sz w:val="20"/>
              </w:rPr>
              <w:t>供应商未列入失信被执行人、重大税收违法案件当事人名单、政府采购严重违法失信行为记录名单的书面声明材料。【说明：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供应商未列入失信被执行人、重大税收违法案件当事人名单、政府采购严重违法失信行为记录名单；</w:t>
            </w:r>
            <w:r>
              <w:rPr>
                <w:rFonts w:hint="eastAsia" w:ascii="宋体" w:hAnsi="宋体"/>
                <w:sz w:val="20"/>
                <w:szCs w:val="28"/>
              </w:rPr>
              <w:t>②</w:t>
            </w:r>
            <w:r>
              <w:rPr>
                <w:rFonts w:hint="eastAsia"/>
                <w:sz w:val="20"/>
              </w:rPr>
              <w:t>按采购文件</w:t>
            </w:r>
            <w:r>
              <w:rPr>
                <w:sz w:val="20"/>
              </w:rPr>
              <w:t>3</w:t>
            </w:r>
            <w:r>
              <w:rPr>
                <w:rFonts w:hint="eastAsia"/>
                <w:sz w:val="20"/>
              </w:rPr>
              <w:t>.2.2声明格式</w:t>
            </w:r>
            <w:r>
              <w:rPr>
                <w:sz w:val="20"/>
              </w:rPr>
              <w:t>及要求</w:t>
            </w:r>
            <w:r>
              <w:rPr>
                <w:rFonts w:hint="eastAsia"/>
                <w:sz w:val="20"/>
              </w:rPr>
              <w:t>提供书面声明材料。】</w:t>
            </w:r>
          </w:p>
          <w:p>
            <w:pPr>
              <w:tabs>
                <w:tab w:val="left" w:pos="851"/>
              </w:tabs>
              <w:spacing w:line="360" w:lineRule="auto"/>
              <w:rPr>
                <w:sz w:val="20"/>
              </w:rPr>
            </w:pPr>
            <w:r>
              <w:rPr>
                <w:sz w:val="20"/>
              </w:rPr>
              <w:t>2.</w:t>
            </w:r>
            <w:r>
              <w:rPr>
                <w:rFonts w:hint="eastAsia"/>
                <w:sz w:val="20"/>
              </w:rPr>
              <w:t>磋商小组根据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供应商在参加政府采购活动前三年内，在经营活动中是否被列入失信被执行人、重大税收违法案件当事人名单、政府采购严重违法失信行为记录名单进行审查。【说明：供应商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四、</w:t>
            </w: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四、</w:t>
            </w:r>
            <w:r>
              <w:rPr>
                <w:rFonts w:hint="eastAsia"/>
                <w:sz w:val="20"/>
              </w:rPr>
              <w:t>供应商未处于被行政部门禁止参与政府采购活动的期限内。【说明：</w:t>
            </w:r>
            <w:r>
              <w:rPr>
                <w:rFonts w:hint="eastAsia" w:ascii="宋体" w:hAnsi="宋体"/>
                <w:sz w:val="20"/>
                <w:szCs w:val="28"/>
              </w:rPr>
              <w:t>①</w:t>
            </w:r>
            <w:r>
              <w:rPr>
                <w:rFonts w:hint="eastAsia"/>
                <w:sz w:val="20"/>
              </w:rPr>
              <w:t>按采购文件</w:t>
            </w:r>
            <w:r>
              <w:rPr>
                <w:sz w:val="20"/>
              </w:rPr>
              <w:t>3</w:t>
            </w:r>
            <w:r>
              <w:rPr>
                <w:rFonts w:hint="eastAsia"/>
                <w:sz w:val="20"/>
              </w:rPr>
              <w:t>.2.2声明的格式</w:t>
            </w:r>
            <w:r>
              <w:rPr>
                <w:sz w:val="20"/>
              </w:rPr>
              <w:t>及要求</w:t>
            </w:r>
            <w:r>
              <w:rPr>
                <w:rFonts w:hint="eastAsia"/>
                <w:sz w:val="20"/>
              </w:rPr>
              <w:t>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五、</w:t>
            </w: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五、</w:t>
            </w:r>
            <w:r>
              <w:rPr>
                <w:rFonts w:hint="eastAsia"/>
                <w:sz w:val="20"/>
              </w:rPr>
              <w:t>在行贿犯罪信息查询期限内，供应商及其现任法定代表人、主要负责人没有行贿犯罪记录的书面声明材料。【说明：</w:t>
            </w:r>
            <w:r>
              <w:rPr>
                <w:rFonts w:hint="eastAsia" w:ascii="宋体" w:hAnsi="宋体"/>
                <w:sz w:val="20"/>
                <w:szCs w:val="28"/>
              </w:rPr>
              <w:t>①</w:t>
            </w:r>
            <w:r>
              <w:rPr>
                <w:rFonts w:hint="eastAsia"/>
                <w:sz w:val="20"/>
              </w:rPr>
              <w:t>按采购文件</w:t>
            </w:r>
            <w:r>
              <w:rPr>
                <w:sz w:val="20"/>
              </w:rPr>
              <w:t>3</w:t>
            </w:r>
            <w:r>
              <w:rPr>
                <w:rFonts w:hint="eastAsia"/>
                <w:sz w:val="20"/>
              </w:rPr>
              <w:t>.2.2声明格式</w:t>
            </w:r>
            <w:r>
              <w:rPr>
                <w:sz w:val="20"/>
              </w:rPr>
              <w:t>及要求</w:t>
            </w:r>
            <w:r>
              <w:rPr>
                <w:rFonts w:hint="eastAsia"/>
                <w:sz w:val="20"/>
              </w:rPr>
              <w:t>提供书面声明材料，响应文件中不需提供中国裁判文书网（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六、</w:t>
            </w:r>
            <w:r>
              <w:rPr>
                <w:rFonts w:hint="eastAsia"/>
                <w:sz w:val="20"/>
              </w:rPr>
              <w:t>单位负责人为同一人或者存在直接控股、管理关系的不同供应商，不得参加同一项目的磋商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六、</w:t>
            </w:r>
            <w:r>
              <w:rPr>
                <w:rFonts w:hint="eastAsia"/>
                <w:sz w:val="20"/>
              </w:rPr>
              <w:t>与供应商负责人为同一人或者存在直接控股、管理关系的相关供应商的书面声明材料。【说明：</w:t>
            </w:r>
            <w:r>
              <w:rPr>
                <w:rFonts w:hint="eastAsia" w:ascii="宋体" w:hAnsi="宋体"/>
                <w:sz w:val="20"/>
                <w:szCs w:val="28"/>
              </w:rPr>
              <w:t>①</w:t>
            </w:r>
            <w:r>
              <w:rPr>
                <w:rFonts w:hint="eastAsia"/>
                <w:sz w:val="20"/>
              </w:rPr>
              <w:t>按采购文件</w:t>
            </w:r>
            <w:r>
              <w:rPr>
                <w:sz w:val="20"/>
              </w:rPr>
              <w:t>3</w:t>
            </w:r>
            <w:r>
              <w:rPr>
                <w:rFonts w:hint="eastAsia"/>
                <w:sz w:val="20"/>
              </w:rPr>
              <w:t>.2.2声明的格式</w:t>
            </w:r>
            <w:r>
              <w:rPr>
                <w:sz w:val="20"/>
              </w:rPr>
              <w:t>及要求</w:t>
            </w:r>
            <w:r>
              <w:rPr>
                <w:rFonts w:hint="eastAsia"/>
                <w:sz w:val="20"/>
              </w:rPr>
              <w:t>提供书面声明材料</w:t>
            </w:r>
            <w:r>
              <w:rPr>
                <w:rFonts w:hint="eastAsia" w:ascii="宋体" w:hAnsi="宋体"/>
                <w:sz w:val="20"/>
                <w:szCs w:val="28"/>
              </w:rPr>
              <w:t>；②参加磋商的供应商中无与供应商的负责人为同一人或者存在直接控股、管理关系的供应商。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一、</w:t>
            </w:r>
            <w:r>
              <w:rPr>
                <w:rFonts w:hint="eastAsia"/>
                <w:sz w:val="20"/>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一、</w:t>
            </w:r>
            <w:r>
              <w:rPr>
                <w:rFonts w:hint="eastAsia"/>
                <w:sz w:val="20"/>
              </w:rPr>
              <w:t>采购人对供应商履行合同所必须的设备和专业技术能力无其他特殊要求，供应商具有有效的营业执照或法人证书</w:t>
            </w:r>
            <w:r>
              <w:rPr>
                <w:rFonts w:hint="eastAsia" w:ascii="宋体" w:hAnsi="宋体"/>
                <w:sz w:val="20"/>
                <w:szCs w:val="28"/>
              </w:rPr>
              <w:t>即可，可不提供其他证明材料</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二、</w:t>
            </w: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eastAsia="宋体"/>
                <w:sz w:val="20"/>
                <w:lang w:eastAsia="zh-CN"/>
              </w:rPr>
            </w:pPr>
            <w:r>
              <w:rPr>
                <w:rFonts w:hint="eastAsia"/>
                <w:sz w:val="20"/>
                <w:lang w:eastAsia="zh-CN"/>
              </w:rPr>
              <w:t>二、</w:t>
            </w:r>
            <w:r>
              <w:rPr>
                <w:rFonts w:hint="eastAsia"/>
                <w:sz w:val="20"/>
              </w:rPr>
              <w:t>采购人对法律、行政法规规定的其他条件无其他特殊要求，供应商具有效的营业执照或法人证书即可，可不提供其他证明材料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三、</w:t>
            </w:r>
            <w:r>
              <w:rPr>
                <w:rFonts w:hint="eastAsia"/>
                <w:sz w:val="20"/>
              </w:rPr>
              <w:t>不属于其他国家相关法律法规规定的禁止参加磋商的供应商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三、</w:t>
            </w:r>
            <w:r>
              <w:rPr>
                <w:sz w:val="20"/>
              </w:rPr>
              <w:t>1</w:t>
            </w:r>
            <w:r>
              <w:rPr>
                <w:rFonts w:hint="eastAsia"/>
                <w:sz w:val="20"/>
              </w:rPr>
              <w:t>、根据采购文件的要求不属于禁止参加磋商或磋商无效的供应商；</w:t>
            </w:r>
          </w:p>
          <w:p>
            <w:pPr>
              <w:tabs>
                <w:tab w:val="left" w:pos="851"/>
              </w:tabs>
              <w:spacing w:line="360" w:lineRule="auto"/>
              <w:rPr>
                <w:sz w:val="20"/>
              </w:rPr>
            </w:pPr>
            <w:r>
              <w:rPr>
                <w:sz w:val="20"/>
              </w:rPr>
              <w:t>2</w:t>
            </w:r>
            <w:r>
              <w:rPr>
                <w:rFonts w:hint="eastAsia"/>
                <w:sz w:val="20"/>
              </w:rPr>
              <w:t>、磋商小组未发现或者未知晓供应商存在属于国家相关法律法规规定的禁止参加磋商或磋商无效的供应商。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四、</w:t>
            </w:r>
            <w:r>
              <w:rPr>
                <w:rFonts w:hint="eastAsia"/>
                <w:sz w:val="20"/>
              </w:rPr>
              <w:t>联合体参与磋商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四、</w:t>
            </w:r>
            <w:r>
              <w:rPr>
                <w:rFonts w:hint="eastAsia"/>
                <w:sz w:val="20"/>
              </w:rPr>
              <w:t>非联合体参与磋商。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五、</w:t>
            </w:r>
            <w:r>
              <w:rPr>
                <w:rFonts w:hint="eastAsia"/>
                <w:sz w:val="20"/>
              </w:rPr>
              <w:t>磋商保证金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五、</w:t>
            </w:r>
            <w:r>
              <w:rPr>
                <w:rFonts w:hint="eastAsia"/>
                <w:sz w:val="20"/>
              </w:rPr>
              <w:t>无</w:t>
            </w:r>
            <w:r>
              <w:rPr>
                <w:rFonts w:hint="eastAsia"/>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六、</w:t>
            </w:r>
            <w:r>
              <w:rPr>
                <w:rFonts w:hint="eastAsia"/>
                <w:sz w:val="20"/>
              </w:rPr>
              <w:t>响应文件解密情况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eastAsia="宋体"/>
                <w:sz w:val="20"/>
                <w:lang w:eastAsia="zh-CN"/>
              </w:rPr>
            </w:pPr>
            <w:r>
              <w:rPr>
                <w:rFonts w:hint="eastAsia" w:ascii="宋体" w:hAnsi="宋体"/>
                <w:sz w:val="20"/>
                <w:szCs w:val="28"/>
                <w:lang w:eastAsia="zh-CN"/>
              </w:rPr>
              <w:t>六、</w:t>
            </w:r>
            <w:r>
              <w:rPr>
                <w:rFonts w:hint="eastAsia" w:ascii="宋体" w:hAnsi="宋体"/>
                <w:sz w:val="20"/>
                <w:szCs w:val="28"/>
              </w:rPr>
              <w:t>除因断电、断网、系统故障或其他不可抗力等因素，导致系统无法使用外，响应文件已成功解密。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七、</w:t>
            </w:r>
            <w:r>
              <w:rPr>
                <w:rFonts w:hint="eastAsia"/>
                <w:sz w:val="20"/>
              </w:rPr>
              <w:t>响应文件签章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七、</w:t>
            </w:r>
            <w:r>
              <w:rPr>
                <w:rFonts w:hint="eastAsia"/>
                <w:sz w:val="20"/>
              </w:rPr>
              <w:t>响应文件加盖有供应商（法定名称）电子签章。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4" w:hRule="atLeast"/>
        </w:trPr>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八、</w:t>
            </w:r>
            <w:r>
              <w:rPr>
                <w:rFonts w:hint="eastAsia"/>
                <w:sz w:val="20"/>
              </w:rPr>
              <w:t>响应文件资格性审查部分的语言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八、</w:t>
            </w:r>
            <w:r>
              <w:rPr>
                <w:rFonts w:hint="eastAsia"/>
                <w:sz w:val="20"/>
              </w:rPr>
              <w:t>语言符合采购文件的要求。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资格性响应文件组成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符合磋商文件“</w:t>
            </w:r>
            <w:r>
              <w:rPr>
                <w:rFonts w:ascii="宋体" w:hAnsi="宋体"/>
                <w:sz w:val="20"/>
                <w:szCs w:val="28"/>
              </w:rPr>
              <w:t>2.4.</w:t>
            </w:r>
            <w:r>
              <w:rPr>
                <w:rFonts w:hint="eastAsia" w:ascii="宋体" w:hAnsi="宋体"/>
                <w:sz w:val="20"/>
                <w:szCs w:val="28"/>
              </w:rPr>
              <w:t>6响应文件</w:t>
            </w:r>
            <w:r>
              <w:rPr>
                <w:rFonts w:ascii="宋体" w:hAnsi="宋体"/>
                <w:sz w:val="20"/>
                <w:szCs w:val="28"/>
              </w:rPr>
              <w:t>的组成”规定要求。</w:t>
            </w:r>
            <w:r>
              <w:rPr>
                <w:rFonts w:hint="eastAsia" w:ascii="宋体" w:hAnsi="宋体"/>
                <w:sz w:val="20"/>
                <w:szCs w:val="28"/>
              </w:rPr>
              <w:t>【说明：供应商按采购文件3.2.1供应商资格申明函的</w:t>
            </w:r>
            <w:r>
              <w:rPr>
                <w:rFonts w:hint="eastAsia"/>
                <w:sz w:val="20"/>
              </w:rPr>
              <w:t>内容</w:t>
            </w:r>
            <w:r>
              <w:rPr>
                <w:rFonts w:hint="eastAsia" w:ascii="宋体" w:hAnsi="宋体"/>
                <w:sz w:val="20"/>
                <w:szCs w:val="28"/>
              </w:rPr>
              <w:t>提供供应商资格申明函。】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lang w:eastAsia="zh-CN"/>
              </w:rPr>
              <w:t>2020会计年度资产负债表</w:t>
            </w:r>
            <w:r>
              <w:rPr>
                <w:rFonts w:hint="eastAsia"/>
                <w:sz w:val="20"/>
              </w:rPr>
              <w:t>复印件。【说明：供应商成立时间至响应文件递交截止时间止不足一年的，提供成立后任意时段的资产负债表复印件。】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rFonts w:hint="eastAsia"/>
                <w:sz w:val="20"/>
                <w:lang w:eastAsia="zh-CN"/>
              </w:rPr>
              <w:t>2021年任意时段</w:t>
            </w:r>
            <w:r>
              <w:rPr>
                <w:rFonts w:hint="eastAsia"/>
                <w:sz w:val="20"/>
              </w:rPr>
              <w:t>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供应商缴纳</w:t>
            </w:r>
            <w:r>
              <w:rPr>
                <w:rFonts w:hint="eastAsia"/>
                <w:sz w:val="20"/>
                <w:lang w:eastAsia="zh-CN"/>
              </w:rPr>
              <w:t>2021年任意时段</w:t>
            </w:r>
            <w:r>
              <w:rPr>
                <w:rFonts w:hint="eastAsia"/>
                <w:sz w:val="20"/>
              </w:rPr>
              <w:t>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jc w:val="center"/>
              <w:rPr>
                <w:rFonts w:hint="eastAsia" w:eastAsia="宋体"/>
                <w:sz w:val="20"/>
                <w:lang w:val="en-US" w:eastAsia="zh-CN"/>
              </w:rPr>
            </w:pPr>
            <w:r>
              <w:rPr>
                <w:rFonts w:hint="eastAsia"/>
                <w:sz w:val="20"/>
                <w:lang w:val="en-US" w:eastAsia="zh-CN"/>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sz w:val="20"/>
              </w:rPr>
            </w:pP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sz w:val="20"/>
              </w:rPr>
            </w:pPr>
            <w:r>
              <w:rPr>
                <w:rFonts w:hint="eastAsia"/>
                <w:sz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jc w:val="center"/>
              <w:rPr>
                <w:rFonts w:hint="eastAsia" w:eastAsia="宋体"/>
                <w:sz w:val="20"/>
                <w:lang w:eastAsia="zh-CN"/>
              </w:rPr>
            </w:pPr>
            <w:r>
              <w:rPr>
                <w:rFonts w:hint="eastAsia"/>
                <w:sz w:val="20"/>
                <w:lang w:val="en-US" w:eastAsia="zh-CN"/>
              </w:rPr>
              <w:t>9</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eastAsia"/>
                <w:sz w:val="20"/>
              </w:rPr>
            </w:pPr>
            <w:r>
              <w:rPr>
                <w:rFonts w:hint="eastAsia" w:ascii="宋体" w:hAnsi="宋体"/>
                <w:sz w:val="20"/>
              </w:rPr>
              <w:t>本项目为专门面向中小企业采购项目，供应商提供的货物全部由符合政策要求的中小企业制造。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eastAsia" w:ascii="宋体" w:hAnsi="宋体"/>
                <w:sz w:val="20"/>
              </w:rPr>
            </w:pPr>
            <w:r>
              <w:rPr>
                <w:rFonts w:hint="eastAsia" w:ascii="宋体" w:hAnsi="宋体"/>
                <w:sz w:val="20"/>
              </w:rPr>
              <w:t>专门面向中小企业采购项目:</w:t>
            </w:r>
          </w:p>
          <w:p>
            <w:pPr>
              <w:tabs>
                <w:tab w:val="left" w:pos="851"/>
              </w:tabs>
              <w:spacing w:beforeLines="0" w:afterLines="0" w:line="360" w:lineRule="auto"/>
              <w:rPr>
                <w:rFonts w:hint="eastAsia" w:ascii="宋体" w:hAnsi="宋体"/>
                <w:sz w:val="20"/>
              </w:rPr>
            </w:pPr>
            <w:r>
              <w:rPr>
                <w:rFonts w:hint="eastAsia" w:ascii="宋体" w:hAnsi="宋体"/>
                <w:sz w:val="20"/>
              </w:rPr>
              <w:t>1.《中小企业声明函》中声明提供的货物全部由符合政策要求的中小企业制造；</w:t>
            </w:r>
          </w:p>
          <w:p>
            <w:pPr>
              <w:tabs>
                <w:tab w:val="left" w:pos="851"/>
              </w:tabs>
              <w:spacing w:beforeLines="0" w:afterLines="0" w:line="360" w:lineRule="auto"/>
              <w:rPr>
                <w:rFonts w:hint="eastAsia" w:ascii="宋体" w:hAnsi="宋体"/>
                <w:sz w:val="20"/>
                <w:highlight w:val="none"/>
              </w:rPr>
            </w:pPr>
            <w:r>
              <w:rPr>
                <w:rFonts w:hint="eastAsia" w:ascii="宋体" w:hAnsi="宋体"/>
                <w:sz w:val="20"/>
              </w:rPr>
              <w:t>2.残疾人福利性单位视同为小型、微型企业，《残疾人福利性单位声明函》中声明</w:t>
            </w:r>
            <w:r>
              <w:rPr>
                <w:rFonts w:hint="eastAsia" w:ascii="宋体" w:hAnsi="宋体"/>
                <w:sz w:val="20"/>
                <w:lang w:eastAsia="zh-CN"/>
              </w:rPr>
              <w:t>供应商</w:t>
            </w:r>
            <w:r>
              <w:rPr>
                <w:rFonts w:hint="eastAsia" w:ascii="宋体" w:hAnsi="宋体"/>
                <w:sz w:val="20"/>
              </w:rPr>
              <w:t>为符合条件的残疾人福利性单位，其参加</w:t>
            </w:r>
            <w:r>
              <w:rPr>
                <w:rFonts w:hint="eastAsia" w:ascii="宋体" w:hAnsi="宋体"/>
                <w:sz w:val="20"/>
                <w:u w:val="none"/>
              </w:rPr>
              <w:t>本</w:t>
            </w:r>
            <w:r>
              <w:rPr>
                <w:rFonts w:hint="eastAsia" w:ascii="宋体" w:hAnsi="宋体"/>
                <w:sz w:val="20"/>
              </w:rPr>
              <w:t>项目采购活</w:t>
            </w:r>
            <w:r>
              <w:rPr>
                <w:rFonts w:hint="eastAsia" w:ascii="宋体" w:hAnsi="宋体"/>
                <w:sz w:val="20"/>
                <w:highlight w:val="none"/>
              </w:rPr>
              <w:t>动由本单位提供</w:t>
            </w:r>
            <w:r>
              <w:rPr>
                <w:rFonts w:hint="eastAsia" w:ascii="宋体" w:hAnsi="宋体"/>
                <w:sz w:val="20"/>
                <w:highlight w:val="none"/>
                <w:lang w:eastAsia="zh-CN"/>
              </w:rPr>
              <w:t>货物</w:t>
            </w:r>
            <w:r>
              <w:rPr>
                <w:rFonts w:hint="eastAsia" w:ascii="宋体" w:hAnsi="宋体"/>
                <w:sz w:val="20"/>
                <w:highlight w:val="none"/>
              </w:rPr>
              <w:t>；</w:t>
            </w:r>
          </w:p>
          <w:p>
            <w:pPr>
              <w:tabs>
                <w:tab w:val="left" w:pos="851"/>
              </w:tabs>
              <w:spacing w:beforeLines="0" w:afterLines="0" w:line="360" w:lineRule="auto"/>
              <w:rPr>
                <w:rFonts w:hint="eastAsia" w:ascii="宋体" w:hAnsi="宋体"/>
                <w:sz w:val="20"/>
              </w:rPr>
            </w:pPr>
            <w:r>
              <w:rPr>
                <w:rFonts w:hint="eastAsia" w:ascii="宋体" w:hAnsi="宋体"/>
                <w:sz w:val="20"/>
              </w:rPr>
              <w:t>3.监狱企业视同为小型、微型企业，提供由省级以上监狱管理局、戒毒管理局（含新疆生产建设兵团）出具的</w:t>
            </w:r>
            <w:r>
              <w:rPr>
                <w:rFonts w:hint="eastAsia"/>
                <w:sz w:val="20"/>
                <w:lang w:eastAsia="zh-CN"/>
              </w:rPr>
              <w:t>供应商</w:t>
            </w:r>
            <w:r>
              <w:rPr>
                <w:rFonts w:hint="eastAsia" w:ascii="宋体" w:hAnsi="宋体"/>
                <w:sz w:val="20"/>
              </w:rPr>
              <w:t>属于监狱企业的证明文件复印件。</w:t>
            </w:r>
          </w:p>
          <w:p>
            <w:pPr>
              <w:tabs>
                <w:tab w:val="left" w:pos="851"/>
              </w:tabs>
              <w:spacing w:beforeLines="0" w:afterLines="0" w:line="360" w:lineRule="auto"/>
              <w:rPr>
                <w:rFonts w:hint="eastAsia"/>
                <w:sz w:val="20"/>
              </w:rPr>
            </w:pPr>
            <w:r>
              <w:rPr>
                <w:rFonts w:hint="eastAsia" w:ascii="宋体" w:hAnsi="宋体"/>
                <w:sz w:val="20"/>
              </w:rPr>
              <w:t>（说明：供应商可以只提供其中一份）</w:t>
            </w:r>
          </w:p>
        </w:tc>
      </w:tr>
    </w:tbl>
    <w:p>
      <w:pPr>
        <w:tabs>
          <w:tab w:val="left" w:pos="851"/>
        </w:tabs>
        <w:spacing w:line="360" w:lineRule="auto"/>
        <w:ind w:firstLine="565" w:firstLineChars="202"/>
        <w:rPr>
          <w:rFonts w:ascii="宋体" w:hAnsi="宋体"/>
          <w:sz w:val="28"/>
          <w:szCs w:val="28"/>
        </w:rPr>
      </w:pPr>
      <w:r>
        <w:rPr>
          <w:rFonts w:hint="eastAsia" w:ascii="宋体" w:hAnsi="宋体"/>
          <w:sz w:val="28"/>
          <w:szCs w:val="28"/>
        </w:rPr>
        <w:t>一、以上每一项结论均为“合格”的，则供应商的响应文件通过资格审查，才能允许其参加磋商，如有任意一项结论为“不合格”的，则供应商的响应文件按无效响应文件处理，不允许其参加磋商。如果磋商小组认为供应商有任意一项不合格的，应在评审报告中载明不合格的具体原因。</w:t>
      </w:r>
    </w:p>
    <w:p>
      <w:pPr>
        <w:spacing w:line="360" w:lineRule="auto"/>
        <w:ind w:firstLine="599" w:firstLineChars="214"/>
        <w:rPr>
          <w:rFonts w:ascii="宋体" w:hAnsi="宋体"/>
          <w:sz w:val="28"/>
          <w:szCs w:val="28"/>
        </w:rPr>
      </w:pPr>
      <w:r>
        <w:rPr>
          <w:rFonts w:hint="eastAsia" w:ascii="宋体" w:hAnsi="宋体"/>
          <w:sz w:val="28"/>
          <w:szCs w:val="28"/>
          <w:lang w:eastAsia="zh-CN"/>
        </w:rPr>
        <w:t>二</w:t>
      </w:r>
      <w:r>
        <w:rPr>
          <w:rFonts w:hint="eastAsia" w:ascii="宋体" w:hAnsi="宋体"/>
          <w:sz w:val="28"/>
          <w:szCs w:val="28"/>
        </w:rPr>
        <w:t>、供应商的响应文件资格审查时被判定为无效的，</w:t>
      </w:r>
      <w:r>
        <w:rPr>
          <w:rFonts w:hint="eastAsia" w:ascii="宋体" w:hAnsi="宋体"/>
          <w:sz w:val="28"/>
          <w:szCs w:val="28"/>
          <w:lang w:eastAsia="zh-CN"/>
        </w:rPr>
        <w:t>区交易中心</w:t>
      </w:r>
      <w:r>
        <w:rPr>
          <w:rFonts w:hint="eastAsia" w:ascii="宋体" w:hAnsi="宋体"/>
          <w:sz w:val="28"/>
          <w:szCs w:val="28"/>
        </w:rPr>
        <w:t>将通知供应商（以短信、现场公示、电话、“政府采购云平台”等任一方式）。供应商如对资格审查结论有异议的，应及时向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将及时告知磋商小组。（说明：无论供应商是否收到通知或提供反馈意见，均不影响资格审查和评标工作，且</w:t>
      </w:r>
      <w:r>
        <w:rPr>
          <w:rFonts w:hint="eastAsia" w:ascii="宋体" w:hAnsi="宋体"/>
          <w:sz w:val="28"/>
          <w:szCs w:val="28"/>
          <w:lang w:eastAsia="zh-CN"/>
        </w:rPr>
        <w:t>区交易中心</w:t>
      </w:r>
      <w:r>
        <w:rPr>
          <w:rFonts w:hint="eastAsia" w:ascii="宋体" w:hAnsi="宋体"/>
          <w:sz w:val="28"/>
          <w:szCs w:val="28"/>
        </w:rPr>
        <w:t>对此将不承担任何的责任。供应商对资格审查结论有异议的，其反馈意见仅限于磋商小组对资格审查结论的正确性进行复核，避免出现审查错误。</w:t>
      </w:r>
    </w:p>
    <w:p>
      <w:pPr>
        <w:spacing w:line="360" w:lineRule="auto"/>
        <w:ind w:firstLine="599" w:firstLineChars="214"/>
        <w:rPr>
          <w:rFonts w:ascii="宋体" w:hAnsi="宋体"/>
          <w:sz w:val="28"/>
          <w:szCs w:val="28"/>
        </w:rPr>
      </w:pPr>
      <w:r>
        <w:rPr>
          <w:rFonts w:hint="eastAsia" w:ascii="宋体" w:hAnsi="宋体"/>
          <w:sz w:val="28"/>
          <w:szCs w:val="28"/>
        </w:rPr>
        <w:t>通过资格审查的供应商不足三家的，采购失败。</w:t>
      </w:r>
    </w:p>
    <w:p>
      <w:pPr>
        <w:pStyle w:val="5"/>
        <w:numPr>
          <w:ilvl w:val="2"/>
          <w:numId w:val="6"/>
        </w:numPr>
        <w:spacing w:after="200"/>
        <w:ind w:left="1135" w:hanging="1135"/>
        <w:rPr>
          <w:color w:val="auto"/>
        </w:rPr>
      </w:pPr>
      <w:r>
        <w:rPr>
          <w:rFonts w:hint="eastAsia"/>
          <w:color w:val="auto"/>
        </w:rPr>
        <w:t>磋商</w:t>
      </w:r>
    </w:p>
    <w:p>
      <w:pPr>
        <w:numPr>
          <w:ilvl w:val="1"/>
          <w:numId w:val="42"/>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numPr>
          <w:ilvl w:val="1"/>
          <w:numId w:val="42"/>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numPr>
          <w:ilvl w:val="1"/>
          <w:numId w:val="42"/>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numPr>
          <w:ilvl w:val="1"/>
          <w:numId w:val="42"/>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numPr>
          <w:ilvl w:val="1"/>
          <w:numId w:val="42"/>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磋商过程中，供应商可以根据磋商情况变更其响应文件，并将变更内容通过“澄清”功能送磋商小组。变更内容作为响应文件的一部分。供应商书面材料应加盖供应商（法定名称）电子签章，否则无效。</w:t>
      </w:r>
    </w:p>
    <w:p>
      <w:pPr>
        <w:numPr>
          <w:ilvl w:val="1"/>
          <w:numId w:val="42"/>
        </w:numPr>
        <w:tabs>
          <w:tab w:val="left" w:pos="1134"/>
        </w:tabs>
        <w:spacing w:after="200" w:line="360" w:lineRule="auto"/>
        <w:ind w:left="0" w:firstLine="560" w:firstLineChars="200"/>
        <w:rPr>
          <w:rFonts w:ascii="宋体" w:hAnsi="宋体"/>
          <w:sz w:val="28"/>
          <w:szCs w:val="28"/>
        </w:rPr>
      </w:pPr>
      <w:r>
        <w:rPr>
          <w:rFonts w:hint="eastAsia" w:ascii="宋体" w:hAnsi="宋体"/>
          <w:sz w:val="28"/>
          <w:szCs w:val="28"/>
        </w:rPr>
        <w:t>磋商小组经过一轮或多轮磋商后，供应商的</w:t>
      </w:r>
      <w:r>
        <w:rPr>
          <w:rFonts w:hint="eastAsia" w:ascii="宋体" w:hAnsi="宋体"/>
          <w:sz w:val="28"/>
          <w:szCs w:val="28"/>
          <w:lang w:eastAsia="zh-CN"/>
        </w:rPr>
        <w:t>响应文件</w:t>
      </w:r>
      <w:r>
        <w:rPr>
          <w:rFonts w:hint="eastAsia" w:ascii="宋体" w:hAnsi="宋体"/>
          <w:sz w:val="28"/>
          <w:szCs w:val="28"/>
        </w:rPr>
        <w:t>仍然不能满足磋商文件中采购项目的最低要求，或者磋商过程中，磋商小组发现或者知晓供应商存在违法、违纪行为的，磋商小组应当将该供应商淘汰，不允许其参加最后报价。</w:t>
      </w:r>
    </w:p>
    <w:p>
      <w:pPr>
        <w:pStyle w:val="5"/>
        <w:numPr>
          <w:ilvl w:val="2"/>
          <w:numId w:val="6"/>
        </w:numPr>
        <w:spacing w:after="200"/>
        <w:ind w:left="1135" w:hanging="1135"/>
        <w:rPr>
          <w:color w:val="auto"/>
        </w:rPr>
      </w:pPr>
      <w:r>
        <w:rPr>
          <w:rFonts w:hint="eastAsia"/>
          <w:color w:val="auto"/>
        </w:rPr>
        <w:t>符合性审查</w:t>
      </w:r>
    </w:p>
    <w:p>
      <w:pPr>
        <w:pStyle w:val="23"/>
        <w:numPr>
          <w:ilvl w:val="0"/>
          <w:numId w:val="43"/>
        </w:numPr>
        <w:tabs>
          <w:tab w:val="left" w:pos="1134"/>
        </w:tabs>
        <w:snapToGrid w:val="0"/>
        <w:spacing w:line="360" w:lineRule="auto"/>
        <w:ind w:left="0" w:firstLine="560"/>
        <w:rPr>
          <w:rFonts w:hAnsi="宋体"/>
          <w:sz w:val="28"/>
          <w:szCs w:val="28"/>
        </w:rPr>
      </w:pPr>
      <w:r>
        <w:rPr>
          <w:rFonts w:hAnsi="宋体"/>
          <w:sz w:val="28"/>
          <w:szCs w:val="28"/>
        </w:rPr>
        <w:t>磋商过程中，磋商小组对</w:t>
      </w:r>
      <w:r>
        <w:rPr>
          <w:rFonts w:hint="eastAsia" w:hAnsi="宋体"/>
          <w:sz w:val="28"/>
          <w:szCs w:val="28"/>
        </w:rPr>
        <w:t>供应商递交的首次</w:t>
      </w:r>
      <w:r>
        <w:rPr>
          <w:rFonts w:hAnsi="宋体"/>
          <w:sz w:val="28"/>
          <w:szCs w:val="28"/>
        </w:rPr>
        <w:t>响应文件进行审查，审查中发现供应商</w:t>
      </w:r>
      <w:r>
        <w:rPr>
          <w:rFonts w:hint="eastAsia" w:hAnsi="宋体"/>
          <w:sz w:val="28"/>
          <w:szCs w:val="28"/>
        </w:rPr>
        <w:t>首次</w:t>
      </w:r>
      <w:r>
        <w:rPr>
          <w:rFonts w:hAnsi="宋体"/>
          <w:sz w:val="28"/>
          <w:szCs w:val="28"/>
        </w:rPr>
        <w:t>响应文件</w:t>
      </w:r>
      <w:r>
        <w:rPr>
          <w:rFonts w:hint="eastAsia" w:hAnsi="宋体"/>
          <w:sz w:val="28"/>
          <w:szCs w:val="28"/>
        </w:rPr>
        <w:t>有</w:t>
      </w:r>
      <w:r>
        <w:rPr>
          <w:rFonts w:hAnsi="宋体"/>
          <w:sz w:val="28"/>
          <w:szCs w:val="28"/>
        </w:rPr>
        <w:t>下列情况之一的，应按照无效响应文件处理：</w:t>
      </w:r>
    </w:p>
    <w:p>
      <w:pPr>
        <w:pStyle w:val="23"/>
        <w:numPr>
          <w:ilvl w:val="0"/>
          <w:numId w:val="44"/>
        </w:numPr>
        <w:tabs>
          <w:tab w:val="left" w:pos="1134"/>
        </w:tabs>
        <w:snapToGrid w:val="0"/>
        <w:spacing w:line="360" w:lineRule="auto"/>
        <w:ind w:left="0" w:firstLine="560"/>
        <w:rPr>
          <w:rFonts w:hAnsi="宋体"/>
          <w:sz w:val="28"/>
          <w:szCs w:val="28"/>
        </w:rPr>
      </w:pPr>
      <w:r>
        <w:rPr>
          <w:rFonts w:hAnsi="宋体"/>
          <w:sz w:val="28"/>
          <w:szCs w:val="28"/>
        </w:rPr>
        <w:t>响应文件的语言、报价货币</w:t>
      </w:r>
      <w:r>
        <w:rPr>
          <w:rFonts w:hint="eastAsia" w:hAnsi="宋体"/>
          <w:sz w:val="28"/>
          <w:szCs w:val="28"/>
        </w:rPr>
        <w:t>、</w:t>
      </w:r>
      <w:r>
        <w:rPr>
          <w:rFonts w:hAnsi="宋体"/>
          <w:sz w:val="28"/>
          <w:szCs w:val="28"/>
        </w:rPr>
        <w:t>知识产权</w:t>
      </w:r>
      <w:r>
        <w:rPr>
          <w:rFonts w:hint="eastAsia" w:hAnsi="宋体"/>
          <w:sz w:val="28"/>
          <w:szCs w:val="28"/>
        </w:rPr>
        <w:t>、</w:t>
      </w:r>
      <w:r>
        <w:rPr>
          <w:rFonts w:hint="eastAsia" w:hAnsi="宋体"/>
          <w:sz w:val="28"/>
          <w:szCs w:val="28"/>
          <w:lang w:eastAsia="zh-CN"/>
        </w:rPr>
        <w:t>响应文件</w:t>
      </w:r>
      <w:r>
        <w:rPr>
          <w:rFonts w:hint="eastAsia" w:hAnsi="宋体"/>
          <w:sz w:val="28"/>
          <w:szCs w:val="28"/>
        </w:rPr>
        <w:t>有效期</w:t>
      </w:r>
      <w:r>
        <w:rPr>
          <w:rFonts w:hAnsi="宋体"/>
          <w:sz w:val="28"/>
          <w:szCs w:val="28"/>
        </w:rPr>
        <w:t>不符合采购文件的规定，影响磋商小组评判的；</w:t>
      </w:r>
    </w:p>
    <w:p>
      <w:pPr>
        <w:pStyle w:val="23"/>
        <w:numPr>
          <w:ilvl w:val="0"/>
          <w:numId w:val="44"/>
        </w:numPr>
        <w:tabs>
          <w:tab w:val="left" w:pos="1134"/>
        </w:tabs>
        <w:snapToGrid w:val="0"/>
        <w:spacing w:line="360" w:lineRule="auto"/>
        <w:ind w:left="0" w:firstLine="560"/>
        <w:rPr>
          <w:rFonts w:hAnsi="宋体"/>
          <w:sz w:val="28"/>
          <w:szCs w:val="28"/>
        </w:rPr>
      </w:pPr>
      <w:r>
        <w:rPr>
          <w:rFonts w:hint="eastAsia" w:hAnsi="宋体"/>
          <w:sz w:val="28"/>
          <w:szCs w:val="28"/>
        </w:rPr>
        <w:t>响应文件中未附开标一览表和分项报价明细表（已明确</w:t>
      </w:r>
      <w:r>
        <w:rPr>
          <w:rFonts w:hAnsi="宋体"/>
          <w:sz w:val="28"/>
          <w:szCs w:val="28"/>
        </w:rPr>
        <w:t>要求不需要</w:t>
      </w:r>
      <w:r>
        <w:rPr>
          <w:rFonts w:hint="eastAsia" w:hAnsi="宋体"/>
          <w:sz w:val="28"/>
          <w:szCs w:val="28"/>
        </w:rPr>
        <w:t>提供</w:t>
      </w:r>
      <w:r>
        <w:rPr>
          <w:rFonts w:hAnsi="宋体"/>
          <w:sz w:val="28"/>
          <w:szCs w:val="28"/>
        </w:rPr>
        <w:t>的除外）</w:t>
      </w:r>
      <w:r>
        <w:rPr>
          <w:rFonts w:hint="eastAsia" w:hAnsi="宋体"/>
          <w:sz w:val="28"/>
          <w:szCs w:val="28"/>
        </w:rPr>
        <w:t>。</w:t>
      </w:r>
    </w:p>
    <w:p>
      <w:pPr>
        <w:pStyle w:val="23"/>
        <w:numPr>
          <w:ilvl w:val="0"/>
          <w:numId w:val="43"/>
        </w:numPr>
        <w:tabs>
          <w:tab w:val="left" w:pos="1134"/>
        </w:tabs>
        <w:snapToGrid w:val="0"/>
        <w:spacing w:line="360" w:lineRule="auto"/>
        <w:ind w:left="0" w:firstLine="560"/>
        <w:rPr>
          <w:rFonts w:hAnsi="宋体"/>
          <w:sz w:val="28"/>
          <w:szCs w:val="28"/>
        </w:rPr>
      </w:pPr>
      <w:r>
        <w:rPr>
          <w:rFonts w:hint="eastAsia" w:hAnsi="宋体"/>
          <w:sz w:val="28"/>
          <w:szCs w:val="28"/>
        </w:rPr>
        <w:t>经最终磋商后，响应文件仍有下列情况之一的，应按照无效</w:t>
      </w:r>
      <w:r>
        <w:rPr>
          <w:rFonts w:hint="eastAsia" w:hAnsi="宋体"/>
          <w:sz w:val="28"/>
          <w:szCs w:val="28"/>
          <w:lang w:eastAsia="zh-CN"/>
        </w:rPr>
        <w:t>响应文件</w:t>
      </w:r>
      <w:r>
        <w:rPr>
          <w:rFonts w:hint="eastAsia" w:hAnsi="宋体"/>
          <w:sz w:val="28"/>
          <w:szCs w:val="28"/>
        </w:rPr>
        <w:t>处理：</w:t>
      </w:r>
    </w:p>
    <w:p>
      <w:pPr>
        <w:pStyle w:val="23"/>
        <w:numPr>
          <w:ilvl w:val="0"/>
          <w:numId w:val="45"/>
        </w:numPr>
        <w:tabs>
          <w:tab w:val="left" w:pos="1134"/>
        </w:tabs>
        <w:snapToGrid w:val="0"/>
        <w:spacing w:line="360" w:lineRule="auto"/>
        <w:ind w:left="0" w:firstLine="567"/>
        <w:rPr>
          <w:rFonts w:hAnsi="宋体"/>
          <w:sz w:val="28"/>
          <w:szCs w:val="28"/>
        </w:rPr>
      </w:pPr>
      <w:r>
        <w:rPr>
          <w:rFonts w:hAnsi="宋体"/>
          <w:sz w:val="28"/>
          <w:szCs w:val="28"/>
        </w:rPr>
        <w:t>响应文件仍不能</w:t>
      </w:r>
      <w:r>
        <w:rPr>
          <w:rFonts w:hint="eastAsia" w:hAnsi="宋体"/>
          <w:sz w:val="28"/>
          <w:szCs w:val="28"/>
        </w:rPr>
        <w:t>实质性响应采购文件的实质性要求和仍</w:t>
      </w:r>
      <w:r>
        <w:rPr>
          <w:rFonts w:hAnsi="宋体"/>
          <w:sz w:val="28"/>
          <w:szCs w:val="28"/>
        </w:rPr>
        <w:t>不能完全</w:t>
      </w:r>
      <w:r>
        <w:rPr>
          <w:rFonts w:hint="eastAsia" w:hAnsi="宋体"/>
          <w:sz w:val="28"/>
          <w:szCs w:val="28"/>
        </w:rPr>
        <w:t>满足采购需求的最低要求</w:t>
      </w:r>
      <w:r>
        <w:rPr>
          <w:rFonts w:hAnsi="宋体"/>
          <w:sz w:val="28"/>
          <w:szCs w:val="28"/>
        </w:rPr>
        <w:t>的</w:t>
      </w:r>
      <w:r>
        <w:rPr>
          <w:rFonts w:hint="eastAsia" w:hAnsi="宋体"/>
          <w:sz w:val="28"/>
          <w:szCs w:val="28"/>
        </w:rPr>
        <w:t>；</w:t>
      </w:r>
    </w:p>
    <w:p>
      <w:pPr>
        <w:pStyle w:val="23"/>
        <w:numPr>
          <w:ilvl w:val="0"/>
          <w:numId w:val="45"/>
        </w:numPr>
        <w:tabs>
          <w:tab w:val="left" w:pos="1134"/>
        </w:tabs>
        <w:snapToGrid w:val="0"/>
        <w:spacing w:line="360" w:lineRule="auto"/>
        <w:ind w:left="0" w:firstLine="567"/>
        <w:rPr>
          <w:rFonts w:hAnsi="宋体"/>
          <w:sz w:val="28"/>
          <w:szCs w:val="28"/>
        </w:rPr>
      </w:pPr>
      <w:r>
        <w:rPr>
          <w:rFonts w:hint="eastAsia" w:hAnsi="宋体"/>
          <w:sz w:val="28"/>
          <w:szCs w:val="28"/>
        </w:rPr>
        <w:t>响应文件仍中有规定的其他无效响应情形的。</w:t>
      </w:r>
    </w:p>
    <w:p>
      <w:pPr>
        <w:pStyle w:val="23"/>
        <w:numPr>
          <w:ilvl w:val="0"/>
          <w:numId w:val="43"/>
        </w:numPr>
        <w:tabs>
          <w:tab w:val="left" w:pos="1134"/>
        </w:tabs>
        <w:snapToGrid w:val="0"/>
        <w:spacing w:line="360" w:lineRule="auto"/>
        <w:ind w:left="0" w:firstLine="560"/>
        <w:rPr>
          <w:rFonts w:hAnsi="宋体"/>
          <w:sz w:val="28"/>
          <w:szCs w:val="28"/>
        </w:rPr>
      </w:pPr>
      <w:r>
        <w:rPr>
          <w:rFonts w:hint="eastAsia" w:hAnsi="宋体"/>
          <w:sz w:val="28"/>
          <w:szCs w:val="28"/>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w:t>
      </w:r>
      <w:r>
        <w:rPr>
          <w:rFonts w:hint="eastAsia" w:hAnsi="宋体"/>
          <w:sz w:val="28"/>
          <w:szCs w:val="28"/>
          <w:lang w:eastAsia="zh-CN"/>
        </w:rPr>
        <w:t>响应文件</w:t>
      </w:r>
      <w:r>
        <w:rPr>
          <w:rFonts w:hint="eastAsia" w:hAnsi="宋体"/>
          <w:sz w:val="28"/>
          <w:szCs w:val="28"/>
        </w:rPr>
        <w:t>的实质性内容。</w:t>
      </w:r>
    </w:p>
    <w:p>
      <w:pPr>
        <w:pStyle w:val="23"/>
        <w:numPr>
          <w:ilvl w:val="0"/>
          <w:numId w:val="43"/>
        </w:numPr>
        <w:tabs>
          <w:tab w:val="left" w:pos="1134"/>
        </w:tabs>
        <w:snapToGrid w:val="0"/>
        <w:spacing w:line="360" w:lineRule="auto"/>
        <w:ind w:left="0" w:firstLine="560"/>
        <w:rPr>
          <w:rFonts w:hAnsi="宋体"/>
          <w:sz w:val="28"/>
          <w:szCs w:val="28"/>
        </w:rPr>
      </w:pPr>
      <w:r>
        <w:rPr>
          <w:rFonts w:hint="eastAsia" w:hAnsi="宋体"/>
          <w:sz w:val="28"/>
          <w:szCs w:val="28"/>
        </w:rPr>
        <w:t>磋商小组要求供应商澄清、说明或者更正响应文件应当以书面形式作出。供应商的澄清、说明或者更正应加盖供应商（法定名称）电子签章。</w:t>
      </w:r>
    </w:p>
    <w:p>
      <w:pPr>
        <w:pStyle w:val="23"/>
        <w:numPr>
          <w:ilvl w:val="0"/>
          <w:numId w:val="43"/>
        </w:numPr>
        <w:tabs>
          <w:tab w:val="left" w:pos="1134"/>
        </w:tabs>
        <w:snapToGrid w:val="0"/>
        <w:spacing w:line="360" w:lineRule="auto"/>
        <w:ind w:left="0" w:firstLine="560"/>
        <w:rPr>
          <w:rFonts w:hAnsi="宋体"/>
          <w:sz w:val="28"/>
          <w:szCs w:val="28"/>
        </w:rPr>
      </w:pPr>
      <w:r>
        <w:rPr>
          <w:rFonts w:hint="eastAsia" w:hAnsi="宋体"/>
          <w:sz w:val="28"/>
          <w:szCs w:val="28"/>
        </w:rPr>
        <w:t>磋商小组应当积极履行澄清、说明或者更正的职责，不得滥用权力。</w:t>
      </w:r>
    </w:p>
    <w:p>
      <w:pPr>
        <w:pStyle w:val="23"/>
        <w:numPr>
          <w:ilvl w:val="0"/>
          <w:numId w:val="43"/>
        </w:numPr>
        <w:tabs>
          <w:tab w:val="left" w:pos="1134"/>
        </w:tabs>
        <w:snapToGrid w:val="0"/>
        <w:spacing w:line="360" w:lineRule="auto"/>
        <w:ind w:left="0" w:firstLine="560"/>
        <w:rPr>
          <w:rFonts w:hAnsi="宋体"/>
          <w:sz w:val="28"/>
          <w:szCs w:val="28"/>
        </w:rPr>
      </w:pPr>
      <w:r>
        <w:rPr>
          <w:rFonts w:hint="eastAsia" w:hAnsi="宋体"/>
          <w:sz w:val="28"/>
          <w:szCs w:val="28"/>
        </w:rPr>
        <w:t>磋商小组在符合性审查过程中，磋商小组成员对供应商是否符合规定存在争议的，应当以少数服从多数的原则处理，但不违背政府采购法和磋商文件规定。</w:t>
      </w:r>
    </w:p>
    <w:p>
      <w:pPr>
        <w:pStyle w:val="23"/>
        <w:numPr>
          <w:ilvl w:val="0"/>
          <w:numId w:val="43"/>
        </w:numPr>
        <w:tabs>
          <w:tab w:val="left" w:pos="1134"/>
        </w:tabs>
        <w:snapToGrid w:val="0"/>
        <w:spacing w:line="360" w:lineRule="auto"/>
        <w:ind w:left="0" w:firstLine="560"/>
        <w:rPr>
          <w:rFonts w:hAnsi="宋体"/>
          <w:sz w:val="28"/>
          <w:szCs w:val="28"/>
        </w:rPr>
      </w:pPr>
      <w:r>
        <w:rPr>
          <w:rFonts w:hint="eastAsia" w:hAnsi="宋体"/>
          <w:sz w:val="28"/>
          <w:szCs w:val="28"/>
        </w:rPr>
        <w:t>供应商符合性审查标准（按以下顺序审查）：</w:t>
      </w:r>
    </w:p>
    <w:tbl>
      <w:tblPr>
        <w:tblStyle w:val="42"/>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1</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商务技术响应文件、报价要求响应文件的组成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符合磋商文件2.4.6的要求。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2</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3</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cs="Times New Roman"/>
                <w:sz w:val="24"/>
                <w:szCs w:val="28"/>
                <w:lang w:val="en-US" w:eastAsia="zh-CN"/>
              </w:rPr>
              <w:t>磋商</w:t>
            </w:r>
            <w:r>
              <w:rPr>
                <w:rFonts w:hint="eastAsia" w:ascii="宋体" w:hAnsi="宋体" w:eastAsia="宋体" w:cs="Times New Roman"/>
                <w:sz w:val="24"/>
                <w:szCs w:val="28"/>
                <w:lang w:val="en-US" w:eastAsia="zh-CN"/>
              </w:rPr>
              <w:t>文件签章</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磋商文件加盖有供应商（法定名称）电子签章。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4</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cs="Times New Roman"/>
                <w:sz w:val="24"/>
                <w:szCs w:val="28"/>
                <w:lang w:val="en-US" w:eastAsia="zh-CN"/>
              </w:rPr>
              <w:t>5</w:t>
            </w:r>
          </w:p>
        </w:tc>
        <w:tc>
          <w:tcPr>
            <w:tcW w:w="35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进口产品</w:t>
            </w:r>
          </w:p>
        </w:tc>
        <w:tc>
          <w:tcPr>
            <w:tcW w:w="382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851"/>
              </w:tabs>
              <w:spacing w:before="0" w:beforeAutospacing="0" w:after="0" w:afterAutospacing="0" w:line="360" w:lineRule="auto"/>
              <w:ind w:left="0" w:leftChars="0" w:right="0" w:rightChars="0"/>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磋商文件中未载明“允许采购进口产品”的产品，投标产品为国产产品。</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2"/>
        <w:numPr>
          <w:ilvl w:val="0"/>
          <w:numId w:val="0"/>
        </w:numPr>
        <w:tabs>
          <w:tab w:val="left" w:pos="420"/>
          <w:tab w:val="left" w:pos="1134"/>
          <w:tab w:val="left" w:pos="1276"/>
          <w:tab w:val="left" w:pos="1418"/>
        </w:tabs>
        <w:snapToGrid w:val="0"/>
        <w:spacing w:before="156" w:line="360" w:lineRule="auto"/>
        <w:ind w:left="0" w:leftChars="0" w:firstLine="638" w:firstLineChars="228"/>
        <w:rPr>
          <w:rFonts w:ascii="宋体" w:hAnsi="宋体" w:eastAsia="宋体"/>
          <w:sz w:val="28"/>
          <w:szCs w:val="28"/>
        </w:rPr>
      </w:pPr>
      <w:r>
        <w:rPr>
          <w:rFonts w:hint="eastAsia" w:ascii="宋体" w:hAnsi="宋体" w:eastAsia="宋体"/>
          <w:sz w:val="28"/>
          <w:szCs w:val="28"/>
          <w:lang w:eastAsia="zh-CN"/>
        </w:rPr>
        <w:t>（一）</w:t>
      </w:r>
      <w:r>
        <w:rPr>
          <w:rFonts w:hint="eastAsia" w:ascii="宋体" w:hAnsi="宋体" w:eastAsia="宋体"/>
          <w:sz w:val="28"/>
          <w:szCs w:val="28"/>
        </w:rPr>
        <w:t>以上每一项结论均为“通过”的，则供应商的响应文件通过符合性审查，才能允许其参加最后报价；如有任意一项结论为“不通过”的，则供应商的响应文件按无效</w:t>
      </w:r>
      <w:r>
        <w:rPr>
          <w:rFonts w:hint="eastAsia" w:ascii="宋体" w:hAnsi="宋体" w:eastAsia="宋体"/>
          <w:sz w:val="28"/>
          <w:szCs w:val="28"/>
          <w:lang w:eastAsia="zh-CN"/>
        </w:rPr>
        <w:t>响应文件</w:t>
      </w:r>
      <w:r>
        <w:rPr>
          <w:rFonts w:hint="eastAsia" w:ascii="宋体" w:hAnsi="宋体" w:eastAsia="宋体"/>
          <w:sz w:val="28"/>
          <w:szCs w:val="28"/>
        </w:rPr>
        <w:t>处理，不允许其参加最后报价。如果磋商小组认为供应商有任意一项不通过的，应在评审报告中载明不通过的具体原因。</w:t>
      </w:r>
    </w:p>
    <w:p>
      <w:pPr>
        <w:pStyle w:val="82"/>
        <w:numPr>
          <w:ilvl w:val="0"/>
          <w:numId w:val="0"/>
        </w:numPr>
        <w:tabs>
          <w:tab w:val="left" w:pos="420"/>
          <w:tab w:val="left" w:pos="1134"/>
          <w:tab w:val="left" w:pos="1276"/>
          <w:tab w:val="left" w:pos="1418"/>
        </w:tabs>
        <w:snapToGrid w:val="0"/>
        <w:spacing w:before="156" w:line="360" w:lineRule="auto"/>
        <w:ind w:left="0" w:leftChars="0" w:firstLine="638" w:firstLineChars="228"/>
        <w:rPr>
          <w:rFonts w:ascii="宋体" w:hAnsi="宋体" w:eastAsia="宋体"/>
          <w:sz w:val="28"/>
          <w:szCs w:val="28"/>
        </w:rPr>
      </w:pPr>
      <w:r>
        <w:rPr>
          <w:rFonts w:hint="eastAsia" w:ascii="宋体" w:hAnsi="宋体" w:eastAsia="宋体"/>
          <w:sz w:val="28"/>
          <w:szCs w:val="28"/>
          <w:lang w:eastAsia="zh-CN"/>
        </w:rPr>
        <w:t>（二）</w:t>
      </w: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eastAsia="zh-CN"/>
        </w:rPr>
        <w:t>区交易中心</w:t>
      </w:r>
      <w:r>
        <w:rPr>
          <w:rFonts w:hint="eastAsia" w:ascii="宋体" w:hAnsi="宋体" w:eastAsia="宋体"/>
          <w:sz w:val="28"/>
          <w:szCs w:val="28"/>
        </w:rPr>
        <w:t>将通过和未通过符合性审查的供应商名单以及未通过符合性审查的原因（以短信、站内信、电话、“政府采购云平台”等任一方式）通知所有递交响应文件的供应商，并书面通知未通过符合性审查的供应商。</w:t>
      </w:r>
    </w:p>
    <w:p>
      <w:pPr>
        <w:pStyle w:val="82"/>
        <w:numPr>
          <w:ilvl w:val="0"/>
          <w:numId w:val="0"/>
        </w:numPr>
        <w:tabs>
          <w:tab w:val="left" w:pos="420"/>
          <w:tab w:val="left" w:pos="851"/>
          <w:tab w:val="left" w:pos="993"/>
          <w:tab w:val="left" w:pos="1134"/>
          <w:tab w:val="left" w:pos="1276"/>
          <w:tab w:val="left" w:pos="1418"/>
        </w:tabs>
        <w:snapToGrid w:val="0"/>
        <w:spacing w:before="156" w:line="360" w:lineRule="auto"/>
        <w:ind w:left="0" w:leftChars="0" w:firstLine="638" w:firstLineChars="228"/>
        <w:rPr>
          <w:rFonts w:ascii="宋体" w:hAnsi="宋体" w:eastAsia="宋体"/>
          <w:sz w:val="28"/>
          <w:szCs w:val="28"/>
        </w:rPr>
      </w:pPr>
      <w:r>
        <w:rPr>
          <w:rFonts w:hint="eastAsia" w:ascii="宋体" w:hAnsi="宋体" w:eastAsia="宋体"/>
          <w:sz w:val="28"/>
          <w:szCs w:val="28"/>
          <w:lang w:eastAsia="zh-CN"/>
        </w:rPr>
        <w:t>（三）</w:t>
      </w:r>
      <w:r>
        <w:rPr>
          <w:rFonts w:hint="eastAsia" w:ascii="宋体" w:hAnsi="宋体" w:eastAsia="宋体"/>
          <w:sz w:val="28"/>
          <w:szCs w:val="28"/>
        </w:rPr>
        <w:t>通过符合性审查的供应商不足三家的，本次采购活动终止，并发布终止竞争性磋商公告。</w:t>
      </w:r>
    </w:p>
    <w:p>
      <w:pPr>
        <w:pStyle w:val="23"/>
        <w:tabs>
          <w:tab w:val="left" w:pos="1134"/>
        </w:tabs>
        <w:snapToGrid w:val="0"/>
        <w:spacing w:line="360" w:lineRule="auto"/>
        <w:ind w:firstLine="565" w:firstLineChars="201"/>
        <w:rPr>
          <w:rFonts w:hAnsi="宋体"/>
          <w:b/>
          <w:sz w:val="28"/>
          <w:szCs w:val="28"/>
        </w:rPr>
      </w:pPr>
      <w:r>
        <w:rPr>
          <w:rFonts w:hint="eastAsia" w:hAnsi="宋体"/>
          <w:b/>
          <w:sz w:val="28"/>
          <w:szCs w:val="28"/>
        </w:rPr>
        <w:t>特别说明：磋商文件中要求提供复印件的证明材料的，包含原件的影印件或复印件。</w:t>
      </w:r>
    </w:p>
    <w:p>
      <w:pPr>
        <w:pStyle w:val="5"/>
        <w:numPr>
          <w:ilvl w:val="2"/>
          <w:numId w:val="6"/>
        </w:numPr>
        <w:spacing w:after="200"/>
        <w:ind w:left="1135" w:hanging="1135"/>
        <w:rPr>
          <w:color w:val="auto"/>
        </w:rPr>
      </w:pPr>
      <w:r>
        <w:rPr>
          <w:rFonts w:hint="eastAsia"/>
          <w:color w:val="auto"/>
        </w:rPr>
        <w:t>最后报价审查</w:t>
      </w:r>
    </w:p>
    <w:p>
      <w:pPr>
        <w:widowControl/>
        <w:numPr>
          <w:ilvl w:val="0"/>
          <w:numId w:val="46"/>
        </w:numPr>
        <w:tabs>
          <w:tab w:val="left" w:pos="1134"/>
        </w:tabs>
        <w:snapToGrid w:val="0"/>
        <w:spacing w:after="200" w:line="360" w:lineRule="auto"/>
        <w:ind w:left="0" w:firstLine="560" w:firstLineChars="200"/>
        <w:jc w:val="left"/>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widowControl/>
        <w:numPr>
          <w:ilvl w:val="0"/>
          <w:numId w:val="46"/>
        </w:numPr>
        <w:tabs>
          <w:tab w:val="left" w:pos="1134"/>
        </w:tabs>
        <w:snapToGrid w:val="0"/>
        <w:spacing w:after="200" w:line="360" w:lineRule="auto"/>
        <w:ind w:left="0" w:firstLine="560" w:firstLineChars="200"/>
        <w:jc w:val="left"/>
        <w:rPr>
          <w:rFonts w:ascii="宋体" w:hAnsi="宋体"/>
          <w:sz w:val="28"/>
          <w:szCs w:val="28"/>
        </w:rPr>
      </w:pPr>
      <w:r>
        <w:rPr>
          <w:rFonts w:hint="eastAsia" w:ascii="宋体" w:hAnsi="宋体"/>
          <w:sz w:val="28"/>
          <w:szCs w:val="28"/>
        </w:rPr>
        <w:t>已提交响应文件的供应商，在提交最后报价之前，可以根据磋商情况退出磋商，供应商的磋商保证金在成交结果公布后无息原路径退还。</w:t>
      </w:r>
    </w:p>
    <w:p>
      <w:pPr>
        <w:widowControl/>
        <w:numPr>
          <w:ilvl w:val="0"/>
          <w:numId w:val="46"/>
        </w:numPr>
        <w:tabs>
          <w:tab w:val="left" w:pos="1134"/>
        </w:tabs>
        <w:snapToGrid w:val="0"/>
        <w:spacing w:after="200" w:line="360" w:lineRule="auto"/>
        <w:ind w:left="0" w:firstLine="560" w:firstLineChars="200"/>
        <w:jc w:val="left"/>
        <w:rPr>
          <w:rFonts w:ascii="宋体" w:hAnsi="宋体"/>
          <w:sz w:val="28"/>
          <w:szCs w:val="28"/>
        </w:rPr>
      </w:pPr>
      <w:r>
        <w:rPr>
          <w:rFonts w:hint="eastAsia" w:ascii="宋体" w:hAnsi="宋体"/>
          <w:sz w:val="28"/>
          <w:szCs w:val="28"/>
        </w:rPr>
        <w:t>供应商未按磋商小组要求在规定时间内提交最后报价的，视为其退出磋商。</w:t>
      </w:r>
    </w:p>
    <w:p>
      <w:pPr>
        <w:widowControl/>
        <w:numPr>
          <w:ilvl w:val="0"/>
          <w:numId w:val="46"/>
        </w:numPr>
        <w:tabs>
          <w:tab w:val="left" w:pos="1134"/>
        </w:tabs>
        <w:snapToGrid w:val="0"/>
        <w:spacing w:after="200" w:line="360" w:lineRule="auto"/>
        <w:ind w:left="0" w:firstLine="560" w:firstLineChars="200"/>
        <w:jc w:val="left"/>
        <w:rPr>
          <w:rFonts w:ascii="宋体" w:hAnsi="宋体"/>
          <w:sz w:val="28"/>
          <w:szCs w:val="28"/>
        </w:rPr>
      </w:pPr>
      <w:r>
        <w:rPr>
          <w:rFonts w:hint="eastAsia" w:ascii="宋体" w:hAnsi="宋体"/>
          <w:sz w:val="28"/>
          <w:szCs w:val="28"/>
        </w:rPr>
        <w:t>最后报价一旦递交后，供应商不得以任何理由撤回。</w:t>
      </w:r>
    </w:p>
    <w:p>
      <w:pPr>
        <w:widowControl/>
        <w:numPr>
          <w:ilvl w:val="0"/>
          <w:numId w:val="46"/>
        </w:numPr>
        <w:tabs>
          <w:tab w:val="left" w:pos="1134"/>
        </w:tabs>
        <w:snapToGrid w:val="0"/>
        <w:spacing w:after="200" w:line="360" w:lineRule="auto"/>
        <w:ind w:left="0" w:firstLine="560" w:firstLineChars="200"/>
        <w:jc w:val="left"/>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widowControl/>
        <w:numPr>
          <w:ilvl w:val="0"/>
          <w:numId w:val="46"/>
        </w:numPr>
        <w:tabs>
          <w:tab w:val="left" w:pos="1134"/>
        </w:tabs>
        <w:snapToGrid w:val="0"/>
        <w:spacing w:after="200" w:line="360" w:lineRule="auto"/>
        <w:ind w:left="0" w:firstLine="560" w:firstLineChars="200"/>
        <w:jc w:val="left"/>
        <w:rPr>
          <w:rFonts w:ascii="宋体" w:hAnsi="宋体"/>
          <w:sz w:val="28"/>
          <w:szCs w:val="28"/>
        </w:rPr>
      </w:pPr>
      <w:r>
        <w:rPr>
          <w:rFonts w:hint="eastAsia" w:ascii="宋体" w:hAnsi="宋体"/>
          <w:sz w:val="28"/>
          <w:szCs w:val="28"/>
        </w:rPr>
        <w:t>最后报价为有效报价应符合下列条件：</w:t>
      </w:r>
    </w:p>
    <w:p>
      <w:pPr>
        <w:widowControl/>
        <w:numPr>
          <w:ilvl w:val="0"/>
          <w:numId w:val="47"/>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供应商所提供的最后报价是在规定的时间内提交。</w:t>
      </w:r>
    </w:p>
    <w:p>
      <w:pPr>
        <w:widowControl/>
        <w:numPr>
          <w:ilvl w:val="0"/>
          <w:numId w:val="47"/>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供应商的最后报价应加盖供应商（法定名称）电子签章。</w:t>
      </w:r>
    </w:p>
    <w:p>
      <w:pPr>
        <w:widowControl/>
        <w:numPr>
          <w:ilvl w:val="0"/>
          <w:numId w:val="47"/>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供应商的最后报价符合磋商文件的要求。</w:t>
      </w:r>
    </w:p>
    <w:p>
      <w:pPr>
        <w:widowControl/>
        <w:numPr>
          <w:ilvl w:val="0"/>
          <w:numId w:val="47"/>
        </w:numPr>
        <w:tabs>
          <w:tab w:val="left" w:pos="-2127"/>
          <w:tab w:val="left" w:pos="1134"/>
        </w:tabs>
        <w:snapToGrid w:val="0"/>
        <w:spacing w:after="200" w:line="360" w:lineRule="auto"/>
        <w:ind w:left="0" w:firstLine="557"/>
        <w:rPr>
          <w:rFonts w:ascii="宋体" w:hAnsi="宋体" w:cs="宋体"/>
          <w:sz w:val="28"/>
          <w:szCs w:val="28"/>
        </w:rPr>
      </w:pPr>
      <w:r>
        <w:rPr>
          <w:rFonts w:hint="eastAsia" w:ascii="宋体" w:hAnsi="宋体" w:cs="宋体"/>
          <w:sz w:val="28"/>
          <w:szCs w:val="28"/>
        </w:rPr>
        <w:t>最后报价唯一，且不高于最高限价。</w:t>
      </w:r>
    </w:p>
    <w:p>
      <w:pPr>
        <w:widowControl/>
        <w:numPr>
          <w:ilvl w:val="0"/>
          <w:numId w:val="46"/>
        </w:numPr>
        <w:tabs>
          <w:tab w:val="left" w:pos="-2127"/>
          <w:tab w:val="left" w:pos="1134"/>
        </w:tabs>
        <w:snapToGrid w:val="0"/>
        <w:spacing w:line="360" w:lineRule="auto"/>
        <w:ind w:left="0" w:firstLine="560" w:firstLineChars="200"/>
        <w:jc w:val="left"/>
        <w:rPr>
          <w:rFonts w:ascii="宋体" w:hAnsi="宋体"/>
          <w:sz w:val="28"/>
          <w:szCs w:val="28"/>
        </w:rPr>
      </w:pPr>
      <w:r>
        <w:rPr>
          <w:rFonts w:hint="eastAsia" w:ascii="宋体" w:hAnsi="宋体" w:cs="宋体"/>
          <w:sz w:val="28"/>
          <w:szCs w:val="28"/>
        </w:rPr>
        <w:t>在未提高响应文件中承诺的实质</w:t>
      </w:r>
      <w:r>
        <w:rPr>
          <w:rFonts w:ascii="宋体" w:hAnsi="宋体" w:cs="宋体"/>
          <w:sz w:val="28"/>
          <w:szCs w:val="28"/>
        </w:rPr>
        <w:t>性要求</w:t>
      </w:r>
      <w:r>
        <w:rPr>
          <w:rFonts w:hint="eastAsia" w:ascii="宋体" w:hAnsi="宋体" w:cs="宋体"/>
          <w:sz w:val="28"/>
          <w:szCs w:val="28"/>
        </w:rPr>
        <w:t>的情况下，最后报价不得高于对该项目之前的报价（</w:t>
      </w:r>
      <w:r>
        <w:rPr>
          <w:rFonts w:hint="eastAsia" w:hAnsi="宋体"/>
          <w:sz w:val="28"/>
          <w:szCs w:val="28"/>
        </w:rPr>
        <w:t>首次响应文件中的报价以政府采购云平台中填报的报价</w:t>
      </w:r>
      <w:r>
        <w:rPr>
          <w:rFonts w:hint="eastAsia" w:ascii="宋体" w:hAnsi="宋体" w:cs="宋体"/>
          <w:sz w:val="28"/>
          <w:szCs w:val="28"/>
        </w:rPr>
        <w:t>为准），否则，磋商小组应当对其响应文件按无效处理。磋商小组根据磋商文件中规定认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供应商最后报价低于成本价，在磋商小组发出质询函后供应商未能提供合理的成本分析和价格构成的或对质函询的解释未被磋商小组采信的，应按照无效响应文件处理</w:t>
      </w:r>
      <w:r>
        <w:rPr>
          <w:rFonts w:ascii="宋体" w:hAnsi="宋体" w:cs="宋体"/>
          <w:sz w:val="28"/>
          <w:szCs w:val="28"/>
        </w:rPr>
        <w:t>。</w:t>
      </w:r>
    </w:p>
    <w:p>
      <w:pPr>
        <w:widowControl/>
        <w:numPr>
          <w:ilvl w:val="0"/>
          <w:numId w:val="46"/>
        </w:numPr>
        <w:tabs>
          <w:tab w:val="left" w:pos="-2127"/>
          <w:tab w:val="left" w:pos="1134"/>
        </w:tabs>
        <w:snapToGrid w:val="0"/>
        <w:spacing w:line="360" w:lineRule="auto"/>
        <w:ind w:left="0" w:firstLine="560" w:firstLineChars="200"/>
        <w:jc w:val="left"/>
        <w:rPr>
          <w:rFonts w:ascii="宋体" w:hAnsi="宋体"/>
          <w:sz w:val="28"/>
          <w:szCs w:val="28"/>
        </w:rPr>
      </w:pPr>
      <w:r>
        <w:rPr>
          <w:rFonts w:hint="eastAsia" w:ascii="宋体" w:hAnsi="宋体"/>
          <w:sz w:val="28"/>
          <w:szCs w:val="28"/>
        </w:rPr>
        <w:t>最后报价出现下列情况的，不需要供应商澄清，按以下原则处理：</w:t>
      </w:r>
    </w:p>
    <w:p>
      <w:pPr>
        <w:pStyle w:val="84"/>
        <w:numPr>
          <w:ilvl w:val="0"/>
          <w:numId w:val="48"/>
        </w:numPr>
        <w:tabs>
          <w:tab w:val="left" w:pos="1134"/>
          <w:tab w:val="clear" w:pos="846"/>
        </w:tabs>
        <w:snapToGrid w:val="0"/>
        <w:spacing w:line="360" w:lineRule="auto"/>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84"/>
        <w:numPr>
          <w:ilvl w:val="0"/>
          <w:numId w:val="48"/>
        </w:numPr>
        <w:tabs>
          <w:tab w:val="left" w:pos="1134"/>
          <w:tab w:val="clear" w:pos="846"/>
        </w:tabs>
        <w:snapToGrid w:val="0"/>
        <w:spacing w:line="360" w:lineRule="auto"/>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84"/>
        <w:numPr>
          <w:ilvl w:val="0"/>
          <w:numId w:val="48"/>
        </w:numPr>
        <w:tabs>
          <w:tab w:val="left" w:pos="1134"/>
          <w:tab w:val="clear" w:pos="846"/>
        </w:tabs>
        <w:snapToGrid w:val="0"/>
        <w:spacing w:line="360" w:lineRule="auto"/>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360" w:lineRule="auto"/>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spacing w:after="0" w:line="360" w:lineRule="auto"/>
        <w:ind w:firstLine="565" w:firstLineChars="202"/>
        <w:rPr>
          <w:rFonts w:ascii="宋体" w:hAnsi="宋体"/>
          <w:sz w:val="28"/>
          <w:szCs w:val="28"/>
        </w:rPr>
      </w:pPr>
      <w:r>
        <w:rPr>
          <w:rFonts w:hint="eastAsia" w:ascii="宋体" w:hAnsi="宋体"/>
          <w:sz w:val="28"/>
          <w:szCs w:val="28"/>
        </w:rPr>
        <w:t>对不同语言文本</w:t>
      </w:r>
      <w:r>
        <w:rPr>
          <w:rFonts w:hint="eastAsia" w:ascii="宋体" w:hAnsi="宋体"/>
          <w:sz w:val="28"/>
          <w:szCs w:val="28"/>
          <w:lang w:eastAsia="zh-CN"/>
        </w:rPr>
        <w:t>响应文件</w:t>
      </w:r>
      <w:r>
        <w:rPr>
          <w:rFonts w:hint="eastAsia" w:ascii="宋体" w:hAnsi="宋体"/>
          <w:sz w:val="28"/>
          <w:szCs w:val="28"/>
        </w:rPr>
        <w:t>的解释发生异议的，以中文文本为准。</w:t>
      </w:r>
    </w:p>
    <w:p>
      <w:pPr>
        <w:widowControl/>
        <w:numPr>
          <w:ilvl w:val="0"/>
          <w:numId w:val="46"/>
        </w:numPr>
        <w:tabs>
          <w:tab w:val="left" w:pos="-2127"/>
          <w:tab w:val="left" w:pos="1134"/>
        </w:tabs>
        <w:snapToGrid w:val="0"/>
        <w:spacing w:line="360" w:lineRule="auto"/>
        <w:ind w:left="0" w:firstLine="560" w:firstLineChars="200"/>
        <w:jc w:val="left"/>
        <w:rPr>
          <w:rFonts w:ascii="宋体" w:hAnsi="宋体"/>
          <w:sz w:val="28"/>
          <w:szCs w:val="28"/>
        </w:rPr>
      </w:pPr>
      <w:r>
        <w:rPr>
          <w:rFonts w:hint="eastAsia" w:ascii="宋体" w:hAnsi="宋体"/>
          <w:sz w:val="28"/>
          <w:szCs w:val="28"/>
        </w:rPr>
        <w:t>有效最后报价的供应商不足三家的，采购失败。</w:t>
      </w:r>
    </w:p>
    <w:p>
      <w:pPr>
        <w:pStyle w:val="5"/>
        <w:numPr>
          <w:ilvl w:val="2"/>
          <w:numId w:val="6"/>
        </w:numPr>
        <w:spacing w:after="200"/>
        <w:ind w:left="1135" w:hanging="1135"/>
        <w:rPr>
          <w:color w:val="auto"/>
        </w:rPr>
      </w:pPr>
      <w:r>
        <w:rPr>
          <w:rFonts w:hint="eastAsia"/>
          <w:color w:val="auto"/>
        </w:rPr>
        <w:t>解释、澄清、说明的有关问题</w:t>
      </w:r>
    </w:p>
    <w:p>
      <w:pPr>
        <w:numPr>
          <w:ilvl w:val="0"/>
          <w:numId w:val="49"/>
        </w:numPr>
        <w:tabs>
          <w:tab w:val="left" w:pos="1134"/>
        </w:tabs>
        <w:spacing w:after="200" w:line="360" w:lineRule="auto"/>
        <w:ind w:left="0" w:firstLine="567"/>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区交易中心</w:t>
      </w:r>
      <w:r>
        <w:rPr>
          <w:rFonts w:hint="eastAsia" w:ascii="宋体" w:hAnsi="宋体"/>
          <w:sz w:val="28"/>
          <w:szCs w:val="28"/>
        </w:rPr>
        <w:t>书面解释。</w:t>
      </w:r>
      <w:r>
        <w:rPr>
          <w:rFonts w:hint="eastAsia" w:ascii="宋体" w:hAnsi="宋体"/>
          <w:sz w:val="28"/>
          <w:szCs w:val="28"/>
          <w:lang w:eastAsia="zh-CN"/>
        </w:rPr>
        <w:t>区交易中心</w:t>
      </w:r>
      <w:r>
        <w:rPr>
          <w:rFonts w:hint="eastAsia" w:ascii="宋体" w:hAnsi="宋体"/>
          <w:sz w:val="28"/>
          <w:szCs w:val="28"/>
        </w:rPr>
        <w:t>的解释不得改变磋商文件的原义或者影响公平、公正，解释事项如果涉及供应商权益的以有利于供应商的原则进行解释。</w:t>
      </w:r>
    </w:p>
    <w:p>
      <w:pPr>
        <w:numPr>
          <w:ilvl w:val="0"/>
          <w:numId w:val="49"/>
        </w:numPr>
        <w:tabs>
          <w:tab w:val="left" w:pos="1134"/>
        </w:tabs>
        <w:spacing w:after="200" w:line="360" w:lineRule="auto"/>
        <w:ind w:left="0" w:firstLine="567"/>
        <w:rPr>
          <w:rFonts w:ascii="宋体" w:hAnsi="宋体"/>
          <w:sz w:val="28"/>
          <w:szCs w:val="28"/>
        </w:rPr>
      </w:pPr>
      <w:r>
        <w:rPr>
          <w:rFonts w:hint="eastAsia" w:ascii="宋体" w:hAnsi="宋体"/>
          <w:sz w:val="28"/>
          <w:szCs w:val="28"/>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w:t>
      </w:r>
      <w:r>
        <w:rPr>
          <w:rFonts w:hint="eastAsia" w:ascii="宋体" w:hAnsi="宋体"/>
          <w:sz w:val="28"/>
          <w:szCs w:val="28"/>
          <w:lang w:eastAsia="zh-CN"/>
        </w:rPr>
        <w:t>响应文件</w:t>
      </w:r>
      <w:r>
        <w:rPr>
          <w:rFonts w:hint="eastAsia" w:ascii="宋体" w:hAnsi="宋体"/>
          <w:sz w:val="28"/>
          <w:szCs w:val="28"/>
        </w:rPr>
        <w:t>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s>
        <w:spacing w:before="0" w:after="0"/>
        <w:jc w:val="both"/>
      </w:pPr>
      <w:bookmarkStart w:id="96" w:name="_Toc63084328"/>
      <w:bookmarkStart w:id="97" w:name="_Toc63437914"/>
      <w:bookmarkStart w:id="98" w:name="_Toc31147"/>
      <w:bookmarkStart w:id="99" w:name="_Toc73434092"/>
      <w:r>
        <w:rPr>
          <w:rFonts w:hint="eastAsia"/>
        </w:rPr>
        <w:t>比较与评价</w:t>
      </w:r>
      <w:bookmarkEnd w:id="96"/>
      <w:bookmarkEnd w:id="97"/>
      <w:bookmarkEnd w:id="98"/>
      <w:bookmarkEnd w:id="99"/>
    </w:p>
    <w:p>
      <w:pPr>
        <w:spacing w:line="360" w:lineRule="auto"/>
        <w:ind w:firstLine="560" w:firstLineChars="200"/>
        <w:rPr>
          <w:rFonts w:ascii="宋体" w:hAnsi="宋体"/>
          <w:sz w:val="28"/>
          <w:szCs w:val="28"/>
        </w:rPr>
      </w:pPr>
      <w:r>
        <w:rPr>
          <w:rFonts w:hint="eastAsia" w:ascii="宋体" w:hAnsi="宋体"/>
          <w:sz w:val="28"/>
          <w:szCs w:val="28"/>
        </w:rPr>
        <w:t>由磋商小组采用综合评分法对提交最后报价的供应商的响应文件和最后报价进行综合评分，具体要求详见本章综合评分部分。</w:t>
      </w:r>
    </w:p>
    <w:p>
      <w:pPr>
        <w:pStyle w:val="5"/>
        <w:numPr>
          <w:ilvl w:val="2"/>
          <w:numId w:val="6"/>
        </w:numPr>
        <w:spacing w:after="200"/>
        <w:ind w:left="1135" w:hanging="1135"/>
        <w:rPr>
          <w:color w:val="auto"/>
        </w:rPr>
      </w:pPr>
      <w:r>
        <w:rPr>
          <w:rFonts w:hint="eastAsia"/>
          <w:color w:val="auto"/>
        </w:rPr>
        <w:t>磋商小组复核</w:t>
      </w:r>
    </w:p>
    <w:p>
      <w:pPr>
        <w:numPr>
          <w:ilvl w:val="0"/>
          <w:numId w:val="50"/>
        </w:numPr>
        <w:tabs>
          <w:tab w:val="left" w:pos="1134"/>
        </w:tabs>
        <w:spacing w:after="200" w:line="360" w:lineRule="auto"/>
        <w:ind w:left="0" w:firstLine="567"/>
        <w:rPr>
          <w:rFonts w:ascii="宋体" w:hAnsi="宋体"/>
          <w:sz w:val="28"/>
          <w:szCs w:val="28"/>
        </w:rPr>
      </w:pPr>
      <w:r>
        <w:rPr>
          <w:rFonts w:hint="eastAsia" w:ascii="宋体" w:hAnsi="宋体"/>
          <w:sz w:val="28"/>
          <w:szCs w:val="28"/>
        </w:rPr>
        <w:t>评审结束后，磋商小组应当进行复核，特别要对拟推荐为成交候选供应商的、报价最低的、响应文件被认定为无效的进行重点复核。</w:t>
      </w:r>
    </w:p>
    <w:p>
      <w:pPr>
        <w:numPr>
          <w:ilvl w:val="0"/>
          <w:numId w:val="50"/>
        </w:numPr>
        <w:tabs>
          <w:tab w:val="left" w:pos="1134"/>
        </w:tabs>
        <w:spacing w:after="200" w:line="360" w:lineRule="auto"/>
        <w:ind w:left="0" w:firstLine="567"/>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区交易中心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numPr>
          <w:ilvl w:val="0"/>
          <w:numId w:val="50"/>
        </w:numPr>
        <w:tabs>
          <w:tab w:val="left" w:pos="1134"/>
        </w:tabs>
        <w:spacing w:after="200" w:line="360" w:lineRule="auto"/>
        <w:ind w:left="0" w:firstLine="567"/>
        <w:rPr>
          <w:rFonts w:ascii="宋体" w:hAnsi="宋体"/>
          <w:sz w:val="28"/>
          <w:szCs w:val="28"/>
        </w:rPr>
      </w:pPr>
      <w:r>
        <w:rPr>
          <w:rFonts w:hint="eastAsia" w:ascii="宋体" w:hAnsi="宋体"/>
          <w:sz w:val="28"/>
          <w:szCs w:val="28"/>
        </w:rPr>
        <w:t>评审结果汇总完成后，除下列情形外，任何人不得修改评审结果：</w:t>
      </w:r>
    </w:p>
    <w:p>
      <w:pPr>
        <w:pStyle w:val="82"/>
        <w:widowControl/>
        <w:numPr>
          <w:ilvl w:val="0"/>
          <w:numId w:val="51"/>
        </w:numPr>
        <w:tabs>
          <w:tab w:val="left" w:pos="1418"/>
        </w:tabs>
        <w:spacing w:before="156" w:after="200" w:line="360" w:lineRule="auto"/>
        <w:ind w:left="0" w:firstLine="480" w:firstLineChars="0"/>
        <w:jc w:val="left"/>
        <w:rPr>
          <w:rFonts w:ascii="宋体" w:hAnsi="宋体" w:eastAsia="宋体"/>
          <w:sz w:val="28"/>
          <w:szCs w:val="28"/>
        </w:rPr>
      </w:pPr>
      <w:r>
        <w:rPr>
          <w:rFonts w:hint="eastAsia" w:ascii="宋体" w:hAnsi="宋体" w:eastAsia="宋体"/>
          <w:sz w:val="28"/>
          <w:szCs w:val="28"/>
        </w:rPr>
        <w:t>资格性认定错误；</w:t>
      </w:r>
    </w:p>
    <w:p>
      <w:pPr>
        <w:pStyle w:val="82"/>
        <w:widowControl/>
        <w:numPr>
          <w:ilvl w:val="0"/>
          <w:numId w:val="51"/>
        </w:numPr>
        <w:tabs>
          <w:tab w:val="left" w:pos="1418"/>
        </w:tabs>
        <w:spacing w:before="156" w:after="200" w:line="360" w:lineRule="auto"/>
        <w:ind w:left="0" w:firstLine="480" w:firstLineChars="0"/>
        <w:jc w:val="left"/>
        <w:rPr>
          <w:rFonts w:ascii="宋体" w:hAnsi="宋体" w:eastAsia="宋体"/>
          <w:sz w:val="28"/>
          <w:szCs w:val="28"/>
        </w:rPr>
      </w:pPr>
      <w:r>
        <w:rPr>
          <w:rFonts w:hint="eastAsia" w:ascii="宋体" w:hAnsi="宋体" w:eastAsia="宋体"/>
          <w:sz w:val="28"/>
          <w:szCs w:val="28"/>
        </w:rPr>
        <w:t>分值汇总计算错误的；</w:t>
      </w:r>
    </w:p>
    <w:p>
      <w:pPr>
        <w:pStyle w:val="82"/>
        <w:widowControl/>
        <w:numPr>
          <w:ilvl w:val="0"/>
          <w:numId w:val="51"/>
        </w:numPr>
        <w:tabs>
          <w:tab w:val="left" w:pos="1418"/>
        </w:tabs>
        <w:spacing w:before="156" w:after="200" w:line="360" w:lineRule="auto"/>
        <w:ind w:left="0" w:firstLine="480" w:firstLineChars="0"/>
        <w:jc w:val="left"/>
        <w:rPr>
          <w:rFonts w:ascii="宋体" w:hAnsi="宋体" w:eastAsia="宋体"/>
          <w:sz w:val="28"/>
          <w:szCs w:val="28"/>
        </w:rPr>
      </w:pPr>
      <w:r>
        <w:rPr>
          <w:rFonts w:hint="eastAsia" w:ascii="宋体" w:hAnsi="宋体" w:eastAsia="宋体"/>
          <w:sz w:val="28"/>
          <w:szCs w:val="28"/>
        </w:rPr>
        <w:t>分项评分超出评分标准范围的；</w:t>
      </w:r>
    </w:p>
    <w:p>
      <w:pPr>
        <w:pStyle w:val="82"/>
        <w:widowControl/>
        <w:numPr>
          <w:ilvl w:val="0"/>
          <w:numId w:val="51"/>
        </w:numPr>
        <w:tabs>
          <w:tab w:val="left" w:pos="1418"/>
        </w:tabs>
        <w:spacing w:before="156" w:after="200" w:line="360" w:lineRule="auto"/>
        <w:ind w:left="0" w:firstLine="480" w:firstLineChars="0"/>
        <w:jc w:val="left"/>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2"/>
        <w:widowControl/>
        <w:numPr>
          <w:ilvl w:val="0"/>
          <w:numId w:val="51"/>
        </w:numPr>
        <w:tabs>
          <w:tab w:val="left" w:pos="1418"/>
        </w:tabs>
        <w:spacing w:before="156" w:after="200" w:line="360" w:lineRule="auto"/>
        <w:ind w:left="0" w:firstLine="480" w:firstLineChars="0"/>
        <w:jc w:val="left"/>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rFonts w:ascii="宋体" w:hAnsi="宋体"/>
          <w:sz w:val="28"/>
          <w:szCs w:val="28"/>
        </w:rPr>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5"/>
        <w:numPr>
          <w:ilvl w:val="2"/>
          <w:numId w:val="6"/>
        </w:numPr>
        <w:spacing w:after="200"/>
        <w:ind w:left="1135" w:hanging="1135"/>
        <w:rPr>
          <w:color w:val="auto"/>
        </w:rPr>
      </w:pPr>
      <w:r>
        <w:rPr>
          <w:rFonts w:hint="eastAsia"/>
          <w:color w:val="auto"/>
        </w:rPr>
        <w:t>推荐成交侯选供应商</w:t>
      </w:r>
    </w:p>
    <w:p>
      <w:pPr>
        <w:tabs>
          <w:tab w:val="left" w:pos="7665"/>
        </w:tabs>
        <w:spacing w:line="360" w:lineRule="auto"/>
        <w:ind w:firstLine="560" w:firstLineChars="200"/>
        <w:rPr>
          <w:rFonts w:ascii="Helvetica" w:hAnsi="Helvetica" w:eastAsia="宋体" w:cs="Helvetica"/>
          <w:kern w:val="0"/>
          <w:sz w:val="28"/>
          <w:szCs w:val="28"/>
        </w:rPr>
      </w:pPr>
      <w:r>
        <w:rPr>
          <w:rFonts w:hint="eastAsia" w:ascii="宋体" w:hAnsi="宋体"/>
          <w:sz w:val="28"/>
          <w:szCs w:val="28"/>
        </w:rPr>
        <w:t>磋商小组应当根据综合</w:t>
      </w:r>
      <w:r>
        <w:rPr>
          <w:rFonts w:hint="eastAsia" w:ascii="宋体" w:hAnsi="宋体"/>
          <w:sz w:val="28"/>
          <w:szCs w:val="28"/>
          <w:highlight w:val="none"/>
        </w:rPr>
        <w:t>评分情况，按照评审得分由高到低顺序推荐</w:t>
      </w:r>
      <w:r>
        <w:rPr>
          <w:rFonts w:ascii="宋体" w:hAnsi="宋体"/>
          <w:sz w:val="28"/>
          <w:szCs w:val="28"/>
          <w:highlight w:val="none"/>
        </w:rPr>
        <w:t>3</w:t>
      </w:r>
      <w:r>
        <w:rPr>
          <w:rFonts w:hint="eastAsia" w:ascii="宋体" w:hAnsi="宋体"/>
          <w:sz w:val="28"/>
          <w:szCs w:val="28"/>
          <w:highlight w:val="none"/>
        </w:rPr>
        <w:t>家</w:t>
      </w:r>
      <w:r>
        <w:rPr>
          <w:rFonts w:hint="eastAsia" w:ascii="宋体" w:hAnsi="宋体"/>
          <w:sz w:val="28"/>
          <w:szCs w:val="28"/>
          <w:highlight w:val="none"/>
          <w:lang w:eastAsia="zh-CN"/>
        </w:rPr>
        <w:t>（含</w:t>
      </w:r>
      <w:r>
        <w:rPr>
          <w:rFonts w:hint="eastAsia" w:ascii="宋体" w:hAnsi="宋体"/>
          <w:sz w:val="28"/>
          <w:szCs w:val="28"/>
          <w:highlight w:val="none"/>
          <w:lang w:val="en-US" w:eastAsia="zh-CN"/>
        </w:rPr>
        <w:t>3家</w:t>
      </w:r>
      <w:r>
        <w:rPr>
          <w:rFonts w:hint="eastAsia" w:ascii="宋体" w:hAnsi="宋体"/>
          <w:sz w:val="28"/>
          <w:szCs w:val="28"/>
          <w:highlight w:val="none"/>
          <w:lang w:eastAsia="zh-CN"/>
        </w:rPr>
        <w:t>）</w:t>
      </w:r>
      <w:r>
        <w:rPr>
          <w:rFonts w:hint="eastAsia" w:ascii="宋体" w:hAnsi="宋体"/>
          <w:sz w:val="28"/>
          <w:szCs w:val="28"/>
          <w:highlight w:val="none"/>
        </w:rPr>
        <w:t>以上成交候选供应商，并编写磋商报告。</w:t>
      </w:r>
      <w:r>
        <w:rPr>
          <w:rFonts w:hint="eastAsia" w:ascii="宋体" w:hAnsi="宋体" w:cs="Times New Roman"/>
          <w:sz w:val="28"/>
          <w:szCs w:val="28"/>
          <w:lang w:eastAsia="zh-CN"/>
        </w:rPr>
        <w:t>评审</w:t>
      </w:r>
      <w:r>
        <w:rPr>
          <w:rFonts w:hint="eastAsia" w:ascii="宋体" w:hAnsi="宋体" w:eastAsia="宋体" w:cs="Times New Roman"/>
          <w:sz w:val="28"/>
          <w:szCs w:val="28"/>
        </w:rPr>
        <w:t>得分相同的，则在排名并列的</w:t>
      </w:r>
      <w:r>
        <w:rPr>
          <w:rFonts w:hint="eastAsia" w:ascii="宋体" w:hAnsi="宋体" w:cs="Times New Roman"/>
          <w:sz w:val="28"/>
          <w:szCs w:val="28"/>
          <w:lang w:eastAsia="zh-CN"/>
        </w:rPr>
        <w:t>供应商</w:t>
      </w:r>
      <w:r>
        <w:rPr>
          <w:rFonts w:hint="eastAsia" w:ascii="宋体" w:hAnsi="宋体" w:eastAsia="宋体" w:cs="Times New Roman"/>
          <w:sz w:val="28"/>
          <w:szCs w:val="28"/>
        </w:rPr>
        <w:t>中优先</w:t>
      </w:r>
      <w:r>
        <w:rPr>
          <w:rFonts w:hint="eastAsia" w:ascii="宋体" w:hAnsi="宋体" w:cs="Times New Roman"/>
          <w:sz w:val="28"/>
          <w:szCs w:val="28"/>
          <w:lang w:eastAsia="zh-CN"/>
        </w:rPr>
        <w:t>推荐</w:t>
      </w:r>
      <w:r>
        <w:rPr>
          <w:rFonts w:hint="eastAsia" w:ascii="宋体" w:hAnsi="宋体" w:eastAsia="宋体" w:cs="Times New Roman"/>
          <w:sz w:val="28"/>
          <w:szCs w:val="28"/>
        </w:rPr>
        <w:t>不发达地区或少数民族地区的供应商。</w:t>
      </w:r>
      <w:r>
        <w:rPr>
          <w:rFonts w:hint="eastAsia" w:ascii="宋体" w:hAnsi="宋体" w:cs="Times New Roman"/>
          <w:sz w:val="28"/>
          <w:szCs w:val="28"/>
          <w:lang w:eastAsia="zh-CN"/>
        </w:rPr>
        <w:t>评审</w:t>
      </w:r>
      <w:r>
        <w:rPr>
          <w:rFonts w:hint="eastAsia" w:ascii="宋体" w:hAnsi="宋体" w:eastAsia="宋体" w:cs="Times New Roman"/>
          <w:sz w:val="28"/>
          <w:szCs w:val="28"/>
        </w:rPr>
        <w:t>得分相同</w:t>
      </w:r>
      <w:r>
        <w:rPr>
          <w:rFonts w:hint="eastAsia" w:ascii="宋体" w:hAnsi="宋体" w:cs="Times New Roman"/>
          <w:sz w:val="28"/>
          <w:szCs w:val="28"/>
          <w:lang w:eastAsia="zh-CN"/>
        </w:rPr>
        <w:t>、是否属于不发达地区或少数民族地区的情况一致</w:t>
      </w:r>
      <w:r>
        <w:rPr>
          <w:rFonts w:hint="eastAsia" w:ascii="宋体" w:hAnsi="宋体" w:eastAsia="宋体" w:cs="Times New Roman"/>
          <w:sz w:val="28"/>
          <w:szCs w:val="28"/>
        </w:rPr>
        <w:t>的</w:t>
      </w:r>
      <w:r>
        <w:rPr>
          <w:rFonts w:hint="eastAsia" w:ascii="宋体" w:hAnsi="宋体" w:cs="Times New Roman"/>
          <w:sz w:val="28"/>
          <w:szCs w:val="28"/>
          <w:lang w:eastAsia="zh-CN"/>
        </w:rPr>
        <w:t>供应商</w:t>
      </w:r>
      <w:r>
        <w:rPr>
          <w:rFonts w:hint="eastAsia" w:ascii="宋体" w:hAnsi="宋体" w:eastAsia="宋体" w:cs="Times New Roman"/>
          <w:sz w:val="28"/>
          <w:szCs w:val="28"/>
        </w:rPr>
        <w:t>按投标报价由低到高顺序排列确定</w:t>
      </w:r>
      <w:r>
        <w:rPr>
          <w:rFonts w:hint="eastAsia" w:ascii="宋体" w:hAnsi="宋体" w:cs="Times New Roman"/>
          <w:sz w:val="28"/>
          <w:szCs w:val="28"/>
          <w:lang w:eastAsia="zh-CN"/>
        </w:rPr>
        <w:t>成交候选人</w:t>
      </w:r>
      <w:r>
        <w:rPr>
          <w:rFonts w:hint="eastAsia" w:ascii="宋体" w:hAnsi="宋体" w:eastAsia="宋体" w:cs="Times New Roman"/>
          <w:sz w:val="28"/>
          <w:szCs w:val="28"/>
        </w:rPr>
        <w:t>。</w:t>
      </w:r>
      <w:r>
        <w:rPr>
          <w:rFonts w:hint="eastAsia" w:ascii="宋体" w:hAnsi="宋体" w:cs="Times New Roman"/>
          <w:sz w:val="28"/>
          <w:szCs w:val="28"/>
          <w:lang w:eastAsia="zh-CN"/>
        </w:rPr>
        <w:t>评审</w:t>
      </w:r>
      <w:r>
        <w:rPr>
          <w:rFonts w:hint="eastAsia" w:ascii="宋体" w:hAnsi="宋体" w:eastAsia="宋体" w:cs="Times New Roman"/>
          <w:sz w:val="28"/>
          <w:szCs w:val="28"/>
        </w:rPr>
        <w:t>得分相同、</w:t>
      </w:r>
      <w:r>
        <w:rPr>
          <w:rFonts w:hint="eastAsia" w:ascii="宋体" w:hAnsi="宋体" w:cs="Times New Roman"/>
          <w:sz w:val="28"/>
          <w:szCs w:val="28"/>
          <w:lang w:eastAsia="zh-CN"/>
        </w:rPr>
        <w:t>是否属于不发达地区或少数民族地区的情况一致、</w:t>
      </w:r>
      <w:r>
        <w:rPr>
          <w:rFonts w:hint="eastAsia" w:ascii="宋体" w:hAnsi="宋体" w:eastAsia="宋体" w:cs="Times New Roman"/>
          <w:sz w:val="28"/>
          <w:szCs w:val="28"/>
        </w:rPr>
        <w:t>报价相同</w:t>
      </w:r>
      <w:r>
        <w:rPr>
          <w:rFonts w:hint="eastAsia" w:ascii="宋体" w:hAnsi="宋体" w:cs="Times New Roman"/>
          <w:sz w:val="28"/>
          <w:szCs w:val="28"/>
          <w:lang w:eastAsia="zh-CN"/>
        </w:rPr>
        <w:t>的</w:t>
      </w:r>
      <w:r>
        <w:rPr>
          <w:rFonts w:hint="eastAsia" w:ascii="宋体" w:hAnsi="宋体" w:eastAsia="宋体" w:cs="Times New Roman"/>
          <w:sz w:val="28"/>
          <w:szCs w:val="28"/>
        </w:rPr>
        <w:t>并列</w:t>
      </w:r>
      <w:r>
        <w:rPr>
          <w:rFonts w:hint="eastAsia" w:ascii="宋体" w:hAnsi="宋体" w:cs="Times New Roman"/>
          <w:sz w:val="28"/>
          <w:szCs w:val="28"/>
          <w:lang w:eastAsia="zh-CN"/>
        </w:rPr>
        <w:t>。</w:t>
      </w:r>
      <w:r>
        <w:rPr>
          <w:rFonts w:hint="eastAsia" w:ascii="宋体" w:hAnsi="宋体" w:eastAsia="宋体" w:cs="Times New Roman"/>
          <w:sz w:val="28"/>
          <w:szCs w:val="28"/>
        </w:rPr>
        <w:t>（不发达地区或少数民族地区的投标人指投标人注册地在民族自治州、自治县、自治乡等不发达地区或少数民族地区）</w:t>
      </w:r>
      <w:r>
        <w:rPr>
          <w:rFonts w:hint="eastAsia" w:ascii="宋体" w:hAnsi="宋体" w:cs="Times New Roman"/>
          <w:sz w:val="28"/>
          <w:szCs w:val="28"/>
          <w:lang w:eastAsia="zh-CN"/>
        </w:rPr>
        <w:t>。响应</w:t>
      </w:r>
      <w:r>
        <w:rPr>
          <w:rFonts w:hint="eastAsia" w:ascii="宋体" w:hAnsi="宋体" w:eastAsia="宋体" w:cs="Times New Roman"/>
          <w:sz w:val="28"/>
          <w:szCs w:val="28"/>
        </w:rPr>
        <w:t>文件满足</w:t>
      </w:r>
      <w:r>
        <w:rPr>
          <w:rFonts w:hint="eastAsia" w:ascii="宋体" w:hAnsi="宋体" w:cs="Times New Roman"/>
          <w:sz w:val="28"/>
          <w:szCs w:val="28"/>
          <w:lang w:eastAsia="zh-CN"/>
        </w:rPr>
        <w:t>磋商</w:t>
      </w:r>
      <w:r>
        <w:rPr>
          <w:rFonts w:hint="eastAsia" w:ascii="宋体" w:hAnsi="宋体" w:eastAsia="宋体" w:cs="Times New Roman"/>
          <w:sz w:val="28"/>
          <w:szCs w:val="28"/>
        </w:rPr>
        <w:t>文件全部实质性要求，且按照评审因素的量化指标评审得分最高的</w:t>
      </w:r>
      <w:r>
        <w:rPr>
          <w:rFonts w:hint="eastAsia" w:ascii="宋体" w:hAnsi="宋体" w:cs="Times New Roman"/>
          <w:sz w:val="28"/>
          <w:szCs w:val="28"/>
          <w:lang w:eastAsia="zh-CN"/>
        </w:rPr>
        <w:t>供应商</w:t>
      </w:r>
      <w:r>
        <w:rPr>
          <w:rFonts w:hint="eastAsia" w:ascii="宋体" w:hAnsi="宋体" w:eastAsia="宋体" w:cs="Times New Roman"/>
          <w:sz w:val="28"/>
          <w:szCs w:val="28"/>
        </w:rPr>
        <w:t>为排名第一的</w:t>
      </w:r>
      <w:r>
        <w:rPr>
          <w:rFonts w:hint="eastAsia" w:ascii="宋体" w:hAnsi="宋体" w:cs="Times New Roman"/>
          <w:sz w:val="28"/>
          <w:szCs w:val="28"/>
          <w:lang w:eastAsia="zh-CN"/>
        </w:rPr>
        <w:t>成交</w:t>
      </w:r>
      <w:r>
        <w:rPr>
          <w:rFonts w:hint="eastAsia" w:ascii="宋体" w:hAnsi="宋体" w:eastAsia="宋体" w:cs="Times New Roman"/>
          <w:sz w:val="28"/>
          <w:szCs w:val="28"/>
        </w:rPr>
        <w:t>候选人。</w:t>
      </w:r>
    </w:p>
    <w:p>
      <w:pPr>
        <w:spacing w:line="360" w:lineRule="auto"/>
        <w:ind w:firstLine="565" w:firstLineChars="202"/>
        <w:rPr>
          <w:rFonts w:ascii="宋体" w:hAnsi="宋体"/>
          <w:sz w:val="28"/>
          <w:szCs w:val="28"/>
          <w:highlight w:val="none"/>
        </w:rPr>
      </w:pPr>
    </w:p>
    <w:p>
      <w:pPr>
        <w:pStyle w:val="5"/>
        <w:numPr>
          <w:ilvl w:val="2"/>
          <w:numId w:val="6"/>
        </w:numPr>
        <w:spacing w:after="200"/>
        <w:ind w:left="1135" w:hanging="1135"/>
        <w:rPr>
          <w:color w:val="auto"/>
        </w:rPr>
      </w:pPr>
      <w:r>
        <w:rPr>
          <w:rFonts w:hint="eastAsia"/>
          <w:color w:val="auto"/>
        </w:rPr>
        <w:t>编写评审报告</w:t>
      </w:r>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1"/>
          <w:numId w:val="6"/>
        </w:numPr>
        <w:tabs>
          <w:tab w:val="left" w:pos="426"/>
          <w:tab w:val="left" w:pos="567"/>
        </w:tabs>
        <w:spacing w:before="0" w:after="200"/>
        <w:ind w:left="1985" w:hanging="1985"/>
      </w:pPr>
      <w:bookmarkStart w:id="100" w:name="_Toc494357018"/>
      <w:bookmarkEnd w:id="100"/>
      <w:bookmarkStart w:id="101" w:name="_Toc494095665"/>
      <w:bookmarkEnd w:id="101"/>
      <w:bookmarkStart w:id="102" w:name="_Toc15558"/>
      <w:r>
        <w:rPr>
          <w:rFonts w:hint="eastAsia"/>
        </w:rPr>
        <w:t>争议处理规则</w:t>
      </w:r>
      <w:bookmarkEnd w:id="102"/>
    </w:p>
    <w:p>
      <w:pPr>
        <w:tabs>
          <w:tab w:val="left" w:pos="1155"/>
        </w:tabs>
        <w:spacing w:line="360" w:lineRule="auto"/>
        <w:ind w:firstLine="565" w:firstLineChars="202"/>
      </w:pPr>
      <w:r>
        <w:rPr>
          <w:rFonts w:hint="eastAsia" w:ascii="宋体" w:hAnsi="宋体"/>
          <w:sz w:val="28"/>
          <w:szCs w:val="28"/>
        </w:rPr>
        <w:t>磋商小组在评审过程中，对于资格性审查、符合性审查、对供应商文件做无效响应文件处理及其他需要共同认定的事项存在争议的，应当以少数服从多数的原则做出结论，但不得违背法律法规和磋商文件规定。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w:t>
      </w:r>
      <w:r>
        <w:rPr>
          <w:rFonts w:hint="eastAsia" w:ascii="宋体" w:hAnsi="宋体"/>
          <w:sz w:val="28"/>
          <w:szCs w:val="28"/>
          <w:lang w:eastAsia="zh-CN"/>
        </w:rPr>
        <w:t>区交易中心</w:t>
      </w:r>
      <w:r>
        <w:rPr>
          <w:rFonts w:hint="eastAsia" w:ascii="宋体" w:hAnsi="宋体"/>
          <w:sz w:val="28"/>
          <w:szCs w:val="28"/>
        </w:rPr>
        <w:t>书面反映。</w:t>
      </w:r>
      <w:r>
        <w:rPr>
          <w:rFonts w:hint="eastAsia" w:ascii="宋体" w:hAnsi="宋体"/>
          <w:sz w:val="28"/>
          <w:szCs w:val="28"/>
          <w:lang w:eastAsia="zh-CN"/>
        </w:rPr>
        <w:t>区交易中心</w:t>
      </w:r>
      <w:r>
        <w:rPr>
          <w:rFonts w:hint="eastAsia" w:ascii="宋体" w:hAnsi="宋体"/>
          <w:sz w:val="28"/>
          <w:szCs w:val="28"/>
        </w:rPr>
        <w:t>收到书面反映后，应当书面报告采购项目同级财政部门依法处理。</w:t>
      </w:r>
    </w:p>
    <w:p>
      <w:pPr>
        <w:pStyle w:val="4"/>
        <w:numPr>
          <w:ilvl w:val="1"/>
          <w:numId w:val="6"/>
        </w:numPr>
        <w:tabs>
          <w:tab w:val="left" w:pos="426"/>
          <w:tab w:val="left" w:pos="567"/>
        </w:tabs>
        <w:spacing w:before="0" w:after="200"/>
        <w:ind w:left="1985" w:hanging="1985"/>
        <w:jc w:val="both"/>
      </w:pPr>
      <w:bookmarkStart w:id="103" w:name="_Toc18191"/>
      <w:r>
        <w:rPr>
          <w:rFonts w:hint="eastAsia"/>
        </w:rPr>
        <w:t>评审办法和标准</w:t>
      </w:r>
      <w:bookmarkEnd w:id="103"/>
    </w:p>
    <w:p>
      <w:pPr>
        <w:pStyle w:val="23"/>
        <w:snapToGrid w:val="0"/>
        <w:spacing w:line="360" w:lineRule="auto"/>
        <w:ind w:firstLine="560" w:firstLineChars="200"/>
        <w:rPr>
          <w:rFonts w:hAnsi="宋体"/>
          <w:sz w:val="28"/>
          <w:szCs w:val="28"/>
        </w:rPr>
      </w:pPr>
      <w:r>
        <w:rPr>
          <w:rFonts w:hint="eastAsia" w:hAnsi="宋体"/>
          <w:sz w:val="28"/>
          <w:szCs w:val="28"/>
        </w:rPr>
        <w:t>一、由磋商小组根据磋商文件的要求采用相同的评审程序、评分办法及标准对提交最后报价的供应商的响应文件和最后报价进行综合评分；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6"/>
        </w:numPr>
        <w:spacing w:after="200"/>
        <w:ind w:left="1135" w:hanging="1135"/>
        <w:rPr>
          <w:color w:val="auto"/>
        </w:rPr>
      </w:pPr>
      <w:r>
        <w:rPr>
          <w:rFonts w:hint="eastAsia"/>
          <w:color w:val="auto"/>
        </w:rPr>
        <w:t>评分办法</w:t>
      </w:r>
    </w:p>
    <w:p>
      <w:pPr>
        <w:pStyle w:val="23"/>
        <w:snapToGrid w:val="0"/>
        <w:spacing w:line="360" w:lineRule="auto"/>
        <w:ind w:firstLine="560" w:firstLineChars="200"/>
        <w:rPr>
          <w:rFonts w:hAnsi="宋体"/>
          <w:sz w:val="28"/>
          <w:szCs w:val="28"/>
        </w:rPr>
      </w:pPr>
      <w:r>
        <w:rPr>
          <w:rFonts w:hint="eastAsia" w:hAnsi="宋体"/>
          <w:sz w:val="28"/>
          <w:szCs w:val="28"/>
        </w:rPr>
        <w:t>本次评审采用综合评分法，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6"/>
        </w:numPr>
        <w:spacing w:after="200"/>
        <w:ind w:left="1135" w:hanging="1135"/>
        <w:rPr>
          <w:color w:val="auto"/>
        </w:rPr>
      </w:pPr>
      <w:r>
        <w:rPr>
          <w:rFonts w:hint="eastAsia"/>
          <w:color w:val="auto"/>
        </w:rPr>
        <w:t>评分标准</w:t>
      </w:r>
    </w:p>
    <w:tbl>
      <w:tblPr>
        <w:tblStyle w:val="42"/>
        <w:tblW w:w="10951" w:type="dxa"/>
        <w:jc w:val="center"/>
        <w:tblInd w:w="0" w:type="dxa"/>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108" w:type="dxa"/>
          <w:bottom w:w="0" w:type="dxa"/>
          <w:right w:w="108" w:type="dxa"/>
        </w:tblCellMar>
      </w:tblPr>
      <w:tblGrid>
        <w:gridCol w:w="728"/>
        <w:gridCol w:w="2156"/>
        <w:gridCol w:w="917"/>
        <w:gridCol w:w="4788"/>
        <w:gridCol w:w="2362"/>
      </w:tblGrid>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1075" w:hRule="atLeast"/>
          <w:jc w:val="center"/>
        </w:trPr>
        <w:tc>
          <w:tcPr>
            <w:tcW w:w="728" w:type="dxa"/>
            <w:tcBorders>
              <w:tl2br w:val="nil"/>
              <w:tr2bl w:val="nil"/>
            </w:tcBorders>
            <w:noWrap w:val="0"/>
            <w:vAlign w:val="center"/>
          </w:tcPr>
          <w:p>
            <w:pPr>
              <w:keepNext w:val="0"/>
              <w:keepLines w:val="0"/>
              <w:pageBreakBefore w:val="0"/>
              <w:suppressLineNumbers w:val="0"/>
              <w:kinsoku/>
              <w:wordWrap w:val="0"/>
              <w:overflowPunct/>
              <w:topLinePunct w:val="0"/>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仿宋" w:hAnsi="仿宋" w:eastAsia="仿宋" w:cs="仿宋"/>
                <w:b/>
                <w:color w:val="auto"/>
                <w:sz w:val="24"/>
                <w:szCs w:val="24"/>
                <w:highlight w:val="none"/>
              </w:rPr>
            </w:pPr>
            <w:bookmarkStart w:id="104" w:name="OLE_LINK13"/>
            <w:r>
              <w:rPr>
                <w:rFonts w:hint="eastAsia" w:ascii="仿宋" w:hAnsi="仿宋" w:eastAsia="仿宋" w:cs="仿宋"/>
                <w:b/>
                <w:color w:val="auto"/>
                <w:sz w:val="24"/>
                <w:szCs w:val="24"/>
                <w:highlight w:val="none"/>
                <w:lang w:bidi="ar"/>
              </w:rPr>
              <w:t>序号</w:t>
            </w:r>
            <w:bookmarkEnd w:id="104"/>
          </w:p>
        </w:tc>
        <w:tc>
          <w:tcPr>
            <w:tcW w:w="2156" w:type="dxa"/>
            <w:tcBorders>
              <w:tl2br w:val="nil"/>
              <w:tr2bl w:val="nil"/>
            </w:tcBorders>
            <w:noWrap w:val="0"/>
            <w:vAlign w:val="center"/>
          </w:tcPr>
          <w:p>
            <w:pPr>
              <w:keepNext w:val="0"/>
              <w:keepLines w:val="0"/>
              <w:pageBreakBefore w:val="0"/>
              <w:suppressLineNumbers w:val="0"/>
              <w:kinsoku/>
              <w:wordWrap w:val="0"/>
              <w:overflowPunct/>
              <w:topLinePunct w:val="0"/>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bidi="ar"/>
              </w:rPr>
              <w:t>评分因素</w:t>
            </w:r>
          </w:p>
          <w:p>
            <w:pPr>
              <w:keepNext w:val="0"/>
              <w:keepLines w:val="0"/>
              <w:pageBreakBefore w:val="0"/>
              <w:suppressLineNumbers w:val="0"/>
              <w:kinsoku/>
              <w:wordWrap w:val="0"/>
              <w:overflowPunct/>
              <w:topLinePunct w:val="0"/>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bidi="ar"/>
              </w:rPr>
              <w:t>及权重</w:t>
            </w:r>
          </w:p>
        </w:tc>
        <w:tc>
          <w:tcPr>
            <w:tcW w:w="917" w:type="dxa"/>
            <w:tcBorders>
              <w:tl2br w:val="nil"/>
              <w:tr2bl w:val="nil"/>
            </w:tcBorders>
            <w:noWrap w:val="0"/>
            <w:vAlign w:val="center"/>
          </w:tcPr>
          <w:p>
            <w:pPr>
              <w:keepNext w:val="0"/>
              <w:keepLines w:val="0"/>
              <w:pageBreakBefore w:val="0"/>
              <w:suppressLineNumbers w:val="0"/>
              <w:kinsoku/>
              <w:wordWrap w:val="0"/>
              <w:overflowPunct/>
              <w:topLinePunct w:val="0"/>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bidi="ar"/>
              </w:rPr>
              <w:t>分值</w:t>
            </w:r>
          </w:p>
        </w:tc>
        <w:tc>
          <w:tcPr>
            <w:tcW w:w="4788" w:type="dxa"/>
            <w:tcBorders>
              <w:tl2br w:val="nil"/>
              <w:tr2bl w:val="nil"/>
            </w:tcBorders>
            <w:noWrap w:val="0"/>
            <w:vAlign w:val="center"/>
          </w:tcPr>
          <w:p>
            <w:pPr>
              <w:keepNext w:val="0"/>
              <w:keepLines w:val="0"/>
              <w:pageBreakBefore w:val="0"/>
              <w:suppressLineNumbers w:val="0"/>
              <w:kinsoku/>
              <w:wordWrap w:val="0"/>
              <w:overflowPunct/>
              <w:topLinePunct w:val="0"/>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bidi="ar"/>
              </w:rPr>
              <w:t>评分标准</w:t>
            </w:r>
          </w:p>
        </w:tc>
        <w:tc>
          <w:tcPr>
            <w:tcW w:w="2362" w:type="dxa"/>
            <w:tcBorders>
              <w:tl2br w:val="nil"/>
              <w:tr2bl w:val="nil"/>
            </w:tcBorders>
            <w:noWrap w:val="0"/>
            <w:vAlign w:val="center"/>
          </w:tcPr>
          <w:p>
            <w:pPr>
              <w:keepNext w:val="0"/>
              <w:keepLines w:val="0"/>
              <w:pageBreakBefore w:val="0"/>
              <w:suppressLineNumbers w:val="0"/>
              <w:kinsoku/>
              <w:wordWrap w:val="0"/>
              <w:overflowPunct/>
              <w:topLinePunct w:val="0"/>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bidi="ar"/>
              </w:rPr>
              <w:t>备注</w:t>
            </w: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668" w:hRule="atLeast"/>
          <w:jc w:val="center"/>
        </w:trPr>
        <w:tc>
          <w:tcPr>
            <w:tcW w:w="728"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1</w:t>
            </w:r>
          </w:p>
        </w:tc>
        <w:tc>
          <w:tcPr>
            <w:tcW w:w="2156" w:type="dxa"/>
            <w:tcBorders>
              <w:tl2br w:val="nil"/>
              <w:tr2bl w:val="nil"/>
            </w:tcBorders>
            <w:noWrap w:val="0"/>
            <w:vAlign w:val="center"/>
          </w:tcPr>
          <w:p>
            <w:pPr>
              <w:spacing w:line="360" w:lineRule="auto"/>
              <w:rPr>
                <w:rFonts w:hint="eastAsia" w:ascii="宋体" w:hAnsi="宋体" w:eastAsia="宋体" w:cs="Times New Roman"/>
                <w:sz w:val="21"/>
                <w:szCs w:val="21"/>
              </w:rPr>
            </w:pPr>
            <w:r>
              <w:rPr>
                <w:rFonts w:hint="eastAsia" w:ascii="宋体" w:hAnsi="宋体" w:eastAsia="宋体" w:cs="Times New Roman"/>
                <w:sz w:val="21"/>
                <w:szCs w:val="21"/>
              </w:rPr>
              <w:t>报价</w:t>
            </w:r>
            <w:r>
              <w:rPr>
                <w:rFonts w:hint="eastAsia" w:ascii="宋体" w:hAnsi="宋体" w:eastAsia="宋体" w:cs="Times New Roman"/>
                <w:sz w:val="21"/>
                <w:szCs w:val="21"/>
                <w:lang w:val="en-US" w:eastAsia="zh-CN"/>
              </w:rPr>
              <w:t>30</w:t>
            </w:r>
            <w:r>
              <w:rPr>
                <w:rFonts w:hint="eastAsia" w:ascii="宋体" w:hAnsi="宋体" w:eastAsia="宋体" w:cs="Times New Roman"/>
                <w:sz w:val="21"/>
                <w:szCs w:val="21"/>
              </w:rPr>
              <w:t>%（共同评分因素）</w:t>
            </w:r>
          </w:p>
        </w:tc>
        <w:tc>
          <w:tcPr>
            <w:tcW w:w="917" w:type="dxa"/>
            <w:tcBorders>
              <w:tl2br w:val="nil"/>
              <w:tr2bl w:val="nil"/>
            </w:tcBorders>
            <w:noWrap w:val="0"/>
            <w:vAlign w:val="center"/>
          </w:tcPr>
          <w:p>
            <w:pPr>
              <w:spacing w:line="360" w:lineRule="auto"/>
              <w:rPr>
                <w:rFonts w:hint="eastAsia" w:ascii="宋体" w:hAnsi="宋体" w:eastAsia="宋体" w:cs="Times New Roman"/>
                <w:sz w:val="21"/>
                <w:szCs w:val="21"/>
              </w:rPr>
            </w:pPr>
            <w:r>
              <w:rPr>
                <w:rFonts w:hint="eastAsia" w:ascii="宋体" w:hAnsi="宋体" w:eastAsia="宋体" w:cs="Times New Roman"/>
                <w:sz w:val="21"/>
                <w:szCs w:val="21"/>
                <w:lang w:val="en-US" w:eastAsia="zh-CN"/>
              </w:rPr>
              <w:t>30</w:t>
            </w:r>
            <w:r>
              <w:rPr>
                <w:rFonts w:hint="eastAsia" w:ascii="宋体" w:hAnsi="宋体" w:eastAsia="宋体" w:cs="Times New Roman"/>
                <w:sz w:val="21"/>
                <w:szCs w:val="21"/>
              </w:rPr>
              <w:t>分</w:t>
            </w:r>
          </w:p>
        </w:tc>
        <w:tc>
          <w:tcPr>
            <w:tcW w:w="4788"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rPr>
              <w:t>以满足磋商文件要求且报价最低的磋商报价为评审基准价，其价格分为满分。其他供应商的价格分统一按照下列公式计算：磋商报价得分=(磋商基准价／最后磋商报价)×分值。</w:t>
            </w:r>
            <w:r>
              <w:rPr>
                <w:rFonts w:hint="eastAsia" w:ascii="宋体" w:hAnsi="宋体" w:eastAsia="宋体" w:cs="Times New Roman"/>
                <w:sz w:val="21"/>
                <w:szCs w:val="21"/>
                <w:lang w:val="en-US" w:eastAsia="zh-CN"/>
              </w:rPr>
              <w:t xml:space="preserve"> </w:t>
            </w:r>
          </w:p>
        </w:tc>
        <w:tc>
          <w:tcPr>
            <w:tcW w:w="2362"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rPr>
            </w:pP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102" w:hRule="atLeast"/>
          <w:jc w:val="center"/>
        </w:trPr>
        <w:tc>
          <w:tcPr>
            <w:tcW w:w="728"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2</w:t>
            </w:r>
          </w:p>
        </w:tc>
        <w:tc>
          <w:tcPr>
            <w:tcW w:w="2156" w:type="dxa"/>
            <w:tcBorders>
              <w:tl2br w:val="nil"/>
              <w:tr2bl w:val="nil"/>
            </w:tcBorders>
            <w:noWrap w:val="0"/>
            <w:vAlign w:val="center"/>
          </w:tcPr>
          <w:p>
            <w:pPr>
              <w:spacing w:line="360" w:lineRule="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技术参数38</w:t>
            </w:r>
            <w:r>
              <w:rPr>
                <w:rFonts w:hint="eastAsia" w:ascii="宋体" w:hAnsi="宋体" w:eastAsia="宋体" w:cs="Times New Roman"/>
                <w:sz w:val="21"/>
                <w:szCs w:val="21"/>
              </w:rPr>
              <w:t>%（技术类评分因素）</w:t>
            </w:r>
            <w:r>
              <w:rPr>
                <w:rFonts w:hint="eastAsia" w:ascii="宋体" w:hAnsi="宋体" w:eastAsia="宋体" w:cs="Times New Roman"/>
                <w:sz w:val="21"/>
                <w:szCs w:val="21"/>
                <w:lang w:val="en-US" w:eastAsia="zh-CN"/>
              </w:rPr>
              <w:t xml:space="preserve"> </w:t>
            </w:r>
          </w:p>
        </w:tc>
        <w:tc>
          <w:tcPr>
            <w:tcW w:w="917" w:type="dxa"/>
            <w:tcBorders>
              <w:tl2br w:val="nil"/>
              <w:tr2bl w:val="nil"/>
            </w:tcBorders>
            <w:noWrap w:val="0"/>
            <w:vAlign w:val="center"/>
          </w:tcPr>
          <w:p>
            <w:pPr>
              <w:spacing w:line="360" w:lineRule="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38分</w:t>
            </w:r>
          </w:p>
        </w:tc>
        <w:tc>
          <w:tcPr>
            <w:tcW w:w="4788"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lang w:val="en-US" w:eastAsia="zh-CN"/>
              </w:rPr>
              <w:t>所投产品参数全部满足磋商文件要求的得38分</w:t>
            </w:r>
            <w:r>
              <w:rPr>
                <w:rFonts w:hint="eastAsia" w:ascii="宋体" w:hAnsi="宋体" w:eastAsia="宋体" w:cs="Times New Roman"/>
                <w:sz w:val="21"/>
                <w:szCs w:val="21"/>
              </w:rPr>
              <w:t>：（</w:t>
            </w:r>
            <w:r>
              <w:rPr>
                <w:rFonts w:hint="eastAsia" w:ascii="宋体" w:hAnsi="宋体" w:eastAsia="宋体" w:cs="Times New Roman"/>
                <w:sz w:val="21"/>
                <w:szCs w:val="21"/>
                <w:lang w:val="en-US" w:eastAsia="zh-CN"/>
              </w:rPr>
              <w:t>其中</w:t>
            </w:r>
            <w:r>
              <w:rPr>
                <w:rFonts w:hint="eastAsia" w:ascii="宋体" w:hAnsi="宋体" w:eastAsia="宋体" w:cs="Times New Roman"/>
                <w:sz w:val="21"/>
                <w:szCs w:val="21"/>
              </w:rPr>
              <w:t>“▲”的条款，共计</w:t>
            </w:r>
            <w:r>
              <w:rPr>
                <w:rFonts w:hint="eastAsia" w:ascii="宋体" w:hAnsi="宋体" w:eastAsia="宋体" w:cs="Times New Roman"/>
                <w:sz w:val="21"/>
                <w:szCs w:val="21"/>
                <w:lang w:val="en-US" w:eastAsia="zh-CN"/>
              </w:rPr>
              <w:t>30</w:t>
            </w:r>
            <w:r>
              <w:rPr>
                <w:rFonts w:hint="eastAsia" w:ascii="宋体" w:hAnsi="宋体" w:eastAsia="宋体" w:cs="Times New Roman"/>
                <w:sz w:val="21"/>
                <w:szCs w:val="21"/>
              </w:rPr>
              <w:t>条，满足一项“▲”技术条款得</w:t>
            </w:r>
            <w:r>
              <w:rPr>
                <w:rFonts w:hint="eastAsia" w:ascii="宋体" w:hAnsi="宋体" w:eastAsia="宋体" w:cs="Times New Roman"/>
                <w:sz w:val="21"/>
                <w:szCs w:val="21"/>
                <w:lang w:val="en-US" w:eastAsia="zh-CN"/>
              </w:rPr>
              <w:t>1</w:t>
            </w:r>
            <w:r>
              <w:rPr>
                <w:rFonts w:hint="eastAsia" w:ascii="宋体" w:hAnsi="宋体" w:eastAsia="宋体" w:cs="Times New Roman"/>
                <w:sz w:val="21"/>
                <w:szCs w:val="21"/>
              </w:rPr>
              <w:t>分，最高得</w:t>
            </w:r>
            <w:r>
              <w:rPr>
                <w:rFonts w:hint="eastAsia" w:ascii="宋体" w:hAnsi="宋体" w:eastAsia="宋体" w:cs="Times New Roman"/>
                <w:sz w:val="21"/>
                <w:szCs w:val="21"/>
                <w:lang w:val="en-US" w:eastAsia="zh-CN"/>
              </w:rPr>
              <w:t>30</w:t>
            </w:r>
            <w:r>
              <w:rPr>
                <w:rFonts w:hint="eastAsia" w:ascii="宋体" w:hAnsi="宋体" w:eastAsia="宋体" w:cs="Times New Roman"/>
                <w:sz w:val="21"/>
                <w:szCs w:val="21"/>
              </w:rPr>
              <w:t>分）</w:t>
            </w:r>
            <w:r>
              <w:rPr>
                <w:rFonts w:hint="eastAsia" w:ascii="宋体" w:hAnsi="宋体" w:eastAsia="宋体" w:cs="Times New Roman"/>
                <w:sz w:val="21"/>
                <w:szCs w:val="21"/>
                <w:lang w:eastAsia="zh-CN"/>
              </w:rPr>
              <w:t>（</w:t>
            </w:r>
            <w:r>
              <w:rPr>
                <w:rFonts w:hint="eastAsia" w:ascii="宋体" w:hAnsi="宋体" w:eastAsia="宋体" w:cs="Times New Roman"/>
                <w:sz w:val="21"/>
                <w:szCs w:val="21"/>
                <w:lang w:val="en-US" w:eastAsia="zh-CN"/>
              </w:rPr>
              <w:t>非</w:t>
            </w:r>
            <w:r>
              <w:rPr>
                <w:rFonts w:hint="eastAsia" w:ascii="宋体" w:hAnsi="宋体" w:eastAsia="宋体" w:cs="Times New Roman"/>
                <w:sz w:val="21"/>
                <w:szCs w:val="21"/>
              </w:rPr>
              <w:t>“▲”的条款，共计</w:t>
            </w:r>
            <w:r>
              <w:rPr>
                <w:rFonts w:hint="eastAsia" w:ascii="宋体" w:hAnsi="宋体" w:eastAsia="宋体" w:cs="Times New Roman"/>
                <w:sz w:val="21"/>
                <w:szCs w:val="21"/>
                <w:lang w:val="en-US" w:eastAsia="zh-CN"/>
              </w:rPr>
              <w:t>80</w:t>
            </w:r>
            <w:r>
              <w:rPr>
                <w:rFonts w:hint="eastAsia" w:ascii="宋体" w:hAnsi="宋体" w:eastAsia="宋体" w:cs="Times New Roman"/>
                <w:sz w:val="21"/>
                <w:szCs w:val="21"/>
              </w:rPr>
              <w:t>条，满足一项技术条款得</w:t>
            </w:r>
            <w:r>
              <w:rPr>
                <w:rFonts w:hint="eastAsia" w:ascii="宋体" w:hAnsi="宋体" w:eastAsia="宋体" w:cs="Times New Roman"/>
                <w:sz w:val="21"/>
                <w:szCs w:val="21"/>
                <w:lang w:val="en-US" w:eastAsia="zh-CN"/>
              </w:rPr>
              <w:t>0.1</w:t>
            </w:r>
            <w:r>
              <w:rPr>
                <w:rFonts w:hint="eastAsia" w:ascii="宋体" w:hAnsi="宋体" w:eastAsia="宋体" w:cs="Times New Roman"/>
                <w:sz w:val="21"/>
                <w:szCs w:val="21"/>
              </w:rPr>
              <w:t>分，最高得</w:t>
            </w:r>
            <w:r>
              <w:rPr>
                <w:rFonts w:hint="eastAsia" w:ascii="宋体" w:hAnsi="宋体" w:eastAsia="宋体" w:cs="Times New Roman"/>
                <w:sz w:val="21"/>
                <w:szCs w:val="21"/>
                <w:lang w:val="en-US" w:eastAsia="zh-CN"/>
              </w:rPr>
              <w:t>8</w:t>
            </w:r>
            <w:r>
              <w:rPr>
                <w:rFonts w:hint="eastAsia" w:ascii="宋体" w:hAnsi="宋体" w:eastAsia="宋体" w:cs="Times New Roman"/>
                <w:sz w:val="21"/>
                <w:szCs w:val="21"/>
              </w:rPr>
              <w:t>分</w:t>
            </w:r>
            <w:r>
              <w:rPr>
                <w:rFonts w:hint="eastAsia" w:ascii="宋体" w:hAnsi="宋体" w:eastAsia="宋体" w:cs="Times New Roman"/>
                <w:sz w:val="21"/>
                <w:szCs w:val="21"/>
                <w:lang w:eastAsia="zh-CN"/>
              </w:rPr>
              <w:t>）</w:t>
            </w:r>
            <w:r>
              <w:rPr>
                <w:rFonts w:hint="eastAsia" w:ascii="宋体" w:hAnsi="宋体" w:eastAsia="宋体" w:cs="Times New Roman"/>
                <w:sz w:val="21"/>
                <w:szCs w:val="21"/>
              </w:rPr>
              <w:t>。</w:t>
            </w:r>
          </w:p>
        </w:tc>
        <w:tc>
          <w:tcPr>
            <w:tcW w:w="2362" w:type="dxa"/>
            <w:tcBorders>
              <w:tl2br w:val="nil"/>
              <w:tr2bl w:val="nil"/>
            </w:tcBorders>
            <w:noWrap w:val="0"/>
            <w:vAlign w:val="center"/>
          </w:tcPr>
          <w:p>
            <w:pPr>
              <w:keepNext w:val="0"/>
              <w:keepLines w:val="0"/>
              <w:suppressLineNumbers w:val="0"/>
              <w:spacing w:before="0" w:beforeAutospacing="0" w:after="0" w:afterAutospacing="0"/>
              <w:ind w:left="0" w:right="0"/>
              <w:rPr>
                <w:rFonts w:hint="eastAsia" w:ascii="宋体" w:hAnsi="宋体" w:eastAsia="宋体" w:cs="Times New Roman"/>
                <w:sz w:val="21"/>
                <w:szCs w:val="21"/>
              </w:rPr>
            </w:pPr>
            <w:r>
              <w:rPr>
                <w:rFonts w:hint="eastAsia" w:ascii="仿宋" w:hAnsi="仿宋" w:eastAsia="仿宋" w:cs="仿宋"/>
                <w:color w:val="auto"/>
                <w:sz w:val="24"/>
                <w:szCs w:val="24"/>
                <w:highlight w:val="none"/>
              </w:rPr>
              <w:t>“▲”技术条款</w:t>
            </w:r>
            <w:r>
              <w:rPr>
                <w:rFonts w:hint="eastAsia" w:ascii="仿宋" w:hAnsi="仿宋" w:eastAsia="仿宋" w:cs="仿宋"/>
                <w:b w:val="0"/>
                <w:bCs w:val="0"/>
                <w:color w:val="auto"/>
                <w:sz w:val="24"/>
                <w:szCs w:val="24"/>
                <w:highlight w:val="none"/>
                <w:lang w:val="en-US" w:eastAsia="zh-CN"/>
              </w:rPr>
              <w:t>响应</w:t>
            </w:r>
            <w:r>
              <w:rPr>
                <w:rFonts w:hint="eastAsia" w:ascii="仿宋" w:hAnsi="仿宋" w:eastAsia="仿宋" w:cs="仿宋"/>
                <w:color w:val="auto"/>
                <w:kern w:val="0"/>
                <w:sz w:val="24"/>
                <w:szCs w:val="24"/>
                <w:highlight w:val="none"/>
                <w:lang w:eastAsia="zh-CN"/>
              </w:rPr>
              <w:t>需提供带CMA标识的检测报告复印件加盖供应商公章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lang w:val="en-US" w:eastAsia="zh-CN"/>
              </w:rPr>
              <w:t>非</w:t>
            </w:r>
            <w:r>
              <w:rPr>
                <w:rFonts w:hint="eastAsia" w:ascii="仿宋" w:hAnsi="仿宋" w:eastAsia="仿宋" w:cs="仿宋"/>
                <w:color w:val="auto"/>
                <w:kern w:val="0"/>
                <w:sz w:val="24"/>
                <w:szCs w:val="24"/>
                <w:highlight w:val="none"/>
                <w:lang w:eastAsia="zh-CN"/>
              </w:rPr>
              <w:t>“▲”的条款响应按磋商“技术要求”中技术参数条款对技术支撑材料有要求的，应按要求提供，否则对应技术参数条款将视为不满足</w:t>
            </w: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728"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3</w:t>
            </w:r>
          </w:p>
        </w:tc>
        <w:tc>
          <w:tcPr>
            <w:tcW w:w="2156" w:type="dxa"/>
            <w:tcBorders>
              <w:tl2br w:val="nil"/>
              <w:tr2bl w:val="nil"/>
            </w:tcBorders>
            <w:noWrap w:val="0"/>
            <w:vAlign w:val="center"/>
          </w:tcPr>
          <w:p>
            <w:pPr>
              <w:spacing w:line="360" w:lineRule="auto"/>
              <w:rPr>
                <w:rFonts w:hint="eastAsia" w:ascii="宋体" w:hAnsi="宋体" w:eastAsia="宋体" w:cs="Times New Roman"/>
                <w:sz w:val="21"/>
                <w:szCs w:val="21"/>
              </w:rPr>
            </w:pPr>
            <w:r>
              <w:rPr>
                <w:rFonts w:hint="eastAsia" w:ascii="宋体" w:hAnsi="宋体" w:eastAsia="宋体" w:cs="Times New Roman"/>
                <w:sz w:val="21"/>
                <w:szCs w:val="21"/>
                <w:lang w:val="en-US" w:eastAsia="zh-CN"/>
              </w:rPr>
              <w:t>产品实力12%</w:t>
            </w:r>
            <w:r>
              <w:rPr>
                <w:rFonts w:hint="eastAsia" w:ascii="宋体" w:hAnsi="宋体" w:eastAsia="宋体" w:cs="Times New Roman"/>
                <w:sz w:val="21"/>
                <w:szCs w:val="21"/>
              </w:rPr>
              <w:t>（技术类评分因素）</w:t>
            </w:r>
          </w:p>
        </w:tc>
        <w:tc>
          <w:tcPr>
            <w:tcW w:w="917"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lang w:val="en-US" w:eastAsia="zh-CN"/>
              </w:rPr>
              <w:t>12</w:t>
            </w:r>
            <w:r>
              <w:rPr>
                <w:rFonts w:hint="eastAsia" w:ascii="宋体" w:hAnsi="宋体" w:eastAsia="宋体" w:cs="Times New Roman"/>
                <w:sz w:val="21"/>
                <w:szCs w:val="21"/>
              </w:rPr>
              <w:t>分</w:t>
            </w:r>
          </w:p>
        </w:tc>
        <w:tc>
          <w:tcPr>
            <w:tcW w:w="4788"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cs="Times New Roman"/>
                <w:sz w:val="21"/>
                <w:szCs w:val="21"/>
                <w:lang w:val="en-US" w:eastAsia="zh-CN"/>
              </w:rPr>
              <w:t>1.</w:t>
            </w:r>
            <w:r>
              <w:rPr>
                <w:rFonts w:hint="eastAsia" w:ascii="宋体" w:hAnsi="宋体" w:eastAsia="宋体" w:cs="Times New Roman"/>
                <w:sz w:val="21"/>
                <w:szCs w:val="21"/>
                <w:lang w:val="en-US" w:eastAsia="zh-CN"/>
              </w:rPr>
              <w:t>任一</w:t>
            </w:r>
            <w:r>
              <w:rPr>
                <w:rFonts w:hint="eastAsia" w:ascii="宋体" w:hAnsi="宋体" w:eastAsia="宋体" w:cs="Times New Roman"/>
                <w:sz w:val="21"/>
                <w:szCs w:val="21"/>
                <w:lang w:eastAsia="zh-CN"/>
              </w:rPr>
              <w:t>液晶拼接单元</w:t>
            </w:r>
            <w:r>
              <w:rPr>
                <w:rFonts w:hint="eastAsia" w:ascii="宋体" w:hAnsi="宋体" w:eastAsia="宋体" w:cs="Times New Roman"/>
                <w:sz w:val="21"/>
                <w:szCs w:val="21"/>
              </w:rPr>
              <w:t>制造商</w:t>
            </w:r>
            <w:r>
              <w:rPr>
                <w:rFonts w:hint="eastAsia" w:ascii="宋体" w:hAnsi="宋体" w:eastAsia="宋体" w:cs="Times New Roman"/>
                <w:sz w:val="21"/>
                <w:szCs w:val="21"/>
                <w:lang w:val="en-US" w:eastAsia="zh-CN"/>
              </w:rPr>
              <w:t>具有</w:t>
            </w:r>
            <w:r>
              <w:rPr>
                <w:rFonts w:hint="eastAsia" w:ascii="宋体" w:hAnsi="宋体" w:eastAsia="宋体" w:cs="Times New Roman"/>
                <w:sz w:val="21"/>
                <w:szCs w:val="21"/>
              </w:rPr>
              <w:t>质量管理体系认证</w:t>
            </w:r>
            <w:r>
              <w:rPr>
                <w:rFonts w:hint="eastAsia" w:ascii="宋体" w:hAnsi="宋体" w:eastAsia="宋体" w:cs="Times New Roman"/>
                <w:sz w:val="21"/>
                <w:szCs w:val="21"/>
                <w:lang w:val="en-US" w:eastAsia="zh-CN"/>
              </w:rPr>
              <w:t>证书得2分；</w:t>
            </w:r>
          </w:p>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cs="Times New Roman"/>
                <w:sz w:val="21"/>
                <w:szCs w:val="21"/>
                <w:lang w:val="en-US" w:eastAsia="zh-CN"/>
              </w:rPr>
              <w:t>2.</w:t>
            </w:r>
            <w:r>
              <w:rPr>
                <w:rFonts w:hint="eastAsia" w:ascii="宋体" w:hAnsi="宋体" w:eastAsia="宋体" w:cs="Times New Roman"/>
                <w:sz w:val="21"/>
                <w:szCs w:val="21"/>
                <w:lang w:val="en-US" w:eastAsia="zh-CN"/>
              </w:rPr>
              <w:t>任一</w:t>
            </w:r>
            <w:r>
              <w:rPr>
                <w:rFonts w:hint="eastAsia" w:ascii="宋体" w:hAnsi="宋体" w:eastAsia="宋体" w:cs="Times New Roman"/>
                <w:sz w:val="21"/>
                <w:szCs w:val="21"/>
                <w:lang w:eastAsia="zh-CN"/>
              </w:rPr>
              <w:t>液晶拼接单元</w:t>
            </w:r>
            <w:r>
              <w:rPr>
                <w:rFonts w:hint="eastAsia" w:ascii="宋体" w:hAnsi="宋体" w:eastAsia="宋体" w:cs="Times New Roman"/>
                <w:sz w:val="21"/>
                <w:szCs w:val="21"/>
              </w:rPr>
              <w:t>制造商</w:t>
            </w:r>
            <w:r>
              <w:rPr>
                <w:rFonts w:hint="eastAsia" w:ascii="宋体" w:hAnsi="宋体" w:eastAsia="宋体" w:cs="Times New Roman"/>
                <w:sz w:val="21"/>
                <w:szCs w:val="21"/>
                <w:lang w:val="en-US" w:eastAsia="zh-CN"/>
              </w:rPr>
              <w:t>具有</w:t>
            </w:r>
            <w:r>
              <w:rPr>
                <w:rFonts w:hint="eastAsia" w:ascii="宋体" w:hAnsi="宋体" w:eastAsia="宋体" w:cs="Times New Roman"/>
                <w:sz w:val="21"/>
                <w:szCs w:val="21"/>
              </w:rPr>
              <w:t>环境管理体系认证证书</w:t>
            </w:r>
            <w:r>
              <w:rPr>
                <w:rFonts w:hint="eastAsia" w:ascii="宋体" w:hAnsi="宋体" w:eastAsia="宋体" w:cs="Times New Roman"/>
                <w:sz w:val="21"/>
                <w:szCs w:val="21"/>
                <w:lang w:val="en-US" w:eastAsia="zh-CN"/>
              </w:rPr>
              <w:t>得2分；</w:t>
            </w:r>
          </w:p>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cs="Times New Roman"/>
                <w:sz w:val="21"/>
                <w:szCs w:val="21"/>
                <w:lang w:val="en-US" w:eastAsia="zh-CN"/>
              </w:rPr>
              <w:t>3.</w:t>
            </w:r>
            <w:r>
              <w:rPr>
                <w:rFonts w:hint="eastAsia" w:ascii="宋体" w:hAnsi="宋体" w:eastAsia="宋体" w:cs="Times New Roman"/>
                <w:sz w:val="21"/>
                <w:szCs w:val="21"/>
                <w:lang w:val="en-US" w:eastAsia="zh-CN"/>
              </w:rPr>
              <w:t>任一</w:t>
            </w:r>
            <w:r>
              <w:rPr>
                <w:rFonts w:hint="eastAsia" w:ascii="宋体" w:hAnsi="宋体" w:eastAsia="宋体" w:cs="Times New Roman"/>
                <w:sz w:val="21"/>
                <w:szCs w:val="21"/>
                <w:lang w:eastAsia="zh-CN"/>
              </w:rPr>
              <w:t>液晶拼接单元</w:t>
            </w:r>
            <w:r>
              <w:rPr>
                <w:rFonts w:hint="eastAsia" w:ascii="宋体" w:hAnsi="宋体" w:eastAsia="宋体" w:cs="Times New Roman"/>
                <w:sz w:val="21"/>
                <w:szCs w:val="21"/>
              </w:rPr>
              <w:t>制造商</w:t>
            </w:r>
            <w:r>
              <w:rPr>
                <w:rFonts w:hint="eastAsia" w:ascii="宋体" w:hAnsi="宋体" w:eastAsia="宋体" w:cs="Times New Roman"/>
                <w:sz w:val="21"/>
                <w:szCs w:val="21"/>
                <w:lang w:val="en-US" w:eastAsia="zh-CN"/>
              </w:rPr>
              <w:t>具有</w:t>
            </w:r>
            <w:r>
              <w:rPr>
                <w:rFonts w:hint="eastAsia" w:ascii="宋体" w:hAnsi="宋体" w:eastAsia="宋体" w:cs="Times New Roman"/>
                <w:sz w:val="21"/>
                <w:szCs w:val="21"/>
              </w:rPr>
              <w:t>职业健康体系认证证书</w:t>
            </w:r>
            <w:r>
              <w:rPr>
                <w:rFonts w:hint="eastAsia" w:ascii="宋体" w:hAnsi="宋体" w:eastAsia="宋体" w:cs="Times New Roman"/>
                <w:sz w:val="21"/>
                <w:szCs w:val="21"/>
                <w:lang w:val="en-US" w:eastAsia="zh-CN"/>
              </w:rPr>
              <w:t>得2分；</w:t>
            </w:r>
          </w:p>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cs="Times New Roman"/>
                <w:sz w:val="21"/>
                <w:szCs w:val="21"/>
                <w:lang w:val="en-US" w:eastAsia="zh-CN"/>
              </w:rPr>
              <w:t>4.</w:t>
            </w:r>
            <w:r>
              <w:rPr>
                <w:rFonts w:hint="eastAsia" w:ascii="宋体" w:hAnsi="宋体" w:eastAsia="宋体" w:cs="Times New Roman"/>
                <w:sz w:val="21"/>
                <w:szCs w:val="21"/>
                <w:lang w:val="en-US" w:eastAsia="zh-CN"/>
              </w:rPr>
              <w:t>任一</w:t>
            </w:r>
            <w:r>
              <w:rPr>
                <w:rFonts w:hint="eastAsia" w:ascii="宋体" w:hAnsi="宋体" w:eastAsia="宋体" w:cs="Times New Roman"/>
                <w:sz w:val="21"/>
                <w:szCs w:val="21"/>
                <w:lang w:eastAsia="zh-CN"/>
              </w:rPr>
              <w:t>液晶拼接单元</w:t>
            </w:r>
            <w:r>
              <w:rPr>
                <w:rFonts w:hint="eastAsia" w:ascii="宋体" w:hAnsi="宋体" w:eastAsia="宋体" w:cs="Times New Roman"/>
                <w:sz w:val="21"/>
                <w:szCs w:val="21"/>
              </w:rPr>
              <w:t>制造商</w:t>
            </w:r>
            <w:r>
              <w:rPr>
                <w:rFonts w:hint="eastAsia" w:ascii="宋体" w:hAnsi="宋体" w:eastAsia="宋体" w:cs="Times New Roman"/>
                <w:sz w:val="21"/>
                <w:szCs w:val="21"/>
                <w:lang w:val="en-US" w:eastAsia="zh-CN"/>
              </w:rPr>
              <w:t>具有</w:t>
            </w:r>
            <w:r>
              <w:rPr>
                <w:rFonts w:hint="eastAsia" w:ascii="宋体" w:hAnsi="宋体" w:eastAsia="宋体" w:cs="Times New Roman"/>
                <w:sz w:val="21"/>
                <w:szCs w:val="21"/>
              </w:rPr>
              <w:t>信息安全管理体系认证证书</w:t>
            </w:r>
            <w:r>
              <w:rPr>
                <w:rFonts w:hint="eastAsia" w:ascii="宋体" w:hAnsi="宋体" w:eastAsia="宋体" w:cs="Times New Roman"/>
                <w:sz w:val="21"/>
                <w:szCs w:val="21"/>
                <w:lang w:val="en-US" w:eastAsia="zh-CN"/>
              </w:rPr>
              <w:t>得2分；</w:t>
            </w:r>
          </w:p>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cs="Times New Roman"/>
                <w:sz w:val="21"/>
                <w:szCs w:val="21"/>
                <w:lang w:val="en-US" w:eastAsia="zh-CN"/>
              </w:rPr>
              <w:t>5.</w:t>
            </w:r>
            <w:r>
              <w:rPr>
                <w:rFonts w:hint="eastAsia" w:ascii="宋体" w:hAnsi="宋体" w:eastAsia="宋体" w:cs="Times New Roman"/>
                <w:sz w:val="21"/>
                <w:szCs w:val="21"/>
                <w:lang w:val="en-US" w:eastAsia="zh-CN"/>
              </w:rPr>
              <w:t>任一</w:t>
            </w:r>
            <w:r>
              <w:rPr>
                <w:rFonts w:hint="eastAsia" w:ascii="宋体" w:hAnsi="宋体" w:eastAsia="宋体" w:cs="Times New Roman"/>
                <w:sz w:val="21"/>
                <w:szCs w:val="21"/>
                <w:lang w:eastAsia="zh-CN"/>
              </w:rPr>
              <w:t>液晶拼接单元</w:t>
            </w:r>
            <w:r>
              <w:rPr>
                <w:rFonts w:hint="eastAsia" w:ascii="宋体" w:hAnsi="宋体" w:eastAsia="宋体" w:cs="Times New Roman"/>
                <w:sz w:val="21"/>
                <w:szCs w:val="21"/>
              </w:rPr>
              <w:t>制造商</w:t>
            </w:r>
            <w:r>
              <w:rPr>
                <w:rFonts w:hint="eastAsia" w:ascii="宋体" w:hAnsi="宋体" w:eastAsia="宋体" w:cs="Times New Roman"/>
                <w:sz w:val="21"/>
                <w:szCs w:val="21"/>
                <w:lang w:val="en-US" w:eastAsia="zh-CN"/>
              </w:rPr>
              <w:t>具有</w:t>
            </w:r>
            <w:r>
              <w:rPr>
                <w:rFonts w:hint="eastAsia" w:ascii="宋体" w:hAnsi="宋体" w:eastAsia="宋体" w:cs="Times New Roman"/>
                <w:sz w:val="21"/>
                <w:szCs w:val="21"/>
              </w:rPr>
              <w:t>电气与电子元件和产品有害物质过程控制管理体系认证</w:t>
            </w:r>
            <w:r>
              <w:rPr>
                <w:rFonts w:hint="eastAsia" w:ascii="宋体" w:hAnsi="宋体" w:eastAsia="宋体" w:cs="Times New Roman"/>
                <w:sz w:val="21"/>
                <w:szCs w:val="21"/>
                <w:lang w:val="en-US" w:eastAsia="zh-CN"/>
              </w:rPr>
              <w:t>证书得2分；</w:t>
            </w:r>
          </w:p>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cs="Times New Roman"/>
                <w:sz w:val="21"/>
                <w:szCs w:val="21"/>
                <w:lang w:val="en-US" w:eastAsia="zh-CN"/>
              </w:rPr>
              <w:t>6.</w:t>
            </w:r>
            <w:r>
              <w:rPr>
                <w:rFonts w:hint="eastAsia" w:ascii="宋体" w:hAnsi="宋体" w:eastAsia="宋体" w:cs="Times New Roman"/>
                <w:sz w:val="21"/>
                <w:szCs w:val="21"/>
                <w:lang w:val="en-US" w:eastAsia="zh-CN"/>
              </w:rPr>
              <w:t xml:space="preserve">P3户内表贴全彩LED屏制造商具有计算机软件著作权登记证书得2分。  </w:t>
            </w:r>
          </w:p>
        </w:tc>
        <w:tc>
          <w:tcPr>
            <w:tcW w:w="2362"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第1项至第5项提供有效的证书复印件和国家认证认可监督管理委员会官网截图加盖供应商公章；第6项提供有效的证书复印件加盖供应商公章。</w:t>
            </w: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728"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w:t>
            </w:r>
          </w:p>
        </w:tc>
        <w:tc>
          <w:tcPr>
            <w:tcW w:w="2156" w:type="dxa"/>
            <w:tcBorders>
              <w:tl2br w:val="nil"/>
              <w:tr2bl w:val="nil"/>
            </w:tcBorders>
            <w:noWrap w:val="0"/>
            <w:vAlign w:val="center"/>
          </w:tcPr>
          <w:p>
            <w:pPr>
              <w:spacing w:line="360" w:lineRule="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履约能力6%</w:t>
            </w:r>
          </w:p>
          <w:p>
            <w:pPr>
              <w:spacing w:line="360" w:lineRule="auto"/>
              <w:rPr>
                <w:rFonts w:hint="eastAsia" w:ascii="宋体" w:hAnsi="宋体" w:eastAsia="宋体" w:cs="Times New Roman"/>
                <w:sz w:val="21"/>
                <w:szCs w:val="21"/>
                <w:lang w:val="en-US" w:eastAsia="zh-CN"/>
              </w:rPr>
            </w:pPr>
            <w:r>
              <w:rPr>
                <w:rFonts w:hint="eastAsia" w:ascii="宋体" w:hAnsi="宋体" w:eastAsia="宋体" w:cs="Times New Roman"/>
                <w:sz w:val="21"/>
                <w:szCs w:val="21"/>
              </w:rPr>
              <w:t>（共同评分因素）</w:t>
            </w:r>
            <w:r>
              <w:rPr>
                <w:rFonts w:hint="eastAsia" w:ascii="宋体" w:hAnsi="宋体" w:eastAsia="宋体" w:cs="Times New Roman"/>
                <w:sz w:val="21"/>
                <w:szCs w:val="21"/>
                <w:lang w:val="en-US" w:eastAsia="zh-CN"/>
              </w:rPr>
              <w:t xml:space="preserve"> </w:t>
            </w:r>
          </w:p>
        </w:tc>
        <w:tc>
          <w:tcPr>
            <w:tcW w:w="917" w:type="dxa"/>
            <w:tcBorders>
              <w:tl2br w:val="nil"/>
              <w:tr2bl w:val="nil"/>
            </w:tcBorders>
            <w:noWrap w:val="0"/>
            <w:vAlign w:val="center"/>
          </w:tcPr>
          <w:p>
            <w:pPr>
              <w:spacing w:line="360" w:lineRule="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6分</w:t>
            </w:r>
          </w:p>
        </w:tc>
        <w:tc>
          <w:tcPr>
            <w:tcW w:w="4788"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供应商2018年1月1日至今具有类似业绩，有一个得2分，最多得6分。</w:t>
            </w:r>
          </w:p>
        </w:tc>
        <w:tc>
          <w:tcPr>
            <w:tcW w:w="2362"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提供中标（成交）通知书或合同复印件加盖供应商公章</w:t>
            </w: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728"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w:t>
            </w:r>
          </w:p>
        </w:tc>
        <w:tc>
          <w:tcPr>
            <w:tcW w:w="2156" w:type="dxa"/>
            <w:tcBorders>
              <w:tl2br w:val="nil"/>
              <w:tr2bl w:val="nil"/>
            </w:tcBorders>
            <w:noWrap w:val="0"/>
            <w:vAlign w:val="center"/>
          </w:tcPr>
          <w:p>
            <w:pPr>
              <w:spacing w:line="360" w:lineRule="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安装及售后服务13%</w:t>
            </w:r>
          </w:p>
          <w:p>
            <w:pPr>
              <w:spacing w:line="360" w:lineRule="auto"/>
              <w:rPr>
                <w:rFonts w:hint="eastAsia" w:ascii="宋体" w:hAnsi="宋体" w:eastAsia="宋体" w:cs="Times New Roman"/>
                <w:sz w:val="21"/>
                <w:szCs w:val="21"/>
                <w:lang w:val="en-US" w:eastAsia="zh-CN"/>
              </w:rPr>
            </w:pPr>
            <w:r>
              <w:rPr>
                <w:rFonts w:hint="eastAsia" w:ascii="宋体" w:hAnsi="宋体" w:eastAsia="宋体" w:cs="Times New Roman"/>
                <w:sz w:val="21"/>
                <w:szCs w:val="21"/>
              </w:rPr>
              <w:t>（共同评分因素）</w:t>
            </w:r>
          </w:p>
        </w:tc>
        <w:tc>
          <w:tcPr>
            <w:tcW w:w="917" w:type="dxa"/>
            <w:tcBorders>
              <w:tl2br w:val="nil"/>
              <w:tr2bl w:val="nil"/>
            </w:tcBorders>
            <w:noWrap w:val="0"/>
            <w:vAlign w:val="center"/>
          </w:tcPr>
          <w:p>
            <w:pPr>
              <w:spacing w:line="360" w:lineRule="auto"/>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13分</w:t>
            </w:r>
          </w:p>
        </w:tc>
        <w:tc>
          <w:tcPr>
            <w:tcW w:w="4788"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根据供应商提供的初步服务方案进行综合评审，包括①供货计划；②人员安排；③培训计划；④安装方案；⑤产品配送方案及配套服务；⑥定检计划；⑦故障分析、排除的流程和步骤；⑧维护保养技术方案，</w:t>
            </w:r>
            <w:r>
              <w:rPr>
                <w:rFonts w:hint="eastAsia" w:ascii="宋体" w:hAnsi="宋体" w:eastAsia="宋体" w:cs="Times New Roman"/>
                <w:sz w:val="21"/>
                <w:szCs w:val="21"/>
                <w:highlight w:val="none"/>
                <w:lang w:val="en-US" w:eastAsia="zh-CN"/>
              </w:rPr>
              <w:t>内容齐全</w:t>
            </w:r>
            <w:r>
              <w:rPr>
                <w:rFonts w:hint="eastAsia" w:ascii="宋体" w:hAnsi="宋体" w:cs="Times New Roman"/>
                <w:sz w:val="21"/>
                <w:szCs w:val="21"/>
                <w:highlight w:val="none"/>
                <w:lang w:val="en-US" w:eastAsia="zh-CN"/>
              </w:rPr>
              <w:t>、</w:t>
            </w:r>
            <w:r>
              <w:rPr>
                <w:rFonts w:hint="eastAsia" w:ascii="宋体" w:hAnsi="宋体" w:eastAsia="宋体" w:cs="Times New Roman"/>
                <w:sz w:val="21"/>
                <w:szCs w:val="21"/>
                <w:highlight w:val="none"/>
                <w:lang w:val="en-US" w:eastAsia="zh-CN"/>
              </w:rPr>
              <w:t>符合</w:t>
            </w:r>
            <w:r>
              <w:rPr>
                <w:rFonts w:hint="eastAsia" w:ascii="宋体" w:hAnsi="宋体" w:eastAsia="宋体" w:cs="Times New Roman"/>
                <w:sz w:val="21"/>
                <w:szCs w:val="21"/>
                <w:lang w:val="en-US" w:eastAsia="zh-CN"/>
              </w:rPr>
              <w:t>本项目需求及行业特征得12分，任意一项内容缺失或描述不符合上述要求扣1.5分，12分扣完为止。</w:t>
            </w:r>
          </w:p>
          <w:p>
            <w:pPr>
              <w:spacing w:line="360" w:lineRule="auto"/>
              <w:ind w:firstLine="420" w:firstLineChars="200"/>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 xml:space="preserve">供应商具有免费的400或800售后服务热线得1分。（提供承诺函） </w:t>
            </w:r>
          </w:p>
        </w:tc>
        <w:tc>
          <w:tcPr>
            <w:tcW w:w="2362"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lang w:val="en-US" w:eastAsia="zh-CN"/>
              </w:rPr>
            </w:pP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120" w:hRule="atLeast"/>
          <w:jc w:val="center"/>
        </w:trPr>
        <w:tc>
          <w:tcPr>
            <w:tcW w:w="728"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4</w:t>
            </w:r>
          </w:p>
        </w:tc>
        <w:tc>
          <w:tcPr>
            <w:tcW w:w="2156" w:type="dxa"/>
            <w:tcBorders>
              <w:tl2br w:val="nil"/>
              <w:tr2bl w:val="nil"/>
            </w:tcBorders>
            <w:noWrap w:val="0"/>
            <w:vAlign w:val="center"/>
          </w:tcPr>
          <w:p>
            <w:pPr>
              <w:spacing w:line="360" w:lineRule="auto"/>
              <w:rPr>
                <w:rFonts w:hint="eastAsia" w:ascii="宋体" w:hAnsi="宋体" w:eastAsia="宋体" w:cs="Times New Roman"/>
                <w:sz w:val="21"/>
                <w:szCs w:val="21"/>
              </w:rPr>
            </w:pPr>
            <w:r>
              <w:rPr>
                <w:rFonts w:hint="eastAsia" w:ascii="宋体" w:hAnsi="宋体" w:eastAsia="宋体" w:cs="Times New Roman"/>
                <w:sz w:val="21"/>
                <w:szCs w:val="21"/>
              </w:rPr>
              <w:t>节能、环境标志产品</w:t>
            </w:r>
            <w:r>
              <w:rPr>
                <w:rFonts w:hint="eastAsia" w:ascii="宋体" w:hAnsi="宋体" w:eastAsia="宋体" w:cs="Times New Roman"/>
                <w:sz w:val="21"/>
                <w:szCs w:val="21"/>
                <w:lang w:val="en-US" w:eastAsia="zh-CN"/>
              </w:rPr>
              <w:t>1</w:t>
            </w:r>
            <w:r>
              <w:rPr>
                <w:rFonts w:hint="eastAsia" w:ascii="宋体" w:hAnsi="宋体" w:eastAsia="宋体" w:cs="Times New Roman"/>
                <w:sz w:val="21"/>
                <w:szCs w:val="21"/>
              </w:rPr>
              <w:t>%（共同评分因素）</w:t>
            </w:r>
          </w:p>
        </w:tc>
        <w:tc>
          <w:tcPr>
            <w:tcW w:w="917" w:type="dxa"/>
            <w:tcBorders>
              <w:tl2br w:val="nil"/>
              <w:tr2bl w:val="nil"/>
            </w:tcBorders>
            <w:noWrap w:val="0"/>
            <w:vAlign w:val="center"/>
          </w:tcPr>
          <w:p>
            <w:pPr>
              <w:spacing w:line="360" w:lineRule="auto"/>
              <w:rPr>
                <w:rFonts w:hint="eastAsia" w:ascii="宋体" w:hAnsi="宋体" w:eastAsia="宋体" w:cs="Times New Roman"/>
                <w:sz w:val="21"/>
                <w:szCs w:val="21"/>
              </w:rPr>
            </w:pPr>
            <w:r>
              <w:rPr>
                <w:rFonts w:hint="eastAsia" w:ascii="宋体" w:hAnsi="宋体" w:eastAsia="宋体" w:cs="Times New Roman"/>
                <w:sz w:val="21"/>
                <w:szCs w:val="21"/>
                <w:lang w:val="en-US" w:eastAsia="zh-CN"/>
              </w:rPr>
              <w:t>1</w:t>
            </w:r>
            <w:r>
              <w:rPr>
                <w:rFonts w:hint="eastAsia" w:ascii="宋体" w:hAnsi="宋体" w:eastAsia="宋体" w:cs="Times New Roman"/>
                <w:sz w:val="21"/>
                <w:szCs w:val="21"/>
              </w:rPr>
              <w:t>分</w:t>
            </w:r>
          </w:p>
        </w:tc>
        <w:tc>
          <w:tcPr>
            <w:tcW w:w="4788"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供应商报价产品中每有一个为节能产品（国家强制节能产品除外）或者环境标志产品的得</w:t>
            </w:r>
            <w:r>
              <w:rPr>
                <w:rFonts w:hint="eastAsia" w:ascii="宋体" w:hAnsi="宋体" w:eastAsia="宋体" w:cs="Times New Roman"/>
                <w:sz w:val="21"/>
                <w:szCs w:val="21"/>
                <w:lang w:val="en-US" w:eastAsia="zh-CN"/>
              </w:rPr>
              <w:t>0.5</w:t>
            </w:r>
            <w:r>
              <w:rPr>
                <w:rFonts w:hint="eastAsia" w:ascii="宋体" w:hAnsi="宋体" w:eastAsia="宋体" w:cs="Times New Roman"/>
                <w:sz w:val="21"/>
                <w:szCs w:val="21"/>
              </w:rPr>
              <w:t>分，非政府采购节能、环境标志产品的不得分。本项最多得</w:t>
            </w:r>
            <w:r>
              <w:rPr>
                <w:rFonts w:hint="eastAsia" w:ascii="宋体" w:hAnsi="宋体" w:eastAsia="宋体" w:cs="Times New Roman"/>
                <w:sz w:val="21"/>
                <w:szCs w:val="21"/>
                <w:lang w:val="en-US" w:eastAsia="zh-CN"/>
              </w:rPr>
              <w:t>1</w:t>
            </w:r>
            <w:r>
              <w:rPr>
                <w:rFonts w:hint="eastAsia" w:ascii="宋体" w:hAnsi="宋体" w:eastAsia="宋体" w:cs="Times New Roman"/>
                <w:sz w:val="21"/>
                <w:szCs w:val="21"/>
              </w:rPr>
              <w:t>分。</w:t>
            </w:r>
          </w:p>
          <w:p>
            <w:pPr>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注：根据《节能产品政府采购品目清单》、《环境标志产品政府采购品目清单》，以国家市场监管总局公告2019年第16号（或最新文件）公布的认证机构出具的处于有效期之内的节能产品、环境标志产品认证证书为准。</w:t>
            </w:r>
          </w:p>
        </w:tc>
        <w:tc>
          <w:tcPr>
            <w:tcW w:w="2362" w:type="dxa"/>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提供有效的认证证书复印件</w:t>
            </w:r>
          </w:p>
        </w:tc>
      </w:tr>
      <w:tr>
        <w:tblPrEx>
          <w:tblBorders>
            <w:top w:val="double" w:color="000000" w:sz="2" w:space="0"/>
            <w:left w:val="double" w:color="000000" w:sz="2" w:space="0"/>
            <w:bottom w:val="double" w:color="000000" w:sz="2" w:space="0"/>
            <w:right w:val="double" w:color="000000" w:sz="2"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2884" w:type="dxa"/>
            <w:gridSpan w:val="2"/>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总分</w:t>
            </w:r>
          </w:p>
        </w:tc>
        <w:tc>
          <w:tcPr>
            <w:tcW w:w="8067" w:type="dxa"/>
            <w:gridSpan w:val="3"/>
            <w:tcBorders>
              <w:tl2br w:val="nil"/>
              <w:tr2bl w:val="nil"/>
            </w:tcBorders>
            <w:noWrap w:val="0"/>
            <w:vAlign w:val="center"/>
          </w:tcPr>
          <w:p>
            <w:pPr>
              <w:spacing w:line="360" w:lineRule="auto"/>
              <w:ind w:firstLine="420" w:firstLineChars="200"/>
              <w:rPr>
                <w:rFonts w:hint="eastAsia" w:ascii="宋体" w:hAnsi="宋体" w:eastAsia="宋体" w:cs="Times New Roman"/>
                <w:sz w:val="21"/>
                <w:szCs w:val="21"/>
              </w:rPr>
            </w:pPr>
            <w:r>
              <w:rPr>
                <w:rFonts w:hint="eastAsia" w:ascii="宋体" w:hAnsi="宋体" w:eastAsia="宋体" w:cs="Times New Roman"/>
                <w:sz w:val="21"/>
                <w:szCs w:val="21"/>
              </w:rPr>
              <w:t>100分</w:t>
            </w:r>
          </w:p>
        </w:tc>
      </w:tr>
    </w:tbl>
    <w:p>
      <w:pPr>
        <w:spacing w:line="360" w:lineRule="auto"/>
        <w:ind w:firstLine="565" w:firstLineChars="202"/>
        <w:rPr>
          <w:rFonts w:hint="eastAsia" w:ascii="宋体" w:hAnsi="宋体"/>
          <w:sz w:val="28"/>
        </w:rPr>
      </w:pPr>
    </w:p>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6"/>
        </w:numPr>
        <w:tabs>
          <w:tab w:val="left" w:pos="426"/>
          <w:tab w:val="left" w:pos="567"/>
        </w:tabs>
        <w:spacing w:before="0" w:after="200"/>
        <w:ind w:left="1985" w:hanging="1985"/>
        <w:jc w:val="both"/>
      </w:pPr>
      <w:bookmarkStart w:id="105" w:name="_Toc494357032"/>
      <w:bookmarkEnd w:id="105"/>
      <w:bookmarkStart w:id="106" w:name="_Toc494095680"/>
      <w:bookmarkEnd w:id="106"/>
      <w:bookmarkStart w:id="107" w:name="_Toc494357031"/>
      <w:bookmarkEnd w:id="107"/>
      <w:bookmarkStart w:id="108" w:name="_Toc494357022"/>
      <w:bookmarkEnd w:id="108"/>
      <w:bookmarkStart w:id="109" w:name="_Toc494357026"/>
      <w:bookmarkEnd w:id="109"/>
      <w:bookmarkStart w:id="110" w:name="_Toc494357021"/>
      <w:bookmarkEnd w:id="110"/>
      <w:bookmarkStart w:id="111" w:name="_Toc494095669"/>
      <w:bookmarkEnd w:id="111"/>
      <w:bookmarkStart w:id="112" w:name="_Toc494095679"/>
      <w:bookmarkEnd w:id="112"/>
      <w:bookmarkStart w:id="113" w:name="_Toc494095670"/>
      <w:bookmarkEnd w:id="113"/>
      <w:bookmarkStart w:id="114" w:name="_Toc494357024"/>
      <w:bookmarkEnd w:id="114"/>
      <w:bookmarkStart w:id="115" w:name="_Toc494357025"/>
      <w:bookmarkEnd w:id="115"/>
      <w:bookmarkStart w:id="116" w:name="_Toc494095677"/>
      <w:bookmarkEnd w:id="116"/>
      <w:bookmarkStart w:id="117" w:name="_Toc494095675"/>
      <w:bookmarkEnd w:id="117"/>
      <w:bookmarkStart w:id="118" w:name="_Toc494357029"/>
      <w:bookmarkEnd w:id="118"/>
      <w:bookmarkStart w:id="119" w:name="_Toc494095681"/>
      <w:bookmarkEnd w:id="119"/>
      <w:bookmarkStart w:id="120" w:name="_Toc494357030"/>
      <w:bookmarkEnd w:id="120"/>
      <w:bookmarkStart w:id="121" w:name="_Toc494357023"/>
      <w:bookmarkEnd w:id="121"/>
      <w:bookmarkStart w:id="122" w:name="_Toc494095671"/>
      <w:bookmarkEnd w:id="122"/>
      <w:bookmarkStart w:id="123" w:name="_Toc494095673"/>
      <w:bookmarkEnd w:id="123"/>
      <w:bookmarkStart w:id="124" w:name="_Toc494095678"/>
      <w:bookmarkEnd w:id="124"/>
      <w:bookmarkStart w:id="125" w:name="_Toc494095674"/>
      <w:bookmarkEnd w:id="125"/>
      <w:bookmarkStart w:id="126" w:name="_Toc494357028"/>
      <w:bookmarkEnd w:id="126"/>
      <w:bookmarkStart w:id="127" w:name="_Toc494357033"/>
      <w:bookmarkEnd w:id="127"/>
      <w:bookmarkStart w:id="128" w:name="_Toc494095672"/>
      <w:bookmarkEnd w:id="128"/>
      <w:bookmarkStart w:id="129" w:name="_Toc494357035"/>
      <w:bookmarkEnd w:id="129"/>
      <w:bookmarkStart w:id="130" w:name="_Toc494095668"/>
      <w:bookmarkEnd w:id="130"/>
      <w:bookmarkStart w:id="131" w:name="_Toc494357034"/>
      <w:bookmarkEnd w:id="131"/>
      <w:bookmarkStart w:id="132" w:name="_Toc494357027"/>
      <w:bookmarkEnd w:id="132"/>
      <w:bookmarkStart w:id="133" w:name="_Toc494095682"/>
      <w:bookmarkEnd w:id="133"/>
      <w:bookmarkStart w:id="134" w:name="_Toc494095676"/>
      <w:bookmarkEnd w:id="134"/>
      <w:bookmarkStart w:id="135" w:name="_Toc26844"/>
      <w:r>
        <w:rPr>
          <w:rFonts w:hint="eastAsia"/>
        </w:rPr>
        <w:t>采购失败情形</w:t>
      </w:r>
      <w:bookmarkEnd w:id="135"/>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1"/>
          <w:numId w:val="6"/>
        </w:numPr>
        <w:tabs>
          <w:tab w:val="left" w:pos="426"/>
          <w:tab w:val="left" w:pos="567"/>
        </w:tabs>
        <w:spacing w:before="0" w:after="200"/>
        <w:ind w:left="1985" w:hanging="1985"/>
        <w:jc w:val="both"/>
      </w:pPr>
      <w:bookmarkStart w:id="136" w:name="_Toc20269"/>
      <w:r>
        <w:rPr>
          <w:rFonts w:hint="eastAsia"/>
        </w:rPr>
        <w:t>确定成交供应商</w:t>
      </w:r>
      <w:bookmarkEnd w:id="136"/>
    </w:p>
    <w:p>
      <w:pPr>
        <w:widowControl/>
        <w:numPr>
          <w:ilvl w:val="0"/>
          <w:numId w:val="52"/>
        </w:numPr>
        <w:tabs>
          <w:tab w:val="left" w:pos="1134"/>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widowControl/>
        <w:numPr>
          <w:ilvl w:val="0"/>
          <w:numId w:val="52"/>
        </w:numPr>
        <w:tabs>
          <w:tab w:val="left" w:pos="1134"/>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w:t>
      </w:r>
      <w:r>
        <w:rPr>
          <w:rFonts w:ascii="宋体" w:hAnsi="宋体" w:cs="宋体"/>
          <w:sz w:val="28"/>
          <w:szCs w:val="28"/>
        </w:rPr>
        <w:t>https://wenshu.court.gov.cn</w:t>
      </w:r>
      <w:r>
        <w:rPr>
          <w:rFonts w:hint="eastAsia" w:ascii="宋体" w:hAnsi="宋体" w:cs="宋体"/>
          <w:sz w:val="28"/>
          <w:szCs w:val="28"/>
        </w:rPr>
        <w:t>）查询成交候选供应商及其现任法定代表人、主要负责人是否存在行贿犯罪记录。</w:t>
      </w:r>
    </w:p>
    <w:p>
      <w:pPr>
        <w:widowControl/>
        <w:numPr>
          <w:ilvl w:val="0"/>
          <w:numId w:val="52"/>
        </w:numPr>
        <w:tabs>
          <w:tab w:val="left" w:pos="1134"/>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widowControl/>
        <w:numPr>
          <w:ilvl w:val="0"/>
          <w:numId w:val="52"/>
        </w:numPr>
        <w:tabs>
          <w:tab w:val="left" w:pos="1134"/>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采购人确定成交供应商过程中，发现成交候选供应商有下列情形之一的，应当不予确定其为成交供应商,由后一位成交候选供应商接替，依次类推，或重新组织采购：</w:t>
      </w:r>
    </w:p>
    <w:p>
      <w:pPr>
        <w:widowControl/>
        <w:numPr>
          <w:ilvl w:val="1"/>
          <w:numId w:val="53"/>
        </w:numPr>
        <w:tabs>
          <w:tab w:val="left" w:pos="851"/>
          <w:tab w:val="left" w:pos="1134"/>
          <w:tab w:val="left" w:pos="1276"/>
        </w:tabs>
        <w:snapToGrid w:val="0"/>
        <w:spacing w:after="200" w:line="360" w:lineRule="auto"/>
        <w:ind w:left="0" w:firstLine="560" w:firstLineChars="200"/>
        <w:jc w:val="left"/>
        <w:rPr>
          <w:rFonts w:ascii="宋体" w:hAnsi="宋体" w:cs="宋体"/>
          <w:sz w:val="28"/>
          <w:szCs w:val="28"/>
        </w:rPr>
      </w:pPr>
      <w:bookmarkStart w:id="137" w:name="_Toc287623649"/>
      <w:r>
        <w:rPr>
          <w:rFonts w:hint="eastAsia" w:ascii="宋体" w:hAnsi="宋体" w:cs="宋体"/>
          <w:sz w:val="28"/>
          <w:szCs w:val="28"/>
        </w:rPr>
        <w:t>成交候选供应商存在违法、违纪行为的；</w:t>
      </w:r>
    </w:p>
    <w:p>
      <w:pPr>
        <w:widowControl/>
        <w:numPr>
          <w:ilvl w:val="1"/>
          <w:numId w:val="53"/>
        </w:numPr>
        <w:tabs>
          <w:tab w:val="left" w:pos="851"/>
          <w:tab w:val="left" w:pos="1134"/>
          <w:tab w:val="left" w:pos="1276"/>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widowControl/>
        <w:numPr>
          <w:ilvl w:val="1"/>
          <w:numId w:val="53"/>
        </w:numPr>
        <w:tabs>
          <w:tab w:val="left" w:pos="851"/>
          <w:tab w:val="left" w:pos="1134"/>
          <w:tab w:val="left" w:pos="1276"/>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widowControl/>
        <w:numPr>
          <w:ilvl w:val="0"/>
          <w:numId w:val="52"/>
        </w:numPr>
        <w:tabs>
          <w:tab w:val="left" w:pos="1155"/>
        </w:tabs>
        <w:snapToGrid w:val="0"/>
        <w:spacing w:after="200" w:line="360" w:lineRule="auto"/>
        <w:ind w:left="0" w:firstLine="560" w:firstLineChars="200"/>
        <w:jc w:val="left"/>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区交易中心</w:t>
      </w:r>
      <w:r>
        <w:rPr>
          <w:rFonts w:hint="eastAsia" w:ascii="宋体" w:hAnsi="宋体" w:cs="宋体"/>
          <w:sz w:val="28"/>
          <w:szCs w:val="28"/>
        </w:rPr>
        <w:t>不解释成交或未成交原因，不退回响应文件和其他磋商资料。</w:t>
      </w:r>
      <w:bookmarkEnd w:id="137"/>
    </w:p>
    <w:p>
      <w:pPr>
        <w:pStyle w:val="4"/>
        <w:numPr>
          <w:ilvl w:val="1"/>
          <w:numId w:val="6"/>
        </w:numPr>
        <w:tabs>
          <w:tab w:val="left" w:pos="426"/>
          <w:tab w:val="left" w:pos="567"/>
        </w:tabs>
        <w:spacing w:before="0" w:after="200"/>
        <w:ind w:left="1985" w:hanging="1985"/>
      </w:pPr>
      <w:bookmarkStart w:id="138" w:name="_Toc20478"/>
      <w:r>
        <w:rPr>
          <w:rFonts w:hint="eastAsia"/>
        </w:rPr>
        <w:t>磋商小组成员义务</w:t>
      </w:r>
      <w:bookmarkEnd w:id="138"/>
    </w:p>
    <w:p>
      <w:pPr>
        <w:snapToGrid w:val="0"/>
        <w:spacing w:line="360" w:lineRule="auto"/>
        <w:ind w:firstLine="560" w:firstLineChars="200"/>
        <w:rPr>
          <w:sz w:val="28"/>
          <w:szCs w:val="28"/>
        </w:rPr>
      </w:pPr>
      <w:r>
        <w:rPr>
          <w:rFonts w:hint="eastAsia"/>
          <w:sz w:val="28"/>
          <w:szCs w:val="28"/>
        </w:rPr>
        <w:t>磋商小组成员在政府采购活动中承担以下义务：</w:t>
      </w:r>
    </w:p>
    <w:p>
      <w:pPr>
        <w:numPr>
          <w:ilvl w:val="0"/>
          <w:numId w:val="54"/>
        </w:numPr>
        <w:tabs>
          <w:tab w:val="left" w:pos="1155"/>
        </w:tabs>
        <w:spacing w:after="200" w:line="360" w:lineRule="auto"/>
        <w:ind w:left="0" w:firstLine="525"/>
        <w:rPr>
          <w:rFonts w:ascii="宋体" w:hAnsi="宋体"/>
          <w:sz w:val="28"/>
          <w:szCs w:val="28"/>
        </w:rPr>
      </w:pPr>
      <w:r>
        <w:rPr>
          <w:rFonts w:hint="eastAsia" w:ascii="宋体" w:hAnsi="宋体"/>
          <w:sz w:val="28"/>
          <w:szCs w:val="28"/>
        </w:rPr>
        <w:t>遵纪守法，客观、公正、廉洁地履行职责。</w:t>
      </w:r>
    </w:p>
    <w:p>
      <w:pPr>
        <w:numPr>
          <w:ilvl w:val="0"/>
          <w:numId w:val="54"/>
        </w:numPr>
        <w:tabs>
          <w:tab w:val="left" w:pos="1155"/>
        </w:tabs>
        <w:spacing w:after="200" w:line="360" w:lineRule="auto"/>
        <w:ind w:left="0" w:firstLine="525"/>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numPr>
          <w:ilvl w:val="0"/>
          <w:numId w:val="54"/>
        </w:numPr>
        <w:tabs>
          <w:tab w:val="left" w:pos="1155"/>
        </w:tabs>
        <w:spacing w:after="200" w:line="360" w:lineRule="auto"/>
        <w:ind w:left="0" w:firstLine="525"/>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numPr>
          <w:ilvl w:val="0"/>
          <w:numId w:val="54"/>
        </w:numPr>
        <w:tabs>
          <w:tab w:val="left" w:pos="1155"/>
        </w:tabs>
        <w:spacing w:after="200" w:line="360" w:lineRule="auto"/>
        <w:ind w:left="0" w:firstLine="525"/>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numPr>
          <w:ilvl w:val="0"/>
          <w:numId w:val="54"/>
        </w:numPr>
        <w:tabs>
          <w:tab w:val="left" w:pos="1155"/>
        </w:tabs>
        <w:spacing w:after="200" w:line="360" w:lineRule="auto"/>
        <w:ind w:left="0" w:firstLine="525"/>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区交易中心</w:t>
      </w:r>
      <w:r>
        <w:rPr>
          <w:rFonts w:hint="eastAsia" w:ascii="宋体" w:hAnsi="宋体"/>
          <w:sz w:val="28"/>
          <w:szCs w:val="28"/>
        </w:rPr>
        <w:t>及其工作人员在政府采购活动中有干预评审、发表倾向性和歧视性言论、受贿或者接受供应商的其他好处及其他违法违规行为，及时向财政部门报告。</w:t>
      </w:r>
    </w:p>
    <w:p>
      <w:pPr>
        <w:numPr>
          <w:ilvl w:val="0"/>
          <w:numId w:val="54"/>
        </w:numPr>
        <w:tabs>
          <w:tab w:val="left" w:pos="1155"/>
        </w:tabs>
        <w:spacing w:after="200" w:line="360" w:lineRule="auto"/>
        <w:ind w:left="0" w:firstLine="525"/>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区交易中心</w:t>
      </w:r>
      <w:r>
        <w:rPr>
          <w:rFonts w:hint="eastAsia" w:ascii="宋体" w:hAnsi="宋体"/>
          <w:sz w:val="28"/>
          <w:szCs w:val="28"/>
        </w:rPr>
        <w:t>答复供应商的询问、质疑，配合财政部门的投诉处理工作等事宜。</w:t>
      </w:r>
    </w:p>
    <w:p>
      <w:pPr>
        <w:numPr>
          <w:ilvl w:val="0"/>
          <w:numId w:val="54"/>
        </w:numPr>
        <w:tabs>
          <w:tab w:val="left" w:pos="1155"/>
        </w:tabs>
        <w:spacing w:after="200" w:line="360" w:lineRule="auto"/>
        <w:ind w:left="0" w:firstLine="525"/>
        <w:rPr>
          <w:rFonts w:ascii="宋体" w:hAnsi="宋体"/>
          <w:sz w:val="28"/>
          <w:szCs w:val="28"/>
        </w:rPr>
      </w:pPr>
      <w:r>
        <w:rPr>
          <w:rFonts w:hint="eastAsia" w:ascii="宋体" w:hAnsi="宋体"/>
          <w:sz w:val="28"/>
          <w:szCs w:val="28"/>
        </w:rPr>
        <w:t>法律、法规和规章规定的其他义务。</w:t>
      </w:r>
    </w:p>
    <w:p>
      <w:pPr>
        <w:pStyle w:val="4"/>
        <w:numPr>
          <w:ilvl w:val="1"/>
          <w:numId w:val="6"/>
        </w:numPr>
        <w:tabs>
          <w:tab w:val="left" w:pos="426"/>
          <w:tab w:val="left" w:pos="567"/>
        </w:tabs>
        <w:spacing w:before="0" w:after="200"/>
        <w:ind w:left="1985" w:hanging="1985"/>
      </w:pPr>
      <w:bookmarkStart w:id="139" w:name="_Toc11627"/>
      <w:r>
        <w:rPr>
          <w:rFonts w:hint="eastAsia"/>
        </w:rPr>
        <w:t>磋商小组及其成员不得有下列行为</w:t>
      </w:r>
      <w:bookmarkEnd w:id="139"/>
    </w:p>
    <w:p>
      <w:pPr>
        <w:numPr>
          <w:ilvl w:val="0"/>
          <w:numId w:val="55"/>
        </w:numPr>
        <w:spacing w:after="200" w:line="360" w:lineRule="auto"/>
        <w:ind w:left="0" w:firstLine="567"/>
        <w:rPr>
          <w:rFonts w:ascii="宋体" w:hAnsi="宋体"/>
          <w:sz w:val="28"/>
          <w:szCs w:val="28"/>
        </w:rPr>
      </w:pPr>
      <w:r>
        <w:rPr>
          <w:rFonts w:hint="eastAsia" w:ascii="宋体" w:hAnsi="宋体"/>
          <w:sz w:val="28"/>
          <w:szCs w:val="28"/>
        </w:rPr>
        <w:t>确定参与磋商后，至递交响应文件截止时间前私自接触供应商；</w:t>
      </w:r>
    </w:p>
    <w:p>
      <w:pPr>
        <w:numPr>
          <w:ilvl w:val="0"/>
          <w:numId w:val="55"/>
        </w:numPr>
        <w:tabs>
          <w:tab w:val="left" w:pos="1155"/>
        </w:tabs>
        <w:spacing w:after="200" w:line="360" w:lineRule="auto"/>
        <w:ind w:left="0" w:firstLine="525"/>
        <w:rPr>
          <w:rFonts w:ascii="宋体" w:hAnsi="宋体"/>
          <w:sz w:val="28"/>
          <w:szCs w:val="28"/>
        </w:rPr>
      </w:pPr>
      <w:r>
        <w:rPr>
          <w:rFonts w:hint="eastAsia" w:ascii="宋体" w:hAnsi="宋体"/>
          <w:sz w:val="28"/>
          <w:szCs w:val="28"/>
        </w:rPr>
        <w:t>违反评审纪律发表倾向性意见或者征询采购人的倾向性意见；</w:t>
      </w:r>
    </w:p>
    <w:p>
      <w:pPr>
        <w:numPr>
          <w:ilvl w:val="0"/>
          <w:numId w:val="55"/>
        </w:numPr>
        <w:tabs>
          <w:tab w:val="left" w:pos="1155"/>
        </w:tabs>
        <w:spacing w:after="200" w:line="360" w:lineRule="auto"/>
        <w:ind w:left="0" w:firstLine="525"/>
        <w:rPr>
          <w:rFonts w:ascii="宋体" w:hAnsi="宋体"/>
          <w:sz w:val="28"/>
          <w:szCs w:val="28"/>
        </w:rPr>
      </w:pPr>
      <w:r>
        <w:rPr>
          <w:rFonts w:hint="eastAsia" w:ascii="宋体" w:hAnsi="宋体"/>
          <w:sz w:val="28"/>
          <w:szCs w:val="28"/>
        </w:rPr>
        <w:t>对需要专业判断的主观评审因素协商评分；</w:t>
      </w:r>
    </w:p>
    <w:p>
      <w:pPr>
        <w:numPr>
          <w:ilvl w:val="0"/>
          <w:numId w:val="55"/>
        </w:numPr>
        <w:tabs>
          <w:tab w:val="left" w:pos="1155"/>
        </w:tabs>
        <w:spacing w:after="200" w:line="360" w:lineRule="auto"/>
        <w:ind w:left="0" w:firstLine="525"/>
        <w:rPr>
          <w:rFonts w:ascii="宋体" w:hAnsi="宋体"/>
          <w:sz w:val="28"/>
          <w:szCs w:val="28"/>
        </w:rPr>
      </w:pPr>
      <w:r>
        <w:rPr>
          <w:rFonts w:hint="eastAsia" w:ascii="宋体" w:hAnsi="宋体"/>
          <w:sz w:val="28"/>
          <w:szCs w:val="28"/>
        </w:rPr>
        <w:t>在评审过程中擅离职守，影响磋商程序正常进行的；</w:t>
      </w:r>
    </w:p>
    <w:p>
      <w:pPr>
        <w:numPr>
          <w:ilvl w:val="0"/>
          <w:numId w:val="55"/>
        </w:numPr>
        <w:tabs>
          <w:tab w:val="left" w:pos="1155"/>
        </w:tabs>
        <w:spacing w:after="200" w:line="360" w:lineRule="auto"/>
        <w:ind w:left="0" w:firstLine="525"/>
        <w:rPr>
          <w:rFonts w:ascii="宋体" w:hAnsi="宋体"/>
          <w:sz w:val="28"/>
          <w:szCs w:val="28"/>
        </w:rPr>
      </w:pPr>
      <w:r>
        <w:rPr>
          <w:rFonts w:hint="eastAsia" w:ascii="宋体" w:hAnsi="宋体"/>
          <w:sz w:val="28"/>
          <w:szCs w:val="28"/>
        </w:rPr>
        <w:t>记录、复制或者带走任何评审资料；</w:t>
      </w:r>
    </w:p>
    <w:p>
      <w:pPr>
        <w:numPr>
          <w:ilvl w:val="0"/>
          <w:numId w:val="55"/>
        </w:numPr>
        <w:tabs>
          <w:tab w:val="left" w:pos="1155"/>
        </w:tabs>
        <w:spacing w:after="200" w:line="360" w:lineRule="auto"/>
        <w:ind w:left="0" w:firstLine="525"/>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6"/>
        </w:numPr>
        <w:tabs>
          <w:tab w:val="left" w:pos="426"/>
          <w:tab w:val="left" w:pos="567"/>
        </w:tabs>
        <w:spacing w:before="0" w:after="200"/>
        <w:ind w:left="1985" w:hanging="1985"/>
      </w:pPr>
      <w:bookmarkStart w:id="140" w:name="_Toc17395"/>
      <w:r>
        <w:rPr>
          <w:rFonts w:hint="eastAsia"/>
        </w:rPr>
        <w:t>磋商纪律</w:t>
      </w:r>
      <w:bookmarkEnd w:id="140"/>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numPr>
          <w:ilvl w:val="0"/>
          <w:numId w:val="56"/>
        </w:numPr>
        <w:tabs>
          <w:tab w:val="left" w:pos="1155"/>
        </w:tabs>
        <w:spacing w:after="200" w:line="360" w:lineRule="auto"/>
        <w:ind w:left="0" w:firstLine="527"/>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numPr>
          <w:ilvl w:val="0"/>
          <w:numId w:val="56"/>
        </w:numPr>
        <w:tabs>
          <w:tab w:val="left" w:pos="1155"/>
        </w:tabs>
        <w:spacing w:after="200" w:line="360" w:lineRule="auto"/>
        <w:ind w:left="0" w:firstLine="527"/>
        <w:rPr>
          <w:rFonts w:ascii="宋体" w:hAnsi="宋体"/>
          <w:sz w:val="28"/>
          <w:szCs w:val="28"/>
        </w:rPr>
      </w:pPr>
      <w:r>
        <w:rPr>
          <w:rFonts w:hint="eastAsia" w:ascii="宋体" w:hAnsi="宋体"/>
          <w:sz w:val="28"/>
          <w:szCs w:val="28"/>
        </w:rPr>
        <w:t>应邀按时参加评审和咨询活动，遵守评标区管理规定。</w:t>
      </w:r>
    </w:p>
    <w:p>
      <w:pPr>
        <w:numPr>
          <w:ilvl w:val="0"/>
          <w:numId w:val="56"/>
        </w:numPr>
        <w:tabs>
          <w:tab w:val="left" w:pos="1155"/>
        </w:tabs>
        <w:spacing w:after="200" w:line="360" w:lineRule="auto"/>
        <w:ind w:left="0" w:firstLine="527"/>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区交易中心</w:t>
      </w:r>
      <w:r>
        <w:rPr>
          <w:rFonts w:hint="eastAsia" w:ascii="宋体" w:hAnsi="宋体"/>
          <w:sz w:val="28"/>
          <w:szCs w:val="28"/>
        </w:rPr>
        <w:t>，不得私自转托他人。</w:t>
      </w:r>
    </w:p>
    <w:p>
      <w:pPr>
        <w:numPr>
          <w:ilvl w:val="0"/>
          <w:numId w:val="56"/>
        </w:numPr>
        <w:tabs>
          <w:tab w:val="left" w:pos="1155"/>
        </w:tabs>
        <w:spacing w:after="200" w:line="360" w:lineRule="auto"/>
        <w:ind w:left="0" w:firstLine="527"/>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区交易中心</w:t>
      </w:r>
      <w:r>
        <w:rPr>
          <w:rFonts w:hint="eastAsia" w:ascii="宋体" w:hAnsi="宋体"/>
          <w:sz w:val="28"/>
          <w:szCs w:val="28"/>
        </w:rPr>
        <w:t>也可要求该评审专家回避。</w:t>
      </w:r>
    </w:p>
    <w:p>
      <w:pPr>
        <w:numPr>
          <w:ilvl w:val="0"/>
          <w:numId w:val="56"/>
        </w:numPr>
        <w:tabs>
          <w:tab w:val="left" w:pos="1155"/>
        </w:tabs>
        <w:spacing w:after="200" w:line="360" w:lineRule="auto"/>
        <w:ind w:left="0" w:firstLine="527"/>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56"/>
        </w:numPr>
        <w:tabs>
          <w:tab w:val="left" w:pos="1155"/>
        </w:tabs>
        <w:spacing w:after="200" w:line="360" w:lineRule="auto"/>
        <w:ind w:left="0" w:firstLine="52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numPr>
          <w:ilvl w:val="0"/>
          <w:numId w:val="56"/>
        </w:numPr>
        <w:tabs>
          <w:tab w:val="left" w:pos="1155"/>
        </w:tabs>
        <w:spacing w:after="200" w:line="360" w:lineRule="auto"/>
        <w:ind w:left="0" w:firstLine="527"/>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numPr>
          <w:ilvl w:val="0"/>
          <w:numId w:val="56"/>
        </w:numPr>
        <w:tabs>
          <w:tab w:val="left" w:pos="1155"/>
        </w:tabs>
        <w:spacing w:after="200" w:line="360" w:lineRule="auto"/>
        <w:ind w:left="0" w:firstLine="527"/>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区交易中心</w:t>
      </w:r>
      <w:r>
        <w:rPr>
          <w:rFonts w:hint="eastAsia" w:ascii="宋体" w:hAnsi="宋体"/>
          <w:sz w:val="28"/>
          <w:szCs w:val="28"/>
        </w:rPr>
        <w:t>的现场秩序管理，接受评审现场监督人员的合法监督。</w:t>
      </w:r>
    </w:p>
    <w:p>
      <w:pPr>
        <w:numPr>
          <w:ilvl w:val="0"/>
          <w:numId w:val="56"/>
        </w:numPr>
        <w:tabs>
          <w:tab w:val="left" w:pos="1155"/>
        </w:tabs>
        <w:spacing w:after="200" w:line="360" w:lineRule="auto"/>
        <w:ind w:left="0" w:firstLine="527"/>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numPr>
          <w:ilvl w:val="0"/>
          <w:numId w:val="56"/>
        </w:numPr>
        <w:tabs>
          <w:tab w:val="left" w:pos="1155"/>
        </w:tabs>
        <w:spacing w:after="200" w:line="360" w:lineRule="auto"/>
        <w:ind w:left="0" w:firstLine="527"/>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r>
        <w:rPr>
          <w:rFonts w:hint="eastAsia"/>
        </w:rPr>
        <w:br w:type="page"/>
      </w:r>
    </w:p>
    <w:p>
      <w:pPr>
        <w:pStyle w:val="3"/>
        <w:widowControl/>
        <w:numPr>
          <w:ilvl w:val="0"/>
          <w:numId w:val="6"/>
        </w:numPr>
        <w:spacing w:before="0" w:after="0" w:line="360" w:lineRule="auto"/>
        <w:ind w:left="0" w:firstLine="0"/>
      </w:pPr>
      <w:bookmarkStart w:id="141" w:name="_Toc18596"/>
      <w:r>
        <w:rPr>
          <w:rFonts w:hint="eastAsia"/>
        </w:rPr>
        <w:t>合同草案条款</w:t>
      </w:r>
      <w:bookmarkEnd w:id="87"/>
      <w:bookmarkEnd w:id="141"/>
    </w:p>
    <w:bookmarkEnd w:id="88"/>
    <w:bookmarkEnd w:id="89"/>
    <w:bookmarkEnd w:id="90"/>
    <w:p>
      <w:pPr>
        <w:spacing w:line="460" w:lineRule="exact"/>
        <w:ind w:firstLine="480" w:firstLineChars="200"/>
        <w:rPr>
          <w:rFonts w:hint="eastAsia" w:ascii="仿宋" w:hAnsi="仿宋" w:eastAsia="仿宋" w:cs="仿宋"/>
          <w:color w:val="auto"/>
          <w:sz w:val="24"/>
          <w:highlight w:val="none"/>
        </w:rPr>
      </w:pPr>
      <w:bookmarkStart w:id="142" w:name="_Toc316475669"/>
      <w:bookmarkEnd w:id="142"/>
      <w:bookmarkStart w:id="143" w:name="_Toc29375003"/>
      <w:bookmarkEnd w:id="143"/>
      <w:bookmarkStart w:id="144" w:name="_Toc316475675"/>
      <w:bookmarkEnd w:id="144"/>
      <w:bookmarkStart w:id="145" w:name="_Toc316475672"/>
      <w:bookmarkEnd w:id="145"/>
      <w:bookmarkStart w:id="146" w:name="_Toc316475756"/>
      <w:bookmarkEnd w:id="146"/>
      <w:bookmarkStart w:id="147" w:name="_Toc316475677"/>
      <w:bookmarkEnd w:id="147"/>
      <w:bookmarkStart w:id="148" w:name="_Toc316475763"/>
      <w:bookmarkEnd w:id="148"/>
      <w:bookmarkStart w:id="149" w:name="_Toc316475755"/>
      <w:bookmarkEnd w:id="149"/>
      <w:bookmarkStart w:id="150" w:name="_Toc316475759"/>
      <w:bookmarkEnd w:id="150"/>
      <w:bookmarkStart w:id="151" w:name="_Toc316475667"/>
      <w:bookmarkEnd w:id="151"/>
      <w:bookmarkStart w:id="152" w:name="_Toc316475764"/>
      <w:bookmarkEnd w:id="152"/>
      <w:bookmarkStart w:id="153" w:name="_Toc21289"/>
      <w:bookmarkEnd w:id="153"/>
      <w:bookmarkStart w:id="154" w:name="_Toc316475671"/>
      <w:bookmarkEnd w:id="154"/>
      <w:bookmarkStart w:id="155" w:name="_Toc316475751"/>
      <w:bookmarkEnd w:id="155"/>
      <w:bookmarkStart w:id="156" w:name="_Toc316475674"/>
      <w:bookmarkEnd w:id="156"/>
      <w:bookmarkStart w:id="157" w:name="_Toc316475760"/>
      <w:bookmarkEnd w:id="157"/>
      <w:bookmarkStart w:id="158" w:name="_Toc316475754"/>
      <w:bookmarkEnd w:id="158"/>
      <w:bookmarkStart w:id="159" w:name="_Toc316475666"/>
      <w:bookmarkEnd w:id="159"/>
      <w:bookmarkStart w:id="160" w:name="_Toc316475668"/>
      <w:bookmarkEnd w:id="160"/>
      <w:bookmarkStart w:id="161" w:name="_Toc316475664"/>
      <w:bookmarkEnd w:id="161"/>
      <w:bookmarkStart w:id="162" w:name="_Toc316475676"/>
      <w:bookmarkEnd w:id="162"/>
      <w:bookmarkStart w:id="163" w:name="_Toc316475673"/>
      <w:bookmarkEnd w:id="163"/>
      <w:bookmarkStart w:id="164" w:name="_Toc316475753"/>
      <w:bookmarkEnd w:id="164"/>
      <w:bookmarkStart w:id="165" w:name="_Toc316475752"/>
      <w:bookmarkEnd w:id="165"/>
      <w:bookmarkStart w:id="166" w:name="_Toc316475665"/>
      <w:bookmarkEnd w:id="166"/>
      <w:bookmarkStart w:id="167" w:name="_Toc316475762"/>
      <w:bookmarkEnd w:id="167"/>
      <w:bookmarkStart w:id="168" w:name="_Toc316475670"/>
      <w:bookmarkEnd w:id="168"/>
      <w:bookmarkStart w:id="169" w:name="_Toc316475757"/>
      <w:bookmarkEnd w:id="169"/>
      <w:bookmarkStart w:id="170" w:name="_Toc316475761"/>
      <w:bookmarkEnd w:id="170"/>
      <w:bookmarkStart w:id="171" w:name="_Toc316475758"/>
      <w:bookmarkEnd w:id="171"/>
      <w:r>
        <w:rPr>
          <w:rFonts w:hint="eastAsia" w:ascii="仿宋" w:hAnsi="仿宋" w:eastAsia="仿宋" w:cs="仿宋"/>
          <w:color w:val="auto"/>
          <w:sz w:val="24"/>
          <w:highlight w:val="none"/>
          <w:lang w:bidi="ar"/>
        </w:rPr>
        <w:t>合同编号：</w:t>
      </w:r>
      <w:r>
        <w:rPr>
          <w:rFonts w:hint="eastAsia" w:ascii="仿宋" w:hAnsi="仿宋" w:eastAsia="仿宋" w:cs="仿宋"/>
          <w:color w:val="auto"/>
          <w:sz w:val="24"/>
          <w:highlight w:val="none"/>
          <w:lang w:val="en-US" w:eastAsia="zh-CN"/>
        </w:rPr>
        <w:t xml:space="preserve">51011420210**** </w:t>
      </w:r>
      <w:r>
        <w:rPr>
          <w:rFonts w:hint="eastAsia" w:ascii="仿宋" w:hAnsi="仿宋" w:eastAsia="仿宋" w:cs="仿宋"/>
          <w:color w:val="auto"/>
          <w:sz w:val="24"/>
          <w:highlight w:val="none"/>
          <w:lang w:bidi="ar"/>
        </w:rPr>
        <w:t xml:space="preserve">                                        </w:t>
      </w:r>
    </w:p>
    <w:p>
      <w:pPr>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 xml:space="preserve">签订地点：                                         </w:t>
      </w:r>
    </w:p>
    <w:p>
      <w:pPr>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 xml:space="preserve">签订时间：    年   月  日                                         </w:t>
      </w:r>
    </w:p>
    <w:p>
      <w:pPr>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 xml:space="preserve">采购人（甲方）：                                          </w:t>
      </w:r>
    </w:p>
    <w:p>
      <w:pPr>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 xml:space="preserve">供应商（乙方）：                                         </w:t>
      </w:r>
    </w:p>
    <w:p>
      <w:pPr>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 xml:space="preserve"> </w:t>
      </w:r>
    </w:p>
    <w:p>
      <w:pPr>
        <w:spacing w:line="4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lang w:eastAsia="zh-CN" w:bidi="ar"/>
        </w:rPr>
        <w:t>参照</w:t>
      </w:r>
      <w:r>
        <w:rPr>
          <w:rFonts w:hint="eastAsia" w:ascii="仿宋" w:hAnsi="仿宋" w:eastAsia="仿宋" w:cs="仿宋"/>
          <w:color w:val="auto"/>
          <w:sz w:val="24"/>
          <w:highlight w:val="none"/>
          <w:lang w:bidi="ar"/>
        </w:rPr>
        <w:t>《中华人民共和国政府采购法》、</w:t>
      </w:r>
      <w:r>
        <w:rPr>
          <w:rFonts w:hint="eastAsia" w:ascii="仿宋" w:hAnsi="仿宋" w:eastAsia="仿宋" w:cs="仿宋"/>
          <w:color w:val="auto"/>
          <w:sz w:val="24"/>
          <w:highlight w:val="none"/>
          <w:lang w:eastAsia="zh-CN" w:bidi="ar"/>
        </w:rPr>
        <w:t>《中华人民共和国民法典》</w:t>
      </w:r>
      <w:r>
        <w:rPr>
          <w:rFonts w:hint="eastAsia" w:ascii="仿宋" w:hAnsi="仿宋" w:eastAsia="仿宋" w:cs="仿宋"/>
          <w:color w:val="auto"/>
          <w:sz w:val="24"/>
          <w:highlight w:val="none"/>
          <w:lang w:bidi="ar"/>
        </w:rPr>
        <w:t>及</w:t>
      </w:r>
      <w:r>
        <w:rPr>
          <w:rFonts w:hint="eastAsia" w:ascii="仿宋" w:hAnsi="仿宋" w:eastAsia="仿宋" w:cs="仿宋"/>
          <w:color w:val="auto"/>
          <w:sz w:val="24"/>
          <w:highlight w:val="none"/>
          <w:lang w:val="en-US" w:eastAsia="zh-CN"/>
        </w:rPr>
        <w:t>成都市新都区石板滩街道木兰卫生院LED采购项目</w:t>
      </w:r>
      <w:r>
        <w:rPr>
          <w:rFonts w:hint="eastAsia" w:ascii="仿宋" w:hAnsi="仿宋" w:eastAsia="仿宋" w:cs="仿宋"/>
          <w:color w:val="auto"/>
          <w:sz w:val="24"/>
          <w:highlight w:val="none"/>
          <w:lang w:bidi="ar"/>
        </w:rPr>
        <w:t>（项目编号：</w:t>
      </w:r>
      <w:r>
        <w:rPr>
          <w:rFonts w:hint="eastAsia" w:ascii="仿宋" w:hAnsi="仿宋" w:eastAsia="仿宋" w:cs="仿宋"/>
          <w:color w:val="auto"/>
          <w:sz w:val="24"/>
          <w:highlight w:val="none"/>
          <w:lang w:val="en-US" w:eastAsia="zh-CN"/>
        </w:rPr>
        <w:t>51011420210****</w:t>
      </w:r>
      <w:r>
        <w:rPr>
          <w:rFonts w:hint="eastAsia" w:ascii="仿宋" w:hAnsi="仿宋" w:eastAsia="仿宋" w:cs="仿宋"/>
          <w:color w:val="auto"/>
          <w:sz w:val="24"/>
          <w:highlight w:val="none"/>
          <w:lang w:bidi="ar"/>
        </w:rPr>
        <w:t>）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numPr>
          <w:ilvl w:val="0"/>
          <w:numId w:val="57"/>
        </w:numPr>
        <w:wordWrap w:val="0"/>
        <w:topLinePunct/>
        <w:spacing w:line="460" w:lineRule="exact"/>
        <w:ind w:left="540" w:leftChars="0" w:firstLine="0" w:firstLineChars="0"/>
        <w:rPr>
          <w:rFonts w:hint="eastAsia" w:ascii="仿宋" w:hAnsi="仿宋" w:eastAsia="仿宋" w:cs="仿宋"/>
          <w:b/>
          <w:color w:val="auto"/>
          <w:sz w:val="24"/>
          <w:highlight w:val="none"/>
          <w:lang w:bidi="ar"/>
        </w:rPr>
      </w:pPr>
      <w:r>
        <w:rPr>
          <w:rFonts w:hint="eastAsia" w:ascii="仿宋" w:hAnsi="仿宋" w:eastAsia="仿宋" w:cs="仿宋"/>
          <w:b/>
          <w:color w:val="auto"/>
          <w:sz w:val="24"/>
          <w:highlight w:val="none"/>
          <w:lang w:bidi="ar"/>
        </w:rPr>
        <w:t xml:space="preserve"> 项目概况</w:t>
      </w:r>
    </w:p>
    <w:p>
      <w:pPr>
        <w:pStyle w:val="2"/>
        <w:numPr>
          <w:ilvl w:val="0"/>
          <w:numId w:val="0"/>
        </w:numPr>
        <w:ind w:firstLine="480" w:firstLineChars="200"/>
        <w:rPr>
          <w:rFonts w:hint="eastAsia" w:ascii="仿宋" w:hAnsi="仿宋" w:eastAsia="仿宋" w:cs="仿宋"/>
          <w:color w:val="auto"/>
          <w:sz w:val="24"/>
          <w:szCs w:val="21"/>
          <w:highlight w:val="none"/>
        </w:rPr>
      </w:pPr>
    </w:p>
    <w:p>
      <w:pPr>
        <w:wordWrap w:val="0"/>
        <w:topLinePunct/>
        <w:spacing w:line="460" w:lineRule="exact"/>
        <w:ind w:left="420" w:leftChars="200"/>
        <w:rPr>
          <w:rFonts w:hint="eastAsia" w:ascii="仿宋" w:hAnsi="仿宋" w:eastAsia="仿宋" w:cs="仿宋"/>
          <w:b/>
          <w:color w:val="auto"/>
          <w:sz w:val="24"/>
          <w:highlight w:val="none"/>
          <w:lang w:bidi="ar"/>
        </w:rPr>
      </w:pPr>
      <w:r>
        <w:rPr>
          <w:rFonts w:hint="eastAsia" w:ascii="仿宋" w:hAnsi="仿宋" w:eastAsia="仿宋" w:cs="仿宋"/>
          <w:color w:val="auto"/>
          <w:sz w:val="24"/>
          <w:highlight w:val="none"/>
          <w:lang w:val="en-US" w:eastAsia="zh-CN" w:bidi="ar"/>
        </w:rPr>
        <w:t xml:space="preserve"> </w:t>
      </w:r>
      <w:r>
        <w:rPr>
          <w:rFonts w:hint="eastAsia" w:ascii="仿宋" w:hAnsi="仿宋" w:eastAsia="仿宋" w:cs="仿宋"/>
          <w:b/>
          <w:color w:val="auto"/>
          <w:sz w:val="24"/>
          <w:highlight w:val="none"/>
          <w:lang w:bidi="ar"/>
        </w:rPr>
        <w:t>第二条  服务内容及要求</w:t>
      </w:r>
    </w:p>
    <w:p>
      <w:pPr>
        <w:topLinePunct/>
        <w:spacing w:line="460" w:lineRule="exact"/>
        <w:ind w:firstLine="482" w:firstLineChars="200"/>
        <w:rPr>
          <w:rFonts w:hint="eastAsia" w:ascii="仿宋" w:hAnsi="仿宋" w:eastAsia="仿宋" w:cs="仿宋"/>
          <w:b/>
          <w:color w:val="auto"/>
          <w:sz w:val="24"/>
          <w:highlight w:val="none"/>
          <w:lang w:bidi="ar"/>
        </w:rPr>
      </w:pPr>
    </w:p>
    <w:p>
      <w:pPr>
        <w:topLinePunct/>
        <w:spacing w:line="4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bidi="ar"/>
        </w:rPr>
        <w:t>第三条   服务费用及支付方式</w:t>
      </w:r>
    </w:p>
    <w:p>
      <w:pPr>
        <w:keepNext w:val="0"/>
        <w:keepLines w:val="0"/>
        <w:pageBreakBefore w:val="0"/>
        <w:widowControl w:val="0"/>
        <w:suppressLineNumbers w:val="0"/>
        <w:kinsoku/>
        <w:wordWrap/>
        <w:overflowPunct/>
        <w:topLinePunct w:val="0"/>
        <w:autoSpaceDE/>
        <w:autoSpaceDN/>
        <w:bidi w:val="0"/>
        <w:spacing w:beforeAutospacing="0" w:afterAutospacing="0" w:line="360" w:lineRule="auto"/>
        <w:ind w:left="0" w:right="0" w:firstLine="480" w:firstLineChars="200"/>
        <w:jc w:val="both"/>
        <w:textAlignment w:val="auto"/>
        <w:rPr>
          <w:rFonts w:hint="eastAsia" w:ascii="仿宋" w:hAnsi="仿宋" w:eastAsia="仿宋" w:cs="仿宋"/>
          <w:color w:val="auto"/>
          <w:sz w:val="24"/>
          <w:highlight w:val="none"/>
          <w:lang w:val="en-US" w:eastAsia="zh-CN" w:bidi="ar"/>
        </w:rPr>
      </w:pPr>
      <w:r>
        <w:rPr>
          <w:rFonts w:hint="eastAsia" w:ascii="仿宋" w:hAnsi="仿宋" w:eastAsia="仿宋" w:cs="仿宋"/>
          <w:kern w:val="0"/>
          <w:sz w:val="24"/>
          <w:szCs w:val="24"/>
          <w:highlight w:val="none"/>
          <w:lang w:val="en-US" w:eastAsia="zh-CN" w:bidi="ar"/>
        </w:rPr>
        <w:t>签订合同后7个工作日内支付合同金额的50%款项，合同履约全部完成并履约验收合格接到供应商完整支付凭证后7个工作日内支付合同金额50%。</w:t>
      </w:r>
    </w:p>
    <w:p>
      <w:pPr>
        <w:topLinePunct/>
        <w:spacing w:line="4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bidi="ar"/>
        </w:rPr>
        <w:t xml:space="preserve">第四条   </w:t>
      </w:r>
      <w:r>
        <w:rPr>
          <w:rFonts w:hint="eastAsia" w:ascii="仿宋" w:hAnsi="仿宋" w:eastAsia="仿宋" w:cs="仿宋"/>
          <w:b/>
          <w:color w:val="auto"/>
          <w:sz w:val="24"/>
          <w:highlight w:val="none"/>
          <w:lang w:eastAsia="zh-CN" w:bidi="ar"/>
        </w:rPr>
        <w:t>交货</w:t>
      </w:r>
      <w:r>
        <w:rPr>
          <w:rFonts w:hint="eastAsia" w:ascii="仿宋" w:hAnsi="仿宋" w:eastAsia="仿宋" w:cs="仿宋"/>
          <w:b/>
          <w:color w:val="auto"/>
          <w:sz w:val="24"/>
          <w:highlight w:val="none"/>
          <w:lang w:bidi="ar"/>
        </w:rPr>
        <w:t>时间</w:t>
      </w:r>
    </w:p>
    <w:p>
      <w:pPr>
        <w:topLinePunct/>
        <w:spacing w:line="460" w:lineRule="exact"/>
        <w:ind w:firstLine="480" w:firstLineChars="200"/>
        <w:rPr>
          <w:rFonts w:hint="eastAsia" w:ascii="仿宋" w:hAnsi="仿宋" w:eastAsia="仿宋" w:cs="仿宋"/>
          <w:kern w:val="2"/>
          <w:sz w:val="24"/>
          <w:szCs w:val="24"/>
          <w:highlight w:val="none"/>
          <w:lang w:val="en-US" w:eastAsia="zh-CN"/>
        </w:rPr>
      </w:pPr>
      <w:r>
        <w:rPr>
          <w:rFonts w:hint="eastAsia" w:ascii="仿宋" w:hAnsi="仿宋" w:eastAsia="仿宋" w:cs="仿宋"/>
          <w:kern w:val="2"/>
          <w:sz w:val="24"/>
          <w:szCs w:val="24"/>
          <w:highlight w:val="none"/>
          <w:lang w:val="en-US" w:eastAsia="zh-CN"/>
        </w:rPr>
        <w:t>合同签订后15日内完成交货、安装、调试，并交付甲方验收使用。</w:t>
      </w:r>
    </w:p>
    <w:p>
      <w:pPr>
        <w:topLinePunct/>
        <w:spacing w:line="460" w:lineRule="exact"/>
        <w:ind w:firstLine="482" w:firstLineChars="200"/>
        <w:rPr>
          <w:rFonts w:hint="default" w:ascii="仿宋" w:hAnsi="仿宋" w:eastAsia="仿宋" w:cs="仿宋"/>
          <w:b/>
          <w:color w:val="auto"/>
          <w:sz w:val="24"/>
          <w:highlight w:val="none"/>
          <w:lang w:val="en-US" w:eastAsia="zh-CN" w:bidi="ar"/>
        </w:rPr>
      </w:pPr>
      <w:r>
        <w:rPr>
          <w:rFonts w:hint="eastAsia" w:ascii="仿宋" w:hAnsi="仿宋" w:eastAsia="仿宋" w:cs="仿宋"/>
          <w:b/>
          <w:color w:val="auto"/>
          <w:sz w:val="24"/>
          <w:highlight w:val="none"/>
          <w:lang w:val="en-US" w:eastAsia="zh-CN" w:bidi="ar"/>
        </w:rPr>
        <w:t>第五条   履约验收</w:t>
      </w:r>
    </w:p>
    <w:p>
      <w:pPr>
        <w:topLinePunct/>
        <w:spacing w:line="460" w:lineRule="exact"/>
        <w:ind w:firstLine="480" w:firstLineChars="200"/>
        <w:rPr>
          <w:rFonts w:hint="eastAsia" w:ascii="仿宋" w:hAnsi="仿宋" w:eastAsia="仿宋" w:cs="仿宋"/>
          <w:b w:val="0"/>
          <w:bCs/>
          <w:color w:val="auto"/>
          <w:sz w:val="24"/>
          <w:highlight w:val="none"/>
          <w:lang w:val="en-US" w:eastAsia="zh-CN" w:bidi="ar"/>
        </w:rPr>
      </w:pPr>
      <w:r>
        <w:rPr>
          <w:rFonts w:hint="default" w:ascii="仿宋" w:hAnsi="仿宋" w:eastAsia="仿宋" w:cs="仿宋"/>
          <w:b w:val="0"/>
          <w:bCs/>
          <w:color w:val="auto"/>
          <w:sz w:val="24"/>
          <w:highlight w:val="none"/>
          <w:lang w:eastAsia="zh-CN" w:bidi="ar"/>
        </w:rPr>
        <w:t>1</w:t>
      </w:r>
      <w:r>
        <w:rPr>
          <w:rFonts w:hint="eastAsia" w:ascii="仿宋" w:hAnsi="仿宋" w:eastAsia="仿宋" w:cs="仿宋"/>
          <w:b w:val="0"/>
          <w:bCs/>
          <w:color w:val="auto"/>
          <w:sz w:val="24"/>
          <w:highlight w:val="none"/>
          <w:lang w:val="en-US" w:eastAsia="zh-CN" w:bidi="ar"/>
        </w:rPr>
        <w:t>.履约完成，乙方发出验收申请后，甲方须在7个工作日内组织验收。</w:t>
      </w:r>
    </w:p>
    <w:p>
      <w:pPr>
        <w:pStyle w:val="105"/>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2.验收程序</w:t>
      </w:r>
    </w:p>
    <w:p>
      <w:pPr>
        <w:pStyle w:val="105"/>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t>成立验收小组。甲方及其委托的采购代理机构（下称验收方）成立验收小组，指定负责验收小组工作的直接</w:t>
      </w:r>
      <w:r>
        <w:rPr>
          <w:rFonts w:hint="eastAsia" w:ascii="仿宋" w:hAnsi="仿宋" w:eastAsia="仿宋" w:cs="仿宋"/>
          <w:sz w:val="24"/>
          <w:szCs w:val="24"/>
          <w:highlight w:val="none"/>
        </w:rPr>
        <w:t>负责人。验收小组应当由熟悉掌握政府采购项目采购需求、技术需要的人员单数组成。验收小组代表验收方履行验收工作职责。</w:t>
      </w:r>
    </w:p>
    <w:p>
      <w:pPr>
        <w:pStyle w:val="105"/>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制定验收方案。验收小组根据政府采购项目的具体情况，制定具体详细的采购项目验收工作方案。验收小组成员应当在实施验收前掌握采购项目采购需求、验收清单和标准、政府采购合同约定的权利义务，并完成其他准备工作。本项目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105"/>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验收。现场验收。验收内容包括每一项技术和商务要求的履约情况。每个验收小组成员必须</w:t>
      </w:r>
      <w:r>
        <w:rPr>
          <w:rFonts w:hint="eastAsia" w:ascii="仿宋" w:hAnsi="仿宋" w:eastAsia="仿宋" w:cs="仿宋"/>
          <w:sz w:val="24"/>
          <w:szCs w:val="24"/>
          <w:highlight w:val="none"/>
          <w:lang w:eastAsia="zh-CN"/>
        </w:rPr>
        <w:t>做好</w:t>
      </w:r>
      <w:r>
        <w:rPr>
          <w:rFonts w:hint="eastAsia" w:ascii="仿宋" w:hAnsi="仿宋" w:eastAsia="仿宋" w:cs="仿宋"/>
          <w:sz w:val="24"/>
          <w:szCs w:val="24"/>
          <w:highlight w:val="none"/>
        </w:rPr>
        <w:t>验收记录。验收记录要准确、详细记载采购项目重要事项的履约情况。验收时如发现所交付的货物有短装、次品、损坏</w:t>
      </w:r>
      <w:r>
        <w:rPr>
          <w:rFonts w:hint="eastAsia" w:ascii="仿宋" w:hAnsi="仿宋" w:eastAsia="仿宋" w:cs="仿宋"/>
          <w:sz w:val="24"/>
          <w:szCs w:val="24"/>
          <w:highlight w:val="none"/>
          <w:lang w:eastAsia="zh-CN"/>
        </w:rPr>
        <w:t>或其他</w:t>
      </w:r>
      <w:r>
        <w:rPr>
          <w:rFonts w:hint="eastAsia" w:ascii="仿宋" w:hAnsi="仿宋" w:eastAsia="仿宋" w:cs="仿宋"/>
          <w:sz w:val="24"/>
          <w:szCs w:val="24"/>
          <w:highlight w:val="none"/>
        </w:rPr>
        <w:t>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105"/>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出具验收报告。验收小组完成验收后，应当出具验收报告。验收报告的内容应包括：实施验收过程基本情况陈述，供应商每一项技术、服务、安全标准等履约情况，与政府采购合同约定的权利义务比较情况，验收结论性意见。验收小组成员的个人验收记录和个</w:t>
      </w:r>
      <w:r>
        <w:rPr>
          <w:rFonts w:hint="eastAsia" w:ascii="仿宋" w:hAnsi="仿宋" w:eastAsia="仿宋" w:cs="仿宋"/>
          <w:color w:val="auto"/>
          <w:sz w:val="24"/>
          <w:szCs w:val="24"/>
          <w:highlight w:val="none"/>
        </w:rPr>
        <w:t>人验收意见应作为验收报告附件。</w:t>
      </w:r>
    </w:p>
    <w:p>
      <w:pPr>
        <w:pStyle w:val="105"/>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rPr>
          <w:rFonts w:hint="eastAsia" w:ascii="仿宋" w:hAnsi="仿宋" w:eastAsia="仿宋" w:cs="仿宋"/>
          <w:b w:val="0"/>
          <w:bCs/>
          <w:color w:val="auto"/>
          <w:sz w:val="24"/>
          <w:highlight w:val="none"/>
          <w:lang w:val="en-US" w:eastAsia="zh-CN" w:bidi="ar"/>
        </w:rPr>
      </w:pPr>
      <w:r>
        <w:rPr>
          <w:rFonts w:hint="eastAsia" w:ascii="仿宋" w:hAnsi="仿宋" w:eastAsia="仿宋" w:cs="仿宋"/>
          <w:color w:val="auto"/>
          <w:sz w:val="24"/>
          <w:szCs w:val="24"/>
          <w:highlight w:val="none"/>
        </w:rPr>
        <w:t>其他未尽事宜应严格按照《财政部关于进一步加强政府采购需求和履约验收管理的指导意见》（财库〔2016〕205号）的要求进行。</w:t>
      </w:r>
    </w:p>
    <w:p>
      <w:pPr>
        <w:topLinePunct/>
        <w:spacing w:line="4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bidi="ar"/>
        </w:rPr>
        <w:t>第</w:t>
      </w:r>
      <w:r>
        <w:rPr>
          <w:rFonts w:hint="eastAsia" w:ascii="仿宋" w:hAnsi="仿宋" w:eastAsia="仿宋" w:cs="仿宋"/>
          <w:b/>
          <w:color w:val="auto"/>
          <w:sz w:val="24"/>
          <w:highlight w:val="none"/>
          <w:lang w:val="en-US" w:eastAsia="zh-CN" w:bidi="ar"/>
        </w:rPr>
        <w:t>六</w:t>
      </w:r>
      <w:r>
        <w:rPr>
          <w:rFonts w:hint="eastAsia" w:ascii="仿宋" w:hAnsi="仿宋" w:eastAsia="仿宋" w:cs="仿宋"/>
          <w:b/>
          <w:color w:val="auto"/>
          <w:sz w:val="24"/>
          <w:highlight w:val="none"/>
          <w:lang w:bidi="ar"/>
        </w:rPr>
        <w:t>条   知识产权</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乙方应保证所提供的服务或其任何一部分均不会侵犯任何第三方的专利权、商标权或著作权。</w:t>
      </w:r>
    </w:p>
    <w:p>
      <w:pPr>
        <w:topLinePunct/>
        <w:spacing w:line="460" w:lineRule="exact"/>
        <w:ind w:left="578" w:leftChars="275"/>
        <w:rPr>
          <w:rFonts w:hint="eastAsia" w:ascii="仿宋" w:hAnsi="仿宋" w:eastAsia="仿宋" w:cs="仿宋"/>
          <w:b/>
          <w:color w:val="auto"/>
          <w:sz w:val="24"/>
          <w:highlight w:val="none"/>
        </w:rPr>
      </w:pPr>
      <w:r>
        <w:rPr>
          <w:rFonts w:hint="eastAsia" w:ascii="仿宋" w:hAnsi="仿宋" w:eastAsia="仿宋" w:cs="仿宋"/>
          <w:b/>
          <w:color w:val="auto"/>
          <w:sz w:val="24"/>
          <w:highlight w:val="none"/>
          <w:lang w:bidi="ar"/>
        </w:rPr>
        <w:t>第</w:t>
      </w:r>
      <w:r>
        <w:rPr>
          <w:rFonts w:hint="eastAsia" w:ascii="仿宋" w:hAnsi="仿宋" w:eastAsia="仿宋" w:cs="仿宋"/>
          <w:b/>
          <w:color w:val="auto"/>
          <w:sz w:val="24"/>
          <w:highlight w:val="none"/>
          <w:lang w:val="en-US" w:eastAsia="zh-CN" w:bidi="ar"/>
        </w:rPr>
        <w:t>七</w:t>
      </w:r>
      <w:r>
        <w:rPr>
          <w:rFonts w:hint="eastAsia" w:ascii="仿宋" w:hAnsi="仿宋" w:eastAsia="仿宋" w:cs="仿宋"/>
          <w:b/>
          <w:color w:val="auto"/>
          <w:sz w:val="24"/>
          <w:highlight w:val="none"/>
          <w:lang w:bidi="ar"/>
        </w:rPr>
        <w:t>条  无产权瑕疵条款</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乙方保证所提供的服务的所有权完全属于乙方且无任何抵押、查封等产权瑕疵。如有产权瑕疵的，视为乙方违约。乙方应负担由此而产生的一切损失。</w:t>
      </w:r>
    </w:p>
    <w:p>
      <w:pPr>
        <w:topLinePunct/>
        <w:spacing w:line="460" w:lineRule="exact"/>
        <w:ind w:left="578" w:leftChars="275"/>
        <w:rPr>
          <w:rFonts w:hint="eastAsia" w:ascii="仿宋" w:hAnsi="仿宋" w:eastAsia="仿宋" w:cs="仿宋"/>
          <w:b/>
          <w:color w:val="auto"/>
          <w:sz w:val="24"/>
          <w:highlight w:val="none"/>
        </w:rPr>
      </w:pPr>
      <w:r>
        <w:rPr>
          <w:rFonts w:hint="eastAsia" w:ascii="仿宋" w:hAnsi="仿宋" w:eastAsia="仿宋" w:cs="仿宋"/>
          <w:b/>
          <w:color w:val="auto"/>
          <w:sz w:val="24"/>
          <w:highlight w:val="none"/>
          <w:lang w:bidi="ar"/>
        </w:rPr>
        <w:t>第</w:t>
      </w:r>
      <w:r>
        <w:rPr>
          <w:rFonts w:hint="eastAsia" w:ascii="仿宋" w:hAnsi="仿宋" w:eastAsia="仿宋" w:cs="仿宋"/>
          <w:b/>
          <w:color w:val="auto"/>
          <w:sz w:val="24"/>
          <w:highlight w:val="none"/>
          <w:lang w:val="en-US" w:eastAsia="zh-CN" w:bidi="ar"/>
        </w:rPr>
        <w:t>八</w:t>
      </w:r>
      <w:r>
        <w:rPr>
          <w:rFonts w:hint="eastAsia" w:ascii="仿宋" w:hAnsi="仿宋" w:eastAsia="仿宋" w:cs="仿宋"/>
          <w:b/>
          <w:color w:val="auto"/>
          <w:sz w:val="24"/>
          <w:highlight w:val="none"/>
          <w:lang w:bidi="ar"/>
        </w:rPr>
        <w:t>条  甲方的权利和义务</w:t>
      </w:r>
    </w:p>
    <w:p>
      <w:pPr>
        <w:topLinePunct/>
        <w:spacing w:line="460" w:lineRule="exact"/>
        <w:ind w:firstLine="480" w:firstLineChars="20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1</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负责检查监督乙方管理工作的实施及制度的执行情况。</w:t>
      </w:r>
    </w:p>
    <w:p>
      <w:pPr>
        <w:topLinePunct/>
        <w:spacing w:line="460" w:lineRule="exact"/>
        <w:ind w:firstLine="480" w:firstLineChars="20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2</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根据本合同规定，按时向乙方支付应付服务费用。</w:t>
      </w:r>
    </w:p>
    <w:p>
      <w:pPr>
        <w:topLinePunct/>
        <w:spacing w:line="460" w:lineRule="exact"/>
        <w:ind w:firstLine="480" w:firstLineChars="20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3</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国家法律、法规所规定由甲方承担的</w:t>
      </w:r>
      <w:r>
        <w:rPr>
          <w:rFonts w:hint="eastAsia" w:ascii="仿宋" w:hAnsi="仿宋" w:eastAsia="仿宋" w:cs="仿宋"/>
          <w:color w:val="auto"/>
          <w:sz w:val="24"/>
          <w:highlight w:val="none"/>
          <w:lang w:eastAsia="zh-CN" w:bidi="ar"/>
        </w:rPr>
        <w:t>其他</w:t>
      </w:r>
      <w:r>
        <w:rPr>
          <w:rFonts w:hint="eastAsia" w:ascii="仿宋" w:hAnsi="仿宋" w:eastAsia="仿宋" w:cs="仿宋"/>
          <w:color w:val="auto"/>
          <w:sz w:val="24"/>
          <w:highlight w:val="none"/>
          <w:lang w:bidi="ar"/>
        </w:rPr>
        <w:t>责任</w:t>
      </w:r>
    </w:p>
    <w:p>
      <w:pPr>
        <w:topLinePunct/>
        <w:spacing w:line="460" w:lineRule="exact"/>
        <w:ind w:left="578" w:leftChars="275"/>
        <w:rPr>
          <w:rFonts w:hint="eastAsia" w:ascii="仿宋" w:hAnsi="仿宋" w:eastAsia="仿宋" w:cs="仿宋"/>
          <w:b/>
          <w:color w:val="auto"/>
          <w:sz w:val="24"/>
          <w:highlight w:val="none"/>
        </w:rPr>
      </w:pPr>
      <w:r>
        <w:rPr>
          <w:rFonts w:hint="eastAsia" w:ascii="仿宋" w:hAnsi="仿宋" w:eastAsia="仿宋" w:cs="仿宋"/>
          <w:b/>
          <w:color w:val="auto"/>
          <w:sz w:val="24"/>
          <w:highlight w:val="none"/>
          <w:lang w:bidi="ar"/>
        </w:rPr>
        <w:t>第</w:t>
      </w:r>
      <w:r>
        <w:rPr>
          <w:rFonts w:hint="eastAsia" w:ascii="仿宋" w:hAnsi="仿宋" w:eastAsia="仿宋" w:cs="仿宋"/>
          <w:b/>
          <w:color w:val="auto"/>
          <w:sz w:val="24"/>
          <w:highlight w:val="none"/>
          <w:lang w:val="en-US" w:eastAsia="zh-CN" w:bidi="ar"/>
        </w:rPr>
        <w:t>九</w:t>
      </w:r>
      <w:r>
        <w:rPr>
          <w:rFonts w:hint="eastAsia" w:ascii="仿宋" w:hAnsi="仿宋" w:eastAsia="仿宋" w:cs="仿宋"/>
          <w:b/>
          <w:color w:val="auto"/>
          <w:sz w:val="24"/>
          <w:highlight w:val="none"/>
          <w:lang w:bidi="ar"/>
        </w:rPr>
        <w:t>条   乙方的权利和义务</w:t>
      </w:r>
    </w:p>
    <w:p>
      <w:pPr>
        <w:topLinePunct/>
        <w:adjustRightInd w:val="0"/>
        <w:spacing w:line="460" w:lineRule="exact"/>
        <w:ind w:firstLine="480" w:firstLineChars="200"/>
        <w:jc w:val="left"/>
        <w:textAlignment w:val="baseline"/>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1</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对本合同规定的委托服务范围内的项目享有管理权及服务义务。</w:t>
      </w:r>
    </w:p>
    <w:p>
      <w:pPr>
        <w:topLinePunct/>
        <w:adjustRightInd w:val="0"/>
        <w:spacing w:line="460" w:lineRule="exact"/>
        <w:ind w:firstLine="480" w:firstLineChars="200"/>
        <w:jc w:val="left"/>
        <w:textAlignment w:val="baseline"/>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2</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根据本合同的规定向甲方收取相关服务费用，并有权在本项目管理范围内管理及合理使用。</w:t>
      </w:r>
    </w:p>
    <w:p>
      <w:pPr>
        <w:topLinePunct/>
        <w:adjustRightInd w:val="0"/>
        <w:spacing w:line="460" w:lineRule="exact"/>
        <w:ind w:firstLine="480" w:firstLineChars="200"/>
        <w:jc w:val="left"/>
        <w:textAlignment w:val="baseline"/>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3</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及时向甲方通告本项目服务范围内有关服务的重大事项，及时配合处理投诉。</w:t>
      </w:r>
    </w:p>
    <w:p>
      <w:pPr>
        <w:topLinePunct/>
        <w:adjustRightInd w:val="0"/>
        <w:spacing w:line="460" w:lineRule="exact"/>
        <w:ind w:firstLine="480" w:firstLineChars="200"/>
        <w:jc w:val="left"/>
        <w:textAlignment w:val="baseline"/>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4</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接受项目行业管理部门及政府有关部门的指导，接受甲方的监督。</w:t>
      </w:r>
    </w:p>
    <w:p>
      <w:pPr>
        <w:topLinePunct/>
        <w:adjustRightInd w:val="0"/>
        <w:spacing w:line="460" w:lineRule="exact"/>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5</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国家法律、法规所规定由乙方承担的</w:t>
      </w:r>
      <w:r>
        <w:rPr>
          <w:rFonts w:hint="eastAsia" w:ascii="仿宋" w:hAnsi="仿宋" w:eastAsia="仿宋" w:cs="仿宋"/>
          <w:color w:val="auto"/>
          <w:sz w:val="24"/>
          <w:highlight w:val="none"/>
          <w:lang w:eastAsia="zh-CN" w:bidi="ar"/>
        </w:rPr>
        <w:t>其他</w:t>
      </w:r>
      <w:r>
        <w:rPr>
          <w:rFonts w:hint="eastAsia" w:ascii="仿宋" w:hAnsi="仿宋" w:eastAsia="仿宋" w:cs="仿宋"/>
          <w:color w:val="auto"/>
          <w:sz w:val="24"/>
          <w:highlight w:val="none"/>
          <w:lang w:bidi="ar"/>
        </w:rPr>
        <w:t>责任。</w:t>
      </w:r>
    </w:p>
    <w:p>
      <w:pPr>
        <w:topLinePunct/>
        <w:spacing w:line="460" w:lineRule="exact"/>
        <w:ind w:left="578" w:leftChars="275"/>
        <w:rPr>
          <w:rFonts w:hint="eastAsia" w:ascii="仿宋" w:hAnsi="仿宋" w:eastAsia="仿宋" w:cs="仿宋"/>
          <w:b/>
          <w:color w:val="auto"/>
          <w:sz w:val="24"/>
          <w:highlight w:val="none"/>
        </w:rPr>
      </w:pPr>
      <w:r>
        <w:rPr>
          <w:rFonts w:hint="eastAsia" w:ascii="仿宋" w:hAnsi="仿宋" w:eastAsia="仿宋" w:cs="仿宋"/>
          <w:b/>
          <w:color w:val="auto"/>
          <w:sz w:val="24"/>
          <w:highlight w:val="none"/>
          <w:lang w:bidi="ar"/>
        </w:rPr>
        <w:t>第</w:t>
      </w:r>
      <w:r>
        <w:rPr>
          <w:rFonts w:hint="eastAsia" w:ascii="仿宋" w:hAnsi="仿宋" w:eastAsia="仿宋" w:cs="仿宋"/>
          <w:b/>
          <w:color w:val="auto"/>
          <w:sz w:val="24"/>
          <w:highlight w:val="none"/>
          <w:lang w:val="en-US" w:eastAsia="zh-CN" w:bidi="ar"/>
        </w:rPr>
        <w:t>十</w:t>
      </w:r>
      <w:r>
        <w:rPr>
          <w:rFonts w:hint="eastAsia" w:ascii="仿宋" w:hAnsi="仿宋" w:eastAsia="仿宋" w:cs="仿宋"/>
          <w:b/>
          <w:color w:val="auto"/>
          <w:sz w:val="24"/>
          <w:highlight w:val="none"/>
          <w:lang w:bidi="ar"/>
        </w:rPr>
        <w:t>条  违约责任</w:t>
      </w:r>
    </w:p>
    <w:p>
      <w:pPr>
        <w:topLinePunct/>
        <w:adjustRightInd w:val="0"/>
        <w:spacing w:line="460" w:lineRule="exact"/>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甲乙双方必须遵守本合同并执行合同中的各项规定，保证本合同的正常履行。</w:t>
      </w:r>
    </w:p>
    <w:p>
      <w:pPr>
        <w:topLinePunct/>
        <w:adjustRightInd w:val="0"/>
        <w:spacing w:line="460" w:lineRule="exact"/>
        <w:ind w:firstLine="480" w:firstLineChars="200"/>
        <w:jc w:val="left"/>
        <w:textAlignment w:val="baseline"/>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2</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如因乙方工作人员在履行职务过程</w:t>
      </w:r>
      <w:r>
        <w:rPr>
          <w:rFonts w:hint="eastAsia" w:ascii="仿宋" w:hAnsi="仿宋" w:eastAsia="仿宋" w:cs="仿宋"/>
          <w:color w:val="auto"/>
          <w:sz w:val="24"/>
          <w:highlight w:val="none"/>
          <w:lang w:eastAsia="zh-CN" w:bidi="ar"/>
        </w:rPr>
        <w:t>中的</w:t>
      </w:r>
      <w:r>
        <w:rPr>
          <w:rFonts w:hint="eastAsia" w:ascii="仿宋" w:hAnsi="仿宋" w:eastAsia="仿宋" w:cs="仿宋"/>
          <w:color w:val="auto"/>
          <w:sz w:val="24"/>
          <w:highlight w:val="none"/>
          <w:lang w:bidi="ar"/>
        </w:rPr>
        <w:t>疏忽、失职、过错等故意或者过失原因给甲方造成损失或侵害，包括但不限于甲方本身的财产损失、由此而导致的甲方对任何第三方的法律责任等，乙方对此均应承担全部的赔偿责任</w:t>
      </w:r>
    </w:p>
    <w:p>
      <w:pPr>
        <w:topLinePunct/>
        <w:adjustRightInd w:val="0"/>
        <w:spacing w:line="460" w:lineRule="exact"/>
        <w:ind w:firstLine="480" w:firstLineChars="200"/>
        <w:jc w:val="left"/>
        <w:textAlignment w:val="baseline"/>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3.甲方违约责任</w:t>
      </w:r>
    </w:p>
    <w:p>
      <w:pPr>
        <w:topLinePunct/>
        <w:adjustRightInd w:val="0"/>
        <w:spacing w:line="460" w:lineRule="exact"/>
        <w:ind w:firstLine="480" w:firstLineChars="200"/>
        <w:jc w:val="left"/>
        <w:textAlignment w:val="baseline"/>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（1）甲方逾期支付服务费的，除应及时付足服务费外，应向乙方偿付欠款总额万分之</w:t>
      </w:r>
      <w:r>
        <w:rPr>
          <w:rFonts w:hint="eastAsia" w:ascii="仿宋" w:hAnsi="仿宋" w:eastAsia="仿宋" w:cs="仿宋"/>
          <w:color w:val="auto"/>
          <w:sz w:val="24"/>
          <w:highlight w:val="none"/>
          <w:u w:val="single"/>
          <w:lang w:val="en-US" w:eastAsia="zh-CN" w:bidi="ar"/>
        </w:rPr>
        <w:t xml:space="preserve">   </w:t>
      </w:r>
      <w:r>
        <w:rPr>
          <w:rFonts w:hint="eastAsia" w:ascii="仿宋" w:hAnsi="仿宋" w:eastAsia="仿宋" w:cs="仿宋"/>
          <w:color w:val="auto"/>
          <w:sz w:val="24"/>
          <w:highlight w:val="none"/>
          <w:lang w:val="en-US" w:eastAsia="zh-CN" w:bidi="ar"/>
        </w:rPr>
        <w:t>/天的违约金；逾期付款超过</w:t>
      </w:r>
      <w:r>
        <w:rPr>
          <w:rFonts w:hint="eastAsia" w:ascii="仿宋" w:hAnsi="仿宋" w:eastAsia="仿宋" w:cs="仿宋"/>
          <w:color w:val="auto"/>
          <w:sz w:val="24"/>
          <w:highlight w:val="none"/>
          <w:u w:val="single"/>
          <w:lang w:val="en-US" w:eastAsia="zh-CN" w:bidi="ar"/>
        </w:rPr>
        <w:t xml:space="preserve">   </w:t>
      </w:r>
      <w:r>
        <w:rPr>
          <w:rFonts w:hint="eastAsia" w:ascii="仿宋" w:hAnsi="仿宋" w:eastAsia="仿宋" w:cs="仿宋"/>
          <w:color w:val="auto"/>
          <w:sz w:val="24"/>
          <w:highlight w:val="none"/>
          <w:lang w:val="en-US" w:eastAsia="zh-CN" w:bidi="ar"/>
        </w:rPr>
        <w:t>天的，乙方有权终止合同；</w:t>
      </w:r>
    </w:p>
    <w:p>
      <w:pPr>
        <w:topLinePunct/>
        <w:adjustRightInd w:val="0"/>
        <w:spacing w:line="460" w:lineRule="exact"/>
        <w:ind w:firstLine="480" w:firstLineChars="200"/>
        <w:jc w:val="left"/>
        <w:textAlignment w:val="baseline"/>
        <w:rPr>
          <w:rFonts w:hint="eastAsia"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val="en-US" w:eastAsia="zh-CN" w:bidi="ar"/>
        </w:rPr>
        <w:t>（2） 甲方偿付的违约金不足以弥补乙方损失的，还应按乙方损失尚未弥补的部分，支付赔偿金给乙方。</w:t>
      </w:r>
    </w:p>
    <w:p>
      <w:pPr>
        <w:topLinePunct/>
        <w:adjustRightInd w:val="0"/>
        <w:spacing w:line="460" w:lineRule="exact"/>
        <w:ind w:firstLine="480" w:firstLineChars="200"/>
        <w:jc w:val="lef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bidi="ar"/>
        </w:rPr>
        <w:t>4.乙方提供的服务质量不符合合同规定的，甲方根据实际情况扣除乙方百分之</w:t>
      </w:r>
      <w:r>
        <w:rPr>
          <w:rFonts w:hint="eastAsia" w:ascii="仿宋" w:hAnsi="仿宋" w:eastAsia="仿宋" w:cs="仿宋"/>
          <w:color w:val="auto"/>
          <w:sz w:val="24"/>
          <w:highlight w:val="none"/>
          <w:u w:val="single"/>
          <w:lang w:val="en-US" w:eastAsia="zh-CN" w:bidi="ar"/>
        </w:rPr>
        <w:t xml:space="preserve">   </w:t>
      </w:r>
      <w:r>
        <w:rPr>
          <w:rFonts w:hint="eastAsia" w:ascii="仿宋" w:hAnsi="仿宋" w:eastAsia="仿宋" w:cs="仿宋"/>
          <w:color w:val="auto"/>
          <w:sz w:val="24"/>
          <w:highlight w:val="none"/>
          <w:lang w:val="en-US" w:eastAsia="zh-CN" w:bidi="ar"/>
        </w:rPr>
        <w:t xml:space="preserve"> 的服务费。乙方按甲方要求进行整改，如整改达不到甲方及本合同的要求，甲方有权终止合同</w:t>
      </w:r>
      <w:r>
        <w:rPr>
          <w:rFonts w:hint="eastAsia" w:ascii="仿宋" w:hAnsi="仿宋" w:eastAsia="仿宋" w:cs="仿宋"/>
          <w:color w:val="auto"/>
          <w:sz w:val="24"/>
          <w:highlight w:val="none"/>
          <w:lang w:bidi="ar"/>
        </w:rPr>
        <w:t>。</w:t>
      </w:r>
    </w:p>
    <w:p>
      <w:pPr>
        <w:topLinePunct/>
        <w:spacing w:line="460" w:lineRule="exact"/>
        <w:ind w:left="578" w:leftChars="275"/>
        <w:rPr>
          <w:rFonts w:hint="eastAsia" w:ascii="仿宋" w:hAnsi="仿宋" w:eastAsia="仿宋" w:cs="仿宋"/>
          <w:b/>
          <w:color w:val="auto"/>
          <w:sz w:val="24"/>
          <w:highlight w:val="none"/>
        </w:rPr>
      </w:pPr>
      <w:r>
        <w:rPr>
          <w:rFonts w:hint="eastAsia" w:ascii="仿宋" w:hAnsi="仿宋" w:eastAsia="仿宋" w:cs="仿宋"/>
          <w:b/>
          <w:color w:val="auto"/>
          <w:sz w:val="24"/>
          <w:highlight w:val="none"/>
          <w:lang w:bidi="ar"/>
        </w:rPr>
        <w:t>第</w:t>
      </w:r>
      <w:r>
        <w:rPr>
          <w:rFonts w:hint="eastAsia" w:ascii="仿宋" w:hAnsi="仿宋" w:eastAsia="仿宋" w:cs="仿宋"/>
          <w:b/>
          <w:color w:val="auto"/>
          <w:sz w:val="24"/>
          <w:highlight w:val="none"/>
          <w:lang w:val="en-US" w:eastAsia="zh-CN" w:bidi="ar"/>
        </w:rPr>
        <w:t>十一</w:t>
      </w:r>
      <w:r>
        <w:rPr>
          <w:rFonts w:hint="eastAsia" w:ascii="仿宋" w:hAnsi="仿宋" w:eastAsia="仿宋" w:cs="仿宋"/>
          <w:b/>
          <w:color w:val="auto"/>
          <w:sz w:val="24"/>
          <w:highlight w:val="none"/>
          <w:lang w:bidi="ar"/>
        </w:rPr>
        <w:t>条  不可抗力事件处理</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在合同有效期内，任何一方因不可抗力事件导致不能履行合同，则合同履行期可延长，其延长期与不可抗力影响期相同。</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2</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不可抗力事件发生后，应立即通知对方，并寄送有关权威机构出具的证明。</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3</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不可抗力事件延续天以上，双方应通过友好协商，确定是否继续履行合同。</w:t>
      </w:r>
    </w:p>
    <w:p>
      <w:pPr>
        <w:topLinePunct/>
        <w:spacing w:line="460" w:lineRule="exact"/>
        <w:ind w:left="578" w:leftChars="275"/>
        <w:rPr>
          <w:rFonts w:hint="eastAsia" w:ascii="仿宋" w:hAnsi="仿宋" w:eastAsia="仿宋" w:cs="仿宋"/>
          <w:b/>
          <w:color w:val="auto"/>
          <w:sz w:val="24"/>
          <w:highlight w:val="none"/>
        </w:rPr>
      </w:pPr>
      <w:r>
        <w:rPr>
          <w:rFonts w:hint="eastAsia" w:ascii="仿宋" w:hAnsi="仿宋" w:eastAsia="仿宋" w:cs="仿宋"/>
          <w:b/>
          <w:color w:val="auto"/>
          <w:sz w:val="24"/>
          <w:highlight w:val="none"/>
          <w:lang w:bidi="ar"/>
        </w:rPr>
        <w:t>第十</w:t>
      </w:r>
      <w:r>
        <w:rPr>
          <w:rFonts w:hint="eastAsia" w:ascii="仿宋" w:hAnsi="仿宋" w:eastAsia="仿宋" w:cs="仿宋"/>
          <w:b/>
          <w:color w:val="auto"/>
          <w:sz w:val="24"/>
          <w:highlight w:val="none"/>
          <w:lang w:val="en-US" w:eastAsia="zh-CN" w:bidi="ar"/>
        </w:rPr>
        <w:t>二</w:t>
      </w:r>
      <w:r>
        <w:rPr>
          <w:rFonts w:hint="eastAsia" w:ascii="仿宋" w:hAnsi="仿宋" w:eastAsia="仿宋" w:cs="仿宋"/>
          <w:b/>
          <w:color w:val="auto"/>
          <w:sz w:val="24"/>
          <w:highlight w:val="none"/>
          <w:lang w:bidi="ar"/>
        </w:rPr>
        <w:t>条  解决合同纠纷的方式</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1</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在执行本合同中发生的或与本合同有关的争端，双方应通过友好协商解决，经协商在天内不能达成协议时，应提交成都仲裁委员会仲裁。</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2</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仲裁裁决应为最终决定，并对双方具有约束力。</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3</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除另有裁决外，仲裁费应由败诉方负担。</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4</w:t>
      </w:r>
      <w:r>
        <w:rPr>
          <w:rFonts w:hint="eastAsia" w:ascii="仿宋" w:hAnsi="仿宋" w:eastAsia="仿宋" w:cs="仿宋"/>
          <w:color w:val="auto"/>
          <w:sz w:val="24"/>
          <w:highlight w:val="none"/>
          <w:lang w:val="en-US" w:eastAsia="zh-CN" w:bidi="ar"/>
        </w:rPr>
        <w:t>.</w:t>
      </w:r>
      <w:r>
        <w:rPr>
          <w:rFonts w:hint="eastAsia" w:ascii="仿宋" w:hAnsi="仿宋" w:eastAsia="仿宋" w:cs="仿宋"/>
          <w:color w:val="auto"/>
          <w:sz w:val="24"/>
          <w:highlight w:val="none"/>
          <w:lang w:bidi="ar"/>
        </w:rPr>
        <w:t>在仲裁期间，除正在进行仲裁部分外，合同其他部分继续执行。</w:t>
      </w:r>
    </w:p>
    <w:p>
      <w:pPr>
        <w:topLinePunct/>
        <w:spacing w:line="460" w:lineRule="exact"/>
        <w:ind w:left="578" w:leftChars="275"/>
        <w:rPr>
          <w:rFonts w:hint="eastAsia" w:ascii="仿宋" w:hAnsi="仿宋" w:eastAsia="仿宋" w:cs="仿宋"/>
          <w:b/>
          <w:color w:val="auto"/>
          <w:sz w:val="24"/>
          <w:highlight w:val="none"/>
        </w:rPr>
      </w:pPr>
      <w:r>
        <w:rPr>
          <w:rFonts w:hint="eastAsia" w:ascii="仿宋" w:hAnsi="仿宋" w:eastAsia="仿宋" w:cs="仿宋"/>
          <w:b/>
          <w:color w:val="auto"/>
          <w:sz w:val="24"/>
          <w:highlight w:val="none"/>
          <w:lang w:bidi="ar"/>
        </w:rPr>
        <w:t>第十</w:t>
      </w:r>
      <w:r>
        <w:rPr>
          <w:rFonts w:hint="eastAsia" w:ascii="仿宋" w:hAnsi="仿宋" w:eastAsia="仿宋" w:cs="仿宋"/>
          <w:b/>
          <w:color w:val="auto"/>
          <w:sz w:val="24"/>
          <w:highlight w:val="none"/>
          <w:lang w:val="en-US" w:eastAsia="zh-CN" w:bidi="ar"/>
        </w:rPr>
        <w:t>三</w:t>
      </w:r>
      <w:r>
        <w:rPr>
          <w:rFonts w:hint="eastAsia" w:ascii="仿宋" w:hAnsi="仿宋" w:eastAsia="仿宋" w:cs="仿宋"/>
          <w:b/>
          <w:color w:val="auto"/>
          <w:sz w:val="24"/>
          <w:highlight w:val="none"/>
          <w:lang w:bidi="ar"/>
        </w:rPr>
        <w:t>条  合同生效及其他</w:t>
      </w:r>
    </w:p>
    <w:p>
      <w:pPr>
        <w:pStyle w:val="154"/>
        <w:widowControl/>
        <w:topLinePun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rPr>
        <w:t>合同经双方法定代表人或授权委托代理人签字并加盖单位公章后生效。</w:t>
      </w:r>
    </w:p>
    <w:p>
      <w:pPr>
        <w:pStyle w:val="154"/>
        <w:widowControl/>
        <w:topLinePun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合同执行中涉及采购资金和采购内容修改或补充的，须经监管部门审批，并签书面补充协议报监督管理部门备案，方可作为主合同不可分割的一部分。</w:t>
      </w:r>
    </w:p>
    <w:p>
      <w:pPr>
        <w:pStyle w:val="154"/>
        <w:widowControl/>
        <w:topLinePun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本合同一式份，自双方签章之日起起效。甲方份，乙方份，招标采购代理机构份，财政部门备案份，具有同等法律效力。</w:t>
      </w:r>
    </w:p>
    <w:p>
      <w:pPr>
        <w:topLinePunct/>
        <w:spacing w:line="460" w:lineRule="exact"/>
        <w:ind w:left="578" w:leftChars="275"/>
        <w:rPr>
          <w:rFonts w:hint="eastAsia" w:ascii="仿宋" w:hAnsi="仿宋" w:eastAsia="仿宋" w:cs="仿宋"/>
          <w:b/>
          <w:color w:val="auto"/>
          <w:sz w:val="24"/>
          <w:highlight w:val="none"/>
        </w:rPr>
      </w:pPr>
      <w:r>
        <w:rPr>
          <w:rFonts w:hint="eastAsia" w:ascii="仿宋" w:hAnsi="仿宋" w:eastAsia="仿宋" w:cs="仿宋"/>
          <w:b/>
          <w:color w:val="auto"/>
          <w:sz w:val="24"/>
          <w:highlight w:val="none"/>
          <w:lang w:bidi="ar"/>
        </w:rPr>
        <w:t>第十四条  附件</w:t>
      </w:r>
    </w:p>
    <w:p>
      <w:pPr>
        <w:pStyle w:val="154"/>
        <w:widowControl/>
        <w:topLinePun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项目磋商文件</w:t>
      </w:r>
    </w:p>
    <w:p>
      <w:pPr>
        <w:pStyle w:val="154"/>
        <w:widowControl/>
        <w:topLinePun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项目修改澄清文件</w:t>
      </w:r>
    </w:p>
    <w:p>
      <w:pPr>
        <w:pStyle w:val="154"/>
        <w:widowControl/>
        <w:topLinePun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项目响应文件</w:t>
      </w:r>
    </w:p>
    <w:p>
      <w:pPr>
        <w:pStyle w:val="154"/>
        <w:widowControl/>
        <w:topLinePun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成交通知书</w:t>
      </w:r>
    </w:p>
    <w:p>
      <w:pPr>
        <w:pStyle w:val="154"/>
        <w:widowControl/>
        <w:topLinePun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其他</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甲方：（盖章）</w:t>
      </w:r>
      <w:r>
        <w:rPr>
          <w:rFonts w:hint="eastAsia" w:ascii="仿宋" w:hAnsi="仿宋" w:eastAsia="仿宋" w:cs="仿宋"/>
          <w:color w:val="auto"/>
          <w:sz w:val="24"/>
          <w:highlight w:val="none"/>
          <w:lang w:bidi="ar"/>
        </w:rPr>
        <w:tab/>
      </w:r>
      <w:r>
        <w:rPr>
          <w:rFonts w:hint="eastAsia" w:ascii="仿宋" w:hAnsi="仿宋" w:eastAsia="仿宋" w:cs="仿宋"/>
          <w:color w:val="auto"/>
          <w:sz w:val="24"/>
          <w:highlight w:val="none"/>
          <w:lang w:bidi="ar"/>
        </w:rPr>
        <w:tab/>
      </w:r>
      <w:r>
        <w:rPr>
          <w:rFonts w:hint="eastAsia" w:ascii="仿宋" w:hAnsi="仿宋" w:eastAsia="仿宋" w:cs="仿宋"/>
          <w:color w:val="auto"/>
          <w:sz w:val="24"/>
          <w:highlight w:val="none"/>
          <w:lang w:bidi="ar"/>
        </w:rPr>
        <w:tab/>
      </w:r>
      <w:r>
        <w:rPr>
          <w:rFonts w:hint="eastAsia" w:ascii="仿宋" w:hAnsi="仿宋" w:eastAsia="仿宋" w:cs="仿宋"/>
          <w:color w:val="auto"/>
          <w:sz w:val="24"/>
          <w:highlight w:val="none"/>
          <w:lang w:bidi="ar"/>
        </w:rPr>
        <w:t xml:space="preserve">        乙方：（盖章）</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法定代表人（授权代表）：        法定代表人（授权代表）：</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地址：                          地址：</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开户银行：                      开户银行：</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账号：                          账号：</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电话：                          电话：</w:t>
      </w:r>
    </w:p>
    <w:p>
      <w:pPr>
        <w:topLinePunct/>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传真：                          传真：</w:t>
      </w:r>
    </w:p>
    <w:p>
      <w:pPr>
        <w:spacing w:line="460" w:lineRule="exact"/>
        <w:ind w:firstLine="480" w:firstLineChars="20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签约日期：XX年XX月XX日</w:t>
      </w:r>
      <w:r>
        <w:rPr>
          <w:rFonts w:hint="eastAsia" w:ascii="仿宋" w:hAnsi="仿宋" w:eastAsia="仿宋" w:cs="仿宋"/>
          <w:color w:val="auto"/>
          <w:sz w:val="24"/>
          <w:highlight w:val="none"/>
          <w:lang w:bidi="ar"/>
        </w:rPr>
        <w:tab/>
      </w:r>
      <w:r>
        <w:rPr>
          <w:rFonts w:hint="eastAsia" w:ascii="仿宋" w:hAnsi="仿宋" w:eastAsia="仿宋" w:cs="仿宋"/>
          <w:color w:val="auto"/>
          <w:sz w:val="24"/>
          <w:highlight w:val="none"/>
          <w:lang w:bidi="ar"/>
        </w:rPr>
        <w:tab/>
      </w:r>
      <w:r>
        <w:rPr>
          <w:rFonts w:hint="eastAsia" w:ascii="仿宋" w:hAnsi="仿宋" w:eastAsia="仿宋" w:cs="仿宋"/>
          <w:color w:val="auto"/>
          <w:sz w:val="24"/>
          <w:highlight w:val="none"/>
          <w:lang w:bidi="ar"/>
        </w:rPr>
        <w:t xml:space="preserve"> 签约日期：XX年XX月XX日</w:t>
      </w:r>
    </w:p>
    <w:p/>
    <w:p>
      <w:pPr>
        <w:bidi w:val="0"/>
        <w:rPr>
          <w:rFonts w:eastAsia="宋体"/>
          <w:kern w:val="2"/>
          <w:sz w:val="21"/>
          <w:lang w:val="en-US" w:eastAsia="zh-CN"/>
        </w:rPr>
      </w:pPr>
    </w:p>
    <w:p>
      <w:pPr>
        <w:rPr>
          <w:rFonts w:ascii="宋体" w:hAnsi="宋体" w:cs="Tahoma"/>
          <w:b/>
          <w:bCs/>
          <w:sz w:val="30"/>
          <w:szCs w:val="30"/>
        </w:rPr>
      </w:pPr>
      <w:r>
        <w:rPr>
          <w:rFonts w:ascii="宋体" w:hAnsi="宋体" w:cs="Tahoma"/>
          <w:b/>
          <w:bCs/>
          <w:sz w:val="30"/>
          <w:szCs w:val="30"/>
        </w:rPr>
        <w:br w:type="page"/>
      </w:r>
    </w:p>
    <w:p>
      <w:r>
        <w:rPr>
          <w:rFonts w:hint="eastAsia" w:ascii="宋体" w:hAnsi="宋体" w:cs="Tahoma"/>
          <w:b/>
          <w:bCs/>
          <w:sz w:val="30"/>
          <w:szCs w:val="30"/>
        </w:rPr>
        <w:t>附件：</w:t>
      </w:r>
    </w:p>
    <w:p>
      <w:r>
        <w:drawing>
          <wp:inline distT="0" distB="0" distL="0" distR="0">
            <wp:extent cx="5276850" cy="7458075"/>
            <wp:effectExtent l="0" t="0" r="11430" b="9525"/>
            <wp:docPr id="18" name="图片 18" descr="C:\Users\gwh\AppData\Local\Temp\ksohtml334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gwh\AppData\Local\Temp\ksohtml3340\wps19.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7" name="图片 17" descr="C:\Users\gwh\AppData\Local\Temp\ksohtml334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gwh\AppData\Local\Temp\ksohtml3340\wps20.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48550"/>
            <wp:effectExtent l="0" t="0" r="11430" b="3810"/>
            <wp:docPr id="16" name="图片 16" descr="C:\Users\gwh\AppData\Local\Temp\ksohtml3340\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gwh\AppData\Local\Temp\ksohtml3340\wps2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r>
        <w:drawing>
          <wp:inline distT="0" distB="0" distL="0" distR="0">
            <wp:extent cx="5276850" cy="7458075"/>
            <wp:effectExtent l="0" t="0" r="11430" b="9525"/>
            <wp:docPr id="15" name="图片 15" descr="C:\Users\gwh\AppData\Local\Temp\ksohtml3340\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gwh\AppData\Local\Temp\ksohtml3340\wps2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4" name="图片 14" descr="C:\Users\gwh\AppData\Local\Temp\ksohtml334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gwh\AppData\Local\Temp\ksohtml3340\wps2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3" name="图片 13" descr="C:\Users\gwh\AppData\Local\Temp\ksohtml334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gwh\AppData\Local\Temp\ksohtml3340\wps24.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2" name="图片 12" descr="C:\Users\gwh\AppData\Local\Temp\ksohtml3340\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gwh\AppData\Local\Temp\ksohtml3340\wps25.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1" name="图片 11" descr="C:\Users\gwh\AppData\Local\Temp\ksohtml3340\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gwh\AppData\Local\Temp\ksohtml3340\wps26.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10" name="图片 10" descr="C:\Users\gwh\AppData\Local\Temp\ksohtml3340\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gwh\AppData\Local\Temp\ksohtml3340\wps2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9" name="图片 9" descr="C:\Users\gwh\AppData\Local\Temp\ksohtml334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gwh\AppData\Local\Temp\ksohtml3340\wps28.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8" name="图片 8" descr="C:\Users\gwh\AppData\Local\Temp\ksohtml3340\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gwh\AppData\Local\Temp\ksohtml3340\wps29.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7" name="图片 7" descr="C:\Users\gwh\AppData\Local\Temp\ksohtml3340\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gwh\AppData\Local\Temp\ksohtml3340\wps3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6" name="图片 6" descr="C:\Users\gwh\AppData\Local\Temp\ksohtml3340\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gwh\AppData\Local\Temp\ksohtml3340\wps3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5" name="图片 5" descr="C:\Users\gwh\AppData\Local\Temp\ksohtml3340\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gwh\AppData\Local\Temp\ksohtml3340\wps32.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5276850" cy="7458075"/>
            <wp:effectExtent l="0" t="0" r="11430" b="9525"/>
            <wp:docPr id="4" name="图片 4" descr="C:\Users\gwh\AppData\Local\Temp\ksohtml334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gwh\AppData\Local\Temp\ksohtml3340\wps33.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14900" cy="6800850"/>
            <wp:effectExtent l="0" t="0" r="7620" b="11430"/>
            <wp:docPr id="3" name="图片 3" descr="C:\Users\gwh\AppData\Local\Temp\ksohtml334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gwh\AppData\Local\Temp\ksohtml3340\wps3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4914900" cy="6800850"/>
                    </a:xfrm>
                    <a:prstGeom prst="rect">
                      <a:avLst/>
                    </a:prstGeom>
                    <a:noFill/>
                    <a:ln>
                      <a:noFill/>
                    </a:ln>
                  </pic:spPr>
                </pic:pic>
              </a:graphicData>
            </a:graphic>
          </wp:inline>
        </w:drawing>
      </w:r>
      <w:r>
        <w:drawing>
          <wp:inline distT="0" distB="0" distL="0" distR="0">
            <wp:extent cx="4991100" cy="6677025"/>
            <wp:effectExtent l="0" t="0" r="7620" b="13335"/>
            <wp:docPr id="2" name="图片 2" descr="C:\Users\gwh\AppData\Local\Temp\ksohtml334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gwh\AppData\Local\Temp\ksohtml3340\wps35.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4991100" cy="6677025"/>
                    </a:xfrm>
                    <a:prstGeom prst="rect">
                      <a:avLst/>
                    </a:prstGeom>
                    <a:noFill/>
                    <a:ln>
                      <a:noFill/>
                    </a:ln>
                  </pic:spPr>
                </pic:pic>
              </a:graphicData>
            </a:graphic>
          </wp:inline>
        </w:drawing>
      </w:r>
      <w:r>
        <w:drawing>
          <wp:inline distT="0" distB="0" distL="0" distR="0">
            <wp:extent cx="5276850" cy="3409950"/>
            <wp:effectExtent l="0" t="0" r="11430" b="3810"/>
            <wp:docPr id="1" name="图片 1" descr="C:\Users\gwh\AppData\Local\Temp\ksohtml334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gwh\AppData\Local\Temp\ksohtml3340\wps36.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6850" cy="3409950"/>
                    </a:xfrm>
                    <a:prstGeom prst="rect">
                      <a:avLst/>
                    </a:prstGeom>
                    <a:noFill/>
                    <a:ln>
                      <a:noFill/>
                    </a:ln>
                  </pic:spPr>
                </pic:pic>
              </a:graphicData>
            </a:graphic>
          </wp:inline>
        </w:drawing>
      </w:r>
    </w:p>
    <w:p/>
    <w:p>
      <w:pPr>
        <w:ind w:left="420"/>
        <w:jc w:val="right"/>
      </w:pPr>
    </w:p>
    <w:p>
      <w:pPr>
        <w:rPr>
          <w:rFonts w:hint="eastAsia"/>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383655"/>
            <wp:effectExtent l="0" t="0" r="825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7435850" cy="5245100"/>
            <wp:effectExtent l="0" t="0" r="1270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5779770"/>
            <wp:effectExtent l="0" t="0" r="889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5" name="图片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6" name="图片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
                    <pic:cNvPicPr>
                      <a:picLocks noChangeAspect="1"/>
                    </pic:cNvPicPr>
                  </pic:nvPicPr>
                  <pic:blipFill>
                    <a:blip r:embed="rId31"/>
                    <a:stretch>
                      <a:fillRect/>
                    </a:stretch>
                  </pic:blipFill>
                  <pic:spPr>
                    <a:xfrm>
                      <a:off x="0" y="0"/>
                      <a:ext cx="5262245" cy="7440930"/>
                    </a:xfrm>
                    <a:prstGeom prst="rect">
                      <a:avLst/>
                    </a:prstGeom>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7" name="图片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
                    <pic:cNvPicPr>
                      <a:picLocks noChangeAspect="1"/>
                    </pic:cNvPicPr>
                  </pic:nvPicPr>
                  <pic:blipFill>
                    <a:blip r:embed="rId32"/>
                    <a:stretch>
                      <a:fillRect/>
                    </a:stretch>
                  </pic:blipFill>
                  <pic:spPr>
                    <a:xfrm>
                      <a:off x="0" y="0"/>
                      <a:ext cx="5262245" cy="7440930"/>
                    </a:xfrm>
                    <a:prstGeom prst="rect">
                      <a:avLst/>
                    </a:prstGeom>
                  </pic:spPr>
                </pic:pic>
              </a:graphicData>
            </a:graphic>
          </wp:inline>
        </w:drawing>
      </w:r>
    </w:p>
    <w:p>
      <w:pPr>
        <w:rPr>
          <w:rFonts w:hint="eastAsia" w:ascii="Calibri" w:hAnsi="Calibri" w:eastAsia="宋体" w:cs="Times New Roman"/>
          <w:szCs w:val="22"/>
          <w:highlight w:val="none"/>
        </w:rPr>
      </w:pPr>
    </w:p>
    <w:p>
      <w:pPr>
        <w:rPr>
          <w:rFonts w:hint="eastAsia" w:ascii="Calibri" w:hAnsi="Calibri" w:eastAsia="宋体" w:cs="Times New Roman"/>
          <w:szCs w:val="22"/>
          <w:highlight w:val="none"/>
        </w:rPr>
      </w:pP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等线">
    <w:altName w:val="Arial Unicode MS"/>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Tms Rmn">
    <w:altName w:val="Segoe Print"/>
    <w:panose1 w:val="020206030405050203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6850672"/>
    </w:sdtPr>
    <w:sdtEndPr>
      <w:rPr>
        <w:sz w:val="24"/>
        <w:szCs w:val="24"/>
      </w:rPr>
    </w:sdtEndPr>
    <w:sdtContent>
      <w:p>
        <w:pPr>
          <w:pStyle w:val="28"/>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31</w:t>
        </w:r>
        <w:r>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3098378"/>
      <w:docPartObj>
        <w:docPartGallery w:val="autotext"/>
      </w:docPartObj>
    </w:sdtPr>
    <w:sdtContent>
      <w:p>
        <w:pPr>
          <w:pStyle w:val="28"/>
          <w:ind w:firstLine="420"/>
          <w:jc w:val="center"/>
        </w:pPr>
        <w:r>
          <w:fldChar w:fldCharType="begin"/>
        </w:r>
        <w:r>
          <w:instrText xml:space="preserve">PAGE   \* MERGEFORMAT</w:instrText>
        </w:r>
        <w:r>
          <w:fldChar w:fldCharType="separate"/>
        </w:r>
        <w:r>
          <w:rPr>
            <w:lang w:val="zh-CN"/>
          </w:rPr>
          <w:t>76</w:t>
        </w:r>
        <w:r>
          <w:fldChar w:fldCharType="end"/>
        </w:r>
      </w:p>
    </w:sdtContent>
  </w:sdt>
  <w:p>
    <w:pPr>
      <w:pStyle w:val="2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D311D5D"/>
    <w:multiLevelType w:val="singleLevel"/>
    <w:tmpl w:val="ED311D5D"/>
    <w:lvl w:ilvl="0" w:tentative="0">
      <w:start w:val="1"/>
      <w:numFmt w:val="chineseCounting"/>
      <w:suff w:val="space"/>
      <w:lvlText w:val="第%1条"/>
      <w:lvlJc w:val="left"/>
      <w:pPr>
        <w:ind w:left="540" w:firstLine="0"/>
      </w:pPr>
      <w:rPr>
        <w:rFonts w:hint="eastAsia"/>
      </w:rPr>
    </w:lvl>
  </w:abstractNum>
  <w:abstractNum w:abstractNumId="1">
    <w:nsid w:val="0000000F"/>
    <w:multiLevelType w:val="multilevel"/>
    <w:tmpl w:val="0000000F"/>
    <w:lvl w:ilvl="0" w:tentative="0">
      <w:start w:val="3"/>
      <w:numFmt w:val="japaneseCounting"/>
      <w:pStyle w:val="283"/>
      <w:lvlText w:val="第%1章"/>
      <w:lvlJc w:val="left"/>
      <w:pPr>
        <w:tabs>
          <w:tab w:val="left" w:pos="1455"/>
        </w:tabs>
        <w:ind w:left="1455" w:hanging="145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0000012"/>
    <w:multiLevelType w:val="multilevel"/>
    <w:tmpl w:val="00000012"/>
    <w:lvl w:ilvl="0" w:tentative="0">
      <w:start w:val="1"/>
      <w:numFmt w:val="chineseCountingThousand"/>
      <w:suff w:val="nothing"/>
      <w:lvlText w:val="%1、"/>
      <w:lvlJc w:val="left"/>
      <w:pPr>
        <w:ind w:left="988" w:hanging="420"/>
      </w:pPr>
      <w:rPr>
        <w:rFonts w:hint="eastAsia"/>
      </w:rPr>
    </w:lvl>
    <w:lvl w:ilvl="1" w:tentative="0">
      <w:start w:val="1"/>
      <w:numFmt w:val="lowerLetter"/>
      <w:lvlText w:val="%2)"/>
      <w:lvlJc w:val="left"/>
      <w:pPr>
        <w:ind w:left="1408" w:hanging="420"/>
      </w:pPr>
      <w:rPr>
        <w:rFonts w:hint="eastAsia"/>
      </w:rPr>
    </w:lvl>
    <w:lvl w:ilvl="2" w:tentative="0">
      <w:start w:val="1"/>
      <w:numFmt w:val="lowerRoman"/>
      <w:lvlText w:val="%3."/>
      <w:lvlJc w:val="right"/>
      <w:pPr>
        <w:ind w:left="1828" w:hanging="420"/>
      </w:pPr>
      <w:rPr>
        <w:rFonts w:hint="eastAsia"/>
      </w:rPr>
    </w:lvl>
    <w:lvl w:ilvl="3" w:tentative="0">
      <w:start w:val="1"/>
      <w:numFmt w:val="decimal"/>
      <w:lvlText w:val="%4."/>
      <w:lvlJc w:val="left"/>
      <w:pPr>
        <w:ind w:left="2248" w:hanging="420"/>
      </w:pPr>
      <w:rPr>
        <w:rFonts w:hint="eastAsia"/>
      </w:rPr>
    </w:lvl>
    <w:lvl w:ilvl="4" w:tentative="0">
      <w:start w:val="1"/>
      <w:numFmt w:val="lowerLetter"/>
      <w:lvlText w:val="%5)"/>
      <w:lvlJc w:val="left"/>
      <w:pPr>
        <w:ind w:left="2668" w:hanging="420"/>
      </w:pPr>
      <w:rPr>
        <w:rFonts w:hint="eastAsia"/>
      </w:rPr>
    </w:lvl>
    <w:lvl w:ilvl="5" w:tentative="0">
      <w:start w:val="1"/>
      <w:numFmt w:val="lowerRoman"/>
      <w:lvlText w:val="%6."/>
      <w:lvlJc w:val="right"/>
      <w:pPr>
        <w:ind w:left="3088" w:hanging="420"/>
      </w:pPr>
      <w:rPr>
        <w:rFonts w:hint="eastAsia"/>
      </w:rPr>
    </w:lvl>
    <w:lvl w:ilvl="6" w:tentative="0">
      <w:start w:val="1"/>
      <w:numFmt w:val="decimal"/>
      <w:lvlText w:val="%7."/>
      <w:lvlJc w:val="left"/>
      <w:pPr>
        <w:ind w:left="3508" w:hanging="420"/>
      </w:pPr>
      <w:rPr>
        <w:rFonts w:hint="eastAsia"/>
      </w:rPr>
    </w:lvl>
    <w:lvl w:ilvl="7" w:tentative="0">
      <w:start w:val="1"/>
      <w:numFmt w:val="lowerLetter"/>
      <w:lvlText w:val="%8)"/>
      <w:lvlJc w:val="left"/>
      <w:pPr>
        <w:ind w:left="3928" w:hanging="420"/>
      </w:pPr>
      <w:rPr>
        <w:rFonts w:hint="eastAsia"/>
      </w:rPr>
    </w:lvl>
    <w:lvl w:ilvl="8" w:tentative="0">
      <w:start w:val="1"/>
      <w:numFmt w:val="lowerRoman"/>
      <w:lvlText w:val="%9."/>
      <w:lvlJc w:val="right"/>
      <w:pPr>
        <w:ind w:left="4348" w:hanging="420"/>
      </w:pPr>
      <w:rPr>
        <w:rFonts w:hint="eastAsia"/>
      </w:rPr>
    </w:lvl>
  </w:abstractNum>
  <w:abstractNum w:abstractNumId="3">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3"/>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5">
    <w:nsid w:val="00000017"/>
    <w:multiLevelType w:val="multilevel"/>
    <w:tmpl w:val="00000017"/>
    <w:lvl w:ilvl="0" w:tentative="0">
      <w:start w:val="1"/>
      <w:numFmt w:val="chineseCountingThousand"/>
      <w:lvlText w:val="%1、"/>
      <w:lvlJc w:val="left"/>
      <w:pPr>
        <w:ind w:left="2122"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5"/>
    <w:multiLevelType w:val="multilevel"/>
    <w:tmpl w:val="00000025"/>
    <w:lvl w:ilvl="0" w:tentative="0">
      <w:start w:val="1"/>
      <w:numFmt w:val="chineseCountingThousand"/>
      <w:lvlText w:val="%1、"/>
      <w:lvlJc w:val="left"/>
      <w:pPr>
        <w:ind w:left="1130"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9">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2E"/>
    <w:multiLevelType w:val="multilevel"/>
    <w:tmpl w:val="0000002E"/>
    <w:lvl w:ilvl="0" w:tentative="0">
      <w:start w:val="1"/>
      <w:numFmt w:val="decimal"/>
      <w:pStyle w:val="3"/>
      <w:lvlText w:val="第%1章"/>
      <w:lvlJc w:val="left"/>
      <w:pPr>
        <w:ind w:left="3686" w:hanging="425"/>
      </w:pPr>
      <w:rPr>
        <w:rFonts w:hint="default" w:ascii="Times New Roman" w:hAnsi="Times New Roman" w:eastAsia="宋体" w:cs="Times New Roman"/>
        <w:b/>
        <w:i w:val="0"/>
        <w:sz w:val="28"/>
        <w:szCs w:val="28"/>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1701"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2">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9065E2B"/>
    <w:multiLevelType w:val="multilevel"/>
    <w:tmpl w:val="09065E2B"/>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988"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6">
    <w:nsid w:val="0D7E5BC7"/>
    <w:multiLevelType w:val="multilevel"/>
    <w:tmpl w:val="0D7E5BC7"/>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8">
    <w:nsid w:val="178C1D1F"/>
    <w:multiLevelType w:val="multilevel"/>
    <w:tmpl w:val="178C1D1F"/>
    <w:lvl w:ilvl="0" w:tentative="0">
      <w:start w:val="1"/>
      <w:numFmt w:val="chineseCountingThousand"/>
      <w:lvlText w:val="(%1)"/>
      <w:lvlJc w:val="left"/>
      <w:pPr>
        <w:ind w:left="1050" w:hanging="420"/>
      </w:p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19">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0">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21">
    <w:nsid w:val="1F400039"/>
    <w:multiLevelType w:val="multilevel"/>
    <w:tmpl w:val="1F400039"/>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3">
    <w:nsid w:val="27297F69"/>
    <w:multiLevelType w:val="multilevel"/>
    <w:tmpl w:val="27297F69"/>
    <w:lvl w:ilvl="0" w:tentative="0">
      <w:start w:val="1"/>
      <w:numFmt w:val="chineseCountingThousand"/>
      <w:suff w:val="nothing"/>
      <w:lvlText w:val="%1、"/>
      <w:lvlJc w:val="left"/>
      <w:pPr>
        <w:ind w:left="1413"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4">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6">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2C5917C3"/>
    <w:multiLevelType w:val="multilevel"/>
    <w:tmpl w:val="2C5917C3"/>
    <w:lvl w:ilvl="0" w:tentative="0">
      <w:start w:val="1"/>
      <w:numFmt w:val="none"/>
      <w:pStyle w:val="159"/>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8">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0">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32">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3">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394E3612"/>
    <w:multiLevelType w:val="multilevel"/>
    <w:tmpl w:val="394E3612"/>
    <w:lvl w:ilvl="0" w:tentative="0">
      <w:start w:val="1"/>
      <w:numFmt w:val="chineseCountingThousand"/>
      <w:lvlText w:val="%1、"/>
      <w:lvlJc w:val="left"/>
      <w:pPr>
        <w:ind w:left="1130" w:hanging="420"/>
      </w:pPr>
      <w:rPr>
        <w:rFonts w:hint="eastAsia"/>
        <w:color w:val="auto"/>
        <w:sz w:val="28"/>
        <w:szCs w:val="28"/>
        <w:lang w:val="en-US"/>
      </w:rPr>
    </w:lvl>
    <w:lvl w:ilvl="1" w:tentative="0">
      <w:start w:val="1"/>
      <w:numFmt w:val="decimal"/>
      <w:lvlText w:val="（%2）"/>
      <w:lvlJc w:val="left"/>
      <w:pPr>
        <w:ind w:left="1049" w:hanging="420"/>
      </w:pPr>
      <w:rPr>
        <w:rFonts w:hint="default"/>
        <w:color w:val="000000"/>
      </w:r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35">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6">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7">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4D2C586C"/>
    <w:multiLevelType w:val="multilevel"/>
    <w:tmpl w:val="4D2C586C"/>
    <w:lvl w:ilvl="0" w:tentative="0">
      <w:start w:val="1"/>
      <w:numFmt w:val="chineseCountingThousand"/>
      <w:lvlText w:val="%1、"/>
      <w:lvlJc w:val="left"/>
      <w:pPr>
        <w:ind w:left="1272" w:hanging="420"/>
      </w:pPr>
      <w:rPr>
        <w:rFonts w:hint="eastAsia"/>
        <w:color w:val="000000" w:themeColor="text1"/>
        <w14:textFill>
          <w14:solidFill>
            <w14:schemeClr w14:val="tx1"/>
          </w14:solidFill>
        </w14:textFill>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0">
    <w:nsid w:val="4FC6300F"/>
    <w:multiLevelType w:val="multilevel"/>
    <w:tmpl w:val="4FC6300F"/>
    <w:lvl w:ilvl="0" w:tentative="0">
      <w:start w:val="1"/>
      <w:numFmt w:val="chineseCountingThousand"/>
      <w:lvlText w:val="%1、"/>
      <w:lvlJc w:val="left"/>
      <w:pPr>
        <w:ind w:left="113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3">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8">
    <w:nsid w:val="6A47046A"/>
    <w:multiLevelType w:val="multilevel"/>
    <w:tmpl w:val="6A47046A"/>
    <w:lvl w:ilvl="0" w:tentative="0">
      <w:start w:val="1"/>
      <w:numFmt w:val="chineseCountingThousand"/>
      <w:lvlText w:val="%1、"/>
      <w:lvlJc w:val="left"/>
      <w:pPr>
        <w:ind w:left="1271" w:hanging="420"/>
      </w:pPr>
      <w:rPr>
        <w:rFonts w:hint="eastAsia"/>
        <w:i w:val="0"/>
        <w:sz w:val="28"/>
        <w:szCs w:val="28"/>
      </w:rPr>
    </w:lvl>
    <w:lvl w:ilvl="1" w:tentative="0">
      <w:start w:val="1"/>
      <w:numFmt w:val="lowerLetter"/>
      <w:lvlText w:val="%2)"/>
      <w:lvlJc w:val="left"/>
      <w:pPr>
        <w:ind w:left="1049" w:hanging="420"/>
      </w:pPr>
    </w:lvl>
    <w:lvl w:ilvl="2" w:tentative="0">
      <w:start w:val="1"/>
      <w:numFmt w:val="lowerRoman"/>
      <w:lvlText w:val="%3."/>
      <w:lvlJc w:val="right"/>
      <w:pPr>
        <w:ind w:left="1469" w:hanging="420"/>
      </w:pPr>
    </w:lvl>
    <w:lvl w:ilvl="3" w:tentative="0">
      <w:start w:val="1"/>
      <w:numFmt w:val="decimal"/>
      <w:lvlText w:val="%4."/>
      <w:lvlJc w:val="left"/>
      <w:pPr>
        <w:ind w:left="1889" w:hanging="420"/>
      </w:pPr>
    </w:lvl>
    <w:lvl w:ilvl="4" w:tentative="0">
      <w:start w:val="1"/>
      <w:numFmt w:val="lowerLetter"/>
      <w:lvlText w:val="%5)"/>
      <w:lvlJc w:val="left"/>
      <w:pPr>
        <w:ind w:left="2309" w:hanging="420"/>
      </w:pPr>
    </w:lvl>
    <w:lvl w:ilvl="5" w:tentative="0">
      <w:start w:val="1"/>
      <w:numFmt w:val="lowerRoman"/>
      <w:lvlText w:val="%6."/>
      <w:lvlJc w:val="right"/>
      <w:pPr>
        <w:ind w:left="2729" w:hanging="420"/>
      </w:pPr>
    </w:lvl>
    <w:lvl w:ilvl="6" w:tentative="0">
      <w:start w:val="1"/>
      <w:numFmt w:val="decimal"/>
      <w:lvlText w:val="%7."/>
      <w:lvlJc w:val="left"/>
      <w:pPr>
        <w:ind w:left="3149" w:hanging="420"/>
      </w:pPr>
    </w:lvl>
    <w:lvl w:ilvl="7" w:tentative="0">
      <w:start w:val="1"/>
      <w:numFmt w:val="lowerLetter"/>
      <w:lvlText w:val="%8)"/>
      <w:lvlJc w:val="left"/>
      <w:pPr>
        <w:ind w:left="3569" w:hanging="420"/>
      </w:pPr>
    </w:lvl>
    <w:lvl w:ilvl="8" w:tentative="0">
      <w:start w:val="1"/>
      <w:numFmt w:val="lowerRoman"/>
      <w:lvlText w:val="%9."/>
      <w:lvlJc w:val="right"/>
      <w:pPr>
        <w:ind w:left="3989" w:hanging="420"/>
      </w:pPr>
    </w:lvl>
  </w:abstractNum>
  <w:abstractNum w:abstractNumId="49">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0">
    <w:nsid w:val="721A25D2"/>
    <w:multiLevelType w:val="multilevel"/>
    <w:tmpl w:val="721A25D2"/>
    <w:lvl w:ilvl="0" w:tentative="0">
      <w:start w:val="1"/>
      <w:numFmt w:val="chineseCountingThousand"/>
      <w:lvlText w:val="%1、"/>
      <w:lvlJc w:val="left"/>
      <w:pPr>
        <w:ind w:left="988"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51">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2">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53">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4">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5">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1"/>
  </w:num>
  <w:num w:numId="2">
    <w:abstractNumId w:val="6"/>
  </w:num>
  <w:num w:numId="3">
    <w:abstractNumId w:val="4"/>
  </w:num>
  <w:num w:numId="4">
    <w:abstractNumId w:val="27"/>
  </w:num>
  <w:num w:numId="5">
    <w:abstractNumId w:val="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24"/>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26"/>
  </w:num>
  <w:num w:numId="45">
    <w:abstractNumId w:val="44"/>
  </w:num>
  <w:num w:numId="46">
    <w:abstractNumId w:val="36"/>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3%e5%8f%b7/"/>
  </w:docVars>
  <w:rsids>
    <w:rsidRoot w:val="00172A27"/>
    <w:rsid w:val="00011B42"/>
    <w:rsid w:val="000B4E51"/>
    <w:rsid w:val="00153B24"/>
    <w:rsid w:val="0016111C"/>
    <w:rsid w:val="001656D8"/>
    <w:rsid w:val="001B4426"/>
    <w:rsid w:val="001C5756"/>
    <w:rsid w:val="001E01FB"/>
    <w:rsid w:val="00207300"/>
    <w:rsid w:val="00257F59"/>
    <w:rsid w:val="00281B93"/>
    <w:rsid w:val="0030630A"/>
    <w:rsid w:val="00335078"/>
    <w:rsid w:val="0036406B"/>
    <w:rsid w:val="00416741"/>
    <w:rsid w:val="004B6152"/>
    <w:rsid w:val="005857AC"/>
    <w:rsid w:val="00587C39"/>
    <w:rsid w:val="005E3F35"/>
    <w:rsid w:val="005F653E"/>
    <w:rsid w:val="00607F9B"/>
    <w:rsid w:val="00685808"/>
    <w:rsid w:val="006C4FBF"/>
    <w:rsid w:val="00714773"/>
    <w:rsid w:val="00721C19"/>
    <w:rsid w:val="00742DD9"/>
    <w:rsid w:val="00755160"/>
    <w:rsid w:val="00781B15"/>
    <w:rsid w:val="00844B65"/>
    <w:rsid w:val="00917EB2"/>
    <w:rsid w:val="009312C9"/>
    <w:rsid w:val="009563C2"/>
    <w:rsid w:val="00A05B75"/>
    <w:rsid w:val="00A31755"/>
    <w:rsid w:val="00A33FAE"/>
    <w:rsid w:val="00A416F1"/>
    <w:rsid w:val="00A642F2"/>
    <w:rsid w:val="00A953C0"/>
    <w:rsid w:val="00AF0ABE"/>
    <w:rsid w:val="00B51D82"/>
    <w:rsid w:val="00B63B79"/>
    <w:rsid w:val="00BA5E01"/>
    <w:rsid w:val="00BF64BB"/>
    <w:rsid w:val="00C6296E"/>
    <w:rsid w:val="00C72D4F"/>
    <w:rsid w:val="00C73ABA"/>
    <w:rsid w:val="00CB7FEB"/>
    <w:rsid w:val="00D403E0"/>
    <w:rsid w:val="00D52082"/>
    <w:rsid w:val="00D61A42"/>
    <w:rsid w:val="00D768D6"/>
    <w:rsid w:val="00DA50A0"/>
    <w:rsid w:val="00DD0DA4"/>
    <w:rsid w:val="00DE78E7"/>
    <w:rsid w:val="00E726CE"/>
    <w:rsid w:val="00E864C0"/>
    <w:rsid w:val="00F15C01"/>
    <w:rsid w:val="00F211E5"/>
    <w:rsid w:val="00F4465B"/>
    <w:rsid w:val="00FB0106"/>
    <w:rsid w:val="02170678"/>
    <w:rsid w:val="03080A69"/>
    <w:rsid w:val="043D7913"/>
    <w:rsid w:val="06772045"/>
    <w:rsid w:val="06B53FF1"/>
    <w:rsid w:val="070956DF"/>
    <w:rsid w:val="07B20F52"/>
    <w:rsid w:val="07C63285"/>
    <w:rsid w:val="07ED0E95"/>
    <w:rsid w:val="091571B9"/>
    <w:rsid w:val="091A769F"/>
    <w:rsid w:val="0A4E5740"/>
    <w:rsid w:val="0ABA208D"/>
    <w:rsid w:val="0B0A4CE6"/>
    <w:rsid w:val="0C2823AE"/>
    <w:rsid w:val="0EA3050E"/>
    <w:rsid w:val="0EBB3613"/>
    <w:rsid w:val="0FD22908"/>
    <w:rsid w:val="106D6153"/>
    <w:rsid w:val="108462FB"/>
    <w:rsid w:val="123542E6"/>
    <w:rsid w:val="137A0CB6"/>
    <w:rsid w:val="13D16086"/>
    <w:rsid w:val="141E49EA"/>
    <w:rsid w:val="143C28A0"/>
    <w:rsid w:val="14EA280B"/>
    <w:rsid w:val="1593409F"/>
    <w:rsid w:val="15A361A2"/>
    <w:rsid w:val="15F05260"/>
    <w:rsid w:val="166E13D4"/>
    <w:rsid w:val="171B3C98"/>
    <w:rsid w:val="18C0338D"/>
    <w:rsid w:val="191F4793"/>
    <w:rsid w:val="1A773698"/>
    <w:rsid w:val="1BC95F74"/>
    <w:rsid w:val="1C505575"/>
    <w:rsid w:val="1CB42B8E"/>
    <w:rsid w:val="1EB33585"/>
    <w:rsid w:val="20D7722F"/>
    <w:rsid w:val="210C4EE0"/>
    <w:rsid w:val="21830DF4"/>
    <w:rsid w:val="21E6628B"/>
    <w:rsid w:val="2292477C"/>
    <w:rsid w:val="22EF397E"/>
    <w:rsid w:val="233758D3"/>
    <w:rsid w:val="248B4D12"/>
    <w:rsid w:val="25DC6278"/>
    <w:rsid w:val="2734000E"/>
    <w:rsid w:val="27720389"/>
    <w:rsid w:val="27CB56E5"/>
    <w:rsid w:val="28BF273C"/>
    <w:rsid w:val="2914048C"/>
    <w:rsid w:val="29230800"/>
    <w:rsid w:val="2AF44F66"/>
    <w:rsid w:val="2B314321"/>
    <w:rsid w:val="2B381771"/>
    <w:rsid w:val="2BF101B1"/>
    <w:rsid w:val="2D0039EC"/>
    <w:rsid w:val="2D1C6FD6"/>
    <w:rsid w:val="2D543FDD"/>
    <w:rsid w:val="2D647F07"/>
    <w:rsid w:val="2DF3568A"/>
    <w:rsid w:val="2EB05890"/>
    <w:rsid w:val="2EC96400"/>
    <w:rsid w:val="2F1467C8"/>
    <w:rsid w:val="30546FAD"/>
    <w:rsid w:val="31311356"/>
    <w:rsid w:val="31DA606F"/>
    <w:rsid w:val="337733D1"/>
    <w:rsid w:val="339744C3"/>
    <w:rsid w:val="35D9151E"/>
    <w:rsid w:val="366945CC"/>
    <w:rsid w:val="369B1E40"/>
    <w:rsid w:val="36EC03C6"/>
    <w:rsid w:val="38992C17"/>
    <w:rsid w:val="39BB7BCC"/>
    <w:rsid w:val="3A307E82"/>
    <w:rsid w:val="3CD1589C"/>
    <w:rsid w:val="3D7D28C8"/>
    <w:rsid w:val="3D9A36FD"/>
    <w:rsid w:val="3DA22818"/>
    <w:rsid w:val="3E796AB5"/>
    <w:rsid w:val="3F52694B"/>
    <w:rsid w:val="3FE843FE"/>
    <w:rsid w:val="406C10CE"/>
    <w:rsid w:val="4094382C"/>
    <w:rsid w:val="42D9404B"/>
    <w:rsid w:val="4384789D"/>
    <w:rsid w:val="439C6B91"/>
    <w:rsid w:val="4455140A"/>
    <w:rsid w:val="445829CA"/>
    <w:rsid w:val="47597A5D"/>
    <w:rsid w:val="487E7191"/>
    <w:rsid w:val="4880203E"/>
    <w:rsid w:val="48D77C48"/>
    <w:rsid w:val="49275DCC"/>
    <w:rsid w:val="4B724062"/>
    <w:rsid w:val="4B8F1825"/>
    <w:rsid w:val="4C3D77EA"/>
    <w:rsid w:val="4CC5575A"/>
    <w:rsid w:val="4D0C1776"/>
    <w:rsid w:val="4D770173"/>
    <w:rsid w:val="4E5D71DF"/>
    <w:rsid w:val="4E845984"/>
    <w:rsid w:val="4EC26F5F"/>
    <w:rsid w:val="4FA0001B"/>
    <w:rsid w:val="50451361"/>
    <w:rsid w:val="509629C3"/>
    <w:rsid w:val="51820AE6"/>
    <w:rsid w:val="51AA015A"/>
    <w:rsid w:val="52417790"/>
    <w:rsid w:val="524A10EF"/>
    <w:rsid w:val="53990A05"/>
    <w:rsid w:val="5424623B"/>
    <w:rsid w:val="546D2913"/>
    <w:rsid w:val="54B7267F"/>
    <w:rsid w:val="5684068E"/>
    <w:rsid w:val="56ED0E44"/>
    <w:rsid w:val="5712521B"/>
    <w:rsid w:val="58C42E6B"/>
    <w:rsid w:val="596D5D55"/>
    <w:rsid w:val="5A186A99"/>
    <w:rsid w:val="5A5E00E9"/>
    <w:rsid w:val="5A921A16"/>
    <w:rsid w:val="5B716248"/>
    <w:rsid w:val="5B727E59"/>
    <w:rsid w:val="5B7D0943"/>
    <w:rsid w:val="5D0A4C54"/>
    <w:rsid w:val="5ED02545"/>
    <w:rsid w:val="607508D3"/>
    <w:rsid w:val="60C6192C"/>
    <w:rsid w:val="610F58C5"/>
    <w:rsid w:val="61116556"/>
    <w:rsid w:val="632F5253"/>
    <w:rsid w:val="633919E8"/>
    <w:rsid w:val="65346671"/>
    <w:rsid w:val="658D1A5E"/>
    <w:rsid w:val="65C116DF"/>
    <w:rsid w:val="667F4622"/>
    <w:rsid w:val="677C3D0E"/>
    <w:rsid w:val="67C0183A"/>
    <w:rsid w:val="68861AE9"/>
    <w:rsid w:val="68CF51C4"/>
    <w:rsid w:val="698451EF"/>
    <w:rsid w:val="69935C93"/>
    <w:rsid w:val="6B7117FE"/>
    <w:rsid w:val="6B7F564B"/>
    <w:rsid w:val="6C1C2D7E"/>
    <w:rsid w:val="6C1E2F65"/>
    <w:rsid w:val="6C5574F8"/>
    <w:rsid w:val="6DE67650"/>
    <w:rsid w:val="6E13544F"/>
    <w:rsid w:val="6E8C4850"/>
    <w:rsid w:val="70B1202F"/>
    <w:rsid w:val="7178151A"/>
    <w:rsid w:val="722C3D26"/>
    <w:rsid w:val="72347795"/>
    <w:rsid w:val="744A5062"/>
    <w:rsid w:val="746467BB"/>
    <w:rsid w:val="74773E39"/>
    <w:rsid w:val="75A9422F"/>
    <w:rsid w:val="7612697C"/>
    <w:rsid w:val="76CC4EFF"/>
    <w:rsid w:val="772E4182"/>
    <w:rsid w:val="7739325D"/>
    <w:rsid w:val="79B864FC"/>
    <w:rsid w:val="7AAF3F80"/>
    <w:rsid w:val="7AC450CD"/>
    <w:rsid w:val="7F0B4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0" w:semiHidden="0" w:name="heading 4"/>
    <w:lsdException w:qFormat="1" w:uiPriority="9" w:semiHidden="0" w:name="heading 5"/>
    <w:lsdException w:qFormat="1" w:uiPriority="9" w:semiHidden="0" w:name="heading 6"/>
    <w:lsdException w:qFormat="1" w:uiPriority="9"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iPriority="0" w:semiHidden="0" w:name="Normal Indent"/>
    <w:lsdException w:qFormat="1"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iPriority="0" w:semiHidden="0" w:name="Date"/>
    <w:lsdException w:qFormat="1"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1"/>
    <w:qFormat/>
    <w:uiPriority w:val="9"/>
    <w:pPr>
      <w:keepNext/>
      <w:keepLines/>
      <w:numPr>
        <w:ilvl w:val="0"/>
        <w:numId w:val="1"/>
      </w:numPr>
      <w:spacing w:before="340" w:after="330" w:line="400" w:lineRule="exact"/>
      <w:ind w:left="283"/>
      <w:jc w:val="center"/>
      <w:outlineLvl w:val="0"/>
    </w:pPr>
    <w:rPr>
      <w:rFonts w:ascii="宋体" w:hAnsi="宋体" w:cs="宋体"/>
      <w:b/>
      <w:bCs/>
      <w:spacing w:val="-20"/>
      <w:kern w:val="44"/>
      <w:sz w:val="32"/>
      <w:szCs w:val="32"/>
    </w:rPr>
  </w:style>
  <w:style w:type="paragraph" w:styleId="4">
    <w:name w:val="heading 2"/>
    <w:basedOn w:val="1"/>
    <w:next w:val="1"/>
    <w:link w:val="52"/>
    <w:unhideWhenUsed/>
    <w:qFormat/>
    <w:uiPriority w:val="99"/>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3"/>
    <w:unhideWhenUsed/>
    <w:qFormat/>
    <w:uiPriority w:val="99"/>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4"/>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5"/>
    <w:unhideWhenUsed/>
    <w:qFormat/>
    <w:uiPriority w:val="9"/>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6"/>
    <w:unhideWhenUsed/>
    <w:qFormat/>
    <w:uiPriority w:val="9"/>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7"/>
    <w:unhideWhenUsed/>
    <w:qFormat/>
    <w:uiPriority w:val="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8"/>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9"/>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65"/>
    <w:unhideWhenUsed/>
    <w:qFormat/>
    <w:uiPriority w:val="0"/>
    <w:pPr>
      <w:spacing w:after="120"/>
    </w:pPr>
  </w:style>
  <w:style w:type="paragraph" w:styleId="12">
    <w:name w:val="toc 7"/>
    <w:basedOn w:val="1"/>
    <w:next w:val="1"/>
    <w:unhideWhenUsed/>
    <w:qFormat/>
    <w:uiPriority w:val="0"/>
    <w:pPr>
      <w:ind w:left="2520" w:leftChars="1200"/>
    </w:pPr>
    <w:rPr>
      <w:rFonts w:ascii="Times New Roman" w:hAnsi="Times New Roman"/>
      <w:szCs w:val="24"/>
    </w:rPr>
  </w:style>
  <w:style w:type="paragraph" w:styleId="13">
    <w:name w:val="Normal Indent"/>
    <w:basedOn w:val="1"/>
    <w:link w:val="60"/>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5"/>
    <w:unhideWhenUsed/>
    <w:qFormat/>
    <w:uiPriority w:val="0"/>
    <w:pPr>
      <w:shd w:val="clear" w:color="auto" w:fill="000080"/>
    </w:pPr>
    <w:rPr>
      <w:rFonts w:ascii="Times New Roman" w:hAnsi="Times New Roman"/>
      <w:kern w:val="0"/>
      <w:sz w:val="18"/>
      <w:szCs w:val="18"/>
    </w:rPr>
  </w:style>
  <w:style w:type="paragraph" w:styleId="16">
    <w:name w:val="annotation text"/>
    <w:basedOn w:val="1"/>
    <w:link w:val="62"/>
    <w:unhideWhenUsed/>
    <w:qFormat/>
    <w:uiPriority w:val="99"/>
    <w:pPr>
      <w:jc w:val="left"/>
    </w:pPr>
    <w:rPr>
      <w:rFonts w:ascii="Times New Roman" w:hAnsi="Times New Roman"/>
      <w:kern w:val="0"/>
      <w:sz w:val="18"/>
      <w:szCs w:val="18"/>
    </w:rPr>
  </w:style>
  <w:style w:type="paragraph" w:styleId="17">
    <w:name w:val="Salutation"/>
    <w:next w:val="1"/>
    <w:qFormat/>
    <w:uiPriority w:val="0"/>
    <w:pPr>
      <w:widowControl w:val="0"/>
      <w:jc w:val="both"/>
    </w:pPr>
    <w:rPr>
      <w:rFonts w:ascii="Times New Roman" w:hAnsi="Times New Roman" w:eastAsia="黑体" w:cs="Times New Roman"/>
      <w:kern w:val="2"/>
      <w:sz w:val="24"/>
      <w:szCs w:val="20"/>
      <w:lang w:val="en-US" w:eastAsia="zh-CN" w:bidi="ar-SA"/>
    </w:rPr>
  </w:style>
  <w:style w:type="paragraph" w:styleId="18">
    <w:name w:val="Body Text 3"/>
    <w:basedOn w:val="1"/>
    <w:link w:val="72"/>
    <w:unhideWhenUsed/>
    <w:qFormat/>
    <w:uiPriority w:val="0"/>
    <w:pPr>
      <w:jc w:val="center"/>
    </w:pPr>
    <w:rPr>
      <w:rFonts w:ascii="Times New Roman" w:hAnsi="Times New Roman" w:eastAsia="黑体"/>
      <w:sz w:val="44"/>
      <w:szCs w:val="24"/>
    </w:rPr>
  </w:style>
  <w:style w:type="paragraph" w:styleId="19">
    <w:name w:val="Body Text Indent"/>
    <w:basedOn w:val="1"/>
    <w:link w:val="67"/>
    <w:unhideWhenUsed/>
    <w:qFormat/>
    <w:uiPriority w:val="0"/>
    <w:pPr>
      <w:spacing w:after="120"/>
      <w:ind w:left="420" w:leftChars="200"/>
    </w:pPr>
    <w:rPr>
      <w:rFonts w:ascii="Times New Roman" w:hAnsi="Times New Roman"/>
      <w:kern w:val="0"/>
      <w:sz w:val="20"/>
      <w:szCs w:val="24"/>
    </w:rPr>
  </w:style>
  <w:style w:type="paragraph" w:styleId="20">
    <w:name w:val="Block Text"/>
    <w:basedOn w:val="1"/>
    <w:unhideWhenUsed/>
    <w:qFormat/>
    <w:uiPriority w:val="0"/>
    <w:pPr>
      <w:ind w:left="-540" w:leftChars="-257" w:right="-334" w:rightChars="-159" w:firstLine="540" w:firstLineChars="180"/>
    </w:pPr>
    <w:rPr>
      <w:rFonts w:ascii="Times New Roman" w:hAnsi="Times New Roman"/>
      <w:sz w:val="30"/>
      <w:szCs w:val="24"/>
    </w:rPr>
  </w:style>
  <w:style w:type="paragraph" w:styleId="21">
    <w:name w:val="toc 5"/>
    <w:basedOn w:val="1"/>
    <w:next w:val="1"/>
    <w:unhideWhenUsed/>
    <w:qFormat/>
    <w:uiPriority w:val="0"/>
    <w:pPr>
      <w:ind w:left="1680" w:leftChars="800"/>
    </w:pPr>
    <w:rPr>
      <w:rFonts w:ascii="Times New Roman" w:hAnsi="Times New Roman"/>
      <w:sz w:val="18"/>
      <w:szCs w:val="18"/>
    </w:rPr>
  </w:style>
  <w:style w:type="paragraph" w:styleId="22">
    <w:name w:val="toc 3"/>
    <w:basedOn w:val="1"/>
    <w:next w:val="1"/>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Plain Text"/>
    <w:basedOn w:val="1"/>
    <w:link w:val="76"/>
    <w:unhideWhenUsed/>
    <w:qFormat/>
    <w:uiPriority w:val="99"/>
    <w:rPr>
      <w:rFonts w:ascii="宋体" w:hAnsi="Courier New"/>
      <w:kern w:val="0"/>
      <w:sz w:val="20"/>
      <w:szCs w:val="18"/>
    </w:rPr>
  </w:style>
  <w:style w:type="paragraph" w:styleId="24">
    <w:name w:val="toc 8"/>
    <w:basedOn w:val="1"/>
    <w:next w:val="1"/>
    <w:unhideWhenUsed/>
    <w:qFormat/>
    <w:uiPriority w:val="0"/>
    <w:pPr>
      <w:ind w:left="2940" w:leftChars="1400"/>
    </w:pPr>
    <w:rPr>
      <w:rFonts w:ascii="Times New Roman" w:hAnsi="Times New Roman"/>
      <w:szCs w:val="24"/>
    </w:rPr>
  </w:style>
  <w:style w:type="paragraph" w:styleId="25">
    <w:name w:val="Date"/>
    <w:basedOn w:val="1"/>
    <w:next w:val="1"/>
    <w:link w:val="69"/>
    <w:unhideWhenUsed/>
    <w:qFormat/>
    <w:uiPriority w:val="0"/>
    <w:pPr>
      <w:ind w:left="100" w:leftChars="2500"/>
    </w:pPr>
    <w:rPr>
      <w:rFonts w:ascii="Times New Roman" w:hAnsi="Times New Roman"/>
      <w:kern w:val="0"/>
      <w:sz w:val="24"/>
      <w:szCs w:val="24"/>
    </w:rPr>
  </w:style>
  <w:style w:type="paragraph" w:styleId="26">
    <w:name w:val="Body Text Indent 2"/>
    <w:basedOn w:val="1"/>
    <w:link w:val="73"/>
    <w:unhideWhenUsed/>
    <w:qFormat/>
    <w:uiPriority w:val="0"/>
    <w:pPr>
      <w:spacing w:after="120" w:line="480" w:lineRule="auto"/>
      <w:ind w:left="420" w:leftChars="200"/>
    </w:pPr>
  </w:style>
  <w:style w:type="paragraph" w:styleId="27">
    <w:name w:val="Balloon Text"/>
    <w:basedOn w:val="1"/>
    <w:link w:val="79"/>
    <w:unhideWhenUsed/>
    <w:qFormat/>
    <w:uiPriority w:val="0"/>
    <w:rPr>
      <w:rFonts w:ascii="Times New Roman" w:hAnsi="Times New Roman"/>
      <w:kern w:val="0"/>
      <w:sz w:val="18"/>
      <w:szCs w:val="18"/>
    </w:rPr>
  </w:style>
  <w:style w:type="paragraph" w:styleId="28">
    <w:name w:val="footer"/>
    <w:basedOn w:val="1"/>
    <w:link w:val="64"/>
    <w:unhideWhenUsed/>
    <w:qFormat/>
    <w:uiPriority w:val="99"/>
    <w:pPr>
      <w:tabs>
        <w:tab w:val="center" w:pos="4153"/>
        <w:tab w:val="right" w:pos="8306"/>
      </w:tabs>
      <w:snapToGrid w:val="0"/>
      <w:jc w:val="left"/>
    </w:pPr>
    <w:rPr>
      <w:kern w:val="0"/>
      <w:sz w:val="18"/>
      <w:szCs w:val="18"/>
    </w:rPr>
  </w:style>
  <w:style w:type="paragraph" w:styleId="29">
    <w:name w:val="header"/>
    <w:basedOn w:val="1"/>
    <w:link w:val="63"/>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1">
    <w:name w:val="toc 4"/>
    <w:basedOn w:val="1"/>
    <w:next w:val="1"/>
    <w:unhideWhenUsed/>
    <w:qFormat/>
    <w:uiPriority w:val="0"/>
    <w:pPr>
      <w:ind w:left="1260" w:leftChars="600"/>
    </w:pPr>
    <w:rPr>
      <w:rFonts w:ascii="Times New Roman" w:hAnsi="Times New Roman"/>
      <w:sz w:val="18"/>
      <w:szCs w:val="18"/>
    </w:rPr>
  </w:style>
  <w:style w:type="paragraph" w:styleId="32">
    <w:name w:val="Subtitle"/>
    <w:basedOn w:val="1"/>
    <w:next w:val="1"/>
    <w:link w:val="68"/>
    <w:qFormat/>
    <w:uiPriority w:val="0"/>
    <w:pPr>
      <w:spacing w:before="240" w:after="60" w:line="312" w:lineRule="auto"/>
      <w:jc w:val="center"/>
      <w:outlineLvl w:val="1"/>
    </w:pPr>
    <w:rPr>
      <w:rFonts w:ascii="Cambria" w:hAnsi="Cambria"/>
      <w:b/>
      <w:bCs/>
      <w:kern w:val="28"/>
      <w:sz w:val="32"/>
      <w:szCs w:val="32"/>
    </w:rPr>
  </w:style>
  <w:style w:type="paragraph" w:styleId="33">
    <w:name w:val="footnote text"/>
    <w:basedOn w:val="1"/>
    <w:link w:val="61"/>
    <w:unhideWhenUsed/>
    <w:qFormat/>
    <w:uiPriority w:val="0"/>
    <w:pPr>
      <w:snapToGrid w:val="0"/>
      <w:jc w:val="left"/>
    </w:pPr>
    <w:rPr>
      <w:sz w:val="18"/>
      <w:szCs w:val="18"/>
    </w:rPr>
  </w:style>
  <w:style w:type="paragraph" w:styleId="34">
    <w:name w:val="toc 6"/>
    <w:basedOn w:val="1"/>
    <w:next w:val="1"/>
    <w:unhideWhenUsed/>
    <w:qFormat/>
    <w:uiPriority w:val="0"/>
    <w:pPr>
      <w:ind w:left="2100" w:leftChars="1000"/>
    </w:pPr>
    <w:rPr>
      <w:rFonts w:ascii="Times New Roman" w:hAnsi="Times New Roman"/>
      <w:szCs w:val="24"/>
    </w:rPr>
  </w:style>
  <w:style w:type="paragraph" w:styleId="35">
    <w:name w:val="Body Text Indent 3"/>
    <w:basedOn w:val="1"/>
    <w:link w:val="74"/>
    <w:unhideWhenUsed/>
    <w:qFormat/>
    <w:uiPriority w:val="0"/>
    <w:pPr>
      <w:spacing w:line="360" w:lineRule="auto"/>
      <w:ind w:left="153" w:leftChars="85" w:firstLine="560" w:firstLineChars="200"/>
    </w:pPr>
    <w:rPr>
      <w:rFonts w:ascii="宋体" w:hAnsi="宋体"/>
      <w:kern w:val="0"/>
      <w:sz w:val="28"/>
      <w:szCs w:val="28"/>
    </w:rPr>
  </w:style>
  <w:style w:type="paragraph" w:styleId="36">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7">
    <w:name w:val="toc 9"/>
    <w:basedOn w:val="1"/>
    <w:next w:val="1"/>
    <w:unhideWhenUsed/>
    <w:qFormat/>
    <w:uiPriority w:val="0"/>
    <w:pPr>
      <w:ind w:left="3360" w:leftChars="1600"/>
    </w:pPr>
    <w:rPr>
      <w:rFonts w:ascii="Times New Roman" w:hAnsi="Times New Roman"/>
      <w:szCs w:val="24"/>
    </w:rPr>
  </w:style>
  <w:style w:type="paragraph" w:styleId="38">
    <w:name w:val="Body Text 2"/>
    <w:basedOn w:val="1"/>
    <w:link w:val="71"/>
    <w:unhideWhenUsed/>
    <w:qFormat/>
    <w:uiPriority w:val="0"/>
    <w:pPr>
      <w:spacing w:after="120" w:line="480" w:lineRule="auto"/>
    </w:pPr>
    <w:rPr>
      <w:rFonts w:ascii="Times New Roman" w:hAnsi="Times New Roman"/>
      <w:kern w:val="0"/>
      <w:sz w:val="18"/>
      <w:szCs w:val="18"/>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annotation subject"/>
    <w:basedOn w:val="16"/>
    <w:next w:val="16"/>
    <w:link w:val="78"/>
    <w:unhideWhenUsed/>
    <w:qFormat/>
    <w:uiPriority w:val="0"/>
    <w:rPr>
      <w:rFonts w:ascii="Calibri" w:hAnsi="Calibri"/>
      <w:b/>
      <w:bCs/>
      <w:kern w:val="2"/>
      <w:sz w:val="21"/>
      <w:szCs w:val="22"/>
    </w:rPr>
  </w:style>
  <w:style w:type="paragraph" w:styleId="41">
    <w:name w:val="Body Text First Indent"/>
    <w:basedOn w:val="2"/>
    <w:link w:val="70"/>
    <w:unhideWhenUsed/>
    <w:qFormat/>
    <w:uiPriority w:val="0"/>
    <w:pPr>
      <w:ind w:firstLine="420" w:firstLineChars="100"/>
    </w:pPr>
    <w:rPr>
      <w:rFonts w:ascii="Times New Roman" w:hAnsi="Times New Roman"/>
      <w:kern w:val="0"/>
      <w:sz w:val="18"/>
      <w:szCs w:val="18"/>
    </w:rPr>
  </w:style>
  <w:style w:type="table" w:styleId="43">
    <w:name w:val="Table Grid"/>
    <w:basedOn w:val="42"/>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basedOn w:val="44"/>
    <w:unhideWhenUsed/>
    <w:qFormat/>
    <w:uiPriority w:val="99"/>
    <w:rPr>
      <w:color w:val="954F72" w:themeColor="followedHyperlink"/>
      <w:u w:val="single"/>
      <w14:textFill>
        <w14:solidFill>
          <w14:schemeClr w14:val="folHlink"/>
        </w14:solidFill>
      </w14:textFill>
    </w:rPr>
  </w:style>
  <w:style w:type="character" w:styleId="48">
    <w:name w:val="Hyperlink"/>
    <w:unhideWhenUsed/>
    <w:qFormat/>
    <w:uiPriority w:val="99"/>
    <w:rPr>
      <w:color w:val="0000FF"/>
      <w:u w:val="single"/>
    </w:rPr>
  </w:style>
  <w:style w:type="character" w:styleId="49">
    <w:name w:val="annotation reference"/>
    <w:unhideWhenUsed/>
    <w:qFormat/>
    <w:uiPriority w:val="99"/>
    <w:rPr>
      <w:sz w:val="21"/>
      <w:szCs w:val="21"/>
    </w:rPr>
  </w:style>
  <w:style w:type="character" w:styleId="50">
    <w:name w:val="footnote reference"/>
    <w:unhideWhenUsed/>
    <w:qFormat/>
    <w:uiPriority w:val="0"/>
    <w:rPr>
      <w:vertAlign w:val="superscript"/>
    </w:rPr>
  </w:style>
  <w:style w:type="character" w:customStyle="1" w:styleId="51">
    <w:name w:val="标题 1 Char"/>
    <w:basedOn w:val="44"/>
    <w:link w:val="3"/>
    <w:qFormat/>
    <w:uiPriority w:val="9"/>
    <w:rPr>
      <w:rFonts w:ascii="宋体" w:hAnsi="宋体" w:eastAsia="宋体" w:cs="宋体"/>
      <w:b/>
      <w:bCs/>
      <w:spacing w:val="-20"/>
      <w:kern w:val="44"/>
      <w:sz w:val="32"/>
      <w:szCs w:val="32"/>
    </w:rPr>
  </w:style>
  <w:style w:type="character" w:customStyle="1" w:styleId="52">
    <w:name w:val="标题 2 Char"/>
    <w:basedOn w:val="44"/>
    <w:link w:val="4"/>
    <w:qFormat/>
    <w:uiPriority w:val="99"/>
    <w:rPr>
      <w:rFonts w:ascii="宋体" w:hAnsi="宋体" w:eastAsia="宋体" w:cs="宋体"/>
      <w:b/>
      <w:bCs/>
      <w:sz w:val="28"/>
      <w:szCs w:val="28"/>
    </w:rPr>
  </w:style>
  <w:style w:type="character" w:customStyle="1" w:styleId="53">
    <w:name w:val="标题 3 Char"/>
    <w:basedOn w:val="44"/>
    <w:link w:val="5"/>
    <w:qFormat/>
    <w:uiPriority w:val="99"/>
    <w:rPr>
      <w:rFonts w:ascii="宋体" w:hAnsi="宋体" w:eastAsia="宋体" w:cs="宋体"/>
      <w:b/>
      <w:bCs/>
      <w:color w:val="000000"/>
      <w:kern w:val="0"/>
      <w:sz w:val="28"/>
      <w:szCs w:val="28"/>
    </w:rPr>
  </w:style>
  <w:style w:type="character" w:customStyle="1" w:styleId="54">
    <w:name w:val="标题 4 Char"/>
    <w:basedOn w:val="44"/>
    <w:link w:val="6"/>
    <w:qFormat/>
    <w:uiPriority w:val="0"/>
    <w:rPr>
      <w:rFonts w:ascii="Arial" w:hAnsi="Arial" w:eastAsia="宋体" w:cs="Times New Roman"/>
      <w:b/>
      <w:bCs/>
      <w:kern w:val="0"/>
      <w:sz w:val="28"/>
      <w:szCs w:val="28"/>
    </w:rPr>
  </w:style>
  <w:style w:type="character" w:customStyle="1" w:styleId="55">
    <w:name w:val="标题 5 Char"/>
    <w:basedOn w:val="44"/>
    <w:link w:val="7"/>
    <w:qFormat/>
    <w:uiPriority w:val="9"/>
    <w:rPr>
      <w:rFonts w:ascii="Calibri" w:hAnsi="Calibri" w:eastAsia="宋体" w:cs="宋体"/>
      <w:b/>
      <w:bCs/>
      <w:kern w:val="0"/>
      <w:sz w:val="28"/>
      <w:szCs w:val="28"/>
    </w:rPr>
  </w:style>
  <w:style w:type="character" w:customStyle="1" w:styleId="56">
    <w:name w:val="标题 6 Char"/>
    <w:basedOn w:val="44"/>
    <w:link w:val="8"/>
    <w:qFormat/>
    <w:uiPriority w:val="9"/>
    <w:rPr>
      <w:rFonts w:ascii="Arial" w:hAnsi="Arial" w:eastAsia="宋体" w:cs="Times New Roman"/>
      <w:b/>
      <w:bCs/>
      <w:kern w:val="0"/>
      <w:sz w:val="28"/>
      <w:szCs w:val="18"/>
    </w:rPr>
  </w:style>
  <w:style w:type="character" w:customStyle="1" w:styleId="57">
    <w:name w:val="标题 7 Char"/>
    <w:basedOn w:val="44"/>
    <w:link w:val="9"/>
    <w:qFormat/>
    <w:uiPriority w:val="9"/>
    <w:rPr>
      <w:rFonts w:ascii="Arial Narrow" w:hAnsi="Arial Narrow" w:eastAsia="宋体" w:cs="Times New Roman"/>
      <w:b/>
      <w:bCs/>
      <w:iCs/>
      <w:kern w:val="0"/>
      <w:sz w:val="20"/>
      <w:szCs w:val="24"/>
      <w:lang w:eastAsia="en-US"/>
    </w:rPr>
  </w:style>
  <w:style w:type="character" w:customStyle="1" w:styleId="58">
    <w:name w:val="标题 8 Char"/>
    <w:basedOn w:val="44"/>
    <w:link w:val="10"/>
    <w:qFormat/>
    <w:uiPriority w:val="0"/>
    <w:rPr>
      <w:rFonts w:ascii="Arial" w:hAnsi="Arial" w:eastAsia="黑体" w:cs="Times New Roman"/>
      <w:kern w:val="0"/>
      <w:sz w:val="24"/>
      <w:szCs w:val="24"/>
    </w:rPr>
  </w:style>
  <w:style w:type="character" w:customStyle="1" w:styleId="59">
    <w:name w:val="标题 9 Char"/>
    <w:basedOn w:val="44"/>
    <w:link w:val="11"/>
    <w:qFormat/>
    <w:uiPriority w:val="0"/>
    <w:rPr>
      <w:rFonts w:ascii="Arial" w:hAnsi="Arial" w:eastAsia="黑体" w:cs="Times New Roman"/>
      <w:kern w:val="0"/>
      <w:sz w:val="20"/>
      <w:szCs w:val="21"/>
    </w:rPr>
  </w:style>
  <w:style w:type="character" w:customStyle="1" w:styleId="60">
    <w:name w:val="正文缩进 Char1"/>
    <w:link w:val="13"/>
    <w:qFormat/>
    <w:locked/>
    <w:uiPriority w:val="0"/>
  </w:style>
  <w:style w:type="character" w:customStyle="1" w:styleId="61">
    <w:name w:val="脚注文本 Char"/>
    <w:basedOn w:val="44"/>
    <w:link w:val="33"/>
    <w:qFormat/>
    <w:uiPriority w:val="0"/>
    <w:rPr>
      <w:rFonts w:ascii="Calibri" w:hAnsi="Calibri" w:eastAsia="宋体" w:cs="Times New Roman"/>
      <w:sz w:val="18"/>
      <w:szCs w:val="18"/>
    </w:rPr>
  </w:style>
  <w:style w:type="character" w:customStyle="1" w:styleId="62">
    <w:name w:val="批注文字 Char"/>
    <w:basedOn w:val="44"/>
    <w:link w:val="16"/>
    <w:qFormat/>
    <w:uiPriority w:val="99"/>
    <w:rPr>
      <w:rFonts w:ascii="Times New Roman" w:hAnsi="Times New Roman" w:eastAsia="宋体" w:cs="Times New Roman"/>
      <w:kern w:val="0"/>
      <w:sz w:val="18"/>
      <w:szCs w:val="18"/>
    </w:rPr>
  </w:style>
  <w:style w:type="character" w:customStyle="1" w:styleId="63">
    <w:name w:val="页眉 Char"/>
    <w:basedOn w:val="44"/>
    <w:link w:val="29"/>
    <w:qFormat/>
    <w:uiPriority w:val="0"/>
    <w:rPr>
      <w:rFonts w:ascii="Calibri" w:hAnsi="Calibri" w:eastAsia="宋体" w:cs="Times New Roman"/>
      <w:kern w:val="0"/>
      <w:sz w:val="18"/>
      <w:szCs w:val="18"/>
    </w:rPr>
  </w:style>
  <w:style w:type="character" w:customStyle="1" w:styleId="64">
    <w:name w:val="页脚 Char"/>
    <w:basedOn w:val="44"/>
    <w:link w:val="28"/>
    <w:qFormat/>
    <w:uiPriority w:val="99"/>
    <w:rPr>
      <w:rFonts w:ascii="Calibri" w:hAnsi="Calibri" w:eastAsia="宋体" w:cs="Times New Roman"/>
      <w:kern w:val="0"/>
      <w:sz w:val="18"/>
      <w:szCs w:val="18"/>
    </w:rPr>
  </w:style>
  <w:style w:type="character" w:customStyle="1" w:styleId="65">
    <w:name w:val="正文文本 Char2"/>
    <w:basedOn w:val="44"/>
    <w:link w:val="2"/>
    <w:qFormat/>
    <w:uiPriority w:val="0"/>
    <w:rPr>
      <w:rFonts w:ascii="Calibri" w:hAnsi="Calibri" w:eastAsia="宋体" w:cs="Times New Roman"/>
    </w:rPr>
  </w:style>
  <w:style w:type="character" w:customStyle="1" w:styleId="66">
    <w:name w:val="正文文本 Char"/>
    <w:basedOn w:val="44"/>
    <w:qFormat/>
    <w:uiPriority w:val="0"/>
    <w:rPr>
      <w:rFonts w:ascii="Times New Roman" w:hAnsi="Times New Roman" w:cs="Times New Roman"/>
      <w:kern w:val="0"/>
      <w:sz w:val="24"/>
      <w:szCs w:val="24"/>
    </w:rPr>
  </w:style>
  <w:style w:type="character" w:customStyle="1" w:styleId="67">
    <w:name w:val="正文文本缩进 Char"/>
    <w:basedOn w:val="44"/>
    <w:link w:val="19"/>
    <w:qFormat/>
    <w:uiPriority w:val="0"/>
    <w:rPr>
      <w:rFonts w:ascii="Times New Roman" w:hAnsi="Times New Roman" w:eastAsia="宋体" w:cs="Times New Roman"/>
      <w:kern w:val="0"/>
      <w:sz w:val="20"/>
      <w:szCs w:val="24"/>
    </w:rPr>
  </w:style>
  <w:style w:type="character" w:customStyle="1" w:styleId="68">
    <w:name w:val="副标题 Char"/>
    <w:basedOn w:val="44"/>
    <w:link w:val="32"/>
    <w:qFormat/>
    <w:uiPriority w:val="0"/>
    <w:rPr>
      <w:rFonts w:ascii="Cambria" w:hAnsi="Cambria" w:eastAsia="宋体" w:cs="Times New Roman"/>
      <w:b/>
      <w:bCs/>
      <w:kern w:val="28"/>
      <w:sz w:val="32"/>
      <w:szCs w:val="32"/>
    </w:rPr>
  </w:style>
  <w:style w:type="character" w:customStyle="1" w:styleId="69">
    <w:name w:val="日期 Char"/>
    <w:basedOn w:val="44"/>
    <w:link w:val="25"/>
    <w:qFormat/>
    <w:uiPriority w:val="0"/>
    <w:rPr>
      <w:rFonts w:ascii="Times New Roman" w:hAnsi="Times New Roman" w:eastAsia="宋体" w:cs="Times New Roman"/>
      <w:kern w:val="0"/>
      <w:sz w:val="24"/>
      <w:szCs w:val="24"/>
    </w:rPr>
  </w:style>
  <w:style w:type="character" w:customStyle="1" w:styleId="70">
    <w:name w:val="正文首行缩进 Char"/>
    <w:basedOn w:val="65"/>
    <w:link w:val="41"/>
    <w:qFormat/>
    <w:uiPriority w:val="0"/>
    <w:rPr>
      <w:rFonts w:ascii="Times New Roman" w:hAnsi="Times New Roman" w:eastAsia="宋体" w:cs="Times New Roman"/>
      <w:kern w:val="0"/>
      <w:sz w:val="18"/>
      <w:szCs w:val="18"/>
    </w:rPr>
  </w:style>
  <w:style w:type="character" w:customStyle="1" w:styleId="71">
    <w:name w:val="正文文本 2 Char"/>
    <w:basedOn w:val="44"/>
    <w:link w:val="38"/>
    <w:qFormat/>
    <w:uiPriority w:val="0"/>
    <w:rPr>
      <w:rFonts w:ascii="Times New Roman" w:hAnsi="Times New Roman" w:eastAsia="宋体" w:cs="Times New Roman"/>
      <w:kern w:val="0"/>
      <w:sz w:val="18"/>
      <w:szCs w:val="18"/>
    </w:rPr>
  </w:style>
  <w:style w:type="character" w:customStyle="1" w:styleId="72">
    <w:name w:val="正文文本 3 Char"/>
    <w:basedOn w:val="44"/>
    <w:link w:val="18"/>
    <w:qFormat/>
    <w:uiPriority w:val="0"/>
    <w:rPr>
      <w:rFonts w:ascii="Times New Roman" w:hAnsi="Times New Roman" w:eastAsia="黑体" w:cs="Times New Roman"/>
      <w:sz w:val="44"/>
      <w:szCs w:val="24"/>
    </w:rPr>
  </w:style>
  <w:style w:type="character" w:customStyle="1" w:styleId="73">
    <w:name w:val="正文文本缩进 2 Char"/>
    <w:basedOn w:val="44"/>
    <w:link w:val="26"/>
    <w:qFormat/>
    <w:uiPriority w:val="0"/>
    <w:rPr>
      <w:rFonts w:ascii="Calibri" w:hAnsi="Calibri" w:eastAsia="宋体" w:cs="Times New Roman"/>
    </w:rPr>
  </w:style>
  <w:style w:type="character" w:customStyle="1" w:styleId="74">
    <w:name w:val="正文文本缩进 3 Char"/>
    <w:basedOn w:val="44"/>
    <w:link w:val="35"/>
    <w:qFormat/>
    <w:uiPriority w:val="0"/>
    <w:rPr>
      <w:rFonts w:ascii="宋体" w:hAnsi="宋体" w:eastAsia="宋体" w:cs="Times New Roman"/>
      <w:kern w:val="0"/>
      <w:sz w:val="28"/>
      <w:szCs w:val="28"/>
    </w:rPr>
  </w:style>
  <w:style w:type="character" w:customStyle="1" w:styleId="75">
    <w:name w:val="文档结构图 Char"/>
    <w:basedOn w:val="44"/>
    <w:link w:val="15"/>
    <w:qFormat/>
    <w:uiPriority w:val="0"/>
    <w:rPr>
      <w:rFonts w:ascii="Times New Roman" w:hAnsi="Times New Roman" w:eastAsia="宋体" w:cs="Times New Roman"/>
      <w:kern w:val="0"/>
      <w:sz w:val="18"/>
      <w:szCs w:val="18"/>
      <w:shd w:val="clear" w:color="auto" w:fill="000080"/>
    </w:rPr>
  </w:style>
  <w:style w:type="character" w:customStyle="1" w:styleId="76">
    <w:name w:val="纯文本 Char1"/>
    <w:basedOn w:val="44"/>
    <w:link w:val="23"/>
    <w:qFormat/>
    <w:uiPriority w:val="0"/>
    <w:rPr>
      <w:rFonts w:ascii="宋体" w:hAnsi="Courier New" w:eastAsia="宋体" w:cs="Times New Roman"/>
      <w:kern w:val="0"/>
      <w:sz w:val="20"/>
      <w:szCs w:val="18"/>
    </w:rPr>
  </w:style>
  <w:style w:type="character" w:customStyle="1" w:styleId="77">
    <w:name w:val="纯文本 Char"/>
    <w:basedOn w:val="44"/>
    <w:qFormat/>
    <w:uiPriority w:val="0"/>
    <w:rPr>
      <w:rFonts w:ascii="宋体" w:hAnsi="Courier New" w:eastAsia="宋体" w:cs="Courier New"/>
      <w:kern w:val="0"/>
      <w:szCs w:val="21"/>
    </w:rPr>
  </w:style>
  <w:style w:type="character" w:customStyle="1" w:styleId="78">
    <w:name w:val="批注主题 Char"/>
    <w:basedOn w:val="62"/>
    <w:link w:val="40"/>
    <w:qFormat/>
    <w:uiPriority w:val="0"/>
    <w:rPr>
      <w:rFonts w:ascii="Calibri" w:hAnsi="Calibri" w:eastAsia="宋体" w:cs="Times New Roman"/>
      <w:b/>
      <w:bCs/>
      <w:kern w:val="0"/>
      <w:sz w:val="18"/>
      <w:szCs w:val="18"/>
    </w:rPr>
  </w:style>
  <w:style w:type="character" w:customStyle="1" w:styleId="79">
    <w:name w:val="批注框文本 Char"/>
    <w:basedOn w:val="44"/>
    <w:link w:val="27"/>
    <w:qFormat/>
    <w:uiPriority w:val="0"/>
    <w:rPr>
      <w:rFonts w:ascii="Times New Roman" w:hAnsi="Times New Roman" w:eastAsia="宋体" w:cs="Times New Roman"/>
      <w:kern w:val="0"/>
      <w:sz w:val="18"/>
      <w:szCs w:val="18"/>
    </w:rPr>
  </w:style>
  <w:style w:type="paragraph" w:styleId="8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81">
    <w:name w:val="列出段落 Char2"/>
    <w:link w:val="82"/>
    <w:qFormat/>
    <w:locked/>
    <w:uiPriority w:val="1"/>
    <w:rPr>
      <w:rFonts w:ascii="Calibri" w:hAnsi="Calibri"/>
    </w:rPr>
  </w:style>
  <w:style w:type="paragraph" w:styleId="82">
    <w:name w:val="List Paragraph"/>
    <w:basedOn w:val="1"/>
    <w:link w:val="81"/>
    <w:qFormat/>
    <w:uiPriority w:val="99"/>
    <w:pPr>
      <w:ind w:firstLine="420" w:firstLineChars="200"/>
    </w:pPr>
    <w:rPr>
      <w:rFonts w:eastAsiaTheme="minorEastAsia" w:cstheme="minorBidi"/>
    </w:rPr>
  </w:style>
  <w:style w:type="character" w:customStyle="1" w:styleId="83">
    <w:name w:val="彩色列表 - 强调文字颜色 1 Char"/>
    <w:link w:val="84"/>
    <w:qFormat/>
    <w:locked/>
    <w:uiPriority w:val="0"/>
    <w:rPr>
      <w:rFonts w:ascii="Calibri" w:hAnsi="Calibri"/>
    </w:rPr>
  </w:style>
  <w:style w:type="paragraph" w:customStyle="1" w:styleId="84">
    <w:name w:val="彩色列表 - 强调文字颜色 11"/>
    <w:basedOn w:val="1"/>
    <w:link w:val="83"/>
    <w:qFormat/>
    <w:uiPriority w:val="0"/>
    <w:pPr>
      <w:ind w:firstLine="420" w:firstLineChars="200"/>
    </w:pPr>
    <w:rPr>
      <w:rFonts w:eastAsiaTheme="minorEastAsia" w:cstheme="minorBidi"/>
    </w:rPr>
  </w:style>
  <w:style w:type="paragraph" w:customStyle="1" w:styleId="85">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6">
    <w:name w:val="MM Title"/>
    <w:basedOn w:val="1"/>
    <w:qFormat/>
    <w:uiPriority w:val="0"/>
    <w:pPr>
      <w:spacing w:before="240" w:after="60"/>
      <w:jc w:val="center"/>
      <w:outlineLvl w:val="0"/>
    </w:pPr>
    <w:rPr>
      <w:rFonts w:ascii="Arial" w:hAnsi="Arial" w:cs="Arial"/>
      <w:b/>
      <w:bCs/>
      <w:sz w:val="32"/>
      <w:szCs w:val="32"/>
    </w:rPr>
  </w:style>
  <w:style w:type="paragraph" w:customStyle="1" w:styleId="87">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8">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9">
    <w:name w:val="gb_master正文"/>
    <w:basedOn w:val="1"/>
    <w:qFormat/>
    <w:uiPriority w:val="0"/>
    <w:pPr>
      <w:ind w:firstLine="200" w:firstLineChars="200"/>
    </w:pPr>
    <w:rPr>
      <w:rFonts w:ascii="Times New Roman" w:hAnsi="Times New Roman"/>
      <w:szCs w:val="24"/>
    </w:rPr>
  </w:style>
  <w:style w:type="paragraph" w:customStyle="1" w:styleId="90">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1">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2">
    <w:name w:val="Char2 Char Char Char"/>
    <w:basedOn w:val="1"/>
    <w:qFormat/>
    <w:uiPriority w:val="0"/>
    <w:rPr>
      <w:rFonts w:ascii="仿宋_GB2312" w:hAnsi="Times New Roman"/>
      <w:b/>
      <w:sz w:val="30"/>
      <w:szCs w:val="32"/>
    </w:rPr>
  </w:style>
  <w:style w:type="paragraph" w:customStyle="1" w:styleId="93">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4">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5">
    <w:name w:val="默认段落字体 Para Char"/>
    <w:basedOn w:val="1"/>
    <w:qFormat/>
    <w:uiPriority w:val="0"/>
    <w:rPr>
      <w:rFonts w:ascii="Tahoma" w:hAnsi="Tahoma"/>
      <w:sz w:val="24"/>
      <w:szCs w:val="20"/>
    </w:rPr>
  </w:style>
  <w:style w:type="paragraph" w:customStyle="1" w:styleId="96">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7">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8">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9">
    <w:name w:val="表格文字"/>
    <w:basedOn w:val="1"/>
    <w:qFormat/>
    <w:uiPriority w:val="0"/>
    <w:pPr>
      <w:spacing w:beforeLines="25"/>
    </w:pPr>
    <w:rPr>
      <w:rFonts w:ascii="Times New (W1)" w:hAnsi="Times New (W1)"/>
      <w:spacing w:val="10"/>
      <w:szCs w:val="24"/>
    </w:rPr>
  </w:style>
  <w:style w:type="paragraph" w:customStyle="1" w:styleId="100">
    <w:name w:val="文章正文"/>
    <w:basedOn w:val="1"/>
    <w:qFormat/>
    <w:uiPriority w:val="0"/>
    <w:pPr>
      <w:spacing w:line="360" w:lineRule="auto"/>
      <w:ind w:firstLine="420"/>
    </w:pPr>
    <w:rPr>
      <w:rFonts w:ascii="Times New Roman" w:hAnsi="Times New Roman"/>
      <w:sz w:val="24"/>
      <w:szCs w:val="24"/>
    </w:rPr>
  </w:style>
  <w:style w:type="paragraph" w:customStyle="1" w:styleId="101">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2">
    <w:name w:val="默认段落字体 Para Char Char"/>
    <w:basedOn w:val="1"/>
    <w:qFormat/>
    <w:uiPriority w:val="0"/>
    <w:rPr>
      <w:rFonts w:ascii="Times New Roman" w:hAnsi="Times New Roman"/>
      <w:szCs w:val="24"/>
    </w:rPr>
  </w:style>
  <w:style w:type="paragraph" w:customStyle="1" w:styleId="103">
    <w:name w:val="MM Topic 6"/>
    <w:basedOn w:val="8"/>
    <w:qFormat/>
    <w:uiPriority w:val="0"/>
    <w:pPr>
      <w:tabs>
        <w:tab w:val="left" w:pos="3260"/>
        <w:tab w:val="clear" w:pos="1702"/>
      </w:tabs>
      <w:ind w:left="0" w:firstLine="0"/>
    </w:pPr>
    <w:rPr>
      <w:rFonts w:eastAsia="黑体"/>
    </w:rPr>
  </w:style>
  <w:style w:type="paragraph" w:customStyle="1" w:styleId="104">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6">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7">
    <w:name w:val="标题 5 + 首行缩进:  2 字符"/>
    <w:basedOn w:val="7"/>
    <w:next w:val="19"/>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8">
    <w:name w:val="Char2 Char Char Char Char Char Char"/>
    <w:basedOn w:val="1"/>
    <w:qFormat/>
    <w:uiPriority w:val="0"/>
    <w:rPr>
      <w:rFonts w:ascii="仿宋_GB2312" w:hAnsi="Times New Roman"/>
      <w:b/>
      <w:sz w:val="30"/>
      <w:szCs w:val="32"/>
    </w:rPr>
  </w:style>
  <w:style w:type="paragraph" w:customStyle="1" w:styleId="109">
    <w:name w:val="MM Topic 2"/>
    <w:basedOn w:val="4"/>
    <w:qFormat/>
    <w:uiPriority w:val="0"/>
    <w:pPr>
      <w:numPr>
        <w:ilvl w:val="0"/>
        <w:numId w:val="0"/>
      </w:numPr>
      <w:tabs>
        <w:tab w:val="left" w:pos="992"/>
      </w:tabs>
    </w:pPr>
    <w:rPr>
      <w:rFonts w:cs="Times New Roman"/>
    </w:rPr>
  </w:style>
  <w:style w:type="paragraph" w:customStyle="1" w:styleId="110">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11">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2">
    <w:name w:val="MM Topic 8"/>
    <w:basedOn w:val="10"/>
    <w:qFormat/>
    <w:uiPriority w:val="0"/>
    <w:pPr>
      <w:tabs>
        <w:tab w:val="left" w:pos="4394"/>
      </w:tabs>
    </w:pPr>
  </w:style>
  <w:style w:type="paragraph" w:customStyle="1" w:styleId="113">
    <w:name w:val="Char1 Char Char Char Char Char Char"/>
    <w:basedOn w:val="1"/>
    <w:qFormat/>
    <w:uiPriority w:val="0"/>
    <w:rPr>
      <w:rFonts w:ascii="Tahoma" w:hAnsi="Tahoma"/>
      <w:sz w:val="24"/>
      <w:szCs w:val="20"/>
    </w:rPr>
  </w:style>
  <w:style w:type="paragraph" w:customStyle="1" w:styleId="114">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5">
    <w:name w:val="样式 小四2"/>
    <w:basedOn w:val="1"/>
    <w:qFormat/>
    <w:uiPriority w:val="0"/>
    <w:rPr>
      <w:rFonts w:ascii="宋体" w:hAnsi="宋体"/>
      <w:sz w:val="24"/>
      <w:szCs w:val="24"/>
    </w:rPr>
  </w:style>
  <w:style w:type="paragraph" w:customStyle="1" w:styleId="116">
    <w:name w:val="正文1"/>
    <w:qFormat/>
    <w:uiPriority w:val="0"/>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7">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8">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9">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20">
    <w:name w:val="文章正文 Char Char1"/>
    <w:basedOn w:val="1"/>
    <w:qFormat/>
    <w:uiPriority w:val="0"/>
    <w:pPr>
      <w:spacing w:line="360" w:lineRule="auto"/>
      <w:ind w:firstLine="420"/>
    </w:pPr>
    <w:rPr>
      <w:rFonts w:ascii="Times New Roman" w:hAnsi="Times New Roman"/>
      <w:sz w:val="24"/>
      <w:szCs w:val="24"/>
    </w:rPr>
  </w:style>
  <w:style w:type="paragraph" w:customStyle="1" w:styleId="121">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2">
    <w:name w:val="样式"/>
    <w:link w:val="276"/>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3">
    <w:name w:val="图"/>
    <w:basedOn w:val="1"/>
    <w:qFormat/>
    <w:uiPriority w:val="0"/>
    <w:pPr>
      <w:widowControl/>
      <w:adjustRightInd w:val="0"/>
      <w:snapToGrid w:val="0"/>
      <w:jc w:val="center"/>
    </w:pPr>
    <w:rPr>
      <w:rFonts w:ascii="宋体" w:hAnsi="宋体"/>
      <w:bCs/>
      <w:szCs w:val="24"/>
    </w:rPr>
  </w:style>
  <w:style w:type="paragraph" w:customStyle="1" w:styleId="124">
    <w:name w:val="Char1 Char Char Char Char Char Char1"/>
    <w:basedOn w:val="1"/>
    <w:qFormat/>
    <w:uiPriority w:val="0"/>
    <w:rPr>
      <w:rFonts w:ascii="Tahoma" w:hAnsi="Tahoma"/>
      <w:sz w:val="24"/>
      <w:szCs w:val="20"/>
    </w:rPr>
  </w:style>
  <w:style w:type="paragraph" w:customStyle="1" w:styleId="125">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6">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7">
    <w:name w:val="MM Topic 1"/>
    <w:basedOn w:val="3"/>
    <w:qFormat/>
    <w:uiPriority w:val="0"/>
    <w:pPr>
      <w:tabs>
        <w:tab w:val="left" w:pos="425"/>
      </w:tabs>
    </w:pPr>
    <w:rPr>
      <w:rFonts w:cs="Times New Roman"/>
      <w:sz w:val="44"/>
    </w:rPr>
  </w:style>
  <w:style w:type="paragraph" w:customStyle="1" w:styleId="128">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9">
    <w:name w:val="我的正文"/>
    <w:basedOn w:val="1"/>
    <w:qFormat/>
    <w:uiPriority w:val="0"/>
    <w:pPr>
      <w:spacing w:line="360" w:lineRule="auto"/>
      <w:ind w:firstLine="420" w:firstLineChars="200"/>
    </w:pPr>
    <w:rPr>
      <w:rFonts w:ascii="宋体" w:hAnsi="宋体"/>
      <w:szCs w:val="24"/>
    </w:rPr>
  </w:style>
  <w:style w:type="paragraph" w:customStyle="1" w:styleId="130">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1">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2">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3">
    <w:name w:val="论文正文"/>
    <w:basedOn w:val="1"/>
    <w:qFormat/>
    <w:uiPriority w:val="0"/>
    <w:pPr>
      <w:spacing w:line="360" w:lineRule="auto"/>
      <w:ind w:firstLine="700" w:firstLineChars="250"/>
    </w:pPr>
    <w:rPr>
      <w:rFonts w:ascii="宋体" w:hAnsi="宋体"/>
      <w:bCs/>
      <w:sz w:val="28"/>
      <w:szCs w:val="28"/>
    </w:rPr>
  </w:style>
  <w:style w:type="paragraph" w:customStyle="1" w:styleId="134">
    <w:name w:val="样式1"/>
    <w:basedOn w:val="1"/>
    <w:qFormat/>
    <w:uiPriority w:val="0"/>
    <w:rPr>
      <w:rFonts w:ascii="Times New Roman" w:hAnsi="Times New Roman" w:eastAsia="隶书"/>
      <w:i/>
      <w:dstrike/>
      <w:sz w:val="28"/>
      <w:szCs w:val="18"/>
    </w:rPr>
  </w:style>
  <w:style w:type="paragraph" w:customStyle="1" w:styleId="135">
    <w:name w:val="表格"/>
    <w:basedOn w:val="1"/>
    <w:qFormat/>
    <w:uiPriority w:val="0"/>
    <w:pPr>
      <w:spacing w:line="400" w:lineRule="exact"/>
    </w:pPr>
    <w:rPr>
      <w:rFonts w:ascii="Times New Roman" w:hAnsi="Times New Roman"/>
      <w:sz w:val="24"/>
      <w:szCs w:val="24"/>
    </w:rPr>
  </w:style>
  <w:style w:type="paragraph" w:customStyle="1" w:styleId="136">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7">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8">
    <w:name w:val="Char Char Char Char Char Char Char Char Char Char Char Char Char"/>
    <w:basedOn w:val="15"/>
    <w:qFormat/>
    <w:uiPriority w:val="0"/>
    <w:rPr>
      <w:rFonts w:ascii="Tahoma" w:hAnsi="Tahoma"/>
      <w:sz w:val="24"/>
      <w:szCs w:val="24"/>
    </w:rPr>
  </w:style>
  <w:style w:type="paragraph" w:customStyle="1" w:styleId="139">
    <w:name w:val="MM Topic 3"/>
    <w:basedOn w:val="5"/>
    <w:qFormat/>
    <w:uiPriority w:val="0"/>
    <w:pPr>
      <w:numPr>
        <w:ilvl w:val="0"/>
        <w:numId w:val="0"/>
      </w:numPr>
      <w:tabs>
        <w:tab w:val="left" w:pos="1418"/>
      </w:tabs>
    </w:pPr>
    <w:rPr>
      <w:rFonts w:cs="Times New Roman"/>
    </w:rPr>
  </w:style>
  <w:style w:type="paragraph" w:customStyle="1" w:styleId="140">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1">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2">
    <w:name w:val="Char Char Char Char"/>
    <w:basedOn w:val="1"/>
    <w:qFormat/>
    <w:uiPriority w:val="0"/>
    <w:rPr>
      <w:rFonts w:ascii="Tahoma" w:hAnsi="Tahoma"/>
      <w:sz w:val="24"/>
      <w:szCs w:val="20"/>
    </w:rPr>
  </w:style>
  <w:style w:type="paragraph" w:customStyle="1" w:styleId="143">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4">
    <w:name w:val="MM Topic 9"/>
    <w:basedOn w:val="11"/>
    <w:qFormat/>
    <w:uiPriority w:val="0"/>
    <w:pPr>
      <w:tabs>
        <w:tab w:val="left" w:pos="5102"/>
      </w:tabs>
    </w:pPr>
  </w:style>
  <w:style w:type="paragraph" w:customStyle="1" w:styleId="145">
    <w:name w:val="MM Topic 5"/>
    <w:basedOn w:val="7"/>
    <w:qFormat/>
    <w:uiPriority w:val="0"/>
    <w:pPr>
      <w:tabs>
        <w:tab w:val="left" w:pos="2551"/>
        <w:tab w:val="clear" w:pos="1134"/>
        <w:tab w:val="clear" w:pos="1560"/>
      </w:tabs>
      <w:ind w:left="0" w:firstLine="0"/>
    </w:pPr>
    <w:rPr>
      <w:rFonts w:cs="Times New Roman"/>
    </w:rPr>
  </w:style>
  <w:style w:type="paragraph" w:customStyle="1" w:styleId="146">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7">
    <w:name w:val="MM Topic 4"/>
    <w:basedOn w:val="6"/>
    <w:qFormat/>
    <w:uiPriority w:val="0"/>
    <w:pPr>
      <w:tabs>
        <w:tab w:val="left" w:pos="1984"/>
      </w:tabs>
      <w:ind w:left="0" w:firstLine="0"/>
    </w:pPr>
  </w:style>
  <w:style w:type="paragraph" w:customStyle="1" w:styleId="148">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49">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0">
    <w:name w:val="样式 标题 2H2第一章 标题 2Heading 2 HiddenHeading 2 CCBSheading 2h2..."/>
    <w:basedOn w:val="4"/>
    <w:qFormat/>
    <w:uiPriority w:val="0"/>
    <w:pPr>
      <w:tabs>
        <w:tab w:val="left" w:pos="-2493"/>
      </w:tabs>
    </w:pPr>
    <w:rPr>
      <w:rFonts w:cs="Times New Roman"/>
      <w:szCs w:val="20"/>
    </w:rPr>
  </w:style>
  <w:style w:type="paragraph" w:customStyle="1" w:styleId="151">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2">
    <w:name w:val="列出段落2"/>
    <w:basedOn w:val="1"/>
    <w:qFormat/>
    <w:uiPriority w:val="0"/>
    <w:pPr>
      <w:ind w:firstLine="420" w:firstLineChars="200"/>
    </w:pPr>
  </w:style>
  <w:style w:type="paragraph" w:customStyle="1" w:styleId="153">
    <w:name w:val="列出段落4"/>
    <w:basedOn w:val="1"/>
    <w:qFormat/>
    <w:uiPriority w:val="99"/>
    <w:pPr>
      <w:ind w:firstLine="420" w:firstLineChars="200"/>
    </w:pPr>
    <w:rPr>
      <w:rFonts w:ascii="Times New Roman" w:hAnsi="Times New Roman"/>
      <w:szCs w:val="24"/>
    </w:rPr>
  </w:style>
  <w:style w:type="paragraph" w:customStyle="1" w:styleId="154">
    <w:name w:val="列出段落1"/>
    <w:basedOn w:val="1"/>
    <w:qFormat/>
    <w:uiPriority w:val="0"/>
    <w:pPr>
      <w:ind w:firstLine="420" w:firstLineChars="200"/>
    </w:pPr>
  </w:style>
  <w:style w:type="paragraph" w:customStyle="1" w:styleId="155">
    <w:name w:val="修订1"/>
    <w:qFormat/>
    <w:uiPriority w:val="0"/>
    <w:rPr>
      <w:rFonts w:ascii="Calibri" w:hAnsi="Calibri" w:eastAsia="宋体" w:cs="Times New Roman"/>
      <w:kern w:val="2"/>
      <w:sz w:val="21"/>
      <w:szCs w:val="22"/>
      <w:lang w:val="en-US" w:eastAsia="zh-CN" w:bidi="ar-SA"/>
    </w:rPr>
  </w:style>
  <w:style w:type="paragraph" w:customStyle="1" w:styleId="156">
    <w:name w:val="彩色列表 - 强调文字颜色 12"/>
    <w:basedOn w:val="1"/>
    <w:qFormat/>
    <w:uiPriority w:val="0"/>
    <w:pPr>
      <w:ind w:firstLine="420" w:firstLineChars="200"/>
    </w:pPr>
  </w:style>
  <w:style w:type="paragraph" w:customStyle="1" w:styleId="157">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158">
    <w:name w:val="列出段落3"/>
    <w:basedOn w:val="1"/>
    <w:link w:val="268"/>
    <w:qFormat/>
    <w:uiPriority w:val="99"/>
    <w:pPr>
      <w:widowControl/>
      <w:ind w:firstLine="420" w:firstLineChars="200"/>
      <w:jc w:val="left"/>
    </w:pPr>
    <w:rPr>
      <w:rFonts w:ascii="Times New Roman" w:hAnsi="Times New Roman"/>
      <w:kern w:val="0"/>
      <w:sz w:val="24"/>
      <w:szCs w:val="24"/>
    </w:rPr>
  </w:style>
  <w:style w:type="paragraph" w:customStyle="1" w:styleId="159">
    <w:name w:val="列项——（一级）"/>
    <w:qFormat/>
    <w:uiPriority w:val="0"/>
    <w:pPr>
      <w:widowControl w:val="0"/>
      <w:numPr>
        <w:ilvl w:val="0"/>
        <w:numId w:val="4"/>
      </w:numPr>
      <w:jc w:val="both"/>
    </w:pPr>
    <w:rPr>
      <w:rFonts w:ascii="宋体" w:hAnsi="Times New Roman" w:eastAsia="宋体" w:cs="Times New Roman"/>
      <w:kern w:val="0"/>
      <w:sz w:val="21"/>
      <w:szCs w:val="20"/>
      <w:lang w:val="en-US" w:eastAsia="zh-CN" w:bidi="ar-SA"/>
    </w:rPr>
  </w:style>
  <w:style w:type="character" w:customStyle="1" w:styleId="160">
    <w:name w:val="0-CD Char"/>
    <w:link w:val="161"/>
    <w:qFormat/>
    <w:locked/>
    <w:uiPriority w:val="0"/>
    <w:rPr>
      <w:rFonts w:ascii="宋体" w:hAnsi="宋体" w:eastAsia="宋体"/>
      <w:sz w:val="28"/>
      <w:szCs w:val="24"/>
    </w:rPr>
  </w:style>
  <w:style w:type="paragraph" w:customStyle="1" w:styleId="161">
    <w:name w:val="0-CD"/>
    <w:basedOn w:val="1"/>
    <w:link w:val="160"/>
    <w:qFormat/>
    <w:uiPriority w:val="0"/>
    <w:pPr>
      <w:spacing w:line="360" w:lineRule="auto"/>
      <w:ind w:firstLine="708" w:firstLineChars="253"/>
      <w:jc w:val="left"/>
    </w:pPr>
    <w:rPr>
      <w:rFonts w:ascii="宋体" w:hAnsi="宋体" w:cstheme="minorBidi"/>
      <w:sz w:val="28"/>
      <w:szCs w:val="24"/>
    </w:rPr>
  </w:style>
  <w:style w:type="character" w:customStyle="1" w:styleId="162">
    <w:name w:val="Char Char8"/>
    <w:qFormat/>
    <w:uiPriority w:val="0"/>
    <w:rPr>
      <w:rFonts w:hint="eastAsia" w:ascii="宋体" w:hAnsi="宋体" w:eastAsia="宋体"/>
      <w:kern w:val="2"/>
      <w:sz w:val="28"/>
      <w:szCs w:val="28"/>
    </w:rPr>
  </w:style>
  <w:style w:type="character" w:customStyle="1" w:styleId="163">
    <w:name w:val="Char Char5"/>
    <w:qFormat/>
    <w:uiPriority w:val="0"/>
    <w:rPr>
      <w:kern w:val="2"/>
      <w:sz w:val="21"/>
      <w:szCs w:val="24"/>
    </w:rPr>
  </w:style>
  <w:style w:type="character" w:customStyle="1" w:styleId="164">
    <w:name w:val="列出段落 Char Char"/>
    <w:qFormat/>
    <w:uiPriority w:val="0"/>
    <w:rPr>
      <w:rFonts w:hint="default" w:ascii="Calibri" w:hAnsi="Calibri" w:cs="Calibri"/>
      <w:kern w:val="2"/>
      <w:sz w:val="21"/>
      <w:szCs w:val="22"/>
    </w:rPr>
  </w:style>
  <w:style w:type="character" w:customStyle="1" w:styleId="165">
    <w:name w:val="正文文本 Char Char"/>
    <w:qFormat/>
    <w:uiPriority w:val="0"/>
    <w:rPr>
      <w:kern w:val="2"/>
      <w:sz w:val="21"/>
      <w:szCs w:val="24"/>
    </w:rPr>
  </w:style>
  <w:style w:type="character" w:customStyle="1" w:styleId="166">
    <w:name w:val="Char Char11"/>
    <w:qFormat/>
    <w:uiPriority w:val="0"/>
    <w:rPr>
      <w:rFonts w:hint="default" w:ascii="Arial Narrow" w:hAnsi="Arial Narrow"/>
      <w:b/>
      <w:bCs/>
      <w:iCs/>
      <w:szCs w:val="24"/>
      <w:lang w:eastAsia="en-US"/>
    </w:rPr>
  </w:style>
  <w:style w:type="character" w:customStyle="1" w:styleId="167">
    <w:name w:val="标书（正文） Char Char"/>
    <w:qFormat/>
    <w:uiPriority w:val="0"/>
    <w:rPr>
      <w:rFonts w:hint="eastAsia" w:ascii="宋体" w:hAnsi="宋体" w:eastAsia="宋体"/>
      <w:b/>
      <w:kern w:val="10"/>
      <w:sz w:val="21"/>
      <w:szCs w:val="21"/>
      <w:lang w:val="en-US" w:eastAsia="zh-CN" w:bidi="ar-SA"/>
    </w:rPr>
  </w:style>
  <w:style w:type="character" w:customStyle="1" w:styleId="168">
    <w:name w:val="line2"/>
    <w:basedOn w:val="44"/>
    <w:qFormat/>
    <w:uiPriority w:val="0"/>
  </w:style>
  <w:style w:type="character" w:customStyle="1" w:styleId="169">
    <w:name w:val="Char Char10"/>
    <w:qFormat/>
    <w:uiPriority w:val="0"/>
    <w:rPr>
      <w:kern w:val="2"/>
      <w:sz w:val="24"/>
      <w:szCs w:val="24"/>
    </w:rPr>
  </w:style>
  <w:style w:type="character" w:customStyle="1" w:styleId="170">
    <w:name w:val="MM Topic 4 Char Char"/>
    <w:qFormat/>
    <w:uiPriority w:val="0"/>
    <w:rPr>
      <w:rFonts w:hint="default" w:ascii="Arial" w:hAnsi="Arial" w:cs="Arial"/>
      <w:b/>
      <w:bCs/>
      <w:kern w:val="2"/>
      <w:sz w:val="28"/>
      <w:szCs w:val="28"/>
    </w:rPr>
  </w:style>
  <w:style w:type="character" w:customStyle="1" w:styleId="171">
    <w:name w:val="标书正文:  0.74 厘米 Char Char"/>
    <w:qFormat/>
    <w:uiPriority w:val="0"/>
    <w:rPr>
      <w:kern w:val="2"/>
      <w:sz w:val="24"/>
    </w:rPr>
  </w:style>
  <w:style w:type="character" w:customStyle="1" w:styleId="172">
    <w:name w:val="访问过的超链接1"/>
    <w:qFormat/>
    <w:uiPriority w:val="99"/>
    <w:rPr>
      <w:color w:val="800080"/>
      <w:u w:val="single"/>
    </w:rPr>
  </w:style>
  <w:style w:type="character" w:customStyle="1" w:styleId="173">
    <w:name w:val="标题 3 Char Char Char"/>
    <w:qFormat/>
    <w:uiPriority w:val="0"/>
    <w:rPr>
      <w:rFonts w:hint="eastAsia" w:ascii="宋体" w:hAnsi="宋体" w:eastAsia="宋体"/>
      <w:b/>
      <w:kern w:val="2"/>
      <w:sz w:val="32"/>
      <w:lang w:val="en-US" w:eastAsia="zh-CN" w:bidi="ar-SA"/>
    </w:rPr>
  </w:style>
  <w:style w:type="character" w:customStyle="1" w:styleId="174">
    <w:name w:val="（符号）邀请函中一、"/>
    <w:qFormat/>
    <w:uiPriority w:val="0"/>
    <w:rPr>
      <w:rFonts w:hint="eastAsia" w:ascii="黑体" w:hAnsi="黑体" w:eastAsia="黑体"/>
      <w:b/>
      <w:bCs/>
      <w:sz w:val="24"/>
    </w:rPr>
  </w:style>
  <w:style w:type="character" w:customStyle="1" w:styleId="175">
    <w:name w:val="tt Char"/>
    <w:qFormat/>
    <w:uiPriority w:val="0"/>
    <w:rPr>
      <w:rFonts w:hint="default" w:ascii="Arial" w:hAnsi="Arial" w:eastAsia="黑体" w:cs="Arial"/>
      <w:kern w:val="2"/>
      <w:sz w:val="21"/>
      <w:szCs w:val="21"/>
    </w:rPr>
  </w:style>
  <w:style w:type="character" w:customStyle="1" w:styleId="176">
    <w:name w:val="Char Char9"/>
    <w:qFormat/>
    <w:uiPriority w:val="0"/>
    <w:rPr>
      <w:kern w:val="2"/>
      <w:sz w:val="18"/>
      <w:szCs w:val="18"/>
    </w:rPr>
  </w:style>
  <w:style w:type="character" w:customStyle="1" w:styleId="177">
    <w:name w:val="MM Topic 3 Char Char"/>
    <w:qFormat/>
    <w:uiPriority w:val="0"/>
    <w:rPr>
      <w:rFonts w:hint="eastAsia" w:ascii="宋体" w:hAnsi="宋体" w:eastAsia="宋体"/>
      <w:b/>
      <w:bCs/>
      <w:color w:val="000000"/>
      <w:kern w:val="2"/>
      <w:sz w:val="28"/>
      <w:szCs w:val="28"/>
    </w:rPr>
  </w:style>
  <w:style w:type="character" w:customStyle="1" w:styleId="178">
    <w:name w:val="样式 小四2 Char Char"/>
    <w:qFormat/>
    <w:uiPriority w:val="0"/>
    <w:rPr>
      <w:rFonts w:hint="eastAsia" w:ascii="宋体" w:hAnsi="宋体" w:eastAsia="宋体"/>
      <w:kern w:val="2"/>
      <w:sz w:val="24"/>
      <w:szCs w:val="24"/>
    </w:rPr>
  </w:style>
  <w:style w:type="character" w:customStyle="1" w:styleId="179">
    <w:name w:val="Char Char7"/>
    <w:qFormat/>
    <w:uiPriority w:val="0"/>
    <w:rPr>
      <w:kern w:val="2"/>
      <w:sz w:val="18"/>
      <w:szCs w:val="18"/>
    </w:rPr>
  </w:style>
  <w:style w:type="character" w:customStyle="1" w:styleId="180">
    <w:name w:val="Char Char3"/>
    <w:qFormat/>
    <w:uiPriority w:val="0"/>
    <w:rPr>
      <w:b/>
      <w:bCs/>
      <w:kern w:val="2"/>
      <w:sz w:val="18"/>
      <w:szCs w:val="18"/>
    </w:rPr>
  </w:style>
  <w:style w:type="character" w:customStyle="1" w:styleId="181">
    <w:name w:val="apple-style-span"/>
    <w:basedOn w:val="44"/>
    <w:qFormat/>
    <w:uiPriority w:val="0"/>
  </w:style>
  <w:style w:type="character" w:customStyle="1" w:styleId="182">
    <w:name w:val="Char Char4"/>
    <w:qFormat/>
    <w:uiPriority w:val="0"/>
    <w:rPr>
      <w:kern w:val="2"/>
      <w:sz w:val="18"/>
      <w:szCs w:val="18"/>
    </w:rPr>
  </w:style>
  <w:style w:type="character" w:customStyle="1" w:styleId="183">
    <w:name w:val="副标题 Char1"/>
    <w:qFormat/>
    <w:uiPriority w:val="11"/>
    <w:rPr>
      <w:rFonts w:hint="default" w:ascii="Cambria" w:hAnsi="Cambria" w:cs="Times New Roman"/>
      <w:b/>
      <w:bCs/>
      <w:kern w:val="28"/>
      <w:sz w:val="32"/>
      <w:szCs w:val="32"/>
    </w:rPr>
  </w:style>
  <w:style w:type="character" w:customStyle="1" w:styleId="184">
    <w:name w:val="small"/>
    <w:basedOn w:val="44"/>
    <w:qFormat/>
    <w:uiPriority w:val="0"/>
  </w:style>
  <w:style w:type="character" w:customStyle="1" w:styleId="185">
    <w:name w:val="Legal Level 1.1.1. Char"/>
    <w:qFormat/>
    <w:uiPriority w:val="0"/>
    <w:rPr>
      <w:rFonts w:hint="default" w:ascii="Arial" w:hAnsi="Arial" w:eastAsia="黑体" w:cs="Arial"/>
      <w:kern w:val="2"/>
      <w:sz w:val="24"/>
      <w:szCs w:val="24"/>
    </w:rPr>
  </w:style>
  <w:style w:type="character" w:customStyle="1" w:styleId="186">
    <w:name w:val="文章正文 Char Char"/>
    <w:qFormat/>
    <w:uiPriority w:val="0"/>
    <w:rPr>
      <w:rFonts w:hint="eastAsia" w:ascii="宋体" w:hAnsi="宋体" w:eastAsia="宋体"/>
      <w:kern w:val="2"/>
      <w:sz w:val="24"/>
      <w:szCs w:val="24"/>
      <w:lang w:val="en-US" w:eastAsia="zh-CN" w:bidi="ar-SA"/>
    </w:rPr>
  </w:style>
  <w:style w:type="character" w:customStyle="1" w:styleId="187">
    <w:name w:val="正文文本 Char1"/>
    <w:qFormat/>
    <w:uiPriority w:val="0"/>
    <w:rPr>
      <w:rFonts w:hint="default" w:ascii="Times New Roman" w:hAnsi="Times New Roman" w:eastAsia="宋体" w:cs="Times New Roman"/>
      <w:kern w:val="0"/>
      <w:sz w:val="18"/>
      <w:szCs w:val="18"/>
    </w:rPr>
  </w:style>
  <w:style w:type="character" w:customStyle="1" w:styleId="188">
    <w:name w:val="CD正文 Char Char"/>
    <w:qFormat/>
    <w:uiPriority w:val="0"/>
    <w:rPr>
      <w:rFonts w:hint="eastAsia" w:ascii="宋体" w:hAnsi="宋体" w:eastAsia="宋体"/>
      <w:kern w:val="2"/>
      <w:sz w:val="30"/>
      <w:szCs w:val="28"/>
      <w:lang w:val="en-US" w:eastAsia="zh-CN" w:bidi="ar-SA"/>
    </w:rPr>
  </w:style>
  <w:style w:type="character" w:customStyle="1" w:styleId="189">
    <w:name w:val="Char Char2"/>
    <w:qFormat/>
    <w:uiPriority w:val="0"/>
    <w:rPr>
      <w:kern w:val="2"/>
      <w:sz w:val="18"/>
      <w:szCs w:val="18"/>
    </w:rPr>
  </w:style>
  <w:style w:type="character" w:customStyle="1" w:styleId="190">
    <w:name w:val="标题 1 Char1"/>
    <w:qFormat/>
    <w:uiPriority w:val="0"/>
    <w:rPr>
      <w:b/>
      <w:bCs/>
      <w:kern w:val="44"/>
      <w:sz w:val="44"/>
      <w:szCs w:val="44"/>
    </w:rPr>
  </w:style>
  <w:style w:type="character" w:customStyle="1" w:styleId="191">
    <w:name w:val="表正文 Char1"/>
    <w:qFormat/>
    <w:uiPriority w:val="0"/>
    <w:rPr>
      <w:rFonts w:hint="eastAsia" w:ascii="宋体" w:hAnsi="宋体" w:eastAsia="宋体"/>
      <w:kern w:val="2"/>
      <w:sz w:val="21"/>
      <w:lang w:val="en-US" w:eastAsia="zh-CN" w:bidi="ar-SA"/>
    </w:rPr>
  </w:style>
  <w:style w:type="character" w:customStyle="1" w:styleId="192">
    <w:name w:val="Char Char Char"/>
    <w:qFormat/>
    <w:uiPriority w:val="0"/>
    <w:rPr>
      <w:rFonts w:hint="eastAsia" w:ascii="宋体" w:hAnsi="宋体" w:eastAsia="宋体"/>
      <w:kern w:val="2"/>
      <w:sz w:val="18"/>
      <w:szCs w:val="18"/>
      <w:lang w:val="en-US" w:eastAsia="zh-CN" w:bidi="ar-SA"/>
    </w:rPr>
  </w:style>
  <w:style w:type="character" w:customStyle="1" w:styleId="193">
    <w:name w:val="Char Char6"/>
    <w:qFormat/>
    <w:uiPriority w:val="0"/>
    <w:rPr>
      <w:kern w:val="2"/>
      <w:sz w:val="21"/>
      <w:szCs w:val="24"/>
    </w:rPr>
  </w:style>
  <w:style w:type="character" w:customStyle="1" w:styleId="194">
    <w:name w:val="正文缩进 Char"/>
    <w:qFormat/>
    <w:uiPriority w:val="0"/>
    <w:rPr>
      <w:kern w:val="2"/>
      <w:sz w:val="21"/>
      <w:lang w:val="zh-CN" w:eastAsia="zh-CN"/>
    </w:rPr>
  </w:style>
  <w:style w:type="character" w:customStyle="1" w:styleId="195">
    <w:name w:val="font11"/>
    <w:basedOn w:val="44"/>
    <w:qFormat/>
    <w:uiPriority w:val="0"/>
    <w:rPr>
      <w:rFonts w:hint="eastAsia" w:ascii="宋体" w:hAnsi="宋体" w:eastAsia="宋体" w:cs="宋体"/>
      <w:b/>
      <w:color w:val="000000"/>
      <w:sz w:val="22"/>
      <w:szCs w:val="22"/>
      <w:u w:val="none"/>
    </w:rPr>
  </w:style>
  <w:style w:type="character" w:customStyle="1" w:styleId="196">
    <w:name w:val="font01"/>
    <w:basedOn w:val="44"/>
    <w:qFormat/>
    <w:uiPriority w:val="0"/>
    <w:rPr>
      <w:rFonts w:hint="eastAsia" w:ascii="宋体" w:hAnsi="宋体" w:eastAsia="宋体" w:cs="宋体"/>
      <w:color w:val="000000"/>
      <w:sz w:val="22"/>
      <w:szCs w:val="22"/>
      <w:u w:val="none"/>
    </w:rPr>
  </w:style>
  <w:style w:type="character" w:customStyle="1" w:styleId="197">
    <w:name w:val="页脚 Char1"/>
    <w:basedOn w:val="44"/>
    <w:qFormat/>
    <w:uiPriority w:val="99"/>
    <w:rPr>
      <w:sz w:val="18"/>
      <w:szCs w:val="18"/>
    </w:rPr>
  </w:style>
  <w:style w:type="character" w:customStyle="1" w:styleId="198">
    <w:name w:val="批注文字 Char2"/>
    <w:qFormat/>
    <w:uiPriority w:val="0"/>
    <w:rPr>
      <w:rFonts w:hint="eastAsia" w:ascii="宋体" w:hAnsi="宋体" w:eastAsia="宋体"/>
      <w:sz w:val="18"/>
      <w:szCs w:val="18"/>
    </w:rPr>
  </w:style>
  <w:style w:type="character" w:customStyle="1" w:styleId="199">
    <w:name w:val="列出段落 Char1"/>
    <w:qFormat/>
    <w:uiPriority w:val="34"/>
    <w:rPr>
      <w:rFonts w:hint="default" w:ascii="Calibri" w:hAnsi="Calibri"/>
      <w:kern w:val="2"/>
      <w:sz w:val="21"/>
      <w:szCs w:val="22"/>
    </w:rPr>
  </w:style>
  <w:style w:type="paragraph" w:customStyle="1" w:styleId="200">
    <w:name w:val="CD正文"/>
    <w:basedOn w:val="100"/>
    <w:qFormat/>
    <w:uiPriority w:val="0"/>
  </w:style>
  <w:style w:type="paragraph" w:customStyle="1" w:styleId="201">
    <w:name w:val="项目符号：一级"/>
    <w:basedOn w:val="87"/>
    <w:next w:val="87"/>
    <w:qFormat/>
    <w:uiPriority w:val="0"/>
  </w:style>
  <w:style w:type="paragraph" w:customStyle="1" w:styleId="202">
    <w:name w:val="正文 A"/>
    <w:qFormat/>
    <w:uiPriority w:val="0"/>
    <w:rPr>
      <w:rFonts w:hint="eastAsia" w:ascii="Arial Unicode MS" w:hAnsi="Arial Unicode MS" w:eastAsia="Arial Unicode MS" w:cs="Arial Unicode MS"/>
      <w:color w:val="000000"/>
      <w:kern w:val="0"/>
      <w:sz w:val="24"/>
      <w:szCs w:val="24"/>
      <w:lang w:val="zh-TW" w:eastAsia="zh-TW" w:bidi="ar-SA"/>
    </w:rPr>
  </w:style>
  <w:style w:type="paragraph" w:customStyle="1" w:styleId="203">
    <w:name w:val="标题5"/>
    <w:basedOn w:val="1"/>
    <w:qFormat/>
    <w:uiPriority w:val="0"/>
    <w:pPr>
      <w:spacing w:before="100" w:beforeAutospacing="1" w:after="100" w:afterAutospacing="1"/>
      <w:ind w:left="283" w:hanging="425"/>
      <w:outlineLvl w:val="4"/>
    </w:pPr>
    <w:rPr>
      <w:rFonts w:ascii="Times New Roman" w:hAnsi="Times New Roman"/>
      <w:szCs w:val="24"/>
    </w:rPr>
  </w:style>
  <w:style w:type="paragraph" w:customStyle="1" w:styleId="204">
    <w:name w:val="列出段落5"/>
    <w:basedOn w:val="1"/>
    <w:unhideWhenUsed/>
    <w:qFormat/>
    <w:uiPriority w:val="99"/>
    <w:pPr>
      <w:ind w:firstLine="420" w:firstLineChars="200"/>
    </w:pPr>
    <w:rPr>
      <w:rFonts w:ascii="Times New Roman" w:hAnsi="Times New Roman"/>
    </w:rPr>
  </w:style>
  <w:style w:type="paragraph" w:customStyle="1" w:styleId="205">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6">
    <w:name w:val="图题标题"/>
    <w:basedOn w:val="1"/>
    <w:qFormat/>
    <w:uiPriority w:val="0"/>
    <w:pPr>
      <w:spacing w:line="400" w:lineRule="exact"/>
      <w:jc w:val="center"/>
    </w:pPr>
    <w:rPr>
      <w:rFonts w:ascii="Times New Roman" w:hAnsi="Times New Roman" w:eastAsia="黑体"/>
      <w:sz w:val="24"/>
      <w:szCs w:val="24"/>
    </w:rPr>
  </w:style>
  <w:style w:type="paragraph" w:customStyle="1" w:styleId="207">
    <w:name w:val="无间隔11"/>
    <w:qFormat/>
    <w:uiPriority w:val="0"/>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08">
    <w:name w:val="列出段落11"/>
    <w:basedOn w:val="1"/>
    <w:qFormat/>
    <w:uiPriority w:val="99"/>
    <w:pPr>
      <w:spacing w:after="200" w:line="276" w:lineRule="auto"/>
      <w:ind w:firstLine="420" w:firstLineChars="200"/>
    </w:pPr>
  </w:style>
  <w:style w:type="paragraph" w:customStyle="1" w:styleId="209">
    <w:name w:val="修订2"/>
    <w:hidden/>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0">
    <w:name w:val="NormalCharacter"/>
    <w:qFormat/>
    <w:uiPriority w:val="0"/>
  </w:style>
  <w:style w:type="character" w:customStyle="1" w:styleId="211">
    <w:name w:val="UserStyle_26"/>
    <w:link w:val="212"/>
    <w:qFormat/>
    <w:uiPriority w:val="0"/>
    <w:rPr>
      <w:szCs w:val="20"/>
    </w:rPr>
  </w:style>
  <w:style w:type="paragraph" w:customStyle="1" w:styleId="212">
    <w:name w:val="NormalIndent"/>
    <w:basedOn w:val="1"/>
    <w:link w:val="211"/>
    <w:qFormat/>
    <w:uiPriority w:val="0"/>
    <w:pPr>
      <w:widowControl/>
      <w:spacing w:after="200" w:line="276" w:lineRule="auto"/>
      <w:ind w:firstLine="420"/>
      <w:textAlignment w:val="baseline"/>
    </w:pPr>
    <w:rPr>
      <w:rFonts w:asciiTheme="minorHAnsi" w:hAnsiTheme="minorHAnsi" w:eastAsiaTheme="minorEastAsia" w:cstheme="minorBidi"/>
      <w:szCs w:val="20"/>
    </w:rPr>
  </w:style>
  <w:style w:type="paragraph" w:customStyle="1" w:styleId="213">
    <w:name w:val="HtmlNormal"/>
    <w:basedOn w:val="1"/>
    <w:qFormat/>
    <w:uiPriority w:val="0"/>
    <w:pPr>
      <w:widowControl/>
      <w:spacing w:before="100" w:beforeAutospacing="1" w:after="100" w:afterAutospacing="1" w:line="276" w:lineRule="auto"/>
      <w:jc w:val="left"/>
      <w:textAlignment w:val="baseline"/>
    </w:pPr>
    <w:rPr>
      <w:rFonts w:ascii="宋体" w:hAnsi="宋体"/>
      <w:kern w:val="0"/>
      <w:sz w:val="24"/>
      <w:szCs w:val="24"/>
    </w:rPr>
  </w:style>
  <w:style w:type="paragraph" w:customStyle="1" w:styleId="214">
    <w:name w:val="Heading1"/>
    <w:basedOn w:val="1"/>
    <w:next w:val="1"/>
    <w:qFormat/>
    <w:uiPriority w:val="0"/>
    <w:pPr>
      <w:keepNext/>
      <w:keepLines/>
      <w:widowControl/>
      <w:spacing w:before="300" w:after="200" w:line="276" w:lineRule="auto"/>
      <w:textAlignment w:val="baseline"/>
    </w:pPr>
    <w:rPr>
      <w:rFonts w:eastAsia="黑体"/>
      <w:kern w:val="44"/>
      <w:sz w:val="44"/>
      <w:szCs w:val="44"/>
    </w:rPr>
  </w:style>
  <w:style w:type="paragraph" w:customStyle="1" w:styleId="215">
    <w:name w:val="UserStyle_33"/>
    <w:basedOn w:val="1"/>
    <w:qFormat/>
    <w:uiPriority w:val="0"/>
    <w:pPr>
      <w:widowControl/>
      <w:spacing w:after="200" w:line="400" w:lineRule="exact"/>
      <w:ind w:firstLine="200" w:firstLineChars="200"/>
      <w:textAlignment w:val="baseline"/>
    </w:pPr>
    <w:rPr>
      <w:rFonts w:ascii="Times New Roman" w:hAnsi="Times New Roman"/>
      <w:sz w:val="24"/>
      <w:szCs w:val="24"/>
    </w:rPr>
  </w:style>
  <w:style w:type="paragraph" w:customStyle="1" w:styleId="216">
    <w:name w:val="UserStyle_40"/>
    <w:basedOn w:val="1"/>
    <w:qFormat/>
    <w:uiPriority w:val="0"/>
    <w:pPr>
      <w:widowControl/>
      <w:spacing w:after="200" w:line="276" w:lineRule="auto"/>
      <w:ind w:firstLine="420" w:firstLineChars="200"/>
      <w:textAlignment w:val="baseline"/>
    </w:pPr>
    <w:rPr>
      <w:szCs w:val="21"/>
    </w:rPr>
  </w:style>
  <w:style w:type="paragraph" w:customStyle="1" w:styleId="217">
    <w:name w:val="Heading2"/>
    <w:basedOn w:val="1"/>
    <w:next w:val="1"/>
    <w:qFormat/>
    <w:uiPriority w:val="0"/>
    <w:pPr>
      <w:widowControl/>
      <w:tabs>
        <w:tab w:val="right" w:leader="dot" w:pos="9000"/>
      </w:tabs>
      <w:spacing w:after="200" w:line="276" w:lineRule="auto"/>
      <w:ind w:right="-686" w:rightChars="-245"/>
      <w:textAlignment w:val="baseline"/>
    </w:pPr>
    <w:rPr>
      <w:szCs w:val="21"/>
    </w:rPr>
  </w:style>
  <w:style w:type="character" w:customStyle="1" w:styleId="218">
    <w:name w:val="UserStyle_9"/>
    <w:basedOn w:val="44"/>
    <w:link w:val="219"/>
    <w:qFormat/>
    <w:uiPriority w:val="0"/>
    <w:rPr>
      <w:sz w:val="28"/>
    </w:rPr>
  </w:style>
  <w:style w:type="paragraph" w:customStyle="1" w:styleId="219">
    <w:name w:val="BodyText1I"/>
    <w:basedOn w:val="220"/>
    <w:link w:val="218"/>
    <w:qFormat/>
    <w:uiPriority w:val="0"/>
    <w:pPr>
      <w:widowControl/>
      <w:ind w:firstLine="420" w:firstLineChars="100"/>
      <w:textAlignment w:val="baseline"/>
    </w:pPr>
    <w:rPr>
      <w:rFonts w:asciiTheme="minorHAnsi" w:hAnsiTheme="minorHAnsi" w:eastAsiaTheme="minorEastAsia" w:cstheme="minorBidi"/>
      <w:sz w:val="28"/>
    </w:rPr>
  </w:style>
  <w:style w:type="paragraph" w:customStyle="1" w:styleId="220">
    <w:name w:val="BodyText"/>
    <w:basedOn w:val="1"/>
    <w:qFormat/>
    <w:uiPriority w:val="0"/>
    <w:pPr>
      <w:spacing w:after="120" w:line="276" w:lineRule="auto"/>
    </w:pPr>
  </w:style>
  <w:style w:type="character" w:customStyle="1" w:styleId="221">
    <w:name w:val="15"/>
    <w:basedOn w:val="44"/>
    <w:qFormat/>
    <w:uiPriority w:val="0"/>
    <w:rPr>
      <w:rFonts w:hint="default" w:ascii="Calibri" w:hAnsi="Calibri"/>
    </w:rPr>
  </w:style>
  <w:style w:type="paragraph" w:customStyle="1" w:styleId="222">
    <w:name w:val="_Style 2"/>
    <w:basedOn w:val="1"/>
    <w:qFormat/>
    <w:uiPriority w:val="0"/>
    <w:pPr>
      <w:spacing w:after="200" w:line="276" w:lineRule="auto"/>
      <w:ind w:firstLine="420" w:firstLineChars="200"/>
    </w:pPr>
  </w:style>
  <w:style w:type="paragraph" w:customStyle="1" w:styleId="223">
    <w:name w:val="正文2"/>
    <w:qFormat/>
    <w:uiPriority w:val="0"/>
    <w:pPr>
      <w:spacing w:after="200" w:line="276" w:lineRule="auto"/>
      <w:jc w:val="both"/>
    </w:pPr>
    <w:rPr>
      <w:rFonts w:ascii="Calibri" w:hAnsi="Calibri" w:eastAsia="宋体" w:cs="Calibri"/>
      <w:kern w:val="2"/>
      <w:sz w:val="21"/>
      <w:szCs w:val="21"/>
      <w:lang w:val="en-US" w:eastAsia="zh-CN" w:bidi="ar-SA"/>
    </w:rPr>
  </w:style>
  <w:style w:type="table" w:customStyle="1" w:styleId="224">
    <w:name w:val="网格型2"/>
    <w:basedOn w:val="42"/>
    <w:qFormat/>
    <w:uiPriority w:val="0"/>
    <w:pPr>
      <w:widowControl w:val="0"/>
      <w:spacing w:after="200" w:line="276"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25">
    <w:name w:val="标准文本 Char Char"/>
    <w:link w:val="226"/>
    <w:qFormat/>
    <w:uiPriority w:val="0"/>
    <w:rPr>
      <w:sz w:val="24"/>
    </w:rPr>
  </w:style>
  <w:style w:type="paragraph" w:customStyle="1" w:styleId="226">
    <w:name w:val="标准文本"/>
    <w:basedOn w:val="1"/>
    <w:link w:val="225"/>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7">
    <w:name w:val="批注文字 Char1"/>
    <w:basedOn w:val="44"/>
    <w:semiHidden/>
    <w:qFormat/>
    <w:locked/>
    <w:uiPriority w:val="0"/>
    <w:rPr>
      <w:rFonts w:ascii="Calibri" w:hAnsi="Calibri" w:eastAsia="宋体" w:cs="Times New Roman"/>
    </w:rPr>
  </w:style>
  <w:style w:type="paragraph" w:customStyle="1" w:styleId="228">
    <w:name w:val="正文360首行缩进"/>
    <w:basedOn w:val="1"/>
    <w:link w:val="229"/>
    <w:qFormat/>
    <w:uiPriority w:val="0"/>
    <w:pPr>
      <w:widowControl/>
      <w:spacing w:before="120" w:line="300" w:lineRule="auto"/>
      <w:ind w:firstLine="200" w:firstLineChars="200"/>
      <w:jc w:val="left"/>
    </w:pPr>
    <w:rPr>
      <w:rFonts w:ascii="Times New Roman" w:hAnsi="Times New Roman"/>
      <w:sz w:val="24"/>
      <w:szCs w:val="20"/>
    </w:rPr>
  </w:style>
  <w:style w:type="character" w:customStyle="1" w:styleId="229">
    <w:name w:val="正文360首行缩进 Char"/>
    <w:basedOn w:val="44"/>
    <w:link w:val="228"/>
    <w:qFormat/>
    <w:uiPriority w:val="0"/>
    <w:rPr>
      <w:rFonts w:ascii="Times New Roman" w:hAnsi="Times New Roman" w:eastAsia="宋体" w:cs="Times New Roman"/>
      <w:sz w:val="24"/>
      <w:szCs w:val="20"/>
    </w:rPr>
  </w:style>
  <w:style w:type="paragraph" w:customStyle="1" w:styleId="230">
    <w:name w:val="列出段落1_0"/>
    <w:basedOn w:val="1"/>
    <w:qFormat/>
    <w:uiPriority w:val="0"/>
    <w:pPr>
      <w:ind w:firstLine="420" w:firstLineChars="200"/>
    </w:pPr>
    <w:rPr>
      <w:szCs w:val="21"/>
    </w:rPr>
  </w:style>
  <w:style w:type="character" w:customStyle="1" w:styleId="231">
    <w:name w:val="font21"/>
    <w:qFormat/>
    <w:uiPriority w:val="0"/>
    <w:rPr>
      <w:rFonts w:hint="default" w:ascii="Arial" w:hAnsi="Arial" w:cs="Arial"/>
      <w:color w:val="000000"/>
      <w:sz w:val="18"/>
      <w:szCs w:val="18"/>
      <w:u w:val="none"/>
    </w:rPr>
  </w:style>
  <w:style w:type="character" w:customStyle="1" w:styleId="232">
    <w:name w:val="_Style 8"/>
    <w:qFormat/>
    <w:uiPriority w:val="32"/>
    <w:rPr>
      <w:b/>
      <w:bCs/>
      <w:smallCaps/>
      <w:color w:val="C0504D"/>
      <w:spacing w:val="5"/>
      <w:u w:val="single"/>
    </w:rPr>
  </w:style>
  <w:style w:type="character" w:customStyle="1" w:styleId="233">
    <w:name w:val="l-btn-icon-left"/>
    <w:basedOn w:val="44"/>
    <w:qFormat/>
    <w:uiPriority w:val="0"/>
  </w:style>
  <w:style w:type="character" w:customStyle="1" w:styleId="234">
    <w:name w:val="l-btn-icon-left1"/>
    <w:basedOn w:val="44"/>
    <w:qFormat/>
    <w:uiPriority w:val="0"/>
  </w:style>
  <w:style w:type="character" w:customStyle="1" w:styleId="235">
    <w:name w:val="l-btn-empty"/>
    <w:basedOn w:val="44"/>
    <w:qFormat/>
    <w:uiPriority w:val="0"/>
  </w:style>
  <w:style w:type="character" w:customStyle="1" w:styleId="236">
    <w:name w:val="l-btn-icon-right"/>
    <w:basedOn w:val="44"/>
    <w:qFormat/>
    <w:uiPriority w:val="0"/>
  </w:style>
  <w:style w:type="character" w:customStyle="1" w:styleId="237">
    <w:name w:val="l-btn-left2"/>
    <w:basedOn w:val="44"/>
    <w:qFormat/>
    <w:uiPriority w:val="0"/>
  </w:style>
  <w:style w:type="character" w:customStyle="1" w:styleId="238">
    <w:name w:val="l-btn-left3"/>
    <w:basedOn w:val="44"/>
    <w:qFormat/>
    <w:uiPriority w:val="0"/>
  </w:style>
  <w:style w:type="character" w:customStyle="1" w:styleId="239">
    <w:name w:val="l-btn-left4"/>
    <w:basedOn w:val="44"/>
    <w:qFormat/>
    <w:uiPriority w:val="0"/>
  </w:style>
  <w:style w:type="character" w:customStyle="1" w:styleId="240">
    <w:name w:val="l-btn-left5"/>
    <w:basedOn w:val="44"/>
    <w:qFormat/>
    <w:uiPriority w:val="0"/>
  </w:style>
  <w:style w:type="character" w:customStyle="1" w:styleId="241">
    <w:name w:val="l-btn-left6"/>
    <w:basedOn w:val="44"/>
    <w:qFormat/>
    <w:uiPriority w:val="0"/>
  </w:style>
  <w:style w:type="character" w:customStyle="1" w:styleId="242">
    <w:name w:val="l-btn-text"/>
    <w:basedOn w:val="44"/>
    <w:qFormat/>
    <w:uiPriority w:val="0"/>
    <w:rPr>
      <w:vertAlign w:val="baseline"/>
    </w:rPr>
  </w:style>
  <w:style w:type="character" w:customStyle="1" w:styleId="243">
    <w:name w:val="l-btn-text1"/>
    <w:basedOn w:val="44"/>
    <w:qFormat/>
    <w:uiPriority w:val="0"/>
    <w:rPr>
      <w:vertAlign w:val="baseline"/>
    </w:rPr>
  </w:style>
  <w:style w:type="character" w:customStyle="1" w:styleId="244">
    <w:name w:val="ajaxtitle"/>
    <w:basedOn w:val="44"/>
    <w:qFormat/>
    <w:uiPriority w:val="0"/>
  </w:style>
  <w:style w:type="character" w:customStyle="1" w:styleId="245">
    <w:name w:val="json_key"/>
    <w:basedOn w:val="44"/>
    <w:qFormat/>
    <w:uiPriority w:val="0"/>
  </w:style>
  <w:style w:type="character" w:customStyle="1" w:styleId="246">
    <w:name w:val="json_string"/>
    <w:basedOn w:val="44"/>
    <w:qFormat/>
    <w:uiPriority w:val="0"/>
  </w:style>
  <w:style w:type="paragraph" w:customStyle="1" w:styleId="247">
    <w:name w:val="Normal_59"/>
    <w:qFormat/>
    <w:uiPriority w:val="0"/>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48">
    <w:name w:val="Char1 Char Char Char Char Char Char_0"/>
    <w:basedOn w:val="1"/>
    <w:qFormat/>
    <w:uiPriority w:val="0"/>
    <w:rPr>
      <w:rFonts w:ascii="Tahoma" w:hAnsi="Tahoma"/>
      <w:sz w:val="24"/>
      <w:szCs w:val="20"/>
    </w:rPr>
  </w:style>
  <w:style w:type="paragraph" w:customStyle="1" w:styleId="249">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50">
    <w:name w:val="列出段落111"/>
    <w:basedOn w:val="1"/>
    <w:qFormat/>
    <w:uiPriority w:val="99"/>
    <w:pPr>
      <w:ind w:firstLine="420" w:firstLineChars="200"/>
    </w:pPr>
    <w:rPr>
      <w:rFonts w:ascii="Times New Roman" w:hAnsi="Times New Roman"/>
    </w:rPr>
  </w:style>
  <w:style w:type="character" w:customStyle="1" w:styleId="251">
    <w:name w:val="标题 2 Char1"/>
    <w:basedOn w:val="44"/>
    <w:semiHidden/>
    <w:qFormat/>
    <w:uiPriority w:val="99"/>
    <w:rPr>
      <w:rFonts w:hint="default" w:asciiTheme="majorHAnsi" w:hAnsiTheme="majorHAnsi" w:eastAsiaTheme="majorEastAsia" w:cstheme="majorBidi"/>
      <w:b/>
      <w:bCs/>
      <w:kern w:val="2"/>
      <w:sz w:val="32"/>
      <w:szCs w:val="32"/>
    </w:rPr>
  </w:style>
  <w:style w:type="character" w:customStyle="1" w:styleId="252">
    <w:name w:val="标题 3 Char1"/>
    <w:basedOn w:val="44"/>
    <w:semiHidden/>
    <w:qFormat/>
    <w:uiPriority w:val="99"/>
    <w:rPr>
      <w:rFonts w:hint="default" w:ascii="Calibri" w:hAnsi="Calibri"/>
      <w:b/>
      <w:bCs/>
      <w:kern w:val="2"/>
      <w:sz w:val="32"/>
      <w:szCs w:val="32"/>
    </w:rPr>
  </w:style>
  <w:style w:type="character" w:customStyle="1" w:styleId="253">
    <w:name w:val="标题 4 Char1"/>
    <w:basedOn w:val="44"/>
    <w:semiHidden/>
    <w:qFormat/>
    <w:uiPriority w:val="9"/>
    <w:rPr>
      <w:rFonts w:hint="default" w:asciiTheme="majorHAnsi" w:hAnsiTheme="majorHAnsi" w:eastAsiaTheme="majorEastAsia" w:cstheme="majorBidi"/>
      <w:b/>
      <w:bCs/>
      <w:kern w:val="2"/>
      <w:sz w:val="28"/>
      <w:szCs w:val="28"/>
    </w:rPr>
  </w:style>
  <w:style w:type="character" w:customStyle="1" w:styleId="254">
    <w:name w:val="正文文本缩进 2 Char1"/>
    <w:basedOn w:val="44"/>
    <w:semiHidden/>
    <w:qFormat/>
    <w:uiPriority w:val="99"/>
    <w:rPr>
      <w:rFonts w:hint="default" w:ascii="Calibri" w:hAnsi="Calibri" w:cs="Calibri"/>
      <w:kern w:val="2"/>
      <w:sz w:val="21"/>
      <w:szCs w:val="22"/>
    </w:rPr>
  </w:style>
  <w:style w:type="character" w:customStyle="1" w:styleId="255">
    <w:name w:val="正文文本缩进 Char1"/>
    <w:basedOn w:val="44"/>
    <w:semiHidden/>
    <w:qFormat/>
    <w:uiPriority w:val="99"/>
    <w:rPr>
      <w:rFonts w:hint="default" w:ascii="Calibri" w:hAnsi="Calibri" w:cs="Calibri"/>
      <w:kern w:val="2"/>
      <w:sz w:val="21"/>
      <w:szCs w:val="22"/>
    </w:rPr>
  </w:style>
  <w:style w:type="character" w:customStyle="1" w:styleId="256">
    <w:name w:val="正文文本 3 Char1"/>
    <w:basedOn w:val="44"/>
    <w:semiHidden/>
    <w:qFormat/>
    <w:uiPriority w:val="99"/>
    <w:rPr>
      <w:rFonts w:hint="default" w:ascii="Calibri" w:hAnsi="Calibri" w:cs="Calibri"/>
      <w:kern w:val="2"/>
      <w:sz w:val="16"/>
      <w:szCs w:val="16"/>
    </w:rPr>
  </w:style>
  <w:style w:type="character" w:customStyle="1" w:styleId="257">
    <w:name w:val="正文文本缩进 3 Char1"/>
    <w:basedOn w:val="44"/>
    <w:semiHidden/>
    <w:qFormat/>
    <w:uiPriority w:val="99"/>
    <w:rPr>
      <w:rFonts w:hint="default" w:ascii="Calibri" w:hAnsi="Calibri" w:cs="Calibri"/>
      <w:kern w:val="2"/>
      <w:sz w:val="16"/>
      <w:szCs w:val="16"/>
    </w:rPr>
  </w:style>
  <w:style w:type="character" w:customStyle="1" w:styleId="258">
    <w:name w:val="批注框文本 Char1"/>
    <w:basedOn w:val="44"/>
    <w:semiHidden/>
    <w:qFormat/>
    <w:uiPriority w:val="99"/>
    <w:rPr>
      <w:rFonts w:hint="default" w:ascii="Calibri" w:hAnsi="Calibri" w:cs="Calibri"/>
      <w:kern w:val="2"/>
      <w:sz w:val="18"/>
      <w:szCs w:val="18"/>
    </w:rPr>
  </w:style>
  <w:style w:type="character" w:customStyle="1" w:styleId="259">
    <w:name w:val="文档结构图 Char1"/>
    <w:basedOn w:val="44"/>
    <w:semiHidden/>
    <w:qFormat/>
    <w:uiPriority w:val="99"/>
    <w:rPr>
      <w:rFonts w:hint="eastAsia" w:ascii="宋体" w:hAnsi="Calibri" w:eastAsia="宋体"/>
      <w:kern w:val="2"/>
      <w:sz w:val="18"/>
      <w:szCs w:val="18"/>
    </w:rPr>
  </w:style>
  <w:style w:type="character" w:customStyle="1" w:styleId="260">
    <w:name w:val="页眉 Char1"/>
    <w:basedOn w:val="44"/>
    <w:semiHidden/>
    <w:qFormat/>
    <w:uiPriority w:val="99"/>
    <w:rPr>
      <w:rFonts w:hint="default" w:ascii="Calibri" w:hAnsi="Calibri" w:cs="Calibri"/>
      <w:kern w:val="2"/>
      <w:sz w:val="18"/>
      <w:szCs w:val="18"/>
    </w:rPr>
  </w:style>
  <w:style w:type="character" w:customStyle="1" w:styleId="261">
    <w:name w:val="日期 Char1"/>
    <w:basedOn w:val="44"/>
    <w:semiHidden/>
    <w:qFormat/>
    <w:uiPriority w:val="99"/>
    <w:rPr>
      <w:rFonts w:hint="default" w:ascii="Calibri" w:hAnsi="Calibri" w:cs="Calibri"/>
      <w:kern w:val="2"/>
      <w:sz w:val="21"/>
      <w:szCs w:val="22"/>
    </w:rPr>
  </w:style>
  <w:style w:type="character" w:customStyle="1" w:styleId="262">
    <w:name w:val="正文文本 Char3"/>
    <w:basedOn w:val="44"/>
    <w:semiHidden/>
    <w:qFormat/>
    <w:uiPriority w:val="99"/>
    <w:rPr>
      <w:rFonts w:hint="default" w:ascii="Calibri" w:hAnsi="Calibri" w:cs="Calibri"/>
      <w:kern w:val="2"/>
      <w:sz w:val="21"/>
      <w:szCs w:val="22"/>
    </w:rPr>
  </w:style>
  <w:style w:type="character" w:customStyle="1" w:styleId="263">
    <w:name w:val="纯文本 Char2"/>
    <w:basedOn w:val="44"/>
    <w:semiHidden/>
    <w:qFormat/>
    <w:uiPriority w:val="99"/>
    <w:rPr>
      <w:rFonts w:hint="eastAsia" w:ascii="宋体" w:hAnsi="Courier New" w:eastAsia="宋体" w:cs="Courier New"/>
      <w:kern w:val="2"/>
      <w:sz w:val="21"/>
      <w:szCs w:val="21"/>
    </w:rPr>
  </w:style>
  <w:style w:type="character" w:customStyle="1" w:styleId="264">
    <w:name w:val="正文首行缩进 Char1"/>
    <w:basedOn w:val="262"/>
    <w:semiHidden/>
    <w:qFormat/>
    <w:uiPriority w:val="99"/>
    <w:rPr>
      <w:rFonts w:hint="default" w:ascii="Calibri" w:hAnsi="Calibri" w:cs="Calibri"/>
      <w:kern w:val="2"/>
      <w:sz w:val="21"/>
      <w:szCs w:val="22"/>
    </w:rPr>
  </w:style>
  <w:style w:type="character" w:customStyle="1" w:styleId="265">
    <w:name w:val="正文文本 2 Char1"/>
    <w:basedOn w:val="44"/>
    <w:semiHidden/>
    <w:qFormat/>
    <w:uiPriority w:val="99"/>
    <w:rPr>
      <w:rFonts w:hint="default" w:ascii="Calibri" w:hAnsi="Calibri" w:cs="Calibri"/>
      <w:kern w:val="2"/>
      <w:sz w:val="21"/>
      <w:szCs w:val="22"/>
    </w:rPr>
  </w:style>
  <w:style w:type="character" w:customStyle="1" w:styleId="266">
    <w:name w:val="副标题 Char2"/>
    <w:basedOn w:val="44"/>
    <w:qFormat/>
    <w:uiPriority w:val="11"/>
    <w:rPr>
      <w:rFonts w:hint="default" w:asciiTheme="majorHAnsi" w:hAnsiTheme="majorHAnsi" w:cstheme="majorBidi"/>
      <w:b/>
      <w:bCs/>
      <w:kern w:val="28"/>
      <w:sz w:val="32"/>
      <w:szCs w:val="32"/>
    </w:rPr>
  </w:style>
  <w:style w:type="paragraph" w:customStyle="1" w:styleId="267">
    <w:name w:val="List Paragraph1"/>
    <w:basedOn w:val="1"/>
    <w:qFormat/>
    <w:uiPriority w:val="0"/>
    <w:pPr>
      <w:ind w:firstLine="420" w:firstLineChars="200"/>
    </w:pPr>
    <w:rPr>
      <w:rFonts w:ascii="Times New Roman" w:hAnsi="Times New Roman"/>
      <w:szCs w:val="24"/>
    </w:rPr>
  </w:style>
  <w:style w:type="character" w:customStyle="1" w:styleId="268">
    <w:name w:val="列出段落 Char"/>
    <w:link w:val="158"/>
    <w:qFormat/>
    <w:uiPriority w:val="0"/>
    <w:rPr>
      <w:rFonts w:ascii="Times New Roman" w:hAnsi="Times New Roman" w:eastAsia="宋体" w:cs="Times New Roman"/>
      <w:kern w:val="0"/>
      <w:sz w:val="24"/>
      <w:szCs w:val="24"/>
    </w:rPr>
  </w:style>
  <w:style w:type="paragraph" w:customStyle="1" w:styleId="269">
    <w:name w:val="修订3"/>
    <w:hidden/>
    <w:unhideWhenUsed/>
    <w:qFormat/>
    <w:uiPriority w:val="99"/>
    <w:rPr>
      <w:rFonts w:ascii="Calibri" w:hAnsi="Calibri" w:eastAsia="宋体" w:cs="Times New Roman"/>
      <w:kern w:val="2"/>
      <w:sz w:val="21"/>
      <w:szCs w:val="22"/>
      <w:lang w:val="en-US" w:eastAsia="zh-CN" w:bidi="ar-SA"/>
    </w:rPr>
  </w:style>
  <w:style w:type="paragraph" w:customStyle="1" w:styleId="270">
    <w:name w:val="正文缩进2字符"/>
    <w:link w:val="271"/>
    <w:qFormat/>
    <w:uiPriority w:val="0"/>
    <w:pPr>
      <w:spacing w:line="360" w:lineRule="auto"/>
      <w:ind w:firstLine="480" w:firstLineChars="200"/>
    </w:pPr>
    <w:rPr>
      <w:rFonts w:ascii="Calibri" w:hAnsi="Calibri" w:eastAsia="宋体" w:cs="Times New Roman"/>
      <w:kern w:val="0"/>
      <w:sz w:val="24"/>
      <w:szCs w:val="24"/>
      <w:lang w:val="en-US" w:eastAsia="zh-CN" w:bidi="ar-SA"/>
    </w:rPr>
  </w:style>
  <w:style w:type="character" w:customStyle="1" w:styleId="271">
    <w:name w:val="正文缩进2字符 Char"/>
    <w:link w:val="270"/>
    <w:qFormat/>
    <w:uiPriority w:val="0"/>
    <w:rPr>
      <w:rFonts w:ascii="Calibri" w:hAnsi="Calibri" w:eastAsia="宋体" w:cs="Times New Roman"/>
      <w:kern w:val="0"/>
      <w:sz w:val="24"/>
      <w:szCs w:val="24"/>
    </w:rPr>
  </w:style>
  <w:style w:type="paragraph" w:customStyle="1" w:styleId="272">
    <w:name w:val="彩色列表 - 强调文字颜色"/>
    <w:basedOn w:val="1"/>
    <w:qFormat/>
    <w:uiPriority w:val="99"/>
    <w:pPr>
      <w:spacing w:after="200" w:line="276" w:lineRule="auto"/>
      <w:ind w:firstLine="420" w:firstLineChars="200"/>
    </w:pPr>
    <w:rPr>
      <w:rFonts w:eastAsiaTheme="minorEastAsia" w:cstheme="minorBidi"/>
    </w:rPr>
  </w:style>
  <w:style w:type="character" w:customStyle="1" w:styleId="273">
    <w:name w:val="qowt-font2"/>
    <w:basedOn w:val="44"/>
    <w:qFormat/>
    <w:uiPriority w:val="0"/>
  </w:style>
  <w:style w:type="table" w:customStyle="1" w:styleId="274">
    <w:name w:val="网格型1"/>
    <w:basedOn w:val="42"/>
    <w:qFormat/>
    <w:uiPriority w:val="0"/>
    <w:pPr>
      <w:widowControl w:val="0"/>
      <w:spacing w:after="200" w:line="276" w:lineRule="auto"/>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75">
    <w:name w:val="_Style 1"/>
    <w:basedOn w:val="1"/>
    <w:qFormat/>
    <w:uiPriority w:val="0"/>
    <w:pPr>
      <w:ind w:firstLine="420" w:firstLineChars="200"/>
    </w:pPr>
    <w:rPr>
      <w:kern w:val="0"/>
      <w:sz w:val="34"/>
    </w:rPr>
  </w:style>
  <w:style w:type="character" w:customStyle="1" w:styleId="276">
    <w:name w:val="样式 Char Char"/>
    <w:link w:val="122"/>
    <w:qFormat/>
    <w:locked/>
    <w:uiPriority w:val="0"/>
    <w:rPr>
      <w:rFonts w:ascii="宋体" w:hAnsi="宋体" w:eastAsia="宋体" w:cs="宋体"/>
      <w:kern w:val="0"/>
      <w:sz w:val="24"/>
      <w:szCs w:val="24"/>
    </w:rPr>
  </w:style>
  <w:style w:type="character" w:customStyle="1" w:styleId="277">
    <w:name w:val="正文缩进 Char2"/>
    <w:qFormat/>
    <w:uiPriority w:val="99"/>
    <w:rPr>
      <w:szCs w:val="24"/>
    </w:rPr>
  </w:style>
  <w:style w:type="character" w:customStyle="1" w:styleId="278">
    <w:name w:val="纯文本 Char3"/>
    <w:qFormat/>
    <w:uiPriority w:val="0"/>
    <w:rPr>
      <w:rFonts w:ascii="宋体" w:hAnsi="Tms Rmn" w:cs="宋体"/>
      <w:szCs w:val="21"/>
    </w:rPr>
  </w:style>
  <w:style w:type="paragraph" w:customStyle="1" w:styleId="279">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0">
    <w:name w:val="正文 New"/>
    <w:next w:val="281"/>
    <w:qFormat/>
    <w:uiPriority w:val="0"/>
    <w:pPr>
      <w:widowControl w:val="0"/>
      <w:jc w:val="both"/>
    </w:pPr>
    <w:rPr>
      <w:rFonts w:ascii="Times New Roman" w:hAnsi="Times New Roman" w:eastAsia="宋体" w:cs="Times New Roman"/>
      <w:kern w:val="2"/>
      <w:sz w:val="21"/>
      <w:szCs w:val="24"/>
      <w:lang w:val="en-US" w:eastAsia="zh-CN"/>
    </w:rPr>
  </w:style>
  <w:style w:type="paragraph" w:customStyle="1" w:styleId="281">
    <w:name w:val="标题 1 New"/>
    <w:basedOn w:val="280"/>
    <w:next w:val="280"/>
    <w:qFormat/>
    <w:uiPriority w:val="0"/>
    <w:pPr>
      <w:keepNext/>
      <w:keepLines/>
      <w:numPr>
        <w:ilvl w:val="0"/>
        <w:numId w:val="5"/>
      </w:numPr>
      <w:spacing w:before="340" w:beforeLines="0" w:after="330" w:afterLines="0" w:line="576" w:lineRule="auto"/>
      <w:jc w:val="center"/>
      <w:outlineLvl w:val="0"/>
    </w:pPr>
    <w:rPr>
      <w:rFonts w:ascii="Times New Roman" w:hAnsi="Times New Roman" w:eastAsia="宋体" w:cs="Times New Roman"/>
      <w:b/>
      <w:kern w:val="44"/>
      <w:sz w:val="36"/>
      <w:szCs w:val="20"/>
    </w:rPr>
  </w:style>
  <w:style w:type="paragraph" w:customStyle="1" w:styleId="282">
    <w:name w:val="正文 New New"/>
    <w:next w:val="283"/>
    <w:qFormat/>
    <w:uiPriority w:val="0"/>
    <w:pPr>
      <w:widowControl w:val="0"/>
      <w:jc w:val="both"/>
    </w:pPr>
    <w:rPr>
      <w:rFonts w:ascii="Times New Roman" w:hAnsi="Times New Roman" w:eastAsia="宋体" w:cs="Times New Roman"/>
      <w:kern w:val="2"/>
      <w:sz w:val="21"/>
      <w:szCs w:val="24"/>
      <w:lang w:val="en-US" w:eastAsia="zh-CN"/>
    </w:rPr>
  </w:style>
  <w:style w:type="paragraph" w:customStyle="1" w:styleId="283">
    <w:name w:val="标题 1 New New"/>
    <w:basedOn w:val="282"/>
    <w:next w:val="282"/>
    <w:qFormat/>
    <w:uiPriority w:val="0"/>
    <w:pPr>
      <w:keepNext/>
      <w:keepLines/>
      <w:numPr>
        <w:ilvl w:val="0"/>
        <w:numId w:val="5"/>
      </w:numPr>
      <w:spacing w:before="340" w:beforeLines="0" w:after="330" w:afterLines="0" w:line="576" w:lineRule="auto"/>
      <w:jc w:val="center"/>
      <w:outlineLvl w:val="0"/>
    </w:pPr>
    <w:rPr>
      <w:rFonts w:ascii="Times New Roman" w:hAnsi="Times New Roman" w:eastAsia="宋体" w:cs="Times New Roman"/>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54F98D-DEED-4BA9-8E3A-32481D8DE228}">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38779</Words>
  <Characters>40445</Characters>
  <Lines>247</Lines>
  <Paragraphs>69</Paragraphs>
  <TotalTime>75</TotalTime>
  <ScaleCrop>false</ScaleCrop>
  <LinksUpToDate>false</LinksUpToDate>
  <CharactersWithSpaces>41262</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2021-07-07T08:06:00Z</dcterms:created>
  <dc:creator>郑思媛</dc:creator>
  <cp:lastModifiedBy>魏婷</cp:lastModifiedBy>
  <cp:lastPrinted>2021-07-13T03:18:00Z</cp:lastPrinted>
  <dcterms:modified xsi:type="dcterms:W3CDTF">2021-10-13T07:57:07Z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y fmtid="{D5CDD505-2E9C-101B-9397-08002B2CF9AE}" pid="3" name="ICV">
    <vt:lpwstr>1AE0D3D2D7DB43F9B1D24A107D65DFE9</vt:lpwstr>
  </property>
</Properties>
</file>