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成都市新都区升庵中学物业管理服务采购项目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新都政采（2021）A004</w:t>
      </w:r>
      <w:r>
        <w:rPr>
          <w:rFonts w:hint="eastAsia" w:ascii="宋体" w:hAnsi="宋体" w:eastAsia="宋体" w:cs="宋体"/>
          <w:sz w:val="32"/>
          <w:szCs w:val="32"/>
          <w:lang w:val="en-US" w:eastAsia="zh-CN"/>
        </w:rPr>
        <w:t>8</w:t>
      </w:r>
      <w:r>
        <w:rPr>
          <w:rFonts w:hint="eastAsia" w:ascii="宋体" w:hAnsi="宋体" w:eastAsia="宋体" w:cs="宋体"/>
          <w:sz w:val="32"/>
          <w:szCs w:val="32"/>
          <w:lang w:eastAsia="zh-CN"/>
        </w:rPr>
        <w:t>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成都市新都区升庵中学</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十</w:t>
      </w:r>
      <w:r>
        <w:rPr>
          <w:rFonts w:hint="eastAsia" w:ascii="宋体" w:hAnsi="宋体" w:eastAsia="宋体" w:cs="宋体"/>
          <w:sz w:val="32"/>
          <w:szCs w:val="32"/>
        </w:rPr>
        <w:t>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48505181"/>
      <w:bookmarkStart w:id="1" w:name="_Toc101234248"/>
      <w:bookmarkStart w:id="2" w:name="_Toc101247312"/>
      <w:bookmarkStart w:id="3" w:name="_Toc101328520"/>
      <w:r>
        <w:rPr>
          <w:rFonts w:hint="eastAsia" w:ascii="宋体" w:hAnsi="宋体" w:eastAsia="宋体" w:cs="Times New Roman"/>
          <w:b/>
          <w:sz w:val="32"/>
          <w:szCs w:val="32"/>
        </w:rPr>
        <w:t>目 录</w:t>
      </w:r>
    </w:p>
    <w:p>
      <w:pPr>
        <w:pStyle w:val="9"/>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_Toc138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_Toc138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_Toc28703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_Toc28703 \h </w:instrText>
      </w:r>
      <w:r>
        <w:fldChar w:fldCharType="separate"/>
      </w:r>
      <w:r>
        <w:t>6</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_Toc31603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_Toc31603 \h </w:instrText>
      </w:r>
      <w:r>
        <w:fldChar w:fldCharType="separate"/>
      </w:r>
      <w:r>
        <w:t>6</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_Toc11631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_Toc11631 \h </w:instrText>
      </w:r>
      <w:r>
        <w:fldChar w:fldCharType="separate"/>
      </w:r>
      <w:r>
        <w:t>9</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_Toc13573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_Toc13573 \h </w:instrText>
      </w:r>
      <w:r>
        <w:fldChar w:fldCharType="separate"/>
      </w:r>
      <w:r>
        <w:t>11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_Toc14678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_Toc14678 \h </w:instrText>
      </w:r>
      <w:r>
        <w:fldChar w:fldCharType="separate"/>
      </w:r>
      <w:r>
        <w:t>12</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_Toc16405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_Toc16405 \h </w:instrText>
      </w:r>
      <w:r>
        <w:fldChar w:fldCharType="separate"/>
      </w:r>
      <w:r>
        <w:t>18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_Toc498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_Toc498 \h </w:instrText>
      </w:r>
      <w:r>
        <w:fldChar w:fldCharType="separate"/>
      </w:r>
      <w:r>
        <w:t>20</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_Toc18050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_Toc18050 \h </w:instrText>
      </w:r>
      <w:r>
        <w:fldChar w:fldCharType="separate"/>
      </w:r>
      <w:r>
        <w:t>22</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_Toc29963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_Toc29963 \h </w:instrText>
      </w:r>
      <w:r>
        <w:fldChar w:fldCharType="separate"/>
      </w:r>
      <w:r>
        <w:t>24</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_Toc25776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_Toc25776 \h </w:instrText>
      </w:r>
      <w:r>
        <w:fldChar w:fldCharType="separate"/>
      </w:r>
      <w:r>
        <w:t>25</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_Toc5173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_Toc5173 \h </w:instrText>
      </w:r>
      <w:r>
        <w:fldChar w:fldCharType="separate"/>
      </w:r>
      <w:r>
        <w:t>26</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_Toc31160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_Toc31160 \h </w:instrText>
      </w:r>
      <w:r>
        <w:fldChar w:fldCharType="separate"/>
      </w:r>
      <w:r>
        <w:t>26</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_Toc24237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_Toc24237 \h </w:instrText>
      </w:r>
      <w:r>
        <w:fldChar w:fldCharType="separate"/>
      </w:r>
      <w:r>
        <w:t>27</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_Toc23107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_Toc23107 \h </w:instrText>
      </w:r>
      <w:r>
        <w:fldChar w:fldCharType="separate"/>
      </w:r>
      <w:r>
        <w:t>33</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_Toc26446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_Toc26446 \h </w:instrText>
      </w:r>
      <w:r>
        <w:fldChar w:fldCharType="separate"/>
      </w:r>
      <w:r>
        <w:t>39</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_Toc821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Times New Roman"/>
          <w:bCs/>
          <w:spacing w:val="-20"/>
          <w:kern w:val="44"/>
          <w:szCs w:val="32"/>
        </w:rPr>
        <w:t>招标项目技术、服务、商务及其他要求</w:t>
      </w:r>
      <w:r>
        <w:tab/>
      </w:r>
      <w:r>
        <w:fldChar w:fldCharType="begin"/>
      </w:r>
      <w:r>
        <w:instrText xml:space="preserve"> PAGEREF _Toc821 \h </w:instrText>
      </w:r>
      <w:r>
        <w:fldChar w:fldCharType="separate"/>
      </w:r>
      <w:r>
        <w:t>41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_Toc24348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_Toc24348 \h </w:instrText>
      </w:r>
      <w:r>
        <w:fldChar w:fldCharType="separate"/>
      </w:r>
      <w:r>
        <w:t>41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_Toc4738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kern w:val="0"/>
          <w:highlight w:val="none"/>
        </w:rPr>
        <w:t>服务内容</w:t>
      </w:r>
      <w:r>
        <w:rPr>
          <w:rFonts w:hint="eastAsia"/>
          <w:kern w:val="0"/>
          <w:highlight w:val="none"/>
          <w:lang w:eastAsia="zh-CN"/>
        </w:rPr>
        <w:t>及要求</w:t>
      </w:r>
      <w:r>
        <w:tab/>
      </w:r>
      <w:r>
        <w:fldChar w:fldCharType="begin"/>
      </w:r>
      <w:r>
        <w:instrText xml:space="preserve"> PAGEREF _Toc4738 \h </w:instrText>
      </w:r>
      <w:r>
        <w:fldChar w:fldCharType="separate"/>
      </w:r>
      <w:r>
        <w:t>41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_Toc16362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bCs/>
          <w:iCs/>
          <w:kern w:val="0"/>
          <w:szCs w:val="28"/>
          <w:highlight w:val="none"/>
          <w:lang w:val="en-US" w:eastAsia="zh-CN" w:bidi="ar-SA"/>
        </w:rPr>
        <w:t>考核内容及标准</w:t>
      </w:r>
      <w:r>
        <w:tab/>
      </w:r>
      <w:r>
        <w:fldChar w:fldCharType="begin"/>
      </w:r>
      <w:r>
        <w:instrText xml:space="preserve"> PAGEREF _Toc16362 \h </w:instrText>
      </w:r>
      <w:r>
        <w:fldChar w:fldCharType="separate"/>
      </w:r>
      <w:r>
        <w:t>47</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_Toc29464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4.4 </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_Toc29464 \h </w:instrText>
      </w:r>
      <w:r>
        <w:fldChar w:fldCharType="separate"/>
      </w:r>
      <w:r>
        <w:t>52</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_Toc7289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rPr>
        <w:t>资格性审查</w:t>
      </w:r>
      <w:r>
        <w:tab/>
      </w:r>
      <w:r>
        <w:fldChar w:fldCharType="begin"/>
      </w:r>
      <w:r>
        <w:instrText xml:space="preserve"> PAGEREF _Toc7289 \h </w:instrText>
      </w:r>
      <w:r>
        <w:fldChar w:fldCharType="separate"/>
      </w:r>
      <w:r>
        <w:t>53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_Toc1227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rPr>
        <w:t>评标办法</w:t>
      </w:r>
      <w:r>
        <w:tab/>
      </w:r>
      <w:r>
        <w:fldChar w:fldCharType="begin"/>
      </w:r>
      <w:r>
        <w:instrText xml:space="preserve"> PAGEREF _Toc1227 \h </w:instrText>
      </w:r>
      <w:r>
        <w:fldChar w:fldCharType="separate"/>
      </w:r>
      <w:r>
        <w:t>58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_Toc22250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rPr>
        <w:t>总则</w:t>
      </w:r>
      <w:r>
        <w:tab/>
      </w:r>
      <w:r>
        <w:fldChar w:fldCharType="begin"/>
      </w:r>
      <w:r>
        <w:instrText xml:space="preserve"> PAGEREF _Toc22250 \h </w:instrText>
      </w:r>
      <w:r>
        <w:fldChar w:fldCharType="separate"/>
      </w:r>
      <w:r>
        <w:t>58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_Toc22010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rPr>
        <w:t>评标方法</w:t>
      </w:r>
      <w:r>
        <w:tab/>
      </w:r>
      <w:r>
        <w:fldChar w:fldCharType="begin"/>
      </w:r>
      <w:r>
        <w:instrText xml:space="preserve"> PAGEREF _Toc22010 \h </w:instrText>
      </w:r>
      <w:r>
        <w:fldChar w:fldCharType="separate"/>
      </w:r>
      <w:r>
        <w:t>59</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_Toc29809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rPr>
        <w:t>评标程序</w:t>
      </w:r>
      <w:r>
        <w:tab/>
      </w:r>
      <w:r>
        <w:fldChar w:fldCharType="begin"/>
      </w:r>
      <w:r>
        <w:instrText xml:space="preserve"> PAGEREF _Toc29809 \h </w:instrText>
      </w:r>
      <w:r>
        <w:fldChar w:fldCharType="separate"/>
      </w:r>
      <w:r>
        <w:t>59</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_Toc4682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rPr>
        <w:t>评标争议处理规则</w:t>
      </w:r>
      <w:r>
        <w:tab/>
      </w:r>
      <w:r>
        <w:fldChar w:fldCharType="begin"/>
      </w:r>
      <w:r>
        <w:instrText xml:space="preserve"> PAGEREF _Toc4682 \h </w:instrText>
      </w:r>
      <w:r>
        <w:fldChar w:fldCharType="separate"/>
      </w:r>
      <w:r>
        <w:t>66</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_Toc10351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rPr>
        <w:t>评标细则及标准</w:t>
      </w:r>
      <w:r>
        <w:tab/>
      </w:r>
      <w:r>
        <w:fldChar w:fldCharType="begin"/>
      </w:r>
      <w:r>
        <w:instrText xml:space="preserve"> PAGEREF _Toc10351 \h </w:instrText>
      </w:r>
      <w:r>
        <w:fldChar w:fldCharType="separate"/>
      </w:r>
      <w:r>
        <w:t>66</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_Toc17569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rPr>
        <w:t>废标</w:t>
      </w:r>
      <w:r>
        <w:tab/>
      </w:r>
      <w:r>
        <w:fldChar w:fldCharType="begin"/>
      </w:r>
      <w:r>
        <w:instrText xml:space="preserve"> PAGEREF _Toc17569 \h </w:instrText>
      </w:r>
      <w:r>
        <w:fldChar w:fldCharType="separate"/>
      </w:r>
      <w:r>
        <w:t>68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_Toc2839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rPr>
        <w:t>定标</w:t>
      </w:r>
      <w:r>
        <w:tab/>
      </w:r>
      <w:r>
        <w:fldChar w:fldCharType="begin"/>
      </w:r>
      <w:r>
        <w:instrText xml:space="preserve"> PAGEREF _Toc2839 \h </w:instrText>
      </w:r>
      <w:r>
        <w:fldChar w:fldCharType="separate"/>
      </w:r>
      <w:r>
        <w:t>69</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rPr>
        <w:t>评标专家在政府采购活动中承担以下义务</w:t>
      </w:r>
      <w:r>
        <w:tab/>
      </w:r>
      <w:r>
        <w:fldChar w:fldCharType="begin"/>
      </w:r>
      <w:r>
        <w:instrText xml:space="preserve"> PAGEREF _Toc447 \h </w:instrText>
      </w:r>
      <w:r>
        <w:fldChar w:fldCharType="separate"/>
      </w:r>
      <w:r>
        <w:t>70</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_Toc11806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rPr>
        <w:t>评标委员会及其成员不得有下列行为</w:t>
      </w:r>
      <w:r>
        <w:tab/>
      </w:r>
      <w:r>
        <w:fldChar w:fldCharType="begin"/>
      </w:r>
      <w:r>
        <w:instrText xml:space="preserve"> PAGEREF _Toc11806 \h </w:instrText>
      </w:r>
      <w:r>
        <w:fldChar w:fldCharType="separate"/>
      </w:r>
      <w:r>
        <w:t>71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_Toc27824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rPr>
        <w:t>评审专家在政府采购活动中应当遵守以下工作纪律</w:t>
      </w:r>
      <w:r>
        <w:tab/>
      </w:r>
      <w:r>
        <w:fldChar w:fldCharType="begin"/>
      </w:r>
      <w:r>
        <w:instrText xml:space="preserve"> PAGEREF _Toc27824 \h </w:instrText>
      </w:r>
      <w:r>
        <w:fldChar w:fldCharType="separate"/>
      </w:r>
      <w:r>
        <w:t>71</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_Toc18395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rPr>
        <w:t>拟签订合同文本</w:t>
      </w:r>
      <w:r>
        <w:tab/>
      </w:r>
      <w:r>
        <w:fldChar w:fldCharType="begin"/>
      </w:r>
      <w:r>
        <w:instrText xml:space="preserve"> PAGEREF _Toc18395 \h </w:instrText>
      </w:r>
      <w:r>
        <w:fldChar w:fldCharType="separate"/>
      </w:r>
      <w:r>
        <w:t>74</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_Toc3046 </w:instrText>
      </w:r>
      <w:r>
        <w:rPr>
          <w:rFonts w:hint="eastAsia" w:ascii="宋体" w:hAnsi="宋体" w:eastAsia="宋体" w:cs="宋体"/>
          <w:szCs w:val="22"/>
        </w:rPr>
        <w:fldChar w:fldCharType="separate"/>
      </w:r>
      <w:r>
        <w:rPr>
          <w:rFonts w:hint="eastAsia" w:asciiTheme="minorEastAsia" w:hAnsiTheme="minorEastAsia" w:eastAsiaTheme="minorEastAsia" w:cstheme="minorEastAsia"/>
          <w:szCs w:val="28"/>
          <w:highlight w:val="none"/>
        </w:rPr>
        <w:t>政府采购合同</w:t>
      </w:r>
      <w:r>
        <w:tab/>
      </w:r>
      <w:r>
        <w:fldChar w:fldCharType="begin"/>
      </w:r>
      <w:r>
        <w:instrText xml:space="preserve"> PAGEREF _Toc3046 \h </w:instrText>
      </w:r>
      <w:r>
        <w:fldChar w:fldCharType="separate"/>
      </w:r>
      <w:r>
        <w:t>74</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204575871"/>
      <w:bookmarkStart w:id="5" w:name="_Toc181610856"/>
      <w:bookmarkStart w:id="6" w:name="_Toc138"/>
      <w:bookmarkStart w:id="7" w:name="_Toc181591102"/>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成都市新都区升庵中学</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成都市新都区升庵中学物业管理服务采购项目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新都政采（2021）A0048号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（采购项目编号：510114202100</w:t>
      </w:r>
      <w:r>
        <w:rPr>
          <w:rFonts w:hint="eastAsia" w:ascii="宋体" w:hAnsi="宋体" w:eastAsia="宋体" w:cs="Times New Roman"/>
          <w:b/>
          <w:sz w:val="28"/>
          <w:szCs w:val="28"/>
          <w:lang w:val="en-US" w:eastAsia="zh-CN"/>
        </w:rPr>
        <w:t>286</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成都市新都区升庵中学物业管理服务采购项目</w:t>
      </w:r>
    </w:p>
    <w:p>
      <w:pPr>
        <w:numPr>
          <w:ilvl w:val="0"/>
          <w:numId w:val="5"/>
        </w:numPr>
        <w:spacing w:after="200" w:line="560" w:lineRule="exact"/>
        <w:ind w:left="0" w:firstLine="567"/>
        <w:rPr>
          <w:rFonts w:ascii="宋体" w:hAnsi="宋体" w:eastAsia="宋体" w:cs="Times New Roman"/>
          <w:b/>
          <w:sz w:val="28"/>
          <w:szCs w:val="28"/>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财政性资金，政府采购实施计</w:t>
      </w:r>
      <w:r>
        <w:rPr>
          <w:rFonts w:hint="eastAsia" w:ascii="宋体" w:hAnsi="宋体" w:eastAsia="宋体" w:cs="Times New Roman"/>
          <w:sz w:val="28"/>
          <w:szCs w:val="28"/>
          <w:highlight w:val="none"/>
        </w:rPr>
        <w:t>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0567</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w:t>
      </w:r>
      <w:r>
        <w:rPr>
          <w:rFonts w:hint="eastAsia" w:ascii="宋体" w:hAnsi="宋体" w:eastAsia="宋体" w:cs="Times New Roman"/>
          <w:sz w:val="28"/>
          <w:szCs w:val="28"/>
        </w:rPr>
        <w:t>额：</w:t>
      </w:r>
      <w:r>
        <w:rPr>
          <w:rFonts w:hint="eastAsia" w:ascii="宋体" w:hAnsi="宋体" w:eastAsia="宋体" w:cs="Times New Roman"/>
          <w:sz w:val="28"/>
          <w:szCs w:val="28"/>
          <w:lang w:val="en-US" w:eastAsia="zh-CN"/>
        </w:rPr>
        <w:t>99.7176</w:t>
      </w:r>
      <w:r>
        <w:rPr>
          <w:rFonts w:hint="eastAsia" w:ascii="宋体" w:hAnsi="宋体" w:eastAsia="宋体" w:cs="Times New Roman"/>
          <w:sz w:val="28"/>
          <w:szCs w:val="28"/>
          <w:lang w:eastAsia="zh-CN"/>
        </w:rPr>
        <w:t>万元</w:t>
      </w:r>
      <w:r>
        <w:rPr>
          <w:rFonts w:hint="eastAsia" w:ascii="宋体" w:hAnsi="宋体" w:eastAsia="宋体" w:cs="Times New Roman"/>
          <w:sz w:val="28"/>
          <w:szCs w:val="28"/>
        </w:rPr>
        <w:t>；最高限价：</w:t>
      </w:r>
      <w:r>
        <w:rPr>
          <w:rFonts w:hint="eastAsia" w:ascii="宋体" w:hAnsi="宋体" w:eastAsia="宋体" w:cs="Times New Roman"/>
          <w:sz w:val="28"/>
          <w:szCs w:val="28"/>
          <w:lang w:val="en-US" w:eastAsia="zh-CN"/>
        </w:rPr>
        <w:t>99.7176</w:t>
      </w:r>
      <w:r>
        <w:rPr>
          <w:rFonts w:hint="eastAsia" w:ascii="宋体" w:hAnsi="宋体" w:eastAsia="宋体" w:cs="Times New Roman"/>
          <w:sz w:val="28"/>
          <w:szCs w:val="28"/>
          <w:lang w:eastAsia="zh-CN"/>
        </w:rPr>
        <w:t>万元</w:t>
      </w:r>
      <w:r>
        <w:rPr>
          <w:rFonts w:hint="eastAsia" w:ascii="宋体" w:hAnsi="宋体" w:eastAsia="宋体" w:cs="Times New Roman"/>
          <w:sz w:val="28"/>
          <w:szCs w:val="28"/>
        </w:rPr>
        <w:t>；</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w:t>
      </w:r>
      <w:r>
        <w:rPr>
          <w:rFonts w:hint="eastAsia" w:ascii="宋体" w:hAnsi="宋体" w:eastAsia="宋体" w:cs="Times New Roman"/>
          <w:sz w:val="28"/>
          <w:szCs w:val="28"/>
        </w:rPr>
        <w:t>；所属行业：</w:t>
      </w:r>
      <w:r>
        <w:rPr>
          <w:rFonts w:hint="eastAsia" w:ascii="宋体" w:hAnsi="宋体" w:eastAsia="宋体" w:cs="Times New Roman"/>
          <w:color w:val="000000"/>
          <w:sz w:val="28"/>
          <w:szCs w:val="28"/>
        </w:rPr>
        <w:t>物业管理</w:t>
      </w:r>
      <w:r>
        <w:rPr>
          <w:rFonts w:hint="eastAsia" w:ascii="宋体" w:hAnsi="宋体" w:eastAsia="宋体" w:cs="Times New Roman"/>
          <w:color w:val="000000"/>
          <w:sz w:val="28"/>
          <w:szCs w:val="28"/>
          <w:lang w:eastAsia="zh-CN"/>
        </w:rPr>
        <w:t>；服务期限三年，合同一年一签。</w:t>
      </w:r>
    </w:p>
    <w:p>
      <w:pPr>
        <w:numPr>
          <w:ilvl w:val="0"/>
          <w:numId w:val="5"/>
        </w:numPr>
        <w:spacing w:line="360" w:lineRule="auto"/>
        <w:ind w:left="0" w:firstLine="567"/>
        <w:rPr>
          <w:rFonts w:ascii="宋体" w:hAnsi="宋体" w:eastAsia="宋体" w:cs="Times New Roman"/>
          <w:sz w:val="28"/>
          <w:szCs w:val="22"/>
        </w:rPr>
      </w:pPr>
      <w:r>
        <w:rPr>
          <w:rFonts w:hint="eastAsia" w:ascii="宋体" w:hAnsi="宋体" w:eastAsia="宋体" w:cs="Times New Roman"/>
          <w:b/>
          <w:sz w:val="28"/>
          <w:szCs w:val="28"/>
        </w:rPr>
        <w:t>招标项目简介</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成都市新都区升庵中学物业管理服务采购项目</w:t>
      </w:r>
      <w:r>
        <w:rPr>
          <w:rFonts w:hint="eastAsia" w:ascii="宋体" w:hAnsi="宋体" w:eastAsia="宋体" w:cs="宋体"/>
          <w:color w:val="000000"/>
          <w:sz w:val="28"/>
          <w:szCs w:val="28"/>
          <w:highlight w:val="none"/>
        </w:rPr>
        <w:t>，</w:t>
      </w:r>
      <w:r>
        <w:rPr>
          <w:rFonts w:hint="eastAsia" w:ascii="宋体" w:hAnsi="宋体" w:eastAsia="宋体" w:cs="Times New Roman"/>
          <w:sz w:val="28"/>
          <w:szCs w:val="28"/>
        </w:rPr>
        <w:t>详细的技术、服务、商务及其他要求见招标文件第4章。</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供应商参加本次政府采购活动应具备的条件</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本项目不接受联合体投标。</w:t>
      </w:r>
    </w:p>
    <w:p>
      <w:pPr>
        <w:numPr>
          <w:ilvl w:val="0"/>
          <w:numId w:val="5"/>
        </w:numPr>
        <w:spacing w:line="360" w:lineRule="auto"/>
        <w:ind w:left="0" w:firstLine="567"/>
        <w:rPr>
          <w:rFonts w:ascii="宋体" w:hAnsi="宋体" w:eastAsia="宋体" w:cs="Times New Roman"/>
          <w:b/>
          <w:i/>
          <w:sz w:val="28"/>
          <w:szCs w:val="22"/>
        </w:rPr>
      </w:pPr>
      <w:r>
        <w:rPr>
          <w:rFonts w:hint="eastAsia" w:ascii="宋体" w:hAnsi="宋体" w:eastAsia="宋体" w:cs="Times New Roman"/>
          <w:b/>
          <w:sz w:val="28"/>
          <w:szCs w:val="28"/>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16</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4</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16</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22</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供应商如对招标文件有质疑的，应于自招标文件公告期限届满之日起七个工作日内以书面形式提出。</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投标人要参加投标，应在“政府采购云平台（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）”获取采购文件。登录政府采购云平台(www.zcygov.cn)—我的工作台—项目采购—获取采购文件—申请获取采购文件。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560" w:lineRule="exact"/>
        <w:ind w:firstLine="565" w:firstLineChars="202"/>
        <w:rPr>
          <w:rFonts w:hint="eastAsia" w:ascii="宋体" w:hAnsi="宋体" w:eastAsia="宋体" w:cs="Times New Roman"/>
          <w:sz w:val="28"/>
          <w:szCs w:val="28"/>
        </w:rPr>
      </w:pPr>
      <w:bookmarkStart w:id="8" w:name="_Toc180051012"/>
      <w:bookmarkStart w:id="9" w:name="_Toc174185149"/>
      <w:bookmarkStart w:id="10" w:name="_Toc184023104"/>
      <w:bookmarkStart w:id="11" w:name="_Toc186274101"/>
      <w:bookmarkStart w:id="12" w:name="_Toc184013605"/>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（一）投标文件递交截止时间及开标时间：2021年</w:t>
      </w:r>
      <w:r>
        <w:rPr>
          <w:rFonts w:hint="eastAsia" w:ascii="宋体" w:hAnsi="宋体" w:eastAsia="宋体" w:cs="Times New Roman"/>
          <w:b/>
          <w:sz w:val="28"/>
          <w:szCs w:val="28"/>
          <w:highlight w:val="none"/>
          <w:lang w:val="en-US" w:eastAsia="zh-CN"/>
        </w:rPr>
        <w:t>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5</w:t>
      </w:r>
      <w:r>
        <w:rPr>
          <w:rFonts w:hint="eastAsia" w:ascii="宋体" w:hAnsi="宋体" w:eastAsia="宋体" w:cs="Times New Roman"/>
          <w:b/>
          <w:sz w:val="28"/>
          <w:szCs w:val="28"/>
          <w:highlight w:val="none"/>
        </w:rPr>
        <w:t>日上午09:30。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成都市新都区升庵中学</w:t>
      </w:r>
    </w:p>
    <w:p>
      <w:pPr>
        <w:widowControl w:val="0"/>
        <w:spacing w:line="360" w:lineRule="auto"/>
        <w:ind w:firstLine="560" w:firstLineChars="200"/>
        <w:jc w:val="both"/>
        <w:rPr>
          <w:rFonts w:hint="eastAsia" w:ascii="宋体" w:hAnsi="宋体" w:eastAsia="宋体" w:cs="宋体"/>
          <w:kern w:val="0"/>
          <w:sz w:val="28"/>
          <w:szCs w:val="28"/>
          <w:highlight w:val="none"/>
          <w:lang w:val="en-US" w:eastAsia="zh-CN"/>
        </w:rPr>
      </w:pPr>
      <w:r>
        <w:rPr>
          <w:rFonts w:hint="eastAsia" w:ascii="宋体" w:hAnsi="宋体" w:eastAsia="宋体" w:cs="Times New Roman"/>
          <w:kern w:val="0"/>
          <w:sz w:val="28"/>
          <w:szCs w:val="28"/>
          <w:highlight w:val="none"/>
          <w:lang w:val="en-US" w:eastAsia="zh-CN" w:bidi="ar-SA"/>
        </w:rPr>
        <w:t>地  址：</w:t>
      </w:r>
      <w:r>
        <w:rPr>
          <w:rFonts w:hint="eastAsia" w:ascii="宋体" w:hAnsi="宋体" w:eastAsia="宋体" w:cs="宋体"/>
          <w:kern w:val="0"/>
          <w:sz w:val="28"/>
          <w:szCs w:val="28"/>
          <w:highlight w:val="none"/>
          <w:lang w:eastAsia="zh-CN"/>
        </w:rPr>
        <w:t>成都市新都区新都街道湖滨路</w:t>
      </w:r>
      <w:r>
        <w:rPr>
          <w:rFonts w:hint="eastAsia" w:ascii="宋体" w:hAnsi="宋体" w:eastAsia="宋体" w:cs="宋体"/>
          <w:kern w:val="0"/>
          <w:sz w:val="28"/>
          <w:szCs w:val="28"/>
          <w:highlight w:val="none"/>
          <w:lang w:val="en-US" w:eastAsia="zh-CN"/>
        </w:rPr>
        <w:t>94号</w:t>
      </w:r>
    </w:p>
    <w:p>
      <w:pPr>
        <w:widowControl w:val="0"/>
        <w:spacing w:line="360" w:lineRule="auto"/>
        <w:ind w:firstLine="560" w:firstLineChars="200"/>
        <w:jc w:val="both"/>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rPr>
        <w:t>联系人：</w:t>
      </w:r>
      <w:bookmarkStart w:id="13" w:name="cgr联系人1"/>
      <w:bookmarkEnd w:id="13"/>
      <w:r>
        <w:rPr>
          <w:rFonts w:hint="eastAsia" w:ascii="宋体" w:hAnsi="宋体" w:eastAsia="宋体" w:cs="宋体"/>
          <w:kern w:val="0"/>
          <w:sz w:val="28"/>
          <w:szCs w:val="28"/>
          <w:highlight w:val="none"/>
          <w:lang w:eastAsia="zh-CN"/>
        </w:rPr>
        <w:t>陈平</w:t>
      </w:r>
    </w:p>
    <w:p>
      <w:pPr>
        <w:widowControl w:val="0"/>
        <w:spacing w:line="360" w:lineRule="auto"/>
        <w:ind w:firstLine="560" w:firstLineChars="200"/>
        <w:jc w:val="both"/>
        <w:rPr>
          <w:rFonts w:hint="default"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rPr>
        <w:t>联系电话：</w:t>
      </w:r>
      <w:bookmarkStart w:id="14" w:name="cgr联系人1移动电话"/>
      <w:bookmarkEnd w:id="14"/>
      <w:r>
        <w:rPr>
          <w:rFonts w:hint="eastAsia" w:ascii="宋体" w:hAnsi="宋体" w:eastAsia="宋体" w:cs="宋体"/>
          <w:kern w:val="0"/>
          <w:sz w:val="28"/>
          <w:szCs w:val="28"/>
          <w:highlight w:val="none"/>
          <w:lang w:val="en-US" w:eastAsia="zh-CN"/>
        </w:rPr>
        <w:t>13982135916</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魏婷</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color w:val="000000"/>
          <w:kern w:val="0"/>
          <w:sz w:val="28"/>
          <w:szCs w:val="22"/>
          <w:highlight w:val="none"/>
          <w:lang w:val="en-US" w:eastAsia="zh-CN"/>
        </w:rPr>
        <w:t>61790025</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6"/>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28703"/>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316462344"/>
      <w:bookmarkStart w:id="17" w:name="_Toc213396946"/>
      <w:bookmarkStart w:id="18" w:name="_Toc189727030"/>
      <w:bookmarkStart w:id="19" w:name="_Toc217446032"/>
      <w:bookmarkStart w:id="20" w:name="_Toc213396760"/>
      <w:bookmarkStart w:id="21" w:name="_Toc213496268"/>
      <w:bookmarkStart w:id="22" w:name="_Toc213397010"/>
      <w:bookmarkStart w:id="23" w:name="_Toc31603"/>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lang w:val="zh-CN"/>
              </w:rPr>
            </w:pPr>
            <w:r>
              <w:rPr>
                <w:rFonts w:hint="eastAsia" w:ascii="宋体" w:hAnsi="宋体" w:eastAsia="宋体" w:cs="宋体"/>
                <w:b/>
                <w:szCs w:val="22"/>
                <w:lang w:val="zh-CN"/>
              </w:rPr>
              <w:t>人民币</w:t>
            </w:r>
            <w:r>
              <w:rPr>
                <w:rFonts w:hint="eastAsia" w:ascii="宋体" w:hAnsi="宋体" w:eastAsia="宋体" w:cs="宋体"/>
                <w:b/>
                <w:szCs w:val="22"/>
                <w:lang w:val="en-US" w:eastAsia="zh-CN"/>
              </w:rPr>
              <w:t>997176元/年</w:t>
            </w:r>
            <w:r>
              <w:rPr>
                <w:rFonts w:hint="eastAsia" w:ascii="宋体" w:hAnsi="宋体" w:eastAsia="宋体" w:cs="宋体"/>
                <w:b/>
                <w:szCs w:val="22"/>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lang w:val="zh-CN"/>
              </w:rPr>
            </w:pPr>
            <w:r>
              <w:rPr>
                <w:rFonts w:hint="eastAsia" w:ascii="宋体" w:hAnsi="宋体" w:eastAsia="宋体" w:cs="宋体"/>
                <w:b/>
                <w:szCs w:val="22"/>
                <w:lang w:val="zh-CN"/>
              </w:rPr>
              <w:t>本项目最高限价为</w:t>
            </w:r>
            <w:r>
              <w:rPr>
                <w:rFonts w:hint="eastAsia" w:ascii="宋体" w:hAnsi="宋体" w:eastAsia="宋体" w:cs="宋体"/>
                <w:b/>
                <w:szCs w:val="22"/>
                <w:lang w:val="zh-CN" w:eastAsia="zh-CN"/>
              </w:rPr>
              <w:t>人民币</w:t>
            </w:r>
            <w:r>
              <w:rPr>
                <w:rFonts w:hint="eastAsia" w:ascii="宋体" w:hAnsi="宋体" w:eastAsia="宋体" w:cs="宋体"/>
                <w:b/>
                <w:szCs w:val="22"/>
                <w:lang w:val="en-US" w:eastAsia="zh-CN"/>
              </w:rPr>
              <w:t>997176元/年</w:t>
            </w:r>
            <w:r>
              <w:rPr>
                <w:rFonts w:hint="eastAsia" w:ascii="宋体" w:hAnsi="宋体" w:eastAsia="宋体" w:cs="宋体"/>
                <w:b/>
                <w:szCs w:val="22"/>
                <w:lang w:val="zh-CN" w:eastAsia="zh-CN"/>
              </w:rPr>
              <w:t>，</w:t>
            </w:r>
            <w:r>
              <w:rPr>
                <w:rFonts w:hint="eastAsia" w:ascii="宋体" w:hAnsi="宋体" w:eastAsia="宋体" w:cs="宋体"/>
                <w:b/>
                <w:szCs w:val="22"/>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szCs w:val="22"/>
              </w:rPr>
            </w:pPr>
            <w:r>
              <w:rPr>
                <w:rFonts w:hint="eastAsia" w:ascii="宋体" w:hAnsi="宋体" w:eastAsia="宋体" w:cs="Times New Roman"/>
                <w:szCs w:val="22"/>
              </w:rPr>
              <w:t>投诉受理单位：本项目同级财政部门，即</w:t>
            </w:r>
            <w:r>
              <w:rPr>
                <w:rFonts w:hint="eastAsia" w:ascii="宋体" w:hAnsi="宋体" w:eastAsia="宋体" w:cs="Times New Roman"/>
                <w:szCs w:val="22"/>
                <w:lang w:eastAsia="zh-CN"/>
              </w:rPr>
              <w:t>成都市新都区财政局</w:t>
            </w:r>
            <w:r>
              <w:rPr>
                <w:rFonts w:hint="eastAsia" w:ascii="宋体" w:hAnsi="宋体" w:eastAsia="宋体" w:cs="Times New Roman"/>
                <w:szCs w:val="22"/>
              </w:rPr>
              <w:t>。</w:t>
            </w:r>
          </w:p>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联系电话：028-</w:t>
            </w:r>
            <w:r>
              <w:rPr>
                <w:rFonts w:hint="eastAsia" w:ascii="宋体" w:hAnsi="宋体" w:eastAsia="宋体" w:cs="Times New Roman"/>
                <w:szCs w:val="22"/>
                <w:lang w:val="en-US" w:eastAsia="zh-CN"/>
              </w:rPr>
              <w:t>89396791</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lang w:eastAsia="zh-CN"/>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11631"/>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成都市新都区升庵中学</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“投标人”系指在系统中成功提交《采购文件获取登记表》拟参加投标和向采购人提供货物及服务的供应商。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183682344"/>
      <w:bookmarkStart w:id="26" w:name="_Toc183582207"/>
      <w:bookmarkStart w:id="27" w:name="_Toc217390843"/>
      <w:bookmarkStart w:id="28" w:name="_Toc217446036"/>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（说明：无供应商为本项目提供整体设计、规范编制或者项目管理、监理、检测等服务。）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183582210"/>
      <w:bookmarkStart w:id="30" w:name="_Toc183682347"/>
      <w:bookmarkStart w:id="31" w:name="_Toc13573"/>
      <w:bookmarkStart w:id="32" w:name="_Toc217446039"/>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582211"/>
      <w:bookmarkStart w:id="34" w:name="_Toc183682348"/>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89075876"/>
      <w:bookmarkStart w:id="37" w:name="_Toc217446042"/>
      <w:bookmarkStart w:id="38" w:name="_Toc77400780"/>
      <w:bookmarkStart w:id="39" w:name="_Toc183582214"/>
      <w:bookmarkStart w:id="40" w:name="_Toc183682351"/>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14678"/>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217446043"/>
      <w:bookmarkStart w:id="43" w:name="_Toc183582215"/>
      <w:bookmarkStart w:id="44" w:name="_Toc183682352"/>
      <w:r>
        <w:rPr>
          <w:rFonts w:hint="eastAsia" w:ascii="宋体" w:hAnsi="宋体" w:eastAsia="宋体" w:cs="Times New Roman"/>
          <w:b/>
          <w:bCs/>
          <w:sz w:val="28"/>
          <w:szCs w:val="28"/>
        </w:rPr>
        <w:t>投标文件的语言</w:t>
      </w:r>
      <w:bookmarkEnd w:id="42"/>
      <w:bookmarkEnd w:id="43"/>
      <w:bookmarkEnd w:id="44"/>
    </w:p>
    <w:p>
      <w:pPr>
        <w:numPr>
          <w:ilvl w:val="0"/>
          <w:numId w:val="16"/>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投标人提交的投标文件以及投标人与采购人或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6"/>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217446044"/>
      <w:bookmarkStart w:id="46" w:name="_Toc183682353"/>
      <w:bookmarkStart w:id="47" w:name="_Toc183582216"/>
      <w:r>
        <w:rPr>
          <w:rFonts w:hint="eastAsia" w:ascii="宋体" w:hAnsi="宋体" w:eastAsia="宋体" w:cs="Times New Roman"/>
          <w:b/>
          <w:bCs/>
          <w:sz w:val="28"/>
          <w:szCs w:val="28"/>
        </w:rPr>
        <w:t>计量单位</w:t>
      </w:r>
      <w:bookmarkEnd w:id="45"/>
      <w:bookmarkEnd w:id="46"/>
      <w:bookmarkEnd w:id="47"/>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p>
    <w:p>
      <w:pPr>
        <w:numPr>
          <w:ilvl w:val="0"/>
          <w:numId w:val="17"/>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7"/>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采购人享有本项目实施过程中产生的知识成果及知识产权。</w:t>
      </w:r>
    </w:p>
    <w:p>
      <w:pPr>
        <w:numPr>
          <w:ilvl w:val="0"/>
          <w:numId w:val="17"/>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7"/>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183582217"/>
      <w:bookmarkStart w:id="52" w:name="_Toc217446048"/>
      <w:bookmarkStart w:id="53" w:name="_Toc183682354"/>
      <w:r>
        <w:rPr>
          <w:rFonts w:hint="eastAsia" w:ascii="宋体" w:hAnsi="宋体" w:eastAsia="宋体" w:cs="Times New Roman"/>
          <w:b/>
          <w:bCs/>
          <w:sz w:val="28"/>
          <w:szCs w:val="28"/>
        </w:rPr>
        <w:t>投标文件的组成</w:t>
      </w:r>
      <w:bookmarkEnd w:id="51"/>
      <w:bookmarkEnd w:id="52"/>
      <w:bookmarkEnd w:id="53"/>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2020会计年度资产负债表复印件（说明：投标人成立时间至递交投标文件截止时间止不足一年的，提供成立后任意时段的资产负债表复印件）；</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投标人缴纳2021年任意时段的税收的银行电子回单或者行政部门出具的纳税证明或完税证明复印件；</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采购人对投标人履行合同所必需的设备和专业技术能力无其他特殊要求，投标人具有有效的营业执照或法人证书即可，可不提供其他证明材料；</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投标人缴纳2021年任意时段的社保的银行电子回单或行政部门出具的社保缴纳证明材料复印件；</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采购人对法律、行政法规规定的其他条件无其他特殊要求，投标人具有有效的营业执照或法人证书即可，可不提供其他证明材料。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法定代表人身份证明书；</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1"/>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1"/>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1396"/>
      <w:bookmarkEnd w:id="54"/>
      <w:bookmarkStart w:id="55" w:name="_Toc316292020"/>
      <w:bookmarkEnd w:id="55"/>
      <w:bookmarkStart w:id="56" w:name="_Toc316292019"/>
      <w:bookmarkEnd w:id="56"/>
      <w:bookmarkStart w:id="57" w:name="_Toc316291395"/>
      <w:bookmarkEnd w:id="57"/>
      <w:bookmarkStart w:id="58" w:name="_Toc183682355"/>
      <w:bookmarkStart w:id="59" w:name="_Toc217446049"/>
      <w:bookmarkStart w:id="60" w:name="_Toc183582218"/>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2"/>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3"/>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183682360"/>
      <w:bookmarkStart w:id="62" w:name="_Toc183582223"/>
      <w:bookmarkStart w:id="63" w:name="_Toc21744605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2024"/>
      <w:bookmarkEnd w:id="64"/>
      <w:bookmarkStart w:id="65" w:name="_Toc316291400"/>
      <w:bookmarkEnd w:id="65"/>
      <w:bookmarkStart w:id="66" w:name="_Toc183682361"/>
      <w:bookmarkStart w:id="67" w:name="_Toc217446051"/>
      <w:bookmarkStart w:id="68" w:name="_Toc183582224"/>
      <w:r>
        <w:rPr>
          <w:rFonts w:hint="eastAsia" w:ascii="宋体" w:hAnsi="宋体" w:eastAsia="宋体" w:cs="Times New Roman"/>
          <w:b/>
          <w:bCs/>
          <w:sz w:val="28"/>
          <w:szCs w:val="28"/>
        </w:rPr>
        <w:t>投标有效期</w:t>
      </w:r>
      <w:bookmarkEnd w:id="66"/>
      <w:bookmarkEnd w:id="67"/>
      <w:bookmarkEnd w:id="68"/>
    </w:p>
    <w:p>
      <w:pPr>
        <w:numPr>
          <w:ilvl w:val="0"/>
          <w:numId w:val="2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582227"/>
      <w:bookmarkStart w:id="70" w:name="_Toc183682364"/>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1、本项目实行电子投标。投标人应先安装“政采云投标客户端”（下载地址1：前往成都市公共资源交易服务中心门户网站（https://www.cdggzy.com/）</w:t>
      </w:r>
      <w:r>
        <w:rPr>
          <w:rFonts w:hint="eastAsia" w:ascii="宋体" w:hAnsi="宋体" w:eastAsia="宋体" w:cs="Times New Roman"/>
          <w:sz w:val="28"/>
          <w:szCs w:val="28"/>
        </w:rPr>
        <w:t>—业务办理—下载专区—政府采购下载专区下载“政采云投标客户端”；下载地址2：https://customer.zcygov.cn/CA-driver-download?utm=web-ca-front.3ddc8fbb.0.0.3a16b7402a4511ec900b6349b129e0db</w:t>
      </w:r>
      <w:r>
        <w:rPr>
          <w:rFonts w:hint="eastAsia" w:ascii="宋体" w:hAnsi="宋体" w:eastAsia="宋体" w:cs="Times New Roman"/>
          <w:sz w:val="28"/>
          <w:szCs w:val="28"/>
        </w:rPr>
        <w:t>。</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3、投标人应使用本企业CA数字证书对投标文件进行加密。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5、政府采购云平台所支持的CA证书及签章：四川CA及金格签章，天威CA（金润版）及金润签章，CFCA及金格签章。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7、CA技术支持：四川CA：400-0281130；天威CA：(028)86694886、1592864708；CFCA：028-65785326、18033549468。”。</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7"/>
      <w:bookmarkEnd w:id="72"/>
      <w:bookmarkStart w:id="73" w:name="_Toc316475586"/>
      <w:bookmarkEnd w:id="73"/>
      <w:bookmarkStart w:id="74" w:name="_Toc183682365"/>
      <w:bookmarkStart w:id="75" w:name="_Toc183582228"/>
      <w:bookmarkStart w:id="76" w:name="_Toc217446055"/>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p>
    <w:p>
      <w:pPr>
        <w:numPr>
          <w:ilvl w:val="0"/>
          <w:numId w:val="25"/>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5"/>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7" w:name="_Toc183682368"/>
      <w:bookmarkStart w:id="78" w:name="_Toc183582231"/>
      <w:bookmarkStart w:id="79" w:name="_Toc89075878"/>
      <w:bookmarkStart w:id="80" w:name="_Toc77400782"/>
      <w:bookmarkStart w:id="81" w:name="_Toc217446056"/>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16405"/>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183582232"/>
      <w:bookmarkStart w:id="84" w:name="_Toc183682369"/>
      <w:bookmarkStart w:id="85" w:name="_Toc217446057"/>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w:t>
      </w:r>
      <w:r>
        <w:rPr>
          <w:rFonts w:hint="eastAsia" w:ascii="宋体" w:hAnsi="宋体" w:eastAsia="宋体" w:cs="宋体"/>
          <w:b/>
          <w:kern w:val="2"/>
          <w:sz w:val="28"/>
          <w:szCs w:val="28"/>
          <w:lang w:val="en-US" w:eastAsia="zh-CN" w:bidi="ar-SA"/>
        </w:rPr>
        <w:t>项目采购—开标评标—开标大厅（找到对应项目）。提示：投标人未按时登录不见面开标系统，错过开标解密时间的，由投标人自行承担不利后果。</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682375"/>
      <w:bookmarkStart w:id="87" w:name="_Toc183582238"/>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582240"/>
      <w:bookmarkStart w:id="91" w:name="_Toc183682377"/>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498"/>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spacing w:line="360" w:lineRule="auto"/>
        <w:ind w:firstLine="560" w:firstLineChars="200"/>
        <w:rPr>
          <w:rFonts w:ascii="宋体" w:hAnsi="宋体" w:eastAsia="宋体" w:cs="Times New Roman"/>
          <w:sz w:val="28"/>
          <w:szCs w:val="28"/>
        </w:rPr>
      </w:pPr>
      <w:bookmarkStart w:id="100" w:name="_Toc217446074"/>
      <w:bookmarkStart w:id="101" w:name="_Toc183682380"/>
      <w:bookmarkStart w:id="102" w:name="_Toc183582243"/>
      <w:r>
        <w:rPr>
          <w:rFonts w:hint="eastAsia" w:ascii="宋体" w:hAnsi="宋体" w:eastAsia="宋体" w:cs="Times New Roman"/>
          <w:sz w:val="28"/>
          <w:szCs w:val="28"/>
        </w:rPr>
        <w:t>采购人严格按照国家相关法律法规的要求组织验收或考核。</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18050"/>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7"/>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7"/>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8"/>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8"/>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217446078"/>
      <w:bookmarkStart w:id="107" w:name="_Toc29963"/>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9"/>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9"/>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30"/>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参加本次政府采购活动应当具备的条件，招标项目技术、服务、商务及其他要求，评标细则及标准，和中标结果中关于资格审查提出询问或质疑的，应通过</w:t>
      </w:r>
      <w:r>
        <w:rPr>
          <w:rFonts w:hint="eastAsia" w:ascii="Calibri" w:hAnsi="Calibri" w:eastAsia="宋体" w:cs="Times New Roman"/>
          <w:sz w:val="28"/>
          <w:szCs w:val="28"/>
        </w:rPr>
        <w:t>“政府采购云平台”</w:t>
      </w:r>
      <w:r>
        <w:rPr>
          <w:rFonts w:hint="eastAsia" w:ascii="宋体" w:hAnsi="宋体" w:eastAsia="宋体" w:cs="Times New Roman"/>
          <w:sz w:val="28"/>
          <w:szCs w:val="28"/>
        </w:rPr>
        <w:t>向采购人提出；</w:t>
      </w:r>
    </w:p>
    <w:p>
      <w:pPr>
        <w:numPr>
          <w:ilvl w:val="1"/>
          <w:numId w:val="30"/>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供应商对除上述招标文件中的其他内容，采购过程及中标结果（除资格审查）提出询问或质疑的，应通过“政府采购云平台”向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9"/>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9"/>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9"/>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（四）法定代表人身份证复印件1份；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9"/>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25776"/>
      <w:r>
        <w:rPr>
          <w:rFonts w:hint="eastAsia" w:ascii="宋体" w:hAnsi="宋体" w:eastAsia="宋体" w:cs="Times New Roman"/>
          <w:b/>
          <w:bCs/>
          <w:sz w:val="28"/>
          <w:szCs w:val="28"/>
        </w:rPr>
        <w:t>中小企业政府采购信用融资</w:t>
      </w:r>
      <w:bookmarkEnd w:id="109"/>
    </w:p>
    <w:p>
      <w:pPr>
        <w:numPr>
          <w:ilvl w:val="0"/>
          <w:numId w:val="31"/>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1"/>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6292050"/>
      <w:bookmarkEnd w:id="110"/>
      <w:bookmarkStart w:id="111" w:name="_Toc315871049"/>
      <w:bookmarkEnd w:id="111"/>
      <w:bookmarkStart w:id="112" w:name="_Toc316292048"/>
      <w:bookmarkEnd w:id="112"/>
      <w:bookmarkStart w:id="113" w:name="_Toc316292051"/>
      <w:bookmarkEnd w:id="113"/>
      <w:bookmarkStart w:id="114" w:name="_Toc316292049"/>
      <w:bookmarkEnd w:id="114"/>
      <w:bookmarkStart w:id="115" w:name="_Toc315871046"/>
      <w:bookmarkEnd w:id="115"/>
      <w:bookmarkStart w:id="116" w:name="_Toc315871047"/>
      <w:bookmarkEnd w:id="116"/>
      <w:bookmarkStart w:id="117" w:name="_Toc316292052"/>
      <w:bookmarkEnd w:id="117"/>
      <w:bookmarkStart w:id="118" w:name="_Toc315871045"/>
      <w:bookmarkEnd w:id="118"/>
      <w:bookmarkStart w:id="119" w:name="_Toc315871048"/>
      <w:bookmarkEnd w:id="119"/>
      <w:bookmarkStart w:id="120" w:name="_Toc315871050"/>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5173"/>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31160"/>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成都市新都区升庵中学物业管理服务采购项目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新都政采（2021）A0048号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24237"/>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52184753"/>
      <w:bookmarkStart w:id="126" w:name="_Toc119296788"/>
      <w:bookmarkStart w:id="127" w:name="_Toc146903609"/>
      <w:bookmarkStart w:id="128" w:name="_Toc119203988"/>
      <w:bookmarkStart w:id="129" w:name="_Toc119295087"/>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成都市新都区升庵中学物业管理服务采购项目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新都政采（2021）A0048号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30"/>
    </w:p>
    <w:p>
      <w:pPr>
        <w:widowControl/>
        <w:numPr>
          <w:ilvl w:val="2"/>
          <w:numId w:val="32"/>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3"/>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3"/>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3"/>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3"/>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法定代表人姓名：XXXX</w:t>
      </w:r>
    </w:p>
    <w:p>
      <w:pPr>
        <w:widowControl/>
        <w:numPr>
          <w:ilvl w:val="2"/>
          <w:numId w:val="32"/>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成都市新都区升庵中学物业管理服务采购项目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新都政采（2021）A0048号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420" w:firstLineChars="200"/>
        <w:rPr>
          <w:rFonts w:ascii="宋体" w:hAnsi="宋体" w:eastAsia="宋体" w:cs="Times New Roman"/>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成都市新都区升庵中学</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成都市新都区升庵中学物业管理服务采购项目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新都政采（2021）A0048号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0000FF"/>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三</w:t>
      </w:r>
      <w:r>
        <w:rPr>
          <w:rFonts w:ascii="宋体" w:hAnsi="宋体" w:eastAsia="宋体" w:cs="Times New Roman"/>
          <w:kern w:val="0"/>
          <w:sz w:val="28"/>
          <w:szCs w:val="28"/>
        </w:rPr>
        <w:t>、</w:t>
      </w:r>
      <w:r>
        <w:rPr>
          <w:rFonts w:hint="eastAsia" w:ascii="宋体" w:hAnsi="宋体" w:eastAsia="宋体" w:cs="Times New Roman"/>
          <w:kern w:val="0"/>
          <w:sz w:val="28"/>
          <w:szCs w:val="28"/>
        </w:rPr>
        <w:t>2020会计年度资产负债表复印件（说明：投标人成立时间至递交投标文件截止时间止不足一年的，提供成立后任意时段的资产负债表复印件）；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四</w:t>
      </w:r>
      <w:r>
        <w:rPr>
          <w:rFonts w:ascii="宋体" w:hAnsi="宋体" w:eastAsia="宋体" w:cs="Times New Roman"/>
          <w:kern w:val="0"/>
          <w:sz w:val="28"/>
          <w:szCs w:val="28"/>
        </w:rPr>
        <w:t>、</w:t>
      </w:r>
      <w:r>
        <w:rPr>
          <w:rFonts w:hint="eastAsia" w:ascii="宋体" w:hAnsi="宋体" w:eastAsia="宋体" w:cs="Times New Roman"/>
          <w:kern w:val="0"/>
          <w:sz w:val="28"/>
          <w:szCs w:val="28"/>
        </w:rPr>
        <w:t>投标人缴纳2021年任意时段的税收的银行电子回单或者行政部门出具的纳税证明或完税证明复印件；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五</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的设备和专业技术能力无其他特殊要求，投标人具有有效的营业执照或法人证书即可，可不提供其他证明材料；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六</w:t>
      </w:r>
      <w:r>
        <w:rPr>
          <w:rFonts w:ascii="宋体" w:hAnsi="宋体" w:eastAsia="宋体" w:cs="Times New Roman"/>
          <w:kern w:val="0"/>
          <w:sz w:val="28"/>
          <w:szCs w:val="28"/>
        </w:rPr>
        <w:t>、</w:t>
      </w:r>
      <w:r>
        <w:rPr>
          <w:rFonts w:hint="eastAsia" w:ascii="宋体" w:hAnsi="宋体" w:eastAsia="宋体" w:cs="Times New Roman"/>
          <w:kern w:val="0"/>
          <w:sz w:val="28"/>
          <w:szCs w:val="28"/>
        </w:rPr>
        <w:t>投标人缴纳2021年任意时段的社保的银行电子回单或行政部门出具的社保缴纳证明材料复印件；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七</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采购人对法律、行政法规规定的其他条件无其他特殊要求，投标人具有有效的营业执照或法人证书即可，可不提供其他证明材料。</w:t>
      </w: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23107"/>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成都市新都区升庵中学物业管理服务采购项目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新都政采（2021）A0048号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招标文件，决定参加贵单位组织的本项目投标。我方授权</w:t>
      </w:r>
      <w:r>
        <w:rPr>
          <w:rFonts w:hint="eastAsia" w:ascii="宋体" w:hAnsi="宋体" w:eastAsia="宋体" w:cs="Times New Roman"/>
          <w:bCs/>
          <w:sz w:val="28"/>
          <w:szCs w:val="28"/>
          <w:u w:val="single"/>
        </w:rPr>
        <w:t>XXXX（姓名、职务）</w:t>
      </w:r>
      <w:r>
        <w:rPr>
          <w:rFonts w:hint="eastAsia" w:ascii="宋体" w:hAnsi="宋体" w:eastAsia="宋体" w:cs="Times New Roman"/>
          <w:bCs/>
          <w:sz w:val="28"/>
          <w:szCs w:val="28"/>
        </w:rPr>
        <w:t>代表我方</w:t>
      </w:r>
      <w:r>
        <w:rPr>
          <w:rFonts w:hint="eastAsia" w:ascii="宋体" w:hAnsi="宋体" w:eastAsia="宋体" w:cs="Times New Roman"/>
          <w:bCs/>
          <w:sz w:val="28"/>
          <w:szCs w:val="28"/>
          <w:u w:val="single"/>
        </w:rPr>
        <w:t>XXXX（投标人名称）</w:t>
      </w:r>
      <w:r>
        <w:rPr>
          <w:rFonts w:hint="eastAsia" w:ascii="宋体" w:hAnsi="宋体" w:eastAsia="宋体" w:cs="Times New Roman"/>
          <w:bCs/>
          <w:sz w:val="28"/>
          <w:szCs w:val="28"/>
        </w:rPr>
        <w:t>全权处理本项目投标的有关事宜。</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240367172"/>
      <w:bookmarkStart w:id="134" w:name="_Toc240865266"/>
      <w:bookmarkStart w:id="135" w:name="_Toc237145395"/>
      <w:bookmarkStart w:id="136" w:name="_Toc239849853"/>
      <w:bookmarkStart w:id="137" w:name="_Toc239846734"/>
      <w:bookmarkStart w:id="138" w:name="_Toc265494342"/>
      <w:bookmarkStart w:id="139" w:name="_Toc229802674"/>
      <w:bookmarkStart w:id="140" w:name="_Toc314574804"/>
      <w:bookmarkStart w:id="141" w:name="_Toc231030275"/>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eastAsia="宋体" w:cs="Times New Roman"/>
          <w:sz w:val="28"/>
          <w:szCs w:val="22"/>
          <w:u w:val="single"/>
          <w:lang w:val="zh-CN"/>
        </w:rPr>
        <w:t>XXXX（法定代表人姓名）</w:t>
      </w:r>
      <w:r>
        <w:rPr>
          <w:rFonts w:hint="eastAsia" w:ascii="宋体" w:hAnsi="宋体" w:eastAsia="宋体" w:cs="Times New Roman"/>
          <w:sz w:val="28"/>
          <w:szCs w:val="22"/>
          <w:lang w:val="zh-CN"/>
        </w:rPr>
        <w:t>在</w:t>
      </w:r>
      <w:r>
        <w:rPr>
          <w:rFonts w:hint="eastAsia" w:ascii="宋体" w:hAnsi="宋体" w:eastAsia="宋体" w:cs="Times New Roman"/>
          <w:sz w:val="28"/>
          <w:szCs w:val="22"/>
          <w:u w:val="single"/>
          <w:lang w:val="zh-CN"/>
        </w:rPr>
        <w:t>XXXX（投标人名称）</w:t>
      </w:r>
      <w:r>
        <w:rPr>
          <w:rFonts w:hint="eastAsia" w:ascii="宋体" w:hAnsi="宋体" w:eastAsia="宋体" w:cs="Times New Roman"/>
          <w:sz w:val="28"/>
          <w:szCs w:val="22"/>
          <w:lang w:val="zh-CN"/>
        </w:rPr>
        <w:t>处 任</w:t>
      </w:r>
      <w:r>
        <w:rPr>
          <w:rFonts w:hint="eastAsia" w:ascii="宋体" w:hAnsi="宋体" w:eastAsia="宋体" w:cs="Times New Roman"/>
          <w:sz w:val="28"/>
          <w:szCs w:val="22"/>
          <w:u w:val="single"/>
          <w:lang w:val="zh-CN"/>
        </w:rPr>
        <w:t>XXXX（职务名称）</w:t>
      </w:r>
      <w:r>
        <w:rPr>
          <w:rFonts w:hint="eastAsia" w:ascii="宋体" w:hAnsi="宋体" w:eastAsia="宋体" w:cs="Times New Roman"/>
          <w:sz w:val="28"/>
          <w:szCs w:val="22"/>
          <w:lang w:val="zh-CN"/>
        </w:rPr>
        <w:t>职务，是</w:t>
      </w:r>
      <w:r>
        <w:rPr>
          <w:rFonts w:hint="eastAsia" w:ascii="宋体" w:hAnsi="宋体" w:eastAsia="宋体" w:cs="Times New Roman"/>
          <w:sz w:val="28"/>
          <w:szCs w:val="22"/>
          <w:u w:val="single"/>
          <w:lang w:val="zh-CN"/>
        </w:rPr>
        <w:t>XXXX（投标人名称）</w:t>
      </w:r>
      <w:r>
        <w:rPr>
          <w:rFonts w:hint="eastAsia" w:ascii="宋体" w:hAnsi="宋体" w:eastAsia="宋体" w:cs="Times New Roman"/>
          <w:sz w:val="28"/>
          <w:szCs w:val="22"/>
          <w:lang w:val="zh-CN"/>
        </w:rPr>
        <w:t>的法定代表人。</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eastAsia="宋体" w:cs="Times New Roman"/>
          <w:b/>
          <w:sz w:val="28"/>
          <w:szCs w:val="28"/>
        </w:rPr>
      </w:pPr>
    </w:p>
    <w:bookmarkEnd w:id="133"/>
    <w:bookmarkEnd w:id="134"/>
    <w:bookmarkEnd w:id="135"/>
    <w:bookmarkEnd w:id="136"/>
    <w:bookmarkEnd w:id="137"/>
    <w:bookmarkEnd w:id="138"/>
    <w:bookmarkEnd w:id="139"/>
    <w:bookmarkEnd w:id="140"/>
    <w:bookmarkEnd w:id="141"/>
    <w:p>
      <w:pPr>
        <w:rPr>
          <w:rFonts w:ascii="Calibri" w:hAnsi="Calibri" w:eastAsia="宋体" w:cs="Times New Roman"/>
          <w:szCs w:val="22"/>
        </w:rPr>
      </w:pPr>
      <w:bookmarkStart w:id="143" w:name="_Toc315871054"/>
      <w:bookmarkEnd w:id="143"/>
      <w:bookmarkStart w:id="144" w:name="_Toc302997926"/>
      <w:bookmarkStart w:id="145" w:name="_Toc263768870"/>
      <w:bookmarkStart w:id="146" w:name="_Toc263753605"/>
      <w:bookmarkStart w:id="147" w:name="_Toc220299393"/>
      <w:bookmarkStart w:id="148" w:name="_Toc217446083"/>
    </w:p>
    <w:p>
      <w:pPr>
        <w:rPr>
          <w:rFonts w:ascii="Calibri" w:hAnsi="Calibri" w:eastAsia="宋体" w:cs="Times New Roman"/>
          <w:szCs w:val="22"/>
        </w:rPr>
      </w:pPr>
    </w:p>
    <w:p>
      <w:pPr>
        <w:rPr>
          <w:rFonts w:ascii="Calibri" w:hAnsi="Calibri" w:eastAsia="宋体" w:cs="Times New Roman"/>
          <w:szCs w:val="22"/>
        </w:rPr>
      </w:pPr>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4"/>
    </w:p>
    <w:tbl>
      <w:tblPr>
        <w:tblStyle w:val="1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5"/>
    <w:bookmarkEnd w:id="146"/>
    <w:bookmarkEnd w:id="147"/>
    <w:p>
      <w:pPr>
        <w:spacing w:line="360" w:lineRule="auto"/>
        <w:rPr>
          <w:rFonts w:ascii="宋体" w:hAnsi="宋体" w:eastAsia="宋体" w:cs="Times New Roman"/>
          <w:b/>
          <w:sz w:val="28"/>
          <w:szCs w:val="22"/>
        </w:rPr>
      </w:pPr>
      <w:bookmarkStart w:id="149" w:name="_Toc263768877"/>
      <w:bookmarkStart w:id="150" w:name="_Toc302997928"/>
      <w:bookmarkStart w:id="151" w:name="_Toc263753619"/>
    </w:p>
    <w:bookmarkEnd w:id="148"/>
    <w:bookmarkEnd w:id="149"/>
    <w:bookmarkEnd w:id="150"/>
    <w:bookmarkEnd w:id="151"/>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2"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成都市新都区升庵中学物业管理服务采购项目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新都政采（2021）A0048号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成都市新都区升庵中学物业管理服务采购项目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新都政采（2021）A0048号</w:t>
      </w:r>
    </w:p>
    <w:p>
      <w:pPr>
        <w:snapToGrid w:val="0"/>
        <w:spacing w:line="360" w:lineRule="auto"/>
        <w:ind w:firstLine="560" w:firstLineChars="200"/>
        <w:rPr>
          <w:rFonts w:hint="eastAsia" w:ascii="宋体" w:hAnsi="宋体" w:eastAsia="宋体" w:cs="Times New Roman"/>
          <w:sz w:val="28"/>
          <w:szCs w:val="22"/>
        </w:rPr>
      </w:pPr>
      <w:r>
        <w:rPr>
          <w:rFonts w:hint="eastAsia" w:ascii="宋体" w:hAnsi="宋体" w:eastAsia="宋体" w:cs="Times New Roman"/>
          <w:sz w:val="28"/>
          <w:szCs w:val="22"/>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一、为本项目提供的所有服务符合现行的强制性国家相关标准、行业标准。</w:t>
      </w:r>
    </w:p>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二、人员配置（注：项目配置岗位及人数不得低于20人）</w:t>
      </w:r>
    </w:p>
    <w:tbl>
      <w:tblPr>
        <w:tblStyle w:val="12"/>
        <w:tblW w:w="8801" w:type="dxa"/>
        <w:tblInd w:w="96" w:type="dxa"/>
        <w:tblLayout w:type="fixed"/>
        <w:tblCellMar>
          <w:top w:w="0" w:type="dxa"/>
          <w:left w:w="108" w:type="dxa"/>
          <w:bottom w:w="0" w:type="dxa"/>
          <w:right w:w="108" w:type="dxa"/>
        </w:tblCellMar>
      </w:tblPr>
      <w:tblGrid>
        <w:gridCol w:w="1430"/>
        <w:gridCol w:w="1417"/>
        <w:gridCol w:w="5954"/>
      </w:tblGrid>
      <w:tr>
        <w:tblPrEx>
          <w:tblLayout w:type="fixed"/>
          <w:tblCellMar>
            <w:top w:w="0" w:type="dxa"/>
            <w:left w:w="108" w:type="dxa"/>
            <w:bottom w:w="0" w:type="dxa"/>
            <w:right w:w="108" w:type="dxa"/>
          </w:tblCellMar>
        </w:tblPrEx>
        <w:trPr>
          <w:trHeight w:val="650"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岗位名称</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人数（人）</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备注</w:t>
            </w:r>
          </w:p>
        </w:tc>
      </w:tr>
      <w:tr>
        <w:tblPrEx>
          <w:tblLayout w:type="fixed"/>
          <w:tblCellMar>
            <w:top w:w="0" w:type="dxa"/>
            <w:left w:w="108" w:type="dxa"/>
            <w:bottom w:w="0" w:type="dxa"/>
            <w:right w:w="108" w:type="dxa"/>
          </w:tblCellMar>
        </w:tblPrEx>
        <w:trPr>
          <w:trHeight w:val="618"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秩序维护班长</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1</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负责秩序维护员培训、考核，对工作进行监督、检查，保障秩序工作顺利开展。具有较强的组织、协调、沟通、管理能力，严格管理，工作积极主动，服务意识强，责任心强。</w:t>
            </w:r>
          </w:p>
        </w:tc>
      </w:tr>
      <w:tr>
        <w:tblPrEx>
          <w:tblLayout w:type="fixed"/>
          <w:tblCellMar>
            <w:top w:w="0" w:type="dxa"/>
            <w:left w:w="108" w:type="dxa"/>
            <w:bottom w:w="0" w:type="dxa"/>
            <w:right w:w="108" w:type="dxa"/>
          </w:tblCellMar>
        </w:tblPrEx>
        <w:trPr>
          <w:trHeight w:val="1156"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秩序维护员</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6</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负责人员和车辆进出询问、登记和管理工作，负责公共区域公共财产安全和公共秩序维护工作。</w:t>
            </w:r>
          </w:p>
        </w:tc>
      </w:tr>
      <w:tr>
        <w:tblPrEx>
          <w:tblLayout w:type="fixed"/>
          <w:tblCellMar>
            <w:top w:w="0" w:type="dxa"/>
            <w:left w:w="108" w:type="dxa"/>
            <w:bottom w:w="0" w:type="dxa"/>
            <w:right w:w="108" w:type="dxa"/>
          </w:tblCellMar>
        </w:tblPrEx>
        <w:trPr>
          <w:trHeight w:val="932"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宿管主管</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1</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负责学生宿舍物业管理工作，对宿舍管理员工作进行监督、指导和培训。</w:t>
            </w:r>
          </w:p>
        </w:tc>
      </w:tr>
      <w:tr>
        <w:tblPrEx>
          <w:tblLayout w:type="fixed"/>
          <w:tblCellMar>
            <w:top w:w="0" w:type="dxa"/>
            <w:left w:w="108" w:type="dxa"/>
            <w:bottom w:w="0" w:type="dxa"/>
            <w:right w:w="108" w:type="dxa"/>
          </w:tblCellMar>
        </w:tblPrEx>
        <w:trPr>
          <w:trHeight w:val="902"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highlight w:val="none"/>
                <w:lang w:val="en-US" w:eastAsia="zh-CN"/>
              </w:rPr>
              <w:t>宿舍管理员</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8</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负责楼层学生管理工作（包括进门巡查、登记、入寝人员清点、夜间纪律等）</w:t>
            </w:r>
          </w:p>
        </w:tc>
      </w:tr>
      <w:tr>
        <w:tblPrEx>
          <w:tblLayout w:type="fixed"/>
          <w:tblCellMar>
            <w:top w:w="0" w:type="dxa"/>
            <w:left w:w="108" w:type="dxa"/>
            <w:bottom w:w="0" w:type="dxa"/>
            <w:right w:w="108" w:type="dxa"/>
          </w:tblCellMar>
        </w:tblPrEx>
        <w:trPr>
          <w:trHeight w:val="890"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保洁人员</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4</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学校操场、运动场、卫生间、走廊等公共区域清扫保洁和垃圾收集工作</w:t>
            </w:r>
          </w:p>
        </w:tc>
      </w:tr>
      <w:tr>
        <w:tblPrEx>
          <w:tblLayout w:type="fixed"/>
          <w:tblCellMar>
            <w:top w:w="0" w:type="dxa"/>
            <w:left w:w="108" w:type="dxa"/>
            <w:bottom w:w="0" w:type="dxa"/>
            <w:right w:w="108" w:type="dxa"/>
          </w:tblCellMar>
        </w:tblPrEx>
        <w:trPr>
          <w:trHeight w:val="712"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合计</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20</w:t>
            </w:r>
          </w:p>
        </w:tc>
        <w:tc>
          <w:tcPr>
            <w:tcW w:w="5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360" w:lineRule="auto"/>
              <w:ind w:firstLine="560" w:firstLineChars="200"/>
              <w:rPr>
                <w:rFonts w:hint="eastAsia" w:ascii="宋体" w:hAnsi="宋体" w:eastAsia="宋体" w:cs="Times New Roman"/>
                <w:sz w:val="28"/>
                <w:szCs w:val="22"/>
                <w:lang w:val="en-US" w:eastAsia="zh-CN"/>
              </w:rPr>
            </w:pPr>
          </w:p>
        </w:tc>
      </w:tr>
    </w:tbl>
    <w:p>
      <w:pPr>
        <w:snapToGrid w:val="0"/>
        <w:spacing w:line="360" w:lineRule="auto"/>
        <w:ind w:firstLine="480" w:firstLineChars="200"/>
        <w:rPr>
          <w:rFonts w:hint="eastAsia" w:ascii="宋体" w:hAnsi="宋体" w:eastAsia="宋体" w:cs="Times New Roman"/>
          <w:sz w:val="24"/>
          <w:szCs w:val="24"/>
        </w:rPr>
      </w:pPr>
    </w:p>
    <w:p>
      <w:pPr>
        <w:snapToGrid w:val="0"/>
        <w:spacing w:line="360" w:lineRule="auto"/>
        <w:ind w:firstLine="560" w:firstLineChars="200"/>
        <w:rPr>
          <w:rFonts w:hint="eastAsia" w:ascii="宋体" w:hAnsi="宋体" w:eastAsia="宋体" w:cs="Times New Roman"/>
          <w:sz w:val="28"/>
          <w:szCs w:val="22"/>
          <w:lang w:val="en-US" w:eastAsia="zh-CN"/>
        </w:rPr>
      </w:pPr>
    </w:p>
    <w:p>
      <w:pPr>
        <w:pageBreakBefore w:val="0"/>
        <w:widowControl w:val="0"/>
        <w:kinsoku/>
        <w:wordWrap/>
        <w:overflowPunct/>
        <w:topLinePunct w:val="0"/>
        <w:autoSpaceDE/>
        <w:autoSpaceDN/>
        <w:bidi w:val="0"/>
        <w:adjustRightInd/>
        <w:snapToGrid/>
        <w:spacing w:line="420" w:lineRule="exact"/>
        <w:ind w:firstLine="480"/>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53" w:name="_Toc26446"/>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13"/>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eastAsia="宋体" w:cs="Times New Roman"/>
          <w:b/>
          <w:bCs/>
          <w:sz w:val="28"/>
          <w:szCs w:val="22"/>
          <w:u w:val="single"/>
        </w:rPr>
      </w:pPr>
    </w:p>
    <w:p>
      <w:pPr>
        <w:spacing w:line="360" w:lineRule="auto"/>
        <w:rPr>
          <w:rFonts w:ascii="宋体" w:hAnsi="宋体" w:eastAsia="宋体" w:cs="Times New Roman"/>
          <w:b/>
          <w:sz w:val="28"/>
          <w:szCs w:val="28"/>
          <w:u w:val="single"/>
        </w:rPr>
      </w:pPr>
    </w:p>
    <w:p>
      <w:pPr>
        <w:pStyle w:val="3"/>
        <w:numPr>
          <w:ilvl w:val="1"/>
          <w:numId w:val="0"/>
        </w:numPr>
        <w:ind w:leftChars="0"/>
      </w:pPr>
    </w:p>
    <w:p>
      <w:pPr>
        <w:rPr>
          <w:rFonts w:ascii="宋体" w:hAnsi="宋体" w:eastAsia="宋体" w:cs="Times New Roman"/>
          <w:b/>
          <w:sz w:val="28"/>
          <w:szCs w:val="28"/>
          <w:u w:val="single"/>
        </w:rPr>
      </w:pPr>
    </w:p>
    <w:p>
      <w:pPr>
        <w:pStyle w:val="3"/>
        <w:numPr>
          <w:ilvl w:val="1"/>
          <w:numId w:val="0"/>
        </w:numPr>
        <w:ind w:leftChars="0"/>
      </w:pPr>
    </w:p>
    <w:p>
      <w:pPr>
        <w:rPr>
          <w:rFonts w:ascii="宋体" w:hAnsi="宋体" w:eastAsia="宋体" w:cs="Times New Roman"/>
          <w:b/>
          <w:sz w:val="28"/>
          <w:szCs w:val="28"/>
          <w:u w:val="single"/>
        </w:rPr>
      </w:pPr>
    </w:p>
    <w:p>
      <w:pPr>
        <w:pStyle w:val="3"/>
        <w:numPr>
          <w:ilvl w:val="1"/>
          <w:numId w:val="0"/>
        </w:numPr>
        <w:ind w:leftChars="0"/>
      </w:pPr>
    </w:p>
    <w:p>
      <w:pPr>
        <w:rPr>
          <w:rFonts w:ascii="宋体" w:hAnsi="宋体" w:eastAsia="宋体" w:cs="Times New Roman"/>
          <w:b/>
          <w:sz w:val="28"/>
          <w:szCs w:val="28"/>
          <w:u w:val="single"/>
        </w:rPr>
      </w:pPr>
    </w:p>
    <w:p>
      <w:pPr>
        <w:pStyle w:val="3"/>
        <w:numPr>
          <w:ilvl w:val="1"/>
          <w:numId w:val="0"/>
        </w:numPr>
        <w:ind w:leftChars="0"/>
      </w:pPr>
    </w:p>
    <w:p>
      <w:pPr>
        <w:rPr>
          <w:rFonts w:ascii="宋体" w:hAnsi="宋体" w:eastAsia="宋体" w:cs="Times New Roman"/>
          <w:b/>
          <w:sz w:val="28"/>
          <w:szCs w:val="28"/>
          <w:u w:val="single"/>
        </w:rPr>
      </w:pPr>
    </w:p>
    <w:p>
      <w:pPr>
        <w:pStyle w:val="3"/>
        <w:numPr>
          <w:ilvl w:val="1"/>
          <w:numId w:val="0"/>
        </w:numPr>
        <w:ind w:leftChars="0"/>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成都市新都区升庵中学物业管理服务采购项目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新都政采（2021）A0048号</w:t>
      </w:r>
    </w:p>
    <w:p>
      <w:pPr>
        <w:pStyle w:val="6"/>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6"/>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6"/>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6"/>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rPr>
          <w:rFonts w:ascii="Calibri" w:hAnsi="Calibri" w:eastAsia="宋体" w:cs="Times New Roman"/>
          <w:szCs w:val="22"/>
        </w:rPr>
      </w:pPr>
    </w:p>
    <w:p>
      <w:pPr>
        <w:rPr>
          <w:rFonts w:ascii="Calibri" w:hAnsi="Calibri" w:eastAsia="宋体" w:cs="Times New Roman"/>
          <w:szCs w:val="22"/>
        </w:rPr>
      </w:pPr>
    </w:p>
    <w:bookmarkEnd w:id="152"/>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rPr>
      </w:pPr>
      <w:bookmarkStart w:id="154" w:name="_Toc821"/>
      <w:bookmarkStart w:id="155" w:name="_Toc217446093"/>
      <w:bookmarkStart w:id="156" w:name="_Toc316292231"/>
      <w:bookmarkStart w:id="157" w:name="_Toc321382057"/>
      <w:r>
        <w:rPr>
          <w:rFonts w:hint="eastAsia" w:ascii="宋体" w:hAnsi="宋体" w:eastAsia="宋体" w:cs="Times New Roman"/>
          <w:b/>
          <w:bCs/>
          <w:spacing w:val="-20"/>
          <w:kern w:val="44"/>
          <w:sz w:val="32"/>
          <w:szCs w:val="32"/>
        </w:rPr>
        <w:t>招标项目技术、服务、商务及其他要求</w:t>
      </w:r>
      <w:bookmarkEnd w:id="154"/>
      <w:bookmarkEnd w:id="155"/>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lang w:val="en-US" w:eastAsia="zh-CN"/>
        </w:rPr>
      </w:pPr>
      <w:bookmarkStart w:id="158" w:name="_Toc54857461"/>
      <w:bookmarkStart w:id="159" w:name="_Toc72309526"/>
      <w:bookmarkStart w:id="160" w:name="_Toc24348"/>
      <w:bookmarkStart w:id="161" w:name="_Toc529173741"/>
      <w:bookmarkStart w:id="162" w:name="_Toc533672602"/>
      <w:r>
        <w:rPr>
          <w:rFonts w:hint="eastAsia" w:ascii="宋体" w:hAnsi="宋体" w:eastAsia="宋体" w:cs="宋体"/>
          <w:b/>
          <w:bCs/>
          <w:kern w:val="2"/>
          <w:sz w:val="28"/>
          <w:szCs w:val="28"/>
          <w:lang w:val="en-US" w:eastAsia="zh-CN" w:bidi="ar-SA"/>
        </w:rPr>
        <w:t>项目概况</w:t>
      </w:r>
      <w:bookmarkEnd w:id="158"/>
      <w:bookmarkEnd w:id="159"/>
      <w:bookmarkEnd w:id="160"/>
      <w:bookmarkStart w:id="163" w:name="_Toc513796936"/>
    </w:p>
    <w:bookmarkEnd w:id="163"/>
    <w:p>
      <w:pPr>
        <w:spacing w:line="360" w:lineRule="auto"/>
        <w:ind w:firstLine="480" w:firstLineChars="200"/>
        <w:rPr>
          <w:rFonts w:hint="eastAsia" w:ascii="仿宋" w:hAnsi="仿宋" w:eastAsia="仿宋" w:cs="仿宋"/>
          <w:b w:val="0"/>
          <w:bCs/>
          <w:color w:val="auto"/>
          <w:sz w:val="24"/>
          <w:szCs w:val="24"/>
          <w:shd w:val="clear" w:color="auto" w:fill="auto"/>
          <w:lang w:val="en-US" w:eastAsia="zh-CN"/>
        </w:rPr>
      </w:pPr>
      <w:bookmarkStart w:id="164" w:name="_Toc16149"/>
      <w:r>
        <w:rPr>
          <w:rFonts w:hint="eastAsia" w:ascii="宋体" w:hAnsi="宋体" w:cs="宋体"/>
          <w:color w:val="000000" w:themeColor="text1"/>
          <w:sz w:val="24"/>
          <w14:textFill>
            <w14:solidFill>
              <w14:schemeClr w14:val="tx1"/>
            </w14:solidFill>
          </w14:textFill>
        </w:rPr>
        <w:t>成都市新都区升庵中学拟通过公开招标方式，选择一名供应商，为学校提供物业服务。成都市新都区升庵中学位于成都市新都区新都镇湖滨路94号，建筑面积19351.89平方米。</w:t>
      </w:r>
    </w:p>
    <w:p>
      <w:pPr>
        <w:pStyle w:val="3"/>
        <w:ind w:left="567" w:hanging="567"/>
        <w:outlineLvl w:val="1"/>
        <w:rPr>
          <w:rFonts w:hint="default"/>
          <w:kern w:val="0"/>
          <w:highlight w:val="none"/>
          <w:lang w:val="en-US" w:eastAsia="zh-CN"/>
        </w:rPr>
      </w:pPr>
      <w:bookmarkStart w:id="165" w:name="_Toc4738"/>
      <w:r>
        <w:rPr>
          <w:rFonts w:hint="eastAsia"/>
          <w:color w:val="auto"/>
          <w:kern w:val="0"/>
          <w:highlight w:val="none"/>
        </w:rPr>
        <w:t>服务内容</w:t>
      </w:r>
      <w:bookmarkEnd w:id="164"/>
      <w:r>
        <w:rPr>
          <w:rFonts w:hint="eastAsia"/>
          <w:color w:val="auto"/>
          <w:kern w:val="0"/>
          <w:highlight w:val="none"/>
          <w:lang w:eastAsia="zh-CN"/>
        </w:rPr>
        <w:t>及要求</w:t>
      </w:r>
      <w:bookmarkEnd w:id="165"/>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 服务内容：秩序维护服务、宿舍管理服务、保洁服务。</w:t>
      </w:r>
    </w:p>
    <w:p>
      <w:pPr>
        <w:pageBreakBefore w:val="0"/>
        <w:kinsoku/>
        <w:wordWrap/>
        <w:overflowPunct/>
        <w:topLinePunct w:val="0"/>
        <w:autoSpaceDE/>
        <w:autoSpaceDN/>
        <w:bidi w:val="0"/>
        <w:spacing w:line="360" w:lineRule="auto"/>
        <w:ind w:left="-5" w:leftChars="0" w:right="0" w:rightChars="0" w:firstLine="480" w:firstLineChars="200"/>
        <w:textAlignment w:val="auto"/>
        <w:rPr>
          <w:rFonts w:hint="eastAsia"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仿宋" w:hAnsi="仿宋" w:eastAsia="仿宋" w:cs="仿宋"/>
          <w:color w:val="auto"/>
          <w:sz w:val="24"/>
          <w:szCs w:val="24"/>
          <w:highlight w:val="none"/>
          <w:lang w:val="en-US" w:eastAsia="zh-CN"/>
        </w:rPr>
        <w:t>★</w:t>
      </w:r>
      <w:r>
        <w:rPr>
          <w:rFonts w:hint="eastAsia" w:ascii="宋体" w:hAnsi="宋体" w:cs="宋体"/>
          <w:color w:val="000000" w:themeColor="text1"/>
          <w:sz w:val="24"/>
          <w14:textFill>
            <w14:solidFill>
              <w14:schemeClr w14:val="tx1"/>
            </w14:solidFill>
          </w14:textFill>
        </w:rPr>
        <w:t>人员配置</w:t>
      </w:r>
      <w:r>
        <w:rPr>
          <w:rFonts w:hint="eastAsia" w:ascii="宋体" w:hAnsi="宋体" w:cs="宋体"/>
          <w:b/>
          <w:bCs/>
          <w:color w:val="000000" w:themeColor="text1"/>
          <w:sz w:val="24"/>
          <w:lang w:eastAsia="zh-CN"/>
          <w14:textFill>
            <w14:solidFill>
              <w14:schemeClr w14:val="tx1"/>
            </w14:solidFill>
          </w14:textFill>
        </w:rPr>
        <w:t>（按招标文件</w:t>
      </w:r>
      <w:r>
        <w:rPr>
          <w:rFonts w:hint="eastAsia" w:ascii="宋体" w:hAnsi="宋体" w:cs="宋体"/>
          <w:b/>
          <w:bCs/>
          <w:color w:val="000000" w:themeColor="text1"/>
          <w:sz w:val="24"/>
          <w:lang w:val="en-US" w:eastAsia="zh-CN"/>
          <w14:textFill>
            <w14:solidFill>
              <w14:schemeClr w14:val="tx1"/>
            </w14:solidFill>
          </w14:textFill>
        </w:rPr>
        <w:t>3.3.5内容进行承诺）</w:t>
      </w:r>
    </w:p>
    <w:tbl>
      <w:tblPr>
        <w:tblStyle w:val="12"/>
        <w:tblW w:w="8801" w:type="dxa"/>
        <w:tblInd w:w="96" w:type="dxa"/>
        <w:tblLayout w:type="fixed"/>
        <w:tblCellMar>
          <w:top w:w="0" w:type="dxa"/>
          <w:left w:w="108" w:type="dxa"/>
          <w:bottom w:w="0" w:type="dxa"/>
          <w:right w:w="108" w:type="dxa"/>
        </w:tblCellMar>
      </w:tblPr>
      <w:tblGrid>
        <w:gridCol w:w="1430"/>
        <w:gridCol w:w="1417"/>
        <w:gridCol w:w="5954"/>
      </w:tblGrid>
      <w:tr>
        <w:tblPrEx>
          <w:tblLayout w:type="fixed"/>
          <w:tblCellMar>
            <w:top w:w="0" w:type="dxa"/>
            <w:left w:w="108" w:type="dxa"/>
            <w:bottom w:w="0" w:type="dxa"/>
            <w:right w:w="108" w:type="dxa"/>
          </w:tblCellMar>
        </w:tblPrEx>
        <w:trPr>
          <w:trHeight w:val="650"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岗位名称</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人数（人）</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备注</w:t>
            </w:r>
          </w:p>
        </w:tc>
      </w:tr>
      <w:tr>
        <w:tblPrEx>
          <w:tblLayout w:type="fixed"/>
          <w:tblCellMar>
            <w:top w:w="0" w:type="dxa"/>
            <w:left w:w="108" w:type="dxa"/>
            <w:bottom w:w="0" w:type="dxa"/>
            <w:right w:w="108" w:type="dxa"/>
          </w:tblCellMar>
        </w:tblPrEx>
        <w:trPr>
          <w:trHeight w:val="618"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秩序维护班长</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contextualSpacing/>
              <w:rPr>
                <w:rFonts w:ascii="宋体" w:hAnsi="宋体" w:cs="宋体"/>
                <w:color w:val="000000"/>
                <w:kern w:val="0"/>
                <w:sz w:val="20"/>
                <w:szCs w:val="20"/>
                <w:lang w:bidi="ar"/>
              </w:rPr>
            </w:pPr>
            <w:r>
              <w:rPr>
                <w:rFonts w:hint="eastAsia" w:ascii="宋体" w:hAnsi="宋体" w:cs="宋体"/>
                <w:sz w:val="24"/>
              </w:rPr>
              <w:t>负责秩序维护员培训、考核，对工作进行监督、检查，保障秩序工作顺利开展。具有较强的组织、协调、沟通、管理能力，严格管理，工作积极主动，服务意识强，责任心强。</w:t>
            </w:r>
          </w:p>
        </w:tc>
      </w:tr>
      <w:tr>
        <w:tblPrEx>
          <w:tblLayout w:type="fixed"/>
          <w:tblCellMar>
            <w:top w:w="0" w:type="dxa"/>
            <w:left w:w="108" w:type="dxa"/>
            <w:bottom w:w="0" w:type="dxa"/>
            <w:right w:w="108" w:type="dxa"/>
          </w:tblCellMar>
        </w:tblPrEx>
        <w:trPr>
          <w:trHeight w:val="1156"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秩序维护员</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6</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contextualSpacing/>
              <w:rPr>
                <w:rFonts w:ascii="宋体" w:hAnsi="宋体" w:cs="宋体"/>
                <w:sz w:val="24"/>
              </w:rPr>
            </w:pPr>
            <w:r>
              <w:rPr>
                <w:rFonts w:hint="eastAsia" w:ascii="宋体" w:hAnsi="宋体" w:cs="宋体"/>
                <w:sz w:val="24"/>
              </w:rPr>
              <w:t>负责人员和车辆进出询问、登记和管理工作，负责公共区域公共财产安全和公共秩序维护工作。</w:t>
            </w:r>
          </w:p>
        </w:tc>
      </w:tr>
      <w:tr>
        <w:tblPrEx>
          <w:tblLayout w:type="fixed"/>
          <w:tblCellMar>
            <w:top w:w="0" w:type="dxa"/>
            <w:left w:w="108" w:type="dxa"/>
            <w:bottom w:w="0" w:type="dxa"/>
            <w:right w:w="108" w:type="dxa"/>
          </w:tblCellMar>
        </w:tblPrEx>
        <w:trPr>
          <w:trHeight w:val="932"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宿管主管</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contextualSpacing/>
              <w:rPr>
                <w:rFonts w:ascii="宋体" w:hAnsi="宋体" w:cs="宋体"/>
                <w:sz w:val="24"/>
              </w:rPr>
            </w:pPr>
            <w:r>
              <w:rPr>
                <w:rFonts w:hint="eastAsia" w:ascii="宋体" w:hAnsi="宋体" w:cs="宋体"/>
                <w:sz w:val="24"/>
              </w:rPr>
              <w:t>负责学生宿舍物业管理工作，对</w:t>
            </w:r>
            <w:r>
              <w:rPr>
                <w:rFonts w:hint="eastAsia" w:ascii="宋体" w:hAnsi="宋体" w:cs="宋体"/>
                <w:sz w:val="24"/>
                <w:lang w:eastAsia="zh-CN"/>
              </w:rPr>
              <w:t>宿舍管理员</w:t>
            </w:r>
            <w:r>
              <w:rPr>
                <w:rFonts w:hint="eastAsia" w:ascii="宋体" w:hAnsi="宋体" w:cs="宋体"/>
                <w:sz w:val="24"/>
              </w:rPr>
              <w:t>工作进行监督、指导和培训。</w:t>
            </w:r>
          </w:p>
        </w:tc>
      </w:tr>
      <w:tr>
        <w:tblPrEx>
          <w:tblLayout w:type="fixed"/>
          <w:tblCellMar>
            <w:top w:w="0" w:type="dxa"/>
            <w:left w:w="108" w:type="dxa"/>
            <w:bottom w:w="0" w:type="dxa"/>
            <w:right w:w="108" w:type="dxa"/>
          </w:tblCellMar>
        </w:tblPrEx>
        <w:trPr>
          <w:trHeight w:val="902"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sz w:val="20"/>
                <w:szCs w:val="20"/>
                <w:lang w:eastAsia="zh-CN"/>
              </w:rPr>
            </w:pPr>
            <w:r>
              <w:rPr>
                <w:rFonts w:hint="eastAsia" w:ascii="宋体" w:hAnsi="宋体" w:cs="宋体"/>
                <w:color w:val="000000"/>
                <w:kern w:val="0"/>
                <w:sz w:val="20"/>
                <w:szCs w:val="20"/>
                <w:lang w:eastAsia="zh-CN" w:bidi="ar"/>
              </w:rPr>
              <w:t>宿舍管理员</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8</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contextualSpacing/>
              <w:rPr>
                <w:rFonts w:ascii="宋体" w:hAnsi="宋体" w:cs="宋体"/>
                <w:sz w:val="24"/>
              </w:rPr>
            </w:pPr>
            <w:r>
              <w:rPr>
                <w:rFonts w:hint="eastAsia" w:ascii="宋体" w:hAnsi="宋体" w:cs="宋体"/>
                <w:sz w:val="24"/>
              </w:rPr>
              <w:t>负责楼层学生管理工作（包括进门巡查、登记、入寝人员清点、夜间纪律等）</w:t>
            </w:r>
          </w:p>
        </w:tc>
      </w:tr>
      <w:tr>
        <w:tblPrEx>
          <w:tblLayout w:type="fixed"/>
          <w:tblCellMar>
            <w:top w:w="0" w:type="dxa"/>
            <w:left w:w="108" w:type="dxa"/>
            <w:bottom w:w="0" w:type="dxa"/>
            <w:right w:w="108" w:type="dxa"/>
          </w:tblCellMar>
        </w:tblPrEx>
        <w:trPr>
          <w:trHeight w:val="890"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保洁人员</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w:t>
            </w:r>
          </w:p>
        </w:tc>
        <w:tc>
          <w:tcPr>
            <w:tcW w:w="5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contextualSpacing/>
              <w:rPr>
                <w:rFonts w:ascii="宋体" w:hAnsi="宋体" w:cs="宋体"/>
                <w:sz w:val="24"/>
              </w:rPr>
            </w:pPr>
            <w:r>
              <w:rPr>
                <w:rFonts w:hint="eastAsia" w:ascii="宋体" w:hAnsi="宋体" w:cs="宋体"/>
                <w:sz w:val="24"/>
              </w:rPr>
              <w:t>学校操场、运动场、卫生间、走廊等公共区域清扫保洁和垃圾收集工作</w:t>
            </w:r>
          </w:p>
        </w:tc>
      </w:tr>
      <w:tr>
        <w:tblPrEx>
          <w:tblLayout w:type="fixed"/>
          <w:tblCellMar>
            <w:top w:w="0" w:type="dxa"/>
            <w:left w:w="108" w:type="dxa"/>
            <w:bottom w:w="0" w:type="dxa"/>
            <w:right w:w="108" w:type="dxa"/>
          </w:tblCellMar>
        </w:tblPrEx>
        <w:trPr>
          <w:trHeight w:val="712"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合计</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5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0"/>
                <w:szCs w:val="20"/>
                <w:lang w:bidi="ar"/>
              </w:rPr>
            </w:pPr>
          </w:p>
        </w:tc>
      </w:tr>
    </w:tbl>
    <w:p>
      <w:pPr>
        <w:spacing w:line="360" w:lineRule="auto"/>
        <w:ind w:firstLine="240" w:firstLineChars="100"/>
        <w:contextualSpacing/>
        <w:rPr>
          <w:rFonts w:ascii="宋体" w:hAnsi="宋体" w:cs="宋体"/>
          <w:sz w:val="24"/>
        </w:rPr>
      </w:pPr>
    </w:p>
    <w:p>
      <w:pPr>
        <w:pStyle w:val="2"/>
        <w:spacing w:line="360" w:lineRule="auto"/>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（三）服务工作内容及要求</w:t>
      </w:r>
    </w:p>
    <w:p>
      <w:pPr>
        <w:pStyle w:val="4"/>
        <w:ind w:firstLine="723" w:firstLineChars="300"/>
      </w:pPr>
      <w:r>
        <w:rPr>
          <w:rFonts w:hint="eastAsia"/>
        </w:rPr>
        <w:t>1、秩序维护服务</w:t>
      </w:r>
    </w:p>
    <w:p>
      <w:pPr>
        <w:spacing w:line="360" w:lineRule="auto"/>
        <w:ind w:left="700"/>
        <w:contextualSpacing/>
        <w:rPr>
          <w:rFonts w:ascii="宋体" w:hAnsi="宋体" w:cs="宋体"/>
          <w:b/>
          <w:bCs/>
          <w:sz w:val="24"/>
        </w:rPr>
      </w:pPr>
      <w:r>
        <w:rPr>
          <w:rFonts w:hint="eastAsia" w:ascii="宋体" w:hAnsi="宋体" w:cs="宋体"/>
          <w:b/>
          <w:bCs/>
          <w:sz w:val="24"/>
          <w:lang w:val="en-US" w:eastAsia="zh-CN"/>
        </w:rPr>
        <w:t>A</w:t>
      </w:r>
      <w:r>
        <w:rPr>
          <w:rFonts w:hint="eastAsia" w:ascii="宋体" w:hAnsi="宋体" w:cs="宋体"/>
          <w:b/>
          <w:bCs/>
          <w:sz w:val="24"/>
        </w:rPr>
        <w:t>服务内容</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（1）负责该项目物业管理区域内公共财产的安全保卫及公共秩序的维护工作。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（2）按管理要求，做好学校工作人员、外来办事人员的进入登记管理工作，确保教学工作的秩序。</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（3）负责学校行课期间学生出入校门的管理工作及上放学学生出入校门的管理工作。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（4）协助学校维护突发事件的秩序工作。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（5）负责门卫室收发工作和学校巡逻工作。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（6）监控实施24小时值守，保障管理区域内公共财产的安全和公共秩序的维护工作。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（7）制定火灾、治安、公共卫生等突发事件、自然灾害应急预案并协助采取相应措施。</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（8）每月一次对消防设施进行检查，作好检查记录和检查报告，发现问题及时报校方领导。</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（9）负责学校大型活动、会议的秩序维护保障工作。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（10）负责停车场规范管理工作。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（11）完成采购人临时交办的其他秩序维护相关工作任务。</w:t>
      </w:r>
    </w:p>
    <w:p>
      <w:pPr>
        <w:spacing w:line="360" w:lineRule="auto"/>
        <w:ind w:left="700"/>
        <w:contextualSpacing/>
        <w:rPr>
          <w:rFonts w:ascii="宋体" w:hAnsi="宋体" w:cs="宋体"/>
          <w:b/>
          <w:bCs/>
          <w:sz w:val="24"/>
        </w:rPr>
      </w:pPr>
      <w:r>
        <w:rPr>
          <w:rFonts w:hint="eastAsia" w:ascii="宋体" w:hAnsi="宋体" w:cs="宋体"/>
          <w:b/>
          <w:bCs/>
          <w:sz w:val="24"/>
          <w:lang w:val="en-US" w:eastAsia="zh-CN"/>
        </w:rPr>
        <w:t>B</w:t>
      </w:r>
      <w:r>
        <w:rPr>
          <w:rFonts w:hint="eastAsia" w:ascii="宋体" w:hAnsi="宋体" w:cs="宋体"/>
          <w:b/>
          <w:bCs/>
          <w:sz w:val="24"/>
        </w:rPr>
        <w:t>服务要求</w:t>
      </w:r>
    </w:p>
    <w:p>
      <w:pPr>
        <w:spacing w:line="360" w:lineRule="auto"/>
        <w:ind w:firstLine="482" w:firstLineChars="200"/>
        <w:contextualSpacing/>
        <w:rPr>
          <w:rFonts w:ascii="宋体" w:hAnsi="宋体" w:cs="宋体"/>
          <w:b/>
          <w:bCs/>
          <w:sz w:val="24"/>
        </w:rPr>
      </w:pPr>
      <w:r>
        <w:rPr>
          <w:rFonts w:hint="eastAsia" w:ascii="宋体" w:hAnsi="宋体" w:cs="宋体"/>
          <w:b/>
          <w:bCs/>
          <w:sz w:val="24"/>
        </w:rPr>
        <w:t>（1）门岗管理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1）严格执行学校及公司各项相关规章制度。</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2）学校大门岗实施24小时值班及校园门岗周边的巡逻,不得擅离职守。按照学校要求严格执行外来人员登记制度，对不熟悉校区办事人员要及时引导。</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3）熟悉学校基本情况，包括教师数量、相貌特征、学生数量、常规出入时间及周边环境的掌握了解。</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4）根据学校学生管理的有关规定，教学期间学生离校一律凭学校盖章的出门条才能放行，若有违规学生应与相关部门及时联系，防止学生强行出校。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5）严格控制闲杂人员或其他身份不明人员及各种无通行证车辆进入学校。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6）校门及周边责任区禁止摆摊设点、车辆乱停乱放的管理。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来访人员需持有效证件进行登记，检测体温并进行扫码确认。遇上级领导或前来指导、参观的社会各界人士，应立即敬礼，并将人数、单位等情况及时上报相关部门并做好记录备查，引领客人到学校相关部门。</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8）若遇家长咨询读书事宜，应热情接待，配合学校做好招生宣传工作。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9）对外来车辆必须进行询问—确认—登记后，引导车辆停放在停车场。</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10）在学校举行大型活动和大型会议期间，应有专人管理内外车辆的停放，以确保校园内交通畅通。</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11）严格做好物品出门登记工作。发现可疑情况及时与学校总务处联系，把好物品出门关。</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12）根据学校安排，服从校方调配，做好学校各项活动的秩序维护工作。</w:t>
      </w:r>
    </w:p>
    <w:p>
      <w:pPr>
        <w:spacing w:line="360" w:lineRule="auto"/>
        <w:contextualSpacing/>
        <w:rPr>
          <w:rFonts w:ascii="宋体" w:hAnsi="宋体" w:cs="宋体"/>
          <w:b/>
          <w:bCs/>
          <w:sz w:val="24"/>
        </w:rPr>
      </w:pPr>
      <w:r>
        <w:rPr>
          <w:rFonts w:hint="eastAsia" w:ascii="宋体" w:hAnsi="宋体" w:cs="宋体"/>
          <w:b/>
          <w:bCs/>
          <w:sz w:val="24"/>
        </w:rPr>
        <w:t>（2）巡逻管理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1）利用巡更器对校园进行24小时安全巡查，重点部位如办公室、机房、实验储藏室、景观水池等应重点查看。</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2)按照规定时段和线路进行认真细致地巡查，白天每2小时巡逻一次，晚上每小时巡逻一次。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3）巡查内容主要包括：消防设备的完好性，公共设施有无损坏，学生有无破坏绿化设施，有无学生、人员翻越围墙现象，有无损坏校园景观乱画、乱写现象，教学楼门窗、灯关否，校园内有无打架斗殴现象。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4）做好巡查记录，对值班、巡查中发现的问题及时处理，不能处理的立即向校方报告。</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5）要注意观察可疑人员可能对师生进行的各种侵害及时消除安全隐患，对不能制止的行为应及时上报，配合处理。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ascii="宋体" w:hAnsi="宋体" w:cs="宋体"/>
          <w:color w:val="000000" w:themeColor="text1"/>
          <w:sz w:val="24"/>
          <w14:textFill>
            <w14:solidFill>
              <w14:schemeClr w14:val="tx1"/>
            </w14:solidFill>
          </w14:textFill>
        </w:rPr>
        <w:t>检查</w:t>
      </w:r>
      <w:r>
        <w:rPr>
          <w:rFonts w:hint="eastAsia" w:ascii="宋体" w:hAnsi="宋体" w:cs="宋体"/>
          <w:color w:val="000000" w:themeColor="text1"/>
          <w:sz w:val="24"/>
          <w14:textFill>
            <w14:solidFill>
              <w14:schemeClr w14:val="tx1"/>
            </w14:solidFill>
          </w14:textFill>
        </w:rPr>
        <w:t>巡逻</w:t>
      </w:r>
      <w:r>
        <w:rPr>
          <w:rFonts w:ascii="宋体" w:hAnsi="宋体" w:cs="宋体"/>
          <w:color w:val="000000" w:themeColor="text1"/>
          <w:sz w:val="24"/>
          <w14:textFill>
            <w14:solidFill>
              <w14:schemeClr w14:val="tx1"/>
            </w14:solidFill>
          </w14:textFill>
        </w:rPr>
        <w:t>物业服务区域内公共设施设备、消防器材、安全通道等情况，</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如有损坏现象应及时向</w:t>
      </w:r>
      <w:r>
        <w:rPr>
          <w:rFonts w:hint="eastAsia" w:ascii="宋体" w:hAnsi="宋体" w:cs="宋体"/>
          <w:color w:val="000000" w:themeColor="text1"/>
          <w:sz w:val="24"/>
          <w14:textFill>
            <w14:solidFill>
              <w14:schemeClr w14:val="tx1"/>
            </w14:solidFill>
          </w14:textFill>
        </w:rPr>
        <w:t>相关部门</w:t>
      </w:r>
      <w:r>
        <w:rPr>
          <w:rFonts w:ascii="宋体" w:hAnsi="宋体" w:cs="宋体"/>
          <w:color w:val="000000" w:themeColor="text1"/>
          <w:sz w:val="24"/>
          <w14:textFill>
            <w14:solidFill>
              <w14:schemeClr w14:val="tx1"/>
            </w14:solidFill>
          </w14:textFill>
        </w:rPr>
        <w:t>报修，并作好详细记录。</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7）当发生突发事件时，应严格按《突发事件工作程序》要求进行处理，并向</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8）上级及相关部门报告。</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9）夜间加强对教学楼、学生宿舍的巡逻工作，杜绝安全事故发生。</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10）汛情期间，加强对校园的巡查，特别树木、门窗、展示牌、地下停车场、体育场等地方的巡查，发现问题及时汇报、处理。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11）学校安排的临时秩序维护相关的工作。</w:t>
      </w:r>
    </w:p>
    <w:p>
      <w:pPr>
        <w:spacing w:line="360" w:lineRule="auto"/>
        <w:contextualSpacing/>
        <w:rPr>
          <w:rFonts w:ascii="宋体" w:hAnsi="宋体" w:cs="宋体"/>
          <w:b/>
          <w:bCs/>
          <w:sz w:val="24"/>
        </w:rPr>
      </w:pPr>
      <w:r>
        <w:rPr>
          <w:rFonts w:hint="eastAsia" w:ascii="宋体" w:hAnsi="宋体" w:cs="宋体"/>
          <w:b/>
          <w:bCs/>
          <w:sz w:val="24"/>
        </w:rPr>
        <w:t>（3）监控岗管理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1）监控设施24小时运行，监控室24小时值岗。保证监控系统的正常运行，及时处理应急事件，出现故障及时向学校报修。</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2）保障电话畅通，接听及时。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3）在项目主管的领导下，负责操作现场的监控设备，对现场治安情况实行监控，及时处置异常情况，确保现场安全。</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4）监控的录入资料应至少留存备查，有特殊要求的参照相关规定或行业标准执行，保障监控资料记录完整。对监控资料的查阅实行审批制度。</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5）所有影像资料不得拷贝（校方指定人员除外），影响内容不得外传。</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严密注视各监视画面动态，发现可疑现象及时通知班长及巡逻岗加以处理；同时注意各类报警的声、光信号，如有报警和异常情况发生，应立即查明部位，迅速报告班长采取应急措施（误报警则迅速消警）。如发生火灾，按《火灾应急预案》采取紧急措施。</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7）禁止无关人员进入消防监控室。上级批准或陪同有关人员进参观、检查应做好出入登记。</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8）做好消防监控室环境清洁工作，保障设备在规定的环境状态下正常运行。每周进行一次大扫除，保持作环境整洁良好。</w:t>
      </w:r>
    </w:p>
    <w:p>
      <w:pPr>
        <w:pStyle w:val="4"/>
        <w:ind w:firstLine="482" w:firstLineChars="200"/>
      </w:pPr>
      <w:r>
        <w:rPr>
          <w:rFonts w:hint="eastAsia"/>
        </w:rPr>
        <w:t>2、保洁服务内容和要求</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A</w:t>
      </w:r>
      <w:r>
        <w:rPr>
          <w:rFonts w:hint="eastAsia" w:ascii="宋体" w:hAnsi="宋体" w:cs="宋体"/>
          <w:color w:val="000000" w:themeColor="text1"/>
          <w:sz w:val="24"/>
          <w14:textFill>
            <w14:solidFill>
              <w14:schemeClr w14:val="tx1"/>
            </w14:solidFill>
          </w14:textFill>
        </w:rPr>
        <w:t>服务内容</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（1）行政楼、教学楼、报告厅、图书馆的楼梯、楼道、栏杆等公共区域日常保洁；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负责</w:t>
      </w:r>
      <w:r>
        <w:rPr>
          <w:rFonts w:ascii="宋体" w:hAnsi="宋体" w:cs="宋体"/>
          <w:color w:val="000000" w:themeColor="text1"/>
          <w:sz w:val="24"/>
          <w14:textFill>
            <w14:solidFill>
              <w14:schemeClr w14:val="tx1"/>
            </w14:solidFill>
          </w14:textFill>
        </w:rPr>
        <w:t>卫生间清洁卫生和日常保洁；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（3）校园内的各种功能室内的清洁卫生和日常保洁；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（4）校内外停车场、校内外空坝，校内各广场、看台、运动场的清洁卫生和日常保洁；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（5）校内建筑物</w:t>
      </w:r>
      <w:r>
        <w:rPr>
          <w:rFonts w:hint="eastAsia" w:ascii="宋体" w:hAnsi="宋体" w:cs="宋体"/>
          <w:color w:val="000000" w:themeColor="text1"/>
          <w:sz w:val="24"/>
          <w14:textFill>
            <w14:solidFill>
              <w14:schemeClr w14:val="tx1"/>
            </w14:solidFill>
          </w14:textFill>
        </w:rPr>
        <w:t>室内</w:t>
      </w:r>
      <w:r>
        <w:rPr>
          <w:rFonts w:ascii="宋体" w:hAnsi="宋体" w:cs="宋体"/>
          <w:color w:val="000000" w:themeColor="text1"/>
          <w:sz w:val="24"/>
          <w14:textFill>
            <w14:solidFill>
              <w14:schemeClr w14:val="tx1"/>
            </w14:solidFill>
          </w14:textFill>
        </w:rPr>
        <w:t>立面望顶、玻璃保洁；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（6）校门口及校园内所有橱窗、展板保洁、所有塑像表面的清洁；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7</w:t>
      </w: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负责每日收集公共区域垃圾并堆放在校内指定垃圾堆放地点，并协助环卫部门清运出校园，垃圾清运费由采购人承担。</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（8）大型会议、活动及集中考试等特殊情况时，根据采购人要求，派专人保洁，做好会场、考场布置，提前半个工作日完成工作任务。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除“四害”及环境消毒：根据季节不定期放置和喷洒药物，降低“四害”密度，防止流行性疾病发生。按卫生防疫规定开展环境消毒（包括墙角边、垃圾堆放点）。若遇突发疫情或自然灾害，消杀次数按相关规定增加。</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10</w:t>
      </w:r>
      <w:r>
        <w:rPr>
          <w:rFonts w:ascii="宋体" w:hAnsi="宋体" w:cs="宋体"/>
          <w:color w:val="000000" w:themeColor="text1"/>
          <w:sz w:val="24"/>
          <w14:textFill>
            <w14:solidFill>
              <w14:schemeClr w14:val="tx1"/>
            </w14:solidFill>
          </w14:textFill>
        </w:rPr>
        <w:t>）其它未尽区域以学校要求为准。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B</w:t>
      </w:r>
      <w:r>
        <w:rPr>
          <w:rFonts w:hint="eastAsia" w:ascii="宋体" w:hAnsi="宋体" w:cs="宋体"/>
          <w:color w:val="000000" w:themeColor="text1"/>
          <w:sz w:val="24"/>
          <w14:textFill>
            <w14:solidFill>
              <w14:schemeClr w14:val="tx1"/>
            </w14:solidFill>
          </w14:textFill>
        </w:rPr>
        <w:t>服务要求</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（1）全天保洁、巡回清扫，及时清理物业服务区内的乱贴、乱挂物等。</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（2）地面及通道：无烟头、果皮、树叶、无垃圾、纸屑、食品包装袋、积尘、无蛛网等；大理石地面、墙身有光泽无污迹。</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（3）宣传栏玻璃楼道栏杆、无污迹，楼道天花板、墙角、无灰尘、蜘蛛网，垃圾桶表面无灰尘；镜子干净无污迹、无水渍。</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（4）卫生间无异味、无积水，厕具及其它附属设施清洁干净，纸篓内垃圾不超过2/3，排污管道通畅，洗手台面干净无积水，洗手盆、梳妆镜清洁干净；卫生间堵塞时要及时疏通。</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（5）报告厅、会议室在各种活动前后必须打扫干净，日常保持清洁可用。</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（6）按学校要求定期对垃圾堆放点实施消毒。</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（7）楼梯扶手、空调内外机、灭火器、消火栓等附属设施清洁干净、无积灰；</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（8）垃圾桶表面清洁干净，桶内垃圾不超过3/4；电梯地毯每周更换清洗1次。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（9）室外坐椅、宣传栏、告示牌、标识、装饰物品表面清洁干净、无蛛网、无积灰、无积水。</w:t>
      </w:r>
    </w:p>
    <w:p>
      <w:pPr>
        <w:pStyle w:val="4"/>
        <w:ind w:firstLine="482" w:firstLineChars="200"/>
      </w:pPr>
      <w:r>
        <w:rPr>
          <w:rFonts w:hint="eastAsia"/>
        </w:rPr>
        <w:t>3、学生宿舍管理服务内容及要求</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A</w:t>
      </w:r>
      <w:r>
        <w:rPr>
          <w:rFonts w:hint="eastAsia" w:ascii="宋体" w:hAnsi="宋体" w:cs="宋体"/>
          <w:color w:val="000000" w:themeColor="text1"/>
          <w:sz w:val="24"/>
          <w14:textFill>
            <w14:solidFill>
              <w14:schemeClr w14:val="tx1"/>
            </w14:solidFill>
          </w14:textFill>
        </w:rPr>
        <w:t>服务内容</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（1）严格贯彻执行公司、学校制定的各项管理制度。</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（2）定期检查宿舍楼安全设施、随时排查安全隐患、及时上报安全状况；及时处理住校生中的突发事件。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（3）坚持每天定期巡视服务区域并做好书面记录。</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（4）熟悉本宿舍区域学生的住宿情况，对学生进出宿舍进行有效管理，严禁外来人员进入宿舍，得到允许的除外，并做好出入记录。</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（5）严禁学生进入异性宿舍。</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（6）定期回访学校师生对区划内管理工作提出意见和建议，并作好记录。</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（7）每周一次及以上与学生、班主任进行有效沟通。</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（8）配合学校做好公共卫生事件的防控工作。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（9）配合学校处理学生住校期间的生病、受伤等工作。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（10）负责公共区域的清洁卫生工作。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B</w:t>
      </w:r>
      <w:r>
        <w:rPr>
          <w:rFonts w:hint="eastAsia" w:ascii="宋体" w:hAnsi="宋体" w:cs="宋体"/>
          <w:color w:val="000000" w:themeColor="text1"/>
          <w:sz w:val="24"/>
          <w14:textFill>
            <w14:solidFill>
              <w14:schemeClr w14:val="tx1"/>
            </w14:solidFill>
          </w14:textFill>
        </w:rPr>
        <w:t>服务要求</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（1）制定并认真执行学生宿舍安全管理制度，保证住校生寝室人身安全，保证宿舍公共财产安全；</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（2）制定并认真执行宿舍管理人员值班制度；</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（3）宿舍工作人员定期进行培训，并作好记录。</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（4）认真执行住校生日常行为规范制度、卫生内务管理制度，严格落实学生就寝、午休等相关制度要求；</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（5）认真执行住校生个人档案制度，并及时将学生在校情况与家长、班主任进行沟通；</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（6）制定并认真执行学生在寝室突发事件、突发疾病等应急情况的处理制度；</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（7）配合学校活动期间的寝室安排，圆满完成接待工作；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（8）做好新生入校军事培训期间学生的宿舍管理服务工作；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（9）按照学校宿舍管理规定，执行学校宿舍管理的要求，按时开放和关闭宿舍大门。宿舍管理实行</w:t>
      </w:r>
      <w:r>
        <w:rPr>
          <w:rFonts w:ascii="宋体" w:hAnsi="宋体" w:cs="宋体"/>
          <w:color w:val="000000" w:themeColor="text1"/>
          <w:sz w:val="24"/>
          <w14:textFill>
            <w14:solidFill>
              <w14:schemeClr w14:val="tx1"/>
            </w14:solidFill>
          </w14:textFill>
        </w:rPr>
        <w:t>24</w:t>
      </w:r>
      <w:r>
        <w:rPr>
          <w:rFonts w:hint="eastAsia" w:ascii="宋体" w:hAnsi="宋体" w:cs="宋体"/>
          <w:color w:val="000000" w:themeColor="text1"/>
          <w:sz w:val="24"/>
          <w14:textFill>
            <w14:solidFill>
              <w14:schemeClr w14:val="tx1"/>
            </w14:solidFill>
          </w14:textFill>
        </w:rPr>
        <w:t>小时工作制。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（10）树立安全责任意识，熟练掌握宿舍安全设备的操作和使用方法，认真上班和巡查，对影响学生和学生宿舍的安全隐患要做到早发现、早处置。</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（11）掌握学生思想动态，做好引导、说服、教育工作，做到管理育人、服务育人。</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（12）准确掌握学生就寝人数，就寝点名时若发现学生不在寝，及时报告主管，了解学生不在寝情况，及时与家长、班主任报告相关情况，必要时报告行政值班领导。</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（13）及时发现和制止学生宿舍内的酗酒、打架、斗殴和非正常集会及其他突发事件，并向相关部门和班主任老师反映学生在宿舍内的日常表现和思想动态。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（14）学生公寓内务管理方面，每天对学生宿舍的内务进行2次检查并做好记录，及时上报；对宿舍环境卫生较差的寝室做好教育工作，并帮助整改。</w:t>
      </w:r>
      <w:r>
        <w:rPr>
          <w:rFonts w:ascii="宋体" w:hAnsi="宋体" w:cs="宋体"/>
          <w:color w:val="000000" w:themeColor="text1"/>
          <w:sz w:val="24"/>
          <w14:textFill>
            <w14:solidFill>
              <w14:schemeClr w14:val="tx1"/>
            </w14:solidFill>
          </w14:textFill>
        </w:rPr>
        <w:t xml:space="preserve"> </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（15）学校安排的其他临时性宿舍管理工作。 </w:t>
      </w:r>
    </w:p>
    <w:p>
      <w:pPr>
        <w:rPr>
          <w:rFonts w:hint="default"/>
          <w:lang w:val="en-US" w:eastAsia="zh-CN"/>
        </w:rPr>
      </w:pPr>
    </w:p>
    <w:p>
      <w:pPr>
        <w:keepNext/>
        <w:keepLines/>
        <w:widowControl w:val="0"/>
        <w:numPr>
          <w:ilvl w:val="1"/>
          <w:numId w:val="1"/>
        </w:numPr>
        <w:spacing w:after="200" w:line="360" w:lineRule="auto"/>
        <w:ind w:left="567" w:hanging="567"/>
        <w:jc w:val="both"/>
        <w:outlineLvl w:val="1"/>
        <w:rPr>
          <w:rFonts w:hint="default" w:ascii="宋体" w:hAnsi="宋体" w:eastAsia="宋体" w:cs="宋体"/>
          <w:b/>
          <w:bCs/>
          <w:iCs/>
          <w:kern w:val="0"/>
          <w:sz w:val="28"/>
          <w:szCs w:val="28"/>
          <w:highlight w:val="none"/>
          <w:lang w:val="en-US" w:eastAsia="zh-CN" w:bidi="ar-SA"/>
        </w:rPr>
      </w:pPr>
      <w:r>
        <w:rPr>
          <w:rFonts w:hint="eastAsia" w:ascii="宋体" w:hAnsi="宋体" w:eastAsia="宋体" w:cs="宋体"/>
          <w:b/>
          <w:bCs/>
          <w:iCs/>
          <w:kern w:val="0"/>
          <w:sz w:val="28"/>
          <w:szCs w:val="28"/>
          <w:highlight w:val="none"/>
          <w:lang w:val="en-US" w:eastAsia="zh-CN" w:bidi="ar-SA"/>
        </w:rPr>
        <w:t xml:space="preserve"> </w:t>
      </w:r>
      <w:bookmarkStart w:id="166" w:name="_Toc16362"/>
      <w:r>
        <w:rPr>
          <w:rFonts w:hint="eastAsia" w:ascii="宋体" w:hAnsi="宋体" w:eastAsia="宋体" w:cs="宋体"/>
          <w:b/>
          <w:bCs/>
          <w:iCs/>
          <w:kern w:val="0"/>
          <w:sz w:val="28"/>
          <w:szCs w:val="28"/>
          <w:highlight w:val="none"/>
          <w:lang w:val="en-US" w:eastAsia="zh-CN" w:bidi="ar-SA"/>
        </w:rPr>
        <w:t>考核内容及标准</w:t>
      </w:r>
      <w:bookmarkEnd w:id="166"/>
    </w:p>
    <w:p>
      <w:pPr>
        <w:spacing w:line="480" w:lineRule="auto"/>
        <w:ind w:firstLine="361" w:firstLineChars="150"/>
        <w:jc w:val="center"/>
        <w:rPr>
          <w:rFonts w:ascii="宋体" w:hAnsi="宋体" w:cs="宋体"/>
          <w:bCs/>
          <w:sz w:val="24"/>
        </w:rPr>
      </w:pPr>
      <w:bookmarkStart w:id="167" w:name="_Toc6503"/>
      <w:r>
        <w:rPr>
          <w:rFonts w:hint="eastAsia" w:ascii="宋体" w:hAnsi="宋体" w:cs="宋体"/>
          <w:b/>
          <w:bCs/>
          <w:sz w:val="24"/>
        </w:rPr>
        <w:t>成都市新都区升庵中学物业管理服务考核办法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为加强学校对物业公司的监督和管理，为学校创造一个良好的生活、学习环境，特制定以下管理考核办法：</w:t>
      </w:r>
    </w:p>
    <w:p>
      <w:pPr>
        <w:pStyle w:val="2"/>
        <w:spacing w:line="360" w:lineRule="auto"/>
        <w:ind w:firstLine="48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（一）总则</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在服务期内，供应商须接受采购人的考核。采购人每月对供应商进行一次考核，日常开展督导检查。</w:t>
      </w:r>
      <w:r>
        <w:rPr>
          <w:rFonts w:hint="eastAsia" w:ascii="宋体" w:hAnsi="宋体" w:cs="宋体"/>
          <w:color w:val="000000" w:themeColor="text1"/>
          <w:sz w:val="24"/>
          <w:highlight w:val="none"/>
          <w14:textFill>
            <w14:solidFill>
              <w14:schemeClr w14:val="tx1"/>
            </w14:solidFill>
          </w14:textFill>
        </w:rPr>
        <w:t>考核总分100分，85分及以上考核合格，采购人足额支付物业服务费，85分以下算考核不合格，第一次采购人可要求整顿，</w:t>
      </w:r>
      <w:r>
        <w:rPr>
          <w:rFonts w:hint="eastAsia" w:ascii="宋体" w:hAnsi="宋体" w:cs="宋体"/>
          <w:color w:val="000000" w:themeColor="text1"/>
          <w:sz w:val="24"/>
          <w:highlight w:val="none"/>
          <w:lang w:eastAsia="zh-CN"/>
          <w14:textFill>
            <w14:solidFill>
              <w14:schemeClr w14:val="tx1"/>
            </w14:solidFill>
          </w14:textFill>
        </w:rPr>
        <w:t>整改合格不扣钱，</w:t>
      </w:r>
      <w:r>
        <w:rPr>
          <w:rFonts w:hint="eastAsia" w:ascii="宋体" w:hAnsi="宋体" w:cs="宋体"/>
          <w:color w:val="000000" w:themeColor="text1"/>
          <w:sz w:val="24"/>
          <w:highlight w:val="none"/>
          <w14:textFill>
            <w14:solidFill>
              <w14:schemeClr w14:val="tx1"/>
            </w14:solidFill>
          </w14:textFill>
        </w:rPr>
        <w:t>整改不合格，按</w:t>
      </w:r>
      <w:r>
        <w:rPr>
          <w:rFonts w:hint="eastAsia" w:ascii="宋体" w:hAnsi="宋体" w:cs="宋体"/>
          <w:color w:val="000000" w:themeColor="text1"/>
          <w:sz w:val="24"/>
          <w:highlight w:val="none"/>
          <w:lang w:val="en-US" w:eastAsia="zh-CN"/>
          <w14:textFill>
            <w14:solidFill>
              <w14:schemeClr w14:val="tx1"/>
            </w14:solidFill>
          </w14:textFill>
        </w:rPr>
        <w:t>每月在85分以下，</w:t>
      </w:r>
      <w:r>
        <w:rPr>
          <w:rFonts w:hint="eastAsia" w:ascii="宋体" w:hAnsi="宋体" w:cs="宋体"/>
          <w:color w:val="000000" w:themeColor="text1"/>
          <w:sz w:val="24"/>
          <w:highlight w:val="none"/>
          <w14:textFill>
            <w14:solidFill>
              <w14:schemeClr w14:val="tx1"/>
            </w14:solidFill>
          </w14:textFill>
        </w:rPr>
        <w:t>每减一分，扣服务费50元，考核分连续三次低于60分采购人可直接终止合同。</w:t>
      </w:r>
      <w:r>
        <w:rPr>
          <w:rFonts w:hint="eastAsia" w:ascii="宋体" w:hAnsi="宋体" w:cs="宋体"/>
          <w:color w:val="000000" w:themeColor="text1"/>
          <w:sz w:val="24"/>
          <w:highlight w:val="none"/>
          <w:lang w:val="en-US" w:eastAsia="zh-CN"/>
          <w14:textFill>
            <w14:solidFill>
              <w14:schemeClr w14:val="tx1"/>
            </w14:solidFill>
          </w14:textFill>
        </w:rPr>
        <w:t>采购人有</w:t>
      </w:r>
      <w:r>
        <w:rPr>
          <w:rFonts w:hint="eastAsia" w:ascii="宋体" w:hAnsi="宋体" w:cs="宋体"/>
          <w:color w:val="000000" w:themeColor="text1"/>
          <w:sz w:val="24"/>
          <w:highlight w:val="none"/>
          <w14:textFill>
            <w14:solidFill>
              <w14:schemeClr w14:val="tx1"/>
            </w14:solidFill>
          </w14:textFill>
        </w:rPr>
        <w:t>权终止合同</w:t>
      </w:r>
      <w:r>
        <w:rPr>
          <w:rFonts w:hint="eastAsia" w:ascii="宋体" w:hAnsi="宋体" w:cs="宋体"/>
          <w:color w:val="000000" w:themeColor="text1"/>
          <w:sz w:val="24"/>
          <w14:textFill>
            <w14:solidFill>
              <w14:schemeClr w14:val="tx1"/>
            </w14:solidFill>
          </w14:textFill>
        </w:rPr>
        <w:t>。</w:t>
      </w:r>
    </w:p>
    <w:tbl>
      <w:tblPr>
        <w:tblStyle w:val="13"/>
        <w:tblW w:w="53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5387" w:type="dxa"/>
            <w:gridSpan w:val="2"/>
            <w:vAlign w:val="center"/>
          </w:tcPr>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考核总分：100分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2693" w:type="dxa"/>
            <w:vAlign w:val="center"/>
          </w:tcPr>
          <w:p>
            <w:pPr>
              <w:spacing w:after="120"/>
              <w:jc w:val="center"/>
              <w:rPr>
                <w:rFonts w:ascii="宋体" w:hAnsi="宋体" w:cs="宋体"/>
                <w:sz w:val="24"/>
              </w:rPr>
            </w:pPr>
            <w:r>
              <w:rPr>
                <w:rFonts w:hint="eastAsia" w:ascii="宋体" w:hAnsi="宋体" w:cs="宋体"/>
                <w:sz w:val="24"/>
              </w:rPr>
              <w:t>秩序维护服务考核</w:t>
            </w:r>
          </w:p>
        </w:tc>
        <w:tc>
          <w:tcPr>
            <w:tcW w:w="2694" w:type="dxa"/>
            <w:vAlign w:val="center"/>
          </w:tcPr>
          <w:p>
            <w:pPr>
              <w:spacing w:after="120"/>
              <w:jc w:val="center"/>
              <w:rPr>
                <w:rFonts w:ascii="宋体" w:hAnsi="宋体" w:cs="宋体"/>
                <w:sz w:val="24"/>
              </w:rPr>
            </w:pPr>
            <w:r>
              <w:rPr>
                <w:rFonts w:hint="eastAsia" w:ascii="宋体" w:hAnsi="宋体" w:cs="宋体"/>
                <w:sz w:val="24"/>
              </w:rPr>
              <w:t>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2693" w:type="dxa"/>
            <w:vAlign w:val="center"/>
          </w:tcPr>
          <w:p>
            <w:pPr>
              <w:spacing w:after="120"/>
              <w:jc w:val="center"/>
              <w:rPr>
                <w:rFonts w:ascii="宋体" w:hAnsi="宋体" w:cs="宋体"/>
                <w:sz w:val="24"/>
              </w:rPr>
            </w:pPr>
            <w:r>
              <w:rPr>
                <w:rFonts w:hint="eastAsia" w:ascii="宋体" w:hAnsi="宋体" w:cs="宋体"/>
                <w:sz w:val="24"/>
              </w:rPr>
              <w:t>保洁服务考核</w:t>
            </w:r>
          </w:p>
        </w:tc>
        <w:tc>
          <w:tcPr>
            <w:tcW w:w="2694" w:type="dxa"/>
            <w:vAlign w:val="center"/>
          </w:tcPr>
          <w:p>
            <w:pPr>
              <w:spacing w:after="120"/>
              <w:jc w:val="center"/>
              <w:rPr>
                <w:rFonts w:ascii="宋体" w:hAnsi="宋体" w:cs="宋体"/>
                <w:sz w:val="24"/>
              </w:rPr>
            </w:pPr>
            <w:r>
              <w:rPr>
                <w:rFonts w:hint="eastAsia" w:ascii="宋体" w:hAnsi="宋体" w:cs="宋体"/>
                <w:sz w:val="24"/>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2693" w:type="dxa"/>
            <w:vAlign w:val="center"/>
          </w:tcPr>
          <w:p>
            <w:pPr>
              <w:spacing w:after="120"/>
              <w:jc w:val="center"/>
              <w:rPr>
                <w:rFonts w:ascii="宋体" w:hAnsi="宋体" w:cs="宋体"/>
                <w:sz w:val="24"/>
              </w:rPr>
            </w:pPr>
            <w:r>
              <w:rPr>
                <w:rFonts w:hint="eastAsia" w:ascii="宋体" w:hAnsi="宋体" w:cs="宋体"/>
                <w:sz w:val="24"/>
              </w:rPr>
              <w:t>宿舍管理服务考核</w:t>
            </w:r>
          </w:p>
        </w:tc>
        <w:tc>
          <w:tcPr>
            <w:tcW w:w="2694" w:type="dxa"/>
            <w:vAlign w:val="center"/>
          </w:tcPr>
          <w:p>
            <w:pPr>
              <w:spacing w:after="120"/>
              <w:jc w:val="center"/>
              <w:rPr>
                <w:rFonts w:ascii="宋体" w:hAnsi="宋体" w:cs="宋体"/>
                <w:sz w:val="24"/>
              </w:rPr>
            </w:pPr>
            <w:r>
              <w:rPr>
                <w:rFonts w:hint="eastAsia" w:ascii="宋体" w:hAnsi="宋体" w:cs="宋体"/>
                <w:sz w:val="24"/>
              </w:rPr>
              <w:t>35分</w:t>
            </w:r>
          </w:p>
        </w:tc>
      </w:tr>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一）秩序维护服务考核</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（1）遵纪守法、爱岗敬业，自觉履行工作职责。违反一次扣0.5分。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（2）严格遵守各项规章制度和有关劳动纪律，按时上、下班，不迟到、不早退、不脱岗、不串岗、不擅离职守。违反一次扣0.5分。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（3）上班时间不做与工作无关的事，如打牌、赌博、炒股、打游戏、喝酒、三五成群闲聊等。违反一次扣0.5分。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（4）严禁酒后上班。违反一次扣1分。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（5）注意着装，文明举止，礼貌接待。违反一次扣0.5分。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（6）发现工作中的隐患、问题，要及时报告、处理。凡不报告、处理问题，影响工作者扣1分。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（7）严格按照规范操作，提高安全意识，做好防火防盗、防安全事故发生。凡因工作失职造成的安全责任事故扣0.5分。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（8）做好交接班记录，无记录、未签字者扣0.5分。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（9）认真核对、检查学生请假手续，凡造成学生冒名出校、不假出校的扣1分。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（10）对外来人员、车辆，做好检查登记工作，认真审核有关证件，并与相关科室联系，防止其混入学校肇事和影响学校正常教学、生活秩序，发生一次扣1分，并追究责任。</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（11）做好巡视、登记、检查记录，发现问题，及时处理、报告，如因此造成不良后果扣1分。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（12）保持门卫室整洁、物品摆放有序，未规范者一次扣0.5分。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（13）监控人员认真履职，对可疑情况未发现、未汇报，一次扣1分。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二）保洁服务考核</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（1）地面每天必须扫拖、地面无泥沙、无泡泡糖残迹、无水渍、地面无纸屑，不符合要求一次扣1分。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（2）垃圾桶表面无灰尘、所有垃圾桶内垃圾不过2/3，不符合要求一次扣1分。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（3）栏杆表面无灰尘、栏杆底座无尘沙，不符合要求一次扣1分。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（4）墙面无积尘、墙面无乱写乱画的痕迹，墙面无蜘蛛网，不符合要求一次扣1分。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（5）开水房饮水机表面干净、水槽无残渣、磁砖壁无脏痕，不符合要求一次扣1分。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（6）花台边缘应无灰尘杂物，花台瓷砖表面干净，各种雕塑表面无灰尘，不符合要求一次扣0.5分。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（7）体育场座椅干净，地面无纸屑杂物，健身器材表面无灰尘，一次扣0.5分。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（8）校内宣传栏、展板表面无灰尘、水渍，不符合要求一次扣1分。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（9）卫生间内地面干净，无垃圾、积水、无异味，不符合要求一次扣1分。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（10）报告厅，图书馆、会议室在各种活动开展时要保持干净整洁可用，不符合要求一次扣1分。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（11）未尽事宜视情节轻重，一次扣0.5-2分。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三）宿舍管理服务考核</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1、劳动纪律</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（1）遵纪守法、爱岗敬业，自觉履行工作职责。违反一次扣0.2分。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（2）严格遵守各项规章制度和有关劳动纪律，按时上、下班，不迟到、不早退、不脱岗、不串岗、不擅离职守。违反一次扣0.2分。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（3）上班时间不做与工作无关的事，如打牌、赌博、炒股、打游戏、喝酒、三五成群闲聊等。违反一次扣0.3分。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（4）严禁酒后上班。违反一次扣0.5分。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（5）注意着装，文明举止，礼貌接待。违反一次扣0.1分。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2、宿舍工作人员要求</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宿舍管理员</w:t>
      </w:r>
      <w:r>
        <w:rPr>
          <w:rFonts w:hint="eastAsia" w:ascii="宋体" w:hAnsi="宋体" w:cs="宋体"/>
          <w:color w:val="000000" w:themeColor="text1"/>
          <w:sz w:val="24"/>
          <w14:textFill>
            <w14:solidFill>
              <w14:schemeClr w14:val="tx1"/>
            </w14:solidFill>
          </w14:textFill>
        </w:rPr>
        <w:t>06:10分起床、洗漱做好各项准备工作。违反一次扣0.2分。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宿舍管理员</w:t>
      </w:r>
      <w:r>
        <w:rPr>
          <w:rFonts w:hint="eastAsia" w:ascii="宋体" w:hAnsi="宋体" w:cs="宋体"/>
          <w:color w:val="000000" w:themeColor="text1"/>
          <w:sz w:val="24"/>
          <w14:textFill>
            <w14:solidFill>
              <w14:schemeClr w14:val="tx1"/>
            </w14:solidFill>
          </w14:textFill>
        </w:rPr>
        <w:t>06:20分吹口哨后、立即督促学生在6：30之前起床，指导学生整理内务（规范叠放被子，整齐摆放物品等）和打扫卫生。违反一次扣0.1分。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（3）督促非值日学生在06:40前做好个人内务后离开宿舍。违反一次扣0.2分。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（4）督促值日生在07:00前做好寝室卫生内务后离开宿舍。违反一次扣0.2分。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（5）严格执行查房制度，按要求点名查房制度。不漏查、错查、虚报人数；对晚归、无假未归的学生要查明去向并做详细记录，并立即向主管报告；熄灯后</w:t>
      </w:r>
      <w:r>
        <w:rPr>
          <w:rFonts w:hint="eastAsia" w:ascii="宋体" w:hAnsi="宋体" w:cs="宋体"/>
          <w:color w:val="000000" w:themeColor="text1"/>
          <w:sz w:val="24"/>
          <w:lang w:eastAsia="zh-CN"/>
          <w14:textFill>
            <w14:solidFill>
              <w14:schemeClr w14:val="tx1"/>
            </w14:solidFill>
          </w14:textFill>
        </w:rPr>
        <w:t>宿舍管理员</w:t>
      </w:r>
      <w:r>
        <w:rPr>
          <w:rFonts w:hint="eastAsia" w:ascii="宋体" w:hAnsi="宋体" w:cs="宋体"/>
          <w:color w:val="000000" w:themeColor="text1"/>
          <w:sz w:val="24"/>
          <w14:textFill>
            <w14:solidFill>
              <w14:schemeClr w14:val="tx1"/>
            </w14:solidFill>
          </w14:textFill>
        </w:rPr>
        <w:t>应在本楼层楼道巡查并进行第二次查房，保障学生安静就寝；晚间熄灯就寝后，学生私自离开宿舍的，按程序上报学校进行处理。违反一次扣0.5分。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（6）夜间如遇学生生病，应主动关心，必要时陪同学生前往医院（同时报家长或班主任），病情严重打120急救，同时报宿舍主管、学生家长、通宵值班行政。违反一次扣0.3分。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lang w:eastAsia="zh-CN"/>
          <w14:textFill>
            <w14:solidFill>
              <w14:schemeClr w14:val="tx1"/>
            </w14:solidFill>
          </w14:textFill>
        </w:rPr>
        <w:t>宿舍管理员</w:t>
      </w:r>
      <w:r>
        <w:rPr>
          <w:rFonts w:hint="eastAsia" w:ascii="宋体" w:hAnsi="宋体" w:cs="宋体"/>
          <w:color w:val="000000" w:themeColor="text1"/>
          <w:sz w:val="24"/>
          <w14:textFill>
            <w14:solidFill>
              <w14:schemeClr w14:val="tx1"/>
            </w14:solidFill>
          </w14:textFill>
        </w:rPr>
        <w:t>发现某一学生有异常表现应及时报班主任及政教处。违反一次扣0.1分。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（8）督促住校生严格按规定从测温通道进出，上课期间凭请假条进入。违反一次扣0.2分。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w:t>
      </w:r>
      <w:r>
        <w:rPr>
          <w:rFonts w:hint="eastAsia" w:ascii="宋体" w:hAnsi="宋体" w:cs="宋体"/>
          <w:color w:val="000000" w:themeColor="text1"/>
          <w:sz w:val="24"/>
          <w:lang w:eastAsia="zh-CN"/>
          <w14:textFill>
            <w14:solidFill>
              <w14:schemeClr w14:val="tx1"/>
            </w14:solidFill>
          </w14:textFill>
        </w:rPr>
        <w:t>宿舍管理员</w:t>
      </w:r>
      <w:r>
        <w:rPr>
          <w:rFonts w:hint="eastAsia" w:ascii="宋体" w:hAnsi="宋体" w:cs="宋体"/>
          <w:color w:val="000000" w:themeColor="text1"/>
          <w:sz w:val="24"/>
          <w14:textFill>
            <w14:solidFill>
              <w14:schemeClr w14:val="tx1"/>
            </w14:solidFill>
          </w14:textFill>
        </w:rPr>
        <w:t>应认真进行常规检查、记载、通报等。违反一次扣0.3分。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（10）准时开、关宿舍大门（早晨6：05开门，晚23：00关门）。违反一次0.2分。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（11）外来人员经领导同意后，进入公寓前要按制定的流程进行登记。违反一次扣0.2分。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（12）应对学生进行法制、安全、消防等知识宣传教育，增强学生的安全防范意识。违反一次扣0.2分。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（13）严禁住校生随意调换寝室、床号或两人同挤一床睡觉。违反一次扣0.2分。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（14）严禁男女生互窜宿舍，互窜楼层、互窜寝室。违反一次扣0.3分。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（15）严禁住校生在宿舍内拖拉凳子，嬉戏打闹、尖叫、打口哨，喝酒、打牌、赌博、吸烟、打架、举行生日庆祝等。违反一次扣0.3分。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（16）严禁住校生在熄灯后做影响他人休息的事，如：说话、唱歌、听音乐、打电话、无故走动、洗漱、洗衣等。违反一次扣0.2分。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3、安全要求</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（1）每天对学生宿舍进行安全隐患排查并作好记载。学生离寝后（每天上午、下午）对学生寝室进行违规、违禁物品检查，排除安全隐患。违反一次扣0.5分。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（2）定期对消防设施进行检查及记录，对灭火器、消防栓等消防器材的配备数量和有效期进行检查，数量不够或过期的及时补齐或更换，保证消防器材能正常使用。违反一次扣0.5分。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（3）应对宿舍安全通道进行日常检查，保证畅通（严禁在消防通道堆放物品、停放自行车等）。违反一次扣0.3分。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（4）严禁往室外、楼下乱扔东西。违反一次扣0.3分。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严禁存放、使用电炉、电饭（火）锅、电磁炉、电水壶、热得快、电暖器、电夹板等大功率电器；严禁存放、使用充电台灯；严禁私拉乱接电源电线和私自更换灯泡；严禁私开电箱、打开电源。违反一次扣0.3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（6）严禁携带管制刀具和易燃易爆物品进入公寓；严禁在公寓燃放烟花爆竹，喷放烟雾、雪花等。违反一次扣0.5分。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（7）严禁将火种带入宿舍，严禁使用打火机、蜡烛、蚊香等；严禁在宿舍楼内焚烧纸张杂物；严禁在寝室内抽烟、乱扔烟头。违反一次扣0.3分。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（8）在紧急情况下宿舍管理员应能立即开启宿舍应急通道。违反一次扣0.5分。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4、内务卫生要求</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（1）物品摆放</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 床铺整洁，按统一规范整理内务。被子折叠要整齐、方正，摆放在统一位置；床单保持平整、干净。不达标一次扣0.2分。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 书架、桌上物品摆放整齐美观。不达标一次扣0.2分。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 脸盆、水桶、保温瓶要统一摆放，毛巾和洗漱用品要按规定统一摆放整齐。不达标一次扣0.2分。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 鞋子要统一放在床下，摆放整齐。不达标一次扣0.1分。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 衣柜里的物品要摆放整齐。不达标一次扣0.1分。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（2）卫生</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 地面干净，无痰迹、果皮、纸屑、细渣等。不达标一次扣0.1分。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 门窗干净，书桌、衣橱、栏杆无灰尘。不达标一次扣0.1分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 墙壁、门窗无乱写、乱画，无污迹，无蛛网。不达标一次扣0.2分。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 垃圾要及时清除，不准在公寓内存放。不达标一次扣0.2分。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 洗漱间、卫生间地面干净，无垃圾，无积水，水池内无杂物油污，室内随时保持通风、无异味。不达标一次扣0.2分。</w:t>
      </w:r>
    </w:p>
    <w:p>
      <w:pPr>
        <w:keepNext/>
        <w:keepLines/>
        <w:widowControl w:val="0"/>
        <w:numPr>
          <w:ilvl w:val="1"/>
          <w:numId w:val="1"/>
        </w:numPr>
        <w:spacing w:after="200" w:line="360" w:lineRule="auto"/>
        <w:ind w:left="567" w:hanging="567"/>
        <w:jc w:val="both"/>
        <w:outlineLvl w:val="1"/>
        <w:rPr>
          <w:rFonts w:hint="default" w:ascii="宋体" w:hAnsi="宋体" w:eastAsia="宋体" w:cs="宋体"/>
          <w:b/>
          <w:bCs/>
          <w:iCs/>
          <w:kern w:val="0"/>
          <w:sz w:val="28"/>
          <w:szCs w:val="28"/>
          <w:highlight w:val="none"/>
          <w:lang w:val="en-US" w:eastAsia="zh-CN" w:bidi="ar-SA"/>
        </w:rPr>
      </w:pPr>
      <w:bookmarkStart w:id="168" w:name="_Toc29464"/>
      <w:r>
        <w:rPr>
          <w:rFonts w:hint="eastAsia" w:ascii="宋体" w:hAnsi="宋体" w:eastAsia="宋体" w:cs="宋体"/>
          <w:b/>
          <w:bCs/>
          <w:iCs/>
          <w:kern w:val="0"/>
          <w:sz w:val="28"/>
          <w:szCs w:val="28"/>
          <w:highlight w:val="none"/>
          <w:lang w:val="en-US" w:eastAsia="zh-CN" w:bidi="ar-SA"/>
        </w:rPr>
        <w:t>商务要求</w:t>
      </w:r>
      <w:bookmarkEnd w:id="167"/>
      <w:bookmarkEnd w:id="168"/>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1、服务期限：三年，合同一年一签。</w:t>
      </w:r>
    </w:p>
    <w:p>
      <w:pPr>
        <w:spacing w:line="360" w:lineRule="auto"/>
        <w:ind w:firstLine="480" w:firstLineChars="200"/>
        <w:rPr>
          <w:rFonts w:hint="eastAsia" w:ascii="宋体" w:hAnsi="宋体" w:cs="宋体"/>
          <w:color w:val="000000" w:themeColor="text1"/>
          <w:sz w:val="24"/>
          <w:highlight w:val="none"/>
          <w:lang w:val="en-US" w:eastAsia="zh-CN"/>
          <w14:textFill>
            <w14:solidFill>
              <w14:schemeClr w14:val="tx1"/>
            </w14:solidFill>
          </w14:textFill>
        </w:rPr>
      </w:pPr>
      <w:bookmarkStart w:id="221" w:name="_GoBack"/>
      <w:r>
        <w:rPr>
          <w:rFonts w:hint="eastAsia" w:ascii="宋体" w:hAnsi="宋体" w:cs="宋体"/>
          <w:color w:val="000000" w:themeColor="text1"/>
          <w:sz w:val="24"/>
          <w:highlight w:val="none"/>
          <w:lang w:val="en-US" w:eastAsia="zh-CN"/>
          <w14:textFill>
            <w14:solidFill>
              <w14:schemeClr w14:val="tx1"/>
            </w14:solidFill>
          </w14:textFill>
        </w:rPr>
        <w:t>2、付款方式及付款时间：①</w:t>
      </w:r>
      <w:r>
        <w:rPr>
          <w:rFonts w:hint="eastAsia" w:ascii="宋体" w:hAnsi="宋体" w:cs="宋体"/>
          <w:color w:val="000000" w:themeColor="text1"/>
          <w:sz w:val="24"/>
          <w:highlight w:val="none"/>
          <w:lang w:val="zh-CN" w:eastAsia="zh-CN"/>
          <w14:textFill>
            <w14:solidFill>
              <w14:schemeClr w14:val="tx1"/>
            </w14:solidFill>
          </w14:textFill>
        </w:rPr>
        <w:t>预付款：</w:t>
      </w:r>
      <w:r>
        <w:rPr>
          <w:rFonts w:hint="eastAsia" w:ascii="宋体" w:hAnsi="宋体" w:cs="宋体"/>
          <w:color w:val="000000" w:themeColor="text1"/>
          <w:sz w:val="24"/>
          <w:highlight w:val="none"/>
          <w:lang w:val="en-US" w:eastAsia="zh-CN"/>
          <w14:textFill>
            <w14:solidFill>
              <w14:schemeClr w14:val="tx1"/>
            </w14:solidFill>
          </w14:textFill>
        </w:rPr>
        <w:t>中标通知书发出后，5个工作日内签订合同、备案，并收到中标人开具的合法票据后预付合同价的30%，预付款的扣回方式分12次按月同等比例。②进度款：采取银行转账方式，按月支付，每月初15日前将本月考核后的服务费（扣除已支付的部分）用以转帐形式支付给中标人。支付服务费时，中标人须递交拨付服务费的票据。</w:t>
      </w:r>
    </w:p>
    <w:bookmarkEnd w:id="221"/>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3、服务地点：成都市新都区升庵中学内</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4、按包干制收费模式，盈亏均由物业公司承担；员工最低工资标准不得低于采购人当地政府相关部门公布的最低工资标准。</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5、保洁人员所需清洁用具、用品由采购人配备。</w:t>
      </w:r>
    </w:p>
    <w:p>
      <w:pPr>
        <w:spacing w:line="360" w:lineRule="auto"/>
        <w:ind w:firstLine="480" w:firstLineChars="200"/>
        <w:rPr>
          <w:rFonts w:hint="eastAsia" w:ascii="仿宋" w:hAnsi="仿宋" w:eastAsia="仿宋" w:cs="仿宋"/>
          <w:color w:val="000000"/>
          <w:sz w:val="24"/>
          <w:highlight w:val="none"/>
          <w:lang w:val="en-US" w:eastAsia="zh-CN"/>
        </w:rPr>
      </w:pPr>
      <w:r>
        <w:rPr>
          <w:rFonts w:hint="eastAsia" w:ascii="宋体" w:hAnsi="宋体" w:eastAsia="宋体" w:cs="宋体"/>
          <w:color w:val="000000" w:themeColor="text1"/>
          <w:sz w:val="24"/>
          <w14:textFill>
            <w14:solidFill>
              <w14:schemeClr w14:val="tx1"/>
            </w14:solidFill>
          </w14:textFill>
        </w:rPr>
        <w:t>6、验收：中标人与采购人应按国家有关规定、招标文件的服务范围、服务质量要求以及合同约定标准进行验收。</w:t>
      </w:r>
    </w:p>
    <w:p>
      <w:pPr>
        <w:spacing w:line="360" w:lineRule="auto"/>
        <w:ind w:firstLine="480" w:firstLineChars="20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7、最高限价</w:t>
      </w:r>
    </w:p>
    <w:p>
      <w:pPr>
        <w:spacing w:line="360" w:lineRule="auto"/>
        <w:ind w:firstLine="480" w:firstLineChars="20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★本项目最高限价为人民币99.7176万元，投标人投标报价高于最高限价的，则其投标文件将按无效投标文件处理。</w:t>
      </w:r>
    </w:p>
    <w:p>
      <w:pPr>
        <w:spacing w:line="360" w:lineRule="auto"/>
        <w:ind w:firstLine="480" w:firstLineChars="20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8、其他要求</w:t>
      </w:r>
    </w:p>
    <w:p>
      <w:pPr>
        <w:spacing w:line="360" w:lineRule="auto"/>
        <w:ind w:firstLine="480" w:firstLineChars="200"/>
        <w:rPr>
          <w:rFonts w:hint="eastAsia" w:ascii="宋体" w:hAnsi="宋体" w:cs="宋体"/>
          <w:color w:val="000000" w:themeColor="text1"/>
          <w:sz w:val="24"/>
          <w:lang w:val="zh-CN" w:eastAsia="zh-CN"/>
          <w14:textFill>
            <w14:solidFill>
              <w14:schemeClr w14:val="tx1"/>
            </w14:solidFill>
          </w14:textFill>
        </w:rPr>
      </w:pPr>
      <w:r>
        <w:rPr>
          <w:rFonts w:hint="eastAsia" w:ascii="宋体" w:hAnsi="宋体" w:cs="宋体"/>
          <w:color w:val="000000" w:themeColor="text1"/>
          <w:sz w:val="24"/>
          <w:lang w:val="zh-CN" w:eastAsia="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ascii="宋体" w:hAnsi="宋体" w:cs="宋体"/>
          <w:b/>
          <w:color w:val="000000"/>
          <w:sz w:val="28"/>
          <w:szCs w:val="28"/>
        </w:rPr>
      </w:pPr>
      <w:r>
        <w:rPr>
          <w:rFonts w:hint="eastAsia" w:ascii="宋体" w:hAnsi="宋体" w:cs="宋体"/>
          <w:b/>
          <w:color w:val="000000"/>
          <w:sz w:val="28"/>
          <w:szCs w:val="28"/>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lang w:val="zh-CN"/>
        </w:rPr>
      </w:pPr>
      <w:r>
        <w:rPr>
          <w:rFonts w:hint="eastAsia" w:ascii="宋体" w:hAnsi="宋体" w:eastAsia="宋体" w:cs="Times New Roman"/>
          <w:b/>
          <w:sz w:val="28"/>
          <w:szCs w:val="28"/>
          <w:lang w:val="zh-CN"/>
        </w:rPr>
        <w:br w:type="page"/>
      </w:r>
    </w:p>
    <w:bookmarkEnd w:id="161"/>
    <w:bookmarkEnd w:id="162"/>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69" w:name="_Toc7289"/>
      <w:r>
        <w:rPr>
          <w:rFonts w:hint="eastAsia" w:ascii="宋体" w:hAnsi="宋体" w:eastAsia="宋体" w:cs="Times New Roman"/>
          <w:b/>
          <w:bCs/>
          <w:spacing w:val="-20"/>
          <w:kern w:val="44"/>
          <w:sz w:val="32"/>
          <w:szCs w:val="32"/>
        </w:rPr>
        <w:t>资格性审查</w:t>
      </w:r>
      <w:bookmarkEnd w:id="169"/>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资格性审查由采购人组建的资格审查小组依据法律法规和招标文件的规定，对投标保证金(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出具的</w:t>
      </w:r>
      <w:r>
        <w:rPr>
          <w:rFonts w:hint="eastAsia" w:ascii="宋体" w:hAnsi="宋体" w:eastAsia="宋体" w:cs="Times New Roman"/>
          <w:b/>
          <w:sz w:val="28"/>
          <w:szCs w:val="28"/>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w:t>
      </w:r>
      <w:r>
        <w:rPr>
          <w:rFonts w:hint="eastAsia" w:ascii="宋体" w:hAnsi="宋体" w:eastAsia="宋体" w:cs="Times New Roman"/>
          <w:b/>
          <w:sz w:val="28"/>
          <w:szCs w:val="28"/>
        </w:rPr>
        <w:t>标保函</w:t>
      </w:r>
      <w:r>
        <w:rPr>
          <w:rFonts w:hint="eastAsia" w:ascii="宋体" w:hAnsi="宋体" w:eastAsia="宋体" w:cs="Times New Roman"/>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将以电子邮件形式通知各投标人。资格性审查标准见下表：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rPr>
            </w:pPr>
            <w:r>
              <w:rPr>
                <w:rFonts w:hint="eastAsia" w:ascii="Calibri" w:hAnsi="Calibri" w:eastAsia="宋体" w:cs="Times New Roman"/>
                <w:b/>
                <w:sz w:val="20"/>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b/>
                <w:sz w:val="20"/>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营业执照复印件（正本或副本）或法人证书复印件（正本或副本）。【说明：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营业执照或法人证书载明有期限的，应在有效期限内；</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ascii="Calibri" w:hAnsi="Calibri" w:eastAsia="宋体" w:cs="Times New Roman"/>
                <w:sz w:val="20"/>
                <w:szCs w:val="22"/>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投标人具有良好的商业信誉的书面声明材料。【说明：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.2.2声明的内容提供书面声明材料</w:t>
            </w:r>
            <w:r>
              <w:rPr>
                <w:rFonts w:hint="eastAsia" w:ascii="宋体" w:hAnsi="宋体" w:eastAsia="宋体" w:cs="Times New Roman"/>
                <w:sz w:val="20"/>
                <w:szCs w:val="28"/>
              </w:rPr>
              <w:t>；②供应商具有良好的商业信誉</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投标人参加政府采购活动前三年内，在经营活动中没有重大违法记录的书面声明材料。【说明：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.2.2声明的内容提供书面声明材料；</w:t>
            </w:r>
            <w:r>
              <w:rPr>
                <w:rFonts w:hint="eastAsia" w:ascii="宋体" w:hAnsi="宋体" w:eastAsia="宋体" w:cs="Times New Roman"/>
                <w:sz w:val="20"/>
                <w:szCs w:val="28"/>
              </w:rPr>
              <w:t>②供应商参加政府采购活动前三年内，在经营活动中没有重大违法记录</w:t>
            </w:r>
            <w:r>
              <w:rPr>
                <w:rFonts w:hint="eastAsia" w:ascii="Calibri" w:hAnsi="Calibri" w:eastAsia="宋体" w:cs="Times New Roman"/>
                <w:sz w:val="20"/>
                <w:szCs w:val="22"/>
              </w:rPr>
              <w:t>。】</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 xml:space="preserve">2. </w:t>
            </w:r>
            <w:r>
              <w:rPr>
                <w:rFonts w:hint="eastAsia" w:ascii="Calibri" w:hAnsi="Calibri" w:eastAsia="宋体" w:cs="Times New Roman"/>
                <w:sz w:val="20"/>
                <w:szCs w:val="22"/>
              </w:rPr>
              <w:t>资格审查小组根据</w:t>
            </w:r>
            <w:r>
              <w:rPr>
                <w:rFonts w:ascii="Calibri" w:hAnsi="Calibri" w:eastAsia="宋体" w:cs="Times New Roman"/>
                <w:sz w:val="20"/>
                <w:szCs w:val="22"/>
              </w:rPr>
              <w:t>“</w:t>
            </w:r>
            <w:r>
              <w:rPr>
                <w:rFonts w:hint="eastAsia" w:ascii="Calibri" w:hAnsi="Calibri" w:eastAsia="宋体" w:cs="Times New Roman"/>
                <w:sz w:val="20"/>
                <w:szCs w:val="22"/>
              </w:rPr>
              <w:t>信用中国</w:t>
            </w:r>
            <w:r>
              <w:rPr>
                <w:rFonts w:ascii="Calibri" w:hAnsi="Calibri" w:eastAsia="宋体" w:cs="Times New Roman"/>
                <w:sz w:val="20"/>
                <w:szCs w:val="22"/>
              </w:rPr>
              <w:t>”</w:t>
            </w:r>
            <w:r>
              <w:rPr>
                <w:rFonts w:hint="eastAsia" w:ascii="Calibri" w:hAnsi="Calibri" w:eastAsia="宋体" w:cs="Times New Roman"/>
                <w:sz w:val="20"/>
                <w:szCs w:val="22"/>
              </w:rPr>
              <w:t>和</w:t>
            </w:r>
            <w:r>
              <w:rPr>
                <w:rFonts w:ascii="Calibri" w:hAnsi="Calibri" w:eastAsia="宋体" w:cs="Times New Roman"/>
                <w:sz w:val="20"/>
                <w:szCs w:val="22"/>
              </w:rPr>
              <w:t>“</w:t>
            </w:r>
            <w:r>
              <w:rPr>
                <w:rFonts w:hint="eastAsia" w:ascii="Calibri" w:hAnsi="Calibri" w:eastAsia="宋体" w:cs="Times New Roman"/>
                <w:sz w:val="20"/>
                <w:szCs w:val="22"/>
              </w:rPr>
              <w:t>中国政府采购网</w:t>
            </w:r>
            <w:r>
              <w:rPr>
                <w:rFonts w:ascii="Calibri" w:hAnsi="Calibri" w:eastAsia="宋体" w:cs="Times New Roman"/>
                <w:sz w:val="20"/>
                <w:szCs w:val="22"/>
              </w:rPr>
              <w:t>”</w:t>
            </w:r>
            <w:r>
              <w:rPr>
                <w:rFonts w:hint="eastAsia" w:ascii="Calibri" w:hAnsi="Calibri" w:eastAsia="宋体" w:cs="Times New Roman"/>
                <w:sz w:val="20"/>
                <w:szCs w:val="22"/>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投标人未列入失信被执行人、重大税收违法案件当事人名单、政府采购严重违法失信行为记录名单的书面声明材料。【说明：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投标人未列入失信被执行人、重大税收违法案件当事人名单、政府采购严重违法失信行为记录名单；</w:t>
            </w:r>
            <w:r>
              <w:rPr>
                <w:rFonts w:hint="eastAsia" w:ascii="宋体" w:hAnsi="宋体" w:eastAsia="宋体" w:cs="Times New Roman"/>
                <w:sz w:val="20"/>
                <w:szCs w:val="28"/>
              </w:rPr>
              <w:t>②</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 xml:space="preserve">2. </w:t>
            </w:r>
            <w:r>
              <w:rPr>
                <w:rFonts w:hint="eastAsia" w:ascii="Calibri" w:hAnsi="Calibri" w:eastAsia="宋体" w:cs="Times New Roman"/>
                <w:sz w:val="20"/>
                <w:szCs w:val="22"/>
              </w:rPr>
              <w:t>资格审查小组根据</w:t>
            </w:r>
            <w:r>
              <w:rPr>
                <w:rFonts w:ascii="Calibri" w:hAnsi="Calibri" w:eastAsia="宋体" w:cs="Times New Roman"/>
                <w:sz w:val="20"/>
                <w:szCs w:val="22"/>
              </w:rPr>
              <w:t>“</w:t>
            </w:r>
            <w:r>
              <w:rPr>
                <w:rFonts w:hint="eastAsia" w:ascii="Calibri" w:hAnsi="Calibri" w:eastAsia="宋体" w:cs="Times New Roman"/>
                <w:sz w:val="20"/>
                <w:szCs w:val="22"/>
              </w:rPr>
              <w:t>信用中国</w:t>
            </w:r>
            <w:r>
              <w:rPr>
                <w:rFonts w:ascii="Calibri" w:hAnsi="Calibri" w:eastAsia="宋体" w:cs="Times New Roman"/>
                <w:sz w:val="20"/>
                <w:szCs w:val="22"/>
              </w:rPr>
              <w:t>”</w:t>
            </w:r>
            <w:r>
              <w:rPr>
                <w:rFonts w:hint="eastAsia" w:ascii="Calibri" w:hAnsi="Calibri" w:eastAsia="宋体" w:cs="Times New Roman"/>
                <w:sz w:val="20"/>
                <w:szCs w:val="22"/>
              </w:rPr>
              <w:t>和</w:t>
            </w:r>
            <w:r>
              <w:rPr>
                <w:rFonts w:ascii="Calibri" w:hAnsi="Calibri" w:eastAsia="宋体" w:cs="Times New Roman"/>
                <w:sz w:val="20"/>
                <w:szCs w:val="22"/>
              </w:rPr>
              <w:t>“</w:t>
            </w:r>
            <w:r>
              <w:rPr>
                <w:rFonts w:hint="eastAsia" w:ascii="Calibri" w:hAnsi="Calibri" w:eastAsia="宋体" w:cs="Times New Roman"/>
                <w:sz w:val="20"/>
                <w:szCs w:val="22"/>
              </w:rPr>
              <w:t>中国政府采购网</w:t>
            </w:r>
            <w:r>
              <w:rPr>
                <w:rFonts w:ascii="Calibri" w:hAnsi="Calibri" w:eastAsia="宋体" w:cs="Times New Roman"/>
                <w:sz w:val="20"/>
                <w:szCs w:val="22"/>
              </w:rPr>
              <w:t>”</w:t>
            </w:r>
            <w:r>
              <w:rPr>
                <w:rFonts w:hint="eastAsia" w:ascii="Calibri" w:hAnsi="Calibri" w:eastAsia="宋体" w:cs="Times New Roman"/>
                <w:sz w:val="20"/>
                <w:szCs w:val="22"/>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投标人未处于被行政部门禁止参与政府采购活动的期限内。【说明：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w:t>
            </w:r>
            <w:r>
              <w:rPr>
                <w:rFonts w:hint="eastAsia" w:ascii="宋体" w:hAnsi="宋体" w:eastAsia="宋体" w:cs="Times New Roman"/>
                <w:sz w:val="20"/>
                <w:szCs w:val="28"/>
              </w:rPr>
              <w:t>；②供应商未处于被行政部门禁止参与政府采购活动的期限内。</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在行贿犯罪信息查询期限内，投标人及其现任法定代表人、主要负责人没有行贿犯罪记录的书面声明材料。【说明：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.2.2声明内容提供书面声明材料，投标文件中不需提供中国裁判文书网（</w:t>
            </w:r>
            <w:r>
              <w:rPr>
                <w:rFonts w:ascii="Calibri" w:hAnsi="Calibri" w:eastAsia="宋体" w:cs="Times New Roman"/>
                <w:sz w:val="20"/>
                <w:szCs w:val="22"/>
              </w:rPr>
              <w:t>https://wenshu.court.gov.cn</w:t>
            </w:r>
            <w:r>
              <w:rPr>
                <w:rFonts w:hint="eastAsia" w:ascii="Calibri" w:hAnsi="Calibri" w:eastAsia="宋体" w:cs="Times New Roman"/>
                <w:sz w:val="20"/>
                <w:szCs w:val="22"/>
              </w:rPr>
              <w:t>）查询结果的证明材料；</w:t>
            </w:r>
            <w:r>
              <w:rPr>
                <w:rFonts w:hint="eastAsia" w:ascii="宋体" w:hAnsi="宋体" w:eastAsia="宋体" w:cs="Times New Roman"/>
                <w:sz w:val="20"/>
                <w:szCs w:val="28"/>
              </w:rPr>
              <w:t>②在行贿犯罪信息查询期限内，供应商及其现任法定代表人、主要负责人没有行贿犯罪记录</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与投标人负责人为同一人或者存在直接控股、管理关系的相关供应商的书面声明材料。【说明：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w:t>
            </w:r>
            <w:r>
              <w:rPr>
                <w:rFonts w:hint="eastAsia" w:ascii="宋体" w:hAnsi="宋体" w:eastAsia="宋体" w:cs="Times New Roman"/>
                <w:sz w:val="20"/>
                <w:szCs w:val="28"/>
              </w:rPr>
              <w:t>；②参加投标的供应商中无与投标人的负责人为同一人或者存在直接控股、管理关系的供应商。</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采购人对投标人履行合同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的设备和专业技术能力无其他特殊要求，投标人具有有效的营业执照或法人证书</w:t>
            </w:r>
            <w:r>
              <w:rPr>
                <w:rFonts w:hint="eastAsia" w:ascii="宋体" w:hAnsi="宋体" w:eastAsia="宋体" w:cs="Times New Roman"/>
                <w:sz w:val="20"/>
                <w:szCs w:val="28"/>
              </w:rPr>
              <w:t>即可，可不提供其他证明材料</w:t>
            </w:r>
            <w:r>
              <w:rPr>
                <w:rFonts w:hint="eastAsia" w:ascii="Calibri" w:hAnsi="Calibri" w:eastAsia="宋体" w:cs="Times New Roman"/>
                <w:sz w:val="20"/>
                <w:szCs w:val="22"/>
              </w:rPr>
              <w:t>。</w:t>
            </w:r>
            <w:r>
              <w:rPr>
                <w:rFonts w:hint="eastAsia" w:ascii="Calibri" w:hAnsi="Calibri" w:eastAsia="宋体" w:cs="Times New Roman"/>
                <w:sz w:val="21"/>
                <w:szCs w:val="24"/>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采购人对法律、行政法规规定的其他条件无其他特殊要求，投标人具有有效的营业执照或法人证书</w:t>
            </w:r>
            <w:r>
              <w:rPr>
                <w:rFonts w:hint="eastAsia" w:ascii="宋体" w:hAnsi="宋体" w:eastAsia="宋体" w:cs="Times New Roman"/>
                <w:sz w:val="20"/>
                <w:szCs w:val="28"/>
              </w:rPr>
              <w:t>即可，可不提供其他证明材料</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、根据招标文件的要求不属于禁止参加投标或投标无效的供应商；</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w:t>
            </w:r>
            <w:r>
              <w:rPr>
                <w:rFonts w:hint="eastAsia" w:ascii="Calibri" w:hAnsi="Calibri" w:eastAsia="宋体" w:cs="Times New Roman"/>
                <w:sz w:val="20"/>
                <w:szCs w:val="22"/>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除因断电、断网、系统故障或其他不可抗力等因素，导致系统无法使用外，投标文件已成功解密。</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符合招标文件“</w:t>
            </w:r>
            <w:r>
              <w:rPr>
                <w:rFonts w:ascii="宋体" w:hAnsi="宋体" w:eastAsia="宋体" w:cs="Times New Roman"/>
                <w:sz w:val="20"/>
                <w:szCs w:val="28"/>
              </w:rPr>
              <w:t>2.4.</w:t>
            </w:r>
            <w:r>
              <w:rPr>
                <w:rFonts w:hint="eastAsia" w:ascii="宋体" w:hAnsi="宋体" w:eastAsia="宋体" w:cs="Times New Roman"/>
                <w:sz w:val="20"/>
                <w:szCs w:val="28"/>
              </w:rPr>
              <w:t>6投标</w:t>
            </w:r>
            <w:r>
              <w:rPr>
                <w:rFonts w:ascii="宋体" w:hAnsi="宋体" w:eastAsia="宋体" w:cs="Times New Roman"/>
                <w:sz w:val="20"/>
                <w:szCs w:val="28"/>
              </w:rPr>
              <w:t>文件的组成”规定要求。</w:t>
            </w:r>
            <w:r>
              <w:rPr>
                <w:rFonts w:hint="eastAsia" w:ascii="宋体" w:hAnsi="宋体" w:eastAsia="宋体" w:cs="Times New Roman"/>
                <w:sz w:val="20"/>
                <w:szCs w:val="28"/>
              </w:rPr>
              <w:t>【说明：投标人按招标文件3.2.1关于投标人资格申明的</w:t>
            </w:r>
            <w:r>
              <w:rPr>
                <w:rFonts w:hint="eastAsia" w:ascii="Calibri" w:hAnsi="Calibri" w:eastAsia="宋体" w:cs="Times New Roman"/>
                <w:sz w:val="20"/>
                <w:szCs w:val="22"/>
              </w:rPr>
              <w:t>内容</w:t>
            </w:r>
            <w:r>
              <w:rPr>
                <w:rFonts w:hint="eastAsia" w:ascii="宋体" w:hAnsi="宋体" w:eastAsia="宋体" w:cs="Times New Roman"/>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2020</w:t>
            </w:r>
            <w:r>
              <w:rPr>
                <w:rFonts w:hint="eastAsia" w:ascii="Calibri" w:hAnsi="Calibri" w:eastAsia="宋体" w:cs="Times New Roman"/>
                <w:sz w:val="20"/>
                <w:szCs w:val="22"/>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投标人缴纳</w:t>
            </w:r>
            <w:r>
              <w:rPr>
                <w:rFonts w:ascii="Calibri" w:hAnsi="Calibri" w:eastAsia="宋体" w:cs="Times New Roman"/>
                <w:sz w:val="20"/>
                <w:szCs w:val="22"/>
              </w:rPr>
              <w:t>2021</w:t>
            </w:r>
            <w:r>
              <w:rPr>
                <w:rFonts w:hint="eastAsia" w:ascii="Calibri" w:hAnsi="Calibri" w:eastAsia="宋体" w:cs="Times New Roman"/>
                <w:sz w:val="20"/>
                <w:szCs w:val="22"/>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投标人缴纳</w:t>
            </w:r>
            <w:r>
              <w:rPr>
                <w:rFonts w:ascii="Calibri" w:hAnsi="Calibri" w:eastAsia="宋体" w:cs="Times New Roman"/>
                <w:sz w:val="20"/>
                <w:szCs w:val="22"/>
              </w:rPr>
              <w:t>2021</w:t>
            </w:r>
            <w:r>
              <w:rPr>
                <w:rFonts w:hint="eastAsia" w:ascii="Calibri" w:hAnsi="Calibri" w:eastAsia="宋体" w:cs="Times New Roman"/>
                <w:sz w:val="20"/>
                <w:szCs w:val="22"/>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本项目为专门面向中小企业采购项目，服务全部由符合政策要求的中小企业承接</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专门面向中小企业采购项目:</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u w:val="single"/>
              </w:rPr>
              <w:t>本</w:t>
            </w:r>
            <w:r>
              <w:rPr>
                <w:rFonts w:hint="eastAsia" w:ascii="宋体" w:hAnsi="宋体" w:eastAsia="宋体" w:cs="Times New Roman"/>
                <w:sz w:val="20"/>
                <w:szCs w:val="28"/>
              </w:rPr>
              <w:t>项目采购活动由本单位提供服务；</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3.监狱企业视同为小型、微型企业，提供由省级以上监狱管理局、戒毒管理局（含新疆生产建设兵团）出具的</w:t>
            </w:r>
            <w:r>
              <w:rPr>
                <w:rFonts w:hint="eastAsia" w:ascii="Calibri" w:hAnsi="Calibri" w:eastAsia="宋体" w:cs="Times New Roman"/>
                <w:sz w:val="20"/>
                <w:szCs w:val="22"/>
              </w:rPr>
              <w:t>投标人</w:t>
            </w:r>
            <w:r>
              <w:rPr>
                <w:rFonts w:hint="eastAsia" w:ascii="宋体" w:hAnsi="宋体" w:eastAsia="宋体" w:cs="Times New Roman"/>
                <w:sz w:val="20"/>
                <w:szCs w:val="28"/>
              </w:rPr>
              <w:t>属于监狱企业的证明文件复印件。</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三、投标人的投标文件资格性审查时被判定为无效的，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将通知投标人（以短信、现场公示、电话、“政府采购云平台”等任一方式）。投标人如对资格审查结论有异议的，应及时向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将及时告知资格审查小组。（说明：无论投标人是否收到通知或提供反馈意见，均不影响资格审查和评标工作，且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rPr>
          <w:rFonts w:hint="eastAsia" w:ascii="宋体" w:hAnsi="宋体" w:eastAsia="宋体" w:cs="Times New Roman"/>
          <w:sz w:val="28"/>
          <w:szCs w:val="28"/>
          <w:lang w:val="en-US" w:eastAsia="zh-CN"/>
        </w:rPr>
      </w:pPr>
      <w:r>
        <w:rPr>
          <w:rFonts w:ascii="宋体" w:hAnsi="宋体" w:eastAsia="宋体" w:cs="Times New Roman"/>
          <w:sz w:val="28"/>
          <w:szCs w:val="28"/>
        </w:rPr>
        <w:br w:type="page"/>
      </w:r>
      <w:r>
        <w:rPr>
          <w:rFonts w:hint="eastAsia" w:ascii="宋体" w:hAnsi="宋体" w:eastAsia="宋体" w:cs="Times New Roman"/>
          <w:sz w:val="28"/>
          <w:szCs w:val="28"/>
          <w:lang w:val="en-US" w:eastAsia="zh-CN"/>
        </w:rPr>
        <w:t xml:space="preserve"> </w:t>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rPr>
      </w:pPr>
      <w:bookmarkStart w:id="170" w:name="_Toc1227"/>
      <w:r>
        <w:rPr>
          <w:rFonts w:hint="eastAsia" w:ascii="宋体" w:hAnsi="宋体" w:eastAsia="宋体" w:cs="Times New Roman"/>
          <w:b/>
          <w:bCs/>
          <w:spacing w:val="-20"/>
          <w:kern w:val="44"/>
          <w:sz w:val="32"/>
          <w:szCs w:val="32"/>
        </w:rPr>
        <w:t>评标办法</w:t>
      </w:r>
      <w:bookmarkEnd w:id="170"/>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1" w:name="_Toc22250"/>
      <w:r>
        <w:rPr>
          <w:rFonts w:hint="eastAsia" w:ascii="宋体" w:hAnsi="宋体" w:eastAsia="宋体" w:cs="Times New Roman"/>
          <w:b/>
          <w:bCs/>
          <w:sz w:val="28"/>
          <w:szCs w:val="28"/>
        </w:rPr>
        <w:t>总则</w:t>
      </w:r>
      <w:bookmarkEnd w:id="171"/>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评标工作由</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负责组织，具体评标事务由采购人或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依法组建的评标委员会负责。评标委员会由采购人代表和评审专家组成。</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评标工作应遵循公平、公正、科学及择优的原则，并以相同的评标程序和标准对待所有的投标人。</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评标委员会按照招标文件规定的评标程序、评标方法和标准进行独立评审，并独立履行下列职责：</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熟悉和理解招标文件；</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审查、评价投标文件是否符合招标文件的商务、技术等实质性要求；</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对投标文件进行比较和评价；</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根据需要要求采购人对招标文件作出解释；根据需要要求投标人对投标文件有关事项作出解释或者澄清；</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确定中标候选人名单，以及根据采购人委托直接确定中标人；</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起草评标报告并进行签署；</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或者财政、监察等有关部门报告或举报非法干预评标工作的行为；</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或者有关部门报告评标中发现的违法行为。</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法律、法规和规章规定的其他职责。</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评标过程独立、保密。投标人非法干预评标过程的行为将导致其投标文件作为无效处理。</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评标委员会决定投标文件的响应性依据投标文件本身的内容，而不寻求外部的证据，招标文件有明确约定的除外。</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评标委员会发现招标文件表述不明确或需要说明的事项，可提请采购人和</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2" w:name="_Toc22010"/>
      <w:r>
        <w:rPr>
          <w:rFonts w:hint="eastAsia" w:ascii="宋体" w:hAnsi="宋体" w:eastAsia="宋体" w:cs="Times New Roman"/>
          <w:b/>
          <w:bCs/>
          <w:sz w:val="28"/>
          <w:szCs w:val="28"/>
        </w:rPr>
        <w:t>评标方法</w:t>
      </w:r>
      <w:bookmarkEnd w:id="172"/>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3" w:name="_Toc29809"/>
      <w:r>
        <w:rPr>
          <w:rFonts w:hint="eastAsia" w:ascii="宋体" w:hAnsi="宋体" w:eastAsia="宋体" w:cs="Times New Roman"/>
          <w:b/>
          <w:bCs/>
          <w:sz w:val="28"/>
          <w:szCs w:val="28"/>
        </w:rPr>
        <w:t>评标程序</w:t>
      </w:r>
      <w:bookmarkEnd w:id="17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符合性审查</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符合性审查标准见下表（按以下顺序审查）：</w:t>
      </w:r>
    </w:p>
    <w:tbl>
      <w:tblPr>
        <w:tblStyle w:val="1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rPr>
            </w:pPr>
            <w:r>
              <w:rPr>
                <w:rFonts w:hint="eastAsia" w:ascii="宋体" w:hAnsi="宋体" w:eastAsia="宋体" w:cs="Times New Roman"/>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第4章打★号的技术、服务、商务及其他要求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（1）根据招标文件的要求不属于禁止参加投标或投标无效的供应商；</w:t>
            </w:r>
          </w:p>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法定代表人身份证复印件或护照复印件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ascii="宋体" w:hAnsi="宋体" w:eastAsia="宋体" w:cs="仿宋_GB2312"/>
                <w:sz w:val="24"/>
                <w:szCs w:val="24"/>
              </w:rPr>
              <w:t>承诺函【说明：①按3.3.</w:t>
            </w:r>
            <w:r>
              <w:rPr>
                <w:rFonts w:hint="eastAsia" w:ascii="宋体" w:hAnsi="宋体" w:eastAsia="宋体" w:cs="仿宋_GB2312"/>
                <w:sz w:val="24"/>
                <w:szCs w:val="24"/>
              </w:rPr>
              <w:t>5</w:t>
            </w:r>
            <w:r>
              <w:rPr>
                <w:rFonts w:ascii="宋体" w:hAnsi="宋体" w:eastAsia="宋体" w:cs="仿宋_GB2312"/>
                <w:sz w:val="24"/>
                <w:szCs w:val="24"/>
              </w:rPr>
              <w:t>承诺函</w:t>
            </w:r>
            <w:r>
              <w:rPr>
                <w:rFonts w:hint="eastAsia" w:ascii="宋体" w:hAnsi="宋体" w:eastAsia="宋体" w:cs="仿宋_GB2312"/>
                <w:sz w:val="24"/>
                <w:szCs w:val="24"/>
              </w:rPr>
              <w:t>内容</w:t>
            </w:r>
            <w:r>
              <w:rPr>
                <w:rFonts w:ascii="宋体" w:hAnsi="宋体" w:eastAsia="宋体" w:cs="仿宋_GB2312"/>
                <w:sz w:val="24"/>
                <w:szCs w:val="24"/>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eastAsia="宋体" w:cs="宋体"/>
                <w:sz w:val="24"/>
                <w:szCs w:val="28"/>
              </w:rPr>
              <w:t>②</w:t>
            </w:r>
            <w:r>
              <w:rPr>
                <w:rFonts w:hint="eastAsia" w:ascii="宋体" w:hAnsi="宋体" w:eastAsia="宋体" w:cs="Times New Roman"/>
                <w:sz w:val="24"/>
                <w:szCs w:val="28"/>
              </w:rPr>
              <w:t>单价金额小数点或者百分比有明显错位的，以总价为准，并修改单价；</w:t>
            </w:r>
            <w:r>
              <w:rPr>
                <w:rFonts w:hint="eastAsia" w:ascii="宋体" w:hAnsi="宋体" w:eastAsia="宋体" w:cs="宋体"/>
                <w:sz w:val="24"/>
                <w:szCs w:val="28"/>
              </w:rPr>
              <w:t>③</w:t>
            </w:r>
            <w:r>
              <w:rPr>
                <w:rFonts w:hint="eastAsia" w:ascii="宋体" w:hAnsi="宋体" w:eastAsia="宋体" w:cs="Times New Roman"/>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w:t>
            </w:r>
            <w:r>
              <w:rPr>
                <w:rFonts w:ascii="宋体" w:hAnsi="宋体" w:eastAsia="宋体" w:cs="Times New Roman"/>
                <w:sz w:val="24"/>
                <w:szCs w:val="28"/>
              </w:rPr>
              <w:t>5）如因断电、断网、系统故障或其他不可抗力等因素，导致系统无法使用的，由投标人按评标委员会的要求进行澄清或者说明</w:t>
            </w:r>
            <w:r>
              <w:rPr>
                <w:rFonts w:hint="eastAsia" w:ascii="宋体" w:hAnsi="宋体" w:eastAsia="宋体" w:cs="Times New Roman"/>
                <w:sz w:val="24"/>
                <w:szCs w:val="28"/>
              </w:rPr>
              <w:t>。（6）无须提供证明材料</w:t>
            </w:r>
            <w:r>
              <w:rPr>
                <w:rFonts w:hint="eastAsia" w:ascii="宋体" w:hAnsi="宋体" w:eastAsia="宋体" w:cs="Times New Roman"/>
                <w:sz w:val="24"/>
                <w:szCs w:val="28"/>
                <w:lang w:eastAsia="zh-CN"/>
              </w:rPr>
              <w:t>的</w:t>
            </w:r>
            <w:r>
              <w:rPr>
                <w:rFonts w:hint="eastAsia" w:ascii="宋体" w:hAnsi="宋体" w:eastAsia="宋体" w:cs="Times New Roman"/>
                <w:sz w:val="24"/>
                <w:szCs w:val="28"/>
              </w:rPr>
              <w:t>，上传空白页即可，不对本项上传的材料作符合性审查。】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招标文件中未载明“允许采购进口产品”的产品，投标产品为国产产品。</w:t>
            </w:r>
          </w:p>
        </w:tc>
      </w:tr>
    </w:tbl>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二、投标人的投标文件符合性审查时被判定为无效投标文件的，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将通知投标人（以短信、现场公示、电话、“政府采购云平台”等任一方式）。投标人如对评审结论有异议的，应及时向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解释、澄清有关问题</w:t>
      </w:r>
    </w:p>
    <w:p>
      <w:pPr>
        <w:numPr>
          <w:ilvl w:val="0"/>
          <w:numId w:val="37"/>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评标过程中，评标委员会认为招标文件有关事项表述不明确或需要说明的，可以提请</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的解释不得改变招标文件的原义或者影响公平、公正，解释事项如果涉及投标人权益的以有利于投标人的原则进行解释。</w:t>
      </w:r>
    </w:p>
    <w:p>
      <w:pPr>
        <w:numPr>
          <w:ilvl w:val="0"/>
          <w:numId w:val="37"/>
        </w:numPr>
        <w:tabs>
          <w:tab w:val="left" w:pos="1134"/>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7"/>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8"/>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投标人投标文件中不响应招标文件规定的技术参数指标和商务应答；</w:t>
      </w:r>
    </w:p>
    <w:p>
      <w:pPr>
        <w:numPr>
          <w:ilvl w:val="0"/>
          <w:numId w:val="38"/>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投标人投标文件中未提供的证明其是否符合招标文件资格性、符合性规定要求的相关材料。</w:t>
      </w:r>
    </w:p>
    <w:p>
      <w:pPr>
        <w:numPr>
          <w:ilvl w:val="0"/>
          <w:numId w:val="38"/>
        </w:numPr>
        <w:tabs>
          <w:tab w:val="left" w:pos="993"/>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投标人投标文件中的材料因印刷、影印等不清晰而难以辨认的。</w:t>
      </w:r>
    </w:p>
    <w:p>
      <w:pPr>
        <w:numPr>
          <w:ilvl w:val="0"/>
          <w:numId w:val="37"/>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（三）总价金额与按单价汇总金额不一致的，以单价金额计算结果为准。</w:t>
      </w:r>
    </w:p>
    <w:p>
      <w:pPr>
        <w:spacing w:line="560" w:lineRule="exact"/>
        <w:ind w:firstLine="560"/>
        <w:rPr>
          <w:rFonts w:ascii="Calibri" w:hAnsi="Calibri" w:eastAsia="宋体" w:cs="Times New Roman"/>
          <w:sz w:val="28"/>
          <w:szCs w:val="28"/>
        </w:rPr>
      </w:pPr>
      <w:r>
        <w:rPr>
          <w:rFonts w:hint="eastAsia" w:ascii="Calibri" w:hAnsi="Calibri" w:eastAsia="宋体" w:cs="Times New Roman"/>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rPr>
      </w:pPr>
      <w:r>
        <w:rPr>
          <w:rFonts w:hint="eastAsia" w:ascii="宋体" w:hAnsi="宋体" w:eastAsia="宋体" w:cs="Times New Roman"/>
          <w:b/>
          <w:sz w:val="28"/>
          <w:szCs w:val="28"/>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比较与评价</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评标结果汇总完成后，评标委员会拟出具评审报告前，</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评标结果汇总完成后，除下列情形外，任何人不得修改评标结果：</w:t>
      </w:r>
    </w:p>
    <w:p>
      <w:pPr>
        <w:numPr>
          <w:ilvl w:val="0"/>
          <w:numId w:val="39"/>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分值汇总计算错误的；</w:t>
      </w:r>
    </w:p>
    <w:p>
      <w:pPr>
        <w:numPr>
          <w:ilvl w:val="0"/>
          <w:numId w:val="39"/>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分项评分超出评分标准范围的；</w:t>
      </w:r>
    </w:p>
    <w:p>
      <w:pPr>
        <w:numPr>
          <w:ilvl w:val="0"/>
          <w:numId w:val="39"/>
        </w:numPr>
        <w:tabs>
          <w:tab w:val="left" w:pos="851"/>
          <w:tab w:val="left" w:pos="1276"/>
          <w:tab w:val="left" w:pos="1560"/>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评标委员会成员对客观评审因素评分不一致的；</w:t>
      </w:r>
    </w:p>
    <w:p>
      <w:pPr>
        <w:numPr>
          <w:ilvl w:val="0"/>
          <w:numId w:val="39"/>
        </w:numPr>
        <w:tabs>
          <w:tab w:val="left" w:pos="851"/>
          <w:tab w:val="left" w:pos="1276"/>
        </w:tabs>
        <w:spacing w:line="560" w:lineRule="exact"/>
        <w:ind w:left="0" w:firstLine="426"/>
        <w:rPr>
          <w:rFonts w:ascii="宋体" w:hAnsi="宋体" w:eastAsia="宋体" w:cs="Times New Roman"/>
          <w:sz w:val="28"/>
          <w:szCs w:val="28"/>
        </w:rPr>
      </w:pPr>
      <w:r>
        <w:rPr>
          <w:rFonts w:hint="eastAsia" w:ascii="宋体" w:hAnsi="宋体" w:eastAsia="宋体" w:cs="Times New Roman"/>
          <w:sz w:val="28"/>
          <w:szCs w:val="28"/>
        </w:rPr>
        <w:t>经评标委员会认定评分畸高、畸低的。</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确定中标候选人名单</w:t>
      </w:r>
    </w:p>
    <w:p>
      <w:pPr>
        <w:tabs>
          <w:tab w:val="left" w:pos="7665"/>
        </w:tabs>
        <w:spacing w:line="360" w:lineRule="auto"/>
        <w:ind w:firstLine="560" w:firstLineChars="200"/>
        <w:rPr>
          <w:rFonts w:ascii="Helvetica" w:hAnsi="Helvetica" w:eastAsia="宋体" w:cs="Helvetica"/>
          <w:kern w:val="0"/>
          <w:sz w:val="28"/>
          <w:szCs w:val="28"/>
        </w:rPr>
      </w:pPr>
      <w:r>
        <w:rPr>
          <w:rFonts w:hint="eastAsia" w:ascii="宋体" w:hAnsi="宋体" w:eastAsia="宋体" w:cs="Times New Roman"/>
          <w:sz w:val="28"/>
          <w:szCs w:val="28"/>
        </w:rPr>
        <w:t>按投标人综合得分从高到低进行排序，确定1至3名中标候选人。按投标人综合得分从高到低进行排序，确定1至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w:t>
      </w:r>
      <w:r>
        <w:rPr>
          <w:rFonts w:hint="eastAsia" w:ascii="宋体" w:hAnsi="宋体" w:eastAsia="宋体" w:cs="Times New Roman"/>
          <w:sz w:val="28"/>
          <w:szCs w:val="28"/>
          <w:lang w:eastAsia="zh-CN"/>
        </w:rPr>
        <w:t>。</w:t>
      </w:r>
      <w:r>
        <w:rPr>
          <w:rFonts w:hint="eastAsia" w:ascii="Helvetica" w:hAnsi="Helvetica" w:eastAsia="宋体" w:cs="Helvetica"/>
          <w:kern w:val="0"/>
          <w:sz w:val="28"/>
          <w:szCs w:val="28"/>
        </w:rPr>
        <w:t>投标文件满足招标文件全部实质性要求，且按照评审因素的量化指标评审得分最高的投标人为排名第一的中标候选人。</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编写评标报告</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评标报告是评标委员会根据全体评标成员签字的原始评标记录和评标结果编写的报告，其主要内容包括：</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招标公告刊登的媒体名称、开标日期和地点；</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投标人名单和评标委员会成员名单；</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评标方法和标准；</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开标记录和评标情况及说明，包括投标无效投标人名单及原因；</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评标结果，确定的中标候选人名单或者经采购人委托直接确定的中标人；</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其他需要说明的情况，包括评标过程中投标人根据评标委员会要求进行的澄清、说明或者补正，评标委员会成员的更换等；</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4" w:name="_Toc4682"/>
      <w:r>
        <w:rPr>
          <w:rFonts w:hint="eastAsia" w:ascii="宋体" w:hAnsi="宋体" w:eastAsia="宋体" w:cs="Times New Roman"/>
          <w:b/>
          <w:bCs/>
          <w:sz w:val="28"/>
          <w:szCs w:val="28"/>
        </w:rPr>
        <w:t>评标争议处理规则</w:t>
      </w:r>
      <w:bookmarkEnd w:id="174"/>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rPr>
        <w:t>持不同意见的评标委员会成员应当在评标报告上签署不同意见及理由，否则视为同意评标报告。</w:t>
      </w:r>
      <w:r>
        <w:rPr>
          <w:rFonts w:hint="eastAsia" w:ascii="宋体" w:hAnsi="宋体" w:eastAsia="宋体" w:cs="Times New Roman"/>
          <w:sz w:val="28"/>
          <w:szCs w:val="28"/>
        </w:rPr>
        <w:t>持不同意见的评标委员会成员认为认定过程和结果不符合法律法规或者招标文件规定的，应当及时向采购人或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书面反映。采购人或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5" w:name="_Toc10351"/>
      <w:r>
        <w:rPr>
          <w:rFonts w:hint="eastAsia" w:ascii="宋体" w:hAnsi="宋体" w:eastAsia="宋体" w:cs="Times New Roman"/>
          <w:b/>
          <w:bCs/>
          <w:sz w:val="28"/>
          <w:szCs w:val="28"/>
        </w:rPr>
        <w:t>评标细则及标准</w:t>
      </w:r>
      <w:bookmarkEnd w:id="175"/>
    </w:p>
    <w:p>
      <w:pPr>
        <w:numPr>
          <w:ilvl w:val="0"/>
          <w:numId w:val="41"/>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评标委员会只对通过初审的投标文件，根据招标文件的要求采用相同的评标程序、评分办法及标准进行评价和比较。</w:t>
      </w:r>
    </w:p>
    <w:p>
      <w:pPr>
        <w:numPr>
          <w:ilvl w:val="0"/>
          <w:numId w:val="41"/>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本次综合评分的因素是：价格、服务、商务等。</w:t>
      </w:r>
    </w:p>
    <w:p>
      <w:pPr>
        <w:numPr>
          <w:ilvl w:val="0"/>
          <w:numId w:val="41"/>
        </w:numPr>
        <w:tabs>
          <w:tab w:val="left" w:pos="1155"/>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评分办法</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评标得分＝（A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3</w:t>
      </w:r>
    </w:p>
    <w:p>
      <w:pPr>
        <w:widowControl/>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分别为每个</w:t>
      </w:r>
      <w:r>
        <w:rPr>
          <w:rFonts w:hint="eastAsia" w:ascii="宋体" w:hAnsi="宋体" w:eastAsia="宋体" w:cs="宋体"/>
          <w:kern w:val="0"/>
          <w:sz w:val="28"/>
          <w:szCs w:val="28"/>
        </w:rPr>
        <w:t>经济类</w:t>
      </w:r>
      <w:r>
        <w:rPr>
          <w:rFonts w:hint="eastAsia" w:ascii="宋体" w:hAnsi="宋体" w:eastAsia="宋体" w:cs="Times New Roman"/>
          <w:sz w:val="28"/>
          <w:szCs w:val="28"/>
        </w:rPr>
        <w:t>评委的打分，n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为</w:t>
      </w:r>
      <w:r>
        <w:rPr>
          <w:rFonts w:hint="eastAsia" w:ascii="宋体" w:hAnsi="宋体" w:eastAsia="宋体" w:cs="宋体"/>
          <w:kern w:val="0"/>
          <w:sz w:val="28"/>
          <w:szCs w:val="28"/>
        </w:rPr>
        <w:t>经济类</w:t>
      </w:r>
      <w:r>
        <w:rPr>
          <w:rFonts w:hint="eastAsia" w:ascii="宋体" w:hAnsi="宋体" w:eastAsia="宋体" w:cs="Times New Roman"/>
          <w:sz w:val="28"/>
          <w:szCs w:val="28"/>
        </w:rPr>
        <w:t>评委人数；B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分别为每个技术类评委（含采购人代表）的打分，n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为</w:t>
      </w:r>
      <w:r>
        <w:rPr>
          <w:rFonts w:hint="eastAsia" w:ascii="宋体" w:hAnsi="宋体" w:eastAsia="宋体" w:cs="宋体"/>
          <w:kern w:val="0"/>
          <w:sz w:val="28"/>
          <w:szCs w:val="28"/>
        </w:rPr>
        <w:t>技术类</w:t>
      </w:r>
      <w:r>
        <w:rPr>
          <w:rFonts w:hint="eastAsia" w:ascii="宋体" w:hAnsi="宋体" w:eastAsia="宋体" w:cs="Times New Roman"/>
          <w:sz w:val="28"/>
          <w:szCs w:val="28"/>
        </w:rPr>
        <w:t>评委（含采购人代表）人数；C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分别为评审委员会每个成员的打分，n</w:t>
      </w:r>
      <w:r>
        <w:rPr>
          <w:rFonts w:hint="eastAsia" w:ascii="宋体" w:hAnsi="宋体" w:eastAsia="宋体" w:cs="Times New Roman"/>
          <w:sz w:val="28"/>
          <w:szCs w:val="28"/>
          <w:vertAlign w:val="subscript"/>
        </w:rPr>
        <w:t>3</w:t>
      </w:r>
      <w:r>
        <w:rPr>
          <w:rFonts w:hint="eastAsia" w:ascii="宋体" w:hAnsi="宋体" w:eastAsia="宋体" w:cs="Times New Roman"/>
          <w:sz w:val="28"/>
          <w:szCs w:val="28"/>
        </w:rPr>
        <w:t>为评委人数。</w:t>
      </w:r>
    </w:p>
    <w:p>
      <w:pPr>
        <w:keepNext/>
        <w:keepLines/>
        <w:numPr>
          <w:ilvl w:val="2"/>
          <w:numId w:val="4"/>
        </w:numPr>
        <w:spacing w:line="360" w:lineRule="auto"/>
        <w:ind w:left="567" w:hanging="567"/>
        <w:outlineLvl w:val="2"/>
      </w:pPr>
      <w:r>
        <w:rPr>
          <w:rFonts w:hint="eastAsia" w:ascii="宋体" w:hAnsi="宋体" w:eastAsia="宋体" w:cs="Times New Roman"/>
          <w:b/>
          <w:bCs/>
          <w:sz w:val="28"/>
          <w:szCs w:val="28"/>
        </w:rPr>
        <w:t>评分标准</w:t>
      </w:r>
    </w:p>
    <w:tbl>
      <w:tblPr>
        <w:tblStyle w:val="12"/>
        <w:tblW w:w="102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699"/>
        <w:gridCol w:w="1098"/>
        <w:gridCol w:w="649"/>
        <w:gridCol w:w="5516"/>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549" w:type="dxa"/>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序号</w:t>
            </w:r>
          </w:p>
        </w:tc>
        <w:tc>
          <w:tcPr>
            <w:tcW w:w="1797" w:type="dxa"/>
            <w:gridSpan w:val="2"/>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评分因素</w:t>
            </w:r>
          </w:p>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及权重</w:t>
            </w:r>
          </w:p>
        </w:tc>
        <w:tc>
          <w:tcPr>
            <w:tcW w:w="649" w:type="dxa"/>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分值</w:t>
            </w:r>
          </w:p>
        </w:tc>
        <w:tc>
          <w:tcPr>
            <w:tcW w:w="5516" w:type="dxa"/>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评分标准</w:t>
            </w:r>
          </w:p>
        </w:tc>
        <w:tc>
          <w:tcPr>
            <w:tcW w:w="1786" w:type="dxa"/>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 w:hRule="atLeast"/>
          <w:jc w:val="center"/>
        </w:trPr>
        <w:tc>
          <w:tcPr>
            <w:tcW w:w="549" w:type="dxa"/>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1</w:t>
            </w:r>
          </w:p>
        </w:tc>
        <w:tc>
          <w:tcPr>
            <w:tcW w:w="1797" w:type="dxa"/>
            <w:gridSpan w:val="2"/>
            <w:vAlign w:val="center"/>
          </w:tcPr>
          <w:p>
            <w:pPr>
              <w:spacing w:line="336" w:lineRule="auto"/>
              <w:jc w:val="center"/>
              <w:rPr>
                <w:rFonts w:ascii="宋体" w:hAnsi="宋体" w:cs="宋体"/>
                <w:szCs w:val="21"/>
              </w:rPr>
            </w:pPr>
            <w:r>
              <w:rPr>
                <w:rFonts w:hint="eastAsia" w:ascii="宋体" w:hAnsi="宋体" w:cs="宋体"/>
                <w:szCs w:val="21"/>
                <w:lang w:val="zh-CN"/>
              </w:rPr>
              <w:t>报价</w:t>
            </w:r>
            <w:r>
              <w:rPr>
                <w:rFonts w:hint="eastAsia" w:ascii="宋体" w:hAnsi="宋体" w:cs="宋体"/>
                <w:szCs w:val="21"/>
                <w:lang w:val="en-US" w:eastAsia="zh-CN"/>
              </w:rPr>
              <w:t>3</w:t>
            </w:r>
            <w:r>
              <w:rPr>
                <w:rFonts w:hint="eastAsia" w:ascii="宋体" w:hAnsi="宋体" w:cs="宋体"/>
                <w:szCs w:val="21"/>
              </w:rPr>
              <w:t>5%</w:t>
            </w:r>
          </w:p>
          <w:p>
            <w:pPr>
              <w:spacing w:line="336" w:lineRule="auto"/>
              <w:jc w:val="center"/>
              <w:rPr>
                <w:rFonts w:ascii="宋体" w:hAnsi="宋体" w:cs="宋体"/>
                <w:szCs w:val="21"/>
              </w:rPr>
            </w:pPr>
            <w:r>
              <w:rPr>
                <w:rFonts w:hint="eastAsia" w:ascii="宋体" w:hAnsi="宋体" w:cs="宋体"/>
                <w:szCs w:val="21"/>
              </w:rPr>
              <w:t>（共同评分因素）</w:t>
            </w:r>
          </w:p>
        </w:tc>
        <w:tc>
          <w:tcPr>
            <w:tcW w:w="649" w:type="dxa"/>
            <w:vAlign w:val="center"/>
          </w:tcPr>
          <w:p>
            <w:pPr>
              <w:spacing w:line="336" w:lineRule="auto"/>
              <w:jc w:val="center"/>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5</w:t>
            </w:r>
            <w:r>
              <w:rPr>
                <w:rFonts w:hint="eastAsia" w:ascii="宋体" w:hAnsi="宋体" w:cs="宋体"/>
                <w:szCs w:val="21"/>
                <w:lang w:val="zh-CN"/>
              </w:rPr>
              <w:t>分</w:t>
            </w:r>
          </w:p>
        </w:tc>
        <w:tc>
          <w:tcPr>
            <w:tcW w:w="5516" w:type="dxa"/>
          </w:tcPr>
          <w:p>
            <w:pPr>
              <w:spacing w:line="336" w:lineRule="auto"/>
              <w:ind w:firstLine="210" w:firstLineChars="100"/>
              <w:rPr>
                <w:rFonts w:ascii="宋体" w:hAnsi="宋体" w:cs="宋体"/>
                <w:szCs w:val="21"/>
              </w:rPr>
            </w:pPr>
            <w:r>
              <w:rPr>
                <w:rFonts w:hint="eastAsia" w:ascii="宋体" w:hAnsi="宋体" w:cs="宋体"/>
                <w:kern w:val="0"/>
                <w:szCs w:val="21"/>
              </w:rPr>
              <w:t>满足招标文件要求且报价最低的投标人的价格为评标基准价，其价格分为满分。其他投标人的价格分统一按照下列公式计算：投标报价得分=(评标基准价/投标报价)×分值。</w:t>
            </w:r>
          </w:p>
        </w:tc>
        <w:tc>
          <w:tcPr>
            <w:tcW w:w="1786" w:type="dxa"/>
            <w:vAlign w:val="center"/>
          </w:tcPr>
          <w:p>
            <w:pPr>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2" w:hRule="atLeast"/>
          <w:jc w:val="center"/>
        </w:trPr>
        <w:tc>
          <w:tcPr>
            <w:tcW w:w="549" w:type="dxa"/>
            <w:vAlign w:val="center"/>
          </w:tcPr>
          <w:p>
            <w:pPr>
              <w:tabs>
                <w:tab w:val="left" w:pos="0"/>
              </w:tabs>
              <w:wordWrap w:val="0"/>
              <w:topLinePunct/>
              <w:adjustRightInd w:val="0"/>
              <w:snapToGrid w:val="0"/>
              <w:spacing w:line="336" w:lineRule="auto"/>
              <w:jc w:val="center"/>
              <w:rPr>
                <w:rFonts w:ascii="宋体" w:hAnsi="宋体" w:cs="宋体"/>
                <w:iCs/>
                <w:szCs w:val="21"/>
                <w:lang w:bidi="en-US"/>
              </w:rPr>
            </w:pPr>
            <w:r>
              <w:rPr>
                <w:rFonts w:hint="eastAsia" w:ascii="宋体" w:hAnsi="宋体" w:cs="宋体"/>
                <w:iCs/>
                <w:szCs w:val="21"/>
                <w:lang w:bidi="en-US"/>
              </w:rPr>
              <w:t>2</w:t>
            </w:r>
          </w:p>
        </w:tc>
        <w:tc>
          <w:tcPr>
            <w:tcW w:w="1797" w:type="dxa"/>
            <w:gridSpan w:val="2"/>
            <w:vAlign w:val="center"/>
          </w:tcPr>
          <w:p>
            <w:pPr>
              <w:tabs>
                <w:tab w:val="left" w:pos="0"/>
              </w:tabs>
              <w:wordWrap w:val="0"/>
              <w:topLinePunct/>
              <w:adjustRightInd w:val="0"/>
              <w:snapToGrid w:val="0"/>
              <w:spacing w:line="336" w:lineRule="auto"/>
              <w:jc w:val="center"/>
              <w:rPr>
                <w:rFonts w:ascii="宋体" w:hAnsi="宋体" w:cs="宋体"/>
                <w:iCs/>
                <w:szCs w:val="21"/>
                <w:lang w:eastAsia="en-US" w:bidi="en-US"/>
              </w:rPr>
            </w:pPr>
            <w:r>
              <w:rPr>
                <w:rFonts w:hint="eastAsia" w:ascii="宋体" w:hAnsi="宋体" w:cs="宋体"/>
                <w:szCs w:val="21"/>
              </w:rPr>
              <w:t>项目业绩</w:t>
            </w:r>
            <w:r>
              <w:rPr>
                <w:rFonts w:hint="eastAsia" w:ascii="宋体" w:hAnsi="宋体" w:cs="宋体"/>
                <w:szCs w:val="21"/>
                <w:lang w:val="en-US" w:eastAsia="zh-CN"/>
              </w:rPr>
              <w:t>7</w:t>
            </w:r>
            <w:r>
              <w:rPr>
                <w:rFonts w:hint="eastAsia" w:ascii="宋体" w:hAnsi="宋体" w:cs="宋体"/>
                <w:szCs w:val="21"/>
              </w:rPr>
              <w:t>%</w:t>
            </w:r>
          </w:p>
        </w:tc>
        <w:tc>
          <w:tcPr>
            <w:tcW w:w="649" w:type="dxa"/>
            <w:vAlign w:val="center"/>
          </w:tcPr>
          <w:p>
            <w:pPr>
              <w:tabs>
                <w:tab w:val="left" w:pos="0"/>
              </w:tabs>
              <w:wordWrap w:val="0"/>
              <w:topLinePunct/>
              <w:adjustRightInd w:val="0"/>
              <w:snapToGrid w:val="0"/>
              <w:spacing w:line="336" w:lineRule="auto"/>
              <w:jc w:val="center"/>
              <w:rPr>
                <w:rFonts w:ascii="宋体" w:hAnsi="宋体" w:cs="宋体"/>
                <w:iCs/>
                <w:szCs w:val="21"/>
                <w:lang w:bidi="en-US"/>
              </w:rPr>
            </w:pPr>
            <w:r>
              <w:rPr>
                <w:rFonts w:hint="eastAsia" w:ascii="宋体" w:hAnsi="宋体" w:cs="宋体"/>
                <w:iCs/>
                <w:szCs w:val="21"/>
                <w:lang w:val="en-US" w:eastAsia="zh-CN" w:bidi="en-US"/>
              </w:rPr>
              <w:t>7</w:t>
            </w:r>
            <w:r>
              <w:rPr>
                <w:rFonts w:hint="eastAsia" w:ascii="宋体" w:hAnsi="宋体" w:cs="宋体"/>
                <w:iCs/>
                <w:szCs w:val="21"/>
                <w:lang w:bidi="en-US"/>
              </w:rPr>
              <w:t>分</w:t>
            </w:r>
          </w:p>
        </w:tc>
        <w:tc>
          <w:tcPr>
            <w:tcW w:w="5516" w:type="dxa"/>
            <w:vAlign w:val="center"/>
          </w:tcPr>
          <w:p>
            <w:pPr>
              <w:spacing w:line="336" w:lineRule="auto"/>
              <w:rPr>
                <w:rFonts w:ascii="宋体" w:hAnsi="宋体" w:cs="宋体"/>
                <w:szCs w:val="21"/>
              </w:rPr>
            </w:pPr>
            <w:r>
              <w:rPr>
                <w:rFonts w:hint="eastAsia" w:ascii="宋体" w:hAnsi="宋体" w:cs="宋体"/>
                <w:szCs w:val="21"/>
              </w:rPr>
              <w:t>投标人提供2018年1月1日至今获得类似物业管理成功案例，提供1个得1分，最多得</w:t>
            </w:r>
            <w:r>
              <w:rPr>
                <w:rFonts w:hint="eastAsia" w:ascii="宋体" w:hAnsi="宋体" w:cs="宋体"/>
                <w:szCs w:val="21"/>
                <w:lang w:val="en-US" w:eastAsia="zh-CN"/>
              </w:rPr>
              <w:t>7</w:t>
            </w:r>
            <w:r>
              <w:rPr>
                <w:rFonts w:hint="eastAsia" w:ascii="宋体" w:hAnsi="宋体" w:cs="宋体"/>
                <w:szCs w:val="21"/>
              </w:rPr>
              <w:t>分</w:t>
            </w:r>
          </w:p>
          <w:p>
            <w:pPr>
              <w:spacing w:line="336" w:lineRule="auto"/>
              <w:rPr>
                <w:rFonts w:ascii="宋体" w:hAnsi="宋体" w:cs="宋体"/>
                <w:iCs/>
                <w:szCs w:val="21"/>
                <w:lang w:bidi="en-US"/>
              </w:rPr>
            </w:pPr>
            <w:r>
              <w:rPr>
                <w:rFonts w:hint="eastAsia" w:ascii="宋体" w:hAnsi="宋体" w:cs="宋体"/>
                <w:szCs w:val="21"/>
              </w:rPr>
              <w:t>（注：同一项目不重复计分。需同时提供提供①合同复印件，②合同期间至少一次付款凭证</w:t>
            </w:r>
            <w:r>
              <w:rPr>
                <w:rFonts w:hint="eastAsia" w:ascii="宋体" w:hAnsi="宋体" w:cs="宋体"/>
                <w:szCs w:val="21"/>
                <w:lang w:eastAsia="zh-CN"/>
              </w:rPr>
              <w:t>，</w:t>
            </w:r>
            <w:r>
              <w:rPr>
                <w:rFonts w:hint="eastAsia" w:ascii="宋体" w:hAnsi="宋体" w:cs="宋体"/>
                <w:szCs w:val="21"/>
              </w:rPr>
              <w:t>以上材料均须加盖供应商公章）</w:t>
            </w:r>
          </w:p>
        </w:tc>
        <w:tc>
          <w:tcPr>
            <w:tcW w:w="1786" w:type="dxa"/>
            <w:vAlign w:val="center"/>
          </w:tcPr>
          <w:p>
            <w:pPr>
              <w:spacing w:line="336"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jc w:val="center"/>
        </w:trPr>
        <w:tc>
          <w:tcPr>
            <w:tcW w:w="549" w:type="dxa"/>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3</w:t>
            </w:r>
          </w:p>
        </w:tc>
        <w:tc>
          <w:tcPr>
            <w:tcW w:w="1797" w:type="dxa"/>
            <w:gridSpan w:val="2"/>
            <w:vAlign w:val="center"/>
          </w:tcPr>
          <w:p>
            <w:pPr>
              <w:tabs>
                <w:tab w:val="left" w:pos="0"/>
              </w:tabs>
              <w:wordWrap w:val="0"/>
              <w:topLinePunct/>
              <w:adjustRightInd w:val="0"/>
              <w:snapToGrid w:val="0"/>
              <w:spacing w:line="336" w:lineRule="auto"/>
              <w:jc w:val="center"/>
              <w:rPr>
                <w:rFonts w:ascii="宋体" w:hAnsi="宋体" w:cs="宋体"/>
                <w:iCs/>
                <w:szCs w:val="21"/>
                <w:lang w:bidi="en-US"/>
              </w:rPr>
            </w:pPr>
            <w:r>
              <w:rPr>
                <w:rFonts w:hint="eastAsia" w:ascii="宋体" w:hAnsi="宋体" w:cs="宋体"/>
                <w:szCs w:val="21"/>
              </w:rPr>
              <w:t>拟派本项目人员</w:t>
            </w:r>
            <w:r>
              <w:rPr>
                <w:rFonts w:hint="eastAsia" w:ascii="宋体" w:hAnsi="宋体" w:cs="宋体"/>
                <w:szCs w:val="21"/>
                <w:lang w:val="en-US" w:eastAsia="zh-CN"/>
              </w:rPr>
              <w:t>8</w:t>
            </w:r>
            <w:r>
              <w:rPr>
                <w:rFonts w:hint="eastAsia" w:ascii="宋体" w:hAnsi="宋体" w:cs="宋体"/>
                <w:szCs w:val="21"/>
              </w:rPr>
              <w:t>%（共同评分因素）</w:t>
            </w:r>
          </w:p>
        </w:tc>
        <w:tc>
          <w:tcPr>
            <w:tcW w:w="649" w:type="dxa"/>
            <w:vAlign w:val="center"/>
          </w:tcPr>
          <w:p>
            <w:pPr>
              <w:tabs>
                <w:tab w:val="left" w:pos="0"/>
              </w:tabs>
              <w:wordWrap w:val="0"/>
              <w:topLinePunct/>
              <w:adjustRightInd w:val="0"/>
              <w:snapToGrid w:val="0"/>
              <w:spacing w:line="336" w:lineRule="auto"/>
              <w:jc w:val="center"/>
              <w:rPr>
                <w:rFonts w:ascii="宋体" w:hAnsi="宋体" w:cs="宋体"/>
                <w:iCs/>
                <w:szCs w:val="21"/>
                <w:lang w:bidi="en-US"/>
              </w:rPr>
            </w:pPr>
            <w:r>
              <w:rPr>
                <w:rFonts w:hint="eastAsia" w:ascii="宋体" w:hAnsi="宋体" w:cs="宋体"/>
                <w:iCs/>
                <w:szCs w:val="21"/>
                <w:lang w:val="en-US" w:eastAsia="zh-CN" w:bidi="en-US"/>
              </w:rPr>
              <w:t>8</w:t>
            </w:r>
            <w:r>
              <w:rPr>
                <w:rFonts w:hint="eastAsia" w:ascii="宋体" w:hAnsi="宋体" w:cs="宋体"/>
                <w:iCs/>
                <w:szCs w:val="21"/>
                <w:lang w:bidi="en-US"/>
              </w:rPr>
              <w:t>分</w:t>
            </w:r>
          </w:p>
        </w:tc>
        <w:tc>
          <w:tcPr>
            <w:tcW w:w="5516" w:type="dxa"/>
            <w:vAlign w:val="center"/>
          </w:tcPr>
          <w:p>
            <w:pPr>
              <w:tabs>
                <w:tab w:val="left" w:pos="0"/>
              </w:tabs>
              <w:wordWrap w:val="0"/>
              <w:topLinePunct/>
              <w:adjustRightInd w:val="0"/>
              <w:snapToGrid w:val="0"/>
              <w:spacing w:line="336" w:lineRule="auto"/>
              <w:ind w:left="42" w:leftChars="20"/>
              <w:jc w:val="left"/>
              <w:rPr>
                <w:rFonts w:ascii="宋体" w:hAnsi="宋体" w:cs="宋体"/>
                <w:szCs w:val="21"/>
              </w:rPr>
            </w:pPr>
            <w:r>
              <w:rPr>
                <w:rFonts w:hint="eastAsia" w:ascii="宋体" w:hAnsi="宋体" w:cs="宋体"/>
                <w:szCs w:val="21"/>
              </w:rPr>
              <w:t>1、投标人拟派本项目的秩序维护班长：具有物业项目经理证得1分，具有中级及以上消防设施操作员证得2分，具有保安员证得1分，此项最多得4分。</w:t>
            </w:r>
          </w:p>
          <w:p>
            <w:pPr>
              <w:tabs>
                <w:tab w:val="left" w:pos="0"/>
              </w:tabs>
              <w:wordWrap w:val="0"/>
              <w:topLinePunct/>
              <w:adjustRightInd w:val="0"/>
              <w:snapToGrid w:val="0"/>
              <w:spacing w:line="336" w:lineRule="auto"/>
              <w:ind w:left="42" w:leftChars="20"/>
              <w:jc w:val="left"/>
              <w:rPr>
                <w:rFonts w:ascii="宋体" w:hAnsi="宋体" w:cs="宋体"/>
                <w:szCs w:val="21"/>
              </w:rPr>
            </w:pPr>
            <w:r>
              <w:rPr>
                <w:rFonts w:hint="eastAsia" w:ascii="宋体" w:hAnsi="宋体" w:cs="宋体"/>
                <w:szCs w:val="21"/>
              </w:rPr>
              <w:t>2、投标人拟派宿舍主管：具有物业项目经理证得1分。</w:t>
            </w:r>
          </w:p>
          <w:p>
            <w:pPr>
              <w:tabs>
                <w:tab w:val="left" w:pos="0"/>
              </w:tabs>
              <w:wordWrap w:val="0"/>
              <w:topLinePunct/>
              <w:adjustRightInd w:val="0"/>
              <w:snapToGrid w:val="0"/>
              <w:spacing w:line="336" w:lineRule="auto"/>
              <w:ind w:left="42" w:leftChars="20"/>
              <w:jc w:val="left"/>
              <w:rPr>
                <w:rFonts w:ascii="宋体" w:hAnsi="宋体" w:cs="宋体"/>
                <w:iCs/>
                <w:snapToGrid w:val="0"/>
                <w:kern w:val="0"/>
                <w:szCs w:val="21"/>
                <w:lang w:bidi="en-US"/>
              </w:rPr>
            </w:pPr>
            <w:r>
              <w:rPr>
                <w:rFonts w:hint="eastAsia" w:ascii="宋体" w:hAnsi="宋体" w:cs="宋体"/>
                <w:szCs w:val="21"/>
              </w:rPr>
              <w:t>3、投标人每拟派一名具有</w:t>
            </w:r>
            <w:r>
              <w:rPr>
                <w:rFonts w:hint="eastAsia" w:ascii="宋体" w:hAnsi="宋体" w:cs="宋体"/>
                <w:iCs/>
                <w:szCs w:val="21"/>
                <w:lang w:bidi="en-US"/>
              </w:rPr>
              <w:t>保安员证的</w:t>
            </w:r>
            <w:r>
              <w:rPr>
                <w:rFonts w:hint="eastAsia" w:ascii="宋体" w:hAnsi="宋体" w:cs="宋体"/>
                <w:szCs w:val="21"/>
              </w:rPr>
              <w:t>秩序维护员</w:t>
            </w:r>
            <w:r>
              <w:rPr>
                <w:rFonts w:hint="eastAsia" w:ascii="宋体" w:hAnsi="宋体" w:cs="宋体"/>
                <w:iCs/>
                <w:szCs w:val="21"/>
                <w:lang w:bidi="en-US"/>
              </w:rPr>
              <w:t>得1分，此项最多得</w:t>
            </w:r>
            <w:r>
              <w:rPr>
                <w:rFonts w:hint="eastAsia" w:ascii="宋体" w:hAnsi="宋体" w:cs="宋体"/>
                <w:iCs/>
                <w:szCs w:val="21"/>
                <w:lang w:val="en-US" w:eastAsia="zh-CN" w:bidi="en-US"/>
              </w:rPr>
              <w:t>3</w:t>
            </w:r>
            <w:r>
              <w:rPr>
                <w:rFonts w:hint="eastAsia" w:ascii="宋体" w:hAnsi="宋体" w:cs="宋体"/>
                <w:iCs/>
                <w:szCs w:val="21"/>
                <w:lang w:bidi="en-US"/>
              </w:rPr>
              <w:t>分。</w:t>
            </w:r>
          </w:p>
        </w:tc>
        <w:tc>
          <w:tcPr>
            <w:tcW w:w="1786" w:type="dxa"/>
            <w:vAlign w:val="center"/>
          </w:tcPr>
          <w:p>
            <w:pPr>
              <w:spacing w:line="336" w:lineRule="auto"/>
              <w:rPr>
                <w:rFonts w:ascii="宋体" w:hAnsi="宋体" w:cs="宋体"/>
                <w:szCs w:val="21"/>
              </w:rPr>
            </w:pPr>
            <w:r>
              <w:rPr>
                <w:rFonts w:hint="eastAsia" w:ascii="宋体" w:hAnsi="宋体" w:cs="宋体"/>
                <w:szCs w:val="21"/>
              </w:rPr>
              <w:t>同一人员不重复得分。提供人员相关证书复印件并加盖投标人公章。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jc w:val="center"/>
        </w:trPr>
        <w:tc>
          <w:tcPr>
            <w:tcW w:w="549" w:type="dxa"/>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4</w:t>
            </w:r>
          </w:p>
        </w:tc>
        <w:tc>
          <w:tcPr>
            <w:tcW w:w="1797" w:type="dxa"/>
            <w:gridSpan w:val="2"/>
            <w:vAlign w:val="center"/>
          </w:tcPr>
          <w:p>
            <w:pPr>
              <w:tabs>
                <w:tab w:val="left" w:pos="0"/>
              </w:tabs>
              <w:wordWrap w:val="0"/>
              <w:topLinePunct/>
              <w:adjustRightInd w:val="0"/>
              <w:snapToGrid w:val="0"/>
              <w:spacing w:line="336" w:lineRule="auto"/>
              <w:jc w:val="center"/>
              <w:rPr>
                <w:rFonts w:ascii="宋体" w:hAnsi="宋体" w:cs="宋体"/>
                <w:iCs/>
                <w:szCs w:val="21"/>
                <w:lang w:bidi="en-US"/>
              </w:rPr>
            </w:pPr>
            <w:r>
              <w:rPr>
                <w:rFonts w:hint="eastAsia" w:ascii="宋体" w:hAnsi="宋体" w:cs="宋体"/>
                <w:szCs w:val="21"/>
              </w:rPr>
              <w:t>综合实力</w:t>
            </w:r>
            <w:r>
              <w:rPr>
                <w:rFonts w:hint="eastAsia" w:ascii="宋体" w:hAnsi="宋体" w:cs="宋体"/>
                <w:szCs w:val="21"/>
                <w:lang w:val="en-US" w:eastAsia="zh-CN"/>
              </w:rPr>
              <w:t>3</w:t>
            </w:r>
            <w:r>
              <w:rPr>
                <w:rFonts w:hint="eastAsia" w:ascii="宋体" w:hAnsi="宋体" w:cs="宋体"/>
                <w:szCs w:val="21"/>
              </w:rPr>
              <w:t>%（共同评分因素）</w:t>
            </w:r>
          </w:p>
        </w:tc>
        <w:tc>
          <w:tcPr>
            <w:tcW w:w="649" w:type="dxa"/>
            <w:vAlign w:val="center"/>
          </w:tcPr>
          <w:p>
            <w:pPr>
              <w:tabs>
                <w:tab w:val="left" w:pos="0"/>
              </w:tabs>
              <w:wordWrap w:val="0"/>
              <w:topLinePunct/>
              <w:adjustRightInd w:val="0"/>
              <w:snapToGrid w:val="0"/>
              <w:spacing w:line="336" w:lineRule="auto"/>
              <w:jc w:val="center"/>
              <w:rPr>
                <w:rFonts w:ascii="宋体" w:hAnsi="宋体" w:cs="宋体"/>
                <w:iCs/>
                <w:szCs w:val="21"/>
                <w:lang w:eastAsia="en-US" w:bidi="en-US"/>
              </w:rPr>
            </w:pPr>
            <w:r>
              <w:rPr>
                <w:rFonts w:hint="eastAsia" w:ascii="宋体" w:hAnsi="宋体" w:cs="宋体"/>
                <w:szCs w:val="21"/>
                <w:lang w:val="en-US" w:eastAsia="zh-CN"/>
              </w:rPr>
              <w:t>3</w:t>
            </w:r>
            <w:r>
              <w:rPr>
                <w:rFonts w:hint="eastAsia" w:ascii="宋体" w:hAnsi="宋体" w:cs="宋体"/>
                <w:szCs w:val="21"/>
              </w:rPr>
              <w:t>分</w:t>
            </w:r>
          </w:p>
        </w:tc>
        <w:tc>
          <w:tcPr>
            <w:tcW w:w="5516" w:type="dxa"/>
            <w:vAlign w:val="center"/>
          </w:tcPr>
          <w:p>
            <w:pPr>
              <w:numPr>
                <w:ilvl w:val="0"/>
                <w:numId w:val="0"/>
              </w:numPr>
              <w:wordWrap w:val="0"/>
              <w:spacing w:line="336" w:lineRule="auto"/>
              <w:rPr>
                <w:rFonts w:ascii="宋体" w:hAnsi="宋体" w:cs="宋体"/>
                <w:iCs/>
                <w:snapToGrid w:val="0"/>
                <w:kern w:val="0"/>
                <w:szCs w:val="21"/>
                <w:lang w:eastAsia="en-US" w:bidi="en-US"/>
              </w:rPr>
            </w:pPr>
            <w:r>
              <w:rPr>
                <w:rFonts w:hint="eastAsia" w:ascii="宋体" w:hAnsi="宋体" w:cs="宋体"/>
                <w:szCs w:val="21"/>
              </w:rPr>
              <w:t>投标人具有有效期内的质量管理体系认证证书、环境管理体系认证证书、职业健康安全管理体系认证证书，每有一个得</w:t>
            </w:r>
            <w:r>
              <w:rPr>
                <w:rFonts w:hint="eastAsia" w:ascii="宋体" w:hAnsi="宋体" w:cs="宋体"/>
                <w:szCs w:val="21"/>
                <w:lang w:val="en-US" w:eastAsia="zh-CN"/>
              </w:rPr>
              <w:t>1</w:t>
            </w:r>
            <w:r>
              <w:rPr>
                <w:rFonts w:hint="eastAsia" w:ascii="宋体" w:hAnsi="宋体" w:cs="宋体"/>
                <w:szCs w:val="21"/>
              </w:rPr>
              <w:t>分，此项最多得</w:t>
            </w:r>
            <w:r>
              <w:rPr>
                <w:rFonts w:hint="eastAsia" w:ascii="宋体" w:hAnsi="宋体" w:cs="宋体"/>
                <w:szCs w:val="21"/>
                <w:lang w:val="en-US" w:eastAsia="zh-CN"/>
              </w:rPr>
              <w:t>3</w:t>
            </w:r>
            <w:r>
              <w:rPr>
                <w:rFonts w:hint="eastAsia" w:ascii="宋体" w:hAnsi="宋体" w:cs="宋体"/>
                <w:szCs w:val="21"/>
              </w:rPr>
              <w:t>分。</w:t>
            </w:r>
          </w:p>
        </w:tc>
        <w:tc>
          <w:tcPr>
            <w:tcW w:w="1786" w:type="dxa"/>
            <w:vAlign w:val="center"/>
          </w:tcPr>
          <w:p>
            <w:pPr>
              <w:tabs>
                <w:tab w:val="left" w:pos="0"/>
              </w:tabs>
              <w:wordWrap w:val="0"/>
              <w:topLinePunct/>
              <w:adjustRightInd w:val="0"/>
              <w:snapToGrid w:val="0"/>
              <w:spacing w:line="336" w:lineRule="auto"/>
              <w:jc w:val="left"/>
              <w:rPr>
                <w:rFonts w:ascii="宋体" w:hAnsi="宋体" w:cs="宋体"/>
                <w:snapToGrid w:val="0"/>
                <w:kern w:val="0"/>
                <w:szCs w:val="21"/>
              </w:rPr>
            </w:pPr>
            <w:r>
              <w:rPr>
                <w:rFonts w:hint="eastAsia" w:ascii="宋体" w:hAnsi="宋体" w:cs="宋体"/>
                <w:snapToGrid w:val="0"/>
                <w:kern w:val="0"/>
                <w:szCs w:val="21"/>
              </w:rPr>
              <w:t>提供有效证书复印件并加盖投标人公章。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2" w:hRule="atLeast"/>
          <w:jc w:val="center"/>
        </w:trPr>
        <w:tc>
          <w:tcPr>
            <w:tcW w:w="549" w:type="dxa"/>
            <w:vMerge w:val="restart"/>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5</w:t>
            </w:r>
          </w:p>
        </w:tc>
        <w:tc>
          <w:tcPr>
            <w:tcW w:w="699" w:type="dxa"/>
            <w:vMerge w:val="restart"/>
            <w:vAlign w:val="center"/>
          </w:tcPr>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rPr>
              <w:t>服务方案</w:t>
            </w:r>
          </w:p>
          <w:p>
            <w:pPr>
              <w:tabs>
                <w:tab w:val="left" w:pos="0"/>
              </w:tabs>
              <w:wordWrap w:val="0"/>
              <w:topLinePunct/>
              <w:adjustRightInd w:val="0"/>
              <w:snapToGrid w:val="0"/>
              <w:spacing w:line="336" w:lineRule="auto"/>
              <w:jc w:val="center"/>
              <w:rPr>
                <w:rFonts w:ascii="宋体" w:hAnsi="宋体" w:cs="宋体"/>
                <w:szCs w:val="21"/>
              </w:rPr>
            </w:pPr>
            <w:r>
              <w:rPr>
                <w:rFonts w:hint="eastAsia" w:ascii="宋体" w:hAnsi="宋体" w:cs="宋体"/>
                <w:szCs w:val="21"/>
                <w:lang w:val="en-US" w:eastAsia="zh-CN"/>
              </w:rPr>
              <w:t>47</w:t>
            </w:r>
            <w:r>
              <w:rPr>
                <w:rFonts w:hint="eastAsia" w:ascii="宋体" w:hAnsi="宋体" w:cs="宋体"/>
                <w:szCs w:val="21"/>
              </w:rPr>
              <w:t>%（技术评分因素）</w:t>
            </w:r>
          </w:p>
        </w:tc>
        <w:tc>
          <w:tcPr>
            <w:tcW w:w="1098" w:type="dxa"/>
            <w:vAlign w:val="center"/>
          </w:tcPr>
          <w:p>
            <w:pPr>
              <w:tabs>
                <w:tab w:val="left" w:pos="0"/>
              </w:tabs>
              <w:wordWrap w:val="0"/>
              <w:topLinePunct/>
              <w:adjustRightInd w:val="0"/>
              <w:snapToGrid w:val="0"/>
              <w:spacing w:line="336" w:lineRule="auto"/>
              <w:rPr>
                <w:rFonts w:ascii="宋体" w:hAnsi="宋体" w:cs="宋体"/>
                <w:szCs w:val="21"/>
              </w:rPr>
            </w:pPr>
            <w:r>
              <w:rPr>
                <w:rFonts w:hint="eastAsia" w:ascii="宋体" w:hAnsi="宋体" w:cs="宋体"/>
                <w:szCs w:val="21"/>
              </w:rPr>
              <w:t>项目分析</w:t>
            </w:r>
            <w:r>
              <w:rPr>
                <w:rFonts w:hint="eastAsia" w:ascii="宋体" w:hAnsi="宋体" w:cs="宋体"/>
                <w:szCs w:val="21"/>
                <w:lang w:val="en-US" w:eastAsia="zh-CN"/>
              </w:rPr>
              <w:t>3</w:t>
            </w:r>
            <w:r>
              <w:rPr>
                <w:rFonts w:hint="eastAsia" w:ascii="宋体" w:hAnsi="宋体" w:cs="宋体"/>
                <w:szCs w:val="21"/>
              </w:rPr>
              <w:t>%</w:t>
            </w:r>
          </w:p>
        </w:tc>
        <w:tc>
          <w:tcPr>
            <w:tcW w:w="649" w:type="dxa"/>
            <w:vAlign w:val="center"/>
          </w:tcPr>
          <w:p>
            <w:pPr>
              <w:spacing w:line="336" w:lineRule="auto"/>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分</w:t>
            </w:r>
          </w:p>
        </w:tc>
        <w:tc>
          <w:tcPr>
            <w:tcW w:w="5516" w:type="dxa"/>
            <w:vAlign w:val="center"/>
          </w:tcPr>
          <w:p>
            <w:pPr>
              <w:tabs>
                <w:tab w:val="left" w:pos="0"/>
              </w:tabs>
              <w:wordWrap w:val="0"/>
              <w:topLinePunct/>
              <w:adjustRightInd w:val="0"/>
              <w:snapToGrid w:val="0"/>
              <w:spacing w:line="336" w:lineRule="auto"/>
              <w:jc w:val="left"/>
              <w:rPr>
                <w:rFonts w:ascii="宋体" w:hAnsi="宋体" w:cs="宋体"/>
                <w:snapToGrid w:val="0"/>
                <w:kern w:val="0"/>
                <w:szCs w:val="21"/>
              </w:rPr>
            </w:pPr>
            <w:r>
              <w:rPr>
                <w:rFonts w:hint="eastAsia" w:ascii="宋体" w:hAnsi="宋体" w:cs="宋体"/>
                <w:snapToGrid w:val="0"/>
                <w:kern w:val="0"/>
                <w:szCs w:val="21"/>
              </w:rPr>
              <w:t>项目分析包括“项目服务重点难点分析”、“项目服务难点问题解决措施”，</w:t>
            </w:r>
            <w:r>
              <w:rPr>
                <w:rFonts w:hint="eastAsia" w:ascii="宋体" w:hAnsi="宋体" w:cs="宋体"/>
                <w:szCs w:val="21"/>
              </w:rPr>
              <w:t>以上两个要素符合采购需求得</w:t>
            </w:r>
            <w:r>
              <w:rPr>
                <w:rFonts w:hint="eastAsia" w:ascii="宋体" w:hAnsi="宋体" w:cs="宋体"/>
                <w:szCs w:val="21"/>
                <w:lang w:val="en-US" w:eastAsia="zh-CN"/>
              </w:rPr>
              <w:t>3</w:t>
            </w:r>
            <w:r>
              <w:rPr>
                <w:rFonts w:hint="eastAsia" w:ascii="宋体" w:hAnsi="宋体" w:cs="宋体"/>
                <w:szCs w:val="21"/>
              </w:rPr>
              <w:t xml:space="preserve">分，有任意一个要素缺失或不符合采购需求扣 </w:t>
            </w:r>
            <w:r>
              <w:rPr>
                <w:rFonts w:hint="eastAsia" w:ascii="宋体" w:hAnsi="宋体" w:cs="宋体"/>
                <w:szCs w:val="21"/>
                <w:lang w:val="en-US" w:eastAsia="zh-CN"/>
              </w:rPr>
              <w:t>1.5</w:t>
            </w:r>
            <w:r>
              <w:rPr>
                <w:rFonts w:hint="eastAsia" w:ascii="宋体" w:hAnsi="宋体" w:cs="宋体"/>
                <w:szCs w:val="21"/>
              </w:rPr>
              <w:t>分，</w:t>
            </w:r>
            <w:r>
              <w:rPr>
                <w:rFonts w:hint="eastAsia" w:ascii="宋体" w:hAnsi="宋体" w:cs="宋体"/>
                <w:szCs w:val="21"/>
                <w:lang w:val="en-US" w:eastAsia="zh-CN"/>
              </w:rPr>
              <w:t>3</w:t>
            </w:r>
            <w:r>
              <w:rPr>
                <w:rFonts w:hint="eastAsia" w:ascii="宋体" w:hAnsi="宋体" w:cs="宋体"/>
                <w:szCs w:val="21"/>
              </w:rPr>
              <w:t>分扣完为止。</w:t>
            </w:r>
          </w:p>
        </w:tc>
        <w:tc>
          <w:tcPr>
            <w:tcW w:w="1786" w:type="dxa"/>
            <w:vAlign w:val="center"/>
          </w:tcPr>
          <w:p>
            <w:pPr>
              <w:tabs>
                <w:tab w:val="left" w:pos="0"/>
              </w:tabs>
              <w:wordWrap w:val="0"/>
              <w:topLinePunct/>
              <w:adjustRightInd w:val="0"/>
              <w:snapToGrid w:val="0"/>
              <w:spacing w:line="336" w:lineRule="auto"/>
              <w:jc w:val="left"/>
              <w:rPr>
                <w:rFonts w:ascii="宋体" w:hAnsi="宋体" w:cs="宋体"/>
                <w:snapToGrid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4" w:hRule="atLeast"/>
          <w:jc w:val="center"/>
        </w:trPr>
        <w:tc>
          <w:tcPr>
            <w:tcW w:w="549" w:type="dxa"/>
            <w:vMerge w:val="continue"/>
            <w:vAlign w:val="center"/>
          </w:tcPr>
          <w:p>
            <w:pPr>
              <w:tabs>
                <w:tab w:val="left" w:pos="0"/>
              </w:tabs>
              <w:wordWrap w:val="0"/>
              <w:topLinePunct/>
              <w:adjustRightInd w:val="0"/>
              <w:snapToGrid w:val="0"/>
              <w:spacing w:line="336" w:lineRule="auto"/>
              <w:jc w:val="center"/>
              <w:rPr>
                <w:rFonts w:ascii="宋体" w:hAnsi="宋体" w:cs="宋体"/>
                <w:szCs w:val="21"/>
              </w:rPr>
            </w:pPr>
          </w:p>
        </w:tc>
        <w:tc>
          <w:tcPr>
            <w:tcW w:w="699" w:type="dxa"/>
            <w:vMerge w:val="continue"/>
            <w:vAlign w:val="center"/>
          </w:tcPr>
          <w:p>
            <w:pPr>
              <w:tabs>
                <w:tab w:val="left" w:pos="0"/>
              </w:tabs>
              <w:wordWrap w:val="0"/>
              <w:topLinePunct/>
              <w:adjustRightInd w:val="0"/>
              <w:snapToGrid w:val="0"/>
              <w:spacing w:line="336" w:lineRule="auto"/>
              <w:jc w:val="center"/>
              <w:rPr>
                <w:rFonts w:ascii="宋体" w:hAnsi="宋体" w:cs="宋体"/>
                <w:szCs w:val="21"/>
              </w:rPr>
            </w:pPr>
          </w:p>
        </w:tc>
        <w:tc>
          <w:tcPr>
            <w:tcW w:w="1098" w:type="dxa"/>
            <w:vAlign w:val="center"/>
          </w:tcPr>
          <w:p>
            <w:pPr>
              <w:tabs>
                <w:tab w:val="left" w:pos="0"/>
              </w:tabs>
              <w:wordWrap w:val="0"/>
              <w:topLinePunct/>
              <w:adjustRightInd w:val="0"/>
              <w:snapToGrid w:val="0"/>
              <w:spacing w:line="336" w:lineRule="auto"/>
              <w:rPr>
                <w:rFonts w:ascii="宋体" w:hAnsi="宋体" w:cs="宋体"/>
                <w:szCs w:val="21"/>
              </w:rPr>
            </w:pPr>
            <w:r>
              <w:rPr>
                <w:rFonts w:hint="eastAsia" w:ascii="宋体" w:hAnsi="宋体" w:cs="宋体"/>
                <w:szCs w:val="21"/>
              </w:rPr>
              <w:t>项目管理机构运作方案1</w:t>
            </w:r>
            <w:r>
              <w:rPr>
                <w:rFonts w:hint="eastAsia" w:ascii="宋体" w:hAnsi="宋体" w:cs="宋体"/>
                <w:szCs w:val="21"/>
                <w:lang w:val="en-US" w:eastAsia="zh-CN"/>
              </w:rPr>
              <w:t>0</w:t>
            </w:r>
            <w:r>
              <w:rPr>
                <w:rFonts w:hint="eastAsia" w:ascii="宋体" w:hAnsi="宋体" w:cs="宋体"/>
                <w:szCs w:val="21"/>
              </w:rPr>
              <w:t>%</w:t>
            </w:r>
          </w:p>
        </w:tc>
        <w:tc>
          <w:tcPr>
            <w:tcW w:w="649" w:type="dxa"/>
            <w:vAlign w:val="center"/>
          </w:tcPr>
          <w:p>
            <w:pPr>
              <w:spacing w:line="336" w:lineRule="auto"/>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0</w:t>
            </w:r>
            <w:r>
              <w:rPr>
                <w:rFonts w:hint="eastAsia" w:ascii="宋体" w:hAnsi="宋体" w:cs="宋体"/>
                <w:szCs w:val="21"/>
              </w:rPr>
              <w:t>分</w:t>
            </w:r>
          </w:p>
        </w:tc>
        <w:tc>
          <w:tcPr>
            <w:tcW w:w="5516" w:type="dxa"/>
            <w:vAlign w:val="center"/>
          </w:tcPr>
          <w:p>
            <w:pPr>
              <w:tabs>
                <w:tab w:val="left" w:pos="0"/>
              </w:tabs>
              <w:wordWrap w:val="0"/>
              <w:topLinePunct/>
              <w:adjustRightInd w:val="0"/>
              <w:snapToGrid w:val="0"/>
              <w:spacing w:line="336" w:lineRule="auto"/>
              <w:jc w:val="left"/>
              <w:rPr>
                <w:rFonts w:ascii="宋体" w:hAnsi="宋体" w:cs="宋体"/>
                <w:snapToGrid w:val="0"/>
                <w:kern w:val="0"/>
                <w:szCs w:val="21"/>
              </w:rPr>
            </w:pPr>
            <w:r>
              <w:rPr>
                <w:rFonts w:hint="eastAsia" w:ascii="宋体" w:hAnsi="宋体" w:cs="宋体"/>
                <w:szCs w:val="21"/>
              </w:rPr>
              <w:t>项目管理机构运作方案包括“项目管理组织机构”、“工作职能运行”、“内部管理的职责分工”“工作人员的考核制度”</w:t>
            </w:r>
            <w:r>
              <w:rPr>
                <w:rFonts w:hint="eastAsia" w:ascii="宋体" w:hAnsi="宋体" w:cs="宋体"/>
                <w:snapToGrid w:val="0"/>
                <w:kern w:val="0"/>
                <w:szCs w:val="21"/>
              </w:rPr>
              <w:t>，“日常管理制度”</w:t>
            </w:r>
            <w:r>
              <w:rPr>
                <w:rFonts w:hint="eastAsia" w:ascii="宋体" w:hAnsi="宋体" w:cs="宋体"/>
                <w:szCs w:val="21"/>
              </w:rPr>
              <w:t>以上五个要素符合采购需求得 1</w:t>
            </w:r>
            <w:r>
              <w:rPr>
                <w:rFonts w:hint="eastAsia" w:ascii="宋体" w:hAnsi="宋体" w:cs="宋体"/>
                <w:szCs w:val="21"/>
                <w:lang w:val="en-US" w:eastAsia="zh-CN"/>
              </w:rPr>
              <w:t>0</w:t>
            </w:r>
            <w:r>
              <w:rPr>
                <w:rFonts w:hint="eastAsia" w:ascii="宋体" w:hAnsi="宋体" w:cs="宋体"/>
                <w:szCs w:val="21"/>
              </w:rPr>
              <w:t xml:space="preserve">分，有任意一个要素缺失或不符合采购需求扣 </w:t>
            </w:r>
            <w:r>
              <w:rPr>
                <w:rFonts w:hint="eastAsia" w:ascii="宋体" w:hAnsi="宋体" w:cs="宋体"/>
                <w:szCs w:val="21"/>
                <w:lang w:val="en-US" w:eastAsia="zh-CN"/>
              </w:rPr>
              <w:t>2</w:t>
            </w:r>
            <w:r>
              <w:rPr>
                <w:rFonts w:hint="eastAsia" w:ascii="宋体" w:hAnsi="宋体" w:cs="宋体"/>
                <w:szCs w:val="21"/>
              </w:rPr>
              <w:t>分，1</w:t>
            </w:r>
            <w:r>
              <w:rPr>
                <w:rFonts w:hint="eastAsia" w:ascii="宋体" w:hAnsi="宋体" w:cs="宋体"/>
                <w:szCs w:val="21"/>
                <w:lang w:val="en-US" w:eastAsia="zh-CN"/>
              </w:rPr>
              <w:t>0</w:t>
            </w:r>
            <w:r>
              <w:rPr>
                <w:rFonts w:hint="eastAsia" w:ascii="宋体" w:hAnsi="宋体" w:cs="宋体"/>
                <w:szCs w:val="21"/>
              </w:rPr>
              <w:t>分扣完为止。</w:t>
            </w:r>
          </w:p>
        </w:tc>
        <w:tc>
          <w:tcPr>
            <w:tcW w:w="1786" w:type="dxa"/>
            <w:vAlign w:val="center"/>
          </w:tcPr>
          <w:p>
            <w:pPr>
              <w:tabs>
                <w:tab w:val="left" w:pos="0"/>
              </w:tabs>
              <w:wordWrap w:val="0"/>
              <w:topLinePunct/>
              <w:adjustRightInd w:val="0"/>
              <w:snapToGrid w:val="0"/>
              <w:spacing w:line="336" w:lineRule="auto"/>
              <w:jc w:val="left"/>
              <w:rPr>
                <w:rFonts w:ascii="宋体" w:hAnsi="宋体" w:cs="宋体"/>
                <w:snapToGrid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0" w:hRule="atLeast"/>
          <w:jc w:val="center"/>
        </w:trPr>
        <w:tc>
          <w:tcPr>
            <w:tcW w:w="549" w:type="dxa"/>
            <w:vMerge w:val="continue"/>
            <w:vAlign w:val="center"/>
          </w:tcPr>
          <w:p>
            <w:pPr>
              <w:tabs>
                <w:tab w:val="left" w:pos="0"/>
              </w:tabs>
              <w:wordWrap w:val="0"/>
              <w:topLinePunct/>
              <w:adjustRightInd w:val="0"/>
              <w:snapToGrid w:val="0"/>
              <w:spacing w:line="336" w:lineRule="auto"/>
              <w:jc w:val="center"/>
              <w:rPr>
                <w:rFonts w:ascii="宋体" w:hAnsi="宋体" w:cs="宋体"/>
                <w:szCs w:val="21"/>
              </w:rPr>
            </w:pPr>
          </w:p>
        </w:tc>
        <w:tc>
          <w:tcPr>
            <w:tcW w:w="699" w:type="dxa"/>
            <w:vMerge w:val="continue"/>
            <w:vAlign w:val="center"/>
          </w:tcPr>
          <w:p>
            <w:pPr>
              <w:tabs>
                <w:tab w:val="left" w:pos="0"/>
              </w:tabs>
              <w:wordWrap w:val="0"/>
              <w:topLinePunct/>
              <w:adjustRightInd w:val="0"/>
              <w:snapToGrid w:val="0"/>
              <w:spacing w:line="336" w:lineRule="auto"/>
              <w:jc w:val="center"/>
              <w:rPr>
                <w:rFonts w:ascii="宋体" w:hAnsi="宋体" w:cs="宋体"/>
                <w:szCs w:val="21"/>
              </w:rPr>
            </w:pPr>
          </w:p>
        </w:tc>
        <w:tc>
          <w:tcPr>
            <w:tcW w:w="1098" w:type="dxa"/>
            <w:vAlign w:val="center"/>
          </w:tcPr>
          <w:p>
            <w:pPr>
              <w:tabs>
                <w:tab w:val="left" w:pos="0"/>
              </w:tabs>
              <w:wordWrap w:val="0"/>
              <w:topLinePunct/>
              <w:adjustRightInd w:val="0"/>
              <w:snapToGrid w:val="0"/>
              <w:spacing w:line="336" w:lineRule="auto"/>
              <w:rPr>
                <w:rFonts w:ascii="宋体" w:hAnsi="宋体" w:cs="宋体"/>
                <w:szCs w:val="21"/>
              </w:rPr>
            </w:pPr>
            <w:r>
              <w:rPr>
                <w:rFonts w:hint="eastAsia" w:ascii="宋体" w:hAnsi="宋体" w:cs="宋体"/>
                <w:szCs w:val="21"/>
              </w:rPr>
              <w:t>秩序维护服务方案</w:t>
            </w:r>
            <w:r>
              <w:rPr>
                <w:rFonts w:hint="eastAsia" w:ascii="宋体" w:hAnsi="宋体" w:cs="宋体"/>
                <w:szCs w:val="21"/>
                <w:lang w:val="en-US" w:eastAsia="zh-CN"/>
              </w:rPr>
              <w:t>8</w:t>
            </w:r>
            <w:r>
              <w:rPr>
                <w:rFonts w:hint="eastAsia" w:ascii="宋体" w:hAnsi="宋体" w:cs="宋体"/>
                <w:szCs w:val="21"/>
              </w:rPr>
              <w:t>%</w:t>
            </w:r>
          </w:p>
        </w:tc>
        <w:tc>
          <w:tcPr>
            <w:tcW w:w="649" w:type="dxa"/>
            <w:vAlign w:val="center"/>
          </w:tcPr>
          <w:p>
            <w:pPr>
              <w:spacing w:line="336" w:lineRule="auto"/>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分</w:t>
            </w:r>
          </w:p>
        </w:tc>
        <w:tc>
          <w:tcPr>
            <w:tcW w:w="5516" w:type="dxa"/>
            <w:vAlign w:val="center"/>
          </w:tcPr>
          <w:p>
            <w:pPr>
              <w:spacing w:line="336" w:lineRule="auto"/>
              <w:rPr>
                <w:rFonts w:ascii="宋体" w:hAnsi="宋体" w:cs="宋体"/>
                <w:szCs w:val="21"/>
              </w:rPr>
            </w:pPr>
            <w:r>
              <w:rPr>
                <w:rFonts w:hint="eastAsia" w:ascii="宋体" w:hAnsi="宋体" w:cs="宋体"/>
                <w:szCs w:val="21"/>
              </w:rPr>
              <w:t>秩序维护服务方案</w:t>
            </w:r>
            <w:r>
              <w:rPr>
                <w:rFonts w:hint="eastAsia" w:ascii="宋体" w:hAnsi="宋体" w:cs="宋体"/>
                <w:snapToGrid w:val="0"/>
                <w:kern w:val="0"/>
                <w:szCs w:val="21"/>
              </w:rPr>
              <w:t>包括“日常秩序维护工作流程”、“秩序管理具体措施”“秩序维护服务礼仪标准”、“安全防范措施”，</w:t>
            </w:r>
            <w:r>
              <w:rPr>
                <w:rFonts w:hint="eastAsia" w:ascii="宋体" w:hAnsi="宋体" w:cs="宋体"/>
                <w:szCs w:val="21"/>
              </w:rPr>
              <w:t xml:space="preserve">以上四个要素符合采购需求得 </w:t>
            </w:r>
            <w:r>
              <w:rPr>
                <w:rFonts w:hint="eastAsia" w:ascii="宋体" w:hAnsi="宋体" w:cs="宋体"/>
                <w:szCs w:val="21"/>
                <w:lang w:val="en-US" w:eastAsia="zh-CN"/>
              </w:rPr>
              <w:t>8</w:t>
            </w:r>
            <w:r>
              <w:rPr>
                <w:rFonts w:hint="eastAsia" w:ascii="宋体" w:hAnsi="宋体" w:cs="宋体"/>
                <w:szCs w:val="21"/>
              </w:rPr>
              <w:t xml:space="preserve">分，有任意一个要素缺失或不符合采购需求扣 </w:t>
            </w:r>
            <w:r>
              <w:rPr>
                <w:rFonts w:hint="eastAsia" w:ascii="宋体" w:hAnsi="宋体" w:cs="宋体"/>
                <w:szCs w:val="21"/>
                <w:lang w:val="en-US" w:eastAsia="zh-CN"/>
              </w:rPr>
              <w:t>2</w:t>
            </w:r>
            <w:r>
              <w:rPr>
                <w:rFonts w:hint="eastAsia" w:ascii="宋体" w:hAnsi="宋体" w:cs="宋体"/>
                <w:szCs w:val="21"/>
              </w:rPr>
              <w:t>分，</w:t>
            </w:r>
            <w:r>
              <w:rPr>
                <w:rFonts w:hint="eastAsia" w:ascii="宋体" w:hAnsi="宋体" w:cs="宋体"/>
                <w:szCs w:val="21"/>
                <w:lang w:val="en-US" w:eastAsia="zh-CN"/>
              </w:rPr>
              <w:t>8</w:t>
            </w:r>
            <w:r>
              <w:rPr>
                <w:rFonts w:hint="eastAsia" w:ascii="宋体" w:hAnsi="宋体" w:cs="宋体"/>
                <w:szCs w:val="21"/>
              </w:rPr>
              <w:t>分扣完为止。</w:t>
            </w:r>
          </w:p>
        </w:tc>
        <w:tc>
          <w:tcPr>
            <w:tcW w:w="1786" w:type="dxa"/>
            <w:vAlign w:val="center"/>
          </w:tcPr>
          <w:p>
            <w:pPr>
              <w:spacing w:line="336"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0" w:hRule="atLeast"/>
          <w:jc w:val="center"/>
        </w:trPr>
        <w:tc>
          <w:tcPr>
            <w:tcW w:w="549" w:type="dxa"/>
            <w:vMerge w:val="continue"/>
            <w:vAlign w:val="center"/>
          </w:tcPr>
          <w:p>
            <w:pPr>
              <w:tabs>
                <w:tab w:val="left" w:pos="0"/>
              </w:tabs>
              <w:wordWrap w:val="0"/>
              <w:topLinePunct/>
              <w:adjustRightInd w:val="0"/>
              <w:snapToGrid w:val="0"/>
              <w:spacing w:line="336" w:lineRule="auto"/>
              <w:jc w:val="center"/>
              <w:rPr>
                <w:rFonts w:ascii="宋体" w:hAnsi="宋体" w:cs="宋体"/>
                <w:szCs w:val="21"/>
              </w:rPr>
            </w:pPr>
          </w:p>
        </w:tc>
        <w:tc>
          <w:tcPr>
            <w:tcW w:w="699" w:type="dxa"/>
            <w:vMerge w:val="continue"/>
            <w:vAlign w:val="center"/>
          </w:tcPr>
          <w:p>
            <w:pPr>
              <w:tabs>
                <w:tab w:val="left" w:pos="0"/>
              </w:tabs>
              <w:wordWrap w:val="0"/>
              <w:topLinePunct/>
              <w:adjustRightInd w:val="0"/>
              <w:snapToGrid w:val="0"/>
              <w:spacing w:line="336" w:lineRule="auto"/>
              <w:jc w:val="center"/>
              <w:rPr>
                <w:rFonts w:ascii="宋体" w:hAnsi="宋体" w:cs="宋体"/>
                <w:szCs w:val="21"/>
              </w:rPr>
            </w:pPr>
          </w:p>
        </w:tc>
        <w:tc>
          <w:tcPr>
            <w:tcW w:w="1098" w:type="dxa"/>
            <w:vAlign w:val="center"/>
          </w:tcPr>
          <w:p>
            <w:pPr>
              <w:spacing w:line="336" w:lineRule="auto"/>
              <w:rPr>
                <w:rFonts w:ascii="宋体" w:hAnsi="宋体" w:cs="宋体"/>
                <w:szCs w:val="21"/>
              </w:rPr>
            </w:pPr>
            <w:r>
              <w:rPr>
                <w:rFonts w:hint="eastAsia" w:ascii="宋体" w:hAnsi="宋体" w:cs="宋体"/>
                <w:snapToGrid w:val="0"/>
                <w:kern w:val="0"/>
                <w:szCs w:val="21"/>
              </w:rPr>
              <w:t>保洁服务方案9%</w:t>
            </w:r>
          </w:p>
        </w:tc>
        <w:tc>
          <w:tcPr>
            <w:tcW w:w="649" w:type="dxa"/>
            <w:vAlign w:val="center"/>
          </w:tcPr>
          <w:p>
            <w:pPr>
              <w:spacing w:line="336" w:lineRule="auto"/>
              <w:rPr>
                <w:rFonts w:ascii="宋体" w:hAnsi="宋体" w:cs="宋体"/>
                <w:szCs w:val="21"/>
              </w:rPr>
            </w:pPr>
            <w:r>
              <w:rPr>
                <w:rFonts w:hint="eastAsia" w:ascii="宋体" w:hAnsi="宋体" w:cs="宋体"/>
                <w:snapToGrid w:val="0"/>
                <w:kern w:val="0"/>
                <w:szCs w:val="21"/>
              </w:rPr>
              <w:t>9分</w:t>
            </w:r>
          </w:p>
        </w:tc>
        <w:tc>
          <w:tcPr>
            <w:tcW w:w="5516" w:type="dxa"/>
            <w:vAlign w:val="center"/>
          </w:tcPr>
          <w:p>
            <w:pPr>
              <w:spacing w:line="336" w:lineRule="auto"/>
              <w:rPr>
                <w:rFonts w:ascii="宋体" w:hAnsi="宋体" w:cs="宋体"/>
                <w:szCs w:val="21"/>
              </w:rPr>
            </w:pPr>
            <w:r>
              <w:rPr>
                <w:rFonts w:hint="eastAsia" w:ascii="宋体" w:hAnsi="宋体" w:cs="宋体"/>
                <w:snapToGrid w:val="0"/>
                <w:kern w:val="0"/>
                <w:szCs w:val="21"/>
              </w:rPr>
              <w:t>环境维护服务方案包括“日常清洁工作流程”、“垃圾的收集方案”、“保洁人员安全作业管理措施”，</w:t>
            </w:r>
            <w:r>
              <w:rPr>
                <w:rFonts w:hint="eastAsia" w:ascii="宋体" w:hAnsi="宋体" w:cs="宋体"/>
                <w:szCs w:val="21"/>
              </w:rPr>
              <w:t>以上三个要素符合采购需求得 9 分，有任意一个要素缺失或不符合采购需求扣 3分，9分扣完为止</w:t>
            </w:r>
            <w:r>
              <w:rPr>
                <w:rFonts w:hint="eastAsia" w:ascii="宋体" w:hAnsi="宋体" w:cs="宋体"/>
                <w:snapToGrid w:val="0"/>
                <w:kern w:val="0"/>
                <w:szCs w:val="21"/>
              </w:rPr>
              <w:t>。</w:t>
            </w:r>
          </w:p>
        </w:tc>
        <w:tc>
          <w:tcPr>
            <w:tcW w:w="1786" w:type="dxa"/>
            <w:vAlign w:val="center"/>
          </w:tcPr>
          <w:p>
            <w:pPr>
              <w:spacing w:line="336"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6" w:hRule="atLeast"/>
          <w:jc w:val="center"/>
        </w:trPr>
        <w:tc>
          <w:tcPr>
            <w:tcW w:w="549" w:type="dxa"/>
            <w:vMerge w:val="continue"/>
            <w:vAlign w:val="center"/>
          </w:tcPr>
          <w:p>
            <w:pPr>
              <w:spacing w:line="336" w:lineRule="auto"/>
              <w:rPr>
                <w:rFonts w:ascii="宋体" w:hAnsi="宋体" w:cs="宋体"/>
                <w:szCs w:val="21"/>
              </w:rPr>
            </w:pPr>
          </w:p>
        </w:tc>
        <w:tc>
          <w:tcPr>
            <w:tcW w:w="699" w:type="dxa"/>
            <w:vMerge w:val="continue"/>
            <w:vAlign w:val="center"/>
          </w:tcPr>
          <w:p>
            <w:pPr>
              <w:spacing w:line="336" w:lineRule="auto"/>
              <w:rPr>
                <w:rFonts w:ascii="宋体" w:hAnsi="宋体" w:cs="宋体"/>
                <w:szCs w:val="21"/>
              </w:rPr>
            </w:pPr>
          </w:p>
        </w:tc>
        <w:tc>
          <w:tcPr>
            <w:tcW w:w="1098" w:type="dxa"/>
            <w:vAlign w:val="center"/>
          </w:tcPr>
          <w:p>
            <w:pPr>
              <w:spacing w:line="336" w:lineRule="auto"/>
              <w:rPr>
                <w:rFonts w:ascii="宋体" w:hAnsi="宋体" w:cs="宋体"/>
                <w:snapToGrid w:val="0"/>
                <w:kern w:val="0"/>
                <w:szCs w:val="21"/>
              </w:rPr>
            </w:pPr>
            <w:r>
              <w:rPr>
                <w:rFonts w:hint="eastAsia" w:ascii="宋体" w:hAnsi="宋体" w:cs="宋体"/>
                <w:snapToGrid w:val="0"/>
                <w:kern w:val="0"/>
                <w:szCs w:val="21"/>
              </w:rPr>
              <w:t>学生宿舍管理服务方案9%</w:t>
            </w:r>
          </w:p>
        </w:tc>
        <w:tc>
          <w:tcPr>
            <w:tcW w:w="649" w:type="dxa"/>
            <w:vAlign w:val="center"/>
          </w:tcPr>
          <w:p>
            <w:pPr>
              <w:spacing w:line="336" w:lineRule="auto"/>
              <w:rPr>
                <w:rFonts w:ascii="宋体" w:hAnsi="宋体" w:cs="宋体"/>
                <w:snapToGrid w:val="0"/>
                <w:kern w:val="0"/>
                <w:szCs w:val="21"/>
              </w:rPr>
            </w:pPr>
            <w:r>
              <w:rPr>
                <w:rFonts w:hint="eastAsia" w:ascii="宋体" w:hAnsi="宋体" w:cs="宋体"/>
                <w:szCs w:val="21"/>
              </w:rPr>
              <w:t>9分</w:t>
            </w:r>
          </w:p>
        </w:tc>
        <w:tc>
          <w:tcPr>
            <w:tcW w:w="5516" w:type="dxa"/>
            <w:vAlign w:val="center"/>
          </w:tcPr>
          <w:p>
            <w:pPr>
              <w:spacing w:line="336" w:lineRule="auto"/>
              <w:rPr>
                <w:rFonts w:ascii="宋体" w:hAnsi="宋体" w:cs="宋体"/>
                <w:snapToGrid w:val="0"/>
                <w:kern w:val="0"/>
                <w:szCs w:val="21"/>
              </w:rPr>
            </w:pPr>
            <w:r>
              <w:rPr>
                <w:rFonts w:hint="eastAsia" w:ascii="宋体" w:hAnsi="宋体" w:cs="宋体"/>
                <w:szCs w:val="21"/>
              </w:rPr>
              <w:t>学生公寓管理方案包括</w:t>
            </w:r>
            <w:r>
              <w:rPr>
                <w:rFonts w:hint="eastAsia" w:ascii="宋体" w:hAnsi="宋体" w:cs="宋体"/>
                <w:szCs w:val="21"/>
                <w:highlight w:val="none"/>
              </w:rPr>
              <w:t>“</w:t>
            </w:r>
            <w:r>
              <w:rPr>
                <w:rFonts w:hint="eastAsia" w:ascii="宋体" w:hAnsi="宋体" w:cs="宋体"/>
                <w:szCs w:val="21"/>
                <w:highlight w:val="none"/>
                <w:lang w:eastAsia="zh-CN"/>
              </w:rPr>
              <w:t>宿舍管理员</w:t>
            </w:r>
            <w:r>
              <w:rPr>
                <w:rFonts w:hint="eastAsia" w:ascii="宋体" w:hAnsi="宋体" w:cs="宋体"/>
                <w:szCs w:val="21"/>
                <w:highlight w:val="none"/>
              </w:rPr>
              <w:t>岗位职</w:t>
            </w:r>
            <w:r>
              <w:rPr>
                <w:rFonts w:hint="eastAsia" w:ascii="宋体" w:hAnsi="宋体" w:cs="宋体"/>
                <w:szCs w:val="21"/>
              </w:rPr>
              <w:t>责”“</w:t>
            </w:r>
            <w:r>
              <w:rPr>
                <w:rFonts w:hint="eastAsia" w:ascii="宋体" w:hAnsi="宋体" w:cs="宋体"/>
                <w:snapToGrid w:val="0"/>
                <w:kern w:val="0"/>
                <w:szCs w:val="21"/>
              </w:rPr>
              <w:t>宿舍</w:t>
            </w:r>
            <w:r>
              <w:rPr>
                <w:rFonts w:hint="eastAsia" w:ascii="宋体" w:hAnsi="宋体" w:cs="宋体"/>
                <w:szCs w:val="21"/>
              </w:rPr>
              <w:t>管理制度”、“</w:t>
            </w:r>
            <w:r>
              <w:rPr>
                <w:rFonts w:hint="eastAsia" w:ascii="宋体" w:hAnsi="宋体" w:cs="宋体"/>
                <w:snapToGrid w:val="0"/>
                <w:kern w:val="0"/>
                <w:szCs w:val="21"/>
              </w:rPr>
              <w:t>宿舍</w:t>
            </w:r>
            <w:r>
              <w:rPr>
                <w:rFonts w:hint="eastAsia" w:ascii="宋体" w:hAnsi="宋体" w:cs="宋体"/>
                <w:szCs w:val="21"/>
              </w:rPr>
              <w:t>安全巡检措施”，以上三个要素符合采购需求得 9分，有任意一个要素缺失或不符合采购需求扣 3分，9分扣完为止</w:t>
            </w:r>
            <w:r>
              <w:rPr>
                <w:rFonts w:hint="eastAsia" w:ascii="宋体" w:hAnsi="宋体" w:cs="宋体"/>
                <w:snapToGrid w:val="0"/>
                <w:kern w:val="0"/>
                <w:szCs w:val="21"/>
              </w:rPr>
              <w:t>。</w:t>
            </w:r>
          </w:p>
        </w:tc>
        <w:tc>
          <w:tcPr>
            <w:tcW w:w="1786" w:type="dxa"/>
            <w:vAlign w:val="center"/>
          </w:tcPr>
          <w:p>
            <w:pPr>
              <w:spacing w:line="336"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549" w:type="dxa"/>
            <w:vMerge w:val="continue"/>
            <w:vAlign w:val="center"/>
          </w:tcPr>
          <w:p>
            <w:pPr>
              <w:tabs>
                <w:tab w:val="left" w:pos="0"/>
              </w:tabs>
              <w:wordWrap w:val="0"/>
              <w:topLinePunct/>
              <w:adjustRightInd w:val="0"/>
              <w:snapToGrid w:val="0"/>
              <w:spacing w:line="336" w:lineRule="auto"/>
              <w:jc w:val="center"/>
              <w:rPr>
                <w:rFonts w:ascii="宋体" w:hAnsi="宋体" w:cs="宋体"/>
                <w:szCs w:val="21"/>
              </w:rPr>
            </w:pPr>
          </w:p>
        </w:tc>
        <w:tc>
          <w:tcPr>
            <w:tcW w:w="699" w:type="dxa"/>
            <w:vMerge w:val="continue"/>
            <w:vAlign w:val="center"/>
          </w:tcPr>
          <w:p>
            <w:pPr>
              <w:tabs>
                <w:tab w:val="left" w:pos="0"/>
              </w:tabs>
              <w:wordWrap w:val="0"/>
              <w:topLinePunct/>
              <w:adjustRightInd w:val="0"/>
              <w:snapToGrid w:val="0"/>
              <w:spacing w:line="336" w:lineRule="auto"/>
              <w:jc w:val="center"/>
              <w:rPr>
                <w:rFonts w:ascii="宋体" w:hAnsi="宋体" w:cs="宋体"/>
                <w:szCs w:val="21"/>
              </w:rPr>
            </w:pPr>
          </w:p>
        </w:tc>
        <w:tc>
          <w:tcPr>
            <w:tcW w:w="1098" w:type="dxa"/>
            <w:vAlign w:val="center"/>
          </w:tcPr>
          <w:p>
            <w:pPr>
              <w:tabs>
                <w:tab w:val="left" w:pos="0"/>
              </w:tabs>
              <w:wordWrap w:val="0"/>
              <w:topLinePunct/>
              <w:adjustRightInd w:val="0"/>
              <w:snapToGrid w:val="0"/>
              <w:spacing w:line="336" w:lineRule="auto"/>
              <w:rPr>
                <w:rFonts w:ascii="宋体" w:hAnsi="宋体" w:cs="宋体"/>
                <w:szCs w:val="21"/>
              </w:rPr>
            </w:pPr>
            <w:r>
              <w:rPr>
                <w:rFonts w:hint="eastAsia" w:ascii="宋体" w:hAnsi="宋体" w:cs="宋体"/>
                <w:szCs w:val="21"/>
              </w:rPr>
              <w:t>应急预案8%</w:t>
            </w:r>
          </w:p>
        </w:tc>
        <w:tc>
          <w:tcPr>
            <w:tcW w:w="649" w:type="dxa"/>
            <w:vAlign w:val="center"/>
          </w:tcPr>
          <w:p>
            <w:pPr>
              <w:spacing w:line="336" w:lineRule="auto"/>
              <w:rPr>
                <w:rFonts w:ascii="宋体" w:hAnsi="宋体" w:cs="宋体"/>
                <w:szCs w:val="21"/>
              </w:rPr>
            </w:pPr>
            <w:r>
              <w:rPr>
                <w:rFonts w:hint="eastAsia" w:ascii="宋体" w:hAnsi="宋体" w:cs="宋体"/>
                <w:szCs w:val="21"/>
              </w:rPr>
              <w:t>8分</w:t>
            </w:r>
          </w:p>
        </w:tc>
        <w:tc>
          <w:tcPr>
            <w:tcW w:w="5516" w:type="dxa"/>
            <w:vAlign w:val="center"/>
          </w:tcPr>
          <w:p>
            <w:pPr>
              <w:spacing w:line="336" w:lineRule="auto"/>
              <w:rPr>
                <w:rFonts w:ascii="宋体" w:hAnsi="宋体" w:cs="宋体"/>
                <w:szCs w:val="21"/>
              </w:rPr>
            </w:pPr>
            <w:r>
              <w:rPr>
                <w:rFonts w:hint="eastAsia" w:ascii="宋体" w:hAnsi="宋体" w:cs="宋体"/>
                <w:szCs w:val="21"/>
              </w:rPr>
              <w:t>应急预案包括“火灾、自然灾害应急预案”、“公共卫生事件应急预案”、“治安事件应急预案”“疫情防控应急预案”，以上四个要素符合采购需求得 8分，有任意一个要素缺失或不符合采购需求扣2分，8分扣完为止</w:t>
            </w:r>
            <w:r>
              <w:rPr>
                <w:rFonts w:hint="eastAsia" w:ascii="宋体" w:hAnsi="宋体" w:cs="宋体"/>
                <w:snapToGrid w:val="0"/>
                <w:kern w:val="0"/>
                <w:szCs w:val="21"/>
              </w:rPr>
              <w:t>。</w:t>
            </w:r>
          </w:p>
        </w:tc>
        <w:tc>
          <w:tcPr>
            <w:tcW w:w="1786" w:type="dxa"/>
            <w:vAlign w:val="center"/>
          </w:tcPr>
          <w:p>
            <w:pPr>
              <w:spacing w:line="336" w:lineRule="auto"/>
              <w:rPr>
                <w:rFonts w:ascii="宋体" w:hAnsi="宋体" w:cs="宋体"/>
                <w:szCs w:val="21"/>
              </w:rPr>
            </w:pPr>
          </w:p>
        </w:tc>
      </w:tr>
    </w:tbl>
    <w:p>
      <w:pPr>
        <w:pStyle w:val="2"/>
        <w:rPr>
          <w:rFonts w:hint="eastAsia" w:ascii="宋体" w:hAnsi="宋体" w:eastAsia="宋体" w:cs="Times New Roman"/>
          <w:b/>
          <w:bCs/>
          <w:sz w:val="28"/>
          <w:szCs w:val="28"/>
        </w:rPr>
      </w:pPr>
    </w:p>
    <w:p>
      <w:pPr>
        <w:rPr>
          <w:rFonts w:ascii="宋体" w:hAnsi="宋体" w:eastAsia="宋体" w:cs="Times New Roman"/>
          <w:sz w:val="28"/>
          <w:szCs w:val="22"/>
        </w:rPr>
      </w:pPr>
      <w:r>
        <w:rPr>
          <w:rFonts w:hint="eastAsia" w:ascii="宋体" w:hAnsi="宋体" w:eastAsia="宋体" w:cs="Times New Roman"/>
          <w:sz w:val="28"/>
          <w:szCs w:val="22"/>
        </w:rPr>
        <w:t>说明：</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1、评分的取值按四舍五入法，保留小数点后两位；</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6" w:name="_Toc17569"/>
      <w:r>
        <w:rPr>
          <w:rFonts w:hint="eastAsia" w:ascii="宋体" w:hAnsi="宋体" w:eastAsia="宋体" w:cs="Times New Roman"/>
          <w:b/>
          <w:bCs/>
          <w:sz w:val="28"/>
          <w:szCs w:val="28"/>
        </w:rPr>
        <w:t>废标</w:t>
      </w:r>
      <w:bookmarkEnd w:id="176"/>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本次政府采购活动中，出现下列情形之一的，予以废标：</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符合专业条件的投标人或者对招标文件作实质响应的投标人不足三家的；</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出现影响采购公正的违法、违规行为的；</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投标人的报价均超过了采购预算，采购人不能支付的；</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因重大变故，采购任务取消的；</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废标后，</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7" w:name="_Toc2839"/>
      <w:r>
        <w:rPr>
          <w:rFonts w:hint="eastAsia" w:ascii="宋体" w:hAnsi="宋体" w:eastAsia="宋体" w:cs="Times New Roman"/>
          <w:b/>
          <w:bCs/>
          <w:sz w:val="28"/>
          <w:szCs w:val="28"/>
        </w:rPr>
        <w:t>定标</w:t>
      </w:r>
      <w:bookmarkEnd w:id="177"/>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定标原则</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rPr>
      </w:pPr>
      <w:r>
        <w:rPr>
          <w:rFonts w:hint="eastAsia" w:ascii="宋体" w:hAnsi="宋体" w:eastAsia="宋体" w:cs="Helvetica"/>
          <w:kern w:val="0"/>
          <w:sz w:val="28"/>
          <w:szCs w:val="28"/>
        </w:rPr>
        <w:t>采购人在收到评标报告</w:t>
      </w:r>
      <w:r>
        <w:rPr>
          <w:rFonts w:hint="eastAsia" w:ascii="宋体" w:hAnsi="宋体" w:eastAsia="宋体" w:cs="宋体"/>
          <w:kern w:val="0"/>
          <w:sz w:val="28"/>
          <w:szCs w:val="28"/>
        </w:rPr>
        <w:t>5</w:t>
      </w:r>
      <w:r>
        <w:rPr>
          <w:rFonts w:hint="eastAsia" w:ascii="宋体" w:hAnsi="宋体" w:eastAsia="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定标程序</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一、评审委员会将评审情况写出书面报告。</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二、</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在评审结束之日起2个工作日内将评审报告送采购人。</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四、根据采购人确定的中标（成交）人，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五、采购人、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8" w:name="_Toc447"/>
      <w:r>
        <w:rPr>
          <w:rFonts w:hint="eastAsia" w:ascii="宋体" w:hAnsi="宋体" w:eastAsia="宋体" w:cs="Times New Roman"/>
          <w:b/>
          <w:bCs/>
          <w:sz w:val="28"/>
          <w:szCs w:val="28"/>
        </w:rPr>
        <w:t>评标专家在政府采购活动中承担以下义务</w:t>
      </w:r>
      <w:bookmarkEnd w:id="178"/>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遵纪守法，客观、公正、廉洁地履行职责。</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保守秘密。不得泄漏投标人的投标文件及知悉的商业秘密，不得向投标人透露评审情况。</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发现投标人在政府采购活动中有不正当竞争或恶意串通等违规行为，及时向政府采购评审工作的组织者或财政部门报告并加以制止。</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及其工作人员在政府采购活动中有干预评审、发表倾向性和歧视性言论、受贿或者接受投标人的其他好处及其他违法违规行为，及时向财政部门报告。</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解答有关方面对政府采购评审工作中有关问题的询问，配合采购人或者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答复投标人的询问、质疑，配合财政部门的投诉处理工作等事宜。</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9" w:name="_Toc11806"/>
      <w:r>
        <w:rPr>
          <w:rFonts w:hint="eastAsia" w:ascii="宋体" w:hAnsi="宋体" w:eastAsia="宋体" w:cs="Times New Roman"/>
          <w:b/>
          <w:bCs/>
          <w:sz w:val="28"/>
          <w:szCs w:val="28"/>
        </w:rPr>
        <w:t>评标委员会及其成员不得有下列行为</w:t>
      </w:r>
      <w:bookmarkEnd w:id="179"/>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确定参与评标至评标结束前私自接触投标人；</w:t>
      </w:r>
    </w:p>
    <w:p>
      <w:pPr>
        <w:numPr>
          <w:ilvl w:val="0"/>
          <w:numId w:val="44"/>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接受投标人提出的与投标文件不一致的澄清或者说明，除招标文件明确可以澄清的除外；</w:t>
      </w:r>
    </w:p>
    <w:p>
      <w:pPr>
        <w:numPr>
          <w:ilvl w:val="0"/>
          <w:numId w:val="44"/>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违反评标纪律发表倾向性意见或者征询采购人的倾向性意见；</w:t>
      </w:r>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对需要专业判断的主观评审因素协商评分；</w:t>
      </w:r>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在评标过程中擅离职守，影响评标程序正常进行的；</w:t>
      </w:r>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记录、复制或者带走任何评标资料；</w:t>
      </w:r>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其他不遵守评标纪律的行为。</w:t>
      </w:r>
    </w:p>
    <w:p>
      <w:pPr>
        <w:spacing w:line="360" w:lineRule="auto"/>
        <w:ind w:firstLine="560" w:firstLineChars="200"/>
        <w:rPr>
          <w:rFonts w:ascii="Calibri" w:hAnsi="Calibri" w:eastAsia="宋体" w:cs="Times New Roman"/>
          <w:sz w:val="28"/>
          <w:szCs w:val="28"/>
        </w:rPr>
      </w:pPr>
      <w:r>
        <w:rPr>
          <w:rFonts w:hint="eastAsia" w:ascii="Calibri" w:hAnsi="Calibri" w:eastAsia="宋体" w:cs="Times New Roman"/>
          <w:sz w:val="28"/>
          <w:szCs w:val="28"/>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180" w:name="_Toc27824"/>
      <w:r>
        <w:rPr>
          <w:rFonts w:hint="eastAsia" w:ascii="宋体" w:hAnsi="宋体" w:eastAsia="宋体" w:cs="Times New Roman"/>
          <w:b/>
          <w:bCs/>
          <w:sz w:val="28"/>
          <w:szCs w:val="28"/>
        </w:rPr>
        <w:t>评审专家在政府采购活动中应当遵守以下工作纪律</w:t>
      </w:r>
      <w:bookmarkEnd w:id="180"/>
    </w:p>
    <w:p>
      <w:pPr>
        <w:numPr>
          <w:ilvl w:val="0"/>
          <w:numId w:val="45"/>
        </w:numPr>
        <w:tabs>
          <w:tab w:val="left" w:pos="1155"/>
        </w:tabs>
        <w:spacing w:line="360" w:lineRule="auto"/>
        <w:ind w:left="0" w:firstLine="527"/>
        <w:rPr>
          <w:rFonts w:ascii="宋体" w:hAnsi="宋体" w:eastAsia="宋体" w:cs="Times New Roman"/>
          <w:sz w:val="28"/>
          <w:szCs w:val="28"/>
        </w:rPr>
      </w:pPr>
      <w:r>
        <w:rPr>
          <w:rFonts w:hint="eastAsia" w:ascii="宋体" w:hAnsi="宋体" w:eastAsia="宋体" w:cs="Times New Roman"/>
          <w:sz w:val="28"/>
          <w:szCs w:val="28"/>
        </w:rPr>
        <w:t>遵行《政府采购法》第十二条和《政府采购法实施条例》第九条及政府采购相关法律法规关于回避的规定。</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应邀按时参加评审和咨询活动，遵守评标区管理规定。</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，不得私自转托他人。</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也可要求该评审专家回避。</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在评标过程中和评标结束后，不得记录、复制或带走任何评标资料，除因规定的义务外，不得向外界透露评标内容。</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服从评标现场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的现场秩序管理，接受评标现场监督人员的合法监督。</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遵守有关廉洁自律规定，不得私下接触投标人，不得收受投标人及有关业务单位和个人的财物或好处，不得接受采购组织单位的请托。</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5"/>
        </w:numPr>
        <w:tabs>
          <w:tab w:val="left" w:pos="1155"/>
          <w:tab w:val="left" w:pos="1276"/>
          <w:tab w:val="left" w:pos="1418"/>
        </w:tabs>
        <w:spacing w:line="580" w:lineRule="exact"/>
        <w:ind w:left="527" w:firstLine="40"/>
        <w:rPr>
          <w:rFonts w:ascii="宋体" w:hAnsi="宋体" w:eastAsia="宋体" w:cs="Times New Roman"/>
          <w:sz w:val="28"/>
          <w:szCs w:val="28"/>
        </w:rPr>
      </w:pPr>
      <w:r>
        <w:rPr>
          <w:rFonts w:hint="eastAsia" w:ascii="宋体" w:hAnsi="宋体" w:eastAsia="宋体" w:cs="Times New Roman"/>
          <w:sz w:val="28"/>
          <w:szCs w:val="28"/>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rPr>
          <w:rFonts w:ascii="Calibri" w:hAnsi="Calibri" w:eastAsia="宋体" w:cs="Times New Roman"/>
          <w:szCs w:val="22"/>
        </w:rPr>
      </w:pPr>
      <w:r>
        <w:rPr>
          <w:rFonts w:ascii="宋体" w:hAnsi="宋体" w:eastAsia="宋体" w:cs="Times New Roman"/>
          <w:sz w:val="28"/>
          <w:szCs w:val="28"/>
        </w:rPr>
        <w:br w:type="page"/>
      </w:r>
    </w:p>
    <w:bookmarkEnd w:id="156"/>
    <w:bookmarkEnd w:id="157"/>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rPr>
      </w:pPr>
      <w:bookmarkStart w:id="181" w:name="_Toc18395"/>
      <w:r>
        <w:rPr>
          <w:rFonts w:hint="eastAsia" w:ascii="宋体" w:hAnsi="宋体" w:eastAsia="宋体" w:cs="Times New Roman"/>
          <w:b/>
          <w:bCs/>
          <w:spacing w:val="-20"/>
          <w:kern w:val="44"/>
          <w:sz w:val="32"/>
          <w:szCs w:val="32"/>
        </w:rPr>
        <w:t>拟签订合同</w:t>
      </w:r>
      <w:bookmarkEnd w:id="0"/>
      <w:bookmarkEnd w:id="1"/>
      <w:bookmarkEnd w:id="2"/>
      <w:bookmarkEnd w:id="3"/>
      <w:bookmarkStart w:id="182" w:name="_Toc316475752"/>
      <w:bookmarkEnd w:id="182"/>
      <w:bookmarkStart w:id="183" w:name="_Toc277152521"/>
      <w:bookmarkEnd w:id="183"/>
      <w:bookmarkStart w:id="184" w:name="_Toc316475674"/>
      <w:bookmarkEnd w:id="184"/>
      <w:bookmarkStart w:id="185" w:name="_Toc316475675"/>
      <w:bookmarkEnd w:id="185"/>
      <w:bookmarkStart w:id="186" w:name="_Toc316475764"/>
      <w:bookmarkEnd w:id="186"/>
      <w:bookmarkStart w:id="187" w:name="_Toc316475757"/>
      <w:bookmarkEnd w:id="187"/>
      <w:bookmarkStart w:id="188" w:name="_Toc316475761"/>
      <w:bookmarkEnd w:id="188"/>
      <w:bookmarkStart w:id="189" w:name="_Toc299975392"/>
      <w:bookmarkEnd w:id="189"/>
      <w:bookmarkStart w:id="190" w:name="_Toc316475666"/>
      <w:bookmarkEnd w:id="190"/>
      <w:bookmarkStart w:id="191" w:name="_Toc316475676"/>
      <w:bookmarkEnd w:id="191"/>
      <w:bookmarkStart w:id="192" w:name="_Toc316475672"/>
      <w:bookmarkEnd w:id="192"/>
      <w:bookmarkStart w:id="193" w:name="_Toc316475751"/>
      <w:bookmarkEnd w:id="193"/>
      <w:bookmarkStart w:id="194" w:name="_Toc316475677"/>
      <w:bookmarkEnd w:id="194"/>
      <w:bookmarkStart w:id="195" w:name="_Toc316475758"/>
      <w:bookmarkEnd w:id="195"/>
      <w:bookmarkStart w:id="196" w:name="_Toc316475665"/>
      <w:bookmarkEnd w:id="196"/>
      <w:bookmarkStart w:id="197" w:name="_Toc316475667"/>
      <w:bookmarkEnd w:id="197"/>
      <w:bookmarkStart w:id="198" w:name="_Toc316475756"/>
      <w:bookmarkEnd w:id="198"/>
      <w:bookmarkStart w:id="199" w:name="_Toc316475664"/>
      <w:bookmarkEnd w:id="199"/>
      <w:bookmarkStart w:id="200" w:name="_Toc316475760"/>
      <w:bookmarkEnd w:id="200"/>
      <w:bookmarkStart w:id="201" w:name="_Toc316475670"/>
      <w:bookmarkEnd w:id="201"/>
      <w:bookmarkStart w:id="202" w:name="_Toc316475763"/>
      <w:bookmarkEnd w:id="202"/>
      <w:bookmarkStart w:id="203" w:name="_Toc277152522"/>
      <w:bookmarkEnd w:id="203"/>
      <w:bookmarkStart w:id="204" w:name="_Toc316475673"/>
      <w:bookmarkEnd w:id="204"/>
      <w:bookmarkStart w:id="205" w:name="_Toc316475759"/>
      <w:bookmarkEnd w:id="205"/>
      <w:bookmarkStart w:id="206" w:name="_Toc316475762"/>
      <w:bookmarkEnd w:id="206"/>
      <w:bookmarkStart w:id="207" w:name="_Toc277152520"/>
      <w:bookmarkEnd w:id="207"/>
      <w:bookmarkStart w:id="208" w:name="_Toc277152523"/>
      <w:bookmarkEnd w:id="208"/>
      <w:bookmarkStart w:id="209" w:name="_Toc316475753"/>
      <w:bookmarkEnd w:id="209"/>
      <w:bookmarkStart w:id="210" w:name="_Toc316475668"/>
      <w:bookmarkEnd w:id="210"/>
      <w:bookmarkStart w:id="211" w:name="_Toc316475671"/>
      <w:bookmarkEnd w:id="211"/>
      <w:bookmarkStart w:id="212" w:name="_Toc316475669"/>
      <w:bookmarkEnd w:id="212"/>
      <w:bookmarkStart w:id="213" w:name="_Toc316475755"/>
      <w:bookmarkEnd w:id="213"/>
      <w:bookmarkStart w:id="214" w:name="_Toc214858832"/>
      <w:bookmarkEnd w:id="214"/>
      <w:bookmarkStart w:id="215" w:name="_Toc316475754"/>
      <w:bookmarkEnd w:id="215"/>
      <w:bookmarkStart w:id="216" w:name="_Toc299975364"/>
      <w:bookmarkEnd w:id="216"/>
      <w:bookmarkStart w:id="217" w:name="_Toc217446108"/>
      <w:bookmarkStart w:id="218" w:name="_Toc8573798"/>
      <w:bookmarkStart w:id="219" w:name="_Toc34729074"/>
      <w:r>
        <w:rPr>
          <w:rFonts w:hint="eastAsia" w:ascii="宋体" w:hAnsi="宋体" w:eastAsia="宋体" w:cs="Times New Roman"/>
          <w:b/>
          <w:bCs/>
          <w:spacing w:val="-20"/>
          <w:kern w:val="44"/>
          <w:sz w:val="32"/>
          <w:szCs w:val="32"/>
        </w:rPr>
        <w:t>文本</w:t>
      </w:r>
      <w:bookmarkEnd w:id="181"/>
    </w:p>
    <w:bookmarkEnd w:id="217"/>
    <w:bookmarkEnd w:id="218"/>
    <w:bookmarkEnd w:id="219"/>
    <w:p>
      <w:pPr>
        <w:keepNext w:val="0"/>
        <w:keepLines w:val="0"/>
        <w:widowControl w:val="0"/>
        <w:suppressLineNumbers w:val="0"/>
        <w:spacing w:before="0" w:beforeAutospacing="0" w:after="0" w:afterAutospacing="0" w:line="460" w:lineRule="exact"/>
        <w:ind w:right="0"/>
        <w:jc w:val="center"/>
        <w:outlineLvl w:val="0"/>
        <w:rPr>
          <w:rFonts w:hint="eastAsia" w:asciiTheme="minorEastAsia" w:hAnsiTheme="minorEastAsia" w:eastAsiaTheme="minorEastAsia" w:cstheme="minorEastAsia"/>
          <w:sz w:val="28"/>
          <w:szCs w:val="28"/>
          <w:highlight w:val="none"/>
        </w:rPr>
      </w:pPr>
      <w:bookmarkStart w:id="220" w:name="_Toc3046"/>
      <w:r>
        <w:rPr>
          <w:rFonts w:hint="eastAsia" w:asciiTheme="minorEastAsia" w:hAnsiTheme="minorEastAsia" w:eastAsiaTheme="minorEastAsia" w:cstheme="minorEastAsia"/>
          <w:sz w:val="28"/>
          <w:szCs w:val="28"/>
          <w:highlight w:val="none"/>
        </w:rPr>
        <w:t>政府采购合同</w:t>
      </w:r>
      <w:bookmarkEnd w:id="220"/>
    </w:p>
    <w:p>
      <w:pPr>
        <w:pStyle w:val="6"/>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pPr>
      <w:r>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t xml:space="preserve">合同编号： </w:t>
      </w:r>
    </w:p>
    <w:p>
      <w:pPr>
        <w:pStyle w:val="6"/>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pPr>
      <w:r>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t>签订地点：</w:t>
      </w:r>
    </w:p>
    <w:p>
      <w:pPr>
        <w:pStyle w:val="6"/>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pPr>
      <w:r>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t>签订时间：     年    月    日</w:t>
      </w:r>
    </w:p>
    <w:p>
      <w:pPr>
        <w:pStyle w:val="6"/>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pPr>
      <w:r>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t xml:space="preserve">采购人（甲方）：                             </w:t>
      </w:r>
    </w:p>
    <w:p>
      <w:pPr>
        <w:pStyle w:val="6"/>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pPr>
      <w:r>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t xml:space="preserve">供应商（乙方）：                              </w:t>
      </w:r>
    </w:p>
    <w:p>
      <w:pPr>
        <w:pStyle w:val="6"/>
        <w:ind w:firstLine="480" w:firstLineChars="200"/>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pPr>
      <w:r>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t xml:space="preserve">依据《中华人民共和国民法典》、《中华人民共和国政府采购法》与项目行业有关的法律法规，以及XXX（项目编号：XXX）的《招标文件》，乙方的《投标文件》及《中标通知书》，甲、乙双方同意签订本合同。详细技术说明及其他有关合同项目的特定信息由合同附件予以说明，合同附件及本项目的《招标文件》、《投标文件》、《中标通知书》等均为本合同的组成部分。 </w:t>
      </w:r>
    </w:p>
    <w:p>
      <w:pPr>
        <w:pStyle w:val="6"/>
        <w:jc w:val="center"/>
        <w:rPr>
          <w:rFonts w:hint="eastAsia" w:ascii="宋体" w:hAnsi="宋体" w:cs="宋体" w:eastAsiaTheme="minorEastAsia"/>
          <w:color w:val="000000" w:themeColor="text1"/>
          <w:kern w:val="2"/>
          <w:sz w:val="24"/>
          <w:szCs w:val="24"/>
          <w:lang w:val="en-US" w:eastAsia="zh-CN" w:bidi="ar-SA"/>
          <w14:textFill>
            <w14:solidFill>
              <w14:schemeClr w14:val="tx1"/>
            </w14:solidFill>
          </w14:textFill>
        </w:rPr>
      </w:pPr>
    </w:p>
    <w:p>
      <w:pPr>
        <w:pStyle w:val="6"/>
        <w:jc w:val="center"/>
        <w:outlineLvl w:val="0"/>
        <w:rPr>
          <w:rFonts w:ascii="宋体" w:hAnsi="宋体" w:cs="宋体"/>
          <w:b/>
          <w:bCs/>
          <w:sz w:val="24"/>
        </w:rPr>
      </w:pPr>
      <w:r>
        <w:rPr>
          <w:rFonts w:hint="eastAsia" w:ascii="宋体" w:hAnsi="宋体" w:cs="宋体"/>
          <w:b/>
          <w:bCs/>
          <w:sz w:val="24"/>
        </w:rPr>
        <w:t>第一条</w:t>
      </w:r>
      <w:r>
        <w:rPr>
          <w:rFonts w:hint="eastAsia" w:ascii="宋体" w:hAnsi="宋体" w:cs="宋体"/>
          <w:b/>
          <w:bCs/>
          <w:sz w:val="24"/>
        </w:rPr>
        <w:tab/>
      </w:r>
      <w:r>
        <w:rPr>
          <w:rFonts w:hint="eastAsia" w:ascii="宋体" w:hAnsi="宋体" w:cs="宋体"/>
          <w:b/>
          <w:bCs/>
          <w:sz w:val="24"/>
        </w:rPr>
        <w:t>项目基本情况</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成都市新都区升庵中学拟通过公开招标方式，选择一名供应商，为学校提供物业服务。成都市新都区升庵中学位于成都市新都区新都镇湖滨路94号，建筑面积19351.89平方米。</w:t>
      </w:r>
    </w:p>
    <w:p>
      <w:pPr>
        <w:pStyle w:val="6"/>
        <w:jc w:val="center"/>
        <w:rPr>
          <w:rFonts w:ascii="宋体" w:hAnsi="宋体" w:cs="宋体"/>
          <w:b/>
          <w:bCs/>
          <w:sz w:val="24"/>
        </w:rPr>
      </w:pPr>
    </w:p>
    <w:p>
      <w:pPr>
        <w:pStyle w:val="6"/>
        <w:jc w:val="center"/>
        <w:outlineLvl w:val="0"/>
        <w:rPr>
          <w:rFonts w:ascii="宋体" w:hAnsi="宋体" w:cs="宋体"/>
          <w:b/>
          <w:bCs/>
          <w:sz w:val="24"/>
        </w:rPr>
      </w:pPr>
      <w:r>
        <w:rPr>
          <w:rFonts w:hint="eastAsia" w:ascii="宋体" w:hAnsi="宋体" w:cs="宋体"/>
          <w:b/>
          <w:bCs/>
          <w:sz w:val="24"/>
        </w:rPr>
        <w:t>第二条</w:t>
      </w:r>
      <w:r>
        <w:rPr>
          <w:rFonts w:hint="eastAsia" w:ascii="宋体" w:hAnsi="宋体" w:cs="宋体"/>
          <w:b/>
          <w:bCs/>
          <w:sz w:val="24"/>
        </w:rPr>
        <w:tab/>
      </w:r>
      <w:r>
        <w:rPr>
          <w:rFonts w:hint="eastAsia" w:ascii="宋体" w:hAnsi="宋体" w:cs="宋体"/>
          <w:b/>
          <w:bCs/>
          <w:sz w:val="24"/>
        </w:rPr>
        <w:t>合同期限</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服务期限：自     年    月    日至    年  月    日。服务期限三年，合同一年一签。</w:t>
      </w:r>
    </w:p>
    <w:p>
      <w:pPr>
        <w:pStyle w:val="6"/>
        <w:ind w:firstLine="480" w:firstLineChars="200"/>
        <w:rPr>
          <w:rFonts w:ascii="宋体" w:hAnsi="宋体" w:cs="宋体"/>
          <w:sz w:val="24"/>
        </w:rPr>
      </w:pPr>
    </w:p>
    <w:p>
      <w:pPr>
        <w:pStyle w:val="6"/>
        <w:numPr>
          <w:ilvl w:val="0"/>
          <w:numId w:val="46"/>
        </w:numPr>
        <w:spacing w:after="0" w:line="360" w:lineRule="auto"/>
        <w:jc w:val="center"/>
        <w:outlineLvl w:val="0"/>
        <w:rPr>
          <w:rFonts w:ascii="宋体" w:hAnsi="宋体" w:cs="宋体"/>
          <w:b/>
          <w:bCs/>
          <w:sz w:val="24"/>
        </w:rPr>
      </w:pPr>
      <w:r>
        <w:rPr>
          <w:rFonts w:hint="eastAsia" w:ascii="宋体" w:hAnsi="宋体" w:cs="宋体"/>
          <w:b/>
          <w:bCs/>
          <w:sz w:val="24"/>
        </w:rPr>
        <w:t>服务内容</w:t>
      </w:r>
    </w:p>
    <w:p>
      <w:pPr>
        <w:pStyle w:val="4"/>
        <w:rPr>
          <w:rFonts w:cs="宋体"/>
          <w:szCs w:val="24"/>
        </w:rPr>
      </w:pPr>
      <w:r>
        <w:rPr>
          <w:rFonts w:hint="eastAsia"/>
          <w:szCs w:val="24"/>
        </w:rPr>
        <w:t>1、秩序维护服务</w:t>
      </w:r>
      <w:r>
        <w:rPr>
          <w:rFonts w:hint="eastAsia" w:ascii="宋体" w:hAnsi="宋体" w:cs="宋体"/>
          <w:szCs w:val="24"/>
        </w:rPr>
        <w:t>内容</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（1）负责该项目物业管理区域内公共财产的安全保卫及公共秩序的维护工作。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（2）按管理要求，做好学校工作人员、外来办事人员的进入登记管理工作，确保教学工作的秩序。</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（3）负责学校行课期间学生出入校门的管理工作及上放学学生出入校门的管理工作。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（4）协助学校维护突发事件的秩序工作。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（5）负责门卫室收发工作和学校巡逻工作。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（6）监控实施24小时值守，保障管理区域内公共财产的安全和公共秩序的维护工作。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（7）制定火灾、治安、公共卫生等突发事件、自然灾害应急预案并协助采取相应措施。</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（8）每月一次对消防设施进行检查，作好检查记录和检查报告，发现问题及时报校方领导。</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（9）负责学校大型活动、会议的秩序维护保障工作。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（10）负责停车场规范管理工作。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（11）完成采购人临时交办的其他秩序维护相关工作任务。</w:t>
      </w:r>
    </w:p>
    <w:p>
      <w:pPr>
        <w:pStyle w:val="4"/>
        <w:rPr>
          <w:szCs w:val="24"/>
        </w:rPr>
      </w:pPr>
      <w:r>
        <w:rPr>
          <w:rFonts w:hint="eastAsia"/>
          <w:szCs w:val="24"/>
        </w:rPr>
        <w:t>2、保洁服务内容</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（1）行政楼、教学楼、报告厅、图书馆的楼梯、楼道、栏杆等公共区域日常保洁；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负责</w:t>
      </w:r>
      <w:r>
        <w:rPr>
          <w:rFonts w:ascii="宋体" w:hAnsi="宋体" w:cs="宋体"/>
          <w:color w:val="000000" w:themeColor="text1"/>
          <w:sz w:val="24"/>
          <w14:textFill>
            <w14:solidFill>
              <w14:schemeClr w14:val="tx1"/>
            </w14:solidFill>
          </w14:textFill>
        </w:rPr>
        <w:t>卫生间清洁卫生和日常保洁；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（3）校园内的各种功能室内的清洁卫生和日常保洁；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（4）校内外停车场、校内外空坝，校内各广场、看台、运动场的清洁卫生和日常保洁；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（5）校内建筑物</w:t>
      </w:r>
      <w:r>
        <w:rPr>
          <w:rFonts w:hint="eastAsia" w:ascii="宋体" w:hAnsi="宋体" w:cs="宋体"/>
          <w:color w:val="000000" w:themeColor="text1"/>
          <w:sz w:val="24"/>
          <w14:textFill>
            <w14:solidFill>
              <w14:schemeClr w14:val="tx1"/>
            </w14:solidFill>
          </w14:textFill>
        </w:rPr>
        <w:t>室内</w:t>
      </w:r>
      <w:r>
        <w:rPr>
          <w:rFonts w:ascii="宋体" w:hAnsi="宋体" w:cs="宋体"/>
          <w:color w:val="000000" w:themeColor="text1"/>
          <w:sz w:val="24"/>
          <w14:textFill>
            <w14:solidFill>
              <w14:schemeClr w14:val="tx1"/>
            </w14:solidFill>
          </w14:textFill>
        </w:rPr>
        <w:t>立面望顶、玻璃保洁；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（6）校门口及校园内所有橱窗、展板保洁、所有塑像表面的清洁；</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7</w:t>
      </w: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负责每日收集公共区域垃圾并堆放在校内指定垃圾堆放地点，并协助环卫部门清运出校园，垃圾清运费由采购人承担。</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（8）大型会议、活动及集中考试等特殊情况时，根据采购人要求，派专人保洁，做好会场、考场布置，提前半个工作日完成工作任务。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除“四害”及环境消毒：根据季节不定期放置和喷洒药物，降低“四害”密度，防止流行性疾病发生。按卫生防疫规定开展环境消毒（包括墙角边、垃圾堆放点）。若遇突发疫情或自然灾害，消杀次数按相关规定增加。</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10</w:t>
      </w:r>
      <w:r>
        <w:rPr>
          <w:rFonts w:ascii="宋体" w:hAnsi="宋体" w:cs="宋体"/>
          <w:color w:val="000000" w:themeColor="text1"/>
          <w:sz w:val="24"/>
          <w14:textFill>
            <w14:solidFill>
              <w14:schemeClr w14:val="tx1"/>
            </w14:solidFill>
          </w14:textFill>
        </w:rPr>
        <w:t>）其它未尽区域以学校要求为准。</w:t>
      </w:r>
    </w:p>
    <w:p>
      <w:pPr>
        <w:pStyle w:val="4"/>
        <w:rPr>
          <w:szCs w:val="24"/>
        </w:rPr>
      </w:pPr>
      <w:r>
        <w:rPr>
          <w:rFonts w:hint="eastAsia"/>
          <w:szCs w:val="24"/>
        </w:rPr>
        <w:t>3、学生宿舍管理服务内容</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（1）严格贯彻执行公司、学校制定的各项管理制度。</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（2）定期检查宿舍楼安全设施、随时排查安全隐患、及时上报安全状况；及时处理住校生中的突发事件。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（3）坚持每天定期巡视服务区域并做好书面记录。</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（4）熟悉本宿舍区域学生的住宿情况，对学生进出宿舍进行有效管理，严禁外来人员进入宿舍，得到允许的除外，并做好出入记录。</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（5）严禁学生进入异性宿舍。</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（6）定期回访学校师生对区划内管理工作提出意见和建议，并作好记录。</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（7）每周一次及以上与学生、班主任进行有效沟通。</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（8）配合学校做好公共卫生事件的防控工作。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（9）配合学校处理学生住校期间的生病、受伤等工作。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（10）负责公共区域的清洁卫生工作。</w:t>
      </w:r>
    </w:p>
    <w:p>
      <w:pPr>
        <w:pStyle w:val="6"/>
        <w:numPr>
          <w:ilvl w:val="0"/>
          <w:numId w:val="46"/>
        </w:numPr>
        <w:spacing w:after="0" w:line="360" w:lineRule="auto"/>
        <w:jc w:val="center"/>
        <w:outlineLvl w:val="0"/>
        <w:rPr>
          <w:rFonts w:ascii="宋体" w:hAnsi="宋体" w:cs="宋体"/>
          <w:b/>
          <w:bCs/>
          <w:sz w:val="24"/>
        </w:rPr>
      </w:pPr>
      <w:r>
        <w:rPr>
          <w:rFonts w:hint="eastAsia" w:ascii="宋体" w:hAnsi="宋体" w:cs="宋体"/>
          <w:b/>
          <w:bCs/>
          <w:sz w:val="24"/>
        </w:rPr>
        <w:t>服务费用及付款方式</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1、服务费用：</w:t>
      </w:r>
    </w:p>
    <w:p>
      <w:pPr>
        <w:spacing w:line="360" w:lineRule="auto"/>
        <w:ind w:firstLine="480" w:firstLineChars="20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付款方式及付款时间：①</w:t>
      </w:r>
      <w:r>
        <w:rPr>
          <w:rFonts w:hint="eastAsia" w:ascii="宋体" w:hAnsi="宋体" w:cs="宋体"/>
          <w:color w:val="000000" w:themeColor="text1"/>
          <w:sz w:val="24"/>
          <w:lang w:val="zh-CN" w:eastAsia="zh-CN"/>
          <w14:textFill>
            <w14:solidFill>
              <w14:schemeClr w14:val="tx1"/>
            </w14:solidFill>
          </w14:textFill>
        </w:rPr>
        <w:t>预付款：</w:t>
      </w:r>
      <w:r>
        <w:rPr>
          <w:rFonts w:hint="eastAsia" w:ascii="宋体" w:hAnsi="宋体" w:cs="宋体"/>
          <w:color w:val="000000" w:themeColor="text1"/>
          <w:sz w:val="24"/>
          <w:lang w:val="en-US" w:eastAsia="zh-CN"/>
          <w14:textFill>
            <w14:solidFill>
              <w14:schemeClr w14:val="tx1"/>
            </w14:solidFill>
          </w14:textFill>
        </w:rPr>
        <w:t>中标通知书发出后，5个工作日内签订合同、备案，并收到中标人开具的合法票据后预付合同价的30%，预付款的扣回方式分12次按月同等比例。②进度款：采取银行转账方式，按月支付，每月初15日前将本月考核后的服务费（扣除已支付的部分）用以转帐形式支付给中标人。支付服务费时，中标人须递交拨付服务费的票据。</w:t>
      </w:r>
    </w:p>
    <w:p>
      <w:pPr>
        <w:spacing w:line="360" w:lineRule="auto"/>
        <w:ind w:firstLine="480" w:firstLineChars="200"/>
        <w:rPr>
          <w:rFonts w:ascii="宋体" w:hAnsi="宋体" w:cs="宋体"/>
          <w:color w:val="000000" w:themeColor="text1"/>
          <w:sz w:val="24"/>
          <w:highlight w:val="yellow"/>
          <w14:textFill>
            <w14:solidFill>
              <w14:schemeClr w14:val="tx1"/>
            </w14:solidFill>
          </w14:textFill>
        </w:rPr>
      </w:pPr>
    </w:p>
    <w:p>
      <w:pPr>
        <w:spacing w:line="360" w:lineRule="auto"/>
        <w:ind w:firstLine="482" w:firstLineChars="200"/>
        <w:jc w:val="left"/>
        <w:rPr>
          <w:rFonts w:ascii="宋体" w:hAnsi="宋体" w:cs="宋体"/>
          <w:b/>
          <w:bCs/>
          <w:sz w:val="24"/>
        </w:rPr>
      </w:pPr>
    </w:p>
    <w:p>
      <w:pPr>
        <w:pStyle w:val="6"/>
        <w:ind w:firstLine="3373" w:firstLineChars="1400"/>
        <w:outlineLvl w:val="0"/>
        <w:rPr>
          <w:rFonts w:ascii="宋体" w:hAnsi="宋体" w:cs="宋体"/>
          <w:b/>
          <w:bCs/>
          <w:sz w:val="24"/>
        </w:rPr>
      </w:pPr>
      <w:r>
        <w:rPr>
          <w:rFonts w:hint="eastAsia" w:ascii="宋体" w:hAnsi="宋体" w:cs="宋体"/>
          <w:b/>
          <w:bCs/>
          <w:sz w:val="24"/>
        </w:rPr>
        <w:t>第五条</w:t>
      </w:r>
      <w:r>
        <w:rPr>
          <w:rFonts w:hint="eastAsia" w:ascii="宋体" w:hAnsi="宋体" w:cs="宋体"/>
          <w:b/>
          <w:bCs/>
          <w:sz w:val="24"/>
        </w:rPr>
        <w:tab/>
      </w:r>
      <w:r>
        <w:rPr>
          <w:rFonts w:hint="eastAsia" w:ascii="宋体" w:hAnsi="宋体" w:cs="宋体"/>
          <w:b/>
          <w:bCs/>
          <w:sz w:val="24"/>
        </w:rPr>
        <w:t>知识产权</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乙方应保证所提供的服务或其任何一部分均不会侵犯任何第三方的专利权、商标权或著作权。</w:t>
      </w:r>
    </w:p>
    <w:p>
      <w:pPr>
        <w:pStyle w:val="6"/>
        <w:ind w:firstLine="3373" w:firstLineChars="1400"/>
        <w:rPr>
          <w:rFonts w:ascii="宋体" w:hAnsi="宋体" w:cs="宋体"/>
          <w:b/>
          <w:bCs/>
          <w:sz w:val="24"/>
        </w:rPr>
      </w:pPr>
    </w:p>
    <w:p>
      <w:pPr>
        <w:pStyle w:val="6"/>
        <w:ind w:firstLine="3373" w:firstLineChars="1400"/>
        <w:outlineLvl w:val="0"/>
        <w:rPr>
          <w:rFonts w:ascii="宋体" w:hAnsi="宋体" w:cs="宋体"/>
          <w:b/>
          <w:bCs/>
          <w:sz w:val="24"/>
        </w:rPr>
      </w:pPr>
      <w:r>
        <w:rPr>
          <w:rFonts w:hint="eastAsia" w:ascii="宋体" w:hAnsi="宋体" w:cs="宋体"/>
          <w:b/>
          <w:bCs/>
          <w:sz w:val="24"/>
        </w:rPr>
        <w:t>第六条</w:t>
      </w:r>
      <w:r>
        <w:rPr>
          <w:rFonts w:hint="eastAsia" w:ascii="宋体" w:hAnsi="宋体" w:cs="宋体"/>
          <w:b/>
          <w:bCs/>
          <w:sz w:val="24"/>
        </w:rPr>
        <w:tab/>
      </w:r>
      <w:r>
        <w:rPr>
          <w:rFonts w:hint="eastAsia" w:ascii="宋体" w:hAnsi="宋体" w:cs="宋体"/>
          <w:b/>
          <w:bCs/>
          <w:sz w:val="24"/>
        </w:rPr>
        <w:t>无产权瑕疵条款</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乙方保证所提供的服务的所有权完全属于乙方且无任何抵押、查封等产权瑕疵。如有产权瑕疵的，视为乙方违约。乙方应负担由此而产生的一切损失。</w:t>
      </w:r>
    </w:p>
    <w:p>
      <w:pPr>
        <w:pStyle w:val="6"/>
        <w:jc w:val="center"/>
        <w:outlineLvl w:val="0"/>
        <w:rPr>
          <w:rFonts w:ascii="宋体" w:hAnsi="宋体" w:cs="宋体"/>
          <w:b/>
          <w:bCs/>
          <w:sz w:val="24"/>
        </w:rPr>
      </w:pPr>
      <w:r>
        <w:rPr>
          <w:rFonts w:hint="eastAsia" w:ascii="宋体" w:hAnsi="宋体" w:cs="宋体"/>
          <w:b/>
          <w:bCs/>
          <w:sz w:val="24"/>
        </w:rPr>
        <w:t>第七条</w:t>
      </w:r>
      <w:r>
        <w:rPr>
          <w:rFonts w:hint="eastAsia" w:ascii="宋体" w:hAnsi="宋体" w:cs="宋体"/>
          <w:b/>
          <w:bCs/>
          <w:sz w:val="24"/>
        </w:rPr>
        <w:tab/>
      </w:r>
      <w:r>
        <w:rPr>
          <w:rFonts w:hint="eastAsia" w:ascii="宋体" w:hAnsi="宋体" w:cs="宋体"/>
          <w:b/>
          <w:bCs/>
          <w:sz w:val="24"/>
        </w:rPr>
        <w:t>甲方的权利和义务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2、负责检查监督乙方管理工作的实施及制度的执行情况。</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3、根据本合同规定，按时向乙方支付应付服务费用。</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4、为乙方的保安管理服务工作提供电源、水源，工作日工作餐等，乙方必须节约使用。</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5、甲方为乙方无偿提供足够的办公用房、物品放置房及秩序维护人员寝室。</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6、甲方在委托管理事项处理完毕或者委托期限届满后半年内，不得聘用乙方在职工作人员。否则，乙方有权追究甲方的违约责任并要求其承担一年服务费总额10%的违约金。</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7、甲方应要求甲方工作人员在下班时关好门、窗等，防止出现因未关闭而发生被盗事件；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8、服务区域内，发生案件造成甲方或乙方经济损失，经公安机关鉴定后，由责任方负责经济赔偿；</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9、国家法律、法规所规定由甲方承担的其它责任。</w:t>
      </w:r>
    </w:p>
    <w:p>
      <w:pPr>
        <w:pStyle w:val="6"/>
        <w:jc w:val="center"/>
        <w:outlineLvl w:val="0"/>
        <w:rPr>
          <w:rFonts w:ascii="宋体" w:hAnsi="宋体" w:cs="宋体"/>
          <w:b/>
          <w:bCs/>
          <w:sz w:val="24"/>
        </w:rPr>
      </w:pPr>
      <w:r>
        <w:rPr>
          <w:rFonts w:hint="eastAsia" w:ascii="宋体" w:hAnsi="宋体" w:cs="宋体"/>
          <w:b/>
          <w:bCs/>
          <w:sz w:val="24"/>
        </w:rPr>
        <w:t>第八条</w:t>
      </w:r>
      <w:r>
        <w:rPr>
          <w:rFonts w:hint="eastAsia" w:ascii="宋体" w:hAnsi="宋体" w:cs="宋体"/>
          <w:b/>
          <w:bCs/>
          <w:sz w:val="24"/>
        </w:rPr>
        <w:tab/>
      </w:r>
      <w:r>
        <w:rPr>
          <w:rFonts w:hint="eastAsia" w:ascii="宋体" w:hAnsi="宋体" w:cs="宋体"/>
          <w:b/>
          <w:bCs/>
          <w:sz w:val="24"/>
        </w:rPr>
        <w:t>乙方的权利和义务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1、对本合同规定的委托服务范围内的项目享有管理权及服务义务。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2、根据本合同的规定向甲方收取相关服务费用，并有权在本项目管理范围内管理及合理使用。</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3、及时向甲方通告本项目服务范围内有关服务的重大事项，及时配合处理投诉。</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4、接受项目行业管理部门及政府有关部门的指导，接受甲方的监督。</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5、乙方派驻的物业服务人员必须严格遵纪守法，自觉遵守甲方制定的各项规章制度和安全操作规程，防止意外事故的发生，服从甲方工作安排，认真完成工作任务。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乙方应遵循安全生产、文明施工的有关规定，在工作过程中采取严格的安全措施，因过失发生人身安全事故，责任与费用以司法部门鉴定为准。（因甲方工作场地存在安全隐患、因甲方安排指挥管理不当出现事故或应甲方设施设备缺陷造成的安全事故由甲方承担全部责任）。</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7、国家法律、法规所规定由乙方承担的其它责任。</w:t>
      </w:r>
    </w:p>
    <w:p>
      <w:pPr>
        <w:pStyle w:val="6"/>
        <w:jc w:val="center"/>
        <w:rPr>
          <w:rFonts w:ascii="宋体" w:hAnsi="宋体" w:cs="宋体"/>
          <w:b/>
          <w:bCs/>
          <w:sz w:val="24"/>
        </w:rPr>
      </w:pPr>
    </w:p>
    <w:p>
      <w:pPr>
        <w:pStyle w:val="6"/>
        <w:jc w:val="center"/>
        <w:outlineLvl w:val="0"/>
        <w:rPr>
          <w:rFonts w:ascii="宋体" w:hAnsi="宋体" w:cs="宋体"/>
          <w:b/>
          <w:bCs/>
          <w:sz w:val="24"/>
        </w:rPr>
      </w:pPr>
      <w:r>
        <w:rPr>
          <w:rFonts w:hint="eastAsia" w:ascii="宋体" w:hAnsi="宋体" w:cs="宋体"/>
          <w:b/>
          <w:bCs/>
          <w:sz w:val="24"/>
        </w:rPr>
        <w:t>第九条</w:t>
      </w:r>
      <w:r>
        <w:rPr>
          <w:rFonts w:hint="eastAsia" w:ascii="宋体" w:hAnsi="宋体" w:cs="宋体"/>
          <w:b/>
          <w:bCs/>
          <w:sz w:val="24"/>
        </w:rPr>
        <w:tab/>
      </w:r>
      <w:r>
        <w:rPr>
          <w:rFonts w:hint="eastAsia" w:ascii="宋体" w:hAnsi="宋体" w:cs="宋体"/>
          <w:b/>
          <w:bCs/>
          <w:sz w:val="24"/>
        </w:rPr>
        <w:t>违约责任</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1、甲乙双方必须遵守本合同并执行合同中的各项规定，保证本合同的正常履行。</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因乙方工作人员在履行职务过程中的的疏忽、失职、过错等故意或者过失原因给甲方造成损失或侵害，包括但不限于甲方本身的财产损失、由此而导致的甲方对任何第三方的法律责任等，乙方对此均应承担赔偿责任。</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3、若甲方不按期支付款项，乙方有权要求支付逾期费（每天逾期费用按合同总价的千分之三执行），因资金不到位导致工作开展受到影响及其他责任由甲方负责。</w:t>
      </w:r>
    </w:p>
    <w:p>
      <w:pPr>
        <w:pStyle w:val="6"/>
        <w:jc w:val="center"/>
        <w:outlineLvl w:val="0"/>
        <w:rPr>
          <w:rFonts w:ascii="宋体" w:hAnsi="宋体" w:cs="宋体"/>
          <w:b/>
          <w:bCs/>
          <w:sz w:val="24"/>
        </w:rPr>
      </w:pPr>
      <w:r>
        <w:rPr>
          <w:rFonts w:hint="eastAsia" w:ascii="宋体" w:hAnsi="宋体" w:cs="宋体"/>
          <w:b/>
          <w:bCs/>
          <w:sz w:val="24"/>
        </w:rPr>
        <w:t>第十条</w:t>
      </w:r>
      <w:r>
        <w:rPr>
          <w:rFonts w:hint="eastAsia" w:ascii="宋体" w:hAnsi="宋体" w:cs="宋体"/>
          <w:b/>
          <w:bCs/>
          <w:sz w:val="24"/>
        </w:rPr>
        <w:tab/>
      </w:r>
      <w:r>
        <w:rPr>
          <w:rFonts w:hint="eastAsia" w:ascii="宋体" w:hAnsi="宋体" w:cs="宋体"/>
          <w:b/>
          <w:bCs/>
          <w:sz w:val="24"/>
        </w:rPr>
        <w:t>不可抗力事件处理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1、在合同有效期内，任何一方因不可抗力事件导致不能履行合同，则合同履行期可延长，其延长期与不可抗力影响期相同。</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2、不可抗力事件发生后，应立即通知对方，并寄送有关权威机构出具的证明。</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3、不可抗力事件延续XX天以上，双方应通过友好协商，确定是否继续履行合同。</w:t>
      </w:r>
    </w:p>
    <w:p>
      <w:pPr>
        <w:pStyle w:val="6"/>
        <w:jc w:val="center"/>
        <w:outlineLvl w:val="0"/>
        <w:rPr>
          <w:rFonts w:ascii="宋体" w:hAnsi="宋体" w:cs="宋体"/>
          <w:b/>
          <w:bCs/>
          <w:sz w:val="24"/>
        </w:rPr>
      </w:pPr>
      <w:r>
        <w:rPr>
          <w:rFonts w:hint="eastAsia" w:ascii="宋体" w:hAnsi="宋体" w:cs="宋体"/>
          <w:b/>
          <w:bCs/>
          <w:sz w:val="24"/>
        </w:rPr>
        <w:t>第十一条</w:t>
      </w:r>
      <w:r>
        <w:rPr>
          <w:rFonts w:hint="eastAsia" w:ascii="宋体" w:hAnsi="宋体" w:cs="宋体"/>
          <w:b/>
          <w:bCs/>
          <w:sz w:val="24"/>
        </w:rPr>
        <w:tab/>
      </w:r>
      <w:r>
        <w:rPr>
          <w:rFonts w:hint="eastAsia" w:ascii="宋体" w:hAnsi="宋体" w:cs="宋体"/>
          <w:b/>
          <w:bCs/>
          <w:sz w:val="24"/>
        </w:rPr>
        <w:t>解决合同纠纷的方式</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在履行本合同过程中，如发生的与本合同有关的争端，双方应通过友好协商解决，经协商不能达成协议时，应提交本合同履行地点所在成都市新都区人民法院依法裁判。</w:t>
      </w:r>
    </w:p>
    <w:p>
      <w:pPr>
        <w:pStyle w:val="6"/>
        <w:jc w:val="center"/>
        <w:outlineLvl w:val="0"/>
        <w:rPr>
          <w:rFonts w:ascii="宋体" w:hAnsi="宋体" w:cs="宋体"/>
          <w:b/>
          <w:bCs/>
          <w:sz w:val="24"/>
        </w:rPr>
      </w:pPr>
      <w:r>
        <w:rPr>
          <w:rFonts w:hint="eastAsia" w:ascii="宋体" w:hAnsi="宋体" w:cs="宋体"/>
          <w:b/>
          <w:bCs/>
          <w:sz w:val="24"/>
        </w:rPr>
        <w:t>第十二条</w:t>
      </w:r>
      <w:r>
        <w:rPr>
          <w:rFonts w:hint="eastAsia" w:ascii="宋体" w:hAnsi="宋体" w:cs="宋体"/>
          <w:b/>
          <w:bCs/>
          <w:sz w:val="24"/>
        </w:rPr>
        <w:tab/>
      </w:r>
      <w:r>
        <w:rPr>
          <w:rFonts w:hint="eastAsia" w:ascii="宋体" w:hAnsi="宋体" w:cs="宋体"/>
          <w:b/>
          <w:bCs/>
          <w:sz w:val="24"/>
        </w:rPr>
        <w:t>合同生效及其他</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1、合同经双方法定代表人或授权委托代理人签字并加盖单位公章后生效。</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2、合同执行中涉及采购内容修改或补充的，须经政府采购监管部门审批，并签书面补充协议报政府采购监督管理部门备案，方可作为主合同不可分割的一部分。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3、本合同执行期间，如出现政策性工资上调、社保上涨等因素，甲乙双方可协商调整本合同所定服务费价格。</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4、本合同一式XX份，自双方签章之日起起效。甲方X份，乙方X份，政府采购代理机构X份，同级财政部门备案X份，具有同等法律效力。</w:t>
      </w:r>
    </w:p>
    <w:p>
      <w:pPr>
        <w:pStyle w:val="6"/>
        <w:rPr>
          <w:rFonts w:ascii="宋体" w:hAnsi="宋体" w:cs="宋体"/>
          <w:sz w:val="24"/>
        </w:rPr>
      </w:pPr>
    </w:p>
    <w:p>
      <w:pPr>
        <w:pStyle w:val="6"/>
        <w:jc w:val="center"/>
        <w:outlineLvl w:val="0"/>
        <w:rPr>
          <w:rFonts w:ascii="宋体" w:hAnsi="宋体" w:cs="宋体"/>
          <w:b/>
          <w:bCs/>
          <w:sz w:val="24"/>
        </w:rPr>
      </w:pPr>
      <w:r>
        <w:rPr>
          <w:rFonts w:hint="eastAsia" w:ascii="宋体" w:hAnsi="宋体" w:cs="宋体"/>
          <w:b/>
          <w:bCs/>
          <w:sz w:val="24"/>
        </w:rPr>
        <w:t>第十三条  附件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1、项目招标文件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2、项目修改澄清文件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3、项目投标文件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4、中标通知书</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5、其他</w:t>
      </w:r>
    </w:p>
    <w:p/>
    <w:p>
      <w:pPr>
        <w:pStyle w:val="6"/>
        <w:rPr>
          <w:rFonts w:ascii="宋体" w:hAnsi="宋体" w:cs="宋体"/>
          <w:sz w:val="24"/>
        </w:rPr>
      </w:pPr>
      <w:r>
        <w:rPr>
          <w:rFonts w:hint="eastAsia" w:ascii="宋体" w:hAnsi="宋体" w:cs="宋体"/>
          <w:sz w:val="24"/>
        </w:rPr>
        <w:t xml:space="preserve">甲方：   （盖章）   </w:t>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乙方：   （盖章）</w:t>
      </w:r>
    </w:p>
    <w:p>
      <w:pPr>
        <w:pStyle w:val="6"/>
        <w:rPr>
          <w:rFonts w:ascii="宋体" w:hAnsi="宋体" w:cs="宋体"/>
          <w:sz w:val="24"/>
        </w:rPr>
      </w:pPr>
      <w:r>
        <w:rPr>
          <w:rFonts w:hint="eastAsia" w:ascii="宋体" w:hAnsi="宋体" w:cs="宋体"/>
          <w:sz w:val="24"/>
        </w:rPr>
        <w:t>法定代表人（授权代表）：                 法定代表人（授权代表）：</w:t>
      </w:r>
    </w:p>
    <w:p>
      <w:pPr>
        <w:pStyle w:val="6"/>
        <w:rPr>
          <w:rFonts w:ascii="宋体" w:hAnsi="宋体" w:cs="宋体"/>
          <w:sz w:val="24"/>
        </w:rPr>
      </w:pPr>
      <w:r>
        <w:rPr>
          <w:rFonts w:hint="eastAsia" w:ascii="宋体" w:hAnsi="宋体" w:cs="宋体"/>
          <w:sz w:val="24"/>
        </w:rPr>
        <w:t>地    址：                               地    址：</w:t>
      </w:r>
    </w:p>
    <w:p>
      <w:pPr>
        <w:pStyle w:val="6"/>
        <w:rPr>
          <w:rFonts w:ascii="宋体" w:hAnsi="宋体" w:cs="宋体"/>
          <w:sz w:val="24"/>
        </w:rPr>
      </w:pPr>
      <w:r>
        <w:rPr>
          <w:rFonts w:hint="eastAsia" w:ascii="宋体" w:hAnsi="宋体" w:cs="宋体"/>
          <w:sz w:val="24"/>
        </w:rPr>
        <w:t>开户银行：                               开户银行：</w:t>
      </w:r>
    </w:p>
    <w:p>
      <w:pPr>
        <w:pStyle w:val="6"/>
        <w:rPr>
          <w:rFonts w:ascii="宋体" w:hAnsi="宋体" w:cs="宋体"/>
          <w:sz w:val="24"/>
        </w:rPr>
      </w:pPr>
      <w:r>
        <w:rPr>
          <w:rFonts w:hint="eastAsia" w:ascii="宋体" w:hAnsi="宋体" w:cs="宋体"/>
          <w:sz w:val="24"/>
        </w:rPr>
        <w:t>账号：                                   账号：</w:t>
      </w:r>
    </w:p>
    <w:p>
      <w:pPr>
        <w:pStyle w:val="6"/>
        <w:rPr>
          <w:rFonts w:ascii="宋体" w:hAnsi="宋体" w:cs="宋体"/>
          <w:sz w:val="24"/>
        </w:rPr>
      </w:pPr>
      <w:r>
        <w:rPr>
          <w:rFonts w:hint="eastAsia" w:ascii="宋体" w:hAnsi="宋体" w:cs="宋体"/>
          <w:sz w:val="24"/>
        </w:rPr>
        <w:t>电    话：                               电    话：</w:t>
      </w:r>
    </w:p>
    <w:p>
      <w:pPr>
        <w:pStyle w:val="6"/>
        <w:rPr>
          <w:rFonts w:ascii="宋体" w:hAnsi="宋体" w:cs="宋体"/>
          <w:sz w:val="24"/>
        </w:rPr>
      </w:pPr>
      <w:r>
        <w:rPr>
          <w:rFonts w:hint="eastAsia" w:ascii="宋体" w:hAnsi="宋体" w:cs="宋体"/>
          <w:sz w:val="24"/>
        </w:rPr>
        <w:t>传    真：                               传    真：</w:t>
      </w:r>
    </w:p>
    <w:p>
      <w:pPr>
        <w:pStyle w:val="6"/>
        <w:rPr>
          <w:rFonts w:ascii="宋体" w:hAnsi="宋体" w:cs="宋体"/>
          <w:sz w:val="24"/>
        </w:rPr>
      </w:pPr>
      <w:r>
        <w:rPr>
          <w:rFonts w:hint="eastAsia" w:ascii="宋体" w:hAnsi="宋体" w:cs="宋体"/>
          <w:sz w:val="24"/>
        </w:rPr>
        <w:t xml:space="preserve">签约日期：      年   月   日 </w:t>
      </w:r>
      <w:r>
        <w:rPr>
          <w:rFonts w:hint="eastAsia" w:ascii="宋体" w:hAnsi="宋体" w:cs="宋体"/>
          <w:sz w:val="24"/>
        </w:rPr>
        <w:tab/>
      </w:r>
      <w:r>
        <w:rPr>
          <w:rFonts w:hint="eastAsia" w:ascii="宋体" w:hAnsi="宋体" w:cs="宋体"/>
          <w:sz w:val="24"/>
        </w:rPr>
        <w:t xml:space="preserve">           签约日期：     年   月   日</w:t>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F63459"/>
    <w:multiLevelType w:val="singleLevel"/>
    <w:tmpl w:val="D4F63459"/>
    <w:lvl w:ilvl="0" w:tentative="0">
      <w:start w:val="3"/>
      <w:numFmt w:val="chineseCounting"/>
      <w:lvlText w:val="第%1条"/>
      <w:lvlJc w:val="left"/>
      <w:rPr>
        <w:rFonts w:hint="eastAsia"/>
      </w:rPr>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2">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4">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6">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7">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8">
    <w:nsid w:val="0D6B6379"/>
    <w:multiLevelType w:val="multilevel"/>
    <w:tmpl w:val="0D6B6379"/>
    <w:lvl w:ilvl="0" w:tentative="0">
      <w:start w:val="1"/>
      <w:numFmt w:val="chineseCountingThousand"/>
      <w:lvlText w:val="%1、"/>
      <w:lvlJc w:val="left"/>
      <w:pPr>
        <w:ind w:left="987" w:hanging="420"/>
      </w:pPr>
      <w:rPr>
        <w:rFonts w:hint="eastAsia" w:ascii="宋体" w:hAnsi="宋体" w:eastAsia="宋体" w:cstheme="minorEastAsia"/>
        <w:b/>
        <w:bCs/>
        <w:sz w:val="28"/>
        <w:szCs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9">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0">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1">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88"/>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8">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0">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646260FA"/>
    <w:multiLevelType w:val="multilevel"/>
    <w:tmpl w:val="646260FA"/>
    <w:lvl w:ilvl="0" w:tentative="0">
      <w:start w:val="1"/>
      <w:numFmt w:val="decimal"/>
      <w:pStyle w:val="90"/>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8">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9">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1">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3">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4">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21"/>
  </w:num>
  <w:num w:numId="3">
    <w:abstractNumId w:val="3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83D45"/>
    <w:rsid w:val="009904B6"/>
    <w:rsid w:val="01201D30"/>
    <w:rsid w:val="019908FC"/>
    <w:rsid w:val="019922FE"/>
    <w:rsid w:val="01E71957"/>
    <w:rsid w:val="029B51A7"/>
    <w:rsid w:val="03B525A0"/>
    <w:rsid w:val="03DD7DD2"/>
    <w:rsid w:val="03F016CF"/>
    <w:rsid w:val="04290775"/>
    <w:rsid w:val="05134858"/>
    <w:rsid w:val="052556ED"/>
    <w:rsid w:val="05436BBF"/>
    <w:rsid w:val="05CE62CF"/>
    <w:rsid w:val="06133F0F"/>
    <w:rsid w:val="06B90B6A"/>
    <w:rsid w:val="06BC52F1"/>
    <w:rsid w:val="076B696D"/>
    <w:rsid w:val="0795533A"/>
    <w:rsid w:val="08AB6053"/>
    <w:rsid w:val="093C2BEE"/>
    <w:rsid w:val="09AE2CD7"/>
    <w:rsid w:val="0A5B4549"/>
    <w:rsid w:val="0A6B6CB3"/>
    <w:rsid w:val="0B4F076E"/>
    <w:rsid w:val="0B573578"/>
    <w:rsid w:val="0B9F10D1"/>
    <w:rsid w:val="0C1D10E3"/>
    <w:rsid w:val="0C990845"/>
    <w:rsid w:val="0D132F22"/>
    <w:rsid w:val="0D831DBC"/>
    <w:rsid w:val="0D9F7680"/>
    <w:rsid w:val="0DC46DE1"/>
    <w:rsid w:val="0F737071"/>
    <w:rsid w:val="10B80E31"/>
    <w:rsid w:val="10D24ABA"/>
    <w:rsid w:val="1148181C"/>
    <w:rsid w:val="1254371D"/>
    <w:rsid w:val="129D4AEE"/>
    <w:rsid w:val="12A85590"/>
    <w:rsid w:val="12A91AF4"/>
    <w:rsid w:val="12CA4727"/>
    <w:rsid w:val="134A0EFD"/>
    <w:rsid w:val="137A106F"/>
    <w:rsid w:val="13C8680A"/>
    <w:rsid w:val="13E67CB4"/>
    <w:rsid w:val="140D5AA3"/>
    <w:rsid w:val="14115C4A"/>
    <w:rsid w:val="14166DFE"/>
    <w:rsid w:val="14CB44CC"/>
    <w:rsid w:val="151F7185"/>
    <w:rsid w:val="15307A52"/>
    <w:rsid w:val="156E5A03"/>
    <w:rsid w:val="17F068CD"/>
    <w:rsid w:val="181C7CD3"/>
    <w:rsid w:val="185271BE"/>
    <w:rsid w:val="189C4A00"/>
    <w:rsid w:val="1923069C"/>
    <w:rsid w:val="194277C5"/>
    <w:rsid w:val="194E3517"/>
    <w:rsid w:val="19665D4E"/>
    <w:rsid w:val="19912E67"/>
    <w:rsid w:val="19BF788E"/>
    <w:rsid w:val="19D27FA5"/>
    <w:rsid w:val="19F103D1"/>
    <w:rsid w:val="1A6F49F9"/>
    <w:rsid w:val="1B621741"/>
    <w:rsid w:val="1B663109"/>
    <w:rsid w:val="1BA9783F"/>
    <w:rsid w:val="1DBE0AAD"/>
    <w:rsid w:val="1DCC7D4F"/>
    <w:rsid w:val="1DD926C2"/>
    <w:rsid w:val="1E161E4E"/>
    <w:rsid w:val="1E3408D4"/>
    <w:rsid w:val="1E3E5231"/>
    <w:rsid w:val="1F256AB6"/>
    <w:rsid w:val="1F3E485B"/>
    <w:rsid w:val="1F4C5CC5"/>
    <w:rsid w:val="1F4D374B"/>
    <w:rsid w:val="1FBA3593"/>
    <w:rsid w:val="210C6191"/>
    <w:rsid w:val="211248A7"/>
    <w:rsid w:val="217B1EBF"/>
    <w:rsid w:val="21C3636A"/>
    <w:rsid w:val="220313BE"/>
    <w:rsid w:val="224003C9"/>
    <w:rsid w:val="224019D1"/>
    <w:rsid w:val="22E42522"/>
    <w:rsid w:val="233D216E"/>
    <w:rsid w:val="23C92180"/>
    <w:rsid w:val="23D94A3F"/>
    <w:rsid w:val="23DE51ED"/>
    <w:rsid w:val="23DE607E"/>
    <w:rsid w:val="23F61AA1"/>
    <w:rsid w:val="243B27CA"/>
    <w:rsid w:val="24461951"/>
    <w:rsid w:val="246A6DF1"/>
    <w:rsid w:val="24CD1B6F"/>
    <w:rsid w:val="256F02EF"/>
    <w:rsid w:val="2594545B"/>
    <w:rsid w:val="25C20203"/>
    <w:rsid w:val="25ED5569"/>
    <w:rsid w:val="26260386"/>
    <w:rsid w:val="26476E62"/>
    <w:rsid w:val="26A65E8D"/>
    <w:rsid w:val="26E94E7B"/>
    <w:rsid w:val="26ED7B90"/>
    <w:rsid w:val="273E698B"/>
    <w:rsid w:val="27426E9B"/>
    <w:rsid w:val="2745745E"/>
    <w:rsid w:val="27477601"/>
    <w:rsid w:val="275415C2"/>
    <w:rsid w:val="27DC4E9F"/>
    <w:rsid w:val="27ED7013"/>
    <w:rsid w:val="27F85338"/>
    <w:rsid w:val="28BA4589"/>
    <w:rsid w:val="28C51FFA"/>
    <w:rsid w:val="28E16679"/>
    <w:rsid w:val="28F82243"/>
    <w:rsid w:val="292E0BDF"/>
    <w:rsid w:val="2A0D05FB"/>
    <w:rsid w:val="2A776991"/>
    <w:rsid w:val="2A7C42A7"/>
    <w:rsid w:val="2A7E037A"/>
    <w:rsid w:val="2ACB1C5D"/>
    <w:rsid w:val="2B637B77"/>
    <w:rsid w:val="2B66355D"/>
    <w:rsid w:val="2B6F1891"/>
    <w:rsid w:val="2BCB285F"/>
    <w:rsid w:val="2C103A8F"/>
    <w:rsid w:val="2C954195"/>
    <w:rsid w:val="2CC50878"/>
    <w:rsid w:val="2DBB7EEB"/>
    <w:rsid w:val="2E6B5BA8"/>
    <w:rsid w:val="2F390666"/>
    <w:rsid w:val="2F5862A7"/>
    <w:rsid w:val="2FC73F0E"/>
    <w:rsid w:val="30092B55"/>
    <w:rsid w:val="301D1AB0"/>
    <w:rsid w:val="303644A7"/>
    <w:rsid w:val="303E3D32"/>
    <w:rsid w:val="304A094E"/>
    <w:rsid w:val="30857D9E"/>
    <w:rsid w:val="30A428E8"/>
    <w:rsid w:val="310C49AB"/>
    <w:rsid w:val="319736F2"/>
    <w:rsid w:val="31A4298C"/>
    <w:rsid w:val="31BB2E0B"/>
    <w:rsid w:val="31D46F33"/>
    <w:rsid w:val="32064A9F"/>
    <w:rsid w:val="32093C25"/>
    <w:rsid w:val="325E2104"/>
    <w:rsid w:val="32A20DFD"/>
    <w:rsid w:val="33B354C6"/>
    <w:rsid w:val="33CA479E"/>
    <w:rsid w:val="3414611A"/>
    <w:rsid w:val="341F36EF"/>
    <w:rsid w:val="343529BC"/>
    <w:rsid w:val="3490267F"/>
    <w:rsid w:val="351C6E0F"/>
    <w:rsid w:val="356F6271"/>
    <w:rsid w:val="376E10FD"/>
    <w:rsid w:val="37EF2EFD"/>
    <w:rsid w:val="380B0473"/>
    <w:rsid w:val="383A7868"/>
    <w:rsid w:val="3850315D"/>
    <w:rsid w:val="386729D3"/>
    <w:rsid w:val="38A25685"/>
    <w:rsid w:val="38CC1EE8"/>
    <w:rsid w:val="39972A2E"/>
    <w:rsid w:val="3A5211CE"/>
    <w:rsid w:val="3A744C20"/>
    <w:rsid w:val="3A950D58"/>
    <w:rsid w:val="3AE877BB"/>
    <w:rsid w:val="3B0375D5"/>
    <w:rsid w:val="3B4A2122"/>
    <w:rsid w:val="3BA75D7D"/>
    <w:rsid w:val="3BAF0DEE"/>
    <w:rsid w:val="3E401E19"/>
    <w:rsid w:val="3EE12D3E"/>
    <w:rsid w:val="3F06767F"/>
    <w:rsid w:val="3FB952F7"/>
    <w:rsid w:val="3FE458DE"/>
    <w:rsid w:val="400A64D8"/>
    <w:rsid w:val="404213BA"/>
    <w:rsid w:val="4069344E"/>
    <w:rsid w:val="40801E8F"/>
    <w:rsid w:val="40D111CB"/>
    <w:rsid w:val="41AF5B4E"/>
    <w:rsid w:val="42B44D29"/>
    <w:rsid w:val="42C40C34"/>
    <w:rsid w:val="433C4AC6"/>
    <w:rsid w:val="439B26E7"/>
    <w:rsid w:val="43A023A2"/>
    <w:rsid w:val="43AD294A"/>
    <w:rsid w:val="43B90ADE"/>
    <w:rsid w:val="44104314"/>
    <w:rsid w:val="44DC72AC"/>
    <w:rsid w:val="453A0C7D"/>
    <w:rsid w:val="45672FEC"/>
    <w:rsid w:val="45DD3171"/>
    <w:rsid w:val="45E06734"/>
    <w:rsid w:val="45EC6514"/>
    <w:rsid w:val="460562F5"/>
    <w:rsid w:val="473E665C"/>
    <w:rsid w:val="474F5CD5"/>
    <w:rsid w:val="47FB2F4F"/>
    <w:rsid w:val="48891CA7"/>
    <w:rsid w:val="48B26C4E"/>
    <w:rsid w:val="48EB2DB9"/>
    <w:rsid w:val="495048BA"/>
    <w:rsid w:val="49970512"/>
    <w:rsid w:val="499D6FB4"/>
    <w:rsid w:val="4A587E18"/>
    <w:rsid w:val="4AA91983"/>
    <w:rsid w:val="4ACB10EB"/>
    <w:rsid w:val="4B1F5709"/>
    <w:rsid w:val="4B6A5F9E"/>
    <w:rsid w:val="4BAF355A"/>
    <w:rsid w:val="4BB57442"/>
    <w:rsid w:val="4C1E335A"/>
    <w:rsid w:val="4C7E5546"/>
    <w:rsid w:val="4D1B7493"/>
    <w:rsid w:val="4D497122"/>
    <w:rsid w:val="4D6B3A81"/>
    <w:rsid w:val="4DC429F6"/>
    <w:rsid w:val="4DEB2D46"/>
    <w:rsid w:val="4E570E81"/>
    <w:rsid w:val="4E780CDD"/>
    <w:rsid w:val="4E7D2348"/>
    <w:rsid w:val="4EC71876"/>
    <w:rsid w:val="4EC71A0A"/>
    <w:rsid w:val="4EE364A3"/>
    <w:rsid w:val="4F2C4521"/>
    <w:rsid w:val="4F7B5151"/>
    <w:rsid w:val="4FB80F90"/>
    <w:rsid w:val="4FEE458B"/>
    <w:rsid w:val="50077466"/>
    <w:rsid w:val="50142192"/>
    <w:rsid w:val="501D508A"/>
    <w:rsid w:val="50582322"/>
    <w:rsid w:val="50B750EB"/>
    <w:rsid w:val="516C5B5B"/>
    <w:rsid w:val="51953E51"/>
    <w:rsid w:val="51DE7771"/>
    <w:rsid w:val="52F27F69"/>
    <w:rsid w:val="533D67A7"/>
    <w:rsid w:val="536569E2"/>
    <w:rsid w:val="53986646"/>
    <w:rsid w:val="539D2E02"/>
    <w:rsid w:val="53CE7141"/>
    <w:rsid w:val="54337CD0"/>
    <w:rsid w:val="54973394"/>
    <w:rsid w:val="549B6E2C"/>
    <w:rsid w:val="54C76213"/>
    <w:rsid w:val="54DD31B0"/>
    <w:rsid w:val="54E57410"/>
    <w:rsid w:val="551C17DD"/>
    <w:rsid w:val="552D7A22"/>
    <w:rsid w:val="552E60F4"/>
    <w:rsid w:val="56425196"/>
    <w:rsid w:val="56F468B3"/>
    <w:rsid w:val="575072DC"/>
    <w:rsid w:val="57D65F02"/>
    <w:rsid w:val="582015A4"/>
    <w:rsid w:val="58750E20"/>
    <w:rsid w:val="58904D71"/>
    <w:rsid w:val="58DC148F"/>
    <w:rsid w:val="58FF3FBB"/>
    <w:rsid w:val="590326AA"/>
    <w:rsid w:val="59427D30"/>
    <w:rsid w:val="595118F9"/>
    <w:rsid w:val="59882E61"/>
    <w:rsid w:val="598B1BC0"/>
    <w:rsid w:val="59D219AD"/>
    <w:rsid w:val="59D26CD7"/>
    <w:rsid w:val="5AE66F31"/>
    <w:rsid w:val="5AF848DA"/>
    <w:rsid w:val="5B92544F"/>
    <w:rsid w:val="5BC345DC"/>
    <w:rsid w:val="5C0D44D6"/>
    <w:rsid w:val="5C9B5A78"/>
    <w:rsid w:val="5CA261F3"/>
    <w:rsid w:val="5CEC0184"/>
    <w:rsid w:val="5CF95F8F"/>
    <w:rsid w:val="5D063523"/>
    <w:rsid w:val="5D632B58"/>
    <w:rsid w:val="5D6A1BFC"/>
    <w:rsid w:val="5D772567"/>
    <w:rsid w:val="5D821336"/>
    <w:rsid w:val="5DB65FBC"/>
    <w:rsid w:val="5E2C6091"/>
    <w:rsid w:val="5E3E1871"/>
    <w:rsid w:val="5E8D1806"/>
    <w:rsid w:val="5EB0424F"/>
    <w:rsid w:val="5ED03530"/>
    <w:rsid w:val="5EF65E2B"/>
    <w:rsid w:val="5EFB5E04"/>
    <w:rsid w:val="5F15455D"/>
    <w:rsid w:val="603320B6"/>
    <w:rsid w:val="604638DA"/>
    <w:rsid w:val="60E21FBC"/>
    <w:rsid w:val="6104312B"/>
    <w:rsid w:val="61D802B2"/>
    <w:rsid w:val="61EE2E97"/>
    <w:rsid w:val="6202633D"/>
    <w:rsid w:val="62D116C3"/>
    <w:rsid w:val="63677390"/>
    <w:rsid w:val="63872427"/>
    <w:rsid w:val="63EB2369"/>
    <w:rsid w:val="64234341"/>
    <w:rsid w:val="64A80600"/>
    <w:rsid w:val="654B0F78"/>
    <w:rsid w:val="654E58ED"/>
    <w:rsid w:val="659D7D48"/>
    <w:rsid w:val="65BC625A"/>
    <w:rsid w:val="667506DA"/>
    <w:rsid w:val="66EE0966"/>
    <w:rsid w:val="6712040B"/>
    <w:rsid w:val="67301A95"/>
    <w:rsid w:val="67A0545E"/>
    <w:rsid w:val="67A07797"/>
    <w:rsid w:val="67A32CAD"/>
    <w:rsid w:val="684A0234"/>
    <w:rsid w:val="68591BB8"/>
    <w:rsid w:val="68724683"/>
    <w:rsid w:val="697D1351"/>
    <w:rsid w:val="69E77DAD"/>
    <w:rsid w:val="69F863C4"/>
    <w:rsid w:val="6A1C6787"/>
    <w:rsid w:val="6A264160"/>
    <w:rsid w:val="6B1A2B5E"/>
    <w:rsid w:val="6BD33FC7"/>
    <w:rsid w:val="6C7F1E85"/>
    <w:rsid w:val="6CB80FCF"/>
    <w:rsid w:val="6CD47B0C"/>
    <w:rsid w:val="6CFC3C00"/>
    <w:rsid w:val="6D4B460C"/>
    <w:rsid w:val="6D721D1D"/>
    <w:rsid w:val="6D9E0F7C"/>
    <w:rsid w:val="6E2F5FA1"/>
    <w:rsid w:val="6E655792"/>
    <w:rsid w:val="6EA3791E"/>
    <w:rsid w:val="6EA80B7C"/>
    <w:rsid w:val="6EFC2F33"/>
    <w:rsid w:val="6F3C0602"/>
    <w:rsid w:val="6FF74E60"/>
    <w:rsid w:val="70586027"/>
    <w:rsid w:val="70D172DB"/>
    <w:rsid w:val="71315B5B"/>
    <w:rsid w:val="71687F48"/>
    <w:rsid w:val="71A72738"/>
    <w:rsid w:val="71AF05D8"/>
    <w:rsid w:val="71D930D1"/>
    <w:rsid w:val="71FE68ED"/>
    <w:rsid w:val="726C1357"/>
    <w:rsid w:val="72AB0831"/>
    <w:rsid w:val="72D25E60"/>
    <w:rsid w:val="72DA26C2"/>
    <w:rsid w:val="73990943"/>
    <w:rsid w:val="73A8645F"/>
    <w:rsid w:val="73EA3086"/>
    <w:rsid w:val="741603C7"/>
    <w:rsid w:val="741E1886"/>
    <w:rsid w:val="747A6C03"/>
    <w:rsid w:val="7488751E"/>
    <w:rsid w:val="75364A2B"/>
    <w:rsid w:val="75E440D7"/>
    <w:rsid w:val="760F4985"/>
    <w:rsid w:val="764C16DA"/>
    <w:rsid w:val="7665589F"/>
    <w:rsid w:val="76D83BAF"/>
    <w:rsid w:val="774F7006"/>
    <w:rsid w:val="78816175"/>
    <w:rsid w:val="788B6CAD"/>
    <w:rsid w:val="78B71359"/>
    <w:rsid w:val="78B82A14"/>
    <w:rsid w:val="78CF5B2A"/>
    <w:rsid w:val="791969D7"/>
    <w:rsid w:val="793A4A2A"/>
    <w:rsid w:val="7940087C"/>
    <w:rsid w:val="79543139"/>
    <w:rsid w:val="797A2301"/>
    <w:rsid w:val="79D730D6"/>
    <w:rsid w:val="79DA3284"/>
    <w:rsid w:val="79F06332"/>
    <w:rsid w:val="7A0F057B"/>
    <w:rsid w:val="7A1555E4"/>
    <w:rsid w:val="7A237B91"/>
    <w:rsid w:val="7A9A7FE5"/>
    <w:rsid w:val="7B1303C8"/>
    <w:rsid w:val="7BA56B95"/>
    <w:rsid w:val="7BA85534"/>
    <w:rsid w:val="7BAA11E2"/>
    <w:rsid w:val="7BC336CB"/>
    <w:rsid w:val="7C32267F"/>
    <w:rsid w:val="7C3C5E46"/>
    <w:rsid w:val="7C732A72"/>
    <w:rsid w:val="7CE04151"/>
    <w:rsid w:val="7D4F44D5"/>
    <w:rsid w:val="7D9A0BC7"/>
    <w:rsid w:val="7DF723B6"/>
    <w:rsid w:val="7E0D2C7B"/>
    <w:rsid w:val="7E321FB0"/>
    <w:rsid w:val="7F8F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paragraph" w:styleId="4">
    <w:name w:val="heading 3"/>
    <w:basedOn w:val="1"/>
    <w:next w:val="1"/>
    <w:qFormat/>
    <w:uiPriority w:val="0"/>
    <w:pPr>
      <w:keepNext/>
      <w:keepLines/>
      <w:spacing w:before="80" w:after="80" w:line="360" w:lineRule="auto"/>
      <w:outlineLvl w:val="2"/>
    </w:pPr>
    <w:rPr>
      <w:b/>
      <w:bCs/>
      <w:sz w:val="24"/>
      <w:szCs w:val="32"/>
    </w:rPr>
  </w:style>
  <w:style w:type="character" w:default="1" w:styleId="14">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5">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6">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7">
    <w:name w:val="Body Text Indent"/>
    <w:basedOn w:val="1"/>
    <w:qFormat/>
    <w:uiPriority w:val="0"/>
    <w:pPr>
      <w:ind w:firstLine="630"/>
    </w:pPr>
    <w:rPr>
      <w:sz w:val="32"/>
      <w:szCs w:val="20"/>
    </w:rPr>
  </w:style>
  <w:style w:type="paragraph" w:styleId="8">
    <w:name w:val="Plain Text"/>
    <w:basedOn w:val="1"/>
    <w:next w:val="5"/>
    <w:qFormat/>
    <w:uiPriority w:val="0"/>
    <w:pPr>
      <w:widowControl w:val="0"/>
      <w:jc w:val="both"/>
    </w:pPr>
    <w:rPr>
      <w:rFonts w:ascii="宋体" w:hAnsi="Courier New" w:eastAsia="宋体" w:cs="Times New Roman"/>
      <w:kern w:val="0"/>
      <w:sz w:val="20"/>
      <w:szCs w:val="18"/>
      <w:lang w:val="en-US" w:eastAsia="zh-CN"/>
    </w:rPr>
  </w:style>
  <w:style w:type="paragraph" w:styleId="9">
    <w:name w:val="toc 1"/>
    <w:basedOn w:val="1"/>
    <w:next w:val="1"/>
    <w:qFormat/>
    <w:uiPriority w:val="0"/>
  </w:style>
  <w:style w:type="paragraph" w:styleId="10">
    <w:name w:val="Subtitle"/>
    <w:basedOn w:val="1"/>
    <w:next w:val="1"/>
    <w:qFormat/>
    <w:uiPriority w:val="11"/>
    <w:pPr>
      <w:spacing w:after="60"/>
      <w:jc w:val="center"/>
      <w:outlineLvl w:val="1"/>
    </w:pPr>
    <w:rPr>
      <w:rFonts w:ascii="Cambria" w:hAnsi="Cambria"/>
    </w:rPr>
  </w:style>
  <w:style w:type="paragraph" w:styleId="11">
    <w:name w:val="toc 2"/>
    <w:basedOn w:val="1"/>
    <w:next w:val="1"/>
    <w:qFormat/>
    <w:uiPriority w:val="0"/>
    <w:pPr>
      <w:ind w:left="420" w:leftChars="200"/>
    </w:pPr>
  </w:style>
  <w:style w:type="table" w:styleId="13">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5">
    <w:name w:val="Strong"/>
    <w:basedOn w:val="14"/>
    <w:qFormat/>
    <w:uiPriority w:val="0"/>
    <w:rPr>
      <w:b/>
    </w:rPr>
  </w:style>
  <w:style w:type="character" w:styleId="16">
    <w:name w:val="FollowedHyperlink"/>
    <w:basedOn w:val="14"/>
    <w:qFormat/>
    <w:uiPriority w:val="0"/>
    <w:rPr>
      <w:color w:val="3177FD"/>
      <w:u w:val="none"/>
    </w:rPr>
  </w:style>
  <w:style w:type="character" w:styleId="17">
    <w:name w:val="HTML Definition"/>
    <w:basedOn w:val="14"/>
    <w:qFormat/>
    <w:uiPriority w:val="0"/>
    <w:rPr>
      <w:i/>
      <w:sz w:val="21"/>
      <w:szCs w:val="21"/>
      <w:bdr w:val="single" w:color="auto" w:sz="2" w:space="0"/>
    </w:rPr>
  </w:style>
  <w:style w:type="character" w:styleId="18">
    <w:name w:val="Hyperlink"/>
    <w:basedOn w:val="14"/>
    <w:qFormat/>
    <w:uiPriority w:val="0"/>
    <w:rPr>
      <w:color w:val="3177FD"/>
      <w:u w:val="none"/>
    </w:rPr>
  </w:style>
  <w:style w:type="character" w:styleId="19">
    <w:name w:val="HTML Code"/>
    <w:basedOn w:val="14"/>
    <w:qFormat/>
    <w:uiPriority w:val="0"/>
    <w:rPr>
      <w:rFonts w:ascii="Consolas" w:hAnsi="Consolas" w:eastAsia="Consolas" w:cs="Consolas"/>
      <w:b/>
      <w:sz w:val="21"/>
      <w:szCs w:val="21"/>
      <w:u w:val="none"/>
    </w:rPr>
  </w:style>
  <w:style w:type="character" w:styleId="20">
    <w:name w:val="HTML Keyboard"/>
    <w:basedOn w:val="14"/>
    <w:qFormat/>
    <w:uiPriority w:val="0"/>
    <w:rPr>
      <w:rFonts w:hint="default" w:ascii="Consolas" w:hAnsi="Consolas" w:eastAsia="Consolas" w:cs="Consolas"/>
      <w:sz w:val="21"/>
      <w:szCs w:val="21"/>
    </w:rPr>
  </w:style>
  <w:style w:type="character" w:styleId="21">
    <w:name w:val="HTML Sample"/>
    <w:basedOn w:val="14"/>
    <w:qFormat/>
    <w:uiPriority w:val="0"/>
    <w:rPr>
      <w:rFonts w:hint="default" w:ascii="Consolas" w:hAnsi="Consolas" w:eastAsia="Consolas" w:cs="Consolas"/>
      <w:sz w:val="21"/>
      <w:szCs w:val="21"/>
      <w:shd w:val="clear" w:fill="3177FD"/>
    </w:rPr>
  </w:style>
  <w:style w:type="character" w:customStyle="1" w:styleId="22">
    <w:name w:val="large"/>
    <w:basedOn w:val="14"/>
    <w:qFormat/>
    <w:uiPriority w:val="0"/>
    <w:rPr>
      <w:color w:val="197AFF"/>
      <w:sz w:val="24"/>
      <w:szCs w:val="24"/>
    </w:rPr>
  </w:style>
  <w:style w:type="character" w:customStyle="1" w:styleId="23">
    <w:name w:val="right"/>
    <w:basedOn w:val="14"/>
    <w:qFormat/>
    <w:uiPriority w:val="0"/>
    <w:rPr>
      <w:sz w:val="18"/>
      <w:szCs w:val="18"/>
    </w:rPr>
  </w:style>
  <w:style w:type="character" w:customStyle="1" w:styleId="24">
    <w:name w:val="last-child"/>
    <w:basedOn w:val="14"/>
    <w:qFormat/>
    <w:uiPriority w:val="0"/>
    <w:rPr>
      <w:color w:val="1C2026"/>
      <w:sz w:val="36"/>
      <w:szCs w:val="36"/>
    </w:rPr>
  </w:style>
  <w:style w:type="character" w:customStyle="1" w:styleId="25">
    <w:name w:val="last-child1"/>
    <w:basedOn w:val="14"/>
    <w:qFormat/>
    <w:uiPriority w:val="0"/>
    <w:rPr>
      <w:color w:val="1C2026"/>
      <w:sz w:val="36"/>
      <w:szCs w:val="36"/>
    </w:rPr>
  </w:style>
  <w:style w:type="character" w:customStyle="1" w:styleId="26">
    <w:name w:val="last-child2"/>
    <w:basedOn w:val="14"/>
    <w:qFormat/>
    <w:uiPriority w:val="0"/>
    <w:rPr>
      <w:color w:val="1C2026"/>
      <w:sz w:val="36"/>
      <w:szCs w:val="36"/>
    </w:rPr>
  </w:style>
  <w:style w:type="character" w:customStyle="1" w:styleId="27">
    <w:name w:val="last-child3"/>
    <w:basedOn w:val="14"/>
    <w:qFormat/>
    <w:uiPriority w:val="0"/>
    <w:rPr>
      <w:color w:val="3445FD"/>
    </w:rPr>
  </w:style>
  <w:style w:type="character" w:customStyle="1" w:styleId="28">
    <w:name w:val="last-child4"/>
    <w:basedOn w:val="14"/>
    <w:qFormat/>
    <w:uiPriority w:val="0"/>
    <w:rPr>
      <w:color w:val="1C2026"/>
      <w:sz w:val="36"/>
      <w:szCs w:val="36"/>
    </w:rPr>
  </w:style>
  <w:style w:type="character" w:customStyle="1" w:styleId="29">
    <w:name w:val="last-child5"/>
    <w:basedOn w:val="14"/>
    <w:qFormat/>
    <w:uiPriority w:val="0"/>
    <w:rPr>
      <w:b/>
      <w:color w:val="1C2026"/>
      <w:sz w:val="24"/>
      <w:szCs w:val="24"/>
    </w:rPr>
  </w:style>
  <w:style w:type="character" w:customStyle="1" w:styleId="30">
    <w:name w:val="ant-select-tree-checkbox"/>
    <w:basedOn w:val="14"/>
    <w:qFormat/>
    <w:uiPriority w:val="0"/>
  </w:style>
  <w:style w:type="character" w:customStyle="1" w:styleId="31">
    <w:name w:val="desc"/>
    <w:basedOn w:val="14"/>
    <w:qFormat/>
    <w:uiPriority w:val="0"/>
  </w:style>
  <w:style w:type="character" w:customStyle="1" w:styleId="32">
    <w:name w:val="year"/>
    <w:basedOn w:val="14"/>
    <w:qFormat/>
    <w:uiPriority w:val="0"/>
  </w:style>
  <w:style w:type="character" w:customStyle="1" w:styleId="33">
    <w:name w:val="small"/>
    <w:basedOn w:val="14"/>
    <w:qFormat/>
    <w:uiPriority w:val="0"/>
    <w:rPr>
      <w:color w:val="197AFF"/>
      <w:sz w:val="18"/>
      <w:szCs w:val="18"/>
    </w:rPr>
  </w:style>
  <w:style w:type="character" w:customStyle="1" w:styleId="34">
    <w:name w:val="small1"/>
    <w:basedOn w:val="14"/>
    <w:qFormat/>
    <w:uiPriority w:val="0"/>
    <w:rPr>
      <w:sz w:val="18"/>
      <w:szCs w:val="18"/>
    </w:rPr>
  </w:style>
  <w:style w:type="character" w:customStyle="1" w:styleId="35">
    <w:name w:val="small2"/>
    <w:basedOn w:val="14"/>
    <w:qFormat/>
    <w:uiPriority w:val="0"/>
    <w:rPr>
      <w:sz w:val="21"/>
      <w:szCs w:val="21"/>
    </w:rPr>
  </w:style>
  <w:style w:type="character" w:customStyle="1" w:styleId="36">
    <w:name w:val="href-title"/>
    <w:basedOn w:val="14"/>
    <w:qFormat/>
    <w:uiPriority w:val="0"/>
  </w:style>
  <w:style w:type="character" w:customStyle="1" w:styleId="37">
    <w:name w:val="nth-child(2n)"/>
    <w:basedOn w:val="14"/>
    <w:qFormat/>
    <w:uiPriority w:val="0"/>
    <w:rPr>
      <w:sz w:val="60"/>
      <w:szCs w:val="60"/>
    </w:rPr>
  </w:style>
  <w:style w:type="character" w:customStyle="1" w:styleId="38">
    <w:name w:val="nth-child(2n)1"/>
    <w:basedOn w:val="14"/>
    <w:qFormat/>
    <w:uiPriority w:val="0"/>
  </w:style>
  <w:style w:type="character" w:customStyle="1" w:styleId="39">
    <w:name w:val="nth-child(2n)2"/>
    <w:basedOn w:val="14"/>
    <w:qFormat/>
    <w:uiPriority w:val="0"/>
    <w:rPr>
      <w:sz w:val="60"/>
      <w:szCs w:val="60"/>
    </w:rPr>
  </w:style>
  <w:style w:type="character" w:customStyle="1" w:styleId="40">
    <w:name w:val="nth-child(2n)3"/>
    <w:basedOn w:val="14"/>
    <w:qFormat/>
    <w:uiPriority w:val="0"/>
  </w:style>
  <w:style w:type="character" w:customStyle="1" w:styleId="41">
    <w:name w:val="ant-select-tree-iconele"/>
    <w:basedOn w:val="14"/>
    <w:qFormat/>
    <w:uiPriority w:val="0"/>
  </w:style>
  <w:style w:type="character" w:customStyle="1" w:styleId="42">
    <w:name w:val="ant-radio+*"/>
    <w:basedOn w:val="14"/>
    <w:qFormat/>
    <w:uiPriority w:val="0"/>
  </w:style>
  <w:style w:type="character" w:customStyle="1" w:styleId="43">
    <w:name w:val="ant-radio+*1"/>
    <w:basedOn w:val="14"/>
    <w:qFormat/>
    <w:uiPriority w:val="0"/>
  </w:style>
  <w:style w:type="character" w:customStyle="1" w:styleId="44">
    <w:name w:val="ant-select-tree-switcher"/>
    <w:basedOn w:val="14"/>
    <w:qFormat/>
    <w:uiPriority w:val="0"/>
  </w:style>
  <w:style w:type="character" w:customStyle="1" w:styleId="45">
    <w:name w:val="ant-input38"/>
    <w:basedOn w:val="14"/>
    <w:qFormat/>
    <w:uiPriority w:val="0"/>
  </w:style>
  <w:style w:type="character" w:customStyle="1" w:styleId="46">
    <w:name w:val="first-child"/>
    <w:basedOn w:val="14"/>
    <w:qFormat/>
    <w:uiPriority w:val="0"/>
    <w:rPr>
      <w:color w:val="818898"/>
      <w:sz w:val="18"/>
      <w:szCs w:val="18"/>
    </w:rPr>
  </w:style>
  <w:style w:type="character" w:customStyle="1" w:styleId="47">
    <w:name w:val="first-child1"/>
    <w:basedOn w:val="14"/>
    <w:qFormat/>
    <w:uiPriority w:val="0"/>
    <w:rPr>
      <w:color w:val="818898"/>
      <w:sz w:val="18"/>
      <w:szCs w:val="18"/>
    </w:rPr>
  </w:style>
  <w:style w:type="character" w:customStyle="1" w:styleId="48">
    <w:name w:val="first-child2"/>
    <w:basedOn w:val="14"/>
    <w:qFormat/>
    <w:uiPriority w:val="0"/>
    <w:rPr>
      <w:color w:val="818898"/>
      <w:sz w:val="18"/>
      <w:szCs w:val="18"/>
    </w:rPr>
  </w:style>
  <w:style w:type="character" w:customStyle="1" w:styleId="49">
    <w:name w:val="first-child3"/>
    <w:basedOn w:val="14"/>
    <w:qFormat/>
    <w:uiPriority w:val="0"/>
    <w:rPr>
      <w:color w:val="818898"/>
      <w:sz w:val="18"/>
      <w:szCs w:val="18"/>
    </w:rPr>
  </w:style>
  <w:style w:type="character" w:customStyle="1" w:styleId="50">
    <w:name w:val="first-child4"/>
    <w:basedOn w:val="14"/>
    <w:qFormat/>
    <w:uiPriority w:val="0"/>
    <w:rPr>
      <w:b/>
      <w:color w:val="818898"/>
      <w:sz w:val="18"/>
      <w:szCs w:val="18"/>
    </w:rPr>
  </w:style>
  <w:style w:type="character" w:customStyle="1" w:styleId="51">
    <w:name w:val="nth-child(odd)"/>
    <w:basedOn w:val="14"/>
    <w:qFormat/>
    <w:uiPriority w:val="0"/>
    <w:rPr>
      <w:rFonts w:ascii="PingFang SC" w:hAnsi="PingFang SC" w:eastAsia="PingFang SC" w:cs="PingFang SC"/>
      <w:sz w:val="72"/>
      <w:szCs w:val="72"/>
      <w:shd w:val="clear" w:fill="F2F5F9"/>
    </w:rPr>
  </w:style>
  <w:style w:type="character" w:customStyle="1" w:styleId="52">
    <w:name w:val="nth-child(odd)1"/>
    <w:basedOn w:val="14"/>
    <w:qFormat/>
    <w:uiPriority w:val="0"/>
    <w:rPr>
      <w:rFonts w:hint="default" w:ascii="PingFang SC" w:hAnsi="PingFang SC" w:eastAsia="PingFang SC" w:cs="PingFang SC"/>
      <w:sz w:val="27"/>
      <w:szCs w:val="27"/>
      <w:shd w:val="clear" w:fill="FFFFFF"/>
    </w:rPr>
  </w:style>
  <w:style w:type="character" w:customStyle="1" w:styleId="53">
    <w:name w:val="nth-child(odd)2"/>
    <w:basedOn w:val="14"/>
    <w:qFormat/>
    <w:uiPriority w:val="0"/>
    <w:rPr>
      <w:rFonts w:hint="default" w:ascii="PingFang SC" w:hAnsi="PingFang SC" w:eastAsia="PingFang SC" w:cs="PingFang SC"/>
      <w:sz w:val="72"/>
      <w:szCs w:val="72"/>
      <w:shd w:val="clear" w:fill="F2F5F9"/>
    </w:rPr>
  </w:style>
  <w:style w:type="character" w:customStyle="1" w:styleId="54">
    <w:name w:val="nth-child(odd)3"/>
    <w:basedOn w:val="14"/>
    <w:qFormat/>
    <w:uiPriority w:val="0"/>
    <w:rPr>
      <w:rFonts w:hint="default" w:ascii="PingFang SC" w:hAnsi="PingFang SC" w:eastAsia="PingFang SC" w:cs="PingFang SC"/>
      <w:sz w:val="27"/>
      <w:szCs w:val="27"/>
      <w:shd w:val="clear" w:fill="FFFFFF"/>
    </w:rPr>
  </w:style>
  <w:style w:type="character" w:customStyle="1" w:styleId="55">
    <w:name w:val="small-suffix"/>
    <w:basedOn w:val="14"/>
    <w:qFormat/>
    <w:uiPriority w:val="0"/>
    <w:rPr>
      <w:rFonts w:hint="default" w:ascii="PingFang SC" w:hAnsi="PingFang SC" w:eastAsia="PingFang SC" w:cs="PingFang SC"/>
      <w:sz w:val="24"/>
      <w:szCs w:val="24"/>
    </w:rPr>
  </w:style>
  <w:style w:type="character" w:customStyle="1" w:styleId="56">
    <w:name w:val="small-suffix1"/>
    <w:basedOn w:val="14"/>
    <w:qFormat/>
    <w:uiPriority w:val="0"/>
    <w:rPr>
      <w:rFonts w:hint="default" w:ascii="PingFang SC" w:hAnsi="PingFang SC" w:eastAsia="PingFang SC" w:cs="PingFang SC"/>
      <w:sz w:val="24"/>
      <w:szCs w:val="24"/>
    </w:rPr>
  </w:style>
  <w:style w:type="character" w:customStyle="1" w:styleId="57">
    <w:name w:val="ant-select-tree-checkbox2"/>
    <w:basedOn w:val="14"/>
    <w:qFormat/>
    <w:uiPriority w:val="0"/>
  </w:style>
  <w:style w:type="character" w:customStyle="1" w:styleId="58">
    <w:name w:val="hover10"/>
    <w:basedOn w:val="14"/>
    <w:qFormat/>
    <w:uiPriority w:val="0"/>
    <w:rPr>
      <w:color w:val="3177FD"/>
    </w:rPr>
  </w:style>
  <w:style w:type="character" w:customStyle="1" w:styleId="59">
    <w:name w:val="info-content"/>
    <w:basedOn w:val="14"/>
    <w:qFormat/>
    <w:uiPriority w:val="0"/>
    <w:rPr>
      <w:color w:val="808080"/>
    </w:rPr>
  </w:style>
  <w:style w:type="character" w:customStyle="1" w:styleId="60">
    <w:name w:val="change-camera-place"/>
    <w:basedOn w:val="14"/>
    <w:qFormat/>
    <w:uiPriority w:val="0"/>
    <w:rPr>
      <w:color w:val="3177FD"/>
    </w:rPr>
  </w:style>
  <w:style w:type="character" w:customStyle="1" w:styleId="61">
    <w:name w:val="last-of-type"/>
    <w:basedOn w:val="14"/>
    <w:qFormat/>
    <w:uiPriority w:val="0"/>
    <w:rPr>
      <w:color w:val="FF4A44"/>
      <w:sz w:val="27"/>
      <w:szCs w:val="27"/>
    </w:rPr>
  </w:style>
  <w:style w:type="character" w:customStyle="1" w:styleId="62">
    <w:name w:val="info-label"/>
    <w:basedOn w:val="14"/>
    <w:qFormat/>
    <w:uiPriority w:val="0"/>
    <w:rPr>
      <w:b/>
    </w:rPr>
  </w:style>
  <w:style w:type="character" w:customStyle="1" w:styleId="63">
    <w:name w:val="ant-tree-icon_loading"/>
    <w:basedOn w:val="14"/>
    <w:qFormat/>
    <w:uiPriority w:val="0"/>
    <w:rPr>
      <w:shd w:val="clear" w:fill="FFFFFF"/>
    </w:rPr>
  </w:style>
  <w:style w:type="character" w:customStyle="1" w:styleId="64">
    <w:name w:val="content"/>
    <w:basedOn w:val="14"/>
    <w:qFormat/>
    <w:uiPriority w:val="0"/>
  </w:style>
  <w:style w:type="character" w:customStyle="1" w:styleId="65">
    <w:name w:val="label"/>
    <w:basedOn w:val="14"/>
    <w:qFormat/>
    <w:uiPriority w:val="0"/>
  </w:style>
  <w:style w:type="character" w:customStyle="1" w:styleId="66">
    <w:name w:val="ant-input56"/>
    <w:basedOn w:val="14"/>
    <w:qFormat/>
    <w:uiPriority w:val="0"/>
  </w:style>
  <w:style w:type="character" w:customStyle="1" w:styleId="67">
    <w:name w:val="ant-badge-status-dot2"/>
    <w:basedOn w:val="14"/>
    <w:qFormat/>
    <w:uiPriority w:val="0"/>
    <w:rPr>
      <w:shd w:val="clear" w:fill="FFFFFF"/>
    </w:rPr>
  </w:style>
  <w:style w:type="character" w:customStyle="1" w:styleId="68">
    <w:name w:val="ant-tree-checkbox2"/>
    <w:basedOn w:val="14"/>
    <w:qFormat/>
    <w:uiPriority w:val="0"/>
  </w:style>
  <w:style w:type="character" w:customStyle="1" w:styleId="69">
    <w:name w:val="ant-tree-iconele"/>
    <w:basedOn w:val="14"/>
    <w:qFormat/>
    <w:uiPriority w:val="0"/>
  </w:style>
  <w:style w:type="character" w:customStyle="1" w:styleId="70">
    <w:name w:val="ant-tree-switcher"/>
    <w:basedOn w:val="14"/>
    <w:qFormat/>
    <w:uiPriority w:val="0"/>
  </w:style>
  <w:style w:type="character" w:customStyle="1" w:styleId="71">
    <w:name w:val="tag-type"/>
    <w:basedOn w:val="14"/>
    <w:qFormat/>
    <w:uiPriority w:val="0"/>
    <w:rPr>
      <w:color w:val="FFFFFF"/>
      <w:sz w:val="18"/>
      <w:szCs w:val="18"/>
      <w:shd w:val="clear" w:fill="317FFD"/>
    </w:rPr>
  </w:style>
  <w:style w:type="character" w:customStyle="1" w:styleId="72">
    <w:name w:val="tag-type1"/>
    <w:basedOn w:val="14"/>
    <w:qFormat/>
    <w:uiPriority w:val="0"/>
    <w:rPr>
      <w:color w:val="FFFFFF"/>
      <w:sz w:val="18"/>
      <w:szCs w:val="18"/>
      <w:shd w:val="clear" w:fill="317FFD"/>
    </w:rPr>
  </w:style>
  <w:style w:type="character" w:customStyle="1" w:styleId="73">
    <w:name w:val="last-child6"/>
    <w:basedOn w:val="14"/>
    <w:qFormat/>
    <w:uiPriority w:val="0"/>
  </w:style>
  <w:style w:type="character" w:customStyle="1" w:styleId="74">
    <w:name w:val="last-child7"/>
    <w:basedOn w:val="14"/>
    <w:qFormat/>
    <w:uiPriority w:val="0"/>
  </w:style>
  <w:style w:type="character" w:customStyle="1" w:styleId="75">
    <w:name w:val="last-child8"/>
    <w:basedOn w:val="14"/>
    <w:qFormat/>
    <w:uiPriority w:val="0"/>
  </w:style>
  <w:style w:type="character" w:customStyle="1" w:styleId="76">
    <w:name w:val="last-child9"/>
    <w:basedOn w:val="14"/>
    <w:qFormat/>
    <w:uiPriority w:val="0"/>
  </w:style>
  <w:style w:type="character" w:customStyle="1" w:styleId="77">
    <w:name w:val="current"/>
    <w:basedOn w:val="14"/>
    <w:qFormat/>
    <w:uiPriority w:val="0"/>
    <w:rPr>
      <w:color w:val="00C1DE"/>
    </w:rPr>
  </w:style>
  <w:style w:type="character" w:customStyle="1" w:styleId="78">
    <w:name w:val="current1"/>
    <w:basedOn w:val="14"/>
    <w:qFormat/>
    <w:uiPriority w:val="0"/>
    <w:rPr>
      <w:color w:val="00C1DE"/>
    </w:rPr>
  </w:style>
  <w:style w:type="character" w:customStyle="1" w:styleId="79">
    <w:name w:val="ant-form-item-children1"/>
    <w:basedOn w:val="14"/>
    <w:qFormat/>
    <w:uiPriority w:val="0"/>
  </w:style>
  <w:style w:type="character" w:customStyle="1" w:styleId="80">
    <w:name w:val="label2"/>
    <w:basedOn w:val="14"/>
    <w:qFormat/>
    <w:uiPriority w:val="0"/>
  </w:style>
  <w:style w:type="character" w:customStyle="1" w:styleId="81">
    <w:name w:val="content10"/>
    <w:basedOn w:val="14"/>
    <w:qFormat/>
    <w:uiPriority w:val="0"/>
  </w:style>
  <w:style w:type="paragraph" w:customStyle="1" w:styleId="82">
    <w:name w:val="GW-正文"/>
    <w:basedOn w:val="1"/>
    <w:qFormat/>
    <w:uiPriority w:val="0"/>
    <w:pPr>
      <w:spacing w:line="360" w:lineRule="auto"/>
      <w:ind w:firstLine="200"/>
    </w:pPr>
    <w:rPr>
      <w:rFonts w:ascii="Times New Roman" w:hAnsi="Times New Roman" w:cs="Times New Roman"/>
    </w:rPr>
  </w:style>
  <w:style w:type="paragraph" w:customStyle="1" w:styleId="83">
    <w:name w:val="样式 首行缩进:  2 字符"/>
    <w:basedOn w:val="1"/>
    <w:qFormat/>
    <w:uiPriority w:val="0"/>
    <w:pPr>
      <w:spacing w:line="400" w:lineRule="exact"/>
      <w:ind w:firstLine="200" w:firstLineChars="200"/>
    </w:pPr>
    <w:rPr>
      <w:rFonts w:cs="宋体"/>
      <w:sz w:val="24"/>
    </w:rPr>
  </w:style>
  <w:style w:type="paragraph" w:customStyle="1" w:styleId="84">
    <w:name w:val="列出段落1"/>
    <w:basedOn w:val="1"/>
    <w:qFormat/>
    <w:uiPriority w:val="34"/>
    <w:pPr>
      <w:ind w:firstLine="420"/>
    </w:pPr>
    <w:rPr>
      <w:rFonts w:ascii="Times New Roman" w:hAnsi="Times New Roman" w:cs="Times New Roman"/>
    </w:rPr>
  </w:style>
  <w:style w:type="paragraph" w:customStyle="1" w:styleId="85">
    <w:name w:val="_Style 35"/>
    <w:basedOn w:val="1"/>
    <w:qFormat/>
    <w:uiPriority w:val="0"/>
    <w:pPr>
      <w:ind w:firstLine="420"/>
    </w:pPr>
    <w:rPr>
      <w:sz w:val="18"/>
      <w:szCs w:val="18"/>
    </w:rPr>
  </w:style>
  <w:style w:type="paragraph" w:customStyle="1" w:styleId="86">
    <w:name w:val="07、“1.1”正文五级标题"/>
    <w:basedOn w:val="1"/>
    <w:qFormat/>
    <w:uiPriority w:val="0"/>
    <w:pPr>
      <w:spacing w:after="200" w:line="276" w:lineRule="auto"/>
    </w:pPr>
    <w:rPr>
      <w:rFonts w:ascii="Times New Roman" w:hAnsi="Times New Roman"/>
    </w:rPr>
  </w:style>
  <w:style w:type="paragraph" w:styleId="87">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88">
    <w:name w:val="二级条标题"/>
    <w:next w:val="89"/>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8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0">
    <w:name w:val="正文表标题"/>
    <w:next w:val="89"/>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1">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2">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3">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37517</Words>
  <Characters>38825</Characters>
  <Lines>0</Lines>
  <Paragraphs>0</Paragraphs>
  <TotalTime>90</TotalTime>
  <ScaleCrop>false</ScaleCrop>
  <LinksUpToDate>false</LinksUpToDate>
  <CharactersWithSpaces>40016</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魏婷</cp:lastModifiedBy>
  <dcterms:modified xsi:type="dcterms:W3CDTF">2021-10-15T07:08:27Z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