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华文中宋" w:hAnsi="华文中宋" w:eastAsia="华文中宋"/>
          <w:sz w:val="32"/>
          <w:szCs w:val="32"/>
        </w:rPr>
      </w:pPr>
    </w:p>
    <w:p>
      <w:pPr>
        <w:spacing w:line="360" w:lineRule="auto"/>
        <w:rPr>
          <w:rFonts w:ascii="华文中宋" w:hAnsi="华文中宋" w:eastAsia="华文中宋"/>
        </w:rPr>
      </w:pPr>
    </w:p>
    <w:p>
      <w:pPr>
        <w:spacing w:line="360" w:lineRule="auto"/>
        <w:ind w:left="2123" w:leftChars="336" w:hanging="1417" w:hangingChars="443"/>
        <w:rPr>
          <w:rFonts w:ascii="华文中宋" w:hAnsi="华文中宋" w:eastAsia="华文中宋"/>
          <w:sz w:val="32"/>
          <w:szCs w:val="32"/>
        </w:rPr>
      </w:pPr>
      <w:r>
        <w:rPr>
          <w:rFonts w:hint="eastAsia" w:ascii="华文中宋" w:hAnsi="华文中宋" w:eastAsia="华文中宋"/>
          <w:sz w:val="32"/>
          <w:szCs w:val="32"/>
        </w:rPr>
        <w:t>项目名称：</w:t>
      </w:r>
      <w:r>
        <w:rPr>
          <w:rFonts w:hint="eastAsia" w:ascii="华文中宋" w:hAnsi="华文中宋" w:eastAsia="华文中宋"/>
          <w:sz w:val="32"/>
          <w:szCs w:val="32"/>
          <w:lang w:eastAsia="zh-CN"/>
        </w:rPr>
        <w:t>成都市龙泉驿区人民检察院物业管理服务采购项目</w:t>
      </w:r>
    </w:p>
    <w:p>
      <w:pPr>
        <w:spacing w:line="360" w:lineRule="auto"/>
        <w:ind w:left="2409" w:leftChars="338" w:hanging="1699" w:hangingChars="531"/>
        <w:rPr>
          <w:rFonts w:hint="eastAsia" w:ascii="华文中宋" w:hAnsi="华文中宋" w:eastAsia="华文中宋"/>
          <w:sz w:val="32"/>
          <w:szCs w:val="32"/>
          <w:lang w:eastAsia="zh-CN"/>
        </w:rPr>
      </w:pPr>
      <w:r>
        <w:rPr>
          <w:rFonts w:hint="eastAsia" w:ascii="华文中宋" w:hAnsi="华文中宋" w:eastAsia="华文中宋"/>
          <w:sz w:val="32"/>
          <w:szCs w:val="32"/>
        </w:rPr>
        <w:t>项目编号：</w:t>
      </w:r>
      <w:r>
        <w:rPr>
          <w:rFonts w:hint="eastAsia" w:ascii="华文中宋" w:hAnsi="华文中宋" w:eastAsia="华文中宋"/>
          <w:sz w:val="32"/>
          <w:szCs w:val="32"/>
          <w:lang w:eastAsia="zh-CN"/>
        </w:rPr>
        <w:t>龙泉驿政采（2021）A0060号</w:t>
      </w:r>
    </w:p>
    <w:p>
      <w:pPr>
        <w:spacing w:line="360" w:lineRule="auto"/>
        <w:ind w:firstLine="1280" w:firstLineChars="400"/>
        <w:rPr>
          <w:rFonts w:ascii="华文中宋" w:hAnsi="华文中宋" w:eastAsia="华文中宋"/>
          <w:sz w:val="32"/>
          <w:szCs w:val="32"/>
        </w:rPr>
      </w:pPr>
    </w:p>
    <w:p>
      <w:pPr>
        <w:spacing w:line="360" w:lineRule="auto"/>
        <w:ind w:firstLine="1256" w:firstLineChars="349"/>
        <w:rPr>
          <w:rFonts w:ascii="华文中宋" w:hAnsi="华文中宋" w:eastAsia="华文中宋"/>
          <w:spacing w:val="20"/>
          <w:sz w:val="32"/>
          <w:szCs w:val="32"/>
        </w:rPr>
      </w:pPr>
    </w:p>
    <w:p>
      <w:pPr>
        <w:pStyle w:val="2"/>
      </w:pPr>
    </w:p>
    <w:p>
      <w:pPr>
        <w:pStyle w:val="3"/>
      </w:pPr>
    </w:p>
    <w:p>
      <w:pPr>
        <w:spacing w:line="360" w:lineRule="auto"/>
        <w:jc w:val="center"/>
        <w:rPr>
          <w:rFonts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pacing w:val="-20"/>
          <w:sz w:val="32"/>
          <w:szCs w:val="32"/>
          <w:lang w:eastAsia="zh-CN"/>
        </w:rPr>
        <w:t xml:space="preserve">成都市龙泉驿区人民检察院 </w:t>
      </w:r>
      <w:r>
        <w:rPr>
          <w:rFonts w:hint="eastAsia" w:ascii="华文中宋" w:hAnsi="华文中宋" w:eastAsia="华文中宋"/>
          <w:sz w:val="32"/>
          <w:szCs w:val="32"/>
        </w:rPr>
        <w:t>、</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成都市龙泉驿区公共资源交易服务中心共同编制</w:t>
      </w:r>
    </w:p>
    <w:p>
      <w:pPr>
        <w:pStyle w:val="17"/>
      </w:pPr>
    </w:p>
    <w:p>
      <w:pPr>
        <w:spacing w:line="360" w:lineRule="auto"/>
        <w:jc w:val="center"/>
        <w:rPr>
          <w:rFonts w:hint="eastAsia"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二〇二一年</w:t>
      </w:r>
      <w:r>
        <w:rPr>
          <w:rFonts w:hint="eastAsia" w:ascii="华文中宋" w:hAnsi="华文中宋" w:eastAsia="华文中宋"/>
          <w:sz w:val="32"/>
          <w:szCs w:val="32"/>
          <w:lang w:eastAsia="zh-CN"/>
        </w:rPr>
        <w:t>九</w:t>
      </w:r>
      <w:r>
        <w:rPr>
          <w:rFonts w:hint="eastAsia" w:ascii="华文中宋" w:hAnsi="华文中宋" w:eastAsia="华文中宋"/>
          <w:sz w:val="32"/>
          <w:szCs w:val="32"/>
        </w:rPr>
        <w:t>月</w:t>
      </w:r>
    </w:p>
    <w:p>
      <w:pPr>
        <w:spacing w:line="360" w:lineRule="auto"/>
        <w:jc w:val="center"/>
        <w:rPr>
          <w:rFonts w:ascii="华文中宋" w:hAnsi="华文中宋" w:eastAsia="华文中宋"/>
          <w:sz w:val="32"/>
          <w:szCs w:val="32"/>
        </w:rPr>
      </w:pPr>
    </w:p>
    <w:p>
      <w:pPr>
        <w:pStyle w:val="17"/>
      </w:pPr>
    </w:p>
    <w:sdt>
      <w:sdtPr>
        <w:rPr>
          <w:rFonts w:ascii="宋体" w:hAnsi="宋体" w:eastAsia="宋体" w:cs="Times New Roman"/>
          <w:kern w:val="2"/>
          <w:sz w:val="21"/>
          <w:szCs w:val="22"/>
          <w:lang w:val="en-US" w:eastAsia="zh-CN" w:bidi="ar-SA"/>
        </w:rPr>
        <w:id w:val="147481557"/>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sz w:val="24"/>
              <w:szCs w:val="28"/>
            </w:rPr>
          </w:pPr>
          <w:bookmarkStart w:id="0" w:name="_Toc16189_WPSOffice_Type2"/>
          <w:r>
            <w:rPr>
              <w:rFonts w:ascii="宋体" w:hAnsi="宋体" w:eastAsia="宋体"/>
              <w:b/>
              <w:bCs/>
              <w:sz w:val="32"/>
              <w:szCs w:val="36"/>
            </w:rPr>
            <w:t>目录</w:t>
          </w:r>
        </w:p>
        <w:p>
          <w:pPr>
            <w:pStyle w:val="227"/>
            <w:tabs>
              <w:tab w:val="right" w:leader="dot" w:pos="8250"/>
            </w:tabs>
            <w:rPr>
              <w:sz w:val="22"/>
              <w:szCs w:val="22"/>
            </w:rPr>
          </w:pPr>
          <w:r>
            <w:rPr>
              <w:b/>
              <w:bCs/>
              <w:sz w:val="22"/>
              <w:szCs w:val="22"/>
            </w:rPr>
            <w:fldChar w:fldCharType="begin"/>
          </w:r>
          <w:r>
            <w:rPr>
              <w:sz w:val="22"/>
              <w:szCs w:val="22"/>
            </w:rPr>
            <w:instrText xml:space="preserve"> HYPERLINK \l _Toc30056_WPSOffice_Level1 </w:instrText>
          </w:r>
          <w:r>
            <w:rPr>
              <w:b/>
              <w:bCs/>
              <w:sz w:val="22"/>
              <w:szCs w:val="22"/>
            </w:rPr>
            <w:fldChar w:fldCharType="separate"/>
          </w:r>
          <w:sdt>
            <w:sdtPr>
              <w:rPr>
                <w:rFonts w:ascii="Calibri" w:hAnsi="Calibri" w:eastAsia="宋体" w:cs="Times New Roman"/>
                <w:b/>
                <w:bCs/>
                <w:kern w:val="2"/>
                <w:sz w:val="24"/>
                <w:szCs w:val="28"/>
                <w:lang w:val="en-US" w:eastAsia="zh-CN" w:bidi="ar-SA"/>
              </w:rPr>
              <w:id w:val="147481557"/>
              <w:placeholder>
                <w:docPart w:val="{3d130e0e-9084-4818-a289-44059ae0e830}"/>
              </w:placeholder>
            </w:sdtPr>
            <w:sdtEndPr>
              <w:rPr>
                <w:rFonts w:ascii="Calibri" w:hAnsi="Calibri" w:eastAsia="宋体" w:cs="Times New Roman"/>
                <w:b/>
                <w:bCs/>
                <w:kern w:val="2"/>
                <w:sz w:val="24"/>
                <w:szCs w:val="28"/>
                <w:lang w:val="en-US" w:eastAsia="zh-CN" w:bidi="ar-SA"/>
              </w:rPr>
            </w:sdtEndPr>
            <w:sdtContent>
              <w:r>
                <w:rPr>
                  <w:rFonts w:hint="default" w:ascii="Times New Roman" w:hAnsi="Times New Roman" w:eastAsia="宋体" w:cs="Times New Roman"/>
                  <w:b/>
                  <w:bCs/>
                  <w:sz w:val="22"/>
                  <w:szCs w:val="22"/>
                </w:rPr>
                <w:t xml:space="preserve">第1章 </w:t>
              </w:r>
              <w:r>
                <w:rPr>
                  <w:rFonts w:hint="eastAsia" w:ascii="宋体" w:hAnsi="宋体" w:eastAsia="宋体" w:cs="Times New Roman"/>
                  <w:b/>
                  <w:bCs/>
                  <w:sz w:val="22"/>
                  <w:szCs w:val="22"/>
                </w:rPr>
                <w:t>投标邀请</w:t>
              </w:r>
            </w:sdtContent>
          </w:sdt>
          <w:r>
            <w:rPr>
              <w:b/>
              <w:bCs/>
              <w:sz w:val="22"/>
              <w:szCs w:val="22"/>
            </w:rPr>
            <w:tab/>
          </w:r>
          <w:bookmarkStart w:id="1" w:name="_Toc30056_WPSOffice_Level1Page"/>
          <w:r>
            <w:rPr>
              <w:b/>
              <w:bCs/>
              <w:sz w:val="22"/>
              <w:szCs w:val="22"/>
            </w:rPr>
            <w:t>3</w:t>
          </w:r>
          <w:bookmarkEnd w:id="1"/>
          <w:r>
            <w:rPr>
              <w:b/>
              <w:bCs/>
              <w:sz w:val="22"/>
              <w:szCs w:val="22"/>
            </w:rPr>
            <w:fldChar w:fldCharType="end"/>
          </w:r>
        </w:p>
        <w:p>
          <w:pPr>
            <w:pStyle w:val="227"/>
            <w:tabs>
              <w:tab w:val="right" w:leader="dot" w:pos="8250"/>
            </w:tabs>
            <w:rPr>
              <w:sz w:val="22"/>
              <w:szCs w:val="22"/>
            </w:rPr>
          </w:pPr>
          <w:r>
            <w:rPr>
              <w:b/>
              <w:bCs/>
              <w:sz w:val="22"/>
              <w:szCs w:val="22"/>
            </w:rPr>
            <w:fldChar w:fldCharType="begin"/>
          </w:r>
          <w:r>
            <w:rPr>
              <w:sz w:val="22"/>
              <w:szCs w:val="22"/>
            </w:rPr>
            <w:instrText xml:space="preserve"> HYPERLINK \l _Toc16189_WPSOffice_Level1 </w:instrText>
          </w:r>
          <w:r>
            <w:rPr>
              <w:b/>
              <w:bCs/>
              <w:sz w:val="22"/>
              <w:szCs w:val="22"/>
            </w:rPr>
            <w:fldChar w:fldCharType="separate"/>
          </w:r>
          <w:sdt>
            <w:sdtPr>
              <w:rPr>
                <w:rFonts w:ascii="Calibri" w:hAnsi="Calibri" w:eastAsia="宋体" w:cs="Times New Roman"/>
                <w:b/>
                <w:bCs/>
                <w:kern w:val="2"/>
                <w:sz w:val="24"/>
                <w:szCs w:val="28"/>
                <w:lang w:val="en-US" w:eastAsia="zh-CN" w:bidi="ar-SA"/>
              </w:rPr>
              <w:id w:val="147481557"/>
              <w:placeholder>
                <w:docPart w:val="{7b0a1431-8425-43e9-9a57-32b4a083a2a7}"/>
              </w:placeholder>
            </w:sdtPr>
            <w:sdtEndPr>
              <w:rPr>
                <w:rFonts w:ascii="Calibri" w:hAnsi="Calibri" w:eastAsia="宋体" w:cs="Times New Roman"/>
                <w:b/>
                <w:bCs/>
                <w:kern w:val="2"/>
                <w:sz w:val="24"/>
                <w:szCs w:val="28"/>
                <w:lang w:val="en-US" w:eastAsia="zh-CN" w:bidi="ar-SA"/>
              </w:rPr>
            </w:sdtEndPr>
            <w:sdtContent>
              <w:r>
                <w:rPr>
                  <w:rFonts w:hint="default" w:ascii="Times New Roman" w:hAnsi="Times New Roman" w:eastAsia="宋体" w:cs="Times New Roman"/>
                  <w:b/>
                  <w:bCs/>
                  <w:sz w:val="22"/>
                  <w:szCs w:val="22"/>
                </w:rPr>
                <w:t xml:space="preserve">第2章 </w:t>
              </w:r>
              <w:r>
                <w:rPr>
                  <w:rFonts w:hint="eastAsia" w:ascii="宋体" w:hAnsi="宋体" w:eastAsia="宋体" w:cs="Times New Roman"/>
                  <w:b/>
                  <w:bCs/>
                  <w:sz w:val="22"/>
                  <w:szCs w:val="22"/>
                </w:rPr>
                <w:t>投标人须知</w:t>
              </w:r>
            </w:sdtContent>
          </w:sdt>
          <w:r>
            <w:rPr>
              <w:b/>
              <w:bCs/>
              <w:sz w:val="22"/>
              <w:szCs w:val="22"/>
            </w:rPr>
            <w:tab/>
          </w:r>
          <w:bookmarkStart w:id="2" w:name="_Toc16189_WPSOffice_Level1Page"/>
          <w:r>
            <w:rPr>
              <w:b/>
              <w:bCs/>
              <w:sz w:val="22"/>
              <w:szCs w:val="22"/>
            </w:rPr>
            <w:t>7</w:t>
          </w:r>
          <w:bookmarkEnd w:id="2"/>
          <w:r>
            <w:rPr>
              <w:b/>
              <w:bCs/>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_Toc16189_WPSOffice_Level2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92e31580-a07c-4140-b42a-e3a3abd66b9d}"/>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2.1 </w:t>
              </w:r>
              <w:r>
                <w:rPr>
                  <w:rFonts w:hint="eastAsia" w:ascii="宋体" w:hAnsi="宋体" w:eastAsia="宋体" w:cs="Times New Roman"/>
                  <w:sz w:val="22"/>
                  <w:szCs w:val="22"/>
                </w:rPr>
                <w:t>投标人须知前附表</w:t>
              </w:r>
            </w:sdtContent>
          </w:sdt>
          <w:r>
            <w:rPr>
              <w:sz w:val="22"/>
              <w:szCs w:val="22"/>
            </w:rPr>
            <w:tab/>
          </w:r>
          <w:bookmarkStart w:id="3" w:name="_Toc16189_WPSOffice_Level2Page"/>
          <w:r>
            <w:rPr>
              <w:sz w:val="22"/>
              <w:szCs w:val="22"/>
            </w:rPr>
            <w:t>7</w:t>
          </w:r>
          <w:bookmarkEnd w:id="3"/>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_Toc20218_WPSOffice_Level2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92875788-9d6d-4f31-9f55-0f3c445eb0b4}"/>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2.2 </w:t>
              </w:r>
              <w:r>
                <w:rPr>
                  <w:rFonts w:hint="eastAsia" w:ascii="宋体" w:hAnsi="宋体" w:eastAsia="宋体" w:cs="Times New Roman"/>
                  <w:sz w:val="22"/>
                  <w:szCs w:val="22"/>
                </w:rPr>
                <w:t>总则</w:t>
              </w:r>
            </w:sdtContent>
          </w:sdt>
          <w:r>
            <w:rPr>
              <w:sz w:val="22"/>
              <w:szCs w:val="22"/>
            </w:rPr>
            <w:tab/>
          </w:r>
          <w:bookmarkStart w:id="4" w:name="_Toc20218_WPSOffice_Level2Page"/>
          <w:r>
            <w:rPr>
              <w:sz w:val="22"/>
              <w:szCs w:val="22"/>
            </w:rPr>
            <w:t>10</w:t>
          </w:r>
          <w:bookmarkEnd w:id="4"/>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_Toc6034_WPSOffice_Level2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1270a1e1-2905-4d29-90e5-8f8e4cb6f432}"/>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2.3 </w:t>
              </w:r>
              <w:r>
                <w:rPr>
                  <w:rFonts w:hint="eastAsia" w:ascii="宋体" w:hAnsi="宋体" w:eastAsia="宋体" w:cs="Times New Roman"/>
                  <w:sz w:val="22"/>
                  <w:szCs w:val="22"/>
                </w:rPr>
                <w:t>招标文件</w:t>
              </w:r>
            </w:sdtContent>
          </w:sdt>
          <w:r>
            <w:rPr>
              <w:sz w:val="22"/>
              <w:szCs w:val="22"/>
            </w:rPr>
            <w:tab/>
          </w:r>
          <w:bookmarkStart w:id="5" w:name="_Toc6034_WPSOffice_Level2Page"/>
          <w:r>
            <w:rPr>
              <w:sz w:val="22"/>
              <w:szCs w:val="22"/>
            </w:rPr>
            <w:t>11</w:t>
          </w:r>
          <w:bookmarkEnd w:id="5"/>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_Toc21072_WPSOffice_Level2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0f74f1f4-662c-427e-9b2e-82ba23dc66be}"/>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2.4 </w:t>
              </w:r>
              <w:r>
                <w:rPr>
                  <w:rFonts w:hint="eastAsia" w:ascii="宋体" w:hAnsi="宋体" w:eastAsia="宋体" w:cs="Times New Roman"/>
                  <w:sz w:val="22"/>
                  <w:szCs w:val="22"/>
                </w:rPr>
                <w:t>投标文件</w:t>
              </w:r>
            </w:sdtContent>
          </w:sdt>
          <w:r>
            <w:rPr>
              <w:sz w:val="22"/>
              <w:szCs w:val="22"/>
            </w:rPr>
            <w:tab/>
          </w:r>
          <w:bookmarkStart w:id="6" w:name="_Toc21072_WPSOffice_Level2Page"/>
          <w:r>
            <w:rPr>
              <w:sz w:val="22"/>
              <w:szCs w:val="22"/>
            </w:rPr>
            <w:t>12</w:t>
          </w:r>
          <w:bookmarkEnd w:id="6"/>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_Toc17680_WPSOffice_Level2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fbab7cb7-4bf3-4872-8b54-12e61ed5c3f4}"/>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2.5 </w:t>
              </w:r>
              <w:r>
                <w:rPr>
                  <w:rFonts w:hint="eastAsia" w:ascii="宋体" w:hAnsi="宋体" w:eastAsia="宋体" w:cs="Times New Roman"/>
                  <w:sz w:val="22"/>
                  <w:szCs w:val="22"/>
                </w:rPr>
                <w:t>开标、资格审查、评标和中标</w:t>
              </w:r>
            </w:sdtContent>
          </w:sdt>
          <w:r>
            <w:rPr>
              <w:sz w:val="22"/>
              <w:szCs w:val="22"/>
            </w:rPr>
            <w:tab/>
          </w:r>
          <w:bookmarkStart w:id="7" w:name="_Toc17680_WPSOffice_Level2Page"/>
          <w:r>
            <w:rPr>
              <w:sz w:val="22"/>
              <w:szCs w:val="22"/>
            </w:rPr>
            <w:t>19</w:t>
          </w:r>
          <w:bookmarkEnd w:id="7"/>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_Toc9989_WPSOffice_Level2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18efcbd9-b516-4719-868c-f61e69b2b299}"/>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2.6 </w:t>
              </w:r>
              <w:r>
                <w:rPr>
                  <w:rFonts w:hint="eastAsia" w:ascii="宋体" w:hAnsi="宋体" w:eastAsia="宋体" w:cs="Times New Roman"/>
                  <w:sz w:val="22"/>
                  <w:szCs w:val="22"/>
                </w:rPr>
                <w:t>签订及履行合同和验收</w:t>
              </w:r>
            </w:sdtContent>
          </w:sdt>
          <w:r>
            <w:rPr>
              <w:sz w:val="22"/>
              <w:szCs w:val="22"/>
            </w:rPr>
            <w:tab/>
          </w:r>
          <w:bookmarkStart w:id="8" w:name="_Toc9989_WPSOffice_Level2Page"/>
          <w:r>
            <w:rPr>
              <w:sz w:val="22"/>
              <w:szCs w:val="22"/>
            </w:rPr>
            <w:t>21</w:t>
          </w:r>
          <w:bookmarkEnd w:id="8"/>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_Toc23316_WPSOffice_Level2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5086e849-f901-4d0c-9980-5b4f7f9ce9b7}"/>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2.7 </w:t>
              </w:r>
              <w:r>
                <w:rPr>
                  <w:rFonts w:hint="eastAsia" w:ascii="宋体" w:hAnsi="宋体" w:eastAsia="宋体" w:cs="Times New Roman"/>
                  <w:sz w:val="22"/>
                  <w:szCs w:val="22"/>
                </w:rPr>
                <w:t>投标纪律要求</w:t>
              </w:r>
            </w:sdtContent>
          </w:sdt>
          <w:r>
            <w:rPr>
              <w:sz w:val="22"/>
              <w:szCs w:val="22"/>
            </w:rPr>
            <w:tab/>
          </w:r>
          <w:bookmarkStart w:id="9" w:name="_Toc23316_WPSOffice_Level2Page"/>
          <w:r>
            <w:rPr>
              <w:sz w:val="22"/>
              <w:szCs w:val="22"/>
            </w:rPr>
            <w:t>23</w:t>
          </w:r>
          <w:bookmarkEnd w:id="9"/>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_Toc19536_WPSOffice_Level2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57ab8a17-4767-4718-94a2-f3b67a8c7b71}"/>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2.8 </w:t>
              </w:r>
              <w:r>
                <w:rPr>
                  <w:rFonts w:hint="eastAsia" w:ascii="宋体" w:hAnsi="宋体" w:eastAsia="宋体" w:cs="Times New Roman"/>
                  <w:sz w:val="22"/>
                  <w:szCs w:val="22"/>
                </w:rPr>
                <w:t>询问、质疑和投诉</w:t>
              </w:r>
            </w:sdtContent>
          </w:sdt>
          <w:r>
            <w:rPr>
              <w:sz w:val="22"/>
              <w:szCs w:val="22"/>
            </w:rPr>
            <w:tab/>
          </w:r>
          <w:bookmarkStart w:id="10" w:name="_Toc19536_WPSOffice_Level2Page"/>
          <w:r>
            <w:rPr>
              <w:sz w:val="22"/>
              <w:szCs w:val="22"/>
            </w:rPr>
            <w:t>25</w:t>
          </w:r>
          <w:bookmarkEnd w:id="10"/>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_Toc16083_WPSOffice_Level2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36cafdcd-119d-4d70-ae23-a291d4f70013}"/>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2.9 </w:t>
              </w:r>
              <w:r>
                <w:rPr>
                  <w:rFonts w:hint="eastAsia" w:ascii="宋体" w:hAnsi="宋体" w:eastAsia="宋体" w:cs="Times New Roman"/>
                  <w:sz w:val="22"/>
                  <w:szCs w:val="22"/>
                </w:rPr>
                <w:t>中小企业政府采购信用融资</w:t>
              </w:r>
            </w:sdtContent>
          </w:sdt>
          <w:r>
            <w:rPr>
              <w:sz w:val="22"/>
              <w:szCs w:val="22"/>
            </w:rPr>
            <w:tab/>
          </w:r>
          <w:bookmarkStart w:id="11" w:name="_Toc16083_WPSOffice_Level2Page"/>
          <w:r>
            <w:rPr>
              <w:sz w:val="22"/>
              <w:szCs w:val="22"/>
            </w:rPr>
            <w:t>26</w:t>
          </w:r>
          <w:bookmarkEnd w:id="11"/>
          <w:r>
            <w:rPr>
              <w:sz w:val="22"/>
              <w:szCs w:val="22"/>
            </w:rPr>
            <w:fldChar w:fldCharType="end"/>
          </w:r>
        </w:p>
        <w:p>
          <w:pPr>
            <w:pStyle w:val="227"/>
            <w:tabs>
              <w:tab w:val="right" w:leader="dot" w:pos="8250"/>
            </w:tabs>
            <w:rPr>
              <w:sz w:val="22"/>
              <w:szCs w:val="22"/>
            </w:rPr>
          </w:pPr>
          <w:r>
            <w:rPr>
              <w:b/>
              <w:bCs/>
              <w:sz w:val="22"/>
              <w:szCs w:val="22"/>
            </w:rPr>
            <w:fldChar w:fldCharType="begin"/>
          </w:r>
          <w:r>
            <w:rPr>
              <w:sz w:val="22"/>
              <w:szCs w:val="22"/>
            </w:rPr>
            <w:instrText xml:space="preserve"> HYPERLINK \l _Toc20218_WPSOffice_Level1 </w:instrText>
          </w:r>
          <w:r>
            <w:rPr>
              <w:b/>
              <w:bCs/>
              <w:sz w:val="22"/>
              <w:szCs w:val="22"/>
            </w:rPr>
            <w:fldChar w:fldCharType="separate"/>
          </w:r>
          <w:sdt>
            <w:sdtPr>
              <w:rPr>
                <w:rFonts w:ascii="Calibri" w:hAnsi="Calibri" w:eastAsia="宋体" w:cs="Times New Roman"/>
                <w:b/>
                <w:bCs/>
                <w:kern w:val="2"/>
                <w:sz w:val="24"/>
                <w:szCs w:val="28"/>
                <w:lang w:val="en-US" w:eastAsia="zh-CN" w:bidi="ar-SA"/>
              </w:rPr>
              <w:id w:val="147481557"/>
              <w:placeholder>
                <w:docPart w:val="{20a5612c-92e8-4070-8168-6f5d2b2138e8}"/>
              </w:placeholder>
            </w:sdtPr>
            <w:sdtEndPr>
              <w:rPr>
                <w:rFonts w:ascii="Calibri" w:hAnsi="Calibri" w:eastAsia="宋体" w:cs="Times New Roman"/>
                <w:b/>
                <w:bCs/>
                <w:kern w:val="2"/>
                <w:sz w:val="24"/>
                <w:szCs w:val="28"/>
                <w:lang w:val="en-US" w:eastAsia="zh-CN" w:bidi="ar-SA"/>
              </w:rPr>
            </w:sdtEndPr>
            <w:sdtContent>
              <w:r>
                <w:rPr>
                  <w:rFonts w:hint="default" w:ascii="Times New Roman" w:hAnsi="Times New Roman" w:eastAsia="宋体" w:cs="Times New Roman"/>
                  <w:b/>
                  <w:bCs/>
                  <w:sz w:val="22"/>
                  <w:szCs w:val="22"/>
                </w:rPr>
                <w:t xml:space="preserve">第3章 </w:t>
              </w:r>
              <w:r>
                <w:rPr>
                  <w:rFonts w:hint="eastAsia" w:ascii="宋体" w:hAnsi="宋体" w:eastAsia="宋体" w:cs="Times New Roman"/>
                  <w:b/>
                  <w:bCs/>
                  <w:sz w:val="22"/>
                  <w:szCs w:val="22"/>
                </w:rPr>
                <w:t>投标文件格式</w:t>
              </w:r>
            </w:sdtContent>
          </w:sdt>
          <w:r>
            <w:rPr>
              <w:b/>
              <w:bCs/>
              <w:sz w:val="22"/>
              <w:szCs w:val="22"/>
            </w:rPr>
            <w:tab/>
          </w:r>
          <w:bookmarkStart w:id="12" w:name="_Toc20218_WPSOffice_Level1Page"/>
          <w:r>
            <w:rPr>
              <w:b/>
              <w:bCs/>
              <w:sz w:val="22"/>
              <w:szCs w:val="22"/>
            </w:rPr>
            <w:t>27</w:t>
          </w:r>
          <w:bookmarkEnd w:id="12"/>
          <w:r>
            <w:rPr>
              <w:b/>
              <w:bCs/>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_Toc2393_WPSOffice_Level2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d6197265-168c-42d9-85ba-bb0604ecc5fc}"/>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3.1 </w:t>
              </w:r>
              <w:r>
                <w:rPr>
                  <w:rFonts w:hint="eastAsia" w:ascii="宋体" w:hAnsi="宋体" w:eastAsia="宋体" w:cs="Times New Roman"/>
                  <w:sz w:val="22"/>
                  <w:szCs w:val="22"/>
                </w:rPr>
                <w:t>投标文件封面格式</w:t>
              </w:r>
            </w:sdtContent>
          </w:sdt>
          <w:r>
            <w:rPr>
              <w:sz w:val="22"/>
              <w:szCs w:val="22"/>
            </w:rPr>
            <w:tab/>
          </w:r>
          <w:bookmarkStart w:id="13" w:name="_Toc2393_WPSOffice_Level2Page"/>
          <w:r>
            <w:rPr>
              <w:sz w:val="22"/>
              <w:szCs w:val="22"/>
            </w:rPr>
            <w:t>27</w:t>
          </w:r>
          <w:bookmarkEnd w:id="13"/>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_Toc9609_WPSOffice_Level2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572374cc-7241-4f38-be76-01fc7bc6916f}"/>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3.2 </w:t>
              </w:r>
              <w:r>
                <w:rPr>
                  <w:rFonts w:hint="eastAsia" w:ascii="宋体" w:hAnsi="宋体" w:eastAsia="宋体" w:cs="Times New Roman"/>
                  <w:sz w:val="22"/>
                  <w:szCs w:val="22"/>
                </w:rPr>
                <w:t>资格响应文件</w:t>
              </w:r>
            </w:sdtContent>
          </w:sdt>
          <w:r>
            <w:rPr>
              <w:sz w:val="22"/>
              <w:szCs w:val="22"/>
            </w:rPr>
            <w:tab/>
          </w:r>
          <w:bookmarkStart w:id="14" w:name="_Toc9609_WPSOffice_Level2Page"/>
          <w:r>
            <w:rPr>
              <w:sz w:val="22"/>
              <w:szCs w:val="22"/>
            </w:rPr>
            <w:t>28</w:t>
          </w:r>
          <w:bookmarkEnd w:id="14"/>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_Toc30694_WPSOffice_Level2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38756e04-a901-4b12-b41e-e170d03f590a}"/>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3.3 </w:t>
              </w:r>
              <w:r>
                <w:rPr>
                  <w:rFonts w:hint="eastAsia" w:ascii="宋体" w:hAnsi="宋体" w:eastAsia="宋体" w:cs="Times New Roman"/>
                  <w:sz w:val="22"/>
                  <w:szCs w:val="22"/>
                </w:rPr>
                <w:t>商务技术</w:t>
              </w:r>
              <w:r>
                <w:rPr>
                  <w:rFonts w:ascii="宋体" w:hAnsi="宋体" w:eastAsia="宋体" w:cs="Times New Roman"/>
                  <w:sz w:val="22"/>
                  <w:szCs w:val="22"/>
                </w:rPr>
                <w:t>响应文件</w:t>
              </w:r>
            </w:sdtContent>
          </w:sdt>
          <w:r>
            <w:rPr>
              <w:sz w:val="22"/>
              <w:szCs w:val="22"/>
            </w:rPr>
            <w:tab/>
          </w:r>
          <w:bookmarkStart w:id="15" w:name="_Toc30694_WPSOffice_Level2Page"/>
          <w:r>
            <w:rPr>
              <w:sz w:val="22"/>
              <w:szCs w:val="22"/>
            </w:rPr>
            <w:t>35</w:t>
          </w:r>
          <w:bookmarkEnd w:id="15"/>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_Toc32118_WPSOffice_Level2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b9bb288a-c740-4c7a-996b-fc3a4849f47c}"/>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3.4 </w:t>
              </w:r>
              <w:r>
                <w:rPr>
                  <w:rFonts w:hint="eastAsia" w:ascii="宋体" w:hAnsi="宋体" w:eastAsia="宋体" w:cs="Times New Roman"/>
                  <w:sz w:val="22"/>
                  <w:szCs w:val="22"/>
                </w:rPr>
                <w:t>报价</w:t>
              </w:r>
              <w:r>
                <w:rPr>
                  <w:rFonts w:ascii="宋体" w:hAnsi="宋体" w:eastAsia="宋体" w:cs="Times New Roman"/>
                  <w:sz w:val="22"/>
                  <w:szCs w:val="22"/>
                </w:rPr>
                <w:t>要求响应文件</w:t>
              </w:r>
            </w:sdtContent>
          </w:sdt>
          <w:r>
            <w:rPr>
              <w:sz w:val="22"/>
              <w:szCs w:val="22"/>
            </w:rPr>
            <w:tab/>
          </w:r>
          <w:bookmarkStart w:id="16" w:name="_Toc32118_WPSOffice_Level2Page"/>
          <w:r>
            <w:rPr>
              <w:sz w:val="22"/>
              <w:szCs w:val="22"/>
            </w:rPr>
            <w:t>42</w:t>
          </w:r>
          <w:bookmarkEnd w:id="16"/>
          <w:r>
            <w:rPr>
              <w:sz w:val="22"/>
              <w:szCs w:val="22"/>
            </w:rPr>
            <w:fldChar w:fldCharType="end"/>
          </w:r>
        </w:p>
        <w:p>
          <w:pPr>
            <w:pStyle w:val="227"/>
            <w:tabs>
              <w:tab w:val="right" w:leader="dot" w:pos="8250"/>
            </w:tabs>
            <w:rPr>
              <w:sz w:val="22"/>
              <w:szCs w:val="22"/>
            </w:rPr>
          </w:pPr>
          <w:r>
            <w:rPr>
              <w:b/>
              <w:bCs/>
              <w:sz w:val="22"/>
              <w:szCs w:val="22"/>
            </w:rPr>
            <w:fldChar w:fldCharType="begin"/>
          </w:r>
          <w:r>
            <w:rPr>
              <w:sz w:val="22"/>
              <w:szCs w:val="22"/>
            </w:rPr>
            <w:instrText xml:space="preserve"> HYPERLINK \l _Toc6034_WPSOffice_Level1 </w:instrText>
          </w:r>
          <w:r>
            <w:rPr>
              <w:b/>
              <w:bCs/>
              <w:sz w:val="22"/>
              <w:szCs w:val="22"/>
            </w:rPr>
            <w:fldChar w:fldCharType="separate"/>
          </w:r>
          <w:sdt>
            <w:sdtPr>
              <w:rPr>
                <w:rFonts w:ascii="Calibri" w:hAnsi="Calibri" w:eastAsia="宋体" w:cs="Times New Roman"/>
                <w:b/>
                <w:bCs/>
                <w:kern w:val="2"/>
                <w:sz w:val="24"/>
                <w:szCs w:val="28"/>
                <w:lang w:val="en-US" w:eastAsia="zh-CN" w:bidi="ar-SA"/>
              </w:rPr>
              <w:id w:val="147481557"/>
              <w:placeholder>
                <w:docPart w:val="{5db8b0ac-95a0-462d-a22e-c33b4a22451a}"/>
              </w:placeholder>
            </w:sdtPr>
            <w:sdtEndPr>
              <w:rPr>
                <w:rFonts w:ascii="Calibri" w:hAnsi="Calibri" w:eastAsia="宋体" w:cs="Times New Roman"/>
                <w:b/>
                <w:bCs/>
                <w:kern w:val="2"/>
                <w:sz w:val="24"/>
                <w:szCs w:val="28"/>
                <w:lang w:val="en-US" w:eastAsia="zh-CN" w:bidi="ar-SA"/>
              </w:rPr>
            </w:sdtEndPr>
            <w:sdtContent>
              <w:r>
                <w:rPr>
                  <w:rFonts w:hint="default" w:ascii="Times New Roman" w:hAnsi="Times New Roman" w:eastAsia="宋体" w:cs="Times New Roman"/>
                  <w:b/>
                  <w:bCs/>
                  <w:sz w:val="22"/>
                  <w:szCs w:val="22"/>
                </w:rPr>
                <w:t xml:space="preserve">第4章 </w:t>
              </w:r>
              <w:r>
                <w:rPr>
                  <w:rFonts w:hint="eastAsia" w:ascii="宋体" w:hAnsi="宋体" w:eastAsia="宋体" w:cs="Times New Roman"/>
                  <w:b/>
                  <w:bCs/>
                  <w:sz w:val="22"/>
                  <w:szCs w:val="22"/>
                </w:rPr>
                <w:t>招标项目技术、服务、商务及其他要求</w:t>
              </w:r>
            </w:sdtContent>
          </w:sdt>
          <w:r>
            <w:rPr>
              <w:b/>
              <w:bCs/>
              <w:sz w:val="22"/>
              <w:szCs w:val="22"/>
            </w:rPr>
            <w:tab/>
          </w:r>
          <w:bookmarkStart w:id="17" w:name="_Toc6034_WPSOffice_Level1Page"/>
          <w:r>
            <w:rPr>
              <w:b/>
              <w:bCs/>
              <w:sz w:val="22"/>
              <w:szCs w:val="22"/>
            </w:rPr>
            <w:t>44</w:t>
          </w:r>
          <w:bookmarkEnd w:id="17"/>
          <w:r>
            <w:rPr>
              <w:b/>
              <w:bCs/>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_Toc25214_WPSOffice_Level2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4864ea96-a480-4f0a-8051-42bdcaaf2449}"/>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4.1 </w:t>
              </w:r>
              <w:r>
                <w:rPr>
                  <w:rFonts w:hint="eastAsia" w:ascii="宋体" w:hAnsi="宋体" w:eastAsia="宋体" w:cs="Times New Roman"/>
                  <w:sz w:val="22"/>
                  <w:szCs w:val="22"/>
                </w:rPr>
                <w:t>项目概况</w:t>
              </w:r>
            </w:sdtContent>
          </w:sdt>
          <w:r>
            <w:rPr>
              <w:sz w:val="22"/>
              <w:szCs w:val="22"/>
            </w:rPr>
            <w:tab/>
          </w:r>
          <w:bookmarkStart w:id="18" w:name="_Toc25214_WPSOffice_Level2Page"/>
          <w:r>
            <w:rPr>
              <w:sz w:val="22"/>
              <w:szCs w:val="22"/>
            </w:rPr>
            <w:t>44</w:t>
          </w:r>
          <w:bookmarkEnd w:id="18"/>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_Toc20263_WPSOffice_Level2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ba6fa625-ea70-4177-815e-dcc4e1b136d0}"/>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4.2 </w:t>
              </w:r>
              <w:r>
                <w:rPr>
                  <w:rFonts w:hint="eastAsia" w:ascii="宋体" w:hAnsi="宋体" w:eastAsia="宋体" w:cs="Times New Roman"/>
                  <w:sz w:val="22"/>
                  <w:szCs w:val="22"/>
                </w:rPr>
                <w:t>服务地点及服务事项</w:t>
              </w:r>
            </w:sdtContent>
          </w:sdt>
          <w:r>
            <w:rPr>
              <w:sz w:val="22"/>
              <w:szCs w:val="22"/>
            </w:rPr>
            <w:tab/>
          </w:r>
          <w:bookmarkStart w:id="19" w:name="_Toc20263_WPSOffice_Level2Page"/>
          <w:r>
            <w:rPr>
              <w:sz w:val="22"/>
              <w:szCs w:val="22"/>
            </w:rPr>
            <w:t>44</w:t>
          </w:r>
          <w:bookmarkEnd w:id="19"/>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_Toc32540_WPSOffice_Level2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710838e5-d033-4b33-b38e-91b4caf0458c}"/>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4.3 </w:t>
              </w:r>
              <w:r>
                <w:rPr>
                  <w:rFonts w:hint="eastAsia" w:ascii="宋体" w:hAnsi="宋体" w:eastAsia="宋体" w:cs="宋体"/>
                  <w:sz w:val="22"/>
                  <w:szCs w:val="22"/>
                </w:rPr>
                <w:t>服务内容及要求</w:t>
              </w:r>
            </w:sdtContent>
          </w:sdt>
          <w:r>
            <w:rPr>
              <w:sz w:val="22"/>
              <w:szCs w:val="22"/>
            </w:rPr>
            <w:tab/>
          </w:r>
          <w:bookmarkStart w:id="20" w:name="_Toc32540_WPSOffice_Level2Page"/>
          <w:r>
            <w:rPr>
              <w:sz w:val="22"/>
              <w:szCs w:val="22"/>
            </w:rPr>
            <w:t>44</w:t>
          </w:r>
          <w:bookmarkEnd w:id="20"/>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_Toc29155_WPSOffice_Level2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e10b68b2-1d96-48f4-9c97-830b1d307895}"/>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4.4 </w:t>
              </w:r>
              <w:r>
                <w:rPr>
                  <w:rFonts w:hint="eastAsia" w:ascii="宋体" w:hAnsi="Times New Roman" w:eastAsia="宋体" w:cs="宋体"/>
                  <w:sz w:val="22"/>
                  <w:szCs w:val="22"/>
                </w:rPr>
                <w:t>考核</w:t>
              </w:r>
              <w:r>
                <w:rPr>
                  <w:rFonts w:hint="eastAsia" w:ascii="宋体" w:hAnsi="宋体" w:eastAsia="宋体" w:cs="宋体"/>
                  <w:sz w:val="22"/>
                  <w:szCs w:val="22"/>
                </w:rPr>
                <w:t>办法及标准：</w:t>
              </w:r>
            </w:sdtContent>
          </w:sdt>
          <w:r>
            <w:rPr>
              <w:sz w:val="22"/>
              <w:szCs w:val="22"/>
            </w:rPr>
            <w:tab/>
          </w:r>
          <w:bookmarkStart w:id="21" w:name="_Toc29155_WPSOffice_Level2Page"/>
          <w:r>
            <w:rPr>
              <w:sz w:val="22"/>
              <w:szCs w:val="22"/>
            </w:rPr>
            <w:t>52</w:t>
          </w:r>
          <w:bookmarkEnd w:id="21"/>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_Toc9295_WPSOffice_Level2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0affddb6-f796-4e34-b7c4-3fa9a320f497}"/>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4.5 </w:t>
              </w:r>
              <w:r>
                <w:rPr>
                  <w:rFonts w:hint="eastAsia" w:ascii="宋体" w:hAnsi="宋体" w:eastAsia="宋体" w:cs="Times New Roman"/>
                  <w:sz w:val="22"/>
                  <w:szCs w:val="22"/>
                </w:rPr>
                <w:t>其他要求</w:t>
              </w:r>
            </w:sdtContent>
          </w:sdt>
          <w:r>
            <w:rPr>
              <w:sz w:val="22"/>
              <w:szCs w:val="22"/>
            </w:rPr>
            <w:tab/>
          </w:r>
          <w:bookmarkStart w:id="22" w:name="_Toc9295_WPSOffice_Level2Page"/>
          <w:r>
            <w:rPr>
              <w:sz w:val="22"/>
              <w:szCs w:val="22"/>
            </w:rPr>
            <w:t>62</w:t>
          </w:r>
          <w:bookmarkEnd w:id="22"/>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_Toc29878_WPSOffice_Level2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d8b94cbf-0350-4416-b850-c4039389a068}"/>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4.6 </w:t>
              </w:r>
              <w:r>
                <w:rPr>
                  <w:rFonts w:hint="eastAsia" w:ascii="宋体" w:hAnsi="宋体" w:eastAsia="宋体" w:cs="Times New Roman"/>
                  <w:sz w:val="22"/>
                  <w:szCs w:val="22"/>
                </w:rPr>
                <w:t>商务</w:t>
              </w:r>
              <w:r>
                <w:rPr>
                  <w:rFonts w:ascii="宋体" w:hAnsi="宋体" w:eastAsia="宋体" w:cs="Times New Roman"/>
                  <w:sz w:val="22"/>
                  <w:szCs w:val="22"/>
                </w:rPr>
                <w:t>要求</w:t>
              </w:r>
            </w:sdtContent>
          </w:sdt>
          <w:r>
            <w:rPr>
              <w:sz w:val="22"/>
              <w:szCs w:val="22"/>
            </w:rPr>
            <w:tab/>
          </w:r>
          <w:bookmarkStart w:id="23" w:name="_Toc29878_WPSOffice_Level2Page"/>
          <w:r>
            <w:rPr>
              <w:sz w:val="22"/>
              <w:szCs w:val="22"/>
            </w:rPr>
            <w:t>62</w:t>
          </w:r>
          <w:bookmarkEnd w:id="23"/>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_Toc29869_WPSOffice_Level2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c881a18d-c0b2-4f82-8198-cc6131cb74a5}"/>
              </w:placeholder>
            </w:sdtPr>
            <w:sdtEndPr>
              <w:rPr>
                <w:rFonts w:ascii="Calibri" w:hAnsi="Calibri" w:eastAsia="宋体" w:cs="Times New Roman"/>
                <w:kern w:val="2"/>
                <w:sz w:val="24"/>
                <w:szCs w:val="28"/>
                <w:lang w:val="en-US" w:eastAsia="zh-CN" w:bidi="ar-SA"/>
              </w:rPr>
            </w:sdtEndPr>
            <w:sdtContent>
              <w:r>
                <w:rPr>
                  <w:rFonts w:hint="eastAsia" w:ascii="宋体" w:hAnsi="宋体" w:eastAsia="宋体" w:cs="宋体"/>
                  <w:sz w:val="22"/>
                  <w:szCs w:val="22"/>
                </w:rPr>
                <w:t>（一）服务期限：</w:t>
              </w:r>
            </w:sdtContent>
          </w:sdt>
          <w:r>
            <w:rPr>
              <w:sz w:val="22"/>
              <w:szCs w:val="22"/>
            </w:rPr>
            <w:tab/>
          </w:r>
          <w:bookmarkStart w:id="24" w:name="_Toc29869_WPSOffice_Level2Page"/>
          <w:r>
            <w:rPr>
              <w:sz w:val="22"/>
              <w:szCs w:val="22"/>
            </w:rPr>
            <w:t>62</w:t>
          </w:r>
          <w:bookmarkEnd w:id="24"/>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_Toc26807_WPSOffice_Level2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588e8ba0-7b63-4cf3-b6e1-41b8ee639432}"/>
              </w:placeholder>
            </w:sdtPr>
            <w:sdtEndPr>
              <w:rPr>
                <w:rFonts w:ascii="Calibri" w:hAnsi="Calibri" w:eastAsia="宋体" w:cs="Times New Roman"/>
                <w:kern w:val="2"/>
                <w:sz w:val="24"/>
                <w:szCs w:val="28"/>
                <w:lang w:val="en-US" w:eastAsia="zh-CN" w:bidi="ar-SA"/>
              </w:rPr>
            </w:sdtEndPr>
            <w:sdtContent>
              <w:r>
                <w:rPr>
                  <w:rFonts w:hint="eastAsia" w:ascii="宋体" w:hAnsi="宋体" w:eastAsia="宋体" w:cs="宋体"/>
                  <w:sz w:val="22"/>
                  <w:szCs w:val="22"/>
                </w:rPr>
                <w:t>（二） 服务地点：</w:t>
              </w:r>
            </w:sdtContent>
          </w:sdt>
          <w:r>
            <w:rPr>
              <w:sz w:val="22"/>
              <w:szCs w:val="22"/>
            </w:rPr>
            <w:tab/>
          </w:r>
          <w:bookmarkStart w:id="25" w:name="_Toc26807_WPSOffice_Level2Page"/>
          <w:r>
            <w:rPr>
              <w:sz w:val="22"/>
              <w:szCs w:val="22"/>
            </w:rPr>
            <w:t>62</w:t>
          </w:r>
          <w:bookmarkEnd w:id="25"/>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_Toc6781_WPSOffice_Level2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60c93292-32fc-4be3-9215-b440708b8bbc}"/>
              </w:placeholder>
            </w:sdtPr>
            <w:sdtEndPr>
              <w:rPr>
                <w:rFonts w:ascii="Calibri" w:hAnsi="Calibri" w:eastAsia="宋体" w:cs="Times New Roman"/>
                <w:kern w:val="2"/>
                <w:sz w:val="24"/>
                <w:szCs w:val="28"/>
                <w:lang w:val="en-US" w:eastAsia="zh-CN" w:bidi="ar-SA"/>
              </w:rPr>
            </w:sdtEndPr>
            <w:sdtContent>
              <w:r>
                <w:rPr>
                  <w:rFonts w:hint="eastAsia" w:ascii="宋体" w:hAnsi="宋体" w:eastAsia="宋体" w:cs="宋体"/>
                  <w:sz w:val="22"/>
                  <w:szCs w:val="22"/>
                </w:rPr>
                <w:t>（三）付款方法和条件：</w:t>
              </w:r>
            </w:sdtContent>
          </w:sdt>
          <w:r>
            <w:rPr>
              <w:sz w:val="22"/>
              <w:szCs w:val="22"/>
            </w:rPr>
            <w:tab/>
          </w:r>
          <w:bookmarkStart w:id="26" w:name="_Toc6781_WPSOffice_Level2Page"/>
          <w:r>
            <w:rPr>
              <w:sz w:val="22"/>
              <w:szCs w:val="22"/>
            </w:rPr>
            <w:t>62</w:t>
          </w:r>
          <w:bookmarkEnd w:id="26"/>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_Toc24174_WPSOffice_Level2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a6e2866c-a60e-4961-9500-1284efbc11f6}"/>
              </w:placeholder>
            </w:sdtPr>
            <w:sdtEndPr>
              <w:rPr>
                <w:rFonts w:ascii="Calibri" w:hAnsi="Calibri" w:eastAsia="宋体" w:cs="Times New Roman"/>
                <w:kern w:val="2"/>
                <w:sz w:val="24"/>
                <w:szCs w:val="28"/>
                <w:lang w:val="en-US" w:eastAsia="zh-CN" w:bidi="ar-SA"/>
              </w:rPr>
            </w:sdtEndPr>
            <w:sdtContent>
              <w:r>
                <w:rPr>
                  <w:rFonts w:hint="eastAsia" w:ascii="宋体" w:hAnsi="宋体" w:eastAsia="宋体" w:cs="宋体"/>
                  <w:sz w:val="22"/>
                  <w:szCs w:val="22"/>
                </w:rPr>
                <w:t>（四）验收标准：</w:t>
              </w:r>
            </w:sdtContent>
          </w:sdt>
          <w:r>
            <w:rPr>
              <w:sz w:val="22"/>
              <w:szCs w:val="22"/>
            </w:rPr>
            <w:tab/>
          </w:r>
          <w:bookmarkStart w:id="27" w:name="_Toc24174_WPSOffice_Level2Page"/>
          <w:r>
            <w:rPr>
              <w:sz w:val="22"/>
              <w:szCs w:val="22"/>
            </w:rPr>
            <w:t>62</w:t>
          </w:r>
          <w:bookmarkEnd w:id="27"/>
          <w:r>
            <w:rPr>
              <w:sz w:val="22"/>
              <w:szCs w:val="22"/>
            </w:rPr>
            <w:fldChar w:fldCharType="end"/>
          </w:r>
        </w:p>
        <w:p>
          <w:pPr>
            <w:pStyle w:val="227"/>
            <w:tabs>
              <w:tab w:val="right" w:leader="dot" w:pos="8250"/>
            </w:tabs>
            <w:rPr>
              <w:sz w:val="22"/>
              <w:szCs w:val="22"/>
            </w:rPr>
          </w:pPr>
          <w:r>
            <w:rPr>
              <w:b/>
              <w:bCs/>
              <w:sz w:val="22"/>
              <w:szCs w:val="22"/>
            </w:rPr>
            <w:fldChar w:fldCharType="begin"/>
          </w:r>
          <w:r>
            <w:rPr>
              <w:sz w:val="22"/>
              <w:szCs w:val="22"/>
            </w:rPr>
            <w:instrText xml:space="preserve"> HYPERLINK \l _Toc21072_WPSOffice_Level1 </w:instrText>
          </w:r>
          <w:r>
            <w:rPr>
              <w:b/>
              <w:bCs/>
              <w:sz w:val="22"/>
              <w:szCs w:val="22"/>
            </w:rPr>
            <w:fldChar w:fldCharType="separate"/>
          </w:r>
          <w:sdt>
            <w:sdtPr>
              <w:rPr>
                <w:rFonts w:ascii="Calibri" w:hAnsi="Calibri" w:eastAsia="宋体" w:cs="Times New Roman"/>
                <w:b/>
                <w:bCs/>
                <w:kern w:val="2"/>
                <w:sz w:val="24"/>
                <w:szCs w:val="28"/>
                <w:lang w:val="en-US" w:eastAsia="zh-CN" w:bidi="ar-SA"/>
              </w:rPr>
              <w:id w:val="147481557"/>
              <w:placeholder>
                <w:docPart w:val="{02ee9d17-8d4b-4d1d-a407-f36ce4903f02}"/>
              </w:placeholder>
            </w:sdtPr>
            <w:sdtEndPr>
              <w:rPr>
                <w:rFonts w:ascii="Calibri" w:hAnsi="Calibri" w:eastAsia="宋体" w:cs="Times New Roman"/>
                <w:b/>
                <w:bCs/>
                <w:kern w:val="2"/>
                <w:sz w:val="24"/>
                <w:szCs w:val="28"/>
                <w:lang w:val="en-US" w:eastAsia="zh-CN" w:bidi="ar-SA"/>
              </w:rPr>
            </w:sdtEndPr>
            <w:sdtContent>
              <w:r>
                <w:rPr>
                  <w:rFonts w:hint="default" w:ascii="Times New Roman" w:hAnsi="Times New Roman" w:eastAsia="宋体" w:cs="Times New Roman"/>
                  <w:b/>
                  <w:bCs/>
                  <w:sz w:val="22"/>
                  <w:szCs w:val="22"/>
                </w:rPr>
                <w:t xml:space="preserve">第5章 </w:t>
              </w:r>
              <w:r>
                <w:rPr>
                  <w:rFonts w:hint="eastAsia" w:ascii="宋体" w:hAnsi="宋体" w:eastAsia="宋体" w:cs="Times New Roman"/>
                  <w:b/>
                  <w:bCs/>
                  <w:sz w:val="22"/>
                  <w:szCs w:val="22"/>
                </w:rPr>
                <w:t>资格性审查</w:t>
              </w:r>
            </w:sdtContent>
          </w:sdt>
          <w:r>
            <w:rPr>
              <w:b/>
              <w:bCs/>
              <w:sz w:val="22"/>
              <w:szCs w:val="22"/>
            </w:rPr>
            <w:tab/>
          </w:r>
          <w:bookmarkStart w:id="28" w:name="_Toc21072_WPSOffice_Level1Page"/>
          <w:r>
            <w:rPr>
              <w:b/>
              <w:bCs/>
              <w:sz w:val="22"/>
              <w:szCs w:val="22"/>
            </w:rPr>
            <w:t>64</w:t>
          </w:r>
          <w:bookmarkEnd w:id="28"/>
          <w:r>
            <w:rPr>
              <w:b/>
              <w:bCs/>
              <w:sz w:val="22"/>
              <w:szCs w:val="22"/>
            </w:rPr>
            <w:fldChar w:fldCharType="end"/>
          </w:r>
        </w:p>
        <w:p>
          <w:pPr>
            <w:pStyle w:val="227"/>
            <w:tabs>
              <w:tab w:val="right" w:leader="dot" w:pos="8250"/>
            </w:tabs>
            <w:rPr>
              <w:sz w:val="22"/>
              <w:szCs w:val="22"/>
            </w:rPr>
          </w:pPr>
          <w:r>
            <w:rPr>
              <w:b/>
              <w:bCs/>
              <w:sz w:val="22"/>
              <w:szCs w:val="22"/>
            </w:rPr>
            <w:fldChar w:fldCharType="begin"/>
          </w:r>
          <w:r>
            <w:rPr>
              <w:sz w:val="22"/>
              <w:szCs w:val="22"/>
            </w:rPr>
            <w:instrText xml:space="preserve"> HYPERLINK \l _Toc12471_WPSOffice_Level1 </w:instrText>
          </w:r>
          <w:r>
            <w:rPr>
              <w:b/>
              <w:bCs/>
              <w:sz w:val="22"/>
              <w:szCs w:val="22"/>
            </w:rPr>
            <w:fldChar w:fldCharType="separate"/>
          </w:r>
          <w:sdt>
            <w:sdtPr>
              <w:rPr>
                <w:rFonts w:ascii="Calibri" w:hAnsi="Calibri" w:eastAsia="宋体" w:cs="Times New Roman"/>
                <w:b/>
                <w:bCs/>
                <w:kern w:val="2"/>
                <w:sz w:val="24"/>
                <w:szCs w:val="28"/>
                <w:lang w:val="en-US" w:eastAsia="zh-CN" w:bidi="ar-SA"/>
              </w:rPr>
              <w:id w:val="147481557"/>
              <w:placeholder>
                <w:docPart w:val="{8fc3afa2-77f1-4541-9006-76e520f5304a}"/>
              </w:placeholder>
            </w:sdtPr>
            <w:sdtEndPr>
              <w:rPr>
                <w:rFonts w:ascii="Calibri" w:hAnsi="Calibri" w:eastAsia="宋体" w:cs="Times New Roman"/>
                <w:b/>
                <w:bCs/>
                <w:kern w:val="2"/>
                <w:sz w:val="24"/>
                <w:szCs w:val="28"/>
                <w:lang w:val="en-US" w:eastAsia="zh-CN" w:bidi="ar-SA"/>
              </w:rPr>
            </w:sdtEndPr>
            <w:sdtContent>
              <w:r>
                <w:rPr>
                  <w:rFonts w:hint="default" w:ascii="Times New Roman" w:hAnsi="Times New Roman" w:eastAsia="宋体" w:cs="Times New Roman"/>
                  <w:b/>
                  <w:bCs/>
                  <w:sz w:val="22"/>
                  <w:szCs w:val="22"/>
                </w:rPr>
                <w:t xml:space="preserve">第6章 </w:t>
              </w:r>
              <w:r>
                <w:rPr>
                  <w:rFonts w:hint="eastAsia" w:ascii="宋体" w:hAnsi="宋体" w:eastAsia="宋体" w:cs="Times New Roman"/>
                  <w:b/>
                  <w:bCs/>
                  <w:sz w:val="22"/>
                  <w:szCs w:val="22"/>
                </w:rPr>
                <w:t>评标办法</w:t>
              </w:r>
            </w:sdtContent>
          </w:sdt>
          <w:r>
            <w:rPr>
              <w:b/>
              <w:bCs/>
              <w:sz w:val="22"/>
              <w:szCs w:val="22"/>
            </w:rPr>
            <w:tab/>
          </w:r>
          <w:bookmarkStart w:id="29" w:name="_Toc12471_WPSOffice_Level1Page"/>
          <w:r>
            <w:rPr>
              <w:b/>
              <w:bCs/>
              <w:sz w:val="22"/>
              <w:szCs w:val="22"/>
            </w:rPr>
            <w:t>68</w:t>
          </w:r>
          <w:bookmarkEnd w:id="29"/>
          <w:r>
            <w:rPr>
              <w:b/>
              <w:bCs/>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_Toc15872_WPSOffice_Level2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049aeb04-2db1-43c8-b568-4ca7ca86319a}"/>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6.1 </w:t>
              </w:r>
              <w:r>
                <w:rPr>
                  <w:rFonts w:hint="eastAsia" w:ascii="宋体" w:hAnsi="宋体" w:eastAsia="宋体" w:cs="Times New Roman"/>
                  <w:sz w:val="22"/>
                  <w:szCs w:val="22"/>
                </w:rPr>
                <w:t>总则</w:t>
              </w:r>
            </w:sdtContent>
          </w:sdt>
          <w:r>
            <w:rPr>
              <w:sz w:val="22"/>
              <w:szCs w:val="22"/>
            </w:rPr>
            <w:tab/>
          </w:r>
          <w:bookmarkStart w:id="30" w:name="_Toc15872_WPSOffice_Level2Page"/>
          <w:r>
            <w:rPr>
              <w:sz w:val="22"/>
              <w:szCs w:val="22"/>
            </w:rPr>
            <w:t>68</w:t>
          </w:r>
          <w:bookmarkEnd w:id="30"/>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_Toc14221_WPSOffice_Level2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c35d3701-146a-4731-b9c3-50724d71d1a4}"/>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6.2 </w:t>
              </w:r>
              <w:r>
                <w:rPr>
                  <w:rFonts w:hint="eastAsia" w:ascii="宋体" w:hAnsi="宋体" w:eastAsia="宋体" w:cs="Times New Roman"/>
                  <w:sz w:val="22"/>
                  <w:szCs w:val="22"/>
                </w:rPr>
                <w:t>评标方法</w:t>
              </w:r>
            </w:sdtContent>
          </w:sdt>
          <w:r>
            <w:rPr>
              <w:sz w:val="22"/>
              <w:szCs w:val="22"/>
            </w:rPr>
            <w:tab/>
          </w:r>
          <w:bookmarkStart w:id="31" w:name="_Toc14221_WPSOffice_Level2Page"/>
          <w:r>
            <w:rPr>
              <w:sz w:val="22"/>
              <w:szCs w:val="22"/>
            </w:rPr>
            <w:t>69</w:t>
          </w:r>
          <w:bookmarkEnd w:id="31"/>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_Toc29385_WPSOffice_Level2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6793ee70-3e9b-4a39-ab97-c28f08f02223}"/>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6.3 </w:t>
              </w:r>
              <w:r>
                <w:rPr>
                  <w:rFonts w:hint="eastAsia" w:ascii="宋体" w:hAnsi="宋体" w:eastAsia="宋体" w:cs="Times New Roman"/>
                  <w:sz w:val="22"/>
                  <w:szCs w:val="22"/>
                </w:rPr>
                <w:t>评标程序</w:t>
              </w:r>
            </w:sdtContent>
          </w:sdt>
          <w:r>
            <w:rPr>
              <w:sz w:val="22"/>
              <w:szCs w:val="22"/>
            </w:rPr>
            <w:tab/>
          </w:r>
          <w:bookmarkStart w:id="32" w:name="_Toc29385_WPSOffice_Level2Page"/>
          <w:r>
            <w:rPr>
              <w:sz w:val="22"/>
              <w:szCs w:val="22"/>
            </w:rPr>
            <w:t>69</w:t>
          </w:r>
          <w:bookmarkEnd w:id="32"/>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_Toc14172_WPSOffice_Level2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144e25cf-7161-4618-b101-442556079ba9}"/>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6.4 </w:t>
              </w:r>
              <w:r>
                <w:rPr>
                  <w:rFonts w:hint="eastAsia" w:ascii="宋体" w:hAnsi="宋体" w:eastAsia="宋体" w:cs="Times New Roman"/>
                  <w:sz w:val="22"/>
                  <w:szCs w:val="22"/>
                </w:rPr>
                <w:t>评标争议处理规则</w:t>
              </w:r>
            </w:sdtContent>
          </w:sdt>
          <w:r>
            <w:rPr>
              <w:sz w:val="22"/>
              <w:szCs w:val="22"/>
            </w:rPr>
            <w:tab/>
          </w:r>
          <w:bookmarkStart w:id="33" w:name="_Toc14172_WPSOffice_Level2Page"/>
          <w:r>
            <w:rPr>
              <w:sz w:val="22"/>
              <w:szCs w:val="22"/>
            </w:rPr>
            <w:t>75</w:t>
          </w:r>
          <w:bookmarkEnd w:id="33"/>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_Toc31997_WPSOffice_Level2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783ad283-3ff6-4d8f-9496-47e242e87e29}"/>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6.5 </w:t>
              </w:r>
              <w:r>
                <w:rPr>
                  <w:rFonts w:hint="eastAsia" w:ascii="宋体" w:hAnsi="宋体" w:eastAsia="宋体" w:cs="Times New Roman"/>
                  <w:sz w:val="22"/>
                  <w:szCs w:val="22"/>
                </w:rPr>
                <w:t>评标细则及标准</w:t>
              </w:r>
            </w:sdtContent>
          </w:sdt>
          <w:r>
            <w:rPr>
              <w:sz w:val="22"/>
              <w:szCs w:val="22"/>
            </w:rPr>
            <w:tab/>
          </w:r>
          <w:bookmarkStart w:id="34" w:name="_Toc31997_WPSOffice_Level2Page"/>
          <w:r>
            <w:rPr>
              <w:sz w:val="22"/>
              <w:szCs w:val="22"/>
            </w:rPr>
            <w:t>75</w:t>
          </w:r>
          <w:bookmarkEnd w:id="34"/>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_Toc20351_WPSOffice_Level2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8140d317-4618-4100-8a3b-3b6524f4f9a8}"/>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6.6 </w:t>
              </w:r>
              <w:r>
                <w:rPr>
                  <w:rFonts w:hint="eastAsia" w:ascii="宋体" w:hAnsi="宋体" w:eastAsia="宋体" w:cs="Times New Roman"/>
                  <w:sz w:val="22"/>
                  <w:szCs w:val="22"/>
                </w:rPr>
                <w:t>废标</w:t>
              </w:r>
            </w:sdtContent>
          </w:sdt>
          <w:r>
            <w:rPr>
              <w:sz w:val="22"/>
              <w:szCs w:val="22"/>
            </w:rPr>
            <w:tab/>
          </w:r>
          <w:bookmarkStart w:id="35" w:name="_Toc20351_WPSOffice_Level2Page"/>
          <w:r>
            <w:rPr>
              <w:sz w:val="22"/>
              <w:szCs w:val="22"/>
            </w:rPr>
            <w:t>79</w:t>
          </w:r>
          <w:bookmarkEnd w:id="35"/>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_Toc5495_WPSOffice_Level2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db137e29-3dbc-4a2c-a0bf-3dcb36602743}"/>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6.7 </w:t>
              </w:r>
              <w:r>
                <w:rPr>
                  <w:rFonts w:hint="eastAsia" w:ascii="宋体" w:hAnsi="宋体" w:eastAsia="宋体" w:cs="Times New Roman"/>
                  <w:sz w:val="22"/>
                  <w:szCs w:val="22"/>
                </w:rPr>
                <w:t>定标</w:t>
              </w:r>
            </w:sdtContent>
          </w:sdt>
          <w:r>
            <w:rPr>
              <w:sz w:val="22"/>
              <w:szCs w:val="22"/>
            </w:rPr>
            <w:tab/>
          </w:r>
          <w:bookmarkStart w:id="36" w:name="_Toc5495_WPSOffice_Level2Page"/>
          <w:r>
            <w:rPr>
              <w:sz w:val="22"/>
              <w:szCs w:val="22"/>
            </w:rPr>
            <w:t>79</w:t>
          </w:r>
          <w:bookmarkEnd w:id="36"/>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_Toc21511_WPSOffice_Level2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0bd47fc8-9991-4b04-808e-b129262aacec}"/>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6.8 </w:t>
              </w:r>
              <w:r>
                <w:rPr>
                  <w:rFonts w:hint="eastAsia" w:ascii="宋体" w:hAnsi="宋体" w:eastAsia="宋体" w:cs="Times New Roman"/>
                  <w:sz w:val="22"/>
                  <w:szCs w:val="22"/>
                </w:rPr>
                <w:t>评标专家在政府采购活动中承担以下义务</w:t>
              </w:r>
            </w:sdtContent>
          </w:sdt>
          <w:r>
            <w:rPr>
              <w:sz w:val="22"/>
              <w:szCs w:val="22"/>
            </w:rPr>
            <w:tab/>
          </w:r>
          <w:bookmarkStart w:id="37" w:name="_Toc21511_WPSOffice_Level2Page"/>
          <w:r>
            <w:rPr>
              <w:sz w:val="22"/>
              <w:szCs w:val="22"/>
            </w:rPr>
            <w:t>80</w:t>
          </w:r>
          <w:bookmarkEnd w:id="37"/>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_Toc19488_WPSOffice_Level2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9cce0626-f669-4904-9e6b-f27d25f69412}"/>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6.9 </w:t>
              </w:r>
              <w:r>
                <w:rPr>
                  <w:rFonts w:hint="eastAsia" w:ascii="宋体" w:hAnsi="宋体" w:eastAsia="宋体" w:cs="Times New Roman"/>
                  <w:sz w:val="22"/>
                  <w:szCs w:val="22"/>
                </w:rPr>
                <w:t>评标委员会及其成员不得有下列行为</w:t>
              </w:r>
            </w:sdtContent>
          </w:sdt>
          <w:r>
            <w:rPr>
              <w:sz w:val="22"/>
              <w:szCs w:val="22"/>
            </w:rPr>
            <w:tab/>
          </w:r>
          <w:bookmarkStart w:id="38" w:name="_Toc19488_WPSOffice_Level2Page"/>
          <w:r>
            <w:rPr>
              <w:sz w:val="22"/>
              <w:szCs w:val="22"/>
            </w:rPr>
            <w:t>81</w:t>
          </w:r>
          <w:bookmarkEnd w:id="38"/>
          <w:r>
            <w:rPr>
              <w:sz w:val="22"/>
              <w:szCs w:val="22"/>
            </w:rPr>
            <w:fldChar w:fldCharType="end"/>
          </w:r>
        </w:p>
        <w:p>
          <w:pPr>
            <w:pStyle w:val="228"/>
            <w:tabs>
              <w:tab w:val="right" w:leader="dot" w:pos="8250"/>
            </w:tabs>
            <w:rPr>
              <w:sz w:val="22"/>
              <w:szCs w:val="22"/>
            </w:rPr>
          </w:pPr>
          <w:r>
            <w:rPr>
              <w:sz w:val="22"/>
              <w:szCs w:val="22"/>
            </w:rPr>
            <w:fldChar w:fldCharType="begin"/>
          </w:r>
          <w:r>
            <w:rPr>
              <w:sz w:val="22"/>
              <w:szCs w:val="22"/>
            </w:rPr>
            <w:instrText xml:space="preserve"> HYPERLINK \l _Toc22762_WPSOffice_Level2 </w:instrText>
          </w:r>
          <w:r>
            <w:rPr>
              <w:sz w:val="22"/>
              <w:szCs w:val="22"/>
            </w:rPr>
            <w:fldChar w:fldCharType="separate"/>
          </w:r>
          <w:sdt>
            <w:sdtPr>
              <w:rPr>
                <w:rFonts w:ascii="Calibri" w:hAnsi="Calibri" w:eastAsia="宋体" w:cs="Times New Roman"/>
                <w:kern w:val="2"/>
                <w:sz w:val="24"/>
                <w:szCs w:val="28"/>
                <w:lang w:val="en-US" w:eastAsia="zh-CN" w:bidi="ar-SA"/>
              </w:rPr>
              <w:id w:val="147481557"/>
              <w:placeholder>
                <w:docPart w:val="{43bd0bec-8dc5-47be-9a3d-e96e35445de6}"/>
              </w:placeholder>
            </w:sdtPr>
            <w:sdtEndPr>
              <w:rPr>
                <w:rFonts w:ascii="Calibri" w:hAnsi="Calibri" w:eastAsia="宋体" w:cs="Times New Roman"/>
                <w:kern w:val="2"/>
                <w:sz w:val="24"/>
                <w:szCs w:val="28"/>
                <w:lang w:val="en-US" w:eastAsia="zh-CN" w:bidi="ar-SA"/>
              </w:rPr>
            </w:sdtEndPr>
            <w:sdtContent>
              <w:r>
                <w:rPr>
                  <w:rFonts w:hint="default" w:ascii="Times New Roman" w:hAnsi="Times New Roman" w:eastAsia="宋体" w:cs="Times New Roman"/>
                  <w:sz w:val="22"/>
                  <w:szCs w:val="22"/>
                </w:rPr>
                <w:t xml:space="preserve">6.10 </w:t>
              </w:r>
              <w:r>
                <w:rPr>
                  <w:rFonts w:hint="eastAsia" w:ascii="宋体" w:hAnsi="宋体" w:eastAsia="宋体" w:cs="Times New Roman"/>
                  <w:sz w:val="22"/>
                  <w:szCs w:val="22"/>
                </w:rPr>
                <w:t>评审专家在政府采购活动中应当遵守以下工作纪律</w:t>
              </w:r>
            </w:sdtContent>
          </w:sdt>
          <w:r>
            <w:rPr>
              <w:sz w:val="22"/>
              <w:szCs w:val="22"/>
            </w:rPr>
            <w:tab/>
          </w:r>
          <w:bookmarkStart w:id="39" w:name="_Toc22762_WPSOffice_Level2Page"/>
          <w:r>
            <w:rPr>
              <w:sz w:val="22"/>
              <w:szCs w:val="22"/>
            </w:rPr>
            <w:t>81</w:t>
          </w:r>
          <w:bookmarkEnd w:id="39"/>
          <w:r>
            <w:rPr>
              <w:sz w:val="22"/>
              <w:szCs w:val="22"/>
            </w:rPr>
            <w:fldChar w:fldCharType="end"/>
          </w:r>
        </w:p>
        <w:p>
          <w:pPr>
            <w:pStyle w:val="227"/>
            <w:tabs>
              <w:tab w:val="right" w:leader="dot" w:pos="8250"/>
            </w:tabs>
          </w:pPr>
          <w:r>
            <w:rPr>
              <w:b/>
              <w:bCs/>
              <w:sz w:val="22"/>
              <w:szCs w:val="22"/>
            </w:rPr>
            <w:fldChar w:fldCharType="begin"/>
          </w:r>
          <w:r>
            <w:rPr>
              <w:sz w:val="22"/>
              <w:szCs w:val="22"/>
            </w:rPr>
            <w:instrText xml:space="preserve"> HYPERLINK \l _Toc17680_WPSOffice_Level1 </w:instrText>
          </w:r>
          <w:r>
            <w:rPr>
              <w:b/>
              <w:bCs/>
              <w:sz w:val="22"/>
              <w:szCs w:val="22"/>
            </w:rPr>
            <w:fldChar w:fldCharType="separate"/>
          </w:r>
          <w:sdt>
            <w:sdtPr>
              <w:rPr>
                <w:rFonts w:ascii="Calibri" w:hAnsi="Calibri" w:eastAsia="宋体" w:cs="Times New Roman"/>
                <w:b/>
                <w:bCs/>
                <w:kern w:val="2"/>
                <w:sz w:val="24"/>
                <w:szCs w:val="28"/>
                <w:lang w:val="en-US" w:eastAsia="zh-CN" w:bidi="ar-SA"/>
              </w:rPr>
              <w:id w:val="147481557"/>
              <w:placeholder>
                <w:docPart w:val="{4907b03e-5345-4873-8068-bb66e77db1b3}"/>
              </w:placeholder>
            </w:sdtPr>
            <w:sdtEndPr>
              <w:rPr>
                <w:rFonts w:ascii="Calibri" w:hAnsi="Calibri" w:eastAsia="宋体" w:cs="Times New Roman"/>
                <w:b/>
                <w:bCs/>
                <w:kern w:val="2"/>
                <w:sz w:val="24"/>
                <w:szCs w:val="28"/>
                <w:lang w:val="en-US" w:eastAsia="zh-CN" w:bidi="ar-SA"/>
              </w:rPr>
            </w:sdtEndPr>
            <w:sdtContent>
              <w:r>
                <w:rPr>
                  <w:rFonts w:hint="default" w:ascii="Times New Roman" w:hAnsi="Times New Roman" w:eastAsia="宋体" w:cs="Times New Roman"/>
                  <w:b/>
                  <w:bCs/>
                  <w:sz w:val="22"/>
                  <w:szCs w:val="22"/>
                </w:rPr>
                <w:t xml:space="preserve">第7章 </w:t>
              </w:r>
              <w:r>
                <w:rPr>
                  <w:rFonts w:hint="eastAsia" w:ascii="宋体" w:hAnsi="宋体" w:eastAsia="宋体" w:cs="Times New Roman"/>
                  <w:b/>
                  <w:bCs/>
                  <w:sz w:val="22"/>
                  <w:szCs w:val="22"/>
                </w:rPr>
                <w:t>拟签订合同文本</w:t>
              </w:r>
            </w:sdtContent>
          </w:sdt>
          <w:r>
            <w:rPr>
              <w:b/>
              <w:bCs/>
              <w:sz w:val="22"/>
              <w:szCs w:val="22"/>
            </w:rPr>
            <w:tab/>
          </w:r>
          <w:bookmarkStart w:id="40" w:name="_Toc17680_WPSOffice_Level1Page"/>
          <w:r>
            <w:rPr>
              <w:b/>
              <w:bCs/>
              <w:sz w:val="22"/>
              <w:szCs w:val="22"/>
            </w:rPr>
            <w:t>84</w:t>
          </w:r>
          <w:bookmarkEnd w:id="40"/>
          <w:r>
            <w:rPr>
              <w:b/>
              <w:bCs/>
              <w:sz w:val="22"/>
              <w:szCs w:val="22"/>
            </w:rPr>
            <w:fldChar w:fldCharType="end"/>
          </w:r>
        </w:p>
        <w:bookmarkEnd w:id="0"/>
        <w:p>
          <w:pPr>
            <w:pStyle w:val="228"/>
            <w:tabs>
              <w:tab w:val="right" w:leader="dot" w:pos="8250"/>
            </w:tabs>
          </w:pPr>
        </w:p>
      </w:sdtContent>
    </w:sdt>
    <w:p>
      <w:pPr>
        <w:keepNext w:val="0"/>
        <w:keepLines w:val="0"/>
        <w:pageBreakBefore w:val="0"/>
        <w:tabs>
          <w:tab w:val="left" w:pos="620"/>
          <w:tab w:val="right" w:leader="dot" w:pos="8364"/>
        </w:tabs>
        <w:kinsoku/>
        <w:wordWrap/>
        <w:overflowPunct/>
        <w:topLinePunct w:val="0"/>
        <w:autoSpaceDE/>
        <w:autoSpaceDN/>
        <w:bidi w:val="0"/>
        <w:adjustRightInd/>
        <w:snapToGrid/>
        <w:spacing w:line="360" w:lineRule="auto"/>
        <w:textAlignment w:val="auto"/>
        <w:rPr>
          <w:sz w:val="32"/>
          <w:szCs w:val="36"/>
        </w:rPr>
      </w:pPr>
    </w:p>
    <w:p>
      <w:pPr>
        <w:pStyle w:val="17"/>
        <w:rPr>
          <w:sz w:val="32"/>
          <w:szCs w:val="36"/>
        </w:rPr>
      </w:pPr>
    </w:p>
    <w:p>
      <w:pPr>
        <w:pStyle w:val="17"/>
      </w:pPr>
    </w:p>
    <w:p>
      <w:pPr>
        <w:keepNext/>
        <w:keepLines/>
        <w:numPr>
          <w:ilvl w:val="0"/>
          <w:numId w:val="6"/>
        </w:numPr>
        <w:spacing w:before="340" w:after="330" w:line="400" w:lineRule="exact"/>
        <w:jc w:val="center"/>
        <w:outlineLvl w:val="0"/>
        <w:rPr>
          <w:rFonts w:ascii="宋体" w:hAnsi="宋体"/>
          <w:b/>
          <w:bCs/>
          <w:spacing w:val="-20"/>
          <w:kern w:val="44"/>
          <w:sz w:val="32"/>
          <w:szCs w:val="32"/>
        </w:rPr>
      </w:pPr>
      <w:bookmarkStart w:id="41" w:name="_Toc30056_WPSOffice_Level1"/>
      <w:bookmarkStart w:id="42" w:name="_Toc204575871"/>
      <w:bookmarkStart w:id="43" w:name="_Toc74752318"/>
      <w:bookmarkStart w:id="44" w:name="_Toc25634_WPSOffice_Level1"/>
      <w:bookmarkStart w:id="45" w:name="_Toc181610856"/>
      <w:bookmarkStart w:id="46" w:name="_Toc32086_WPSOffice_Level1"/>
      <w:bookmarkStart w:id="47" w:name="_Toc181591102"/>
      <w:r>
        <w:rPr>
          <w:rFonts w:hint="eastAsia" w:ascii="宋体" w:hAnsi="宋体"/>
          <w:b/>
          <w:bCs/>
          <w:spacing w:val="-20"/>
          <w:kern w:val="44"/>
          <w:sz w:val="32"/>
          <w:szCs w:val="32"/>
        </w:rPr>
        <w:t>投标邀请</w:t>
      </w:r>
      <w:bookmarkEnd w:id="41"/>
      <w:bookmarkEnd w:id="42"/>
      <w:bookmarkEnd w:id="43"/>
      <w:bookmarkEnd w:id="44"/>
      <w:bookmarkEnd w:id="45"/>
      <w:bookmarkEnd w:id="46"/>
      <w:bookmarkEnd w:id="47"/>
    </w:p>
    <w:p>
      <w:pPr>
        <w:spacing w:line="360" w:lineRule="auto"/>
        <w:ind w:firstLine="565" w:firstLineChars="202"/>
        <w:rPr>
          <w:rFonts w:ascii="宋体" w:hAnsi="宋体"/>
          <w:sz w:val="28"/>
          <w:szCs w:val="28"/>
        </w:rPr>
      </w:pPr>
      <w:r>
        <w:rPr>
          <w:rFonts w:hint="eastAsia" w:ascii="宋体" w:hAnsi="宋体"/>
          <w:sz w:val="28"/>
          <w:szCs w:val="28"/>
        </w:rPr>
        <w:t>成都市龙泉驿区公共资源交易服务中心(以下简称“区公资交易中心”)受</w:t>
      </w:r>
      <w:r>
        <w:rPr>
          <w:rFonts w:hint="eastAsia" w:ascii="宋体" w:hAnsi="宋体"/>
          <w:b/>
          <w:sz w:val="28"/>
          <w:szCs w:val="28"/>
          <w:u w:val="single"/>
          <w:lang w:eastAsia="zh-CN"/>
        </w:rPr>
        <w:t xml:space="preserve">成都市龙泉驿区人民检察院 </w:t>
      </w:r>
      <w:r>
        <w:rPr>
          <w:rFonts w:hint="eastAsia" w:ascii="宋体" w:hAnsi="宋体"/>
          <w:sz w:val="28"/>
          <w:szCs w:val="28"/>
        </w:rPr>
        <w:t>委托，拟对</w:t>
      </w:r>
      <w:r>
        <w:rPr>
          <w:rFonts w:hint="eastAsia" w:ascii="宋体" w:hAnsi="宋体"/>
          <w:b/>
          <w:sz w:val="28"/>
          <w:szCs w:val="28"/>
          <w:u w:val="single"/>
          <w:lang w:eastAsia="zh-CN"/>
        </w:rPr>
        <w:t>成都市龙泉驿区人民检察院物业管理服务采购项目</w:t>
      </w:r>
      <w:r>
        <w:rPr>
          <w:rFonts w:hint="eastAsia" w:ascii="宋体" w:hAnsi="宋体"/>
          <w:sz w:val="28"/>
          <w:szCs w:val="28"/>
        </w:rPr>
        <w:t>进行国内公开招标，兹邀请符合本次招标要求的供应商参加投标。</w:t>
      </w:r>
    </w:p>
    <w:p>
      <w:pPr>
        <w:numPr>
          <w:ilvl w:val="0"/>
          <w:numId w:val="7"/>
        </w:numPr>
        <w:spacing w:line="360" w:lineRule="auto"/>
        <w:ind w:left="0" w:firstLine="567"/>
        <w:rPr>
          <w:rFonts w:ascii="宋体" w:hAnsi="宋体"/>
          <w:b/>
          <w:sz w:val="28"/>
          <w:szCs w:val="28"/>
        </w:rPr>
      </w:pPr>
      <w:r>
        <w:rPr>
          <w:rFonts w:hint="eastAsia" w:ascii="宋体" w:hAnsi="宋体"/>
          <w:b/>
          <w:sz w:val="28"/>
          <w:szCs w:val="28"/>
        </w:rPr>
        <w:t>项目编号：</w:t>
      </w:r>
      <w:r>
        <w:rPr>
          <w:rFonts w:hint="eastAsia" w:ascii="宋体" w:hAnsi="宋体"/>
          <w:b/>
          <w:sz w:val="28"/>
          <w:szCs w:val="28"/>
          <w:lang w:eastAsia="zh-CN"/>
        </w:rPr>
        <w:t>龙泉驿政采（2021）A0060号</w:t>
      </w:r>
    </w:p>
    <w:p>
      <w:pPr>
        <w:spacing w:line="360" w:lineRule="auto"/>
        <w:ind w:left="567" w:firstLine="281" w:firstLineChars="100"/>
        <w:rPr>
          <w:rFonts w:ascii="宋体" w:hAnsi="宋体"/>
          <w:b/>
          <w:sz w:val="28"/>
          <w:szCs w:val="28"/>
        </w:rPr>
      </w:pPr>
      <w:r>
        <w:rPr>
          <w:rFonts w:hint="eastAsia" w:ascii="宋体" w:hAnsi="宋体"/>
          <w:b/>
          <w:sz w:val="28"/>
          <w:szCs w:val="28"/>
        </w:rPr>
        <w:t>（采购项目编号：</w:t>
      </w:r>
      <w:r>
        <w:rPr>
          <w:rFonts w:hint="eastAsia" w:ascii="宋体" w:hAnsi="宋体"/>
          <w:b/>
          <w:sz w:val="28"/>
          <w:szCs w:val="28"/>
          <w:lang w:eastAsia="zh-CN"/>
        </w:rPr>
        <w:t>510112202100273</w:t>
      </w:r>
      <w:r>
        <w:rPr>
          <w:rFonts w:hint="eastAsia" w:ascii="宋体" w:hAnsi="宋体"/>
          <w:b/>
          <w:sz w:val="28"/>
          <w:szCs w:val="28"/>
        </w:rPr>
        <w:t>）</w:t>
      </w:r>
    </w:p>
    <w:p>
      <w:pPr>
        <w:numPr>
          <w:ilvl w:val="0"/>
          <w:numId w:val="7"/>
        </w:numPr>
        <w:spacing w:line="360" w:lineRule="auto"/>
        <w:ind w:left="0" w:firstLine="568"/>
        <w:rPr>
          <w:rFonts w:ascii="宋体" w:hAnsi="宋体"/>
          <w:b/>
          <w:sz w:val="28"/>
          <w:szCs w:val="28"/>
        </w:rPr>
      </w:pPr>
      <w:r>
        <w:rPr>
          <w:rFonts w:hint="eastAsia" w:ascii="宋体" w:hAnsi="宋体"/>
          <w:b/>
          <w:sz w:val="28"/>
          <w:szCs w:val="28"/>
        </w:rPr>
        <w:t>项目名称：</w:t>
      </w:r>
      <w:r>
        <w:rPr>
          <w:rFonts w:hint="eastAsia" w:ascii="宋体" w:hAnsi="宋体"/>
          <w:b/>
          <w:bCs/>
          <w:sz w:val="28"/>
          <w:szCs w:val="28"/>
          <w:lang w:eastAsia="zh-CN"/>
        </w:rPr>
        <w:t>成都市龙泉驿区人民检察院物业管理服务采购项目</w:t>
      </w:r>
    </w:p>
    <w:p>
      <w:pPr>
        <w:numPr>
          <w:ilvl w:val="0"/>
          <w:numId w:val="7"/>
        </w:numPr>
        <w:spacing w:line="360" w:lineRule="auto"/>
        <w:ind w:left="0" w:firstLine="568"/>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财政性资金，政府采购实施计划备案表号：(2021)</w:t>
      </w:r>
      <w:r>
        <w:rPr>
          <w:rFonts w:hint="eastAsia" w:ascii="宋体" w:hAnsi="宋体"/>
          <w:sz w:val="28"/>
          <w:szCs w:val="28"/>
          <w:lang w:val="en-US" w:eastAsia="zh-CN"/>
        </w:rPr>
        <w:t>1272</w:t>
      </w:r>
      <w:r>
        <w:rPr>
          <w:rFonts w:hint="eastAsia" w:ascii="宋体" w:hAnsi="宋体"/>
          <w:sz w:val="28"/>
          <w:szCs w:val="28"/>
        </w:rPr>
        <w:t>号；预算品目：</w:t>
      </w:r>
      <w:r>
        <w:rPr>
          <w:rFonts w:hint="eastAsia" w:ascii="宋体" w:hAnsi="宋体"/>
          <w:sz w:val="28"/>
          <w:szCs w:val="28"/>
          <w:lang w:val="en-US" w:eastAsia="zh-CN"/>
        </w:rPr>
        <w:t>C</w:t>
      </w:r>
      <w:r>
        <w:rPr>
          <w:rFonts w:hint="eastAsia" w:ascii="宋体" w:hAnsi="宋体"/>
          <w:sz w:val="28"/>
          <w:szCs w:val="28"/>
        </w:rPr>
        <w:t>1</w:t>
      </w:r>
      <w:r>
        <w:rPr>
          <w:rFonts w:hint="eastAsia" w:ascii="宋体" w:hAnsi="宋体"/>
          <w:sz w:val="28"/>
          <w:szCs w:val="28"/>
          <w:lang w:val="en-US" w:eastAsia="zh-CN"/>
        </w:rPr>
        <w:t>204</w:t>
      </w:r>
      <w:r>
        <w:rPr>
          <w:rFonts w:hint="eastAsia" w:ascii="宋体" w:hAnsi="宋体"/>
          <w:sz w:val="28"/>
          <w:szCs w:val="28"/>
          <w:lang w:eastAsia="zh-CN"/>
        </w:rPr>
        <w:t>物业管理服务</w:t>
      </w:r>
      <w:r>
        <w:rPr>
          <w:rFonts w:hint="eastAsia" w:ascii="宋体" w:hAnsi="宋体"/>
          <w:sz w:val="28"/>
          <w:szCs w:val="28"/>
        </w:rPr>
        <w:t>；预算金额：</w:t>
      </w:r>
      <w:r>
        <w:rPr>
          <w:rFonts w:hint="eastAsia" w:ascii="宋体" w:hAnsi="宋体"/>
          <w:sz w:val="28"/>
          <w:szCs w:val="28"/>
          <w:lang w:val="en-US" w:eastAsia="zh-CN"/>
        </w:rPr>
        <w:t>2360004.31元/年</w:t>
      </w:r>
      <w:r>
        <w:rPr>
          <w:rFonts w:hint="eastAsia" w:ascii="宋体" w:hAnsi="宋体"/>
          <w:sz w:val="28"/>
        </w:rPr>
        <w:t>；</w:t>
      </w:r>
      <w:r>
        <w:rPr>
          <w:rFonts w:hint="eastAsia" w:ascii="宋体" w:hAnsi="宋体"/>
          <w:sz w:val="28"/>
          <w:lang w:eastAsia="zh-CN"/>
        </w:rPr>
        <w:t>服务期限三年</w:t>
      </w:r>
      <w:r>
        <w:rPr>
          <w:rFonts w:hint="eastAsia" w:ascii="宋体" w:hAnsi="宋体"/>
          <w:sz w:val="28"/>
          <w:szCs w:val="28"/>
        </w:rPr>
        <w:t>。行业类别为：</w:t>
      </w:r>
      <w:r>
        <w:rPr>
          <w:rFonts w:hint="eastAsia" w:ascii="宋体" w:hAnsi="宋体"/>
          <w:sz w:val="28"/>
          <w:szCs w:val="28"/>
          <w:lang w:eastAsia="zh-CN"/>
        </w:rPr>
        <w:t>物业管理</w:t>
      </w:r>
      <w:r>
        <w:rPr>
          <w:rFonts w:hint="eastAsia" w:ascii="宋体" w:hAnsi="宋体"/>
          <w:sz w:val="28"/>
          <w:szCs w:val="28"/>
        </w:rPr>
        <w:t>业。</w:t>
      </w:r>
    </w:p>
    <w:p>
      <w:pPr>
        <w:numPr>
          <w:ilvl w:val="0"/>
          <w:numId w:val="7"/>
        </w:numPr>
        <w:spacing w:line="360" w:lineRule="auto"/>
        <w:ind w:left="0" w:firstLine="562" w:firstLineChars="200"/>
        <w:rPr>
          <w:rFonts w:ascii="宋体" w:hAnsi="宋体"/>
          <w:sz w:val="28"/>
          <w:szCs w:val="28"/>
        </w:rPr>
      </w:pPr>
      <w:r>
        <w:rPr>
          <w:rFonts w:hint="eastAsia" w:ascii="宋体" w:hAnsi="宋体"/>
          <w:b/>
          <w:sz w:val="28"/>
          <w:szCs w:val="28"/>
        </w:rPr>
        <w:t>招标项目简介</w:t>
      </w:r>
    </w:p>
    <w:p>
      <w:pPr>
        <w:numPr>
          <w:ilvl w:val="0"/>
          <w:numId w:val="7"/>
        </w:numPr>
        <w:spacing w:line="360" w:lineRule="auto"/>
        <w:ind w:left="0" w:firstLine="568"/>
        <w:rPr>
          <w:rFonts w:ascii="宋体" w:hAnsi="宋体"/>
          <w:sz w:val="28"/>
          <w:szCs w:val="28"/>
        </w:rPr>
      </w:pPr>
      <w:r>
        <w:rPr>
          <w:rFonts w:hint="eastAsia" w:ascii="宋体" w:hAnsi="宋体"/>
          <w:sz w:val="28"/>
          <w:szCs w:val="28"/>
        </w:rPr>
        <w:t>本项目拟</w:t>
      </w:r>
      <w:r>
        <w:rPr>
          <w:rFonts w:hint="eastAsia" w:ascii="宋体" w:hAnsi="宋体"/>
          <w:sz w:val="28"/>
          <w:szCs w:val="28"/>
          <w:lang w:eastAsia="zh-CN"/>
        </w:rPr>
        <w:t>成都市龙泉驿区人民检察院物业管理服务采购项目</w:t>
      </w:r>
      <w:r>
        <w:rPr>
          <w:rFonts w:hint="eastAsia" w:ascii="宋体" w:hAnsi="宋体"/>
          <w:sz w:val="28"/>
          <w:szCs w:val="28"/>
        </w:rPr>
        <w:t>，详细的技术、服务、商务及其他要求见招标文件第4章。</w:t>
      </w:r>
    </w:p>
    <w:p>
      <w:pPr>
        <w:numPr>
          <w:ilvl w:val="0"/>
          <w:numId w:val="7"/>
        </w:numPr>
        <w:spacing w:line="360" w:lineRule="auto"/>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1"/>
          <w:numId w:val="8"/>
        </w:numPr>
        <w:tabs>
          <w:tab w:val="left" w:pos="1260"/>
        </w:tabs>
        <w:spacing w:line="360" w:lineRule="auto"/>
        <w:ind w:left="0" w:firstLine="630"/>
        <w:rPr>
          <w:rFonts w:ascii="宋体" w:hAnsi="宋体"/>
          <w:sz w:val="28"/>
          <w:szCs w:val="28"/>
        </w:rPr>
      </w:pPr>
      <w:r>
        <w:rPr>
          <w:rFonts w:hint="eastAsia" w:ascii="宋体" w:hAnsi="宋体"/>
          <w:sz w:val="28"/>
          <w:szCs w:val="28"/>
        </w:rPr>
        <w:t>符合《政府采购法》第二十二条第一款规定的条件；</w:t>
      </w:r>
    </w:p>
    <w:p>
      <w:pPr>
        <w:numPr>
          <w:ilvl w:val="1"/>
          <w:numId w:val="8"/>
        </w:numPr>
        <w:tabs>
          <w:tab w:val="left" w:pos="1260"/>
        </w:tabs>
        <w:spacing w:line="360" w:lineRule="auto"/>
        <w:ind w:left="0" w:firstLine="630"/>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1"/>
          <w:numId w:val="8"/>
        </w:numPr>
        <w:tabs>
          <w:tab w:val="left" w:pos="1260"/>
        </w:tabs>
        <w:spacing w:line="360" w:lineRule="auto"/>
        <w:ind w:left="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1"/>
          <w:numId w:val="8"/>
        </w:numPr>
        <w:tabs>
          <w:tab w:val="left" w:pos="1260"/>
        </w:tabs>
        <w:spacing w:line="360" w:lineRule="auto"/>
        <w:ind w:left="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numPr>
          <w:ilvl w:val="1"/>
          <w:numId w:val="8"/>
        </w:numPr>
        <w:tabs>
          <w:tab w:val="left" w:pos="1260"/>
        </w:tabs>
        <w:spacing w:line="360" w:lineRule="auto"/>
        <w:ind w:left="0" w:firstLine="630"/>
        <w:rPr>
          <w:rFonts w:ascii="宋体" w:hAnsi="宋体"/>
          <w:sz w:val="28"/>
          <w:szCs w:val="28"/>
        </w:rPr>
      </w:pPr>
      <w:r>
        <w:rPr>
          <w:rFonts w:ascii="宋体" w:hAnsi="宋体"/>
          <w:sz w:val="28"/>
          <w:szCs w:val="28"/>
        </w:rPr>
        <w:t>未处于被行政部门禁止参与政府采购活动的期限内</w:t>
      </w:r>
      <w:r>
        <w:rPr>
          <w:rFonts w:hint="eastAsia" w:ascii="宋体" w:hAnsi="宋体"/>
          <w:sz w:val="28"/>
          <w:szCs w:val="28"/>
        </w:rPr>
        <w:t>；</w:t>
      </w:r>
    </w:p>
    <w:p>
      <w:pPr>
        <w:numPr>
          <w:ilvl w:val="1"/>
          <w:numId w:val="8"/>
        </w:numPr>
        <w:tabs>
          <w:tab w:val="left" w:pos="1260"/>
        </w:tabs>
        <w:spacing w:line="360" w:lineRule="auto"/>
        <w:ind w:left="0" w:firstLine="630"/>
        <w:rPr>
          <w:rFonts w:ascii="宋体" w:hAnsi="宋体"/>
          <w:sz w:val="28"/>
          <w:szCs w:val="28"/>
        </w:rPr>
      </w:pPr>
      <w:r>
        <w:rPr>
          <w:rFonts w:hint="eastAsia" w:ascii="宋体" w:hAnsi="宋体"/>
          <w:sz w:val="28"/>
          <w:szCs w:val="28"/>
        </w:rPr>
        <w:t>不属于其他国家相关法律法规规定的禁止参加投标的供应商；</w:t>
      </w:r>
    </w:p>
    <w:p>
      <w:pPr>
        <w:numPr>
          <w:ilvl w:val="1"/>
          <w:numId w:val="8"/>
        </w:numPr>
        <w:tabs>
          <w:tab w:val="left" w:pos="1260"/>
        </w:tabs>
        <w:spacing w:line="360" w:lineRule="auto"/>
        <w:ind w:left="0" w:firstLine="630"/>
        <w:rPr>
          <w:rFonts w:ascii="宋体" w:hAnsi="宋体"/>
          <w:sz w:val="28"/>
          <w:szCs w:val="28"/>
        </w:rPr>
      </w:pPr>
      <w:r>
        <w:rPr>
          <w:rFonts w:hint="eastAsia" w:ascii="宋体" w:hAnsi="宋体"/>
          <w:sz w:val="28"/>
          <w:szCs w:val="28"/>
        </w:rPr>
        <w:t>本项目</w:t>
      </w:r>
      <w:r>
        <w:rPr>
          <w:rFonts w:hint="eastAsia" w:ascii="宋体" w:hAnsi="宋体"/>
          <w:b/>
          <w:sz w:val="28"/>
          <w:szCs w:val="28"/>
        </w:rPr>
        <w:t>不接受</w:t>
      </w:r>
      <w:r>
        <w:rPr>
          <w:rFonts w:hint="eastAsia" w:ascii="宋体" w:hAnsi="宋体"/>
          <w:sz w:val="28"/>
          <w:szCs w:val="28"/>
        </w:rPr>
        <w:t>联合体投标。</w:t>
      </w:r>
    </w:p>
    <w:p>
      <w:pPr>
        <w:numPr>
          <w:ilvl w:val="0"/>
          <w:numId w:val="7"/>
        </w:numPr>
        <w:spacing w:line="360" w:lineRule="auto"/>
        <w:ind w:left="0" w:firstLine="567"/>
        <w:rPr>
          <w:rFonts w:ascii="宋体" w:hAnsi="宋体"/>
          <w:i/>
          <w:sz w:val="28"/>
        </w:rPr>
      </w:pPr>
      <w:r>
        <w:rPr>
          <w:rFonts w:hint="eastAsia" w:ascii="宋体" w:hAnsi="宋体"/>
          <w:b/>
          <w:sz w:val="28"/>
          <w:szCs w:val="28"/>
        </w:rPr>
        <w:t>招标文件获取时间</w:t>
      </w:r>
    </w:p>
    <w:p>
      <w:pPr>
        <w:numPr>
          <w:ilvl w:val="0"/>
          <w:numId w:val="9"/>
        </w:numPr>
        <w:spacing w:line="360" w:lineRule="auto"/>
        <w:ind w:left="0" w:firstLine="567"/>
        <w:rPr>
          <w:rFonts w:ascii="宋体" w:hAnsi="宋体"/>
          <w:color w:val="0000FF"/>
          <w:sz w:val="28"/>
        </w:rPr>
      </w:pPr>
      <w:r>
        <w:rPr>
          <w:rFonts w:hint="eastAsia" w:ascii="宋体" w:hAnsi="宋体"/>
          <w:color w:val="0000FF"/>
          <w:sz w:val="28"/>
          <w:szCs w:val="28"/>
        </w:rPr>
        <w:t>招标文件获取时间：2021年</w:t>
      </w:r>
      <w:r>
        <w:rPr>
          <w:rFonts w:hint="eastAsia" w:ascii="宋体" w:hAnsi="宋体"/>
          <w:color w:val="0000FF"/>
          <w:sz w:val="28"/>
          <w:szCs w:val="28"/>
          <w:lang w:val="en-US" w:eastAsia="zh-CN"/>
        </w:rPr>
        <w:t>10</w:t>
      </w:r>
      <w:r>
        <w:rPr>
          <w:rFonts w:hint="eastAsia" w:ascii="宋体" w:hAnsi="宋体"/>
          <w:color w:val="0000FF"/>
          <w:sz w:val="28"/>
          <w:szCs w:val="28"/>
        </w:rPr>
        <w:t>月</w:t>
      </w:r>
      <w:r>
        <w:rPr>
          <w:rFonts w:hint="eastAsia" w:ascii="宋体" w:hAnsi="宋体"/>
          <w:color w:val="0000FF"/>
          <w:sz w:val="28"/>
          <w:szCs w:val="28"/>
          <w:lang w:val="en-US" w:eastAsia="zh-CN"/>
        </w:rPr>
        <w:t>8</w:t>
      </w:r>
      <w:r>
        <w:rPr>
          <w:rFonts w:hint="eastAsia" w:ascii="宋体" w:hAnsi="宋体"/>
          <w:color w:val="0000FF"/>
          <w:sz w:val="28"/>
          <w:szCs w:val="28"/>
        </w:rPr>
        <w:t>日至</w:t>
      </w:r>
      <w:r>
        <w:rPr>
          <w:rFonts w:hint="eastAsia" w:ascii="宋体" w:hAnsi="宋体"/>
          <w:color w:val="0000FF"/>
          <w:sz w:val="28"/>
          <w:szCs w:val="28"/>
          <w:lang w:val="en-US" w:eastAsia="zh-CN"/>
        </w:rPr>
        <w:t>10</w:t>
      </w:r>
      <w:r>
        <w:rPr>
          <w:rFonts w:hint="eastAsia" w:ascii="宋体" w:hAnsi="宋体"/>
          <w:color w:val="0000FF"/>
          <w:sz w:val="28"/>
          <w:szCs w:val="28"/>
        </w:rPr>
        <w:t>月</w:t>
      </w:r>
      <w:r>
        <w:rPr>
          <w:rFonts w:hint="eastAsia" w:ascii="宋体" w:hAnsi="宋体"/>
          <w:color w:val="0000FF"/>
          <w:sz w:val="28"/>
          <w:szCs w:val="28"/>
          <w:lang w:val="en-US" w:eastAsia="zh-CN"/>
        </w:rPr>
        <w:t>14</w:t>
      </w:r>
      <w:r>
        <w:rPr>
          <w:rFonts w:hint="eastAsia" w:ascii="宋体" w:hAnsi="宋体"/>
          <w:color w:val="0000FF"/>
          <w:sz w:val="28"/>
          <w:szCs w:val="28"/>
        </w:rPr>
        <w:t>日。</w:t>
      </w:r>
    </w:p>
    <w:p>
      <w:pPr>
        <w:numPr>
          <w:ilvl w:val="0"/>
          <w:numId w:val="9"/>
        </w:numPr>
        <w:spacing w:line="360" w:lineRule="auto"/>
        <w:ind w:left="0" w:firstLine="567"/>
        <w:rPr>
          <w:rFonts w:ascii="宋体" w:hAnsi="宋体"/>
          <w:color w:val="0000FF"/>
          <w:sz w:val="28"/>
          <w:szCs w:val="28"/>
        </w:rPr>
      </w:pPr>
      <w:r>
        <w:rPr>
          <w:rFonts w:hint="eastAsia" w:ascii="宋体" w:hAnsi="宋体"/>
          <w:color w:val="0000FF"/>
          <w:sz w:val="28"/>
          <w:szCs w:val="28"/>
        </w:rPr>
        <w:t>公告期限：2021年</w:t>
      </w:r>
      <w:r>
        <w:rPr>
          <w:rFonts w:hint="eastAsia" w:ascii="宋体" w:hAnsi="宋体"/>
          <w:color w:val="0000FF"/>
          <w:sz w:val="28"/>
          <w:szCs w:val="28"/>
          <w:lang w:val="en-US" w:eastAsia="zh-CN"/>
        </w:rPr>
        <w:t>10</w:t>
      </w:r>
      <w:r>
        <w:rPr>
          <w:rFonts w:hint="eastAsia" w:ascii="宋体" w:hAnsi="宋体"/>
          <w:color w:val="0000FF"/>
          <w:sz w:val="28"/>
          <w:szCs w:val="28"/>
        </w:rPr>
        <w:t>月</w:t>
      </w:r>
      <w:r>
        <w:rPr>
          <w:rFonts w:hint="eastAsia" w:ascii="宋体" w:hAnsi="宋体"/>
          <w:color w:val="0000FF"/>
          <w:sz w:val="28"/>
          <w:szCs w:val="28"/>
          <w:lang w:val="en-US" w:eastAsia="zh-CN"/>
        </w:rPr>
        <w:t>8</w:t>
      </w:r>
      <w:r>
        <w:rPr>
          <w:rFonts w:hint="eastAsia" w:ascii="宋体" w:hAnsi="宋体"/>
          <w:color w:val="0000FF"/>
          <w:sz w:val="28"/>
          <w:szCs w:val="28"/>
        </w:rPr>
        <w:t>日至</w:t>
      </w:r>
      <w:r>
        <w:rPr>
          <w:rFonts w:hint="eastAsia" w:ascii="宋体" w:hAnsi="宋体"/>
          <w:color w:val="0000FF"/>
          <w:sz w:val="28"/>
          <w:szCs w:val="28"/>
          <w:lang w:val="en-US" w:eastAsia="zh-CN"/>
        </w:rPr>
        <w:t>10</w:t>
      </w:r>
      <w:r>
        <w:rPr>
          <w:rFonts w:hint="eastAsia" w:ascii="宋体" w:hAnsi="宋体"/>
          <w:color w:val="0000FF"/>
          <w:sz w:val="28"/>
          <w:szCs w:val="28"/>
        </w:rPr>
        <w:t>月</w:t>
      </w:r>
      <w:r>
        <w:rPr>
          <w:rFonts w:hint="eastAsia" w:ascii="宋体" w:hAnsi="宋体"/>
          <w:color w:val="0000FF"/>
          <w:sz w:val="28"/>
          <w:szCs w:val="28"/>
          <w:lang w:val="en-US" w:eastAsia="zh-CN"/>
        </w:rPr>
        <w:t>14</w:t>
      </w:r>
      <w:r>
        <w:rPr>
          <w:rFonts w:hint="eastAsia" w:ascii="宋体" w:hAnsi="宋体"/>
          <w:color w:val="0000FF"/>
          <w:sz w:val="28"/>
          <w:szCs w:val="28"/>
        </w:rPr>
        <w:t>日。</w:t>
      </w:r>
    </w:p>
    <w:p>
      <w:pPr>
        <w:numPr>
          <w:ilvl w:val="0"/>
          <w:numId w:val="9"/>
        </w:numPr>
        <w:spacing w:line="360" w:lineRule="auto"/>
        <w:ind w:left="0" w:firstLine="567"/>
        <w:rPr>
          <w:rFonts w:ascii="宋体" w:hAnsi="宋体"/>
          <w:sz w:val="28"/>
          <w:szCs w:val="28"/>
        </w:rPr>
      </w:pPr>
      <w:r>
        <w:rPr>
          <w:rFonts w:hint="eastAsia" w:ascii="宋体" w:hAnsi="宋体"/>
          <w:sz w:val="28"/>
          <w:szCs w:val="28"/>
        </w:rPr>
        <w:t>供应商如对招标文件有质疑的，应于公告期限届满之日起七个工作日内以书面形式提出。</w:t>
      </w:r>
    </w:p>
    <w:p>
      <w:pPr>
        <w:numPr>
          <w:ilvl w:val="0"/>
          <w:numId w:val="7"/>
        </w:numPr>
        <w:spacing w:line="360" w:lineRule="auto"/>
        <w:ind w:left="0" w:firstLine="567"/>
        <w:rPr>
          <w:rFonts w:ascii="宋体" w:hAnsi="宋体"/>
          <w:b/>
          <w:sz w:val="28"/>
          <w:szCs w:val="28"/>
        </w:rPr>
      </w:pPr>
      <w:r>
        <w:rPr>
          <w:rFonts w:hint="eastAsia" w:ascii="宋体" w:hAnsi="宋体"/>
          <w:b/>
          <w:sz w:val="28"/>
          <w:szCs w:val="28"/>
        </w:rPr>
        <w:t>招标文件获取方式</w:t>
      </w:r>
    </w:p>
    <w:p>
      <w:pPr>
        <w:spacing w:line="360" w:lineRule="auto"/>
        <w:ind w:firstLine="560" w:firstLineChars="200"/>
        <w:rPr>
          <w:rFonts w:ascii="宋体" w:hAnsi="宋体"/>
          <w:sz w:val="28"/>
          <w:szCs w:val="28"/>
        </w:rPr>
      </w:pPr>
      <w:r>
        <w:rPr>
          <w:rFonts w:hint="eastAsia" w:ascii="宋体" w:hAnsi="宋体"/>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0" w:firstLineChars="200"/>
        <w:rPr>
          <w:rFonts w:ascii="宋体" w:hAnsi="宋体"/>
          <w:sz w:val="28"/>
          <w:szCs w:val="28"/>
        </w:rPr>
      </w:pPr>
      <w:r>
        <w:rPr>
          <w:rFonts w:hint="eastAsia" w:ascii="宋体" w:hAnsi="宋体"/>
          <w:sz w:val="28"/>
          <w:szCs w:val="28"/>
        </w:rPr>
        <w:t>提示：</w:t>
      </w:r>
    </w:p>
    <w:p>
      <w:pPr>
        <w:spacing w:line="360" w:lineRule="auto"/>
        <w:ind w:firstLine="560" w:firstLineChars="200"/>
        <w:rPr>
          <w:rFonts w:ascii="宋体" w:hAnsi="宋体"/>
          <w:sz w:val="28"/>
          <w:szCs w:val="28"/>
        </w:rPr>
      </w:pPr>
      <w:r>
        <w:rPr>
          <w:rFonts w:hint="eastAsia" w:ascii="宋体" w:hAnsi="宋体"/>
          <w:sz w:val="28"/>
          <w:szCs w:val="28"/>
        </w:rPr>
        <w:t>（1）本项目采购文件免费获取。</w:t>
      </w:r>
    </w:p>
    <w:p>
      <w:pPr>
        <w:spacing w:line="360" w:lineRule="auto"/>
        <w:ind w:firstLine="560" w:firstLineChars="200"/>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0" w:firstLineChars="200"/>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spacing w:line="360" w:lineRule="auto"/>
        <w:ind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7"/>
        </w:numPr>
        <w:spacing w:line="360" w:lineRule="auto"/>
        <w:ind w:left="0" w:firstLine="567"/>
        <w:rPr>
          <w:rFonts w:ascii="宋体" w:hAnsi="宋体"/>
          <w:b/>
          <w:sz w:val="28"/>
          <w:szCs w:val="28"/>
        </w:rPr>
      </w:pPr>
      <w:r>
        <w:rPr>
          <w:rFonts w:hint="eastAsia" w:ascii="宋体" w:hAnsi="宋体"/>
          <w:b/>
          <w:sz w:val="28"/>
          <w:szCs w:val="28"/>
        </w:rPr>
        <w:t>招标文件获取地点</w:t>
      </w:r>
    </w:p>
    <w:p>
      <w:pPr>
        <w:spacing w:line="360" w:lineRule="auto"/>
        <w:ind w:firstLine="560" w:firstLineChars="200"/>
        <w:rPr>
          <w:rFonts w:ascii="宋体" w:hAnsi="宋体"/>
          <w:sz w:val="28"/>
          <w:szCs w:val="28"/>
        </w:rPr>
      </w:pPr>
      <w:bookmarkStart w:id="48" w:name="_Toc174185149"/>
      <w:bookmarkStart w:id="49" w:name="_Toc180051012"/>
      <w:bookmarkStart w:id="50" w:name="_Toc184023104"/>
      <w:bookmarkStart w:id="51" w:name="_Toc186274101"/>
      <w:bookmarkStart w:id="52" w:name="_Toc184013605"/>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numPr>
          <w:ilvl w:val="0"/>
          <w:numId w:val="7"/>
        </w:numPr>
        <w:spacing w:line="360" w:lineRule="auto"/>
        <w:ind w:left="0" w:firstLine="567"/>
        <w:rPr>
          <w:rFonts w:ascii="宋体" w:hAnsi="宋体"/>
          <w:b/>
          <w:color w:val="0000FF"/>
          <w:sz w:val="28"/>
          <w:szCs w:val="28"/>
        </w:rPr>
      </w:pPr>
      <w:r>
        <w:rPr>
          <w:rFonts w:hint="eastAsia" w:ascii="宋体" w:hAnsi="宋体"/>
          <w:b/>
          <w:sz w:val="28"/>
          <w:szCs w:val="28"/>
        </w:rPr>
        <w:t>投标文件递交截止时间及开标时间</w:t>
      </w:r>
      <w:bookmarkEnd w:id="48"/>
      <w:bookmarkEnd w:id="49"/>
      <w:bookmarkEnd w:id="50"/>
      <w:bookmarkEnd w:id="51"/>
      <w:bookmarkEnd w:id="52"/>
      <w:r>
        <w:rPr>
          <w:rFonts w:hint="eastAsia" w:ascii="宋体" w:hAnsi="宋体"/>
          <w:b/>
          <w:sz w:val="28"/>
          <w:szCs w:val="28"/>
        </w:rPr>
        <w:t>(北京时间)、地点、方式</w:t>
      </w:r>
    </w:p>
    <w:p>
      <w:pPr>
        <w:keepNext w:val="0"/>
        <w:keepLines w:val="0"/>
        <w:pageBreakBefore w:val="0"/>
        <w:widowControl w:val="0"/>
        <w:kinsoku/>
        <w:wordWrap/>
        <w:overflowPunct/>
        <w:topLinePunct w:val="0"/>
        <w:autoSpaceDE/>
        <w:autoSpaceDN/>
        <w:bidi w:val="0"/>
        <w:adjustRightInd w:val="0"/>
        <w:snapToGrid w:val="0"/>
        <w:spacing w:line="360" w:lineRule="auto"/>
        <w:ind w:firstLine="565" w:firstLineChars="202"/>
        <w:textAlignment w:val="auto"/>
        <w:rPr>
          <w:rFonts w:ascii="宋体" w:hAnsi="宋体"/>
          <w:b/>
          <w:color w:val="0000FF"/>
          <w:sz w:val="28"/>
          <w:szCs w:val="28"/>
        </w:rPr>
      </w:pPr>
      <w:r>
        <w:rPr>
          <w:rFonts w:hint="eastAsia" w:ascii="宋体" w:hAnsi="宋体"/>
          <w:color w:val="0000FF"/>
          <w:sz w:val="28"/>
          <w:szCs w:val="28"/>
        </w:rPr>
        <w:t>（一）投标文件递交截止时间及开标时间：</w:t>
      </w:r>
      <w:r>
        <w:rPr>
          <w:rFonts w:hint="eastAsia" w:ascii="宋体" w:hAnsi="宋体"/>
          <w:b/>
          <w:color w:val="0000FF"/>
          <w:sz w:val="28"/>
          <w:szCs w:val="28"/>
        </w:rPr>
        <w:t>202</w:t>
      </w:r>
      <w:r>
        <w:rPr>
          <w:rFonts w:ascii="宋体" w:hAnsi="宋体"/>
          <w:b/>
          <w:color w:val="0000FF"/>
          <w:sz w:val="28"/>
          <w:szCs w:val="28"/>
        </w:rPr>
        <w:t>1</w:t>
      </w:r>
      <w:r>
        <w:rPr>
          <w:rFonts w:hint="eastAsia" w:ascii="宋体" w:hAnsi="宋体"/>
          <w:b/>
          <w:color w:val="0000FF"/>
          <w:sz w:val="28"/>
          <w:szCs w:val="28"/>
        </w:rPr>
        <w:t>年</w:t>
      </w:r>
      <w:r>
        <w:rPr>
          <w:rFonts w:hint="eastAsia" w:ascii="宋体" w:hAnsi="宋体"/>
          <w:b/>
          <w:color w:val="0000FF"/>
          <w:sz w:val="28"/>
          <w:szCs w:val="28"/>
          <w:lang w:val="en-US" w:eastAsia="zh-CN"/>
        </w:rPr>
        <w:t>10</w:t>
      </w:r>
      <w:r>
        <w:rPr>
          <w:rFonts w:hint="eastAsia" w:ascii="宋体" w:hAnsi="宋体"/>
          <w:b/>
          <w:color w:val="0000FF"/>
          <w:sz w:val="28"/>
          <w:szCs w:val="28"/>
        </w:rPr>
        <w:t>月</w:t>
      </w:r>
      <w:r>
        <w:rPr>
          <w:rFonts w:hint="eastAsia" w:ascii="宋体" w:hAnsi="宋体"/>
          <w:b/>
          <w:color w:val="0000FF"/>
          <w:sz w:val="28"/>
          <w:szCs w:val="28"/>
          <w:lang w:val="en-US" w:eastAsia="zh-CN"/>
        </w:rPr>
        <w:t>28</w:t>
      </w:r>
      <w:bookmarkStart w:id="438" w:name="_GoBack"/>
      <w:bookmarkEnd w:id="438"/>
      <w:r>
        <w:rPr>
          <w:rFonts w:hint="eastAsia" w:ascii="宋体" w:hAnsi="宋体"/>
          <w:b/>
          <w:color w:val="0000FF"/>
          <w:sz w:val="28"/>
          <w:szCs w:val="28"/>
        </w:rPr>
        <w:t>日上午09:30。</w:t>
      </w:r>
    </w:p>
    <w:p>
      <w:pPr>
        <w:keepNext w:val="0"/>
        <w:keepLines w:val="0"/>
        <w:pageBreakBefore w:val="0"/>
        <w:widowControl w:val="0"/>
        <w:kinsoku/>
        <w:wordWrap/>
        <w:overflowPunct/>
        <w:topLinePunct w:val="0"/>
        <w:autoSpaceDE/>
        <w:autoSpaceDN/>
        <w:bidi w:val="0"/>
        <w:adjustRightInd w:val="0"/>
        <w:snapToGrid w:val="0"/>
        <w:spacing w:line="360" w:lineRule="auto"/>
        <w:ind w:firstLine="565" w:firstLineChars="202"/>
        <w:textAlignment w:val="auto"/>
        <w:rPr>
          <w:rFonts w:ascii="宋体" w:hAnsi="宋体"/>
          <w:sz w:val="28"/>
          <w:szCs w:val="28"/>
        </w:rPr>
      </w:pPr>
      <w:r>
        <w:rPr>
          <w:rFonts w:hint="eastAsia" w:ascii="宋体" w:hAnsi="宋体"/>
          <w:sz w:val="28"/>
          <w:szCs w:val="28"/>
        </w:rPr>
        <w:t>（二）投标文件递交方式、地点：投标截止时间前，投标人应将加密的投标文件递交至“政府采购云平台”对应项目（包件）。</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0" w:firstLine="567"/>
        <w:textAlignment w:val="auto"/>
        <w:rPr>
          <w:rFonts w:ascii="宋体" w:hAnsi="宋体"/>
          <w:b/>
          <w:sz w:val="28"/>
          <w:szCs w:val="28"/>
        </w:rPr>
      </w:pPr>
      <w:r>
        <w:rPr>
          <w:rFonts w:hint="eastAsia" w:ascii="宋体" w:hAnsi="宋体"/>
          <w:b/>
          <w:sz w:val="28"/>
          <w:szCs w:val="28"/>
        </w:rPr>
        <w:t>开标地点</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150"/>
        <w:jc w:val="left"/>
        <w:textAlignment w:val="auto"/>
        <w:rPr>
          <w:rFonts w:ascii="宋体" w:hAnsi="宋体"/>
          <w:b/>
          <w:sz w:val="28"/>
          <w:szCs w:val="28"/>
        </w:rPr>
      </w:pPr>
      <w:r>
        <w:rPr>
          <w:rFonts w:hint="eastAsia" w:ascii="宋体" w:hAnsi="宋体"/>
          <w:b/>
          <w:sz w:val="28"/>
          <w:szCs w:val="28"/>
        </w:rPr>
        <w:t>本项目为不见面开标项目。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150"/>
        <w:jc w:val="left"/>
        <w:textAlignment w:val="auto"/>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7"/>
        </w:numPr>
        <w:spacing w:line="360" w:lineRule="auto"/>
        <w:ind w:left="0" w:firstLine="567"/>
        <w:rPr>
          <w:rFonts w:ascii="宋体" w:hAnsi="宋体"/>
          <w:b/>
          <w:sz w:val="28"/>
          <w:szCs w:val="28"/>
        </w:rPr>
      </w:pPr>
      <w:r>
        <w:rPr>
          <w:rFonts w:hint="eastAsia" w:ascii="宋体" w:hAnsi="宋体"/>
          <w:b/>
          <w:sz w:val="28"/>
          <w:szCs w:val="28"/>
        </w:rPr>
        <w:t>政采中小企业政府采购信用担保融资</w:t>
      </w:r>
    </w:p>
    <w:p>
      <w:pPr>
        <w:spacing w:line="560" w:lineRule="exact"/>
        <w:ind w:firstLine="565" w:firstLineChars="202"/>
        <w:rPr>
          <w:rFonts w:ascii="宋体" w:hAnsi="宋体"/>
          <w:sz w:val="28"/>
          <w:szCs w:val="28"/>
        </w:rPr>
      </w:pPr>
      <w:r>
        <w:rPr>
          <w:rFonts w:hint="eastAsia" w:ascii="宋体" w:hAnsi="宋体"/>
          <w:sz w:val="28"/>
          <w:szCs w:val="28"/>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w:t>
      </w:r>
    </w:p>
    <w:p>
      <w:pPr>
        <w:numPr>
          <w:ilvl w:val="0"/>
          <w:numId w:val="7"/>
        </w:numPr>
        <w:spacing w:line="360" w:lineRule="auto"/>
        <w:ind w:left="0" w:firstLine="567"/>
        <w:rPr>
          <w:rFonts w:ascii="宋体" w:hAnsi="宋体"/>
          <w:b/>
          <w:sz w:val="28"/>
          <w:szCs w:val="28"/>
        </w:rPr>
      </w:pPr>
      <w:r>
        <w:rPr>
          <w:rFonts w:hint="eastAsia" w:ascii="宋体" w:hAnsi="宋体"/>
          <w:b/>
          <w:sz w:val="28"/>
          <w:szCs w:val="28"/>
        </w:rPr>
        <w:t>本投标邀请在“四川政府采购网”和“成都市公共资源交易服务中心”网站上以公告形式发布</w:t>
      </w:r>
    </w:p>
    <w:p>
      <w:pPr>
        <w:numPr>
          <w:ilvl w:val="0"/>
          <w:numId w:val="7"/>
        </w:numPr>
        <w:spacing w:line="360" w:lineRule="auto"/>
        <w:ind w:left="0" w:firstLine="567"/>
        <w:rPr>
          <w:rFonts w:ascii="宋体" w:hAnsi="宋体"/>
          <w:b/>
          <w:sz w:val="28"/>
          <w:szCs w:val="28"/>
        </w:rPr>
      </w:pPr>
      <w:r>
        <w:rPr>
          <w:rFonts w:hint="eastAsia" w:ascii="宋体" w:hAnsi="宋体"/>
          <w:b/>
          <w:sz w:val="28"/>
          <w:szCs w:val="28"/>
        </w:rPr>
        <w:t>联系方式</w:t>
      </w:r>
    </w:p>
    <w:p>
      <w:pPr>
        <w:spacing w:line="360" w:lineRule="auto"/>
        <w:ind w:firstLine="568" w:firstLineChars="202"/>
        <w:rPr>
          <w:rFonts w:hint="eastAsia" w:ascii="宋体" w:hAnsi="宋体" w:eastAsia="宋体"/>
          <w:b/>
          <w:sz w:val="28"/>
          <w:szCs w:val="28"/>
          <w:lang w:eastAsia="zh-CN"/>
        </w:rPr>
      </w:pPr>
      <w:r>
        <w:rPr>
          <w:rFonts w:hint="eastAsia" w:ascii="宋体" w:hAnsi="宋体"/>
          <w:b/>
          <w:sz w:val="28"/>
          <w:szCs w:val="28"/>
        </w:rPr>
        <w:t xml:space="preserve">采购人： </w:t>
      </w:r>
      <w:r>
        <w:rPr>
          <w:rFonts w:hint="eastAsia" w:ascii="华文中宋" w:hAnsi="华文中宋" w:eastAsia="华文中宋"/>
          <w:sz w:val="28"/>
          <w:szCs w:val="28"/>
          <w:lang w:eastAsia="zh-CN"/>
        </w:rPr>
        <w:t xml:space="preserve">成都市龙泉驿区人民检察院 </w:t>
      </w:r>
    </w:p>
    <w:p>
      <w:pPr>
        <w:spacing w:line="600" w:lineRule="exact"/>
        <w:ind w:firstLine="705" w:firstLineChars="252"/>
        <w:rPr>
          <w:rFonts w:hint="eastAsia" w:ascii="宋体" w:hAnsi="宋体"/>
          <w:sz w:val="28"/>
          <w:szCs w:val="28"/>
        </w:rPr>
      </w:pPr>
      <w:r>
        <w:rPr>
          <w:rFonts w:hint="eastAsia" w:ascii="宋体" w:hAnsi="宋体"/>
          <w:sz w:val="28"/>
          <w:szCs w:val="28"/>
        </w:rPr>
        <w:t>地  址：成都市龙泉驿区明旭路568号</w:t>
      </w:r>
    </w:p>
    <w:p>
      <w:pPr>
        <w:spacing w:line="600" w:lineRule="exact"/>
        <w:ind w:firstLine="705" w:firstLineChars="252"/>
        <w:rPr>
          <w:rFonts w:hint="eastAsia" w:ascii="宋体" w:hAnsi="宋体"/>
          <w:sz w:val="28"/>
          <w:szCs w:val="28"/>
        </w:rPr>
      </w:pPr>
      <w:r>
        <w:rPr>
          <w:rFonts w:hint="eastAsia" w:ascii="宋体" w:hAnsi="宋体"/>
          <w:sz w:val="28"/>
          <w:szCs w:val="28"/>
        </w:rPr>
        <w:t>邮  编： 610100</w:t>
      </w:r>
    </w:p>
    <w:p>
      <w:pPr>
        <w:spacing w:line="600" w:lineRule="exact"/>
        <w:ind w:firstLine="705" w:firstLineChars="252"/>
        <w:rPr>
          <w:rFonts w:hint="eastAsia" w:ascii="宋体" w:hAnsi="宋体"/>
          <w:sz w:val="28"/>
          <w:szCs w:val="28"/>
          <w:lang w:val="en-US" w:eastAsia="zh-CN"/>
        </w:rPr>
      </w:pPr>
      <w:r>
        <w:rPr>
          <w:rFonts w:hint="eastAsia" w:ascii="宋体" w:hAnsi="宋体"/>
          <w:sz w:val="28"/>
          <w:szCs w:val="28"/>
        </w:rPr>
        <w:t>联系人：</w:t>
      </w:r>
      <w:r>
        <w:rPr>
          <w:rFonts w:hint="eastAsia" w:ascii="宋体" w:hAnsi="宋体"/>
          <w:sz w:val="28"/>
          <w:szCs w:val="28"/>
          <w:lang w:eastAsia="zh-CN"/>
        </w:rPr>
        <w:t>李彬</w:t>
      </w:r>
    </w:p>
    <w:p>
      <w:pPr>
        <w:spacing w:line="600" w:lineRule="exact"/>
        <w:ind w:firstLine="705" w:firstLineChars="252"/>
        <w:rPr>
          <w:rFonts w:hint="default" w:ascii="宋体" w:hAnsi="宋体"/>
          <w:sz w:val="28"/>
          <w:szCs w:val="28"/>
          <w:lang w:val="en-US" w:eastAsia="zh-CN"/>
        </w:rPr>
      </w:pPr>
      <w:r>
        <w:rPr>
          <w:rFonts w:hint="eastAsia" w:ascii="宋体" w:hAnsi="宋体"/>
          <w:sz w:val="28"/>
          <w:szCs w:val="28"/>
        </w:rPr>
        <w:t>联系电话：13880138707</w:t>
      </w:r>
    </w:p>
    <w:p>
      <w:pPr>
        <w:spacing w:line="600" w:lineRule="exact"/>
        <w:ind w:firstLine="708" w:firstLineChars="252"/>
        <w:rPr>
          <w:rFonts w:ascii="宋体" w:hAnsi="宋体"/>
          <w:b/>
          <w:sz w:val="28"/>
          <w:szCs w:val="28"/>
        </w:rPr>
      </w:pPr>
      <w:r>
        <w:rPr>
          <w:rFonts w:hint="eastAsia" w:ascii="宋体" w:hAnsi="宋体"/>
          <w:b/>
          <w:sz w:val="28"/>
          <w:szCs w:val="28"/>
        </w:rPr>
        <w:t>成都市龙泉驿区公共资源交易服务中心</w:t>
      </w:r>
    </w:p>
    <w:p>
      <w:pPr>
        <w:spacing w:line="600" w:lineRule="exact"/>
        <w:ind w:firstLine="705" w:firstLineChars="252"/>
        <w:rPr>
          <w:rFonts w:ascii="宋体" w:hAnsi="宋体"/>
          <w:sz w:val="28"/>
          <w:szCs w:val="28"/>
        </w:rPr>
      </w:pPr>
      <w:r>
        <w:rPr>
          <w:rFonts w:hint="eastAsia" w:ascii="宋体" w:hAnsi="宋体"/>
          <w:sz w:val="28"/>
          <w:szCs w:val="28"/>
        </w:rPr>
        <w:t>地  址：成都市龙泉驿区北泉路777号</w:t>
      </w:r>
    </w:p>
    <w:p>
      <w:pPr>
        <w:spacing w:line="600" w:lineRule="exact"/>
        <w:ind w:firstLine="705" w:firstLineChars="252"/>
        <w:rPr>
          <w:rFonts w:ascii="宋体" w:hAnsi="宋体"/>
          <w:sz w:val="28"/>
          <w:szCs w:val="28"/>
        </w:rPr>
      </w:pPr>
      <w:r>
        <w:rPr>
          <w:rFonts w:hint="eastAsia" w:ascii="宋体" w:hAnsi="宋体"/>
          <w:sz w:val="28"/>
          <w:szCs w:val="28"/>
        </w:rPr>
        <w:t>邮  编：610100</w:t>
      </w:r>
    </w:p>
    <w:p>
      <w:pPr>
        <w:spacing w:line="600" w:lineRule="exact"/>
        <w:ind w:firstLine="705" w:firstLineChars="252"/>
        <w:rPr>
          <w:rFonts w:hint="eastAsia" w:ascii="宋体" w:hAnsi="宋体"/>
          <w:sz w:val="28"/>
          <w:szCs w:val="28"/>
          <w:lang w:eastAsia="zh-CN"/>
        </w:rPr>
      </w:pPr>
      <w:r>
        <w:rPr>
          <w:rFonts w:hint="eastAsia" w:ascii="宋体" w:hAnsi="宋体"/>
          <w:sz w:val="28"/>
          <w:szCs w:val="28"/>
        </w:rPr>
        <w:t>联系人：</w:t>
      </w:r>
      <w:r>
        <w:rPr>
          <w:rFonts w:hint="eastAsia" w:ascii="宋体" w:hAnsi="宋体"/>
          <w:sz w:val="28"/>
          <w:szCs w:val="28"/>
          <w:lang w:eastAsia="zh-CN"/>
        </w:rPr>
        <w:t>王健</w:t>
      </w:r>
    </w:p>
    <w:p>
      <w:pPr>
        <w:spacing w:line="600" w:lineRule="exact"/>
        <w:ind w:firstLine="705" w:firstLineChars="252"/>
        <w:rPr>
          <w:rFonts w:hint="default" w:ascii="宋体" w:hAnsi="宋体" w:eastAsia="宋体"/>
          <w:sz w:val="28"/>
          <w:szCs w:val="28"/>
          <w:lang w:val="en-US" w:eastAsia="zh-CN"/>
        </w:rPr>
      </w:pPr>
      <w:r>
        <w:rPr>
          <w:rFonts w:hint="eastAsia" w:ascii="宋体" w:hAnsi="宋体"/>
          <w:sz w:val="28"/>
          <w:szCs w:val="28"/>
        </w:rPr>
        <w:t>联系电话：028-614306</w:t>
      </w:r>
      <w:r>
        <w:rPr>
          <w:rFonts w:hint="eastAsia" w:ascii="宋体" w:hAnsi="宋体"/>
          <w:sz w:val="28"/>
          <w:szCs w:val="28"/>
          <w:lang w:val="en-US" w:eastAsia="zh-CN"/>
        </w:rPr>
        <w:t>23</w:t>
      </w:r>
    </w:p>
    <w:p>
      <w:pPr>
        <w:spacing w:line="600" w:lineRule="exact"/>
        <w:ind w:firstLine="708" w:firstLineChars="252"/>
        <w:rPr>
          <w:rFonts w:ascii="宋体" w:hAnsi="宋体"/>
          <w:b/>
          <w:sz w:val="28"/>
          <w:szCs w:val="28"/>
        </w:rPr>
      </w:pPr>
      <w:r>
        <w:rPr>
          <w:rFonts w:hint="eastAsia" w:ascii="宋体" w:hAnsi="宋体"/>
          <w:b/>
          <w:sz w:val="28"/>
          <w:szCs w:val="28"/>
        </w:rPr>
        <w:t>政府采购监督机构：成都市龙泉驿区财政局</w:t>
      </w:r>
    </w:p>
    <w:p>
      <w:pPr>
        <w:spacing w:line="600" w:lineRule="exact"/>
        <w:ind w:firstLine="705" w:firstLineChars="252"/>
        <w:rPr>
          <w:rFonts w:ascii="宋体" w:hAnsi="宋体"/>
          <w:sz w:val="28"/>
          <w:szCs w:val="28"/>
        </w:rPr>
      </w:pPr>
      <w:r>
        <w:rPr>
          <w:rFonts w:hint="eastAsia" w:ascii="宋体" w:hAnsi="宋体"/>
          <w:sz w:val="28"/>
          <w:szCs w:val="28"/>
        </w:rPr>
        <w:t>地 址：成都市龙泉驿区中街聚星楼6-7楼</w:t>
      </w:r>
    </w:p>
    <w:p>
      <w:pPr>
        <w:spacing w:line="600" w:lineRule="exact"/>
        <w:ind w:firstLine="705" w:firstLineChars="252"/>
        <w:rPr>
          <w:rFonts w:ascii="宋体" w:hAnsi="宋体"/>
          <w:sz w:val="28"/>
          <w:szCs w:val="28"/>
        </w:rPr>
      </w:pPr>
      <w:r>
        <w:rPr>
          <w:rFonts w:hint="eastAsia" w:ascii="宋体" w:hAnsi="宋体"/>
          <w:sz w:val="28"/>
          <w:szCs w:val="28"/>
        </w:rPr>
        <w:t>联系电话：028-84636986</w:t>
      </w: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keepNext/>
        <w:keepLines/>
        <w:numPr>
          <w:ilvl w:val="0"/>
          <w:numId w:val="6"/>
        </w:numPr>
        <w:spacing w:before="340" w:after="330" w:line="400" w:lineRule="exact"/>
        <w:ind w:left="0" w:firstLine="0"/>
        <w:jc w:val="center"/>
        <w:outlineLvl w:val="0"/>
        <w:rPr>
          <w:rFonts w:ascii="宋体" w:hAnsi="宋体"/>
          <w:b/>
          <w:bCs/>
          <w:spacing w:val="-20"/>
          <w:kern w:val="44"/>
          <w:sz w:val="32"/>
          <w:szCs w:val="32"/>
        </w:rPr>
      </w:pPr>
      <w:bookmarkStart w:id="53" w:name="_Toc74752319"/>
      <w:bookmarkStart w:id="54" w:name="_Toc16189_WPSOffice_Level1"/>
      <w:bookmarkStart w:id="55" w:name="_Toc3637_WPSOffice_Level1"/>
      <w:bookmarkStart w:id="56" w:name="_Toc3930_WPSOffice_Level1"/>
      <w:r>
        <w:rPr>
          <w:rFonts w:hint="eastAsia" w:ascii="宋体" w:hAnsi="宋体"/>
          <w:b/>
          <w:bCs/>
          <w:spacing w:val="-20"/>
          <w:kern w:val="44"/>
          <w:sz w:val="32"/>
          <w:szCs w:val="32"/>
        </w:rPr>
        <w:t>投标人须知</w:t>
      </w:r>
      <w:bookmarkEnd w:id="53"/>
      <w:bookmarkEnd w:id="54"/>
      <w:bookmarkEnd w:id="55"/>
      <w:bookmarkEnd w:id="56"/>
    </w:p>
    <w:p>
      <w:pPr>
        <w:keepNext/>
        <w:keepLines/>
        <w:numPr>
          <w:ilvl w:val="1"/>
          <w:numId w:val="6"/>
        </w:numPr>
        <w:spacing w:before="260" w:after="260" w:line="360" w:lineRule="auto"/>
        <w:jc w:val="left"/>
        <w:outlineLvl w:val="1"/>
        <w:rPr>
          <w:rFonts w:ascii="宋体" w:hAnsi="宋体"/>
          <w:b/>
          <w:bCs/>
          <w:sz w:val="28"/>
          <w:szCs w:val="28"/>
        </w:rPr>
      </w:pPr>
      <w:bookmarkStart w:id="57" w:name="_Toc189727030"/>
      <w:bookmarkStart w:id="58" w:name="_Toc213396946"/>
      <w:bookmarkStart w:id="59" w:name="_Toc213496268"/>
      <w:bookmarkStart w:id="60" w:name="_Toc213396760"/>
      <w:bookmarkStart w:id="61" w:name="_Toc316462344"/>
      <w:bookmarkStart w:id="62" w:name="_Toc3930_WPSOffice_Level2"/>
      <w:bookmarkStart w:id="63" w:name="_Toc213397010"/>
      <w:bookmarkStart w:id="64" w:name="_Toc74752320"/>
      <w:bookmarkStart w:id="65" w:name="_Toc16189_WPSOffice_Level2"/>
      <w:bookmarkStart w:id="66" w:name="_Toc3637_WPSOffice_Level2"/>
      <w:bookmarkStart w:id="67" w:name="_Toc217446032"/>
      <w:r>
        <w:rPr>
          <w:rFonts w:hint="eastAsia" w:ascii="宋体" w:hAnsi="宋体"/>
          <w:b/>
          <w:bCs/>
          <w:sz w:val="28"/>
          <w:szCs w:val="28"/>
        </w:rPr>
        <w:t>投标人须知前附表</w:t>
      </w:r>
      <w:bookmarkEnd w:id="57"/>
      <w:bookmarkEnd w:id="58"/>
      <w:bookmarkEnd w:id="59"/>
      <w:bookmarkEnd w:id="60"/>
      <w:bookmarkEnd w:id="61"/>
      <w:bookmarkEnd w:id="62"/>
      <w:bookmarkEnd w:id="63"/>
      <w:bookmarkEnd w:id="64"/>
      <w:bookmarkEnd w:id="65"/>
      <w:bookmarkEnd w:id="66"/>
      <w:bookmarkEnd w:id="67"/>
    </w:p>
    <w:tbl>
      <w:tblPr>
        <w:tblStyle w:val="48"/>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91"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eastAsia="仿宋_GB2312" w:cs="宋体"/>
                <w:b/>
                <w:lang w:val="zh-CN"/>
              </w:rPr>
            </w:pPr>
            <w:r>
              <w:rPr>
                <w:rFonts w:hint="eastAsia" w:ascii="宋体" w:hAnsi="宋体"/>
                <w:b/>
              </w:rPr>
              <w:t>人民币2360004.31元</w:t>
            </w:r>
            <w:r>
              <w:rPr>
                <w:rFonts w:hint="eastAsia" w:ascii="宋体" w:hAnsi="宋体"/>
                <w:b/>
                <w:lang w:val="en-US" w:eastAsia="zh-CN"/>
              </w:rPr>
              <w:t>/年</w:t>
            </w:r>
            <w:r>
              <w:rPr>
                <w:rFonts w:hint="eastAsia"/>
                <w:b/>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52"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b/>
                <w:lang w:val="zh-CN"/>
              </w:rPr>
            </w:pPr>
            <w:r>
              <w:rPr>
                <w:rFonts w:hint="eastAsia" w:ascii="宋体" w:hAnsi="宋体" w:cs="宋体"/>
                <w:b/>
                <w:lang w:val="zh-CN"/>
              </w:rPr>
              <w:t>最高限价：2360004.31元</w:t>
            </w:r>
            <w:r>
              <w:rPr>
                <w:rFonts w:hint="eastAsia" w:ascii="宋体" w:hAnsi="宋体" w:cs="宋体"/>
                <w:b/>
                <w:lang w:val="en-US" w:eastAsia="zh-CN"/>
              </w:rPr>
              <w:t>/年</w:t>
            </w:r>
            <w:r>
              <w:rPr>
                <w:rFonts w:hint="eastAsia" w:ascii="宋体" w:hAnsi="宋体" w:cs="宋体"/>
                <w:b/>
                <w:lang w:val="zh-CN"/>
              </w:rPr>
              <w:t>，</w:t>
            </w:r>
            <w:r>
              <w:rPr>
                <w:rFonts w:hint="eastAsia"/>
                <w:b/>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服务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详见投标人须知2.4.12</w:t>
            </w:r>
          </w:p>
          <w:p>
            <w:pPr>
              <w:tabs>
                <w:tab w:val="left" w:pos="7665"/>
              </w:tabs>
              <w:snapToGrid w:val="0"/>
              <w:jc w:val="left"/>
              <w:rPr>
                <w:b/>
              </w:rPr>
            </w:pPr>
            <w:r>
              <w:rPr>
                <w:rFonts w:hint="eastAsia" w:ascii="宋体" w:hAnsi="宋体"/>
                <w:b/>
              </w:rPr>
              <w:t>注：投标人使用</w:t>
            </w:r>
            <w:r>
              <w:rPr>
                <w:rFonts w:ascii="宋体" w:hAnsi="宋体"/>
                <w:b/>
              </w:rPr>
              <w:t>CA证书在</w:t>
            </w:r>
            <w:r>
              <w:rPr>
                <w:rFonts w:hint="eastAsia" w:ascii="宋体" w:hAnsi="宋体"/>
                <w:b/>
              </w:rPr>
              <w:t>投标截止时间前，将投标文件上传至政府</w:t>
            </w:r>
            <w:r>
              <w:rPr>
                <w:rFonts w:ascii="宋体" w:hAnsi="宋体"/>
                <w:b/>
              </w:rPr>
              <w:t>采购</w:t>
            </w:r>
            <w:r>
              <w:rPr>
                <w:rFonts w:hint="eastAsia" w:ascii="宋体" w:hAnsi="宋体"/>
                <w:b/>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b/>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详见投标人须知2.5.1。</w:t>
            </w:r>
          </w:p>
          <w:p>
            <w:pPr>
              <w:snapToGrid w:val="0"/>
              <w:spacing w:line="360" w:lineRule="auto"/>
              <w:rPr>
                <w:rFonts w:ascii="宋体" w:hAnsi="宋体"/>
                <w:b/>
              </w:rPr>
            </w:pPr>
            <w:r>
              <w:rPr>
                <w:rFonts w:hint="eastAsia" w:ascii="宋体" w:hAnsi="宋体"/>
                <w:b/>
              </w:rPr>
              <w:t>投标文件解密：开启解密后，投标人应在系统提示的解密开始时间后</w:t>
            </w:r>
            <w:r>
              <w:rPr>
                <w:rFonts w:ascii="宋体" w:hAnsi="宋体"/>
                <w:b/>
              </w:rPr>
              <w:t>60</w:t>
            </w:r>
            <w:r>
              <w:rPr>
                <w:rFonts w:hint="eastAsia" w:ascii="宋体" w:hAnsi="宋体"/>
                <w:b/>
              </w:rPr>
              <w:t>分钟内 ，使用对投标文件进行加密的CA证书在线完成对投标人递交至政府采购云平台的投标文件的解密。</w:t>
            </w:r>
          </w:p>
          <w:p>
            <w:pPr>
              <w:snapToGrid w:val="0"/>
              <w:spacing w:line="360" w:lineRule="auto"/>
              <w:rPr>
                <w:rFonts w:ascii="宋体" w:hAnsi="宋体"/>
                <w:b/>
              </w:rPr>
            </w:pPr>
            <w:r>
              <w:rPr>
                <w:rFonts w:hint="eastAsia" w:ascii="宋体" w:hAnsi="宋体"/>
                <w:b/>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对招标文件中供应商参加本次政府采购活动应当具备的条件,招标项目技术、服务、商务及其他要求,评标细则及标准,以及</w:t>
            </w:r>
            <w:r>
              <w:rPr>
                <w:rFonts w:ascii="宋体" w:hAnsi="宋体"/>
              </w:rPr>
              <w:t>关于资格审查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对招标文件中的其他内容、采购过程及中标结果（除</w:t>
            </w:r>
            <w:r>
              <w:rPr>
                <w:rFonts w:ascii="宋体" w:hAnsi="宋体"/>
              </w:rPr>
              <w:t>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向区公资交易中心提出，并由区公资交易中心按相关规定作出答复（详见投标人须知2.8）。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183" w:right="210" w:rightChars="100" w:hanging="182" w:hangingChars="87"/>
              <w:rPr>
                <w:rFonts w:ascii="宋体" w:hAnsi="宋体"/>
              </w:rPr>
            </w:pPr>
            <w:r>
              <w:rPr>
                <w:rFonts w:hint="eastAsia" w:ascii="宋体" w:hAnsi="宋体"/>
              </w:rPr>
              <w:t>投诉受理单位</w:t>
            </w:r>
          </w:p>
          <w:p>
            <w:pPr>
              <w:tabs>
                <w:tab w:val="left" w:pos="7665"/>
              </w:tabs>
              <w:snapToGrid w:val="0"/>
              <w:spacing w:line="360" w:lineRule="auto"/>
              <w:rPr>
                <w:rFonts w:ascii="宋体" w:hAnsi="宋体"/>
              </w:rPr>
            </w:pPr>
            <w:r>
              <w:rPr>
                <w:rFonts w:hint="eastAsia" w:ascii="宋体" w:hAnsi="宋体"/>
              </w:rPr>
              <w:t>政府采购监督管理部门：成都市龙泉驿区财政局</w:t>
            </w:r>
          </w:p>
          <w:p>
            <w:pPr>
              <w:tabs>
                <w:tab w:val="left" w:pos="7665"/>
              </w:tabs>
              <w:snapToGrid w:val="0"/>
              <w:spacing w:line="360" w:lineRule="auto"/>
              <w:rPr>
                <w:rFonts w:ascii="宋体" w:hAnsi="宋体"/>
              </w:rPr>
            </w:pPr>
            <w:r>
              <w:rPr>
                <w:rFonts w:hint="eastAsia" w:ascii="宋体" w:hAnsi="宋体"/>
              </w:rPr>
              <w:t>地 址：成都市龙泉驿区中街聚星楼6-7楼</w:t>
            </w:r>
          </w:p>
          <w:p>
            <w:pPr>
              <w:tabs>
                <w:tab w:val="left" w:pos="7665"/>
              </w:tabs>
              <w:snapToGrid w:val="0"/>
              <w:spacing w:line="360" w:lineRule="auto"/>
              <w:rPr>
                <w:rFonts w:ascii="宋体" w:hAnsi="宋体"/>
              </w:rPr>
            </w:pPr>
            <w:r>
              <w:rPr>
                <w:rFonts w:hint="eastAsia" w:ascii="宋体" w:hAnsi="宋体"/>
              </w:rPr>
              <w:t>联系人：李先生</w:t>
            </w:r>
          </w:p>
          <w:p>
            <w:pPr>
              <w:tabs>
                <w:tab w:val="left" w:pos="7665"/>
              </w:tabs>
              <w:snapToGrid w:val="0"/>
              <w:spacing w:line="360" w:lineRule="auto"/>
              <w:rPr>
                <w:rFonts w:ascii="宋体" w:hAnsi="宋体"/>
              </w:rPr>
            </w:pPr>
            <w:r>
              <w:rPr>
                <w:rFonts w:hint="eastAsia" w:ascii="宋体" w:hAnsi="宋体"/>
              </w:rPr>
              <w:t>联系电话：028-84636986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投标人</w:t>
            </w:r>
            <w:r>
              <w:rPr>
                <w:rFonts w:hint="eastAsia" w:ascii="宋体" w:hAnsi="宋体" w:cs="宋体"/>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rPr>
            </w:pPr>
            <w:r>
              <w:rPr>
                <w:rFonts w:hint="eastAsia" w:ascii="宋体"/>
              </w:rPr>
              <w:t>政府采购合同签订之日起2个工作日内，采购人将在四川政府采购网公告政府采购合同；疫情防控期间，采购人原则上在5个工作日内与供应商签订政府采购合同及向本采购项目同级财政部门，即成都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533"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rPr>
            </w:pPr>
            <w:r>
              <w:rPr>
                <w:rFonts w:hint="eastAsia" w:ascii="宋体" w:hAnsi="宋体"/>
              </w:rPr>
              <w:t>中小企业政府采购信用融资（“蓉采贷”）</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w:t>
            </w:r>
            <w:r>
              <w:rPr>
                <w:rFonts w:hint="eastAsia" w:ascii="宋体" w:hAnsi="宋体"/>
                <w:sz w:val="24"/>
              </w:rPr>
              <w:t>工作的通知》</w:t>
            </w:r>
            <w:r>
              <w:rPr>
                <w:rFonts w:hint="eastAsia" w:ascii="宋体" w:hAnsi="宋体"/>
              </w:rPr>
              <w:t>（成财采〔2020〕20号）</w:t>
            </w:r>
            <w:r>
              <w:rPr>
                <w:rFonts w:hint="eastAsia" w:ascii="宋体" w:hAnsi="宋体"/>
                <w:sz w:val="24"/>
              </w:rPr>
              <w:t>见附件</w:t>
            </w:r>
            <w:r>
              <w:rPr>
                <w:rFonts w:hint="eastAsia"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keepNext/>
        <w:keepLines/>
        <w:numPr>
          <w:ilvl w:val="1"/>
          <w:numId w:val="6"/>
        </w:numPr>
        <w:spacing w:before="260" w:after="260" w:line="360" w:lineRule="auto"/>
        <w:jc w:val="left"/>
        <w:outlineLvl w:val="1"/>
        <w:rPr>
          <w:rFonts w:ascii="宋体" w:hAnsi="宋体"/>
          <w:b/>
          <w:bCs/>
          <w:sz w:val="28"/>
          <w:szCs w:val="28"/>
        </w:rPr>
      </w:pPr>
      <w:bookmarkStart w:id="68" w:name="_Toc30686_WPSOffice_Level2"/>
      <w:bookmarkStart w:id="69" w:name="_Toc20218_WPSOffice_Level2"/>
      <w:bookmarkStart w:id="70" w:name="_Toc74752321"/>
      <w:bookmarkStart w:id="71" w:name="_Toc22316_WPSOffice_Level2"/>
      <w:r>
        <w:rPr>
          <w:rFonts w:hint="eastAsia" w:ascii="宋体" w:hAnsi="宋体"/>
          <w:b/>
          <w:bCs/>
          <w:sz w:val="28"/>
          <w:szCs w:val="28"/>
        </w:rPr>
        <w:t>总则</w:t>
      </w:r>
      <w:bookmarkEnd w:id="68"/>
      <w:bookmarkEnd w:id="69"/>
      <w:bookmarkEnd w:id="70"/>
      <w:bookmarkEnd w:id="71"/>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适用范围</w:t>
      </w:r>
    </w:p>
    <w:p>
      <w:pPr>
        <w:numPr>
          <w:ilvl w:val="0"/>
          <w:numId w:val="1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本招标文件仅适用于本次公开招标采购项目。</w:t>
      </w:r>
    </w:p>
    <w:p>
      <w:pPr>
        <w:numPr>
          <w:ilvl w:val="0"/>
          <w:numId w:val="1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的最终解释权由采购人或区公资交易中心享有。对招标文件中供应商参加本次政府采购活动应当具备的条件，招标项目技术、服务、商务及其他要求，评标细则及标准由采购人负责解释。除上述招标文件内容，其他内容由区公资交易中心负责解释。</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有关定义</w:t>
      </w:r>
    </w:p>
    <w:p>
      <w:pPr>
        <w:numPr>
          <w:ilvl w:val="0"/>
          <w:numId w:val="12"/>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“采购人”和“甲方”系指依法进行政府采购的成都市级机关、事业单位、团体组织。本次招标的采购人是</w:t>
      </w:r>
      <w:r>
        <w:rPr>
          <w:rFonts w:hint="eastAsia" w:ascii="宋体" w:hAnsi="宋体"/>
          <w:b/>
          <w:bCs/>
          <w:sz w:val="28"/>
          <w:szCs w:val="28"/>
          <w:u w:val="single"/>
          <w:lang w:eastAsia="zh-CN"/>
        </w:rPr>
        <w:t xml:space="preserve">成都市龙泉驿区人民检察院 </w:t>
      </w:r>
      <w:r>
        <w:rPr>
          <w:rFonts w:hint="eastAsia" w:ascii="宋体" w:hAnsi="宋体"/>
          <w:sz w:val="28"/>
          <w:szCs w:val="28"/>
        </w:rPr>
        <w:t>。</w:t>
      </w:r>
    </w:p>
    <w:p>
      <w:pPr>
        <w:numPr>
          <w:ilvl w:val="0"/>
          <w:numId w:val="12"/>
        </w:numPr>
        <w:tabs>
          <w:tab w:val="left" w:pos="1134"/>
        </w:tabs>
        <w:spacing w:line="360" w:lineRule="auto"/>
        <w:ind w:left="0" w:firstLine="567"/>
        <w:rPr>
          <w:rFonts w:ascii="宋体" w:hAnsi="宋体"/>
          <w:sz w:val="28"/>
          <w:szCs w:val="28"/>
        </w:rPr>
      </w:pPr>
      <w:r>
        <w:rPr>
          <w:rFonts w:hint="eastAsia" w:ascii="宋体" w:hAnsi="宋体"/>
          <w:sz w:val="28"/>
          <w:szCs w:val="28"/>
        </w:rPr>
        <w:t>“投标人”系指在政采云系统里已成功获取采购文件的供应商，拟参加投标和向采购人提供货物及服务的供应商。</w:t>
      </w:r>
    </w:p>
    <w:p>
      <w:pPr>
        <w:numPr>
          <w:ilvl w:val="0"/>
          <w:numId w:val="12"/>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12"/>
        </w:numPr>
        <w:tabs>
          <w:tab w:val="left" w:pos="1134"/>
        </w:tabs>
        <w:spacing w:line="360" w:lineRule="auto"/>
        <w:ind w:left="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12"/>
        </w:numPr>
        <w:tabs>
          <w:tab w:val="left" w:pos="1134"/>
        </w:tabs>
        <w:spacing w:line="360" w:lineRule="auto"/>
        <w:ind w:left="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w:t>
      </w:r>
    </w:p>
    <w:p>
      <w:pPr>
        <w:numPr>
          <w:ilvl w:val="0"/>
          <w:numId w:val="12"/>
        </w:numPr>
        <w:tabs>
          <w:tab w:val="left" w:pos="1134"/>
        </w:tabs>
        <w:spacing w:line="360" w:lineRule="auto"/>
        <w:ind w:left="0" w:firstLine="568"/>
        <w:rPr>
          <w:rFonts w:ascii="宋体" w:hAnsi="宋体"/>
          <w:sz w:val="28"/>
          <w:szCs w:val="28"/>
        </w:rPr>
      </w:pPr>
      <w:r>
        <w:rPr>
          <w:rFonts w:hint="eastAsia" w:ascii="宋体" w:hAnsi="宋体"/>
          <w:sz w:val="28"/>
          <w:szCs w:val="28"/>
        </w:rPr>
        <w:t>不见面开标是指，区公资交易中心依托政府采购云平台组织开标活动，供应商在线参与开标的一种组织形式。</w:t>
      </w:r>
    </w:p>
    <w:p>
      <w:pPr>
        <w:keepNext/>
        <w:keepLines/>
        <w:numPr>
          <w:ilvl w:val="2"/>
          <w:numId w:val="6"/>
        </w:numPr>
        <w:spacing w:line="360" w:lineRule="auto"/>
        <w:ind w:left="3119" w:hanging="3119"/>
        <w:outlineLvl w:val="2"/>
        <w:rPr>
          <w:rFonts w:ascii="宋体" w:hAnsi="宋体"/>
          <w:b/>
          <w:bCs/>
          <w:sz w:val="28"/>
          <w:szCs w:val="28"/>
        </w:rPr>
      </w:pPr>
      <w:bookmarkStart w:id="72" w:name="_Toc217390843"/>
      <w:bookmarkStart w:id="73" w:name="_Toc183682344"/>
      <w:bookmarkStart w:id="74" w:name="_Toc183582207"/>
      <w:bookmarkStart w:id="75" w:name="_Toc217446036"/>
      <w:r>
        <w:rPr>
          <w:rFonts w:hint="eastAsia" w:ascii="宋体" w:hAnsi="宋体"/>
          <w:b/>
          <w:bCs/>
          <w:sz w:val="28"/>
          <w:szCs w:val="28"/>
        </w:rPr>
        <w:t>合格的投标人</w:t>
      </w:r>
      <w:bookmarkEnd w:id="72"/>
      <w:bookmarkEnd w:id="73"/>
      <w:bookmarkEnd w:id="74"/>
      <w:bookmarkEnd w:id="75"/>
    </w:p>
    <w:p>
      <w:pPr>
        <w:tabs>
          <w:tab w:val="left" w:pos="7665"/>
        </w:tabs>
        <w:spacing w:line="360" w:lineRule="auto"/>
        <w:ind w:firstLine="565" w:firstLineChars="202"/>
        <w:rPr>
          <w:rFonts w:ascii="宋体" w:hAnsi="宋体"/>
          <w:sz w:val="28"/>
          <w:szCs w:val="28"/>
        </w:rPr>
      </w:pPr>
      <w:r>
        <w:rPr>
          <w:rFonts w:hint="eastAsia" w:ascii="宋体" w:hAnsi="宋体"/>
          <w:sz w:val="28"/>
          <w:szCs w:val="28"/>
        </w:rPr>
        <w:t>合格的投标人应具备以下条件：</w:t>
      </w:r>
    </w:p>
    <w:p>
      <w:pPr>
        <w:numPr>
          <w:ilvl w:val="0"/>
          <w:numId w:val="13"/>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13"/>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投标费用</w:t>
      </w:r>
    </w:p>
    <w:p>
      <w:pPr>
        <w:spacing w:line="360" w:lineRule="auto"/>
        <w:ind w:firstLine="660" w:firstLineChars="236"/>
        <w:rPr>
          <w:rFonts w:ascii="宋体" w:hAnsi="宋体"/>
          <w:sz w:val="28"/>
          <w:szCs w:val="28"/>
        </w:rPr>
      </w:pPr>
      <w:r>
        <w:rPr>
          <w:rFonts w:hint="eastAsia" w:ascii="宋体" w:hAnsi="宋体"/>
          <w:sz w:val="28"/>
          <w:szCs w:val="28"/>
        </w:rPr>
        <w:t>投标人应自行承担参加投标的全部费用。</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充分、公平竞争保障措施</w:t>
      </w:r>
    </w:p>
    <w:p>
      <w:pPr>
        <w:numPr>
          <w:ilvl w:val="0"/>
          <w:numId w:val="14"/>
        </w:numPr>
        <w:tabs>
          <w:tab w:val="left" w:pos="1134"/>
        </w:tabs>
        <w:adjustRightInd w:val="0"/>
        <w:spacing w:line="360" w:lineRule="auto"/>
        <w:ind w:left="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numPr>
          <w:ilvl w:val="0"/>
          <w:numId w:val="14"/>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sz w:val="28"/>
          <w:szCs w:val="28"/>
        </w:rPr>
        <w:t>（说明：无供应商为本项目提供整体设计、规范编制或者项目管理、监理、检测等服务。）</w:t>
      </w:r>
    </w:p>
    <w:p>
      <w:pPr>
        <w:numPr>
          <w:ilvl w:val="0"/>
          <w:numId w:val="0"/>
        </w:numPr>
        <w:tabs>
          <w:tab w:val="left" w:pos="1134"/>
        </w:tabs>
        <w:adjustRightInd w:val="0"/>
        <w:spacing w:line="360" w:lineRule="auto"/>
        <w:ind w:left="567" w:leftChars="0"/>
        <w:rPr>
          <w:rFonts w:ascii="宋体" w:hAnsi="宋体"/>
          <w:b/>
          <w:sz w:val="28"/>
          <w:szCs w:val="28"/>
        </w:rPr>
      </w:pPr>
    </w:p>
    <w:p>
      <w:pPr>
        <w:keepNext/>
        <w:keepLines/>
        <w:numPr>
          <w:ilvl w:val="1"/>
          <w:numId w:val="6"/>
        </w:numPr>
        <w:spacing w:line="360" w:lineRule="auto"/>
        <w:jc w:val="left"/>
        <w:outlineLvl w:val="1"/>
        <w:rPr>
          <w:rFonts w:ascii="宋体" w:hAnsi="宋体"/>
          <w:b/>
          <w:bCs/>
          <w:sz w:val="28"/>
          <w:szCs w:val="28"/>
        </w:rPr>
      </w:pPr>
      <w:bookmarkStart w:id="76" w:name="_Toc183682347"/>
      <w:bookmarkStart w:id="77" w:name="_Toc217446039"/>
      <w:bookmarkStart w:id="78" w:name="_Toc17317_WPSOffice_Level2"/>
      <w:bookmarkStart w:id="79" w:name="_Toc10619_WPSOffice_Level2"/>
      <w:bookmarkStart w:id="80" w:name="_Toc74752322"/>
      <w:bookmarkStart w:id="81" w:name="_Toc6034_WPSOffice_Level2"/>
      <w:bookmarkStart w:id="82" w:name="_Toc183582210"/>
      <w:r>
        <w:rPr>
          <w:rFonts w:hint="eastAsia" w:ascii="宋体" w:hAnsi="宋体"/>
          <w:b/>
          <w:bCs/>
          <w:sz w:val="28"/>
          <w:szCs w:val="28"/>
        </w:rPr>
        <w:t>招标文件</w:t>
      </w:r>
      <w:bookmarkEnd w:id="76"/>
      <w:bookmarkEnd w:id="77"/>
      <w:bookmarkEnd w:id="78"/>
      <w:bookmarkEnd w:id="79"/>
      <w:bookmarkEnd w:id="80"/>
      <w:bookmarkEnd w:id="81"/>
      <w:bookmarkEnd w:id="82"/>
    </w:p>
    <w:p>
      <w:pPr>
        <w:keepNext/>
        <w:keepLines/>
        <w:numPr>
          <w:ilvl w:val="1"/>
          <w:numId w:val="6"/>
        </w:numPr>
        <w:spacing w:line="360" w:lineRule="auto"/>
        <w:jc w:val="left"/>
        <w:outlineLvl w:val="1"/>
        <w:rPr>
          <w:rFonts w:ascii="宋体" w:hAnsi="宋体"/>
          <w:b/>
          <w:bCs/>
          <w:sz w:val="28"/>
          <w:szCs w:val="28"/>
        </w:rPr>
      </w:pPr>
      <w:bookmarkStart w:id="83" w:name="_Toc28183_WPSOffice_Level2"/>
      <w:bookmarkStart w:id="84" w:name="_Toc89075876"/>
      <w:bookmarkStart w:id="85" w:name="_Toc21072_WPSOffice_Level2"/>
      <w:bookmarkStart w:id="86" w:name="_Toc183582214"/>
      <w:bookmarkStart w:id="87" w:name="_Toc74752323"/>
      <w:bookmarkStart w:id="88" w:name="_Toc217446042"/>
      <w:bookmarkStart w:id="89" w:name="_Toc77400780"/>
      <w:bookmarkStart w:id="90" w:name="_Toc183682351"/>
      <w:bookmarkStart w:id="91" w:name="_Toc21586_WPSOffice_Level2"/>
      <w:r>
        <w:rPr>
          <w:rFonts w:hint="eastAsia" w:ascii="宋体" w:hAnsi="宋体"/>
          <w:b/>
          <w:bCs/>
          <w:sz w:val="28"/>
          <w:szCs w:val="28"/>
        </w:rPr>
        <w:t>投标文件</w:t>
      </w:r>
      <w:bookmarkEnd w:id="83"/>
      <w:bookmarkEnd w:id="84"/>
      <w:bookmarkEnd w:id="85"/>
      <w:bookmarkEnd w:id="86"/>
      <w:bookmarkEnd w:id="87"/>
      <w:bookmarkEnd w:id="88"/>
      <w:bookmarkEnd w:id="89"/>
      <w:bookmarkEnd w:id="90"/>
      <w:bookmarkEnd w:id="91"/>
    </w:p>
    <w:p>
      <w:pPr>
        <w:keepNext/>
        <w:keepLines/>
        <w:numPr>
          <w:ilvl w:val="2"/>
          <w:numId w:val="6"/>
        </w:numPr>
        <w:spacing w:line="360" w:lineRule="auto"/>
        <w:ind w:left="0" w:firstLine="0"/>
        <w:outlineLvl w:val="2"/>
        <w:rPr>
          <w:rFonts w:ascii="宋体" w:hAnsi="宋体"/>
          <w:b/>
          <w:bCs/>
          <w:sz w:val="28"/>
          <w:szCs w:val="28"/>
        </w:rPr>
      </w:pPr>
      <w:bookmarkStart w:id="92" w:name="_Toc183582215"/>
      <w:bookmarkStart w:id="93" w:name="_Toc217446043"/>
      <w:bookmarkStart w:id="94" w:name="_Toc183682352"/>
      <w:r>
        <w:rPr>
          <w:rFonts w:hint="eastAsia" w:ascii="宋体" w:hAnsi="宋体"/>
          <w:b/>
          <w:bCs/>
          <w:sz w:val="28"/>
          <w:szCs w:val="28"/>
        </w:rPr>
        <w:t>投标文件的语言</w:t>
      </w:r>
      <w:bookmarkEnd w:id="92"/>
      <w:bookmarkEnd w:id="93"/>
      <w:bookmarkEnd w:id="94"/>
    </w:p>
    <w:p>
      <w:pPr>
        <w:numPr>
          <w:ilvl w:val="0"/>
          <w:numId w:val="15"/>
        </w:numPr>
        <w:tabs>
          <w:tab w:val="left" w:pos="1134"/>
        </w:tabs>
        <w:spacing w:line="360" w:lineRule="auto"/>
        <w:ind w:left="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rPr>
        <w:t>区公资交易中心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5"/>
        </w:numPr>
        <w:tabs>
          <w:tab w:val="left" w:pos="1134"/>
        </w:tabs>
        <w:spacing w:line="360" w:lineRule="auto"/>
        <w:ind w:left="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6"/>
        </w:numPr>
        <w:spacing w:line="360" w:lineRule="auto"/>
        <w:ind w:left="0" w:firstLine="0"/>
        <w:outlineLvl w:val="2"/>
        <w:rPr>
          <w:rFonts w:ascii="宋体" w:hAnsi="宋体"/>
          <w:b/>
          <w:bCs/>
          <w:sz w:val="28"/>
          <w:szCs w:val="28"/>
        </w:rPr>
      </w:pPr>
      <w:bookmarkStart w:id="95" w:name="_Toc183682353"/>
      <w:bookmarkStart w:id="96" w:name="_Toc217446044"/>
      <w:bookmarkStart w:id="97" w:name="_Toc183582216"/>
      <w:r>
        <w:rPr>
          <w:rFonts w:hint="eastAsia" w:ascii="宋体" w:hAnsi="宋体"/>
          <w:b/>
          <w:bCs/>
          <w:sz w:val="28"/>
          <w:szCs w:val="28"/>
        </w:rPr>
        <w:t>计量单位</w:t>
      </w:r>
      <w:bookmarkEnd w:id="95"/>
      <w:bookmarkEnd w:id="96"/>
      <w:bookmarkEnd w:id="97"/>
    </w:p>
    <w:p>
      <w:pPr>
        <w:tabs>
          <w:tab w:val="left" w:pos="7665"/>
        </w:tabs>
        <w:spacing w:line="360" w:lineRule="auto"/>
        <w:ind w:left="13"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keepNext/>
        <w:keepLines/>
        <w:numPr>
          <w:ilvl w:val="2"/>
          <w:numId w:val="6"/>
        </w:numPr>
        <w:spacing w:line="360" w:lineRule="auto"/>
        <w:ind w:left="0" w:firstLine="0"/>
        <w:outlineLvl w:val="2"/>
        <w:rPr>
          <w:rFonts w:ascii="宋体" w:hAnsi="宋体"/>
          <w:b/>
          <w:bCs/>
          <w:sz w:val="28"/>
          <w:szCs w:val="28"/>
        </w:rPr>
      </w:pPr>
      <w:bookmarkStart w:id="98" w:name="_Toc217446045"/>
      <w:r>
        <w:rPr>
          <w:rFonts w:hint="eastAsia" w:ascii="宋体" w:hAnsi="宋体"/>
          <w:b/>
          <w:bCs/>
          <w:sz w:val="28"/>
          <w:szCs w:val="28"/>
        </w:rPr>
        <w:t>投标货币</w:t>
      </w:r>
      <w:bookmarkEnd w:id="98"/>
    </w:p>
    <w:p>
      <w:pPr>
        <w:tabs>
          <w:tab w:val="left" w:pos="7665"/>
        </w:tabs>
        <w:spacing w:line="360" w:lineRule="auto"/>
        <w:ind w:left="13" w:firstLine="554"/>
        <w:rPr>
          <w:rFonts w:ascii="宋体" w:hAnsi="宋体"/>
          <w:sz w:val="28"/>
          <w:szCs w:val="28"/>
        </w:rPr>
      </w:pPr>
      <w:r>
        <w:rPr>
          <w:rFonts w:hint="eastAsia" w:ascii="宋体" w:hAnsi="宋体"/>
          <w:sz w:val="28"/>
          <w:szCs w:val="28"/>
        </w:rPr>
        <w:t>本次招标项目的投标均以人民币报价。</w:t>
      </w:r>
    </w:p>
    <w:p>
      <w:pPr>
        <w:keepNext/>
        <w:keepLines/>
        <w:numPr>
          <w:ilvl w:val="2"/>
          <w:numId w:val="6"/>
        </w:numPr>
        <w:spacing w:line="360" w:lineRule="auto"/>
        <w:ind w:left="0" w:firstLine="0"/>
        <w:outlineLvl w:val="2"/>
        <w:rPr>
          <w:rFonts w:ascii="宋体" w:hAnsi="宋体"/>
          <w:b/>
          <w:bCs/>
          <w:sz w:val="28"/>
          <w:szCs w:val="28"/>
        </w:rPr>
      </w:pPr>
      <w:bookmarkStart w:id="99" w:name="_Toc217446046"/>
      <w:r>
        <w:rPr>
          <w:rFonts w:hint="eastAsia" w:ascii="宋体" w:hAnsi="宋体"/>
          <w:b/>
          <w:bCs/>
          <w:sz w:val="28"/>
          <w:szCs w:val="28"/>
        </w:rPr>
        <w:t>联合体投标</w:t>
      </w:r>
      <w:bookmarkEnd w:id="99"/>
    </w:p>
    <w:p>
      <w:pPr>
        <w:tabs>
          <w:tab w:val="left" w:pos="1134"/>
        </w:tabs>
        <w:spacing w:line="360" w:lineRule="auto"/>
        <w:ind w:left="546"/>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keepNext/>
        <w:keepLines/>
        <w:numPr>
          <w:ilvl w:val="2"/>
          <w:numId w:val="6"/>
        </w:numPr>
        <w:spacing w:line="360" w:lineRule="auto"/>
        <w:ind w:left="0" w:firstLine="0"/>
        <w:outlineLvl w:val="2"/>
        <w:rPr>
          <w:rFonts w:ascii="宋体" w:hAnsi="宋体"/>
          <w:b/>
          <w:bCs/>
          <w:sz w:val="28"/>
          <w:szCs w:val="28"/>
        </w:rPr>
      </w:pPr>
      <w:bookmarkStart w:id="100" w:name="_Toc217446047"/>
      <w:r>
        <w:rPr>
          <w:rFonts w:hint="eastAsia" w:ascii="宋体" w:hAnsi="宋体"/>
          <w:b/>
          <w:bCs/>
          <w:sz w:val="28"/>
          <w:szCs w:val="28"/>
        </w:rPr>
        <w:t>知识产权</w:t>
      </w:r>
      <w:bookmarkEnd w:id="100"/>
    </w:p>
    <w:p>
      <w:pPr>
        <w:numPr>
          <w:ilvl w:val="0"/>
          <w:numId w:val="16"/>
        </w:numPr>
        <w:tabs>
          <w:tab w:val="left" w:pos="1134"/>
        </w:tabs>
        <w:spacing w:line="360" w:lineRule="auto"/>
        <w:ind w:left="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6"/>
        </w:numPr>
        <w:tabs>
          <w:tab w:val="left" w:pos="1134"/>
        </w:tabs>
        <w:spacing w:line="360" w:lineRule="auto"/>
        <w:ind w:left="0" w:firstLine="549"/>
        <w:rPr>
          <w:rFonts w:ascii="宋体" w:hAnsi="宋体"/>
          <w:sz w:val="28"/>
          <w:szCs w:val="28"/>
        </w:rPr>
      </w:pPr>
      <w:r>
        <w:rPr>
          <w:rFonts w:hint="eastAsia" w:ascii="宋体" w:hAnsi="宋体"/>
          <w:sz w:val="28"/>
          <w:szCs w:val="28"/>
        </w:rPr>
        <w:t>采购人享有本项目实施过程中产生的知识成果及知识产权。</w:t>
      </w:r>
    </w:p>
    <w:p>
      <w:pPr>
        <w:numPr>
          <w:ilvl w:val="0"/>
          <w:numId w:val="16"/>
        </w:numPr>
        <w:tabs>
          <w:tab w:val="left" w:pos="1134"/>
        </w:tabs>
        <w:spacing w:line="360" w:lineRule="auto"/>
        <w:ind w:left="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6"/>
        </w:numPr>
        <w:tabs>
          <w:tab w:val="left" w:pos="1134"/>
        </w:tabs>
        <w:spacing w:line="360" w:lineRule="auto"/>
        <w:ind w:left="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keepNext/>
        <w:keepLines/>
        <w:numPr>
          <w:ilvl w:val="2"/>
          <w:numId w:val="6"/>
        </w:numPr>
        <w:spacing w:line="360" w:lineRule="auto"/>
        <w:ind w:left="0" w:firstLine="0"/>
        <w:outlineLvl w:val="2"/>
        <w:rPr>
          <w:rFonts w:ascii="宋体" w:hAnsi="宋体"/>
          <w:b/>
          <w:bCs/>
          <w:sz w:val="28"/>
          <w:szCs w:val="28"/>
        </w:rPr>
      </w:pPr>
      <w:bookmarkStart w:id="101" w:name="_Toc217446048"/>
      <w:bookmarkStart w:id="102" w:name="_Toc183682354"/>
      <w:bookmarkStart w:id="103" w:name="_Toc183582217"/>
      <w:r>
        <w:rPr>
          <w:rFonts w:hint="eastAsia" w:ascii="宋体" w:hAnsi="宋体"/>
          <w:b/>
          <w:bCs/>
          <w:sz w:val="28"/>
          <w:szCs w:val="28"/>
        </w:rPr>
        <w:t>投标文件的组成</w:t>
      </w:r>
      <w:bookmarkEnd w:id="101"/>
      <w:bookmarkEnd w:id="102"/>
      <w:bookmarkEnd w:id="103"/>
    </w:p>
    <w:p>
      <w:pPr>
        <w:spacing w:line="360" w:lineRule="auto"/>
        <w:ind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Style w:val="7"/>
        <w:numPr>
          <w:ilvl w:val="3"/>
          <w:numId w:val="6"/>
        </w:numPr>
        <w:rPr>
          <w:rFonts w:ascii="宋体" w:hAnsi="宋体"/>
        </w:rPr>
      </w:pPr>
      <w:r>
        <w:rPr>
          <w:rFonts w:hint="eastAsia" w:ascii="宋体" w:hAnsi="宋体"/>
        </w:rPr>
        <w:t>资格响应文件：</w:t>
      </w:r>
    </w:p>
    <w:p>
      <w:pPr>
        <w:numPr>
          <w:ilvl w:val="0"/>
          <w:numId w:val="17"/>
        </w:numPr>
        <w:tabs>
          <w:tab w:val="left" w:pos="1134"/>
        </w:tabs>
        <w:spacing w:line="360" w:lineRule="auto"/>
        <w:ind w:left="0" w:firstLine="546"/>
        <w:rPr>
          <w:rFonts w:ascii="宋体" w:hAnsi="宋体"/>
          <w:b/>
          <w:sz w:val="28"/>
          <w:szCs w:val="28"/>
        </w:rPr>
      </w:pPr>
      <w:r>
        <w:rPr>
          <w:rFonts w:hint="eastAsia" w:ascii="宋体" w:hAnsi="宋体"/>
          <w:b/>
          <w:sz w:val="28"/>
          <w:szCs w:val="28"/>
        </w:rPr>
        <w:t>关于投标人资格申明的函；</w:t>
      </w:r>
    </w:p>
    <w:p>
      <w:pPr>
        <w:numPr>
          <w:ilvl w:val="0"/>
          <w:numId w:val="17"/>
        </w:numPr>
        <w:tabs>
          <w:tab w:val="left" w:pos="1134"/>
        </w:tabs>
        <w:spacing w:line="360" w:lineRule="auto"/>
        <w:ind w:left="0" w:firstLine="546"/>
        <w:rPr>
          <w:rFonts w:ascii="宋体" w:hAnsi="宋体"/>
          <w:b/>
          <w:sz w:val="28"/>
          <w:szCs w:val="28"/>
        </w:rPr>
      </w:pPr>
      <w:r>
        <w:rPr>
          <w:rFonts w:hint="eastAsia" w:ascii="宋体" w:hAnsi="宋体"/>
          <w:b/>
          <w:sz w:val="28"/>
          <w:szCs w:val="28"/>
        </w:rPr>
        <w:t>声明；</w:t>
      </w:r>
    </w:p>
    <w:p>
      <w:pPr>
        <w:numPr>
          <w:ilvl w:val="0"/>
          <w:numId w:val="17"/>
        </w:numPr>
        <w:tabs>
          <w:tab w:val="left" w:pos="1134"/>
        </w:tabs>
        <w:spacing w:line="360" w:lineRule="auto"/>
        <w:ind w:left="0" w:firstLine="546"/>
        <w:rPr>
          <w:rFonts w:ascii="宋体" w:hAnsi="宋体"/>
          <w:b/>
          <w:sz w:val="28"/>
          <w:szCs w:val="28"/>
        </w:rPr>
      </w:pPr>
      <w:r>
        <w:rPr>
          <w:rFonts w:hint="eastAsia" w:ascii="宋体" w:hAnsi="宋体"/>
          <w:b/>
          <w:sz w:val="28"/>
          <w:szCs w:val="28"/>
        </w:rPr>
        <w:t>投标人应提交的相关资格证明材料：</w:t>
      </w:r>
    </w:p>
    <w:p>
      <w:pPr>
        <w:pStyle w:val="79"/>
        <w:numPr>
          <w:ilvl w:val="0"/>
          <w:numId w:val="18"/>
        </w:numPr>
        <w:spacing w:before="60" w:line="360" w:lineRule="auto"/>
        <w:ind w:left="0" w:firstLine="546" w:firstLineChars="0"/>
        <w:rPr>
          <w:rFonts w:ascii="宋体" w:hAnsi="宋体"/>
          <w:b/>
          <w:sz w:val="28"/>
          <w:szCs w:val="28"/>
        </w:rPr>
      </w:pPr>
      <w:r>
        <w:rPr>
          <w:rFonts w:hint="eastAsia" w:ascii="宋体" w:hAnsi="宋体"/>
          <w:b/>
          <w:sz w:val="28"/>
          <w:szCs w:val="28"/>
        </w:rPr>
        <w:t>营业执照复印件（正本或副本）或法人证书复印件（正本或副本）；</w:t>
      </w:r>
    </w:p>
    <w:p>
      <w:pPr>
        <w:pStyle w:val="79"/>
        <w:numPr>
          <w:ilvl w:val="0"/>
          <w:numId w:val="18"/>
        </w:numPr>
        <w:spacing w:before="60" w:line="360" w:lineRule="auto"/>
        <w:ind w:left="0" w:firstLine="546" w:firstLineChars="0"/>
        <w:rPr>
          <w:rFonts w:ascii="宋体" w:hAnsi="宋体"/>
          <w:b/>
          <w:sz w:val="28"/>
          <w:szCs w:val="28"/>
        </w:rPr>
      </w:pPr>
      <w:r>
        <w:rPr>
          <w:rFonts w:hint="eastAsia" w:ascii="宋体" w:hAnsi="宋体"/>
          <w:b/>
          <w:sz w:val="28"/>
          <w:szCs w:val="28"/>
        </w:rPr>
        <w:t>2019或2020会计年度资产负债表复印件（说明：投标人成立时间至递交投标文件截止时间止不足一年的，提供成立后任意时段的资产负债表复印件）；</w:t>
      </w:r>
    </w:p>
    <w:p>
      <w:pPr>
        <w:pStyle w:val="79"/>
        <w:numPr>
          <w:ilvl w:val="0"/>
          <w:numId w:val="18"/>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投标人缴纳2020或2021年任意时段的税收的银行电子回单或者行政部门出具的纳税证明或完税证明复印件；</w:t>
      </w:r>
    </w:p>
    <w:p>
      <w:pPr>
        <w:pStyle w:val="79"/>
        <w:numPr>
          <w:ilvl w:val="0"/>
          <w:numId w:val="18"/>
        </w:numPr>
        <w:spacing w:before="60" w:line="360" w:lineRule="auto"/>
        <w:ind w:left="0" w:firstLine="546" w:firstLineChars="0"/>
        <w:rPr>
          <w:rFonts w:ascii="宋体" w:hAnsi="宋体"/>
          <w:b/>
          <w:sz w:val="28"/>
          <w:szCs w:val="28"/>
        </w:rPr>
      </w:pPr>
      <w:r>
        <w:rPr>
          <w:rFonts w:hint="eastAsia" w:ascii="宋体" w:hAnsi="宋体"/>
          <w:b/>
          <w:sz w:val="28"/>
          <w:szCs w:val="28"/>
        </w:rPr>
        <w:t>采购人对投标人履行合同所必须的设备和专业技术能力无特殊要求，投标人具有有效的营业执照或法人证书，可不提供其他证明材料；</w:t>
      </w:r>
    </w:p>
    <w:p>
      <w:pPr>
        <w:pStyle w:val="79"/>
        <w:numPr>
          <w:ilvl w:val="0"/>
          <w:numId w:val="18"/>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投标人缴纳2020或2021年任意时段的社保的银行电子回单或行政部门出具的社保缴纳证明材料复印件；</w:t>
      </w:r>
    </w:p>
    <w:p>
      <w:pPr>
        <w:pStyle w:val="79"/>
        <w:numPr>
          <w:ilvl w:val="0"/>
          <w:numId w:val="18"/>
        </w:numPr>
        <w:spacing w:before="60" w:line="360" w:lineRule="auto"/>
        <w:ind w:left="0" w:firstLine="546" w:firstLineChars="0"/>
        <w:rPr>
          <w:rFonts w:ascii="宋体" w:hAnsi="宋体"/>
          <w:b/>
          <w:sz w:val="28"/>
          <w:szCs w:val="28"/>
        </w:rPr>
      </w:pPr>
      <w:r>
        <w:rPr>
          <w:rFonts w:hint="eastAsia" w:ascii="宋体" w:hAnsi="宋体"/>
          <w:b/>
          <w:sz w:val="28"/>
          <w:szCs w:val="28"/>
        </w:rPr>
        <w:t>采购人对法律、行政法规规定的其他条件无特殊要求，投标人具有有效的营业执照或法人证书，可不提供其他证明材料。</w:t>
      </w:r>
    </w:p>
    <w:p>
      <w:pPr>
        <w:pStyle w:val="79"/>
        <w:numPr>
          <w:ilvl w:val="0"/>
          <w:numId w:val="18"/>
        </w:numPr>
        <w:spacing w:before="60" w:line="360" w:lineRule="auto"/>
        <w:ind w:left="0" w:firstLine="546" w:firstLineChars="0"/>
        <w:rPr>
          <w:rFonts w:hint="eastAsia" w:ascii="宋体" w:hAnsi="宋体"/>
          <w:b/>
          <w:sz w:val="28"/>
          <w:szCs w:val="28"/>
        </w:rPr>
      </w:pPr>
      <w:r>
        <w:rPr>
          <w:rFonts w:hint="eastAsia" w:ascii="宋体" w:hAnsi="宋体"/>
          <w:b/>
          <w:sz w:val="28"/>
          <w:szCs w:val="28"/>
        </w:rPr>
        <w:t>中小企业声明函；</w:t>
      </w:r>
    </w:p>
    <w:p>
      <w:pPr>
        <w:pStyle w:val="79"/>
        <w:numPr>
          <w:ilvl w:val="0"/>
          <w:numId w:val="18"/>
        </w:numPr>
        <w:spacing w:before="60" w:line="360" w:lineRule="auto"/>
        <w:ind w:left="0" w:firstLine="546" w:firstLineChars="0"/>
        <w:rPr>
          <w:rFonts w:hint="eastAsia" w:ascii="宋体" w:hAnsi="宋体"/>
          <w:b/>
          <w:sz w:val="28"/>
          <w:szCs w:val="28"/>
        </w:rPr>
      </w:pPr>
      <w:r>
        <w:rPr>
          <w:rFonts w:hint="eastAsia" w:ascii="宋体" w:hAnsi="宋体"/>
          <w:b/>
          <w:sz w:val="28"/>
          <w:szCs w:val="28"/>
        </w:rPr>
        <w:t>残疾人福利性单位声明函；</w:t>
      </w:r>
    </w:p>
    <w:p>
      <w:pPr>
        <w:pStyle w:val="79"/>
        <w:numPr>
          <w:ilvl w:val="0"/>
          <w:numId w:val="18"/>
        </w:numPr>
        <w:spacing w:before="60" w:line="360" w:lineRule="auto"/>
        <w:ind w:left="0" w:firstLine="546" w:firstLineChars="0"/>
        <w:rPr>
          <w:rFonts w:ascii="宋体" w:hAnsi="宋体"/>
          <w:b/>
          <w:sz w:val="28"/>
          <w:szCs w:val="28"/>
        </w:rPr>
      </w:pPr>
      <w:r>
        <w:rPr>
          <w:rFonts w:hint="eastAsia" w:ascii="宋体" w:hAnsi="宋体"/>
          <w:b/>
          <w:sz w:val="28"/>
          <w:szCs w:val="28"/>
          <w:lang w:eastAsia="zh-CN"/>
        </w:rPr>
        <w:t>供应商</w:t>
      </w:r>
      <w:r>
        <w:rPr>
          <w:rFonts w:hint="eastAsia" w:ascii="宋体" w:hAnsi="宋体"/>
          <w:b/>
          <w:sz w:val="28"/>
          <w:szCs w:val="28"/>
        </w:rPr>
        <w:t>属于监狱企业的证明文件复印件。</w:t>
      </w:r>
    </w:p>
    <w:p>
      <w:pPr>
        <w:pStyle w:val="7"/>
        <w:numPr>
          <w:ilvl w:val="3"/>
          <w:numId w:val="6"/>
        </w:numPr>
        <w:rPr>
          <w:rFonts w:ascii="宋体" w:hAnsi="宋体"/>
        </w:rPr>
      </w:pPr>
      <w:r>
        <w:rPr>
          <w:rFonts w:hint="eastAsia" w:ascii="宋体" w:hAnsi="宋体"/>
        </w:rPr>
        <w:t>商务技术</w:t>
      </w:r>
      <w:r>
        <w:rPr>
          <w:rFonts w:ascii="宋体" w:hAnsi="宋体"/>
        </w:rPr>
        <w:t>响应</w:t>
      </w:r>
      <w:r>
        <w:rPr>
          <w:rFonts w:hint="eastAsia" w:ascii="宋体" w:hAnsi="宋体"/>
        </w:rPr>
        <w:t>文件</w:t>
      </w:r>
    </w:p>
    <w:p>
      <w:pPr>
        <w:numPr>
          <w:ilvl w:val="0"/>
          <w:numId w:val="19"/>
        </w:numPr>
        <w:tabs>
          <w:tab w:val="left" w:pos="1134"/>
        </w:tabs>
        <w:spacing w:line="360" w:lineRule="auto"/>
        <w:ind w:hanging="279"/>
        <w:jc w:val="left"/>
        <w:rPr>
          <w:rFonts w:ascii="宋体" w:hAnsi="宋体"/>
          <w:b/>
          <w:sz w:val="28"/>
          <w:szCs w:val="28"/>
        </w:rPr>
      </w:pPr>
      <w:r>
        <w:rPr>
          <w:rFonts w:hint="eastAsia" w:ascii="宋体" w:hAnsi="宋体"/>
          <w:b/>
          <w:sz w:val="28"/>
          <w:szCs w:val="28"/>
        </w:rPr>
        <w:t>投标函；</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法定代表人身份证明书；</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投标人基本情况表；</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服务方案及服务承诺；</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售后服务及承诺；</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项目实施方案；</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承诺函。</w:t>
      </w:r>
    </w:p>
    <w:p>
      <w:pPr>
        <w:keepNext/>
        <w:keepLines/>
        <w:numPr>
          <w:ilvl w:val="2"/>
          <w:numId w:val="6"/>
        </w:numPr>
        <w:spacing w:line="360" w:lineRule="auto"/>
        <w:ind w:left="0" w:firstLine="0"/>
        <w:outlineLvl w:val="2"/>
        <w:rPr>
          <w:rFonts w:ascii="宋体" w:hAnsi="宋体"/>
          <w:b/>
          <w:bCs/>
          <w:sz w:val="28"/>
          <w:szCs w:val="28"/>
        </w:rPr>
      </w:pPr>
      <w:bookmarkStart w:id="104" w:name="_Toc183582211"/>
      <w:bookmarkStart w:id="105" w:name="_Toc183682348"/>
      <w:bookmarkStart w:id="106" w:name="_Toc217446040"/>
      <w:r>
        <w:rPr>
          <w:rFonts w:hint="eastAsia" w:ascii="宋体" w:hAnsi="宋体"/>
          <w:b/>
          <w:bCs/>
          <w:sz w:val="28"/>
          <w:szCs w:val="28"/>
        </w:rPr>
        <w:t>招标文件的构成</w:t>
      </w:r>
    </w:p>
    <w:p>
      <w:pPr>
        <w:numPr>
          <w:ilvl w:val="0"/>
          <w:numId w:val="20"/>
        </w:numPr>
        <w:tabs>
          <w:tab w:val="left" w:pos="1134"/>
        </w:tabs>
        <w:spacing w:line="360" w:lineRule="auto"/>
        <w:ind w:left="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21"/>
        </w:numPr>
        <w:tabs>
          <w:tab w:val="left" w:pos="1134"/>
        </w:tabs>
        <w:spacing w:line="360" w:lineRule="auto"/>
        <w:ind w:left="0" w:firstLine="567"/>
        <w:rPr>
          <w:rFonts w:ascii="宋体" w:hAnsi="宋体"/>
          <w:sz w:val="28"/>
          <w:szCs w:val="28"/>
        </w:rPr>
      </w:pPr>
      <w:r>
        <w:rPr>
          <w:rFonts w:hint="eastAsia" w:ascii="宋体" w:hAnsi="宋体"/>
          <w:sz w:val="28"/>
          <w:szCs w:val="28"/>
        </w:rPr>
        <w:t>投标邀请；</w:t>
      </w:r>
    </w:p>
    <w:p>
      <w:pPr>
        <w:numPr>
          <w:ilvl w:val="1"/>
          <w:numId w:val="21"/>
        </w:numPr>
        <w:tabs>
          <w:tab w:val="left" w:pos="1134"/>
        </w:tabs>
        <w:spacing w:line="360" w:lineRule="auto"/>
        <w:ind w:left="0" w:firstLine="567"/>
        <w:rPr>
          <w:rFonts w:ascii="宋体" w:hAnsi="宋体"/>
          <w:sz w:val="28"/>
          <w:szCs w:val="28"/>
        </w:rPr>
      </w:pPr>
      <w:r>
        <w:rPr>
          <w:rFonts w:hint="eastAsia" w:ascii="宋体" w:hAnsi="宋体"/>
          <w:sz w:val="28"/>
          <w:szCs w:val="28"/>
        </w:rPr>
        <w:t>投标人须知；</w:t>
      </w:r>
    </w:p>
    <w:p>
      <w:pPr>
        <w:numPr>
          <w:ilvl w:val="1"/>
          <w:numId w:val="21"/>
        </w:numPr>
        <w:tabs>
          <w:tab w:val="left" w:pos="1134"/>
        </w:tabs>
        <w:spacing w:line="360" w:lineRule="auto"/>
        <w:ind w:left="0" w:firstLine="567"/>
        <w:rPr>
          <w:rFonts w:ascii="宋体" w:hAnsi="宋体"/>
          <w:sz w:val="28"/>
          <w:szCs w:val="28"/>
        </w:rPr>
      </w:pPr>
      <w:r>
        <w:rPr>
          <w:rFonts w:hint="eastAsia" w:ascii="宋体" w:hAnsi="宋体"/>
          <w:sz w:val="28"/>
          <w:szCs w:val="28"/>
        </w:rPr>
        <w:t>投标文件格式；</w:t>
      </w:r>
    </w:p>
    <w:p>
      <w:pPr>
        <w:numPr>
          <w:ilvl w:val="1"/>
          <w:numId w:val="21"/>
        </w:numPr>
        <w:tabs>
          <w:tab w:val="left" w:pos="1134"/>
        </w:tabs>
        <w:spacing w:line="360" w:lineRule="auto"/>
        <w:ind w:left="0" w:firstLine="567"/>
        <w:rPr>
          <w:rFonts w:ascii="宋体" w:hAnsi="宋体"/>
          <w:sz w:val="28"/>
          <w:szCs w:val="28"/>
        </w:rPr>
      </w:pPr>
      <w:r>
        <w:rPr>
          <w:rFonts w:hint="eastAsia" w:ascii="宋体" w:hAnsi="宋体"/>
          <w:sz w:val="28"/>
          <w:szCs w:val="28"/>
        </w:rPr>
        <w:t>招标项目技术、服务、商务及其他要求；</w:t>
      </w:r>
    </w:p>
    <w:p>
      <w:pPr>
        <w:numPr>
          <w:ilvl w:val="1"/>
          <w:numId w:val="21"/>
        </w:numPr>
        <w:tabs>
          <w:tab w:val="left" w:pos="1134"/>
        </w:tabs>
        <w:spacing w:line="360" w:lineRule="auto"/>
        <w:ind w:left="0" w:firstLine="567"/>
        <w:rPr>
          <w:rFonts w:ascii="宋体" w:hAnsi="宋体"/>
          <w:sz w:val="28"/>
          <w:szCs w:val="28"/>
        </w:rPr>
      </w:pPr>
      <w:r>
        <w:rPr>
          <w:rFonts w:hint="eastAsia" w:ascii="宋体" w:hAnsi="宋体"/>
          <w:sz w:val="28"/>
          <w:szCs w:val="28"/>
        </w:rPr>
        <w:t>资格性审查；</w:t>
      </w:r>
    </w:p>
    <w:p>
      <w:pPr>
        <w:numPr>
          <w:ilvl w:val="1"/>
          <w:numId w:val="21"/>
        </w:numPr>
        <w:tabs>
          <w:tab w:val="left" w:pos="1134"/>
        </w:tabs>
        <w:spacing w:line="360" w:lineRule="auto"/>
        <w:ind w:left="0" w:firstLine="567"/>
        <w:rPr>
          <w:rFonts w:ascii="宋体" w:hAnsi="宋体"/>
          <w:sz w:val="28"/>
          <w:szCs w:val="28"/>
        </w:rPr>
      </w:pPr>
      <w:r>
        <w:rPr>
          <w:rFonts w:hint="eastAsia" w:ascii="宋体" w:hAnsi="宋体"/>
          <w:sz w:val="28"/>
          <w:szCs w:val="28"/>
        </w:rPr>
        <w:t>评标办法；</w:t>
      </w:r>
    </w:p>
    <w:p>
      <w:pPr>
        <w:numPr>
          <w:ilvl w:val="1"/>
          <w:numId w:val="21"/>
        </w:numPr>
        <w:tabs>
          <w:tab w:val="left" w:pos="1134"/>
        </w:tabs>
        <w:spacing w:line="360" w:lineRule="auto"/>
        <w:ind w:left="0" w:firstLine="567"/>
        <w:rPr>
          <w:rFonts w:ascii="宋体" w:hAnsi="宋体"/>
          <w:sz w:val="28"/>
          <w:szCs w:val="28"/>
        </w:rPr>
      </w:pPr>
      <w:r>
        <w:rPr>
          <w:rFonts w:hint="eastAsia" w:ascii="宋体" w:hAnsi="宋体"/>
          <w:sz w:val="28"/>
          <w:szCs w:val="28"/>
        </w:rPr>
        <w:t>拟签订合同文本。</w:t>
      </w:r>
    </w:p>
    <w:p>
      <w:pPr>
        <w:numPr>
          <w:ilvl w:val="0"/>
          <w:numId w:val="20"/>
        </w:numPr>
        <w:tabs>
          <w:tab w:val="left" w:pos="1134"/>
        </w:tabs>
        <w:spacing w:line="360" w:lineRule="auto"/>
        <w:ind w:left="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招标文件的澄清</w:t>
      </w:r>
      <w:bookmarkEnd w:id="104"/>
      <w:bookmarkEnd w:id="105"/>
      <w:r>
        <w:rPr>
          <w:rFonts w:hint="eastAsia" w:ascii="宋体" w:hAnsi="宋体"/>
          <w:b/>
          <w:bCs/>
          <w:sz w:val="28"/>
          <w:szCs w:val="28"/>
        </w:rPr>
        <w:t>和修改</w:t>
      </w:r>
      <w:bookmarkEnd w:id="106"/>
    </w:p>
    <w:p>
      <w:pPr>
        <w:numPr>
          <w:ilvl w:val="0"/>
          <w:numId w:val="22"/>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rPr>
        <w:t>区公资交易中心</w:t>
      </w:r>
      <w:r>
        <w:rPr>
          <w:rFonts w:hint="eastAsia" w:ascii="宋体" w:hAnsi="宋体"/>
          <w:sz w:val="28"/>
          <w:szCs w:val="28"/>
        </w:rPr>
        <w:t>可以对已发出的招标文件进行必要的澄清或者修改。</w:t>
      </w:r>
    </w:p>
    <w:p>
      <w:pPr>
        <w:numPr>
          <w:ilvl w:val="0"/>
          <w:numId w:val="22"/>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区公资交易中心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numPr>
          <w:ilvl w:val="0"/>
          <w:numId w:val="22"/>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可能影响投标文件编制的，区公资交易中心应当在投标截止时间至少15日前，通过云平台通知所有获取招标文件的潜在投标人；不足15日的，采购人或区公资交易中心应当顺延提交投标文件的截止时间。</w:t>
      </w:r>
    </w:p>
    <w:p>
      <w:pPr>
        <w:pStyle w:val="7"/>
        <w:numPr>
          <w:ilvl w:val="3"/>
          <w:numId w:val="6"/>
        </w:numPr>
        <w:rPr>
          <w:rFonts w:ascii="宋体" w:hAnsi="宋体"/>
        </w:rPr>
      </w:pPr>
      <w:r>
        <w:rPr>
          <w:rFonts w:hint="eastAsia" w:ascii="宋体" w:hAnsi="宋体"/>
        </w:rPr>
        <w:t>报价</w:t>
      </w:r>
      <w:r>
        <w:rPr>
          <w:rFonts w:ascii="宋体" w:hAnsi="宋体"/>
        </w:rPr>
        <w:t>要求响应文件</w:t>
      </w:r>
    </w:p>
    <w:p>
      <w:pPr>
        <w:pStyle w:val="79"/>
        <w:numPr>
          <w:ilvl w:val="0"/>
          <w:numId w:val="23"/>
        </w:numPr>
        <w:tabs>
          <w:tab w:val="left" w:pos="1134"/>
        </w:tabs>
        <w:spacing w:line="360" w:lineRule="auto"/>
        <w:ind w:firstLineChars="0"/>
        <w:rPr>
          <w:rFonts w:ascii="宋体" w:hAnsi="宋体"/>
          <w:b/>
          <w:sz w:val="28"/>
          <w:szCs w:val="28"/>
        </w:rPr>
      </w:pPr>
      <w:r>
        <w:rPr>
          <w:rFonts w:hint="eastAsia" w:ascii="宋体" w:hAnsi="宋体"/>
          <w:b/>
          <w:sz w:val="28"/>
          <w:szCs w:val="28"/>
        </w:rPr>
        <w:t>开标一览表（投标报价以投标人在政府采购云平台开标一览表中填写的报价为准。）；</w:t>
      </w:r>
    </w:p>
    <w:p>
      <w:pPr>
        <w:pStyle w:val="79"/>
        <w:numPr>
          <w:ilvl w:val="0"/>
          <w:numId w:val="23"/>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分项报价明细表；</w:t>
      </w:r>
    </w:p>
    <w:p>
      <w:pPr>
        <w:keepNext/>
        <w:keepLines/>
        <w:numPr>
          <w:ilvl w:val="2"/>
          <w:numId w:val="6"/>
        </w:numPr>
        <w:spacing w:line="360" w:lineRule="auto"/>
        <w:ind w:left="0" w:firstLine="0"/>
        <w:outlineLvl w:val="2"/>
        <w:rPr>
          <w:rFonts w:ascii="宋体" w:hAnsi="宋体"/>
          <w:b/>
          <w:bCs/>
          <w:sz w:val="28"/>
          <w:szCs w:val="28"/>
        </w:rPr>
      </w:pPr>
      <w:bookmarkStart w:id="107" w:name="_Toc316291396"/>
      <w:bookmarkEnd w:id="107"/>
      <w:bookmarkStart w:id="108" w:name="_Toc316292019"/>
      <w:bookmarkEnd w:id="108"/>
      <w:bookmarkStart w:id="109" w:name="_Toc316291395"/>
      <w:bookmarkEnd w:id="109"/>
      <w:bookmarkStart w:id="110" w:name="_Toc316292020"/>
      <w:bookmarkEnd w:id="110"/>
      <w:bookmarkStart w:id="111" w:name="_Toc183582218"/>
      <w:bookmarkStart w:id="112" w:name="_Toc183682355"/>
      <w:bookmarkStart w:id="113" w:name="_Toc217446049"/>
      <w:r>
        <w:rPr>
          <w:rFonts w:hint="eastAsia" w:ascii="宋体" w:hAnsi="宋体"/>
          <w:b/>
          <w:bCs/>
          <w:sz w:val="28"/>
          <w:szCs w:val="28"/>
        </w:rPr>
        <w:t>投标文件格式</w:t>
      </w:r>
      <w:bookmarkEnd w:id="111"/>
      <w:bookmarkEnd w:id="112"/>
      <w:bookmarkEnd w:id="113"/>
      <w:r>
        <w:rPr>
          <w:rFonts w:hint="eastAsia" w:ascii="宋体" w:hAnsi="宋体"/>
          <w:b/>
          <w:bCs/>
          <w:sz w:val="28"/>
          <w:szCs w:val="28"/>
        </w:rPr>
        <w:tab/>
      </w:r>
    </w:p>
    <w:p>
      <w:pPr>
        <w:numPr>
          <w:ilvl w:val="0"/>
          <w:numId w:val="24"/>
        </w:numPr>
        <w:tabs>
          <w:tab w:val="left" w:pos="1134"/>
        </w:tabs>
        <w:spacing w:line="360" w:lineRule="auto"/>
        <w:ind w:left="0" w:firstLine="567"/>
        <w:rPr>
          <w:rFonts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24"/>
        </w:numPr>
        <w:tabs>
          <w:tab w:val="left" w:pos="1134"/>
        </w:tabs>
        <w:spacing w:line="360" w:lineRule="auto"/>
        <w:ind w:left="0" w:firstLine="567"/>
        <w:rPr>
          <w:rFonts w:ascii="宋体" w:hAnsi="宋体"/>
          <w:sz w:val="28"/>
          <w:szCs w:val="28"/>
        </w:rPr>
      </w:pPr>
      <w:r>
        <w:rPr>
          <w:rFonts w:hint="eastAsia" w:ascii="宋体" w:hAnsi="宋体"/>
          <w:sz w:val="28"/>
          <w:szCs w:val="28"/>
        </w:rPr>
        <w:t>对于没有格式要求的投标文件由投标人自行编写。</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投标报价</w:t>
      </w:r>
    </w:p>
    <w:p>
      <w:pPr>
        <w:numPr>
          <w:ilvl w:val="0"/>
          <w:numId w:val="25"/>
        </w:numPr>
        <w:tabs>
          <w:tab w:val="left" w:pos="1134"/>
        </w:tabs>
        <w:spacing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25"/>
        </w:numPr>
        <w:tabs>
          <w:tab w:val="left" w:pos="1134"/>
        </w:tabs>
        <w:spacing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sz w:val="28"/>
          <w:szCs w:val="28"/>
        </w:rPr>
      </w:pPr>
      <w:bookmarkStart w:id="114" w:name="_Toc217446050"/>
      <w:bookmarkStart w:id="115" w:name="_Toc183682360"/>
      <w:bookmarkStart w:id="116" w:name="_Toc183582223"/>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line="360" w:lineRule="auto"/>
        <w:ind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投标保证金</w:t>
      </w:r>
      <w:bookmarkEnd w:id="114"/>
      <w:bookmarkEnd w:id="115"/>
      <w:bookmarkEnd w:id="116"/>
    </w:p>
    <w:p>
      <w:pPr>
        <w:spacing w:line="360" w:lineRule="auto"/>
        <w:ind w:firstLine="560" w:firstLineChars="200"/>
        <w:rPr>
          <w:rFonts w:ascii="宋体" w:hAnsi="宋体"/>
          <w:sz w:val="28"/>
          <w:szCs w:val="28"/>
        </w:rPr>
      </w:pPr>
      <w:r>
        <w:rPr>
          <w:rFonts w:hint="eastAsia" w:cs="Arial"/>
          <w:sz w:val="28"/>
          <w:szCs w:val="28"/>
        </w:rPr>
        <w:t>本项目不收取投标保证金。</w:t>
      </w:r>
    </w:p>
    <w:p>
      <w:pPr>
        <w:keepNext/>
        <w:keepLines/>
        <w:numPr>
          <w:ilvl w:val="2"/>
          <w:numId w:val="6"/>
        </w:numPr>
        <w:tabs>
          <w:tab w:val="left" w:pos="851"/>
        </w:tabs>
        <w:spacing w:line="360" w:lineRule="auto"/>
        <w:ind w:left="0" w:firstLine="0"/>
        <w:outlineLvl w:val="2"/>
        <w:rPr>
          <w:rFonts w:ascii="宋体" w:hAnsi="宋体"/>
          <w:b/>
          <w:bCs/>
          <w:sz w:val="28"/>
          <w:szCs w:val="28"/>
        </w:rPr>
      </w:pPr>
      <w:bookmarkStart w:id="117" w:name="_Toc316291400"/>
      <w:bookmarkEnd w:id="117"/>
      <w:bookmarkStart w:id="118" w:name="_Toc316292024"/>
      <w:bookmarkEnd w:id="118"/>
      <w:bookmarkStart w:id="119" w:name="_Toc183582224"/>
      <w:bookmarkStart w:id="120" w:name="_Toc217446051"/>
      <w:bookmarkStart w:id="121" w:name="_Toc183682361"/>
      <w:r>
        <w:rPr>
          <w:rFonts w:hint="eastAsia" w:ascii="宋体" w:hAnsi="宋体"/>
          <w:b/>
          <w:bCs/>
          <w:sz w:val="28"/>
          <w:szCs w:val="28"/>
        </w:rPr>
        <w:t>投标有效期</w:t>
      </w:r>
      <w:bookmarkEnd w:id="119"/>
      <w:bookmarkEnd w:id="120"/>
      <w:bookmarkEnd w:id="121"/>
    </w:p>
    <w:p>
      <w:pPr>
        <w:numPr>
          <w:ilvl w:val="0"/>
          <w:numId w:val="26"/>
        </w:numPr>
        <w:tabs>
          <w:tab w:val="left" w:pos="1134"/>
        </w:tabs>
        <w:spacing w:line="360" w:lineRule="auto"/>
        <w:ind w:left="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6"/>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6"/>
        <w:numPr>
          <w:ilvl w:val="2"/>
          <w:numId w:val="6"/>
        </w:numPr>
        <w:tabs>
          <w:tab w:val="left" w:pos="851"/>
        </w:tabs>
        <w:spacing w:after="200"/>
        <w:ind w:left="0" w:firstLine="0"/>
        <w:rPr>
          <w:color w:val="auto"/>
        </w:rPr>
      </w:pPr>
      <w:bookmarkStart w:id="122" w:name="_Toc183682364"/>
      <w:bookmarkStart w:id="123" w:name="_Toc183582227"/>
      <w:bookmarkStart w:id="124" w:name="_Toc217446054"/>
      <w:r>
        <w:rPr>
          <w:rFonts w:hint="eastAsia"/>
          <w:color w:val="auto"/>
        </w:rPr>
        <w:t>投标文件的制作和签章、加密</w:t>
      </w:r>
    </w:p>
    <w:p>
      <w:pPr>
        <w:spacing w:line="360" w:lineRule="auto"/>
        <w:ind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spacing w:line="360" w:lineRule="auto"/>
        <w:ind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6"/>
        <w:numPr>
          <w:ilvl w:val="2"/>
          <w:numId w:val="6"/>
        </w:numPr>
        <w:spacing w:after="200"/>
        <w:ind w:left="0" w:firstLine="0"/>
        <w:rPr>
          <w:color w:val="auto"/>
        </w:rPr>
      </w:pPr>
      <w:r>
        <w:rPr>
          <w:rFonts w:hint="eastAsia"/>
          <w:color w:val="auto"/>
        </w:rPr>
        <w:t>投标文件的</w:t>
      </w:r>
      <w:bookmarkEnd w:id="122"/>
      <w:bookmarkEnd w:id="123"/>
      <w:r>
        <w:rPr>
          <w:rFonts w:hint="eastAsia"/>
          <w:color w:val="auto"/>
        </w:rPr>
        <w:t>递交</w:t>
      </w:r>
      <w:bookmarkEnd w:id="124"/>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区公资交易中心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6"/>
        <w:numPr>
          <w:ilvl w:val="2"/>
          <w:numId w:val="6"/>
        </w:numPr>
        <w:spacing w:after="200"/>
        <w:ind w:left="0" w:firstLine="0"/>
        <w:rPr>
          <w:color w:val="auto"/>
        </w:rPr>
      </w:pPr>
      <w:r>
        <w:rPr>
          <w:rFonts w:hint="eastAsia"/>
          <w:color w:val="auto"/>
        </w:rPr>
        <w:t>投标文件的补充、修改</w:t>
      </w:r>
    </w:p>
    <w:p>
      <w:pPr>
        <w:numPr>
          <w:ilvl w:val="0"/>
          <w:numId w:val="27"/>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7"/>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6"/>
        <w:numPr>
          <w:ilvl w:val="2"/>
          <w:numId w:val="6"/>
        </w:numPr>
        <w:spacing w:after="200"/>
        <w:ind w:left="0" w:firstLine="0"/>
        <w:rPr>
          <w:color w:val="auto"/>
        </w:rPr>
      </w:pPr>
      <w:bookmarkStart w:id="125" w:name="_Toc316475587"/>
      <w:bookmarkEnd w:id="125"/>
      <w:bookmarkStart w:id="126" w:name="_Toc316475586"/>
      <w:bookmarkEnd w:id="126"/>
      <w:bookmarkStart w:id="127" w:name="_Toc183682365"/>
      <w:bookmarkStart w:id="128" w:name="_Toc183582228"/>
      <w:bookmarkStart w:id="129" w:name="_Toc217446055"/>
      <w:r>
        <w:rPr>
          <w:rFonts w:hint="eastAsia"/>
          <w:color w:val="auto"/>
        </w:rPr>
        <w:t>投标文件的</w:t>
      </w:r>
      <w:bookmarkEnd w:id="127"/>
      <w:bookmarkEnd w:id="128"/>
      <w:bookmarkEnd w:id="129"/>
      <w:r>
        <w:rPr>
          <w:rFonts w:hint="eastAsia"/>
          <w:color w:val="auto"/>
        </w:rPr>
        <w:t>撤回</w:t>
      </w:r>
    </w:p>
    <w:p>
      <w:pPr>
        <w:spacing w:before="120" w:after="200" w:line="360" w:lineRule="auto"/>
        <w:ind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6"/>
        <w:numPr>
          <w:ilvl w:val="2"/>
          <w:numId w:val="6"/>
        </w:numPr>
        <w:spacing w:after="200" w:line="240" w:lineRule="auto"/>
        <w:rPr>
          <w:color w:val="auto"/>
        </w:rPr>
      </w:pPr>
      <w:r>
        <w:rPr>
          <w:rFonts w:hint="eastAsia"/>
          <w:color w:val="auto"/>
        </w:rPr>
        <w:t>投标文件的解密</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登录政府采购云平台，点击“项目采购—开标评标”模块，找到对应项目，进入“开标大厅”，等待区公资交易中心开启解密后，进行线上解密。</w:t>
      </w:r>
      <w:r>
        <w:rPr>
          <w:rFonts w:hint="eastAsia" w:ascii="宋体" w:hAnsi="宋体"/>
          <w:bCs/>
          <w:sz w:val="28"/>
          <w:szCs w:val="28"/>
        </w:rPr>
        <w:t>除因</w:t>
      </w:r>
      <w:r>
        <w:rPr>
          <w:rFonts w:hint="eastAsia" w:ascii="宋体" w:hAnsi="宋体"/>
          <w:sz w:val="28"/>
          <w:szCs w:val="28"/>
        </w:rPr>
        <w:t>区公资交易中心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keepNext/>
        <w:keepLines/>
        <w:numPr>
          <w:ilvl w:val="1"/>
          <w:numId w:val="6"/>
        </w:numPr>
        <w:spacing w:line="360" w:lineRule="auto"/>
        <w:jc w:val="left"/>
        <w:outlineLvl w:val="1"/>
        <w:rPr>
          <w:rFonts w:ascii="宋体" w:hAnsi="宋体"/>
          <w:b/>
          <w:bCs/>
          <w:sz w:val="28"/>
          <w:szCs w:val="28"/>
        </w:rPr>
      </w:pPr>
      <w:bookmarkStart w:id="130" w:name="_Toc797_WPSOffice_Level2"/>
      <w:bookmarkStart w:id="131" w:name="_Toc77400782"/>
      <w:bookmarkStart w:id="132" w:name="_Toc23411_WPSOffice_Level2"/>
      <w:bookmarkStart w:id="133" w:name="_Toc17680_WPSOffice_Level2"/>
      <w:bookmarkStart w:id="134" w:name="_Toc74752324"/>
      <w:bookmarkStart w:id="135" w:name="_Toc183682368"/>
      <w:bookmarkStart w:id="136" w:name="_Toc217446056"/>
      <w:bookmarkStart w:id="137" w:name="_Toc183582231"/>
      <w:bookmarkStart w:id="138" w:name="_Toc89075878"/>
      <w:r>
        <w:rPr>
          <w:rFonts w:hint="eastAsia" w:ascii="宋体" w:hAnsi="宋体"/>
          <w:b/>
          <w:bCs/>
          <w:sz w:val="28"/>
          <w:szCs w:val="28"/>
        </w:rPr>
        <w:t>开标、资格审查、评标和中标</w:t>
      </w:r>
      <w:bookmarkEnd w:id="130"/>
      <w:bookmarkEnd w:id="131"/>
      <w:bookmarkEnd w:id="132"/>
      <w:bookmarkEnd w:id="133"/>
      <w:bookmarkEnd w:id="134"/>
      <w:bookmarkEnd w:id="135"/>
      <w:bookmarkEnd w:id="136"/>
      <w:bookmarkEnd w:id="137"/>
      <w:bookmarkEnd w:id="138"/>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开标及开标程序</w:t>
      </w:r>
    </w:p>
    <w:p>
      <w:pPr>
        <w:pStyle w:val="79"/>
        <w:numPr>
          <w:ilvl w:val="0"/>
          <w:numId w:val="28"/>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本项目为不见面开标项目。递交投标文件的投标人不足3家的，不予开标。</w:t>
      </w:r>
    </w:p>
    <w:p>
      <w:pPr>
        <w:pStyle w:val="79"/>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79"/>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等待区公资交易中心开启解密后，投标人进行线上解密。开启解密后，投标人应在60分钟内，使用加密该投标文件的CA数字证书在线完成投标文件的解密。除因区公资交易中心断电、断网、系统故障或其他不可抗力等因素，导致系统无法使用外，投标人在规定的解密时间内，未成功解密的投标文件将视为无效投标文件。</w:t>
      </w:r>
    </w:p>
    <w:p>
      <w:pPr>
        <w:pStyle w:val="79"/>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9"/>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区公资交易中心相关工作人员有需要回避的情形的，及时向工作人员提出询问或者回避申请。采购人、区公资交易中心对投标人提出的询问或者回避申请应当及时处理。</w:t>
      </w:r>
    </w:p>
    <w:p>
      <w:pPr>
        <w:pStyle w:val="79"/>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9"/>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因区公资交易中心断电、断网、系统故障或其他不可抗力等因素导致不见面开标系统无法正常运行的，开标活动中止或延迟，待系统恢复正常后继续进行开标活动。</w:t>
      </w:r>
    </w:p>
    <w:p>
      <w:pPr>
        <w:pStyle w:val="79"/>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评标</w:t>
      </w:r>
    </w:p>
    <w:p>
      <w:pPr>
        <w:spacing w:line="360" w:lineRule="auto"/>
        <w:ind w:firstLine="495"/>
        <w:rPr>
          <w:rFonts w:ascii="宋体" w:hAnsi="宋体"/>
          <w:sz w:val="28"/>
          <w:szCs w:val="28"/>
        </w:rPr>
      </w:pPr>
      <w:r>
        <w:rPr>
          <w:rFonts w:hint="eastAsia" w:ascii="宋体" w:hAnsi="宋体"/>
          <w:sz w:val="28"/>
          <w:szCs w:val="28"/>
        </w:rPr>
        <w:t>详见招标文件第6章。</w:t>
      </w:r>
    </w:p>
    <w:p>
      <w:pPr>
        <w:keepNext/>
        <w:keepLines/>
        <w:numPr>
          <w:ilvl w:val="2"/>
          <w:numId w:val="6"/>
        </w:numPr>
        <w:spacing w:line="360" w:lineRule="auto"/>
        <w:ind w:left="0" w:firstLine="0"/>
        <w:outlineLvl w:val="2"/>
        <w:rPr>
          <w:rFonts w:ascii="宋体" w:hAnsi="宋体"/>
          <w:b/>
          <w:bCs/>
          <w:sz w:val="28"/>
          <w:szCs w:val="28"/>
        </w:rPr>
      </w:pPr>
      <w:bookmarkStart w:id="139" w:name="_Toc183582238"/>
      <w:bookmarkStart w:id="140" w:name="_Toc183682375"/>
      <w:bookmarkStart w:id="141" w:name="_Toc217446063"/>
      <w:r>
        <w:rPr>
          <w:rFonts w:hint="eastAsia" w:ascii="宋体" w:hAnsi="宋体"/>
          <w:b/>
          <w:bCs/>
          <w:sz w:val="28"/>
          <w:szCs w:val="28"/>
        </w:rPr>
        <w:t>中标通知</w:t>
      </w:r>
      <w:bookmarkEnd w:id="139"/>
      <w:bookmarkEnd w:id="140"/>
      <w:r>
        <w:rPr>
          <w:rFonts w:hint="eastAsia" w:ascii="宋体" w:hAnsi="宋体"/>
          <w:b/>
          <w:bCs/>
          <w:sz w:val="28"/>
          <w:szCs w:val="28"/>
        </w:rPr>
        <w:t>书</w:t>
      </w:r>
      <w:bookmarkEnd w:id="141"/>
    </w:p>
    <w:p>
      <w:pPr>
        <w:spacing w:line="360" w:lineRule="auto"/>
        <w:ind w:right="210" w:firstLine="560" w:firstLineChars="200"/>
        <w:rPr>
          <w:rFonts w:ascii="宋体" w:hAnsi="宋体"/>
          <w:sz w:val="28"/>
          <w:szCs w:val="28"/>
        </w:rPr>
      </w:pPr>
      <w:bookmarkStart w:id="142" w:name="_Toc217446064"/>
      <w:bookmarkStart w:id="143" w:name="_Toc183582240"/>
      <w:bookmarkStart w:id="144" w:name="_Toc183682377"/>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line="360" w:lineRule="auto"/>
        <w:ind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keepNext/>
        <w:keepLines/>
        <w:numPr>
          <w:ilvl w:val="1"/>
          <w:numId w:val="6"/>
        </w:numPr>
        <w:spacing w:before="240" w:line="360" w:lineRule="auto"/>
        <w:jc w:val="left"/>
        <w:outlineLvl w:val="1"/>
        <w:rPr>
          <w:rFonts w:ascii="宋体" w:hAnsi="宋体"/>
          <w:b/>
          <w:bCs/>
          <w:sz w:val="28"/>
          <w:szCs w:val="28"/>
        </w:rPr>
      </w:pPr>
      <w:bookmarkStart w:id="145" w:name="_Toc9989_WPSOffice_Level2"/>
      <w:bookmarkStart w:id="146" w:name="_Toc10313_WPSOffice_Level2"/>
      <w:bookmarkStart w:id="147" w:name="_Toc3564_WPSOffice_Level2"/>
      <w:bookmarkStart w:id="148" w:name="_Toc74752325"/>
      <w:r>
        <w:rPr>
          <w:rFonts w:hint="eastAsia" w:ascii="宋体" w:hAnsi="宋体"/>
          <w:b/>
          <w:bCs/>
          <w:sz w:val="28"/>
          <w:szCs w:val="28"/>
        </w:rPr>
        <w:t>签订及履行合同和验收</w:t>
      </w:r>
      <w:bookmarkEnd w:id="142"/>
      <w:bookmarkEnd w:id="145"/>
      <w:bookmarkEnd w:id="146"/>
      <w:bookmarkEnd w:id="147"/>
      <w:bookmarkEnd w:id="148"/>
    </w:p>
    <w:p>
      <w:pPr>
        <w:keepNext/>
        <w:keepLines/>
        <w:numPr>
          <w:ilvl w:val="2"/>
          <w:numId w:val="6"/>
        </w:numPr>
        <w:spacing w:line="360" w:lineRule="auto"/>
        <w:ind w:left="0" w:firstLine="0"/>
        <w:outlineLvl w:val="2"/>
        <w:rPr>
          <w:rFonts w:ascii="宋体" w:hAnsi="宋体"/>
          <w:b/>
          <w:bCs/>
          <w:sz w:val="28"/>
          <w:szCs w:val="28"/>
        </w:rPr>
      </w:pPr>
      <w:bookmarkStart w:id="149" w:name="_Toc217446065"/>
      <w:r>
        <w:rPr>
          <w:rFonts w:hint="eastAsia" w:ascii="宋体" w:hAnsi="宋体"/>
          <w:b/>
          <w:bCs/>
          <w:sz w:val="28"/>
          <w:szCs w:val="28"/>
        </w:rPr>
        <w:t>签订合同</w:t>
      </w:r>
      <w:bookmarkEnd w:id="149"/>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keepNext/>
        <w:keepLines/>
        <w:numPr>
          <w:ilvl w:val="2"/>
          <w:numId w:val="6"/>
        </w:numPr>
        <w:spacing w:line="360" w:lineRule="auto"/>
        <w:ind w:left="3119" w:hanging="3119"/>
        <w:outlineLvl w:val="2"/>
        <w:rPr>
          <w:rFonts w:ascii="宋体" w:hAnsi="宋体"/>
          <w:b/>
          <w:bCs/>
          <w:sz w:val="28"/>
          <w:szCs w:val="28"/>
        </w:rPr>
      </w:pPr>
      <w:bookmarkStart w:id="150" w:name="_Toc315871033"/>
      <w:bookmarkEnd w:id="150"/>
      <w:bookmarkStart w:id="151" w:name="_Toc217446066"/>
      <w:r>
        <w:rPr>
          <w:rFonts w:hint="eastAsia" w:ascii="宋体" w:hAnsi="宋体"/>
          <w:b/>
          <w:bCs/>
          <w:sz w:val="28"/>
          <w:szCs w:val="28"/>
        </w:rPr>
        <w:t>合同分包</w:t>
      </w:r>
      <w:bookmarkEnd w:id="151"/>
      <w:r>
        <w:rPr>
          <w:rFonts w:hint="eastAsia" w:ascii="宋体" w:hAnsi="宋体"/>
          <w:b/>
          <w:bCs/>
          <w:sz w:val="28"/>
          <w:szCs w:val="28"/>
        </w:rPr>
        <w:t>和转包</w:t>
      </w:r>
    </w:p>
    <w:p>
      <w:pPr>
        <w:keepNext/>
        <w:keepLines/>
        <w:numPr>
          <w:ilvl w:val="3"/>
          <w:numId w:val="6"/>
        </w:numPr>
        <w:spacing w:line="360" w:lineRule="auto"/>
        <w:ind w:left="1275" w:hanging="1275"/>
        <w:outlineLvl w:val="2"/>
        <w:rPr>
          <w:rFonts w:ascii="宋体" w:hAnsi="宋体"/>
          <w:b/>
          <w:bCs/>
          <w:sz w:val="28"/>
          <w:szCs w:val="28"/>
        </w:rPr>
      </w:pPr>
      <w:r>
        <w:rPr>
          <w:rFonts w:hint="eastAsia" w:ascii="宋体" w:hAnsi="宋体"/>
          <w:b/>
          <w:bCs/>
          <w:sz w:val="28"/>
          <w:szCs w:val="28"/>
        </w:rPr>
        <w:t>合同分包</w:t>
      </w:r>
    </w:p>
    <w:p>
      <w:pPr>
        <w:pStyle w:val="119"/>
        <w:spacing w:line="360" w:lineRule="auto"/>
        <w:ind w:firstLine="560" w:firstLineChars="200"/>
        <w:rPr>
          <w:rFonts w:cs="Times New Roman"/>
          <w:sz w:val="28"/>
          <w:szCs w:val="28"/>
          <w:lang w:val="zh-CN"/>
        </w:rPr>
      </w:pPr>
      <w:r>
        <w:rPr>
          <w:rFonts w:hint="eastAsia" w:cs="Times New Roman"/>
          <w:sz w:val="28"/>
          <w:szCs w:val="28"/>
          <w:lang w:val="zh-CN"/>
        </w:rPr>
        <w:t>本</w:t>
      </w:r>
      <w:r>
        <w:rPr>
          <w:rFonts w:cs="Times New Roman"/>
          <w:sz w:val="28"/>
          <w:szCs w:val="28"/>
          <w:lang w:val="zh-CN"/>
        </w:rPr>
        <w:t>项目不允许分包</w:t>
      </w:r>
      <w:r>
        <w:rPr>
          <w:rFonts w:hint="eastAsia" w:cs="Times New Roman"/>
          <w:sz w:val="28"/>
          <w:szCs w:val="28"/>
          <w:lang w:val="zh-CN"/>
        </w:rPr>
        <w:t>。</w:t>
      </w:r>
    </w:p>
    <w:p>
      <w:pPr>
        <w:keepNext/>
        <w:keepLines/>
        <w:numPr>
          <w:ilvl w:val="3"/>
          <w:numId w:val="6"/>
        </w:numPr>
        <w:spacing w:line="360" w:lineRule="auto"/>
        <w:ind w:left="1275" w:hanging="1275"/>
        <w:outlineLvl w:val="2"/>
        <w:rPr>
          <w:rFonts w:ascii="宋体" w:hAnsi="宋体"/>
          <w:b/>
          <w:bCs/>
          <w:sz w:val="28"/>
          <w:szCs w:val="28"/>
        </w:rPr>
      </w:pPr>
      <w:r>
        <w:rPr>
          <w:rFonts w:hint="eastAsia" w:ascii="宋体" w:hAnsi="宋体"/>
          <w:b/>
          <w:bCs/>
          <w:sz w:val="28"/>
          <w:szCs w:val="28"/>
        </w:rPr>
        <w:t>合同转包</w:t>
      </w:r>
    </w:p>
    <w:p>
      <w:pPr>
        <w:spacing w:line="360" w:lineRule="auto"/>
        <w:ind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spacing w:line="360" w:lineRule="auto"/>
        <w:ind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keepNext/>
        <w:keepLines/>
        <w:numPr>
          <w:ilvl w:val="2"/>
          <w:numId w:val="6"/>
        </w:numPr>
        <w:spacing w:before="240" w:line="360" w:lineRule="auto"/>
        <w:ind w:left="0" w:firstLine="0"/>
        <w:outlineLvl w:val="2"/>
        <w:rPr>
          <w:rFonts w:ascii="宋体" w:hAnsi="宋体"/>
          <w:b/>
          <w:bCs/>
          <w:sz w:val="28"/>
          <w:szCs w:val="28"/>
        </w:rPr>
      </w:pPr>
      <w:bookmarkStart w:id="152" w:name="_Toc217446067"/>
      <w:r>
        <w:rPr>
          <w:rFonts w:hint="eastAsia" w:ascii="宋体" w:hAnsi="宋体"/>
          <w:b/>
          <w:bCs/>
          <w:sz w:val="28"/>
          <w:szCs w:val="28"/>
        </w:rPr>
        <w:t>采购人增加合同标的的权</w:t>
      </w:r>
      <w:bookmarkEnd w:id="152"/>
      <w:r>
        <w:rPr>
          <w:rFonts w:hint="eastAsia" w:ascii="宋体" w:hAnsi="宋体"/>
          <w:b/>
          <w:bCs/>
          <w:sz w:val="28"/>
          <w:szCs w:val="28"/>
        </w:rPr>
        <w:t>利</w:t>
      </w:r>
    </w:p>
    <w:p>
      <w:pPr>
        <w:spacing w:after="180" w:line="360" w:lineRule="auto"/>
        <w:ind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6"/>
        </w:numPr>
        <w:spacing w:line="360" w:lineRule="auto"/>
        <w:ind w:left="0" w:firstLine="0"/>
        <w:outlineLvl w:val="2"/>
        <w:rPr>
          <w:rFonts w:ascii="宋体" w:hAnsi="宋体"/>
          <w:b/>
          <w:bCs/>
          <w:sz w:val="28"/>
          <w:szCs w:val="28"/>
        </w:rPr>
      </w:pPr>
      <w:bookmarkStart w:id="153" w:name="_Toc217446068"/>
      <w:r>
        <w:rPr>
          <w:rFonts w:hint="eastAsia" w:ascii="宋体" w:hAnsi="宋体"/>
          <w:b/>
          <w:bCs/>
          <w:sz w:val="28"/>
          <w:szCs w:val="28"/>
        </w:rPr>
        <w:t>履约保证金</w:t>
      </w:r>
      <w:bookmarkEnd w:id="153"/>
    </w:p>
    <w:p>
      <w:pPr>
        <w:spacing w:after="180" w:line="360" w:lineRule="auto"/>
        <w:ind w:firstLine="562" w:firstLineChars="200"/>
        <w:rPr>
          <w:rFonts w:ascii="宋体" w:hAnsi="宋体"/>
          <w:b/>
          <w:sz w:val="28"/>
          <w:szCs w:val="28"/>
        </w:rPr>
      </w:pPr>
      <w:bookmarkStart w:id="154" w:name="_Toc217446069"/>
      <w:r>
        <w:rPr>
          <w:rFonts w:hint="eastAsia" w:ascii="宋体" w:hAnsi="宋体"/>
          <w:b/>
          <w:sz w:val="28"/>
          <w:szCs w:val="28"/>
        </w:rPr>
        <w:t>本项目</w:t>
      </w:r>
      <w:r>
        <w:rPr>
          <w:rFonts w:ascii="宋体" w:hAnsi="宋体"/>
          <w:b/>
          <w:sz w:val="28"/>
          <w:szCs w:val="28"/>
        </w:rPr>
        <w:t>不收取履约保证金</w:t>
      </w:r>
      <w:r>
        <w:rPr>
          <w:rFonts w:hint="eastAsia" w:ascii="宋体" w:hAnsi="宋体"/>
          <w:b/>
          <w:sz w:val="28"/>
          <w:szCs w:val="28"/>
        </w:rPr>
        <w:t>。</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合同公告</w:t>
      </w:r>
    </w:p>
    <w:p>
      <w:pPr>
        <w:spacing w:after="180" w:line="360" w:lineRule="auto"/>
        <w:ind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合同备案</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疫情防控期间，采购人原则上在5个工作日内与供应商签订政府采购合同及按成都市财政局的要求完成合同备案工作。</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履行合同</w:t>
      </w:r>
      <w:bookmarkEnd w:id="154"/>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一、合同一经签订，双方应严格履行合同规定的义务。</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keepNext/>
        <w:keepLines/>
        <w:numPr>
          <w:ilvl w:val="2"/>
          <w:numId w:val="6"/>
        </w:numPr>
        <w:spacing w:line="360" w:lineRule="auto"/>
        <w:ind w:left="0" w:firstLine="0"/>
        <w:outlineLvl w:val="2"/>
        <w:rPr>
          <w:rFonts w:ascii="宋体" w:hAnsi="宋体"/>
          <w:b/>
          <w:bCs/>
          <w:sz w:val="28"/>
          <w:szCs w:val="28"/>
        </w:rPr>
      </w:pPr>
      <w:bookmarkStart w:id="155" w:name="_Toc217446070"/>
      <w:r>
        <w:rPr>
          <w:rFonts w:hint="eastAsia" w:ascii="宋体" w:hAnsi="宋体"/>
          <w:b/>
          <w:bCs/>
          <w:sz w:val="28"/>
          <w:szCs w:val="28"/>
        </w:rPr>
        <w:t>验收</w:t>
      </w:r>
      <w:bookmarkEnd w:id="155"/>
      <w:r>
        <w:rPr>
          <w:rFonts w:hint="eastAsia" w:ascii="宋体" w:hAnsi="宋体"/>
          <w:b/>
          <w:bCs/>
          <w:sz w:val="28"/>
          <w:szCs w:val="28"/>
        </w:rPr>
        <w:t>或考核</w:t>
      </w:r>
    </w:p>
    <w:bookmarkEnd w:id="143"/>
    <w:bookmarkEnd w:id="144"/>
    <w:p>
      <w:pPr>
        <w:spacing w:line="360" w:lineRule="auto"/>
        <w:ind w:firstLine="560" w:firstLineChars="200"/>
        <w:rPr>
          <w:rFonts w:ascii="宋体" w:hAnsi="宋体"/>
          <w:sz w:val="28"/>
          <w:szCs w:val="28"/>
        </w:rPr>
      </w:pPr>
      <w:bookmarkStart w:id="156" w:name="_Toc217446074"/>
      <w:bookmarkStart w:id="157" w:name="_Toc183582243"/>
      <w:bookmarkStart w:id="158" w:name="_Toc183682380"/>
      <w:r>
        <w:rPr>
          <w:rFonts w:hint="eastAsia" w:ascii="宋体" w:hAnsi="宋体"/>
          <w:sz w:val="28"/>
          <w:szCs w:val="28"/>
        </w:rPr>
        <w:t>采购人严格按照国家相关法律法规的要求组织验收或考核。</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资金支付</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采购人按财政部门的相关规定及采购合同的约定进行支付。</w:t>
      </w:r>
    </w:p>
    <w:p>
      <w:pPr>
        <w:keepNext/>
        <w:keepLines/>
        <w:numPr>
          <w:ilvl w:val="1"/>
          <w:numId w:val="6"/>
        </w:numPr>
        <w:spacing w:line="360" w:lineRule="auto"/>
        <w:jc w:val="left"/>
        <w:outlineLvl w:val="1"/>
        <w:rPr>
          <w:rFonts w:ascii="宋体" w:hAnsi="宋体"/>
          <w:b/>
          <w:bCs/>
          <w:sz w:val="28"/>
          <w:szCs w:val="28"/>
        </w:rPr>
      </w:pPr>
      <w:bookmarkStart w:id="159" w:name="_Toc30855_WPSOffice_Level2"/>
      <w:bookmarkStart w:id="160" w:name="_Toc12811_WPSOffice_Level2"/>
      <w:bookmarkStart w:id="161" w:name="_Toc23316_WPSOffice_Level2"/>
      <w:bookmarkStart w:id="162" w:name="_Toc74752326"/>
      <w:r>
        <w:rPr>
          <w:rFonts w:hint="eastAsia" w:ascii="宋体" w:hAnsi="宋体"/>
          <w:b/>
          <w:bCs/>
          <w:sz w:val="28"/>
          <w:szCs w:val="28"/>
        </w:rPr>
        <w:t>投标纪律要求</w:t>
      </w:r>
      <w:bookmarkEnd w:id="156"/>
      <w:bookmarkEnd w:id="159"/>
      <w:bookmarkEnd w:id="160"/>
      <w:bookmarkEnd w:id="161"/>
      <w:bookmarkEnd w:id="162"/>
    </w:p>
    <w:p>
      <w:pPr>
        <w:keepNext/>
        <w:keepLines/>
        <w:numPr>
          <w:ilvl w:val="2"/>
          <w:numId w:val="6"/>
        </w:numPr>
        <w:spacing w:line="360" w:lineRule="auto"/>
        <w:ind w:left="0" w:firstLine="0"/>
        <w:outlineLvl w:val="2"/>
        <w:rPr>
          <w:rFonts w:ascii="宋体" w:hAnsi="宋体"/>
          <w:b/>
          <w:bCs/>
          <w:sz w:val="28"/>
          <w:szCs w:val="28"/>
        </w:rPr>
      </w:pPr>
      <w:bookmarkStart w:id="163" w:name="_Toc217446075"/>
      <w:r>
        <w:rPr>
          <w:rFonts w:hint="eastAsia" w:ascii="宋体" w:hAnsi="宋体"/>
          <w:b/>
          <w:bCs/>
          <w:sz w:val="28"/>
          <w:szCs w:val="28"/>
        </w:rPr>
        <w:t>投标人不得具有的情形</w:t>
      </w:r>
      <w:bookmarkEnd w:id="163"/>
    </w:p>
    <w:p>
      <w:pPr>
        <w:spacing w:after="180" w:line="360" w:lineRule="auto"/>
        <w:ind w:firstLine="567"/>
        <w:rPr>
          <w:rFonts w:ascii="宋体" w:hAnsi="宋体"/>
          <w:sz w:val="28"/>
          <w:szCs w:val="28"/>
        </w:rPr>
      </w:pPr>
      <w:r>
        <w:rPr>
          <w:rFonts w:hint="eastAsia" w:ascii="宋体" w:hAnsi="宋体"/>
          <w:sz w:val="28"/>
          <w:szCs w:val="28"/>
        </w:rPr>
        <w:t>投标人参加投标不得有下列情形：</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left="42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rPr>
        <w:t>区公资交易中心</w:t>
      </w:r>
      <w:r>
        <w:rPr>
          <w:rFonts w:hint="eastAsia" w:ascii="宋体" w:hAnsi="宋体"/>
          <w:sz w:val="28"/>
          <w:szCs w:val="28"/>
        </w:rPr>
        <w:t>、其他投标人恶意串通；</w:t>
      </w:r>
    </w:p>
    <w:p>
      <w:pPr>
        <w:numPr>
          <w:ilvl w:val="1"/>
          <w:numId w:val="29"/>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rPr>
        <w:t>区公资交易中心</w:t>
      </w:r>
      <w:r>
        <w:rPr>
          <w:rFonts w:hint="eastAsia" w:ascii="宋体" w:hAnsi="宋体"/>
          <w:sz w:val="28"/>
          <w:szCs w:val="28"/>
        </w:rPr>
        <w:t>、评标委员会成员行贿或者提供其他不正当利益；</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rPr>
        <w:t>区公资交易中心</w:t>
      </w:r>
      <w:r>
        <w:rPr>
          <w:rFonts w:hint="eastAsia" w:ascii="宋体" w:hAnsi="宋体"/>
          <w:sz w:val="28"/>
          <w:szCs w:val="28"/>
        </w:rPr>
        <w:t>进行协商谈判；</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29"/>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line="360" w:lineRule="auto"/>
        <w:ind w:left="567"/>
        <w:rPr>
          <w:rFonts w:ascii="宋体" w:hAnsi="宋体"/>
          <w:sz w:val="28"/>
          <w:szCs w:val="28"/>
        </w:rPr>
      </w:pPr>
      <w:r>
        <w:rPr>
          <w:rFonts w:hint="eastAsia" w:ascii="宋体" w:hAnsi="宋体"/>
          <w:sz w:val="28"/>
          <w:szCs w:val="28"/>
        </w:rPr>
        <w:t>十五、拒绝有关部门的监督检查或者向监督检查部门提供虚假情况；</w:t>
      </w:r>
    </w:p>
    <w:p>
      <w:pPr>
        <w:spacing w:after="180" w:line="360" w:lineRule="auto"/>
        <w:ind w:firstLine="565" w:firstLineChars="202"/>
        <w:rPr>
          <w:rFonts w:ascii="宋体" w:hAnsi="宋体"/>
          <w:sz w:val="28"/>
          <w:szCs w:val="28"/>
        </w:rPr>
      </w:pPr>
      <w:r>
        <w:rPr>
          <w:rFonts w:hint="eastAsia" w:ascii="宋体" w:hAnsi="宋体"/>
          <w:sz w:val="28"/>
          <w:szCs w:val="28"/>
        </w:rPr>
        <w:t>十六、法律法规规定的其他情形。</w:t>
      </w:r>
    </w:p>
    <w:p>
      <w:pPr>
        <w:spacing w:after="180" w:line="360" w:lineRule="auto"/>
        <w:ind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6"/>
        </w:numPr>
        <w:spacing w:line="360" w:lineRule="auto"/>
        <w:ind w:left="0" w:firstLine="0"/>
        <w:outlineLvl w:val="2"/>
        <w:rPr>
          <w:rFonts w:ascii="宋体" w:hAnsi="宋体"/>
          <w:b/>
          <w:bCs/>
          <w:sz w:val="28"/>
          <w:szCs w:val="28"/>
        </w:rPr>
      </w:pPr>
      <w:bookmarkStart w:id="164" w:name="_Toc314574786"/>
      <w:r>
        <w:rPr>
          <w:rFonts w:hint="eastAsia" w:ascii="宋体" w:hAnsi="宋体"/>
          <w:b/>
          <w:bCs/>
          <w:sz w:val="28"/>
          <w:szCs w:val="28"/>
        </w:rPr>
        <w:t>保密</w:t>
      </w:r>
      <w:bookmarkEnd w:id="164"/>
    </w:p>
    <w:p>
      <w:pPr>
        <w:numPr>
          <w:ilvl w:val="0"/>
          <w:numId w:val="30"/>
        </w:numPr>
        <w:tabs>
          <w:tab w:val="left" w:pos="0"/>
          <w:tab w:val="left" w:pos="1134"/>
        </w:tabs>
        <w:spacing w:line="360" w:lineRule="auto"/>
        <w:ind w:left="0" w:firstLine="567"/>
        <w:rPr>
          <w:sz w:val="28"/>
          <w:szCs w:val="28"/>
        </w:rPr>
      </w:pPr>
      <w:r>
        <w:rPr>
          <w:rFonts w:hint="eastAsia" w:ascii="宋体" w:hAnsi="宋体"/>
          <w:sz w:val="28"/>
          <w:szCs w:val="28"/>
        </w:rPr>
        <w:t>不</w:t>
      </w:r>
      <w:r>
        <w:rPr>
          <w:rFonts w:hint="eastAsia"/>
          <w:sz w:val="28"/>
          <w:szCs w:val="28"/>
        </w:rPr>
        <w:t>得透露有关在政采云系统里已成功获取采购文件的供应商的潜在投标人的任何情况。</w:t>
      </w:r>
    </w:p>
    <w:p>
      <w:pPr>
        <w:numPr>
          <w:ilvl w:val="0"/>
          <w:numId w:val="30"/>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回避</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在政府采购活动中，采购人员</w:t>
      </w:r>
      <w:r>
        <w:rPr>
          <w:rFonts w:hint="eastAsia" w:cs="Helvetica"/>
          <w:sz w:val="28"/>
          <w:szCs w:val="28"/>
        </w:rPr>
        <w:t>（如</w:t>
      </w:r>
      <w:r>
        <w:rPr>
          <w:rFonts w:hint="eastAsia"/>
          <w:sz w:val="28"/>
          <w:szCs w:val="28"/>
        </w:rPr>
        <w:t>采购人内部负责采购项目的具体经办工作人员或直接分管采购项目的负责人、</w:t>
      </w:r>
      <w:r>
        <w:rPr>
          <w:rFonts w:hint="eastAsia" w:cs="Arial"/>
          <w:sz w:val="28"/>
          <w:szCs w:val="28"/>
        </w:rPr>
        <w:t>区公资交易中心</w:t>
      </w:r>
      <w:r>
        <w:rPr>
          <w:rFonts w:hint="eastAsia"/>
          <w:sz w:val="28"/>
          <w:szCs w:val="28"/>
        </w:rPr>
        <w:t>负责采购项目的具体经办工作人员或直接分管采购活动的负责人等</w:t>
      </w:r>
      <w:r>
        <w:rPr>
          <w:rFonts w:hint="eastAsia" w:cs="Helvetica"/>
          <w:sz w:val="28"/>
          <w:szCs w:val="28"/>
        </w:rPr>
        <w:t>）</w:t>
      </w:r>
      <w:r>
        <w:rPr>
          <w:rFonts w:hint="eastAsia" w:ascii="宋体" w:hAnsi="宋体" w:cs="Helvetica"/>
          <w:sz w:val="28"/>
          <w:szCs w:val="28"/>
        </w:rPr>
        <w:t>及相关人员与</w:t>
      </w:r>
      <w:r>
        <w:rPr>
          <w:rFonts w:hint="eastAsia" w:ascii="宋体" w:hAnsi="宋体"/>
          <w:sz w:val="28"/>
          <w:szCs w:val="28"/>
        </w:rPr>
        <w:t>供应商</w:t>
      </w:r>
      <w:r>
        <w:rPr>
          <w:rFonts w:hint="eastAsia" w:ascii="宋体" w:hAnsi="宋体" w:cs="Helvetica"/>
          <w:sz w:val="28"/>
          <w:szCs w:val="28"/>
        </w:rPr>
        <w:t>有下列利害关系之一的，应当回避：</w:t>
      </w:r>
    </w:p>
    <w:p>
      <w:pPr>
        <w:shd w:val="clear" w:color="auto" w:fill="FFFFFF"/>
        <w:spacing w:line="360" w:lineRule="auto"/>
        <w:ind w:left="708" w:hanging="708" w:hangingChars="253"/>
        <w:rPr>
          <w:rFonts w:ascii="宋体" w:hAnsi="宋体" w:cs="Helvetica"/>
          <w:sz w:val="28"/>
          <w:szCs w:val="28"/>
        </w:rPr>
      </w:pPr>
      <w:r>
        <w:rPr>
          <w:rFonts w:hint="eastAsia" w:ascii="宋体" w:hAnsi="宋体" w:cs="Helvetica"/>
          <w:sz w:val="28"/>
          <w:szCs w:val="28"/>
        </w:rPr>
        <w:t>　　（一）参加采购活动前3年内与</w:t>
      </w:r>
      <w:r>
        <w:rPr>
          <w:rFonts w:hint="eastAsia" w:ascii="宋体" w:hAnsi="宋体"/>
          <w:sz w:val="28"/>
          <w:szCs w:val="28"/>
        </w:rPr>
        <w:t>供应商</w:t>
      </w:r>
      <w:r>
        <w:rPr>
          <w:rFonts w:hint="eastAsia" w:ascii="宋体" w:hAnsi="宋体" w:cs="Helvetica"/>
          <w:sz w:val="28"/>
          <w:szCs w:val="28"/>
        </w:rPr>
        <w:t>存在劳动关系；</w:t>
      </w:r>
    </w:p>
    <w:p>
      <w:pPr>
        <w:shd w:val="clear" w:color="auto" w:fill="FFFFFF"/>
        <w:spacing w:line="360" w:lineRule="auto"/>
        <w:rPr>
          <w:rFonts w:ascii="宋体" w:hAnsi="宋体" w:cs="Helvetica"/>
          <w:sz w:val="28"/>
          <w:szCs w:val="28"/>
        </w:rPr>
      </w:pPr>
      <w:r>
        <w:rPr>
          <w:rFonts w:hint="eastAsia" w:ascii="宋体" w:hAnsi="宋体" w:cs="Helvetica"/>
          <w:sz w:val="28"/>
          <w:szCs w:val="28"/>
        </w:rPr>
        <w:t>　　（二）参加采购活动前3年内担任</w:t>
      </w:r>
      <w:r>
        <w:rPr>
          <w:rFonts w:hint="eastAsia" w:ascii="宋体" w:hAnsi="宋体"/>
          <w:sz w:val="28"/>
          <w:szCs w:val="28"/>
        </w:rPr>
        <w:t>供应商</w:t>
      </w:r>
      <w:r>
        <w:rPr>
          <w:rFonts w:hint="eastAsia" w:ascii="宋体" w:hAnsi="宋体" w:cs="Helvetica"/>
          <w:sz w:val="28"/>
          <w:szCs w:val="28"/>
        </w:rPr>
        <w:t>的董事、监事；</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（三）参加采购活动前3年内是</w:t>
      </w:r>
      <w:r>
        <w:rPr>
          <w:rFonts w:hint="eastAsia" w:ascii="宋体" w:hAnsi="宋体"/>
          <w:sz w:val="28"/>
          <w:szCs w:val="28"/>
        </w:rPr>
        <w:t>供应商</w:t>
      </w:r>
      <w:r>
        <w:rPr>
          <w:rFonts w:hint="eastAsia" w:ascii="宋体" w:hAnsi="宋体" w:cs="Helvetica"/>
          <w:sz w:val="28"/>
          <w:szCs w:val="28"/>
        </w:rPr>
        <w:t>的控股股东或者实际控制人；</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（四）与</w:t>
      </w:r>
      <w:r>
        <w:rPr>
          <w:rFonts w:hint="eastAsia" w:ascii="宋体" w:hAnsi="宋体"/>
          <w:sz w:val="28"/>
          <w:szCs w:val="28"/>
        </w:rPr>
        <w:t>供应商</w:t>
      </w:r>
      <w:r>
        <w:rPr>
          <w:rFonts w:hint="eastAsia" w:ascii="宋体" w:hAnsi="宋体" w:cs="Helvetica"/>
          <w:sz w:val="28"/>
          <w:szCs w:val="28"/>
        </w:rPr>
        <w:t>的法定代表人或者负责人有夫妻、直系血亲、三代以内旁系血亲或者近姻亲关系；</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（五）与</w:t>
      </w:r>
      <w:r>
        <w:rPr>
          <w:rFonts w:hint="eastAsia" w:ascii="宋体" w:hAnsi="宋体"/>
          <w:sz w:val="28"/>
          <w:szCs w:val="28"/>
        </w:rPr>
        <w:t>供应商</w:t>
      </w:r>
      <w:r>
        <w:rPr>
          <w:rFonts w:hint="eastAsia" w:ascii="宋体" w:hAnsi="宋体" w:cs="Helvetica"/>
          <w:sz w:val="28"/>
          <w:szCs w:val="28"/>
        </w:rPr>
        <w:t>有其他可能影响政府采购活动公平、公正进行的关系。</w:t>
      </w:r>
    </w:p>
    <w:p>
      <w:pPr>
        <w:shd w:val="clear" w:color="auto" w:fill="FFFFFF"/>
        <w:spacing w:line="360" w:lineRule="auto"/>
        <w:ind w:firstLine="570"/>
        <w:rPr>
          <w:rFonts w:ascii="宋体" w:hAnsi="宋体" w:cs="Helvetica"/>
          <w:sz w:val="28"/>
          <w:szCs w:val="28"/>
        </w:rPr>
      </w:pPr>
      <w:r>
        <w:rPr>
          <w:rFonts w:hint="eastAsia" w:ascii="宋体" w:hAnsi="宋体"/>
          <w:sz w:val="28"/>
          <w:szCs w:val="28"/>
        </w:rPr>
        <w:t>供应商</w:t>
      </w:r>
      <w:r>
        <w:rPr>
          <w:rFonts w:hint="eastAsia" w:ascii="宋体" w:hAnsi="宋体" w:cs="Helvetica"/>
          <w:sz w:val="28"/>
          <w:szCs w:val="28"/>
        </w:rPr>
        <w:t>认为采购人员及相关人员与其他</w:t>
      </w:r>
      <w:r>
        <w:rPr>
          <w:rFonts w:hint="eastAsia" w:ascii="宋体" w:hAnsi="宋体"/>
          <w:sz w:val="28"/>
          <w:szCs w:val="28"/>
        </w:rPr>
        <w:t>供应商</w:t>
      </w:r>
      <w:r>
        <w:rPr>
          <w:rFonts w:hint="eastAsia" w:ascii="宋体" w:hAnsi="宋体" w:cs="Helvetica"/>
          <w:sz w:val="28"/>
          <w:szCs w:val="28"/>
        </w:rPr>
        <w:t>有利害关系的，可以向采购人或者</w:t>
      </w:r>
      <w:r>
        <w:rPr>
          <w:rFonts w:hint="eastAsia" w:ascii="宋体" w:hAnsi="宋体" w:cs="Arial"/>
          <w:sz w:val="28"/>
          <w:szCs w:val="28"/>
        </w:rPr>
        <w:t>采购代理机构</w:t>
      </w:r>
      <w:r>
        <w:rPr>
          <w:rFonts w:hint="eastAsia" w:ascii="宋体" w:hAnsi="宋体" w:cs="Helvetica"/>
          <w:sz w:val="28"/>
          <w:szCs w:val="28"/>
        </w:rPr>
        <w:t>书面提出回避申请，并说明理由。采购人或者</w:t>
      </w:r>
      <w:r>
        <w:rPr>
          <w:rFonts w:hint="eastAsia" w:ascii="宋体" w:hAnsi="宋体" w:cs="Arial"/>
          <w:sz w:val="28"/>
          <w:szCs w:val="28"/>
        </w:rPr>
        <w:t>采购代理机构</w:t>
      </w:r>
      <w:r>
        <w:rPr>
          <w:rFonts w:hint="eastAsia" w:ascii="宋体" w:hAnsi="宋体" w:cs="Helvetica"/>
          <w:sz w:val="28"/>
          <w:szCs w:val="28"/>
        </w:rPr>
        <w:t>应当及时询问被申请回避人员，有利害关系的被申请回避人员应当回避。</w:t>
      </w:r>
    </w:p>
    <w:p>
      <w:pPr>
        <w:keepNext/>
        <w:keepLines/>
        <w:numPr>
          <w:ilvl w:val="1"/>
          <w:numId w:val="6"/>
        </w:numPr>
        <w:spacing w:line="360" w:lineRule="auto"/>
        <w:jc w:val="left"/>
        <w:outlineLvl w:val="1"/>
        <w:rPr>
          <w:rFonts w:ascii="宋体" w:hAnsi="宋体"/>
          <w:b/>
          <w:bCs/>
          <w:sz w:val="28"/>
          <w:szCs w:val="28"/>
        </w:rPr>
      </w:pPr>
      <w:bookmarkStart w:id="165" w:name="_Toc19536_WPSOffice_Level2"/>
      <w:bookmarkStart w:id="166" w:name="_Toc7565_WPSOffice_Level2"/>
      <w:bookmarkStart w:id="167" w:name="_Toc74752327"/>
      <w:bookmarkStart w:id="168" w:name="_Toc217446078"/>
      <w:bookmarkStart w:id="169" w:name="_Toc16166_WPSOffice_Level2"/>
      <w:r>
        <w:rPr>
          <w:rFonts w:hint="eastAsia" w:ascii="宋体" w:hAnsi="宋体"/>
          <w:b/>
          <w:bCs/>
          <w:sz w:val="28"/>
          <w:szCs w:val="28"/>
        </w:rPr>
        <w:t>询问、质疑和投诉</w:t>
      </w:r>
      <w:bookmarkEnd w:id="165"/>
      <w:bookmarkEnd w:id="166"/>
      <w:bookmarkEnd w:id="167"/>
      <w:bookmarkEnd w:id="168"/>
      <w:bookmarkEnd w:id="169"/>
      <w:bookmarkStart w:id="170" w:name="_Toc217446079"/>
    </w:p>
    <w:bookmarkEnd w:id="157"/>
    <w:bookmarkEnd w:id="158"/>
    <w:bookmarkEnd w:id="170"/>
    <w:p>
      <w:pPr>
        <w:numPr>
          <w:ilvl w:val="0"/>
          <w:numId w:val="31"/>
        </w:numPr>
        <w:spacing w:line="360" w:lineRule="auto"/>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numPr>
          <w:ilvl w:val="0"/>
          <w:numId w:val="31"/>
        </w:numPr>
        <w:spacing w:line="360" w:lineRule="auto"/>
        <w:ind w:left="0" w:firstLine="567"/>
        <w:jc w:val="left"/>
        <w:rPr>
          <w:sz w:val="28"/>
          <w:szCs w:val="28"/>
        </w:rPr>
      </w:pPr>
      <w:r>
        <w:rPr>
          <w:rFonts w:hint="eastAsia"/>
          <w:sz w:val="28"/>
          <w:szCs w:val="28"/>
        </w:rPr>
        <w:t>供应商</w:t>
      </w:r>
      <w:r>
        <w:rPr>
          <w:rFonts w:hint="eastAsia" w:ascii="宋体" w:hAnsi="宋体"/>
          <w:sz w:val="28"/>
          <w:szCs w:val="28"/>
        </w:rPr>
        <w:t>询问、质疑的对象</w:t>
      </w:r>
    </w:p>
    <w:p>
      <w:pPr>
        <w:numPr>
          <w:ilvl w:val="1"/>
          <w:numId w:val="32"/>
        </w:numPr>
        <w:tabs>
          <w:tab w:val="left" w:pos="0"/>
          <w:tab w:val="left" w:pos="1276"/>
        </w:tabs>
        <w:spacing w:after="120" w:line="360" w:lineRule="auto"/>
        <w:ind w:left="0" w:firstLine="567"/>
        <w:rPr>
          <w:rFonts w:ascii="宋体" w:hAnsi="宋体"/>
          <w:sz w:val="28"/>
          <w:szCs w:val="28"/>
        </w:rPr>
      </w:pPr>
      <w:r>
        <w:rPr>
          <w:rFonts w:hint="eastAsia"/>
          <w:sz w:val="28"/>
          <w:szCs w:val="28"/>
        </w:rPr>
        <w:t>供应商</w:t>
      </w:r>
      <w:r>
        <w:rPr>
          <w:rFonts w:hint="eastAsia" w:ascii="宋体" w:hAnsi="宋体"/>
          <w:sz w:val="28"/>
          <w:szCs w:val="28"/>
        </w:rPr>
        <w:t>对招标文件中</w:t>
      </w:r>
      <w:r>
        <w:rPr>
          <w:rFonts w:hint="eastAsia"/>
          <w:sz w:val="28"/>
          <w:szCs w:val="28"/>
        </w:rPr>
        <w:t>供应商</w:t>
      </w:r>
      <w:r>
        <w:rPr>
          <w:rFonts w:hint="eastAsia" w:ascii="宋体" w:hAnsi="宋体"/>
          <w:sz w:val="28"/>
          <w:szCs w:val="28"/>
        </w:rPr>
        <w:t>参加本次政府采购活动应当具备的条件，招标项目技术、服务、商务及其他要求，评标细则及标准，和中标结果中关于资格审查提出询问或质疑的，应通过</w:t>
      </w:r>
      <w:r>
        <w:rPr>
          <w:rFonts w:ascii="宋体" w:hAnsi="宋体"/>
          <w:sz w:val="28"/>
          <w:szCs w:val="28"/>
        </w:rPr>
        <w:t>云平台</w:t>
      </w:r>
      <w:r>
        <w:rPr>
          <w:rFonts w:hint="eastAsia" w:ascii="宋体" w:hAnsi="宋体"/>
          <w:sz w:val="28"/>
          <w:szCs w:val="28"/>
        </w:rPr>
        <w:t>向采购人提出；</w:t>
      </w:r>
    </w:p>
    <w:p>
      <w:pPr>
        <w:numPr>
          <w:ilvl w:val="1"/>
          <w:numId w:val="32"/>
        </w:numPr>
        <w:tabs>
          <w:tab w:val="left" w:pos="1276"/>
        </w:tabs>
        <w:spacing w:after="120" w:line="360" w:lineRule="auto"/>
        <w:ind w:left="0" w:firstLine="567"/>
        <w:rPr>
          <w:rFonts w:ascii="宋体" w:hAnsi="宋体"/>
          <w:sz w:val="28"/>
          <w:szCs w:val="28"/>
        </w:rPr>
      </w:pPr>
      <w:r>
        <w:rPr>
          <w:rFonts w:hint="eastAsia"/>
          <w:sz w:val="28"/>
          <w:szCs w:val="28"/>
        </w:rPr>
        <w:t>供应商对除上述招标文件中的其他内容，采购过程及中标结果中除资格审查</w:t>
      </w:r>
      <w:r>
        <w:rPr>
          <w:rFonts w:hint="eastAsia" w:ascii="宋体" w:hAnsi="宋体"/>
          <w:sz w:val="28"/>
          <w:szCs w:val="28"/>
        </w:rPr>
        <w:t>提出询问或质疑的，应通过</w:t>
      </w:r>
      <w:r>
        <w:rPr>
          <w:rFonts w:ascii="宋体" w:hAnsi="宋体"/>
          <w:sz w:val="28"/>
          <w:szCs w:val="28"/>
        </w:rPr>
        <w:t>云平台</w:t>
      </w:r>
      <w:r>
        <w:rPr>
          <w:rFonts w:hint="eastAsia" w:ascii="宋体" w:hAnsi="宋体"/>
          <w:sz w:val="28"/>
          <w:szCs w:val="28"/>
        </w:rPr>
        <w:t>向</w:t>
      </w:r>
      <w:r>
        <w:rPr>
          <w:rFonts w:hint="eastAsia" w:ascii="宋体" w:hAnsi="宋体" w:cs="Arial"/>
          <w:sz w:val="28"/>
          <w:szCs w:val="28"/>
        </w:rPr>
        <w:t>区公资交易中心</w:t>
      </w:r>
      <w:r>
        <w:rPr>
          <w:rFonts w:hint="eastAsia" w:ascii="宋体" w:hAnsi="宋体"/>
          <w:sz w:val="28"/>
          <w:szCs w:val="28"/>
        </w:rPr>
        <w:t>提出。</w:t>
      </w:r>
    </w:p>
    <w:p>
      <w:pPr>
        <w:numPr>
          <w:ilvl w:val="0"/>
          <w:numId w:val="31"/>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numPr>
          <w:ilvl w:val="0"/>
          <w:numId w:val="31"/>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numPr>
          <w:ilvl w:val="0"/>
          <w:numId w:val="31"/>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供应商提出质疑时应当准备的资料</w:t>
      </w:r>
    </w:p>
    <w:p>
      <w:pPr>
        <w:pStyle w:val="42"/>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（一）质疑书正本1份；</w:t>
      </w:r>
    </w:p>
    <w:p>
      <w:pPr>
        <w:pStyle w:val="42"/>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42"/>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（三）营业执照或法人证书复印件1份（加盖公章）；</w:t>
      </w:r>
    </w:p>
    <w:p>
      <w:pPr>
        <w:pStyle w:val="42"/>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（四）法定代表人身份证复印件1份；</w:t>
      </w:r>
    </w:p>
    <w:p>
      <w:pPr>
        <w:pStyle w:val="42"/>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42"/>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（六）针对质疑事项必要的证明材料。</w:t>
      </w:r>
    </w:p>
    <w:p>
      <w:pPr>
        <w:numPr>
          <w:ilvl w:val="0"/>
          <w:numId w:val="31"/>
        </w:numPr>
        <w:tabs>
          <w:tab w:val="left" w:pos="1134"/>
        </w:tabs>
        <w:spacing w:line="360" w:lineRule="auto"/>
        <w:ind w:left="0" w:firstLine="567"/>
        <w:rPr>
          <w:rFonts w:ascii="宋体" w:hAnsi="宋体"/>
          <w:sz w:val="28"/>
          <w:szCs w:val="28"/>
        </w:rPr>
      </w:pPr>
      <w:r>
        <w:rPr>
          <w:rFonts w:hint="eastAsia" w:ascii="宋体" w:hAnsi="宋体"/>
          <w:sz w:val="28"/>
          <w:szCs w:val="28"/>
        </w:rPr>
        <w:t>供应商对区公资交易中心的质疑答复不满意，或者区公资交易中心未在规定期限内作出答复的，供应商可以在答复期满后15个工作日内向同级财政部门提起投诉。</w:t>
      </w:r>
    </w:p>
    <w:p>
      <w:pPr>
        <w:keepNext/>
        <w:keepLines/>
        <w:numPr>
          <w:ilvl w:val="1"/>
          <w:numId w:val="6"/>
        </w:numPr>
        <w:spacing w:before="260" w:line="360" w:lineRule="auto"/>
        <w:jc w:val="left"/>
        <w:outlineLvl w:val="1"/>
        <w:rPr>
          <w:rFonts w:ascii="宋体" w:hAnsi="宋体"/>
          <w:b/>
          <w:bCs/>
          <w:sz w:val="28"/>
          <w:szCs w:val="28"/>
        </w:rPr>
      </w:pPr>
      <w:bookmarkStart w:id="171" w:name="_Toc16083_WPSOffice_Level2"/>
      <w:bookmarkStart w:id="172" w:name="_Toc74752328"/>
      <w:bookmarkStart w:id="173" w:name="_Toc26403_WPSOffice_Level2"/>
      <w:bookmarkStart w:id="174" w:name="_Toc11819_WPSOffice_Level2"/>
      <w:r>
        <w:rPr>
          <w:rFonts w:hint="eastAsia" w:ascii="宋体" w:hAnsi="宋体"/>
          <w:b/>
          <w:bCs/>
          <w:sz w:val="28"/>
          <w:szCs w:val="28"/>
        </w:rPr>
        <w:t>中小企业政府采购信用融资</w:t>
      </w:r>
      <w:bookmarkEnd w:id="171"/>
      <w:bookmarkEnd w:id="172"/>
      <w:bookmarkEnd w:id="173"/>
      <w:bookmarkEnd w:id="174"/>
    </w:p>
    <w:p>
      <w:pPr>
        <w:numPr>
          <w:ilvl w:val="0"/>
          <w:numId w:val="33"/>
        </w:numPr>
        <w:tabs>
          <w:tab w:val="left" w:pos="1134"/>
        </w:tabs>
        <w:spacing w:line="360" w:lineRule="auto"/>
        <w:ind w:left="0" w:firstLine="567"/>
        <w:rPr>
          <w:rFonts w:ascii="宋体" w:hAnsi="宋体"/>
          <w:sz w:val="28"/>
          <w:szCs w:val="28"/>
        </w:rPr>
      </w:pPr>
      <w:r>
        <w:rPr>
          <w:rFonts w:hint="eastAsia" w:ascii="宋体" w:hAnsi="宋体"/>
          <w:sz w:val="28"/>
          <w:szCs w:val="28"/>
        </w:rPr>
        <w:t>参与本次招标活动中标的中小企业投标人无需提供财产抵押或第三方担保，凭借政府采购合同可向融资机构申请融资。</w:t>
      </w:r>
    </w:p>
    <w:p>
      <w:pPr>
        <w:numPr>
          <w:ilvl w:val="0"/>
          <w:numId w:val="33"/>
        </w:numPr>
        <w:tabs>
          <w:tab w:val="left" w:pos="1134"/>
        </w:tabs>
        <w:spacing w:line="360" w:lineRule="auto"/>
        <w:ind w:left="0" w:firstLine="567"/>
        <w:rPr>
          <w:rFonts w:ascii="宋体" w:hAnsi="宋体"/>
          <w:sz w:val="28"/>
          <w:szCs w:val="28"/>
        </w:rPr>
      </w:pPr>
      <w:r>
        <w:rPr>
          <w:rFonts w:hint="eastAsia" w:ascii="宋体" w:hAnsi="宋体"/>
          <w:sz w:val="28"/>
          <w:szCs w:val="28"/>
        </w:rPr>
        <w:t>《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见附件。</w:t>
      </w: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pStyle w:val="17"/>
        <w:rPr>
          <w:rFonts w:ascii="宋体" w:hAnsi="宋体"/>
          <w:sz w:val="28"/>
          <w:szCs w:val="28"/>
        </w:rPr>
      </w:pPr>
    </w:p>
    <w:p>
      <w:pPr>
        <w:rPr>
          <w:rFonts w:ascii="宋体" w:hAnsi="宋体"/>
          <w:sz w:val="28"/>
          <w:szCs w:val="28"/>
        </w:rPr>
      </w:pPr>
    </w:p>
    <w:p>
      <w:pPr>
        <w:pStyle w:val="2"/>
      </w:pPr>
    </w:p>
    <w:p>
      <w:pPr>
        <w:pStyle w:val="3"/>
        <w:rPr>
          <w:rFonts w:ascii="宋体" w:hAnsi="宋体"/>
          <w:sz w:val="28"/>
          <w:szCs w:val="28"/>
        </w:rPr>
      </w:pPr>
    </w:p>
    <w:p>
      <w:pPr>
        <w:pStyle w:val="3"/>
        <w:rPr>
          <w:rFonts w:ascii="宋体" w:hAnsi="宋体"/>
          <w:sz w:val="28"/>
          <w:szCs w:val="28"/>
        </w:rPr>
      </w:pPr>
    </w:p>
    <w:p>
      <w:pPr>
        <w:pStyle w:val="3"/>
        <w:rPr>
          <w:rFonts w:ascii="宋体" w:hAnsi="宋体"/>
          <w:sz w:val="28"/>
          <w:szCs w:val="28"/>
        </w:rPr>
      </w:pPr>
    </w:p>
    <w:p>
      <w:pPr>
        <w:pStyle w:val="3"/>
        <w:rPr>
          <w:rFonts w:ascii="宋体" w:hAnsi="宋体"/>
          <w:sz w:val="28"/>
          <w:szCs w:val="28"/>
        </w:rPr>
      </w:pPr>
    </w:p>
    <w:p>
      <w:pPr>
        <w:pStyle w:val="3"/>
        <w:rPr>
          <w:rFonts w:ascii="宋体" w:hAnsi="宋体"/>
          <w:sz w:val="28"/>
          <w:szCs w:val="28"/>
        </w:rPr>
      </w:pPr>
    </w:p>
    <w:p>
      <w:pPr>
        <w:pStyle w:val="3"/>
        <w:rPr>
          <w:rFonts w:ascii="宋体" w:hAnsi="宋体"/>
          <w:sz w:val="28"/>
          <w:szCs w:val="28"/>
        </w:rPr>
      </w:pPr>
    </w:p>
    <w:p>
      <w:pPr>
        <w:pStyle w:val="3"/>
        <w:rPr>
          <w:rFonts w:ascii="宋体" w:hAnsi="宋体"/>
          <w:sz w:val="28"/>
          <w:szCs w:val="28"/>
        </w:rPr>
      </w:pPr>
    </w:p>
    <w:p>
      <w:pPr>
        <w:pStyle w:val="3"/>
        <w:rPr>
          <w:rFonts w:ascii="宋体" w:hAnsi="宋体"/>
          <w:sz w:val="28"/>
          <w:szCs w:val="28"/>
        </w:rPr>
      </w:pPr>
    </w:p>
    <w:p>
      <w:pPr>
        <w:pStyle w:val="3"/>
        <w:rPr>
          <w:rFonts w:ascii="宋体" w:hAnsi="宋体"/>
          <w:sz w:val="28"/>
          <w:szCs w:val="28"/>
        </w:rPr>
      </w:pPr>
    </w:p>
    <w:p>
      <w:pPr>
        <w:pStyle w:val="17"/>
        <w:rPr>
          <w:rFonts w:ascii="宋体" w:hAnsi="宋体"/>
          <w:sz w:val="28"/>
          <w:szCs w:val="28"/>
        </w:rPr>
      </w:pPr>
    </w:p>
    <w:p/>
    <w:p>
      <w:pPr>
        <w:keepNext/>
        <w:keepLines/>
        <w:numPr>
          <w:ilvl w:val="0"/>
          <w:numId w:val="6"/>
        </w:numPr>
        <w:spacing w:before="340" w:after="330" w:line="400" w:lineRule="exact"/>
        <w:jc w:val="center"/>
        <w:outlineLvl w:val="0"/>
        <w:rPr>
          <w:rFonts w:ascii="宋体" w:hAnsi="宋体"/>
          <w:b/>
          <w:bCs/>
          <w:spacing w:val="-20"/>
          <w:kern w:val="44"/>
          <w:sz w:val="32"/>
          <w:szCs w:val="32"/>
        </w:rPr>
      </w:pPr>
      <w:bookmarkStart w:id="175" w:name="_Toc316292050"/>
      <w:bookmarkEnd w:id="175"/>
      <w:bookmarkStart w:id="176" w:name="_Toc315871046"/>
      <w:bookmarkEnd w:id="176"/>
      <w:bookmarkStart w:id="177" w:name="_Toc315871049"/>
      <w:bookmarkEnd w:id="177"/>
      <w:bookmarkStart w:id="178" w:name="_Toc316292051"/>
      <w:bookmarkEnd w:id="178"/>
      <w:bookmarkStart w:id="179" w:name="_Toc315871048"/>
      <w:bookmarkEnd w:id="179"/>
      <w:bookmarkStart w:id="180" w:name="_Toc316292048"/>
      <w:bookmarkEnd w:id="180"/>
      <w:bookmarkStart w:id="181" w:name="_Toc316292049"/>
      <w:bookmarkEnd w:id="181"/>
      <w:bookmarkStart w:id="182" w:name="_Toc316292052"/>
      <w:bookmarkEnd w:id="182"/>
      <w:bookmarkStart w:id="183" w:name="_Toc315871047"/>
      <w:bookmarkEnd w:id="183"/>
      <w:bookmarkStart w:id="184" w:name="_Toc315871045"/>
      <w:bookmarkEnd w:id="184"/>
      <w:bookmarkStart w:id="185" w:name="_Toc315871050"/>
      <w:bookmarkEnd w:id="185"/>
      <w:bookmarkStart w:id="186" w:name="_Toc20218_WPSOffice_Level1"/>
      <w:bookmarkStart w:id="187" w:name="_Toc74752329"/>
      <w:bookmarkStart w:id="188" w:name="_Toc22316_WPSOffice_Level1"/>
      <w:bookmarkStart w:id="189" w:name="_Toc30686_WPSOffice_Level1"/>
      <w:r>
        <w:rPr>
          <w:rFonts w:hint="eastAsia" w:ascii="宋体" w:hAnsi="宋体"/>
          <w:b/>
          <w:bCs/>
          <w:spacing w:val="-20"/>
          <w:kern w:val="44"/>
          <w:sz w:val="32"/>
          <w:szCs w:val="32"/>
        </w:rPr>
        <w:t>投标文件格式</w:t>
      </w:r>
      <w:bookmarkEnd w:id="186"/>
      <w:bookmarkEnd w:id="187"/>
      <w:bookmarkEnd w:id="188"/>
      <w:bookmarkEnd w:id="189"/>
    </w:p>
    <w:p>
      <w:pPr>
        <w:keepNext/>
        <w:keepLines/>
        <w:numPr>
          <w:ilvl w:val="1"/>
          <w:numId w:val="6"/>
        </w:numPr>
        <w:spacing w:before="260" w:after="260" w:line="360" w:lineRule="auto"/>
        <w:jc w:val="left"/>
        <w:outlineLvl w:val="1"/>
        <w:rPr>
          <w:rFonts w:ascii="宋体" w:hAnsi="宋体"/>
          <w:b/>
          <w:bCs/>
          <w:sz w:val="28"/>
          <w:szCs w:val="28"/>
        </w:rPr>
      </w:pPr>
      <w:bookmarkStart w:id="190" w:name="_Toc2393_WPSOffice_Level2"/>
      <w:bookmarkStart w:id="191" w:name="_Toc22003_WPSOffice_Level2"/>
      <w:bookmarkStart w:id="192" w:name="_Toc12981_WPSOffice_Level2"/>
      <w:bookmarkStart w:id="193" w:name="_Toc74752330"/>
      <w:r>
        <w:rPr>
          <w:rFonts w:hint="eastAsia" w:ascii="宋体" w:hAnsi="宋体"/>
          <w:b/>
          <w:bCs/>
          <w:sz w:val="28"/>
          <w:szCs w:val="28"/>
        </w:rPr>
        <w:t>投标文件封面格式</w:t>
      </w:r>
      <w:bookmarkEnd w:id="190"/>
      <w:bookmarkEnd w:id="191"/>
      <w:bookmarkEnd w:id="192"/>
      <w:bookmarkEnd w:id="193"/>
    </w:p>
    <w:p>
      <w:pPr>
        <w:spacing w:line="360" w:lineRule="auto"/>
        <w:rPr>
          <w:rFonts w:ascii="宋体" w:hAnsi="宋体"/>
          <w:bCs/>
          <w:szCs w:val="21"/>
        </w:rPr>
      </w:pPr>
    </w:p>
    <w:p>
      <w:pPr>
        <w:spacing w:line="360" w:lineRule="auto"/>
        <w:rPr>
          <w:rFonts w:ascii="宋体" w:hAnsi="宋体"/>
          <w:bCs/>
          <w:szCs w:val="21"/>
        </w:rPr>
      </w:pPr>
    </w:p>
    <w:p>
      <w:pPr>
        <w:spacing w:line="360" w:lineRule="auto"/>
        <w:jc w:val="right"/>
        <w:rPr>
          <w:rFonts w:ascii="宋体" w:hAnsi="宋体"/>
        </w:rPr>
      </w:pPr>
    </w:p>
    <w:p>
      <w:pPr>
        <w:spacing w:line="360" w:lineRule="auto"/>
        <w:jc w:val="center"/>
        <w:rPr>
          <w:rFonts w:ascii="宋体" w:hAnsi="宋体"/>
          <w:spacing w:val="78"/>
          <w:sz w:val="96"/>
          <w:szCs w:val="120"/>
        </w:rPr>
      </w:pPr>
      <w:r>
        <w:rPr>
          <w:rFonts w:hint="eastAsia" w:ascii="宋体" w:hAnsi="宋体"/>
          <w:spacing w:val="78"/>
          <w:sz w:val="96"/>
          <w:szCs w:val="120"/>
        </w:rPr>
        <w:t>投标文件</w:t>
      </w: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项目名称：</w:t>
      </w:r>
      <w:r>
        <w:rPr>
          <w:rFonts w:hint="eastAsia" w:ascii="宋体" w:hAnsi="宋体"/>
          <w:b/>
          <w:bCs/>
          <w:sz w:val="32"/>
          <w:szCs w:val="32"/>
          <w:lang w:eastAsia="zh-CN"/>
        </w:rPr>
        <w:t>成都市龙泉驿区人民检察院物业管理服务采购项目</w:t>
      </w:r>
    </w:p>
    <w:p>
      <w:pPr>
        <w:spacing w:line="360" w:lineRule="auto"/>
        <w:rPr>
          <w:rFonts w:hint="eastAsia" w:ascii="宋体" w:hAnsi="宋体" w:eastAsia="宋体"/>
          <w:b/>
          <w:sz w:val="32"/>
          <w:szCs w:val="32"/>
          <w:u w:val="single"/>
          <w:lang w:eastAsia="zh-CN"/>
        </w:rPr>
      </w:pPr>
      <w:r>
        <w:rPr>
          <w:rFonts w:hint="eastAsia" w:ascii="宋体" w:hAnsi="宋体"/>
          <w:b/>
          <w:bCs/>
          <w:sz w:val="32"/>
          <w:szCs w:val="32"/>
        </w:rPr>
        <w:t>项目编号：</w:t>
      </w:r>
      <w:r>
        <w:rPr>
          <w:rFonts w:hint="eastAsia" w:ascii="宋体" w:hAnsi="宋体"/>
          <w:b/>
          <w:bCs/>
          <w:sz w:val="32"/>
          <w:szCs w:val="32"/>
          <w:lang w:eastAsia="zh-CN"/>
        </w:rPr>
        <w:t>龙泉驿政采（2021）A0060号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投标人名称：XXXX</w:t>
      </w:r>
    </w:p>
    <w:p>
      <w:pPr>
        <w:spacing w:line="360" w:lineRule="auto"/>
        <w:ind w:firstLine="569" w:firstLineChars="177"/>
        <w:rPr>
          <w:rFonts w:ascii="宋体" w:hAnsi="宋体"/>
          <w:b/>
          <w:bCs/>
          <w:sz w:val="32"/>
          <w:szCs w:val="32"/>
        </w:rPr>
      </w:pPr>
      <w:r>
        <w:rPr>
          <w:rFonts w:hint="eastAsia" w:ascii="宋体" w:hAnsi="宋体"/>
          <w:b/>
          <w:bCs/>
          <w:sz w:val="32"/>
          <w:szCs w:val="32"/>
        </w:rPr>
        <w:t>日       期：202X年XX月XX日</w:t>
      </w:r>
    </w:p>
    <w:p>
      <w:pPr>
        <w:spacing w:line="360" w:lineRule="auto"/>
        <w:ind w:firstLine="569" w:firstLineChars="177"/>
        <w:rPr>
          <w:rFonts w:ascii="宋体" w:hAnsi="宋体"/>
          <w:b/>
          <w:bCs/>
          <w:sz w:val="32"/>
          <w:szCs w:val="32"/>
        </w:rPr>
      </w:pPr>
    </w:p>
    <w:p>
      <w:pPr>
        <w:pStyle w:val="17"/>
      </w:pPr>
    </w:p>
    <w:p>
      <w:pPr>
        <w:pStyle w:val="17"/>
      </w:pPr>
    </w:p>
    <w:p>
      <w:pPr>
        <w:keepNext/>
        <w:keepLines/>
        <w:numPr>
          <w:ilvl w:val="1"/>
          <w:numId w:val="6"/>
        </w:numPr>
        <w:spacing w:before="260" w:after="260" w:line="360" w:lineRule="auto"/>
        <w:jc w:val="left"/>
        <w:outlineLvl w:val="1"/>
        <w:rPr>
          <w:rFonts w:ascii="宋体" w:hAnsi="宋体"/>
          <w:b/>
          <w:bCs/>
          <w:sz w:val="28"/>
          <w:szCs w:val="28"/>
        </w:rPr>
      </w:pPr>
      <w:bookmarkStart w:id="194" w:name="_Toc9609_WPSOffice_Level2"/>
      <w:bookmarkStart w:id="195" w:name="_Toc74752331"/>
      <w:bookmarkStart w:id="196" w:name="_Toc5915_WPSOffice_Level2"/>
      <w:bookmarkStart w:id="197" w:name="_Toc8602_WPSOffice_Level2"/>
      <w:r>
        <w:rPr>
          <w:rFonts w:hint="eastAsia" w:ascii="宋体" w:hAnsi="宋体"/>
          <w:b/>
          <w:bCs/>
          <w:sz w:val="28"/>
          <w:szCs w:val="28"/>
        </w:rPr>
        <w:t>资格响应文件</w:t>
      </w:r>
      <w:bookmarkEnd w:id="194"/>
      <w:bookmarkEnd w:id="195"/>
      <w:bookmarkEnd w:id="196"/>
      <w:bookmarkEnd w:id="197"/>
    </w:p>
    <w:p>
      <w:pPr>
        <w:keepNext/>
        <w:keepLines/>
        <w:numPr>
          <w:ilvl w:val="2"/>
          <w:numId w:val="6"/>
        </w:numPr>
        <w:spacing w:line="360" w:lineRule="auto"/>
        <w:ind w:left="3119" w:hanging="3119"/>
        <w:outlineLvl w:val="2"/>
        <w:rPr>
          <w:rFonts w:ascii="宋体" w:hAnsi="宋体"/>
          <w:b/>
          <w:bCs/>
          <w:sz w:val="28"/>
          <w:szCs w:val="28"/>
        </w:rPr>
      </w:pPr>
      <w:r>
        <w:rPr>
          <w:rFonts w:hint="eastAsia" w:ascii="宋体" w:hAnsi="宋体"/>
          <w:b/>
          <w:bCs/>
          <w:sz w:val="28"/>
          <w:szCs w:val="28"/>
        </w:rPr>
        <w:t>关于投标人资格申明的函</w:t>
      </w:r>
    </w:p>
    <w:p>
      <w:pPr>
        <w:spacing w:line="360" w:lineRule="auto"/>
        <w:rPr>
          <w:rFonts w:ascii="宋体" w:hAnsi="宋体"/>
          <w:sz w:val="28"/>
          <w:szCs w:val="28"/>
        </w:rPr>
      </w:pPr>
      <w:bookmarkStart w:id="198" w:name="_Toc238581782"/>
      <w:bookmarkStart w:id="199" w:name="_Toc119296788"/>
      <w:bookmarkStart w:id="200" w:name="_Toc52184753"/>
      <w:bookmarkStart w:id="201" w:name="_Toc146903609"/>
      <w:bookmarkStart w:id="202" w:name="_Toc119295087"/>
      <w:bookmarkStart w:id="203" w:name="_Toc119203988"/>
      <w:r>
        <w:rPr>
          <w:rFonts w:hint="eastAsia" w:ascii="宋体" w:hAnsi="宋体"/>
          <w:sz w:val="28"/>
          <w:szCs w:val="28"/>
        </w:rPr>
        <w:t>致：</w:t>
      </w:r>
      <w:bookmarkEnd w:id="198"/>
      <w:r>
        <w:rPr>
          <w:rFonts w:hint="eastAsia" w:ascii="宋体" w:hAnsi="宋体"/>
          <w:sz w:val="28"/>
          <w:szCs w:val="28"/>
        </w:rPr>
        <w:t>成都市龙泉驿区公共资源交易服务中心</w:t>
      </w:r>
    </w:p>
    <w:p>
      <w:pPr>
        <w:spacing w:line="360" w:lineRule="auto"/>
        <w:ind w:firstLine="565" w:firstLineChars="202"/>
        <w:rPr>
          <w:rFonts w:ascii="宋体" w:hAnsi="宋体"/>
          <w:sz w:val="28"/>
          <w:szCs w:val="28"/>
        </w:rPr>
      </w:pPr>
      <w:bookmarkStart w:id="204" w:name="_Toc238581783"/>
      <w:r>
        <w:rPr>
          <w:rFonts w:hint="eastAsia" w:ascii="宋体" w:hAnsi="宋体"/>
          <w:sz w:val="28"/>
          <w:szCs w:val="28"/>
        </w:rPr>
        <w:t>关于我方对</w:t>
      </w:r>
      <w:r>
        <w:rPr>
          <w:rFonts w:hint="eastAsia" w:ascii="宋体" w:hAnsi="宋体"/>
          <w:b/>
          <w:sz w:val="28"/>
          <w:szCs w:val="28"/>
          <w:u w:val="single"/>
          <w:lang w:eastAsia="zh-CN"/>
        </w:rPr>
        <w:t>成都市龙泉驿区人民检察院物业管理服务采购项目</w:t>
      </w:r>
      <w:r>
        <w:rPr>
          <w:rFonts w:hint="eastAsia" w:ascii="宋体" w:hAnsi="宋体"/>
          <w:b/>
          <w:sz w:val="28"/>
          <w:szCs w:val="28"/>
          <w:u w:val="single"/>
        </w:rPr>
        <w:t>（项目编号：</w:t>
      </w:r>
      <w:r>
        <w:rPr>
          <w:rFonts w:hint="eastAsia" w:ascii="宋体" w:hAnsi="宋体"/>
          <w:b/>
          <w:sz w:val="28"/>
          <w:szCs w:val="28"/>
          <w:u w:val="single"/>
          <w:lang w:eastAsia="zh-CN"/>
        </w:rPr>
        <w:t>龙泉驿政采（2021）A0060号</w:t>
      </w:r>
      <w:r>
        <w:rPr>
          <w:rFonts w:hint="eastAsia" w:ascii="宋体" w:hAnsi="宋体"/>
          <w:b/>
          <w:sz w:val="28"/>
          <w:szCs w:val="28"/>
          <w:u w:val="single"/>
        </w:rPr>
        <w:t>）</w:t>
      </w:r>
      <w:r>
        <w:rPr>
          <w:rFonts w:hint="eastAsia" w:ascii="宋体" w:hAnsi="宋体"/>
          <w:sz w:val="28"/>
          <w:szCs w:val="28"/>
        </w:rPr>
        <w:t>的公开招标，提交的下列文件和说明是准确的和真实的。</w:t>
      </w:r>
      <w:bookmarkEnd w:id="204"/>
    </w:p>
    <w:p>
      <w:pPr>
        <w:widowControl/>
        <w:numPr>
          <w:ilvl w:val="2"/>
          <w:numId w:val="34"/>
        </w:numPr>
        <w:spacing w:line="360" w:lineRule="auto"/>
        <w:ind w:left="0" w:firstLine="560" w:firstLineChars="200"/>
        <w:rPr>
          <w:rFonts w:ascii="宋体" w:hAnsi="宋体"/>
          <w:sz w:val="28"/>
          <w:szCs w:val="28"/>
        </w:rPr>
      </w:pPr>
      <w:bookmarkStart w:id="205" w:name="_Toc238581784"/>
      <w:r>
        <w:rPr>
          <w:rFonts w:hint="eastAsia" w:ascii="宋体" w:hAnsi="宋体"/>
          <w:sz w:val="28"/>
          <w:szCs w:val="28"/>
        </w:rPr>
        <w:t>投标人名称及概况：</w:t>
      </w:r>
      <w:bookmarkEnd w:id="199"/>
      <w:bookmarkEnd w:id="200"/>
      <w:bookmarkEnd w:id="201"/>
      <w:bookmarkEnd w:id="202"/>
      <w:bookmarkEnd w:id="203"/>
      <w:bookmarkEnd w:id="205"/>
    </w:p>
    <w:p>
      <w:pPr>
        <w:widowControl/>
        <w:numPr>
          <w:ilvl w:val="0"/>
          <w:numId w:val="35"/>
        </w:numPr>
        <w:spacing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5"/>
        </w:numPr>
        <w:spacing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5"/>
        </w:numPr>
        <w:spacing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5"/>
        </w:numPr>
        <w:spacing w:line="360" w:lineRule="auto"/>
        <w:ind w:left="0" w:firstLine="560" w:firstLineChars="200"/>
        <w:jc w:val="left"/>
        <w:rPr>
          <w:rFonts w:ascii="宋体" w:hAnsi="宋体"/>
          <w:sz w:val="28"/>
          <w:szCs w:val="28"/>
          <w:u w:val="single"/>
        </w:rPr>
      </w:pPr>
      <w:r>
        <w:rPr>
          <w:rFonts w:hint="eastAsia" w:ascii="宋体" w:hAnsi="宋体"/>
          <w:sz w:val="28"/>
          <w:szCs w:val="28"/>
        </w:rPr>
        <w:t>法定代表人姓名：XXXX</w:t>
      </w:r>
    </w:p>
    <w:p>
      <w:pPr>
        <w:widowControl/>
        <w:numPr>
          <w:ilvl w:val="2"/>
          <w:numId w:val="34"/>
        </w:numPr>
        <w:tabs>
          <w:tab w:val="left" w:pos="1276"/>
        </w:tabs>
        <w:spacing w:line="360" w:lineRule="auto"/>
        <w:ind w:left="0" w:firstLine="567"/>
        <w:rPr>
          <w:rFonts w:ascii="宋体" w:hAnsi="宋体"/>
          <w:sz w:val="28"/>
          <w:szCs w:val="28"/>
        </w:rPr>
      </w:pPr>
      <w:r>
        <w:rPr>
          <w:rFonts w:hint="eastAsia" w:ascii="宋体" w:hAnsi="宋体"/>
          <w:sz w:val="28"/>
          <w:szCs w:val="28"/>
        </w:rPr>
        <w:t>开户银行名称：XXXX</w:t>
      </w:r>
    </w:p>
    <w:p>
      <w:pPr>
        <w:spacing w:line="360" w:lineRule="auto"/>
        <w:ind w:firstLine="1260" w:firstLineChars="450"/>
        <w:rPr>
          <w:rFonts w:ascii="宋体" w:hAnsi="宋体"/>
          <w:sz w:val="28"/>
          <w:szCs w:val="28"/>
          <w:u w:val="single"/>
        </w:rPr>
      </w:pPr>
      <w:r>
        <w:rPr>
          <w:rFonts w:hint="eastAsia" w:ascii="宋体" w:hAnsi="宋体"/>
          <w:sz w:val="28"/>
          <w:szCs w:val="28"/>
        </w:rPr>
        <w:t>地址：XXXX</w:t>
      </w:r>
    </w:p>
    <w:p>
      <w:pPr>
        <w:spacing w:line="360" w:lineRule="auto"/>
        <w:ind w:firstLine="1260" w:firstLineChars="450"/>
        <w:rPr>
          <w:rFonts w:ascii="宋体" w:hAnsi="宋体"/>
          <w:sz w:val="28"/>
          <w:szCs w:val="28"/>
        </w:rPr>
      </w:pPr>
      <w:r>
        <w:rPr>
          <w:rFonts w:hint="eastAsia" w:ascii="宋体" w:hAnsi="宋体"/>
          <w:sz w:val="28"/>
          <w:szCs w:val="28"/>
        </w:rPr>
        <w:t>账号：XXXX</w:t>
      </w: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line="360" w:lineRule="auto"/>
        <w:ind w:left="283" w:leftChars="135" w:firstLine="280" w:firstLineChars="10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17"/>
        <w:rPr>
          <w:rFonts w:ascii="宋体" w:hAnsi="宋体"/>
          <w:bCs/>
          <w:sz w:val="28"/>
        </w:rPr>
      </w:pPr>
    </w:p>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致：成都市龙泉驿区公共资源交易服务中心</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我单位作为</w:t>
      </w:r>
      <w:r>
        <w:rPr>
          <w:rFonts w:hint="eastAsia" w:ascii="宋体" w:hAnsi="宋体"/>
          <w:b/>
          <w:sz w:val="28"/>
          <w:szCs w:val="28"/>
          <w:u w:val="single"/>
          <w:lang w:eastAsia="zh-CN"/>
        </w:rPr>
        <w:t>成都市龙泉驿区人民检察院物业管理服务采购项目</w:t>
      </w:r>
      <w:r>
        <w:rPr>
          <w:rFonts w:hint="eastAsia" w:ascii="宋体" w:hAnsi="宋体"/>
          <w:b/>
          <w:sz w:val="28"/>
          <w:szCs w:val="28"/>
          <w:u w:val="single"/>
        </w:rPr>
        <w:t>（项目编号：</w:t>
      </w:r>
      <w:r>
        <w:rPr>
          <w:rFonts w:hint="eastAsia" w:ascii="宋体" w:hAnsi="宋体"/>
          <w:b/>
          <w:sz w:val="28"/>
          <w:szCs w:val="28"/>
          <w:u w:val="single"/>
          <w:lang w:eastAsia="zh-CN"/>
        </w:rPr>
        <w:t>龙泉驿政采（2021）A0060号</w:t>
      </w:r>
      <w:r>
        <w:rPr>
          <w:rFonts w:hint="eastAsia" w:ascii="宋体" w:hAnsi="宋体"/>
          <w:b/>
          <w:sz w:val="28"/>
          <w:szCs w:val="28"/>
          <w:u w:val="single"/>
        </w:rPr>
        <w:t>）</w:t>
      </w:r>
      <w:r>
        <w:rPr>
          <w:rFonts w:hint="eastAsia" w:ascii="宋体" w:hAnsi="宋体"/>
          <w:sz w:val="28"/>
          <w:szCs w:val="28"/>
        </w:rPr>
        <w:t>的投标人，在此郑重声明：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特此声明。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tabs>
          <w:tab w:val="left" w:pos="1260"/>
        </w:tabs>
        <w:spacing w:line="560" w:lineRule="exact"/>
        <w:ind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说明：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1.对声明中第一条的说明：如投标人在参加政府采购活动前三年内，在经营活动中有重大违法记录的，应填写“有”，投标人将被认定投标无效或被取消中标资格；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2.对声明中第三条的说明：单位负责人为同一人或者存在直接控股、管理关系的不同供应商，不得参加同一合同项下的政府采购活动；</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5.对声明中第六条的说明：如投标人处于被行政部门禁止参加政府采购活动期限内的，该声明填“处于”，投标人将被认定投标无效或被取消中标资格。</w:t>
      </w: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pStyle w:val="17"/>
        <w:rPr>
          <w:rFonts w:ascii="宋体" w:hAnsi="宋体"/>
          <w:szCs w:val="28"/>
        </w:rPr>
      </w:pPr>
    </w:p>
    <w:p>
      <w:pPr>
        <w:rPr>
          <w:rFonts w:ascii="宋体" w:hAnsi="宋体"/>
          <w:szCs w:val="28"/>
        </w:rPr>
      </w:pPr>
    </w:p>
    <w:p>
      <w:pPr>
        <w:pStyle w:val="17"/>
      </w:pPr>
    </w:p>
    <w:p>
      <w:pPr>
        <w:tabs>
          <w:tab w:val="left" w:pos="1260"/>
        </w:tabs>
        <w:spacing w:line="560" w:lineRule="exact"/>
        <w:ind w:firstLine="420" w:firstLineChars="200"/>
        <w:rPr>
          <w:rFonts w:ascii="宋体" w:hAnsi="宋体"/>
          <w:szCs w:val="28"/>
        </w:rPr>
      </w:pPr>
    </w:p>
    <w:p>
      <w:pPr>
        <w:spacing w:line="360" w:lineRule="auto"/>
        <w:ind w:firstLine="560" w:firstLineChars="200"/>
        <w:rPr>
          <w:sz w:val="28"/>
          <w:szCs w:val="28"/>
        </w:rPr>
      </w:pPr>
    </w:p>
    <w:p>
      <w:pPr>
        <w:keepNext/>
        <w:keepLines/>
        <w:numPr>
          <w:ilvl w:val="2"/>
          <w:numId w:val="6"/>
        </w:numPr>
        <w:spacing w:line="360" w:lineRule="auto"/>
        <w:ind w:left="3119" w:hanging="3119"/>
        <w:outlineLvl w:val="2"/>
        <w:rPr>
          <w:rFonts w:ascii="宋体" w:hAnsi="宋体"/>
          <w:b/>
          <w:bCs/>
          <w:sz w:val="28"/>
          <w:szCs w:val="28"/>
        </w:rPr>
      </w:pPr>
      <w:r>
        <w:rPr>
          <w:rFonts w:hint="eastAsia" w:ascii="宋体" w:hAnsi="宋体"/>
          <w:b/>
          <w:bCs/>
          <w:sz w:val="28"/>
          <w:szCs w:val="28"/>
        </w:rPr>
        <w:t>中小企业声明函</w:t>
      </w:r>
    </w:p>
    <w:p>
      <w:pPr>
        <w:spacing w:line="440" w:lineRule="exact"/>
        <w:ind w:firstLine="574" w:firstLineChars="196"/>
        <w:jc w:val="center"/>
        <w:rPr>
          <w:rFonts w:ascii="宋体" w:hAnsi="宋体"/>
          <w:b/>
          <w:sz w:val="28"/>
          <w:szCs w:val="28"/>
        </w:rPr>
      </w:pPr>
      <w:r>
        <w:rPr>
          <w:rFonts w:hint="eastAsia" w:ascii="宋体" w:hAnsi="宋体"/>
          <w:b/>
          <w:spacing w:val="6"/>
          <w:sz w:val="28"/>
          <w:szCs w:val="28"/>
        </w:rPr>
        <w:t>中小企业声明函</w:t>
      </w:r>
    </w:p>
    <w:p>
      <w:pPr>
        <w:spacing w:line="480" w:lineRule="exact"/>
        <w:ind w:firstLine="561"/>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b/>
          <w:sz w:val="28"/>
          <w:szCs w:val="28"/>
          <w:u w:val="single"/>
          <w:lang w:eastAsia="zh-CN"/>
        </w:rPr>
        <w:t xml:space="preserve">成都市龙泉驿区人民检察院 </w:t>
      </w:r>
      <w:r>
        <w:rPr>
          <w:rFonts w:hint="eastAsia" w:ascii="宋体" w:hAnsi="宋体"/>
          <w:sz w:val="28"/>
          <w:szCs w:val="28"/>
        </w:rPr>
        <w:t>（单位名称）的</w:t>
      </w:r>
      <w:r>
        <w:rPr>
          <w:rFonts w:hint="eastAsia" w:ascii="宋体" w:hAnsi="宋体"/>
          <w:b/>
          <w:sz w:val="28"/>
          <w:szCs w:val="28"/>
          <w:u w:val="single"/>
          <w:lang w:eastAsia="zh-CN"/>
        </w:rPr>
        <w:t>成都市龙泉驿区人民检察院物业管理服务采购项目</w:t>
      </w:r>
      <w:r>
        <w:rPr>
          <w:rFonts w:hint="eastAsia" w:ascii="宋体" w:hAnsi="宋体"/>
          <w:sz w:val="28"/>
          <w:szCs w:val="28"/>
        </w:rPr>
        <w:t>（项目名称）采购活动，</w:t>
      </w:r>
      <w:r>
        <w:rPr>
          <w:rFonts w:hint="eastAsia" w:ascii="宋体" w:hAnsi="宋体"/>
          <w:b/>
          <w:sz w:val="28"/>
          <w:szCs w:val="28"/>
          <w:lang w:eastAsia="zh-CN"/>
        </w:rPr>
        <w:t>服务</w:t>
      </w:r>
      <w:r>
        <w:rPr>
          <w:rFonts w:hint="eastAsia" w:ascii="宋体" w:hAnsi="宋体"/>
          <w:b/>
          <w:sz w:val="28"/>
          <w:szCs w:val="28"/>
        </w:rPr>
        <w:t>全部由符合政策要求的中小企业</w:t>
      </w:r>
      <w:r>
        <w:rPr>
          <w:rFonts w:hint="eastAsia" w:ascii="宋体" w:hAnsi="宋体"/>
          <w:b/>
          <w:sz w:val="28"/>
          <w:szCs w:val="28"/>
          <w:lang w:eastAsia="zh-CN"/>
        </w:rPr>
        <w:t>承接</w:t>
      </w:r>
      <w:r>
        <w:rPr>
          <w:rFonts w:hint="eastAsia" w:ascii="宋体" w:hAnsi="宋体"/>
          <w:b/>
          <w:sz w:val="28"/>
          <w:szCs w:val="28"/>
        </w:rPr>
        <w:t>。</w:t>
      </w:r>
      <w:r>
        <w:rPr>
          <w:rFonts w:hint="eastAsia" w:ascii="宋体" w:hAnsi="宋体"/>
          <w:sz w:val="28"/>
          <w:szCs w:val="28"/>
        </w:rPr>
        <w:t>相关企业的具体情况如下：</w:t>
      </w:r>
    </w:p>
    <w:p>
      <w:pPr>
        <w:spacing w:line="480" w:lineRule="exact"/>
        <w:ind w:firstLine="561"/>
        <w:rPr>
          <w:rFonts w:ascii="宋体" w:hAnsi="宋体"/>
          <w:sz w:val="28"/>
          <w:szCs w:val="28"/>
        </w:rPr>
      </w:pPr>
      <w:r>
        <w:rPr>
          <w:rFonts w:hint="eastAsia" w:ascii="宋体" w:hAnsi="宋体"/>
          <w:sz w:val="28"/>
          <w:szCs w:val="28"/>
        </w:rPr>
        <w:t xml:space="preserve"> 1.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 xml:space="preserve">2.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w:t>
      </w:r>
    </w:p>
    <w:p>
      <w:pPr>
        <w:spacing w:line="480" w:lineRule="exact"/>
        <w:ind w:firstLine="561"/>
        <w:rPr>
          <w:rFonts w:ascii="宋体" w:hAnsi="宋体"/>
          <w:sz w:val="28"/>
          <w:szCs w:val="28"/>
        </w:rPr>
      </w:pPr>
      <w:r>
        <w:rPr>
          <w:rFonts w:hint="eastAsia" w:ascii="宋体" w:hAnsi="宋体"/>
          <w:sz w:val="28"/>
          <w:szCs w:val="28"/>
        </w:rPr>
        <w:t>以上企业，不属于大企业的分支机构，不存在控股股东 为大企业的情形，也不存在与大企业的负责人为同一人的情形。</w:t>
      </w:r>
    </w:p>
    <w:p>
      <w:pPr>
        <w:spacing w:line="480" w:lineRule="exact"/>
        <w:ind w:firstLine="561"/>
        <w:rPr>
          <w:rFonts w:ascii="宋体" w:hAnsi="宋体"/>
          <w:sz w:val="28"/>
          <w:szCs w:val="28"/>
        </w:rPr>
      </w:pPr>
      <w:r>
        <w:rPr>
          <w:rFonts w:hint="eastAsia" w:ascii="宋体" w:hAnsi="宋体"/>
          <w:sz w:val="28"/>
          <w:szCs w:val="28"/>
        </w:rPr>
        <w:t>本企业对上述声明内容的真实性负责。如有虚假，将依法承担相应责任。</w:t>
      </w:r>
    </w:p>
    <w:p>
      <w:pPr>
        <w:spacing w:line="480" w:lineRule="exact"/>
        <w:ind w:right="280" w:firstLine="561"/>
        <w:jc w:val="right"/>
        <w:rPr>
          <w:rFonts w:ascii="宋体" w:hAnsi="宋体"/>
          <w:sz w:val="28"/>
          <w:szCs w:val="28"/>
        </w:rPr>
      </w:pPr>
      <w:r>
        <w:rPr>
          <w:rFonts w:hint="eastAsia" w:ascii="宋体" w:hAnsi="宋体"/>
          <w:sz w:val="28"/>
          <w:szCs w:val="28"/>
        </w:rPr>
        <w:t>企业名称：</w:t>
      </w:r>
      <w:r>
        <w:rPr>
          <w:rFonts w:hint="eastAsia" w:ascii="宋体" w:hAnsi="宋体"/>
          <w:sz w:val="28"/>
          <w:szCs w:val="28"/>
          <w:u w:val="single"/>
        </w:rPr>
        <w:t>___XXXX____</w:t>
      </w:r>
    </w:p>
    <w:p>
      <w:pPr>
        <w:spacing w:line="480" w:lineRule="exact"/>
        <w:ind w:firstLine="561"/>
        <w:rPr>
          <w:rFonts w:ascii="宋体" w:hAnsi="宋体"/>
          <w:sz w:val="28"/>
          <w:szCs w:val="28"/>
        </w:rPr>
      </w:pPr>
      <w:r>
        <w:rPr>
          <w:rFonts w:hint="eastAsia" w:ascii="宋体" w:hAnsi="宋体"/>
          <w:sz w:val="28"/>
          <w:szCs w:val="28"/>
        </w:rPr>
        <w:t xml:space="preserve">                                日 期：202X年XX月XX日</w:t>
      </w:r>
    </w:p>
    <w:p>
      <w:pPr>
        <w:pStyle w:val="79"/>
        <w:tabs>
          <w:tab w:val="left" w:pos="567"/>
          <w:tab w:val="left" w:pos="709"/>
          <w:tab w:val="left" w:pos="851"/>
        </w:tabs>
        <w:spacing w:line="520" w:lineRule="exact"/>
        <w:ind w:firstLine="0" w:firstLineChars="0"/>
        <w:rPr>
          <w:rFonts w:ascii="宋体" w:hAnsi="宋体" w:eastAsia="宋体"/>
          <w:b/>
          <w:sz w:val="28"/>
          <w:szCs w:val="28"/>
        </w:rPr>
      </w:pPr>
    </w:p>
    <w:p>
      <w:pPr>
        <w:pStyle w:val="79"/>
        <w:tabs>
          <w:tab w:val="left" w:pos="567"/>
          <w:tab w:val="left" w:pos="709"/>
          <w:tab w:val="left" w:pos="851"/>
        </w:tabs>
        <w:spacing w:line="520" w:lineRule="exact"/>
        <w:ind w:firstLine="0" w:firstLineChars="0"/>
        <w:rPr>
          <w:rFonts w:ascii="宋体" w:hAnsi="宋体" w:eastAsia="宋体"/>
          <w:b/>
          <w:sz w:val="28"/>
          <w:szCs w:val="28"/>
        </w:rPr>
      </w:pPr>
      <w:r>
        <w:rPr>
          <w:rFonts w:hint="eastAsia" w:ascii="宋体" w:hAnsi="宋体" w:eastAsia="宋体"/>
          <w:b/>
          <w:sz w:val="28"/>
          <w:szCs w:val="28"/>
        </w:rPr>
        <w:t>说明：</w:t>
      </w:r>
      <w:r>
        <w:rPr>
          <w:rFonts w:hint="eastAsia" w:ascii="宋体" w:hAnsi="宋体" w:eastAsia="宋体"/>
          <w:b/>
          <w:sz w:val="28"/>
          <w:szCs w:val="28"/>
          <w:vertAlign w:val="superscript"/>
        </w:rPr>
        <w:t>1</w:t>
      </w:r>
      <w:r>
        <w:rPr>
          <w:rFonts w:hint="eastAsia" w:ascii="宋体" w:hAnsi="宋体" w:eastAsia="宋体"/>
          <w:b/>
          <w:sz w:val="28"/>
          <w:szCs w:val="28"/>
        </w:rPr>
        <w:t>从业人员、营业收入、资产总额填报上一年度数据，无上一年度数据的新成立企业可不填报。</w:t>
      </w:r>
    </w:p>
    <w:p>
      <w:pPr>
        <w:pStyle w:val="79"/>
        <w:tabs>
          <w:tab w:val="left" w:pos="567"/>
          <w:tab w:val="left" w:pos="709"/>
          <w:tab w:val="left" w:pos="851"/>
        </w:tabs>
        <w:spacing w:line="520" w:lineRule="exact"/>
        <w:ind w:firstLine="0" w:firstLineChars="0"/>
        <w:rPr>
          <w:rFonts w:ascii="宋体" w:hAnsi="宋体" w:eastAsia="宋体"/>
          <w:b/>
          <w:sz w:val="28"/>
          <w:szCs w:val="28"/>
        </w:rPr>
      </w:pPr>
    </w:p>
    <w:p>
      <w:pPr>
        <w:keepNext/>
        <w:keepLines/>
        <w:numPr>
          <w:ilvl w:val="2"/>
          <w:numId w:val="6"/>
        </w:numPr>
        <w:spacing w:line="360" w:lineRule="auto"/>
        <w:ind w:left="3119" w:hanging="3119"/>
        <w:outlineLvl w:val="2"/>
        <w:rPr>
          <w:rFonts w:ascii="宋体" w:hAnsi="宋体"/>
          <w:b/>
          <w:bCs/>
          <w:sz w:val="28"/>
          <w:szCs w:val="28"/>
        </w:rPr>
      </w:pPr>
      <w:r>
        <w:rPr>
          <w:rFonts w:hint="eastAsia" w:ascii="宋体" w:hAnsi="宋体"/>
          <w:b/>
          <w:bCs/>
          <w:sz w:val="28"/>
          <w:szCs w:val="28"/>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360" w:lineRule="auto"/>
        <w:ind w:firstLine="584" w:firstLineChars="200"/>
        <w:rPr>
          <w:rFonts w:hint="eastAsia"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8"/>
          <w:szCs w:val="28"/>
          <w:u w:val="single"/>
          <w:lang w:eastAsia="zh-CN"/>
        </w:rPr>
        <w:t xml:space="preserve">成都市龙泉驿区人民检察院 </w:t>
      </w:r>
      <w:r>
        <w:rPr>
          <w:rFonts w:hint="eastAsia" w:ascii="宋体" w:hAnsi="宋体"/>
          <w:spacing w:val="6"/>
          <w:sz w:val="28"/>
          <w:szCs w:val="28"/>
        </w:rPr>
        <w:t>单位</w:t>
      </w:r>
      <w:r>
        <w:rPr>
          <w:rFonts w:ascii="宋体" w:hAnsi="宋体"/>
          <w:spacing w:val="6"/>
          <w:sz w:val="28"/>
          <w:szCs w:val="28"/>
        </w:rPr>
        <w:t>的</w:t>
      </w:r>
      <w:r>
        <w:rPr>
          <w:rFonts w:hint="eastAsia" w:ascii="宋体" w:hAnsi="宋体"/>
          <w:b/>
          <w:sz w:val="28"/>
          <w:szCs w:val="28"/>
          <w:u w:val="single"/>
          <w:lang w:eastAsia="zh-CN"/>
        </w:rPr>
        <w:t>成都市龙泉驿区人民检察院物业管理服务采购项目</w:t>
      </w:r>
      <w:r>
        <w:rPr>
          <w:rFonts w:hint="eastAsia" w:ascii="宋体" w:hAnsi="宋体"/>
          <w:spacing w:val="6"/>
          <w:sz w:val="28"/>
          <w:szCs w:val="28"/>
        </w:rPr>
        <w:t>采购活动提供本单位制造的货物（由本单位承担工程/提供服务），或者提供其他残疾人福利性单位制造的货物（不包括使用非残疾人福利性单位注册商标的货物）。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rPr>
      </w:pPr>
    </w:p>
    <w:p>
      <w:pPr>
        <w:spacing w:line="588" w:lineRule="exact"/>
        <w:jc w:val="right"/>
        <w:rPr>
          <w:rFonts w:ascii="宋体" w:hAnsi="宋体"/>
          <w:spacing w:val="6"/>
          <w:sz w:val="28"/>
          <w:szCs w:val="28"/>
        </w:rPr>
      </w:pPr>
    </w:p>
    <w:p>
      <w:pPr>
        <w:tabs>
          <w:tab w:val="left" w:pos="3969"/>
        </w:tabs>
        <w:spacing w:line="588" w:lineRule="exact"/>
        <w:ind w:right="526" w:firstLine="5244" w:firstLineChars="1796"/>
        <w:rPr>
          <w:rFonts w:ascii="宋体" w:hAnsi="宋体"/>
          <w:spacing w:val="6"/>
          <w:sz w:val="28"/>
          <w:szCs w:val="28"/>
        </w:rPr>
      </w:pPr>
      <w:r>
        <w:rPr>
          <w:rFonts w:hint="eastAsia" w:ascii="宋体" w:hAnsi="宋体"/>
          <w:spacing w:val="6"/>
          <w:sz w:val="28"/>
          <w:szCs w:val="28"/>
        </w:rPr>
        <w:t>单位名称：</w:t>
      </w:r>
      <w:r>
        <w:rPr>
          <w:rFonts w:hint="eastAsia" w:ascii="宋体" w:hAnsi="宋体"/>
          <w:spacing w:val="6"/>
          <w:sz w:val="28"/>
          <w:szCs w:val="28"/>
          <w:u w:val="single"/>
        </w:rPr>
        <w:t>XXXX</w:t>
      </w:r>
    </w:p>
    <w:p>
      <w:pPr>
        <w:tabs>
          <w:tab w:val="left" w:pos="3969"/>
        </w:tabs>
        <w:spacing w:line="588" w:lineRule="exact"/>
        <w:ind w:right="-58"/>
        <w:jc w:val="right"/>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pStyle w:val="17"/>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keepNext/>
        <w:keepLines/>
        <w:numPr>
          <w:ilvl w:val="2"/>
          <w:numId w:val="6"/>
        </w:numPr>
        <w:spacing w:line="360" w:lineRule="auto"/>
        <w:ind w:left="3119" w:hanging="3119"/>
        <w:outlineLvl w:val="2"/>
        <w:rPr>
          <w:rFonts w:ascii="宋体" w:hAnsi="宋体"/>
          <w:sz w:val="28"/>
        </w:rPr>
        <w:sectPr>
          <w:footerReference r:id="rId3" w:type="default"/>
          <w:pgSz w:w="11850" w:h="16783"/>
          <w:pgMar w:top="1440" w:right="1800" w:bottom="1440" w:left="1800" w:header="708" w:footer="708" w:gutter="0"/>
          <w:cols w:space="708" w:num="1"/>
          <w:docGrid w:linePitch="360" w:charSpace="0"/>
        </w:sectPr>
      </w:pPr>
    </w:p>
    <w:p>
      <w:pPr>
        <w:keepNext/>
        <w:keepLines/>
        <w:numPr>
          <w:ilvl w:val="2"/>
          <w:numId w:val="6"/>
        </w:numPr>
        <w:spacing w:line="360" w:lineRule="auto"/>
        <w:ind w:left="3119" w:hanging="3119"/>
        <w:outlineLvl w:val="2"/>
        <w:rPr>
          <w:rFonts w:ascii="宋体" w:hAnsi="宋体"/>
          <w:sz w:val="28"/>
        </w:rPr>
      </w:pPr>
      <w:r>
        <w:rPr>
          <w:rFonts w:hint="eastAsia" w:ascii="宋体" w:hAnsi="宋体"/>
          <w:b/>
          <w:sz w:val="28"/>
          <w:szCs w:val="28"/>
          <w:lang w:eastAsia="zh-CN"/>
        </w:rPr>
        <w:t>供应商</w:t>
      </w:r>
      <w:r>
        <w:rPr>
          <w:rFonts w:ascii="宋体" w:hAnsi="宋体"/>
          <w:b/>
          <w:sz w:val="28"/>
          <w:szCs w:val="28"/>
        </w:rPr>
        <w:t>属于监狱企业的证明文件复印件</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firstLine="708" w:firstLineChars="253"/>
        <w:rPr>
          <w:rFonts w:ascii="宋体" w:hAnsi="宋体"/>
          <w:spacing w:val="6"/>
          <w:sz w:val="28"/>
          <w:szCs w:val="28"/>
        </w:rPr>
      </w:pPr>
      <w:r>
        <w:rPr>
          <w:rFonts w:hint="eastAsia"/>
          <w:sz w:val="28"/>
          <w:szCs w:val="28"/>
        </w:rPr>
        <w:t>供应商</w:t>
      </w:r>
      <w:r>
        <w:rPr>
          <w:sz w:val="28"/>
          <w:szCs w:val="28"/>
        </w:rPr>
        <w:t>为监狱企业制造的货物应提供由省级以上监狱管理局、戒毒管理局（含新疆生产建设兵团）出具的制造商属于监狱企业的证明文件复印件</w:t>
      </w:r>
      <w:r>
        <w:rPr>
          <w:rFonts w:hint="eastAsia"/>
          <w:sz w:val="28"/>
          <w:szCs w:val="28"/>
        </w:rPr>
        <w:t>。</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pStyle w:val="17"/>
      </w:pPr>
    </w:p>
    <w:p/>
    <w:p>
      <w:pPr>
        <w:pStyle w:val="17"/>
      </w:pPr>
    </w:p>
    <w:p/>
    <w:p>
      <w:pPr>
        <w:pStyle w:val="17"/>
      </w:pPr>
    </w:p>
    <w:p>
      <w:pPr>
        <w:pStyle w:val="17"/>
      </w:pPr>
    </w:p>
    <w:p>
      <w:pPr>
        <w:spacing w:line="440" w:lineRule="atLeast"/>
        <w:rPr>
          <w:rFonts w:ascii="宋体" w:hAnsi="宋体"/>
          <w:b/>
          <w:sz w:val="28"/>
          <w:szCs w:val="28"/>
        </w:rPr>
      </w:pPr>
    </w:p>
    <w:p>
      <w:pPr>
        <w:spacing w:line="360" w:lineRule="auto"/>
        <w:ind w:firstLine="560" w:firstLineChars="200"/>
        <w:rPr>
          <w:sz w:val="28"/>
          <w:szCs w:val="28"/>
        </w:rPr>
      </w:pPr>
    </w:p>
    <w:p>
      <w:pPr>
        <w:pStyle w:val="17"/>
        <w:rPr>
          <w:sz w:val="28"/>
          <w:szCs w:val="28"/>
        </w:rPr>
      </w:pPr>
    </w:p>
    <w:p>
      <w:pPr>
        <w:rPr>
          <w:sz w:val="28"/>
          <w:szCs w:val="28"/>
        </w:rPr>
      </w:pP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投标人应提交的相关资格证明材料</w:t>
      </w:r>
    </w:p>
    <w:p>
      <w:pPr>
        <w:ind w:firstLine="560" w:firstLineChars="200"/>
        <w:rPr>
          <w:sz w:val="28"/>
          <w:szCs w:val="28"/>
        </w:rPr>
      </w:pPr>
    </w:p>
    <w:p>
      <w:pPr>
        <w:spacing w:line="360" w:lineRule="auto"/>
        <w:ind w:firstLine="560" w:firstLineChars="200"/>
        <w:rPr>
          <w:sz w:val="28"/>
          <w:szCs w:val="28"/>
        </w:rPr>
      </w:pPr>
      <w:r>
        <w:rPr>
          <w:rFonts w:hint="eastAsia"/>
          <w:sz w:val="28"/>
          <w:szCs w:val="28"/>
        </w:rPr>
        <w:t>投标人按招标文件要求，应提供以下相关资格证明材料：</w:t>
      </w:r>
    </w:p>
    <w:p>
      <w:pPr>
        <w:pStyle w:val="79"/>
        <w:numPr>
          <w:ilvl w:val="0"/>
          <w:numId w:val="36"/>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营业执照复印件（正本或副本）或法人证书复印件（正本或副本）；</w:t>
      </w:r>
    </w:p>
    <w:p>
      <w:pPr>
        <w:pStyle w:val="79"/>
        <w:numPr>
          <w:ilvl w:val="0"/>
          <w:numId w:val="36"/>
        </w:numPr>
        <w:tabs>
          <w:tab w:val="left" w:pos="1134"/>
        </w:tabs>
        <w:spacing w:before="60" w:line="360" w:lineRule="auto"/>
        <w:ind w:left="0" w:firstLine="567" w:firstLineChars="0"/>
        <w:rPr>
          <w:rFonts w:ascii="宋体" w:hAnsi="宋体"/>
          <w:sz w:val="28"/>
          <w:szCs w:val="28"/>
        </w:rPr>
      </w:pPr>
      <w:r>
        <w:rPr>
          <w:rFonts w:ascii="宋体" w:hAnsi="宋体"/>
          <w:sz w:val="28"/>
          <w:szCs w:val="28"/>
        </w:rPr>
        <w:t>20</w:t>
      </w:r>
      <w:r>
        <w:rPr>
          <w:rFonts w:hint="eastAsia" w:ascii="宋体" w:hAnsi="宋体"/>
          <w:sz w:val="28"/>
          <w:szCs w:val="28"/>
        </w:rPr>
        <w:t>19或</w:t>
      </w:r>
      <w:r>
        <w:rPr>
          <w:rFonts w:ascii="宋体" w:hAnsi="宋体"/>
          <w:sz w:val="28"/>
          <w:szCs w:val="28"/>
        </w:rPr>
        <w:t>20</w:t>
      </w:r>
      <w:r>
        <w:rPr>
          <w:rFonts w:hint="eastAsia" w:ascii="宋体" w:hAnsi="宋体"/>
          <w:sz w:val="28"/>
          <w:szCs w:val="28"/>
        </w:rPr>
        <w:t>20会计年度资产负债表复印件（说明：投标人成立时间至递交投标文件截止时间止不足一年的，提供成立后任意时段的资产负债表复印件）；</w:t>
      </w:r>
    </w:p>
    <w:p>
      <w:pPr>
        <w:pStyle w:val="79"/>
        <w:numPr>
          <w:ilvl w:val="0"/>
          <w:numId w:val="36"/>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21年任意时段的税收的银行电子回单或者行政部门出具的纳税证明或完税证明复印件；</w:t>
      </w:r>
    </w:p>
    <w:p>
      <w:pPr>
        <w:pStyle w:val="79"/>
        <w:numPr>
          <w:ilvl w:val="0"/>
          <w:numId w:val="36"/>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采购人对投标人履行合同所必须的设备和专业技术能力无其他特殊要求，投标人具有有效的营业执照或法人证书即可，可不提供其他证明材料；</w:t>
      </w:r>
    </w:p>
    <w:p>
      <w:pPr>
        <w:pStyle w:val="79"/>
        <w:numPr>
          <w:ilvl w:val="0"/>
          <w:numId w:val="36"/>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21年任意时段的社保的银行电子回单或行政部门出具的社保缴纳证明材料复印件；</w:t>
      </w:r>
    </w:p>
    <w:p>
      <w:pPr>
        <w:pStyle w:val="79"/>
        <w:numPr>
          <w:ilvl w:val="0"/>
          <w:numId w:val="36"/>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采购人对法律、行政法规规定的其他条件无其他特殊要求，投标人具有有效的营业执照或法人证书即可，可不提供其他证明材料。</w:t>
      </w:r>
    </w:p>
    <w:p>
      <w:pPr>
        <w:spacing w:line="360" w:lineRule="auto"/>
        <w:ind w:firstLine="560" w:firstLineChars="200"/>
        <w:rPr>
          <w:sz w:val="28"/>
          <w:szCs w:val="28"/>
        </w:rPr>
      </w:pPr>
    </w:p>
    <w:p>
      <w:pPr>
        <w:spacing w:line="360" w:lineRule="auto"/>
        <w:ind w:firstLine="560" w:firstLineChars="200"/>
        <w:rPr>
          <w:sz w:val="28"/>
          <w:szCs w:val="28"/>
        </w:rPr>
      </w:pPr>
    </w:p>
    <w:p>
      <w:pPr>
        <w:pStyle w:val="17"/>
        <w:rPr>
          <w:sz w:val="28"/>
          <w:szCs w:val="28"/>
        </w:rPr>
      </w:pPr>
    </w:p>
    <w:p>
      <w:pPr>
        <w:rPr>
          <w:sz w:val="28"/>
          <w:szCs w:val="28"/>
        </w:rPr>
      </w:pPr>
    </w:p>
    <w:p>
      <w:pPr>
        <w:pStyle w:val="17"/>
        <w:rPr>
          <w:sz w:val="28"/>
          <w:szCs w:val="28"/>
        </w:rPr>
      </w:pPr>
    </w:p>
    <w:p>
      <w:pPr>
        <w:rPr>
          <w:sz w:val="28"/>
          <w:szCs w:val="28"/>
        </w:rPr>
      </w:pPr>
    </w:p>
    <w:p>
      <w:pPr>
        <w:pStyle w:val="17"/>
        <w:rPr>
          <w:sz w:val="28"/>
          <w:szCs w:val="28"/>
        </w:rPr>
      </w:pPr>
    </w:p>
    <w:p/>
    <w:p>
      <w:pPr>
        <w:spacing w:line="360" w:lineRule="auto"/>
        <w:ind w:firstLine="560" w:firstLineChars="200"/>
        <w:rPr>
          <w:sz w:val="28"/>
          <w:szCs w:val="28"/>
        </w:rPr>
      </w:pPr>
    </w:p>
    <w:p>
      <w:pPr>
        <w:keepNext/>
        <w:keepLines/>
        <w:numPr>
          <w:ilvl w:val="1"/>
          <w:numId w:val="6"/>
        </w:numPr>
        <w:spacing w:line="520" w:lineRule="exact"/>
        <w:jc w:val="left"/>
        <w:outlineLvl w:val="1"/>
        <w:rPr>
          <w:rFonts w:ascii="宋体" w:hAnsi="宋体"/>
          <w:b/>
          <w:bCs/>
          <w:sz w:val="28"/>
          <w:szCs w:val="28"/>
        </w:rPr>
      </w:pPr>
      <w:bookmarkStart w:id="206" w:name="_Toc9480_WPSOffice_Level2"/>
      <w:bookmarkStart w:id="207" w:name="_Toc74752332"/>
      <w:bookmarkStart w:id="208" w:name="_Toc16463_WPSOffice_Level2"/>
      <w:bookmarkStart w:id="209" w:name="_Toc30694_WPSOffice_Level2"/>
      <w:r>
        <w:rPr>
          <w:rFonts w:hint="eastAsia" w:ascii="宋体" w:hAnsi="宋体"/>
          <w:b/>
          <w:bCs/>
          <w:sz w:val="28"/>
          <w:szCs w:val="28"/>
        </w:rPr>
        <w:t>商务技术</w:t>
      </w:r>
      <w:r>
        <w:rPr>
          <w:rFonts w:ascii="宋体" w:hAnsi="宋体"/>
          <w:b/>
          <w:bCs/>
          <w:sz w:val="28"/>
          <w:szCs w:val="28"/>
        </w:rPr>
        <w:t>响应文件</w:t>
      </w:r>
      <w:bookmarkEnd w:id="206"/>
      <w:bookmarkEnd w:id="207"/>
      <w:bookmarkEnd w:id="208"/>
      <w:bookmarkEnd w:id="209"/>
    </w:p>
    <w:p>
      <w:pPr>
        <w:keepNext/>
        <w:keepLines/>
        <w:numPr>
          <w:ilvl w:val="2"/>
          <w:numId w:val="6"/>
        </w:numPr>
        <w:spacing w:line="520" w:lineRule="exact"/>
        <w:ind w:left="569" w:hanging="569"/>
        <w:outlineLvl w:val="2"/>
        <w:rPr>
          <w:rFonts w:ascii="宋体" w:hAnsi="宋体"/>
          <w:b/>
          <w:bCs/>
          <w:sz w:val="28"/>
          <w:szCs w:val="28"/>
        </w:rPr>
      </w:pPr>
      <w:r>
        <w:rPr>
          <w:rFonts w:hint="eastAsia" w:ascii="宋体" w:hAnsi="宋体"/>
          <w:b/>
          <w:bCs/>
          <w:sz w:val="28"/>
          <w:szCs w:val="28"/>
        </w:rPr>
        <w:t>投标函</w:t>
      </w:r>
    </w:p>
    <w:p>
      <w:pPr>
        <w:spacing w:line="520" w:lineRule="exact"/>
        <w:rPr>
          <w:rFonts w:ascii="宋体" w:hAnsi="宋体"/>
          <w:bCs/>
          <w:sz w:val="28"/>
          <w:szCs w:val="28"/>
        </w:rPr>
      </w:pPr>
      <w:r>
        <w:rPr>
          <w:rFonts w:hint="eastAsia" w:ascii="宋体" w:hAnsi="宋体"/>
          <w:bCs/>
          <w:sz w:val="28"/>
          <w:szCs w:val="28"/>
        </w:rPr>
        <w:t>成都市龙泉驿区公共资源交易服务中心：</w:t>
      </w:r>
    </w:p>
    <w:p>
      <w:pPr>
        <w:spacing w:line="520" w:lineRule="exact"/>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lang w:eastAsia="zh-CN"/>
        </w:rPr>
        <w:t>成都市龙泉驿区人民检察院物业管理服务采购项目</w:t>
      </w:r>
      <w:r>
        <w:rPr>
          <w:rFonts w:hint="eastAsia" w:ascii="宋体" w:hAnsi="宋体"/>
          <w:b/>
          <w:bCs/>
          <w:sz w:val="28"/>
          <w:szCs w:val="28"/>
          <w:u w:val="single"/>
        </w:rPr>
        <w:t>”（项目编号：</w:t>
      </w:r>
      <w:r>
        <w:rPr>
          <w:rFonts w:hint="eastAsia" w:ascii="宋体" w:hAnsi="宋体"/>
          <w:b/>
          <w:bCs/>
          <w:sz w:val="28"/>
          <w:szCs w:val="28"/>
          <w:u w:val="single"/>
          <w:lang w:eastAsia="zh-CN"/>
        </w:rPr>
        <w:t>龙泉驿政采（2021）A0060号</w:t>
      </w:r>
      <w:r>
        <w:rPr>
          <w:rFonts w:hint="eastAsia" w:ascii="宋体" w:hAnsi="宋体"/>
          <w:b/>
          <w:bCs/>
          <w:sz w:val="28"/>
          <w:szCs w:val="28"/>
          <w:u w:val="single"/>
        </w:rPr>
        <w:t>）</w:t>
      </w:r>
      <w:r>
        <w:rPr>
          <w:rFonts w:hint="eastAsia" w:ascii="宋体" w:hAnsi="宋体"/>
          <w:bCs/>
          <w:sz w:val="28"/>
          <w:szCs w:val="28"/>
        </w:rPr>
        <w:t>招标文件，决定参加贵单位组织的本项目投标。我方授权</w:t>
      </w:r>
      <w:r>
        <w:rPr>
          <w:rFonts w:hint="eastAsia" w:ascii="宋体" w:hAnsi="宋体"/>
          <w:bCs/>
          <w:sz w:val="28"/>
          <w:szCs w:val="28"/>
          <w:u w:val="single"/>
        </w:rPr>
        <w:t>XXXX（姓名、职务）</w:t>
      </w:r>
      <w:r>
        <w:rPr>
          <w:rFonts w:hint="eastAsia" w:ascii="宋体" w:hAnsi="宋体"/>
          <w:bCs/>
          <w:sz w:val="28"/>
          <w:szCs w:val="28"/>
        </w:rPr>
        <w:t xml:space="preserve">代表我方 </w:t>
      </w:r>
      <w:r>
        <w:rPr>
          <w:rFonts w:hint="eastAsia" w:ascii="宋体" w:hAnsi="宋体"/>
          <w:bCs/>
          <w:sz w:val="28"/>
          <w:szCs w:val="28"/>
          <w:u w:val="single"/>
        </w:rPr>
        <w:t>XXXX（投标人名称）</w:t>
      </w:r>
      <w:r>
        <w:rPr>
          <w:rFonts w:hint="eastAsia" w:ascii="宋体" w:hAnsi="宋体"/>
          <w:bCs/>
          <w:sz w:val="28"/>
          <w:szCs w:val="28"/>
        </w:rPr>
        <w:t>全权处理本项目投标的有关事宜。</w:t>
      </w:r>
    </w:p>
    <w:p>
      <w:pPr>
        <w:numPr>
          <w:ilvl w:val="1"/>
          <w:numId w:val="37"/>
        </w:numPr>
        <w:tabs>
          <w:tab w:val="left" w:pos="1134"/>
        </w:tabs>
        <w:spacing w:line="520" w:lineRule="exact"/>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7"/>
        </w:numPr>
        <w:tabs>
          <w:tab w:val="left" w:pos="1134"/>
        </w:tabs>
        <w:spacing w:line="520" w:lineRule="exact"/>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7"/>
        </w:numPr>
        <w:tabs>
          <w:tab w:val="left" w:pos="1134"/>
        </w:tabs>
        <w:spacing w:line="520" w:lineRule="exact"/>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7"/>
        </w:numPr>
        <w:tabs>
          <w:tab w:val="left" w:pos="1134"/>
        </w:tabs>
        <w:spacing w:line="520" w:lineRule="exact"/>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7"/>
        </w:numPr>
        <w:tabs>
          <w:tab w:val="left" w:pos="1134"/>
        </w:tabs>
        <w:spacing w:line="520" w:lineRule="exact"/>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37"/>
        </w:numPr>
        <w:tabs>
          <w:tab w:val="left" w:pos="1134"/>
        </w:tabs>
        <w:spacing w:line="520" w:lineRule="exact"/>
        <w:ind w:left="0" w:firstLine="567"/>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520" w:lineRule="exact"/>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520" w:lineRule="exact"/>
        <w:ind w:left="283" w:leftChars="135" w:firstLine="700" w:firstLineChars="25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210" w:name="_Toc314574804"/>
      <w:bookmarkStart w:id="211" w:name="_Toc240367172"/>
      <w:bookmarkStart w:id="212" w:name="_Toc239846734"/>
      <w:bookmarkStart w:id="213" w:name="_Toc265494342"/>
      <w:bookmarkStart w:id="214" w:name="_Toc237145395"/>
      <w:bookmarkStart w:id="215" w:name="_Toc239849853"/>
      <w:bookmarkStart w:id="216" w:name="_Toc229802674"/>
      <w:bookmarkStart w:id="217" w:name="_Toc231030275"/>
      <w:bookmarkStart w:id="218" w:name="_Toc240865266"/>
    </w:p>
    <w:p>
      <w:pPr>
        <w:pStyle w:val="17"/>
        <w:rPr>
          <w:rFonts w:ascii="宋体" w:hAnsi="宋体"/>
          <w:bCs/>
          <w:sz w:val="28"/>
        </w:rPr>
      </w:pPr>
    </w:p>
    <w:p/>
    <w:p>
      <w:pPr>
        <w:keepNext/>
        <w:keepLines/>
        <w:numPr>
          <w:ilvl w:val="2"/>
          <w:numId w:val="6"/>
        </w:numPr>
        <w:spacing w:line="360" w:lineRule="auto"/>
        <w:ind w:left="3119" w:hanging="3119"/>
        <w:outlineLvl w:val="2"/>
        <w:rPr>
          <w:rFonts w:ascii="宋体" w:hAnsi="宋体"/>
          <w:b/>
          <w:bCs/>
          <w:sz w:val="28"/>
          <w:szCs w:val="28"/>
        </w:rPr>
        <w:sectPr>
          <w:footerReference r:id="rId4" w:type="default"/>
          <w:pgSz w:w="11850" w:h="16783"/>
          <w:pgMar w:top="1440" w:right="1800" w:bottom="1440" w:left="1800" w:header="708" w:footer="708" w:gutter="0"/>
          <w:cols w:space="708" w:num="1"/>
          <w:docGrid w:linePitch="360" w:charSpace="0"/>
        </w:sectPr>
      </w:pPr>
    </w:p>
    <w:p>
      <w:pPr>
        <w:keepNext/>
        <w:keepLines/>
        <w:numPr>
          <w:ilvl w:val="2"/>
          <w:numId w:val="6"/>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bookmarkStart w:id="219" w:name="_Toc263768866"/>
      <w:r>
        <w:rPr>
          <w:rFonts w:hint="eastAsia" w:ascii="宋体" w:hAnsi="宋体"/>
          <w:sz w:val="28"/>
          <w:lang w:val="zh-CN"/>
        </w:rPr>
        <w:t>特此证明。</w:t>
      </w:r>
      <w:bookmarkEnd w:id="219"/>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spacing w:after="180" w:line="360" w:lineRule="auto"/>
        <w:ind w:firstLine="568" w:firstLineChars="202"/>
        <w:rPr>
          <w:rFonts w:ascii="宋体" w:hAnsi="宋体"/>
          <w:b/>
          <w:sz w:val="28"/>
          <w:szCs w:val="28"/>
        </w:rPr>
      </w:pPr>
    </w:p>
    <w:bookmarkEnd w:id="210"/>
    <w:bookmarkEnd w:id="211"/>
    <w:bookmarkEnd w:id="212"/>
    <w:bookmarkEnd w:id="213"/>
    <w:bookmarkEnd w:id="214"/>
    <w:bookmarkEnd w:id="215"/>
    <w:bookmarkEnd w:id="216"/>
    <w:bookmarkEnd w:id="217"/>
    <w:bookmarkEnd w:id="218"/>
    <w:p>
      <w:pPr>
        <w:keepNext/>
        <w:keepLines/>
        <w:numPr>
          <w:ilvl w:val="2"/>
          <w:numId w:val="6"/>
        </w:numPr>
        <w:spacing w:line="360" w:lineRule="auto"/>
        <w:ind w:left="3119" w:hanging="3119"/>
        <w:outlineLvl w:val="2"/>
        <w:rPr>
          <w:rFonts w:ascii="宋体" w:hAnsi="宋体"/>
          <w:b/>
          <w:bCs/>
          <w:sz w:val="28"/>
          <w:szCs w:val="28"/>
        </w:rPr>
        <w:sectPr>
          <w:pgSz w:w="11850" w:h="16783"/>
          <w:pgMar w:top="1440" w:right="1800" w:bottom="1440" w:left="1800" w:header="708" w:footer="708" w:gutter="0"/>
          <w:cols w:space="708" w:num="1"/>
          <w:docGrid w:linePitch="360" w:charSpace="0"/>
        </w:sectPr>
      </w:pPr>
      <w:bookmarkStart w:id="220" w:name="_Toc315871054"/>
      <w:bookmarkEnd w:id="220"/>
      <w:bookmarkStart w:id="221" w:name="_Toc302997926"/>
      <w:bookmarkStart w:id="222" w:name="_Toc263768870"/>
      <w:bookmarkStart w:id="223" w:name="_Toc263753605"/>
      <w:bookmarkStart w:id="224" w:name="_Toc220299393"/>
      <w:bookmarkStart w:id="225" w:name="_Toc217446083"/>
    </w:p>
    <w:p>
      <w:pPr>
        <w:keepNext/>
        <w:keepLines/>
        <w:numPr>
          <w:ilvl w:val="2"/>
          <w:numId w:val="6"/>
        </w:numPr>
        <w:spacing w:line="360" w:lineRule="auto"/>
        <w:ind w:left="3119" w:hanging="3119"/>
        <w:outlineLvl w:val="2"/>
        <w:rPr>
          <w:rFonts w:ascii="宋体" w:hAnsi="宋体"/>
          <w:b/>
          <w:bCs/>
          <w:sz w:val="28"/>
          <w:szCs w:val="28"/>
        </w:rPr>
      </w:pPr>
      <w:r>
        <w:rPr>
          <w:rFonts w:hint="eastAsia" w:ascii="宋体" w:hAnsi="宋体"/>
          <w:b/>
          <w:bCs/>
          <w:sz w:val="28"/>
          <w:szCs w:val="28"/>
        </w:rPr>
        <w:t>投标人基本情况表</w:t>
      </w:r>
      <w:bookmarkEnd w:id="221"/>
    </w:p>
    <w:tbl>
      <w:tblPr>
        <w:tblStyle w:val="48"/>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20" w:leftChars="20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700" w:firstLineChars="250"/>
        <w:rPr>
          <w:rFonts w:ascii="宋体" w:hAnsi="宋体"/>
          <w:bCs/>
          <w:sz w:val="28"/>
          <w:u w:val="single"/>
        </w:rPr>
      </w:pPr>
    </w:p>
    <w:p>
      <w:pPr>
        <w:pStyle w:val="17"/>
        <w:rPr>
          <w:rFonts w:ascii="宋体" w:hAnsi="宋体"/>
          <w:bCs/>
          <w:sz w:val="28"/>
          <w:u w:val="single"/>
        </w:rPr>
      </w:pPr>
    </w:p>
    <w:p/>
    <w:bookmarkEnd w:id="222"/>
    <w:bookmarkEnd w:id="223"/>
    <w:bookmarkEnd w:id="224"/>
    <w:p>
      <w:pPr>
        <w:pStyle w:val="6"/>
        <w:tabs>
          <w:tab w:val="left" w:pos="709"/>
        </w:tabs>
        <w:ind w:left="709" w:hanging="709"/>
        <w:rPr>
          <w:b/>
          <w:bCs w:val="0"/>
        </w:rPr>
      </w:pPr>
      <w:bookmarkStart w:id="226" w:name="_Toc263768877"/>
      <w:bookmarkStart w:id="227" w:name="_Toc263753619"/>
      <w:bookmarkStart w:id="228" w:name="_Toc302997928"/>
      <w:r>
        <w:rPr>
          <w:rFonts w:hint="eastAsia"/>
          <w:b/>
          <w:bCs w:val="0"/>
        </w:rPr>
        <w:t>服务方案及服务承诺</w:t>
      </w:r>
    </w:p>
    <w:p>
      <w:pPr>
        <w:snapToGrid w:val="0"/>
        <w:spacing w:line="360" w:lineRule="auto"/>
        <w:ind w:right="-624" w:rightChars="-297"/>
        <w:rPr>
          <w:rFonts w:ascii="宋体" w:hAnsi="宋体"/>
          <w:b/>
          <w:sz w:val="28"/>
        </w:rPr>
      </w:pPr>
      <w:r>
        <w:rPr>
          <w:rFonts w:hint="eastAsia" w:ascii="宋体" w:hAnsi="宋体"/>
          <w:b/>
          <w:sz w:val="28"/>
        </w:rPr>
        <w:t>项目名称：</w:t>
      </w:r>
      <w:r>
        <w:rPr>
          <w:rFonts w:hint="eastAsia" w:ascii="宋体" w:hAnsi="宋体"/>
          <w:b/>
          <w:sz w:val="28"/>
          <w:u w:val="single"/>
          <w:lang w:eastAsia="zh-CN"/>
        </w:rPr>
        <w:t>成都市龙泉驿区人民检察院物业管理服务采购项目</w:t>
      </w:r>
    </w:p>
    <w:p>
      <w:pPr>
        <w:snapToGrid w:val="0"/>
        <w:spacing w:line="360" w:lineRule="auto"/>
        <w:ind w:right="-624" w:rightChars="-297"/>
        <w:rPr>
          <w:rFonts w:hint="eastAsia" w:ascii="宋体" w:hAnsi="宋体" w:eastAsia="宋体"/>
          <w:lang w:eastAsia="zh-CN"/>
        </w:rPr>
      </w:pPr>
      <w:r>
        <w:rPr>
          <w:rFonts w:hint="eastAsia" w:ascii="宋体" w:hAnsi="宋体"/>
          <w:b/>
          <w:sz w:val="28"/>
        </w:rPr>
        <w:t>项目编号：</w:t>
      </w:r>
      <w:r>
        <w:rPr>
          <w:rFonts w:hint="eastAsia" w:ascii="宋体" w:hAnsi="宋体"/>
          <w:b/>
          <w:sz w:val="28"/>
          <w:szCs w:val="28"/>
          <w:u w:val="single"/>
          <w:lang w:eastAsia="zh-CN"/>
        </w:rPr>
        <w:t>龙泉驿政采（2021）A0060号</w:t>
      </w:r>
    </w:p>
    <w:p>
      <w:pPr>
        <w:spacing w:line="360" w:lineRule="auto"/>
        <w:rPr>
          <w:rFonts w:ascii="宋体" w:hAnsi="宋体"/>
          <w:b/>
          <w:sz w:val="28"/>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17"/>
      </w:pPr>
    </w:p>
    <w:p>
      <w:pPr>
        <w:adjustRightInd w:val="0"/>
        <w:spacing w:line="400" w:lineRule="exact"/>
        <w:rPr>
          <w:rFonts w:ascii="宋体" w:hAnsi="宋体"/>
          <w:bCs/>
          <w:sz w:val="28"/>
        </w:rPr>
      </w:pPr>
    </w:p>
    <w:p>
      <w:pPr>
        <w:keepNext/>
        <w:keepLines/>
        <w:numPr>
          <w:ilvl w:val="2"/>
          <w:numId w:val="6"/>
        </w:numPr>
        <w:spacing w:line="360" w:lineRule="auto"/>
        <w:ind w:left="3119" w:hanging="3119"/>
        <w:outlineLvl w:val="2"/>
        <w:rPr>
          <w:rFonts w:ascii="宋体" w:hAnsi="宋体"/>
          <w:b/>
          <w:bCs/>
          <w:sz w:val="28"/>
          <w:szCs w:val="28"/>
        </w:rPr>
        <w:sectPr>
          <w:pgSz w:w="11850" w:h="16783"/>
          <w:pgMar w:top="1440" w:right="1800" w:bottom="1440" w:left="1800" w:header="708" w:footer="708" w:gutter="0"/>
          <w:cols w:space="708" w:num="1"/>
          <w:docGrid w:linePitch="360" w:charSpace="0"/>
        </w:sectPr>
      </w:pPr>
    </w:p>
    <w:p>
      <w:pPr>
        <w:keepNext/>
        <w:keepLines/>
        <w:numPr>
          <w:ilvl w:val="2"/>
          <w:numId w:val="6"/>
        </w:numPr>
        <w:spacing w:line="360" w:lineRule="auto"/>
        <w:ind w:left="3119" w:hanging="3119"/>
        <w:outlineLvl w:val="2"/>
        <w:rPr>
          <w:rFonts w:ascii="宋体" w:hAnsi="宋体"/>
          <w:b/>
          <w:bCs/>
          <w:sz w:val="28"/>
          <w:szCs w:val="28"/>
        </w:rPr>
      </w:pPr>
      <w:r>
        <w:rPr>
          <w:rFonts w:hint="eastAsia" w:ascii="宋体" w:hAnsi="宋体"/>
          <w:b/>
          <w:bCs/>
          <w:sz w:val="28"/>
          <w:szCs w:val="28"/>
        </w:rPr>
        <w:t>售后服务及承诺</w:t>
      </w:r>
      <w:bookmarkEnd w:id="226"/>
      <w:bookmarkEnd w:id="227"/>
      <w:bookmarkEnd w:id="228"/>
    </w:p>
    <w:p>
      <w:pPr>
        <w:snapToGrid w:val="0"/>
        <w:spacing w:line="360" w:lineRule="auto"/>
        <w:ind w:right="-624" w:rightChars="-297"/>
        <w:rPr>
          <w:rFonts w:hint="eastAsia" w:ascii="宋体" w:hAnsi="宋体"/>
          <w:b/>
          <w:sz w:val="28"/>
          <w:szCs w:val="28"/>
          <w:u w:val="single"/>
          <w:lang w:eastAsia="zh-CN"/>
        </w:rPr>
      </w:pPr>
      <w:r>
        <w:rPr>
          <w:rFonts w:hint="eastAsia" w:ascii="宋体" w:hAnsi="宋体"/>
          <w:b/>
          <w:sz w:val="28"/>
        </w:rPr>
        <w:t>项目名称：</w:t>
      </w:r>
      <w:r>
        <w:rPr>
          <w:rFonts w:hint="eastAsia" w:ascii="宋体" w:hAnsi="宋体"/>
          <w:b/>
          <w:sz w:val="28"/>
          <w:szCs w:val="28"/>
          <w:u w:val="single"/>
          <w:lang w:eastAsia="zh-CN"/>
        </w:rPr>
        <w:t>成都市龙泉驿区人民检察院物业管理服务采购项目</w:t>
      </w:r>
    </w:p>
    <w:p>
      <w:pPr>
        <w:snapToGrid w:val="0"/>
        <w:spacing w:line="360" w:lineRule="auto"/>
        <w:ind w:right="-624" w:rightChars="-297"/>
        <w:rPr>
          <w:rFonts w:hint="eastAsia" w:ascii="宋体" w:hAnsi="宋体" w:eastAsia="宋体"/>
          <w:b/>
          <w:sz w:val="28"/>
          <w:lang w:eastAsia="zh-CN"/>
        </w:rPr>
      </w:pPr>
      <w:r>
        <w:rPr>
          <w:rFonts w:hint="eastAsia" w:ascii="宋体" w:hAnsi="宋体"/>
          <w:b/>
          <w:sz w:val="28"/>
        </w:rPr>
        <w:t>项目编号：</w:t>
      </w:r>
      <w:r>
        <w:rPr>
          <w:rFonts w:hint="eastAsia" w:ascii="宋体" w:hAnsi="宋体"/>
          <w:b/>
          <w:sz w:val="28"/>
          <w:u w:val="single"/>
          <w:lang w:eastAsia="zh-CN"/>
        </w:rPr>
        <w:t>龙泉驿政采（2021）A0060号</w:t>
      </w:r>
    </w:p>
    <w:p>
      <w:pPr>
        <w:tabs>
          <w:tab w:val="left" w:pos="720"/>
        </w:tabs>
        <w:spacing w:line="360" w:lineRule="auto"/>
        <w:ind w:firstLine="560" w:firstLineChars="200"/>
        <w:rPr>
          <w:rFonts w:ascii="宋体" w:hAnsi="宋体"/>
          <w:sz w:val="28"/>
        </w:rPr>
      </w:pPr>
      <w:r>
        <w:rPr>
          <w:rFonts w:hint="eastAsia" w:ascii="宋体" w:hAnsi="宋体"/>
          <w:sz w:val="28"/>
        </w:rPr>
        <w:t>一、验收标准</w:t>
      </w:r>
    </w:p>
    <w:p>
      <w:pPr>
        <w:spacing w:line="360" w:lineRule="auto"/>
        <w:ind w:firstLine="565" w:firstLineChars="202"/>
        <w:rPr>
          <w:rFonts w:ascii="宋体" w:hAnsi="宋体"/>
          <w:sz w:val="28"/>
        </w:rPr>
      </w:pPr>
      <w:r>
        <w:rPr>
          <w:rFonts w:hint="eastAsia" w:ascii="宋体" w:hAnsi="宋体"/>
          <w:sz w:val="28"/>
        </w:rPr>
        <w:t xml:space="preserve">    （投标人应提出详细的验收程序和所执行的验收标准）</w:t>
      </w:r>
    </w:p>
    <w:p>
      <w:pPr>
        <w:tabs>
          <w:tab w:val="left" w:pos="720"/>
        </w:tabs>
        <w:spacing w:line="360" w:lineRule="auto"/>
        <w:ind w:firstLine="560" w:firstLineChars="200"/>
        <w:rPr>
          <w:rFonts w:ascii="宋体" w:hAnsi="宋体"/>
          <w:sz w:val="28"/>
        </w:rPr>
      </w:pPr>
      <w:r>
        <w:rPr>
          <w:rFonts w:hint="eastAsia" w:ascii="宋体" w:hAnsi="宋体"/>
          <w:sz w:val="28"/>
          <w:lang w:eastAsia="zh-CN"/>
        </w:rPr>
        <w:t>二</w:t>
      </w:r>
      <w:r>
        <w:rPr>
          <w:rFonts w:hint="eastAsia" w:ascii="宋体" w:hAnsi="宋体"/>
          <w:sz w:val="28"/>
        </w:rPr>
        <w:t>、售后服务承诺</w:t>
      </w:r>
    </w:p>
    <w:p>
      <w:pPr>
        <w:tabs>
          <w:tab w:val="left" w:pos="720"/>
        </w:tabs>
        <w:ind w:firstLine="560" w:firstLineChars="200"/>
        <w:rPr>
          <w:rFonts w:ascii="宋体" w:hAnsi="宋体"/>
          <w:sz w:val="28"/>
        </w:rPr>
      </w:pPr>
      <w:r>
        <w:rPr>
          <w:rFonts w:hint="eastAsia" w:ascii="宋体" w:hAnsi="宋体"/>
          <w:sz w:val="28"/>
          <w:lang w:eastAsia="zh-CN"/>
        </w:rPr>
        <w:t>三</w:t>
      </w:r>
      <w:r>
        <w:rPr>
          <w:rFonts w:hint="eastAsia" w:ascii="宋体" w:hAnsi="宋体"/>
          <w:sz w:val="28"/>
        </w:rPr>
        <w:t>、其他说明的内容</w:t>
      </w:r>
      <w:bookmarkEnd w:id="225"/>
      <w:bookmarkStart w:id="229" w:name="_Toc316475719"/>
    </w:p>
    <w:p>
      <w:pPr>
        <w:ind w:firstLine="565" w:firstLineChars="202"/>
        <w:rPr>
          <w:rFonts w:ascii="宋体" w:hAnsi="宋体"/>
          <w:sz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pStyle w:val="17"/>
      </w:pPr>
    </w:p>
    <w:p>
      <w:pPr>
        <w:ind w:firstLine="565" w:firstLineChars="202"/>
        <w:rPr>
          <w:rFonts w:ascii="宋体" w:hAnsi="宋体"/>
          <w:bCs/>
          <w:sz w:val="28"/>
          <w:szCs w:val="28"/>
        </w:rPr>
      </w:pPr>
    </w:p>
    <w:p>
      <w:pPr>
        <w:rPr>
          <w:rFonts w:ascii="宋体" w:hAnsi="宋体"/>
          <w:bCs/>
          <w:sz w:val="28"/>
          <w:szCs w:val="28"/>
        </w:rPr>
      </w:pPr>
    </w:p>
    <w:p>
      <w:pPr>
        <w:keepNext/>
        <w:keepLines/>
        <w:numPr>
          <w:ilvl w:val="2"/>
          <w:numId w:val="6"/>
        </w:numPr>
        <w:spacing w:line="360" w:lineRule="auto"/>
        <w:outlineLvl w:val="2"/>
        <w:rPr>
          <w:rFonts w:ascii="宋体" w:hAnsi="宋体"/>
          <w:b/>
          <w:bCs/>
          <w:sz w:val="28"/>
          <w:szCs w:val="28"/>
        </w:rPr>
        <w:sectPr>
          <w:pgSz w:w="11850" w:h="16783"/>
          <w:pgMar w:top="1440" w:right="1800" w:bottom="1440" w:left="1800" w:header="708" w:footer="708" w:gutter="0"/>
          <w:cols w:space="708" w:num="1"/>
          <w:docGrid w:linePitch="360" w:charSpace="0"/>
        </w:sectPr>
      </w:pPr>
    </w:p>
    <w:p>
      <w:pPr>
        <w:keepNext/>
        <w:keepLines/>
        <w:numPr>
          <w:ilvl w:val="2"/>
          <w:numId w:val="6"/>
        </w:numPr>
        <w:spacing w:line="360" w:lineRule="auto"/>
        <w:outlineLvl w:val="2"/>
        <w:rPr>
          <w:rFonts w:ascii="宋体" w:hAnsi="宋体"/>
          <w:b/>
          <w:bCs/>
          <w:sz w:val="28"/>
          <w:szCs w:val="28"/>
        </w:rPr>
      </w:pPr>
      <w:r>
        <w:rPr>
          <w:rFonts w:hint="eastAsia" w:ascii="宋体" w:hAnsi="宋体"/>
          <w:b/>
          <w:bCs/>
          <w:sz w:val="28"/>
          <w:szCs w:val="28"/>
        </w:rPr>
        <w:t>项目实施方案</w:t>
      </w:r>
    </w:p>
    <w:p>
      <w:pPr>
        <w:snapToGrid w:val="0"/>
        <w:spacing w:line="360" w:lineRule="auto"/>
        <w:ind w:right="-624" w:rightChars="-297"/>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lang w:eastAsia="zh-CN"/>
        </w:rPr>
        <w:t>成都市龙泉驿区人民检察院物业管理服务采购项目</w:t>
      </w:r>
    </w:p>
    <w:p>
      <w:pPr>
        <w:snapToGrid w:val="0"/>
        <w:spacing w:line="360" w:lineRule="auto"/>
        <w:rPr>
          <w:rFonts w:hint="eastAsia" w:ascii="宋体" w:hAnsi="宋体" w:eastAsia="宋体"/>
          <w:b/>
          <w:sz w:val="28"/>
          <w:szCs w:val="28"/>
          <w:lang w:eastAsia="zh-CN"/>
        </w:rPr>
      </w:pPr>
      <w:r>
        <w:rPr>
          <w:rFonts w:hint="eastAsia" w:ascii="宋体" w:hAnsi="宋体"/>
          <w:b/>
          <w:sz w:val="28"/>
          <w:szCs w:val="28"/>
        </w:rPr>
        <w:t>项目编号：</w:t>
      </w:r>
      <w:r>
        <w:rPr>
          <w:rFonts w:hint="eastAsia" w:ascii="宋体" w:hAnsi="宋体"/>
          <w:b/>
          <w:sz w:val="28"/>
          <w:u w:val="single"/>
          <w:lang w:eastAsia="zh-CN"/>
        </w:rPr>
        <w:t>龙泉驿政采（2021）A0060号</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u w:val="single"/>
        </w:rPr>
      </w:pPr>
    </w:p>
    <w:p>
      <w:pPr>
        <w:rPr>
          <w:rFonts w:ascii="宋体" w:hAnsi="宋体"/>
          <w:bCs/>
          <w:sz w:val="28"/>
          <w:szCs w:val="28"/>
        </w:rPr>
      </w:pPr>
    </w:p>
    <w:p>
      <w:pPr>
        <w:keepNext/>
        <w:keepLines/>
        <w:numPr>
          <w:ilvl w:val="2"/>
          <w:numId w:val="6"/>
        </w:numPr>
        <w:spacing w:line="560" w:lineRule="exact"/>
        <w:outlineLvl w:val="2"/>
        <w:rPr>
          <w:rFonts w:ascii="宋体" w:hAnsi="宋体"/>
          <w:b/>
          <w:sz w:val="28"/>
          <w:szCs w:val="28"/>
        </w:rPr>
        <w:sectPr>
          <w:pgSz w:w="11850" w:h="16783"/>
          <w:pgMar w:top="1440" w:right="1800" w:bottom="1440" w:left="1800" w:header="708" w:footer="708" w:gutter="0"/>
          <w:cols w:space="708" w:num="1"/>
          <w:docGrid w:linePitch="360" w:charSpace="0"/>
        </w:sectPr>
      </w:pPr>
    </w:p>
    <w:p>
      <w:pPr>
        <w:keepNext/>
        <w:keepLines/>
        <w:numPr>
          <w:ilvl w:val="2"/>
          <w:numId w:val="6"/>
        </w:numPr>
        <w:spacing w:line="560" w:lineRule="exact"/>
        <w:outlineLvl w:val="2"/>
        <w:rPr>
          <w:rFonts w:ascii="宋体" w:hAnsi="宋体"/>
          <w:b/>
          <w:sz w:val="28"/>
          <w:szCs w:val="28"/>
        </w:rPr>
      </w:pPr>
      <w:r>
        <w:rPr>
          <w:rFonts w:hint="eastAsia" w:ascii="宋体" w:hAnsi="宋体"/>
          <w:b/>
          <w:sz w:val="28"/>
          <w:szCs w:val="28"/>
        </w:rPr>
        <w:t>承诺函</w:t>
      </w:r>
    </w:p>
    <w:p>
      <w:pPr>
        <w:snapToGrid w:val="0"/>
        <w:spacing w:line="560" w:lineRule="exact"/>
        <w:rPr>
          <w:rFonts w:hint="eastAsia" w:ascii="宋体" w:hAnsi="宋体"/>
          <w:b/>
          <w:sz w:val="28"/>
          <w:szCs w:val="28"/>
          <w:u w:val="single"/>
          <w:lang w:eastAsia="zh-CN"/>
        </w:rPr>
      </w:pPr>
      <w:r>
        <w:rPr>
          <w:rFonts w:hint="eastAsia" w:ascii="宋体" w:hAnsi="宋体"/>
          <w:b/>
          <w:sz w:val="28"/>
          <w:szCs w:val="28"/>
        </w:rPr>
        <w:t>项目名称：</w:t>
      </w:r>
      <w:r>
        <w:rPr>
          <w:rFonts w:hint="eastAsia" w:ascii="宋体" w:hAnsi="宋体"/>
          <w:b/>
          <w:sz w:val="28"/>
          <w:szCs w:val="28"/>
          <w:u w:val="single"/>
          <w:lang w:eastAsia="zh-CN"/>
        </w:rPr>
        <w:t>成都市龙泉驿区人民检察院物业管理服务采购项目</w:t>
      </w:r>
    </w:p>
    <w:p>
      <w:pPr>
        <w:snapToGrid w:val="0"/>
        <w:spacing w:line="560" w:lineRule="exact"/>
        <w:rPr>
          <w:rFonts w:hint="eastAsia" w:ascii="宋体" w:hAnsi="宋体" w:eastAsia="宋体"/>
          <w:b/>
          <w:sz w:val="28"/>
          <w:szCs w:val="28"/>
          <w:lang w:eastAsia="zh-CN"/>
        </w:rPr>
      </w:pPr>
      <w:r>
        <w:rPr>
          <w:rFonts w:hint="eastAsia" w:ascii="宋体" w:hAnsi="宋体"/>
          <w:b/>
          <w:bCs w:val="0"/>
          <w:sz w:val="28"/>
          <w:szCs w:val="28"/>
          <w:u w:val="none"/>
          <w:lang w:eastAsia="zh-CN"/>
        </w:rPr>
        <w:t>项目</w:t>
      </w:r>
      <w:r>
        <w:rPr>
          <w:rFonts w:hint="eastAsia" w:ascii="宋体" w:hAnsi="宋体"/>
          <w:b/>
          <w:bCs w:val="0"/>
          <w:sz w:val="28"/>
          <w:szCs w:val="28"/>
          <w:u w:val="none"/>
        </w:rPr>
        <w:t>编号</w:t>
      </w:r>
      <w:r>
        <w:rPr>
          <w:rFonts w:hint="eastAsia" w:ascii="宋体" w:hAnsi="宋体"/>
          <w:b/>
          <w:sz w:val="28"/>
          <w:szCs w:val="28"/>
        </w:rPr>
        <w:t>：</w:t>
      </w:r>
      <w:r>
        <w:rPr>
          <w:rFonts w:hint="eastAsia" w:ascii="宋体" w:hAnsi="宋体"/>
          <w:b/>
          <w:sz w:val="28"/>
          <w:szCs w:val="28"/>
          <w:u w:val="single"/>
          <w:lang w:eastAsia="zh-CN"/>
        </w:rPr>
        <w:t>龙泉驿政采（2021）A0060号</w:t>
      </w:r>
    </w:p>
    <w:p>
      <w:pPr>
        <w:snapToGrid w:val="0"/>
        <w:spacing w:line="560" w:lineRule="exact"/>
        <w:ind w:firstLine="560" w:firstLineChars="200"/>
        <w:rPr>
          <w:rFonts w:ascii="宋体" w:hAnsi="宋体"/>
          <w:sz w:val="28"/>
        </w:rPr>
      </w:pPr>
      <w:r>
        <w:rPr>
          <w:rFonts w:hint="eastAsia" w:ascii="宋体" w:hAnsi="宋体"/>
          <w:sz w:val="28"/>
        </w:rPr>
        <w:t>我公司作为参加本项目的投标人，在此郑重承诺：</w:t>
      </w:r>
    </w:p>
    <w:p>
      <w:pPr>
        <w:pStyle w:val="151"/>
        <w:numPr>
          <w:ilvl w:val="0"/>
          <w:numId w:val="0"/>
        </w:numPr>
        <w:tabs>
          <w:tab w:val="left" w:pos="1134"/>
        </w:tabs>
        <w:snapToGrid w:val="0"/>
        <w:spacing w:before="60" w:after="200" w:line="560" w:lineRule="exact"/>
        <w:ind w:left="567" w:leftChars="0" w:right="210" w:rightChars="0"/>
        <w:rPr>
          <w:rFonts w:hint="default" w:ascii="宋体" w:hAnsi="宋体" w:eastAsia="宋体"/>
          <w:sz w:val="28"/>
          <w:szCs w:val="28"/>
          <w:lang w:val="en-US" w:eastAsia="zh-CN"/>
        </w:rPr>
      </w:pPr>
      <w:r>
        <w:rPr>
          <w:rFonts w:hint="eastAsia" w:ascii="宋体" w:hAnsi="宋体"/>
          <w:sz w:val="28"/>
          <w:szCs w:val="28"/>
          <w:lang w:val="en-US" w:eastAsia="zh-CN"/>
        </w:rPr>
        <w:t>Xxxx(供应商自行承诺)</w:t>
      </w:r>
    </w:p>
    <w:p>
      <w:pPr>
        <w:snapToGrid w:val="0"/>
        <w:spacing w:line="560" w:lineRule="exact"/>
        <w:ind w:firstLine="560" w:firstLineChars="200"/>
      </w:pPr>
      <w:r>
        <w:rPr>
          <w:rFonts w:hint="eastAsia" w:ascii="宋体" w:hAnsi="宋体"/>
          <w:sz w:val="28"/>
          <w:szCs w:val="28"/>
        </w:rPr>
        <w:t>特此承诺。</w:t>
      </w:r>
    </w:p>
    <w:p>
      <w:pPr>
        <w:snapToGrid w:val="0"/>
        <w:spacing w:line="560" w:lineRule="exact"/>
        <w:ind w:firstLine="560" w:firstLineChars="200"/>
        <w:rPr>
          <w:rFonts w:ascii="宋体" w:hAnsi="宋体"/>
          <w:sz w:val="28"/>
          <w:szCs w:val="28"/>
        </w:rPr>
      </w:pPr>
    </w:p>
    <w:p>
      <w:pPr>
        <w:snapToGrid w:val="0"/>
        <w:spacing w:line="560" w:lineRule="exact"/>
        <w:ind w:firstLine="560" w:firstLineChars="200"/>
        <w:rPr>
          <w:rFonts w:ascii="宋体" w:hAnsi="宋体"/>
          <w:sz w:val="28"/>
          <w:szCs w:val="28"/>
        </w:rPr>
      </w:pPr>
    </w:p>
    <w:p>
      <w:pPr>
        <w:spacing w:after="120" w:line="560" w:lineRule="exact"/>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56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rPr>
      </w:pPr>
    </w:p>
    <w:p>
      <w:pPr>
        <w:keepNext/>
        <w:keepLines/>
        <w:numPr>
          <w:ilvl w:val="1"/>
          <w:numId w:val="6"/>
        </w:numPr>
        <w:spacing w:line="360" w:lineRule="auto"/>
        <w:jc w:val="left"/>
        <w:outlineLvl w:val="1"/>
        <w:rPr>
          <w:rFonts w:ascii="宋体" w:hAnsi="宋体"/>
          <w:b/>
          <w:bCs/>
          <w:sz w:val="28"/>
          <w:szCs w:val="28"/>
        </w:rPr>
        <w:sectPr>
          <w:pgSz w:w="11850" w:h="16783"/>
          <w:pgMar w:top="1440" w:right="1800" w:bottom="1440" w:left="1800" w:header="708" w:footer="708" w:gutter="0"/>
          <w:cols w:space="708" w:num="1"/>
          <w:docGrid w:linePitch="360" w:charSpace="0"/>
        </w:sectPr>
      </w:pPr>
      <w:bookmarkStart w:id="230" w:name="_Toc74752333"/>
    </w:p>
    <w:p>
      <w:pPr>
        <w:keepNext/>
        <w:keepLines/>
        <w:numPr>
          <w:ilvl w:val="1"/>
          <w:numId w:val="6"/>
        </w:numPr>
        <w:spacing w:line="360" w:lineRule="auto"/>
        <w:jc w:val="left"/>
        <w:outlineLvl w:val="1"/>
        <w:rPr>
          <w:rFonts w:ascii="宋体" w:hAnsi="宋体"/>
          <w:b/>
          <w:bCs/>
          <w:sz w:val="28"/>
          <w:szCs w:val="28"/>
        </w:rPr>
      </w:pPr>
      <w:bookmarkStart w:id="231" w:name="_Toc22659_WPSOffice_Level2"/>
      <w:bookmarkStart w:id="232" w:name="_Toc32118_WPSOffice_Level2"/>
      <w:bookmarkStart w:id="233" w:name="_Toc16176_WPSOffice_Level2"/>
      <w:r>
        <w:rPr>
          <w:rFonts w:hint="eastAsia" w:ascii="宋体" w:hAnsi="宋体"/>
          <w:b/>
          <w:bCs/>
          <w:sz w:val="28"/>
          <w:szCs w:val="28"/>
        </w:rPr>
        <w:t>报价</w:t>
      </w:r>
      <w:r>
        <w:rPr>
          <w:rFonts w:ascii="宋体" w:hAnsi="宋体"/>
          <w:b/>
          <w:bCs/>
          <w:sz w:val="28"/>
          <w:szCs w:val="28"/>
        </w:rPr>
        <w:t>要求响应文件</w:t>
      </w:r>
      <w:bookmarkEnd w:id="230"/>
      <w:bookmarkEnd w:id="231"/>
      <w:bookmarkEnd w:id="232"/>
      <w:bookmarkEnd w:id="233"/>
    </w:p>
    <w:p>
      <w:pPr>
        <w:keepNext/>
        <w:keepLines/>
        <w:numPr>
          <w:ilvl w:val="2"/>
          <w:numId w:val="6"/>
        </w:numPr>
        <w:spacing w:line="360" w:lineRule="auto"/>
        <w:outlineLvl w:val="2"/>
        <w:rPr>
          <w:rFonts w:ascii="宋体" w:hAnsi="宋体"/>
          <w:b/>
          <w:bCs/>
          <w:sz w:val="28"/>
          <w:szCs w:val="28"/>
        </w:rPr>
      </w:pPr>
      <w:r>
        <w:rPr>
          <w:rFonts w:hint="eastAsia" w:ascii="宋体" w:hAnsi="宋体"/>
          <w:b/>
          <w:bCs/>
          <w:sz w:val="28"/>
          <w:szCs w:val="28"/>
        </w:rPr>
        <w:t>开标</w:t>
      </w:r>
      <w:r>
        <w:rPr>
          <w:rFonts w:ascii="宋体" w:hAnsi="宋体"/>
          <w:b/>
          <w:bCs/>
          <w:sz w:val="28"/>
          <w:szCs w:val="28"/>
        </w:rPr>
        <w:t>一览表</w:t>
      </w:r>
    </w:p>
    <w:p>
      <w:pPr>
        <w:tabs>
          <w:tab w:val="left" w:pos="1134"/>
        </w:tabs>
        <w:spacing w:line="560" w:lineRule="exact"/>
        <w:rPr>
          <w:rFonts w:ascii="宋体" w:hAnsi="宋体"/>
          <w:b/>
          <w:bCs/>
          <w:sz w:val="28"/>
          <w:szCs w:val="28"/>
        </w:rPr>
      </w:pPr>
      <w:r>
        <w:rPr>
          <w:rFonts w:hint="eastAsia" w:ascii="宋体" w:hAnsi="宋体"/>
          <w:b/>
          <w:bCs/>
          <w:sz w:val="28"/>
          <w:szCs w:val="28"/>
        </w:rPr>
        <w:t>标项1：</w:t>
      </w:r>
      <w:r>
        <w:rPr>
          <w:rFonts w:hint="eastAsia" w:ascii="宋体" w:hAnsi="宋体"/>
          <w:b/>
          <w:bCs/>
          <w:sz w:val="28"/>
          <w:szCs w:val="28"/>
          <w:lang w:eastAsia="zh-CN"/>
        </w:rPr>
        <w:t>成都市龙泉驿区人民检察院物业管理服务采购项目</w:t>
      </w:r>
    </w:p>
    <w:tbl>
      <w:tblPr>
        <w:tblStyle w:val="49"/>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662" w:type="dxa"/>
          </w:tcPr>
          <w:p>
            <w:pPr>
              <w:tabs>
                <w:tab w:val="left" w:pos="1134"/>
              </w:tabs>
              <w:spacing w:line="560" w:lineRule="exact"/>
              <w:jc w:val="center"/>
              <w:rPr>
                <w:rFonts w:ascii="宋体" w:hAnsi="宋体"/>
                <w:kern w:val="0"/>
                <w:sz w:val="28"/>
                <w:szCs w:val="28"/>
              </w:rPr>
            </w:pPr>
            <w:r>
              <w:rPr>
                <w:rFonts w:hint="eastAsia" w:ascii="宋体" w:hAnsi="宋体"/>
                <w:kern w:val="0"/>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rPr>
                <w:rFonts w:ascii="宋体" w:hAnsi="宋体"/>
                <w:kern w:val="0"/>
                <w:sz w:val="28"/>
                <w:szCs w:val="28"/>
              </w:rPr>
            </w:pPr>
          </w:p>
        </w:tc>
      </w:tr>
    </w:tbl>
    <w:p>
      <w:pPr>
        <w:tabs>
          <w:tab w:val="left" w:pos="1134"/>
        </w:tabs>
        <w:spacing w:line="560" w:lineRule="exact"/>
        <w:ind w:firstLine="425" w:firstLineChars="152"/>
        <w:rPr>
          <w:rFonts w:ascii="宋体" w:hAnsi="宋体"/>
          <w:sz w:val="28"/>
          <w:szCs w:val="28"/>
        </w:rPr>
      </w:pPr>
    </w:p>
    <w:p>
      <w:pPr>
        <w:tabs>
          <w:tab w:val="left" w:pos="1134"/>
        </w:tabs>
        <w:spacing w:line="560" w:lineRule="exact"/>
        <w:ind w:firstLine="427" w:firstLineChars="152"/>
        <w:rPr>
          <w:rFonts w:ascii="宋体" w:hAnsi="宋体"/>
          <w:b/>
          <w:bCs/>
          <w:sz w:val="28"/>
        </w:rPr>
      </w:pPr>
      <w:r>
        <w:rPr>
          <w:rFonts w:ascii="宋体" w:hAnsi="宋体"/>
          <w:b/>
          <w:sz w:val="28"/>
          <w:szCs w:val="28"/>
        </w:rPr>
        <w:t>投标报价</w:t>
      </w:r>
      <w:r>
        <w:rPr>
          <w:rFonts w:hint="eastAsia" w:ascii="宋体" w:hAnsi="宋体"/>
          <w:b/>
          <w:sz w:val="28"/>
          <w:szCs w:val="28"/>
        </w:rPr>
        <w:t>以投标人</w:t>
      </w:r>
      <w:r>
        <w:rPr>
          <w:rFonts w:ascii="宋体" w:hAnsi="宋体"/>
          <w:b/>
          <w:sz w:val="28"/>
          <w:szCs w:val="28"/>
        </w:rPr>
        <w:t>在</w:t>
      </w:r>
      <w:r>
        <w:rPr>
          <w:rFonts w:hint="eastAsia" w:ascii="宋体" w:hAnsi="宋体"/>
          <w:b/>
          <w:sz w:val="28"/>
          <w:szCs w:val="28"/>
        </w:rPr>
        <w:t>政府采购</w:t>
      </w:r>
      <w:r>
        <w:rPr>
          <w:rFonts w:ascii="宋体" w:hAnsi="宋体"/>
          <w:b/>
          <w:sz w:val="28"/>
          <w:szCs w:val="28"/>
        </w:rPr>
        <w:t>云平台</w:t>
      </w:r>
      <w:r>
        <w:rPr>
          <w:rFonts w:hint="eastAsia" w:ascii="宋体" w:hAnsi="宋体"/>
          <w:b/>
          <w:sz w:val="28"/>
          <w:szCs w:val="28"/>
        </w:rPr>
        <w:t>开标</w:t>
      </w:r>
      <w:r>
        <w:rPr>
          <w:rFonts w:ascii="宋体" w:hAnsi="宋体"/>
          <w:b/>
          <w:sz w:val="28"/>
          <w:szCs w:val="28"/>
        </w:rPr>
        <w:t>一览表中填写的报价为准</w:t>
      </w:r>
      <w:r>
        <w:rPr>
          <w:rFonts w:hint="eastAsia" w:ascii="宋体" w:hAnsi="宋体"/>
          <w:b/>
          <w:sz w:val="28"/>
          <w:szCs w:val="28"/>
        </w:rPr>
        <w:t>。</w:t>
      </w: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pStyle w:val="17"/>
      </w:pPr>
    </w:p>
    <w:p>
      <w:pPr>
        <w:spacing w:line="360" w:lineRule="auto"/>
        <w:ind w:left="283" w:leftChars="135" w:firstLine="700" w:firstLineChars="250"/>
        <w:rPr>
          <w:rFonts w:ascii="宋体" w:hAnsi="宋体"/>
          <w:bCs/>
          <w:sz w:val="28"/>
        </w:rPr>
      </w:pPr>
    </w:p>
    <w:p>
      <w:pPr>
        <w:spacing w:line="360" w:lineRule="auto"/>
        <w:rPr>
          <w:rFonts w:ascii="宋体" w:hAnsi="宋体"/>
          <w:bCs/>
          <w:sz w:val="28"/>
        </w:rPr>
      </w:pPr>
    </w:p>
    <w:p>
      <w:pPr>
        <w:keepNext/>
        <w:keepLines/>
        <w:numPr>
          <w:ilvl w:val="2"/>
          <w:numId w:val="6"/>
        </w:numPr>
        <w:spacing w:line="360" w:lineRule="auto"/>
        <w:ind w:left="3119" w:hanging="3119"/>
        <w:outlineLvl w:val="2"/>
        <w:rPr>
          <w:rFonts w:ascii="宋体" w:hAnsi="宋体"/>
          <w:b/>
          <w:bCs/>
          <w:sz w:val="28"/>
          <w:szCs w:val="28"/>
        </w:rPr>
      </w:pPr>
      <w:r>
        <w:rPr>
          <w:rFonts w:hint="eastAsia" w:ascii="宋体" w:hAnsi="宋体"/>
          <w:b/>
          <w:bCs/>
          <w:sz w:val="28"/>
          <w:szCs w:val="28"/>
        </w:rPr>
        <w:t>分项报价明细表</w:t>
      </w:r>
    </w:p>
    <w:p>
      <w:pPr>
        <w:tabs>
          <w:tab w:val="left" w:pos="630"/>
          <w:tab w:val="left" w:pos="720"/>
          <w:tab w:val="left" w:pos="7560"/>
        </w:tabs>
        <w:spacing w:after="200" w:line="360" w:lineRule="auto"/>
        <w:ind w:firstLine="565" w:firstLineChars="201"/>
        <w:rPr>
          <w:rFonts w:ascii="宋体" w:hAnsi="宋体"/>
          <w:b/>
          <w:sz w:val="28"/>
        </w:rPr>
      </w:pPr>
      <w:r>
        <w:rPr>
          <w:rFonts w:hint="eastAsia" w:ascii="宋体" w:hAnsi="宋体"/>
          <w:b/>
          <w:sz w:val="28"/>
        </w:rPr>
        <w:t>分项报价明细表（说明：投标人应根据其投标报价的构成提供详细的分项价格明细表。）</w:t>
      </w:r>
    </w:p>
    <w:tbl>
      <w:tblPr>
        <w:tblStyle w:val="48"/>
        <w:tblpPr w:leftFromText="180" w:rightFromText="180" w:vertAnchor="text" w:horzAnchor="margin" w:tblpY="1"/>
        <w:tblOverlap w:val="never"/>
        <w:tblW w:w="8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30"/>
        <w:gridCol w:w="1699"/>
        <w:gridCol w:w="1558"/>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标的</w:t>
            </w:r>
            <w:r>
              <w:rPr>
                <w:rFonts w:ascii="宋体" w:hAnsi="宋体"/>
                <w:b/>
                <w:szCs w:val="28"/>
              </w:rPr>
              <w:t>名称</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b/>
                <w:szCs w:val="28"/>
                <w:lang w:eastAsia="zh-CN"/>
              </w:rPr>
            </w:pPr>
            <w:r>
              <w:rPr>
                <w:rFonts w:hint="eastAsia" w:ascii="宋体" w:hAnsi="宋体"/>
                <w:b/>
                <w:szCs w:val="28"/>
                <w:lang w:eastAsia="zh-CN"/>
              </w:rPr>
              <w:t>服务供应商</w:t>
            </w:r>
          </w:p>
        </w:tc>
        <w:tc>
          <w:tcPr>
            <w:tcW w:w="1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单位</w:t>
            </w:r>
          </w:p>
        </w:tc>
        <w:tc>
          <w:tcPr>
            <w:tcW w:w="27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b/>
                <w:szCs w:val="28"/>
                <w:lang w:eastAsia="zh-CN"/>
              </w:rPr>
            </w:pPr>
            <w:r>
              <w:rPr>
                <w:rFonts w:hint="eastAsia" w:ascii="宋体" w:hAnsi="宋体"/>
                <w:b/>
                <w:szCs w:val="28"/>
              </w:rPr>
              <w:t>总</w:t>
            </w:r>
            <w:r>
              <w:rPr>
                <w:rFonts w:hint="eastAsia" w:ascii="宋体" w:hAnsi="宋体"/>
                <w:b/>
                <w:szCs w:val="28"/>
                <w:lang w:eastAsia="zh-CN"/>
              </w:rPr>
              <w:t>价（万元</w:t>
            </w:r>
            <w:r>
              <w:rPr>
                <w:rFonts w:hint="eastAsia" w:ascii="宋体" w:hAnsi="宋体"/>
                <w:b/>
                <w:szCs w:val="28"/>
                <w:lang w:val="en-US" w:eastAsia="zh-CN"/>
              </w:rPr>
              <w:t>/年</w:t>
            </w:r>
            <w:r>
              <w:rPr>
                <w:rFonts w:hint="eastAsia" w:ascii="宋体" w:hAnsi="宋体"/>
                <w:b/>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1</w:t>
            </w:r>
          </w:p>
        </w:tc>
        <w:tc>
          <w:tcPr>
            <w:tcW w:w="1630" w:type="dxa"/>
            <w:tcBorders>
              <w:top w:val="single" w:color="auto" w:sz="4" w:space="0"/>
              <w:left w:val="single" w:color="auto" w:sz="4" w:space="0"/>
              <w:bottom w:val="single" w:color="auto" w:sz="4" w:space="0"/>
              <w:right w:val="single" w:color="auto" w:sz="4" w:space="0"/>
            </w:tcBorders>
            <w:vAlign w:val="center"/>
          </w:tcPr>
          <w:p>
            <w:pPr>
              <w:pStyle w:val="79"/>
              <w:spacing w:line="360" w:lineRule="auto"/>
              <w:ind w:firstLine="0" w:firstLineChars="0"/>
              <w:jc w:val="center"/>
              <w:rPr>
                <w:rFonts w:hint="eastAsia" w:ascii="宋体" w:hAnsi="宋体" w:eastAsia="宋体" w:cs="Times New Roman"/>
                <w:szCs w:val="28"/>
                <w:lang w:eastAsia="zh-CN"/>
              </w:rPr>
            </w:pPr>
            <w:r>
              <w:rPr>
                <w:rFonts w:hint="eastAsia" w:ascii="宋体" w:hAnsi="宋体" w:eastAsia="宋体" w:cs="Times New Roman"/>
                <w:szCs w:val="28"/>
                <w:lang w:eastAsia="zh-CN"/>
              </w:rPr>
              <w:t>服务费</w:t>
            </w:r>
          </w:p>
        </w:tc>
        <w:tc>
          <w:tcPr>
            <w:tcW w:w="1699"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8"/>
                <w:lang w:eastAsia="zh-CN"/>
              </w:rPr>
            </w:pPr>
            <w:r>
              <w:rPr>
                <w:rFonts w:hint="eastAsia" w:ascii="宋体" w:hAnsi="宋体"/>
                <w:szCs w:val="28"/>
                <w:lang w:eastAsia="zh-CN"/>
              </w:rPr>
              <w:t>万元</w:t>
            </w:r>
          </w:p>
        </w:tc>
        <w:tc>
          <w:tcPr>
            <w:tcW w:w="27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2</w:t>
            </w:r>
          </w:p>
        </w:tc>
        <w:tc>
          <w:tcPr>
            <w:tcW w:w="1630" w:type="dxa"/>
            <w:tcBorders>
              <w:top w:val="single" w:color="auto" w:sz="4" w:space="0"/>
              <w:left w:val="single" w:color="auto" w:sz="4" w:space="0"/>
              <w:bottom w:val="single" w:color="auto" w:sz="4" w:space="0"/>
              <w:right w:val="single" w:color="auto" w:sz="4" w:space="0"/>
            </w:tcBorders>
            <w:vAlign w:val="center"/>
          </w:tcPr>
          <w:p>
            <w:pPr>
              <w:pStyle w:val="79"/>
              <w:spacing w:line="360" w:lineRule="auto"/>
              <w:ind w:firstLine="0" w:firstLineChars="0"/>
              <w:jc w:val="center"/>
              <w:rPr>
                <w:rFonts w:hint="eastAsia" w:ascii="宋体" w:hAnsi="宋体" w:eastAsia="宋体" w:cs="Times New Roman"/>
                <w:szCs w:val="28"/>
                <w:lang w:eastAsia="zh-CN"/>
              </w:rPr>
            </w:pPr>
            <w:r>
              <w:rPr>
                <w:rFonts w:hint="eastAsia" w:ascii="宋体" w:hAnsi="宋体" w:eastAsia="宋体" w:cs="Times New Roman"/>
                <w:szCs w:val="28"/>
                <w:lang w:eastAsia="zh-CN"/>
              </w:rPr>
              <w:t>税费</w:t>
            </w:r>
          </w:p>
        </w:tc>
        <w:tc>
          <w:tcPr>
            <w:tcW w:w="1699"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Cs w:val="28"/>
                <w:lang w:val="en-US" w:eastAsia="zh-CN"/>
              </w:rPr>
            </w:pPr>
            <w:r>
              <w:rPr>
                <w:rFonts w:hint="eastAsia" w:ascii="宋体" w:hAnsi="宋体"/>
                <w:szCs w:val="28"/>
                <w:lang w:val="en-US" w:eastAsia="zh-CN"/>
              </w:rPr>
              <w:t>万元</w:t>
            </w:r>
          </w:p>
        </w:tc>
        <w:tc>
          <w:tcPr>
            <w:tcW w:w="27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1630" w:type="dxa"/>
            <w:tcBorders>
              <w:top w:val="single" w:color="auto" w:sz="4" w:space="0"/>
              <w:left w:val="single" w:color="auto" w:sz="4" w:space="0"/>
              <w:bottom w:val="single" w:color="auto" w:sz="4" w:space="0"/>
              <w:right w:val="single" w:color="auto" w:sz="4" w:space="0"/>
            </w:tcBorders>
            <w:vAlign w:val="center"/>
          </w:tcPr>
          <w:p>
            <w:pPr>
              <w:pStyle w:val="79"/>
              <w:spacing w:line="360" w:lineRule="auto"/>
              <w:ind w:firstLine="0" w:firstLineChars="0"/>
              <w:jc w:val="center"/>
              <w:rPr>
                <w:rFonts w:hint="eastAsia" w:ascii="宋体" w:hAnsi="宋体" w:eastAsia="宋体" w:cs="Times New Roman"/>
                <w:szCs w:val="28"/>
                <w:lang w:eastAsia="zh-CN"/>
              </w:rPr>
            </w:pPr>
          </w:p>
        </w:tc>
        <w:tc>
          <w:tcPr>
            <w:tcW w:w="1699"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27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bl>
    <w:p>
      <w:pPr>
        <w:spacing w:line="360" w:lineRule="auto"/>
        <w:ind w:firstLine="419" w:firstLineChars="149"/>
        <w:rPr>
          <w:rFonts w:hint="eastAsia" w:ascii="宋体" w:hAnsi="宋体"/>
          <w:b/>
          <w:sz w:val="28"/>
          <w:szCs w:val="28"/>
        </w:rPr>
      </w:pPr>
    </w:p>
    <w:p>
      <w:pPr>
        <w:spacing w:line="360" w:lineRule="auto"/>
        <w:ind w:firstLine="419" w:firstLineChars="149"/>
        <w:rPr>
          <w:rFonts w:hint="eastAsia" w:ascii="宋体" w:hAnsi="宋体"/>
          <w:b/>
          <w:sz w:val="28"/>
          <w:szCs w:val="28"/>
        </w:rPr>
      </w:pPr>
    </w:p>
    <w:p>
      <w:pPr>
        <w:spacing w:line="360" w:lineRule="auto"/>
        <w:ind w:firstLine="419" w:firstLineChars="149"/>
        <w:rPr>
          <w:rFonts w:hint="eastAsia" w:ascii="宋体" w:hAnsi="宋体"/>
          <w:b/>
          <w:sz w:val="28"/>
          <w:szCs w:val="28"/>
        </w:rPr>
      </w:pPr>
    </w:p>
    <w:p>
      <w:pPr>
        <w:spacing w:line="360" w:lineRule="auto"/>
        <w:ind w:firstLine="419" w:firstLineChars="149"/>
        <w:rPr>
          <w:rFonts w:hint="eastAsia" w:ascii="宋体" w:hAnsi="宋体"/>
          <w:b/>
          <w:sz w:val="28"/>
          <w:szCs w:val="28"/>
        </w:rPr>
      </w:pPr>
    </w:p>
    <w:p>
      <w:pPr>
        <w:spacing w:line="360" w:lineRule="auto"/>
        <w:ind w:firstLine="419" w:firstLineChars="149"/>
        <w:rPr>
          <w:rFonts w:hint="eastAsia" w:ascii="宋体" w:hAnsi="宋体"/>
          <w:b/>
          <w:sz w:val="28"/>
          <w:szCs w:val="28"/>
        </w:rPr>
      </w:pPr>
    </w:p>
    <w:p>
      <w:pPr>
        <w:spacing w:line="360" w:lineRule="auto"/>
        <w:ind w:firstLine="419" w:firstLineChars="149"/>
        <w:rPr>
          <w:rFonts w:hint="eastAsia" w:ascii="宋体" w:hAnsi="宋体"/>
          <w:b/>
          <w:sz w:val="28"/>
          <w:szCs w:val="28"/>
        </w:rPr>
      </w:pPr>
    </w:p>
    <w:p>
      <w:pPr>
        <w:spacing w:line="360" w:lineRule="auto"/>
        <w:ind w:firstLine="419" w:firstLineChars="149"/>
        <w:rPr>
          <w:rFonts w:hint="eastAsia" w:ascii="宋体" w:hAnsi="宋体"/>
          <w:b/>
          <w:sz w:val="28"/>
          <w:szCs w:val="28"/>
        </w:rPr>
      </w:pPr>
    </w:p>
    <w:p>
      <w:pPr>
        <w:spacing w:line="360" w:lineRule="auto"/>
        <w:ind w:firstLine="419" w:firstLineChars="149"/>
        <w:rPr>
          <w:rFonts w:hint="eastAsia" w:ascii="宋体" w:hAnsi="宋体"/>
          <w:b/>
          <w:sz w:val="28"/>
          <w:szCs w:val="28"/>
        </w:rPr>
      </w:pPr>
    </w:p>
    <w:p>
      <w:pPr>
        <w:spacing w:line="360" w:lineRule="auto"/>
        <w:ind w:firstLine="419" w:firstLineChars="149"/>
        <w:rPr>
          <w:rFonts w:hint="eastAsia" w:ascii="宋体" w:hAnsi="宋体"/>
          <w:b/>
          <w:sz w:val="28"/>
          <w:szCs w:val="28"/>
        </w:rPr>
      </w:pPr>
    </w:p>
    <w:p>
      <w:pPr>
        <w:spacing w:line="360" w:lineRule="auto"/>
        <w:ind w:firstLine="419" w:firstLineChars="149"/>
        <w:rPr>
          <w:rFonts w:hint="eastAsia" w:ascii="宋体" w:hAnsi="宋体"/>
          <w:b/>
          <w:sz w:val="28"/>
          <w:szCs w:val="28"/>
        </w:rPr>
      </w:pPr>
    </w:p>
    <w:p>
      <w:pPr>
        <w:spacing w:line="360" w:lineRule="auto"/>
        <w:ind w:firstLine="419" w:firstLineChars="149"/>
        <w:rPr>
          <w:rFonts w:ascii="宋体" w:hAnsi="宋体"/>
          <w:b/>
          <w:sz w:val="28"/>
          <w:szCs w:val="28"/>
        </w:rPr>
      </w:pPr>
      <w:r>
        <w:rPr>
          <w:rFonts w:hint="eastAsia" w:ascii="宋体" w:hAnsi="宋体"/>
          <w:b/>
          <w:sz w:val="28"/>
          <w:szCs w:val="28"/>
        </w:rPr>
        <w:t>说明：</w:t>
      </w:r>
    </w:p>
    <w:p>
      <w:pPr>
        <w:spacing w:line="360" w:lineRule="auto"/>
        <w:ind w:firstLine="361" w:firstLineChars="150"/>
        <w:rPr>
          <w:rFonts w:ascii="宋体" w:hAnsi="宋体"/>
          <w:b/>
          <w:sz w:val="24"/>
          <w:szCs w:val="24"/>
        </w:rPr>
      </w:pPr>
      <w:r>
        <w:rPr>
          <w:rFonts w:hint="eastAsia" w:ascii="宋体" w:hAnsi="宋体"/>
          <w:b/>
          <w:sz w:val="24"/>
          <w:szCs w:val="24"/>
        </w:rPr>
        <w:t>报价应是包括磋商文件规定的全部响应内容的报价。</w:t>
      </w:r>
    </w:p>
    <w:p>
      <w:pPr>
        <w:keepNext/>
        <w:keepLines/>
        <w:numPr>
          <w:ilvl w:val="0"/>
          <w:numId w:val="0"/>
        </w:numPr>
        <w:spacing w:line="360" w:lineRule="auto"/>
        <w:ind w:leftChars="0"/>
        <w:outlineLvl w:val="2"/>
        <w:rPr>
          <w:rFonts w:ascii="宋体" w:hAnsi="宋体"/>
          <w:b/>
          <w:bCs/>
          <w:sz w:val="28"/>
          <w:szCs w:val="28"/>
        </w:rPr>
        <w:sectPr>
          <w:pgSz w:w="11850" w:h="16783"/>
          <w:pgMar w:top="1440" w:right="1800" w:bottom="1440" w:left="1800" w:header="708" w:footer="708" w:gutter="0"/>
          <w:cols w:space="708" w:num="1"/>
          <w:docGrid w:linePitch="360" w:charSpace="0"/>
        </w:sectPr>
      </w:pPr>
    </w:p>
    <w:p/>
    <w:bookmarkEnd w:id="229"/>
    <w:p>
      <w:pPr>
        <w:keepNext/>
        <w:keepLines/>
        <w:numPr>
          <w:ilvl w:val="0"/>
          <w:numId w:val="6"/>
        </w:numPr>
        <w:spacing w:line="360" w:lineRule="auto"/>
        <w:ind w:left="0" w:firstLine="0"/>
        <w:jc w:val="center"/>
        <w:outlineLvl w:val="0"/>
        <w:rPr>
          <w:rFonts w:ascii="宋体" w:hAnsi="宋体"/>
          <w:b/>
          <w:bCs/>
          <w:spacing w:val="-20"/>
          <w:kern w:val="44"/>
          <w:sz w:val="32"/>
          <w:szCs w:val="32"/>
        </w:rPr>
      </w:pPr>
      <w:bookmarkStart w:id="234" w:name="_Toc6034_WPSOffice_Level1"/>
      <w:bookmarkStart w:id="235" w:name="_Toc10619_WPSOffice_Level1"/>
      <w:bookmarkStart w:id="236" w:name="_Toc74752334"/>
      <w:bookmarkStart w:id="237" w:name="_Toc17317_WPSOffice_Level1"/>
      <w:bookmarkStart w:id="238" w:name="_Toc217446093"/>
      <w:bookmarkStart w:id="239" w:name="_Toc316292231"/>
      <w:bookmarkStart w:id="240" w:name="_Toc321382057"/>
      <w:r>
        <w:rPr>
          <w:rFonts w:hint="eastAsia" w:ascii="宋体" w:hAnsi="宋体"/>
          <w:b/>
          <w:bCs/>
          <w:spacing w:val="-20"/>
          <w:kern w:val="44"/>
          <w:sz w:val="32"/>
          <w:szCs w:val="32"/>
        </w:rPr>
        <w:t>招标项目技术、服务、商务及其他要求</w:t>
      </w:r>
      <w:bookmarkEnd w:id="234"/>
      <w:bookmarkEnd w:id="235"/>
      <w:bookmarkEnd w:id="236"/>
      <w:bookmarkEnd w:id="237"/>
      <w:bookmarkEnd w:id="238"/>
    </w:p>
    <w:p>
      <w:pPr>
        <w:keepNext/>
        <w:keepLines/>
        <w:numPr>
          <w:ilvl w:val="1"/>
          <w:numId w:val="6"/>
        </w:numPr>
        <w:tabs>
          <w:tab w:val="left" w:pos="0"/>
          <w:tab w:val="left" w:pos="426"/>
          <w:tab w:val="left" w:pos="576"/>
          <w:tab w:val="left" w:pos="786"/>
        </w:tabs>
        <w:spacing w:line="360" w:lineRule="auto"/>
        <w:ind w:left="0" w:firstLine="0"/>
        <w:outlineLvl w:val="1"/>
        <w:rPr>
          <w:rFonts w:ascii="宋体" w:hAnsi="宋体"/>
          <w:b/>
          <w:bCs/>
          <w:sz w:val="28"/>
          <w:szCs w:val="28"/>
        </w:rPr>
      </w:pPr>
      <w:bookmarkStart w:id="241" w:name="_Toc6654_WPSOffice_Level2"/>
      <w:bookmarkStart w:id="242" w:name="_Toc29188_WPSOffice_Level2"/>
      <w:bookmarkStart w:id="243" w:name="_Toc25214_WPSOffice_Level2"/>
      <w:bookmarkStart w:id="244" w:name="_Toc74752335"/>
      <w:r>
        <w:rPr>
          <w:rFonts w:hint="eastAsia" w:ascii="宋体" w:hAnsi="宋体"/>
          <w:b/>
          <w:bCs/>
          <w:sz w:val="28"/>
          <w:szCs w:val="28"/>
        </w:rPr>
        <w:t>项目概况</w:t>
      </w:r>
      <w:bookmarkEnd w:id="241"/>
      <w:bookmarkEnd w:id="242"/>
      <w:bookmarkEnd w:id="243"/>
      <w:bookmarkEnd w:id="244"/>
    </w:p>
    <w:p>
      <w:pPr>
        <w:pStyle w:val="26"/>
        <w:snapToGrid w:val="0"/>
        <w:spacing w:line="300" w:lineRule="auto"/>
        <w:rPr>
          <w:rFonts w:hint="default" w:eastAsia="宋体"/>
          <w:lang w:val="en-US" w:eastAsia="zh-CN"/>
        </w:rPr>
      </w:pPr>
      <w:r>
        <w:rPr>
          <w:rFonts w:hint="eastAsia" w:ascii="宋体" w:hAnsi="宋体"/>
          <w:b/>
          <w:bCs/>
          <w:sz w:val="32"/>
          <w:szCs w:val="32"/>
          <w:lang w:val="en-US" w:eastAsia="zh-CN"/>
        </w:rPr>
        <w:t xml:space="preserve"> </w:t>
      </w:r>
      <w:r>
        <w:rPr>
          <w:rFonts w:hint="eastAsia" w:ascii="Calibri" w:hAnsi="Calibri" w:eastAsia="宋体" w:cs="Times New Roman"/>
          <w:kern w:val="2"/>
          <w:sz w:val="24"/>
          <w:szCs w:val="24"/>
          <w:lang w:val="en-US" w:eastAsia="zh-CN" w:bidi="ar-SA"/>
        </w:rPr>
        <w:t>项目名称：</w:t>
      </w:r>
      <w:r>
        <w:rPr>
          <w:rFonts w:hint="eastAsia" w:ascii="Calibri" w:hAnsi="Calibri" w:cs="Times New Roman"/>
          <w:kern w:val="2"/>
          <w:sz w:val="24"/>
          <w:szCs w:val="24"/>
          <w:lang w:val="en-US" w:eastAsia="zh-CN" w:bidi="ar-SA"/>
        </w:rPr>
        <w:t>成都市龙泉驿区人民检察院</w:t>
      </w:r>
      <w:r>
        <w:rPr>
          <w:rFonts w:hint="eastAsia" w:ascii="Calibri" w:hAnsi="Calibri" w:eastAsia="宋体" w:cs="Times New Roman"/>
          <w:kern w:val="2"/>
          <w:sz w:val="24"/>
          <w:szCs w:val="24"/>
          <w:lang w:val="en-US" w:eastAsia="zh-CN" w:bidi="ar-SA"/>
        </w:rPr>
        <w:t>物业</w:t>
      </w:r>
      <w:r>
        <w:rPr>
          <w:rFonts w:hint="eastAsia" w:ascii="Calibri" w:hAnsi="Calibri" w:cs="Times New Roman"/>
          <w:kern w:val="2"/>
          <w:sz w:val="24"/>
          <w:szCs w:val="24"/>
          <w:lang w:val="en-US" w:eastAsia="zh-CN" w:bidi="ar-SA"/>
        </w:rPr>
        <w:t>服务</w:t>
      </w:r>
      <w:r>
        <w:rPr>
          <w:rFonts w:hint="eastAsia" w:ascii="Calibri" w:hAnsi="Calibri" w:eastAsia="宋体" w:cs="Times New Roman"/>
          <w:kern w:val="2"/>
          <w:sz w:val="24"/>
          <w:szCs w:val="24"/>
          <w:lang w:val="en-US" w:eastAsia="zh-CN" w:bidi="ar-SA"/>
        </w:rPr>
        <w:t>采购项目</w:t>
      </w:r>
      <w:r>
        <w:rPr>
          <w:rFonts w:hint="eastAsia" w:ascii="Calibri" w:hAnsi="Calibri" w:cs="Times New Roman"/>
          <w:kern w:val="2"/>
          <w:sz w:val="24"/>
          <w:szCs w:val="24"/>
          <w:lang w:val="en-US" w:eastAsia="zh-CN" w:bidi="ar-SA"/>
        </w:rPr>
        <w:t>。</w:t>
      </w:r>
    </w:p>
    <w:p>
      <w:pPr>
        <w:keepNext/>
        <w:keepLines/>
        <w:numPr>
          <w:ilvl w:val="1"/>
          <w:numId w:val="6"/>
        </w:numPr>
        <w:tabs>
          <w:tab w:val="left" w:pos="0"/>
          <w:tab w:val="left" w:pos="426"/>
          <w:tab w:val="left" w:pos="576"/>
          <w:tab w:val="left" w:pos="786"/>
        </w:tabs>
        <w:spacing w:line="360" w:lineRule="auto"/>
        <w:ind w:left="0" w:firstLine="0"/>
        <w:outlineLvl w:val="1"/>
        <w:rPr>
          <w:rFonts w:ascii="宋体" w:hAnsi="宋体"/>
          <w:b/>
          <w:bCs/>
          <w:sz w:val="28"/>
          <w:szCs w:val="28"/>
        </w:rPr>
      </w:pPr>
      <w:bookmarkStart w:id="245" w:name="_Toc26264_WPSOffice_Level2"/>
      <w:bookmarkStart w:id="246" w:name="_Toc2544_WPSOffice_Level2"/>
      <w:bookmarkStart w:id="247" w:name="_Toc20263_WPSOffice_Level2"/>
      <w:r>
        <w:rPr>
          <w:rFonts w:hint="eastAsia" w:ascii="宋体" w:hAnsi="宋体"/>
          <w:b/>
          <w:bCs/>
          <w:sz w:val="28"/>
          <w:szCs w:val="28"/>
          <w:lang w:eastAsia="zh-CN"/>
        </w:rPr>
        <w:t>服务地点</w:t>
      </w:r>
      <w:bookmarkEnd w:id="245"/>
      <w:bookmarkEnd w:id="246"/>
      <w:bookmarkEnd w:id="247"/>
      <w:r>
        <w:rPr>
          <w:rFonts w:hint="eastAsia" w:ascii="宋体" w:hAnsi="宋体"/>
          <w:b/>
          <w:bCs/>
          <w:sz w:val="28"/>
          <w:szCs w:val="28"/>
          <w:lang w:eastAsia="zh-CN"/>
        </w:rPr>
        <w:t>及范围</w:t>
      </w:r>
    </w:p>
    <w:p>
      <w:pPr>
        <w:spacing w:line="360" w:lineRule="auto"/>
        <w:ind w:firstLine="600" w:firstLineChars="250"/>
        <w:rPr>
          <w:rFonts w:hint="eastAsia" w:ascii="Calibri" w:hAnsi="Calibri" w:eastAsia="宋体" w:cs="Times New Roman"/>
          <w:kern w:val="2"/>
          <w:sz w:val="24"/>
          <w:szCs w:val="24"/>
          <w:lang w:val="en-US" w:eastAsia="zh-CN" w:bidi="ar-SA"/>
        </w:rPr>
      </w:pPr>
      <w:r>
        <w:rPr>
          <w:rFonts w:hint="eastAsia" w:cs="Times New Roman"/>
          <w:kern w:val="2"/>
          <w:sz w:val="24"/>
          <w:szCs w:val="24"/>
          <w:lang w:val="zh-CN" w:eastAsia="zh-CN" w:bidi="ar-SA"/>
        </w:rPr>
        <w:t>该项目</w:t>
      </w:r>
      <w:r>
        <w:rPr>
          <w:rFonts w:hint="eastAsia" w:ascii="Calibri" w:hAnsi="Calibri" w:eastAsia="宋体" w:cs="Times New Roman"/>
          <w:kern w:val="2"/>
          <w:sz w:val="24"/>
          <w:szCs w:val="24"/>
          <w:lang w:val="zh-CN" w:eastAsia="zh-CN" w:bidi="ar-SA"/>
        </w:rPr>
        <w:t>位</w:t>
      </w:r>
      <w:r>
        <w:rPr>
          <w:rFonts w:hint="eastAsia" w:cs="Times New Roman"/>
          <w:kern w:val="2"/>
          <w:sz w:val="24"/>
          <w:szCs w:val="24"/>
          <w:lang w:val="zh-CN" w:eastAsia="zh-CN" w:bidi="ar-SA"/>
        </w:rPr>
        <w:t>于成都市龙泉驿区明旭路568号。</w:t>
      </w:r>
      <w:r>
        <w:rPr>
          <w:rFonts w:hint="eastAsia" w:ascii="Calibri" w:hAnsi="Calibri" w:eastAsia="宋体" w:cs="Times New Roman"/>
          <w:kern w:val="2"/>
          <w:sz w:val="24"/>
          <w:szCs w:val="24"/>
          <w:lang w:val="en-US" w:eastAsia="zh-CN" w:bidi="ar-SA"/>
        </w:rPr>
        <w:t>1、该项目包含对三个单位的服务：中国共产党成都市龙泉驿区纪律检查委员会；成都市龙泉驿区纪律监察委员会，四川省成都市龙泉驿区人民检察院。 2、新办公大楼主楼建筑面积19777.94㎡，地面及绿化5000㎡，地下4000㎡；建筑层数20层，地下1层；纪委信访大厅200㎡，检务大厅300㎡。 3、新办公大楼二、三楼设置有成都市预防犯罪警示教育基地，面积3950㎡。</w:t>
      </w:r>
    </w:p>
    <w:p>
      <w:pPr>
        <w:pStyle w:val="5"/>
        <w:tabs>
          <w:tab w:val="left" w:pos="426"/>
          <w:tab w:val="left" w:pos="567"/>
        </w:tabs>
        <w:spacing w:line="240" w:lineRule="auto"/>
        <w:ind w:left="2" w:leftChars="-95" w:hanging="201" w:firstLineChars="0"/>
        <w:rPr>
          <w:rFonts w:hint="eastAsia"/>
          <w:lang w:val="en-US" w:eastAsia="zh-CN"/>
        </w:rPr>
      </w:pPr>
      <w:r>
        <w:rPr>
          <w:rFonts w:hint="eastAsia"/>
          <w:color w:val="000000"/>
          <w:sz w:val="28"/>
          <w:szCs w:val="28"/>
          <w:lang w:val="en-US" w:eastAsia="zh-CN"/>
        </w:rPr>
        <w:t xml:space="preserve"> </w:t>
      </w:r>
      <w:bookmarkStart w:id="248" w:name="_Toc17808"/>
      <w:bookmarkStart w:id="249" w:name="_Toc25852_WPSOffice_Level2"/>
      <w:bookmarkStart w:id="250" w:name="_Toc32540_WPSOffice_Level2"/>
      <w:bookmarkStart w:id="251" w:name="_Toc28354_WPSOffice_Level2"/>
      <w:r>
        <w:rPr>
          <w:rFonts w:hint="eastAsia"/>
          <w:color w:val="000000"/>
          <w:sz w:val="28"/>
          <w:szCs w:val="28"/>
          <w:lang w:val="en-US" w:eastAsia="zh-CN"/>
        </w:rPr>
        <w:t>服务内容及要求</w:t>
      </w:r>
      <w:bookmarkEnd w:id="248"/>
      <w:bookmarkEnd w:id="249"/>
      <w:bookmarkEnd w:id="250"/>
      <w:bookmarkEnd w:id="251"/>
    </w:p>
    <w:p>
      <w:pPr>
        <w:pStyle w:val="26"/>
        <w:spacing w:line="360" w:lineRule="auto"/>
        <w:ind w:left="-720" w:firstLine="1205" w:firstLineChars="500"/>
        <w:rPr>
          <w:rFonts w:hint="eastAsia" w:hAnsi="宋体" w:cs="宋体"/>
          <w:b/>
          <w:bCs/>
          <w:sz w:val="24"/>
          <w:szCs w:val="24"/>
        </w:rPr>
      </w:pPr>
      <w:r>
        <w:rPr>
          <w:rFonts w:hint="eastAsia" w:hAnsi="宋体" w:cs="宋体"/>
          <w:b/>
          <w:bCs/>
          <w:sz w:val="24"/>
          <w:szCs w:val="24"/>
        </w:rPr>
        <w:t>一、总体要求</w:t>
      </w:r>
    </w:p>
    <w:p>
      <w:pPr>
        <w:tabs>
          <w:tab w:val="left" w:pos="0"/>
        </w:tabs>
        <w:spacing w:line="360" w:lineRule="auto"/>
        <w:rPr>
          <w:rFonts w:hint="eastAsia" w:ascii="宋体" w:hAnsi="宋体" w:cs="宋体"/>
          <w:sz w:val="24"/>
        </w:rPr>
      </w:pPr>
      <w:r>
        <w:rPr>
          <w:rFonts w:hint="eastAsia" w:ascii="宋体" w:hAnsi="宋体" w:cs="宋体"/>
          <w:sz w:val="24"/>
        </w:rPr>
        <w:t xml:space="preserve">    1、物业范围：四川省成都市龙泉驿区</w:t>
      </w:r>
      <w:r>
        <w:rPr>
          <w:rFonts w:hint="eastAsia" w:ascii="宋体" w:hAnsi="宋体" w:cs="宋体"/>
          <w:sz w:val="24"/>
          <w:lang w:eastAsia="zh-CN"/>
        </w:rPr>
        <w:t>人民检察院</w:t>
      </w:r>
      <w:r>
        <w:rPr>
          <w:rFonts w:hint="eastAsia" w:ascii="宋体" w:hAnsi="宋体" w:cs="宋体"/>
          <w:sz w:val="24"/>
        </w:rPr>
        <w:t>新办公楼范围内的秩序维护、保洁、绿化养护、会务服务、接待讲解、公共设施维护和工程修缮管理、房屋设备设施维护管理服务、其他服务。</w:t>
      </w:r>
    </w:p>
    <w:p>
      <w:pPr>
        <w:tabs>
          <w:tab w:val="left" w:pos="420"/>
        </w:tabs>
        <w:spacing w:line="360" w:lineRule="auto"/>
        <w:ind w:firstLine="241" w:firstLineChars="100"/>
        <w:rPr>
          <w:rFonts w:hint="eastAsia" w:ascii="宋体" w:hAnsi="宋体" w:cs="宋体"/>
          <w:b/>
          <w:sz w:val="24"/>
        </w:rPr>
      </w:pPr>
      <w:r>
        <w:rPr>
          <w:rFonts w:hint="eastAsia" w:ascii="宋体" w:hAnsi="宋体" w:cs="宋体"/>
          <w:b/>
          <w:sz w:val="24"/>
        </w:rPr>
        <w:t>二、物业项目人员配备</w:t>
      </w:r>
    </w:p>
    <w:p>
      <w:pPr>
        <w:pStyle w:val="17"/>
        <w:spacing w:line="360" w:lineRule="auto"/>
        <w:ind w:firstLine="482" w:firstLineChars="200"/>
        <w:rPr>
          <w:rFonts w:hint="eastAsia"/>
          <w:sz w:val="24"/>
          <w:szCs w:val="24"/>
        </w:rPr>
      </w:pPr>
      <w:r>
        <w:rPr>
          <w:rFonts w:hint="eastAsia"/>
          <w:b/>
          <w:bCs/>
          <w:sz w:val="24"/>
          <w:szCs w:val="24"/>
        </w:rPr>
        <w:t>1、</w:t>
      </w:r>
      <w:r>
        <w:rPr>
          <w:rFonts w:hint="eastAsia"/>
          <w:sz w:val="24"/>
          <w:szCs w:val="24"/>
        </w:rPr>
        <w:t>投标人为本项目配备的总人数不得低于53人，其中：项目经理1人，环境维护23人，办公室后勤1人，绿化1人，会务服务5人，接待及讲解2人，公共设施维护和工程修缮管理</w:t>
      </w:r>
      <w:r>
        <w:rPr>
          <w:rFonts w:hint="eastAsia"/>
          <w:sz w:val="24"/>
          <w:szCs w:val="24"/>
          <w:lang w:val="en-US" w:eastAsia="zh-CN"/>
        </w:rPr>
        <w:t>4</w:t>
      </w:r>
      <w:r>
        <w:rPr>
          <w:rFonts w:hint="eastAsia"/>
          <w:sz w:val="24"/>
          <w:szCs w:val="24"/>
        </w:rPr>
        <w:t>人，秩序维护16人。</w:t>
      </w:r>
    </w:p>
    <w:p>
      <w:pPr>
        <w:tabs>
          <w:tab w:val="left" w:pos="420"/>
        </w:tabs>
        <w:spacing w:line="360" w:lineRule="auto"/>
        <w:ind w:firstLine="482" w:firstLineChars="200"/>
        <w:rPr>
          <w:rFonts w:hint="eastAsia"/>
        </w:rPr>
      </w:pPr>
      <w:r>
        <w:rPr>
          <w:rFonts w:hint="eastAsia" w:ascii="宋体" w:hAnsi="宋体" w:cs="宋体"/>
          <w:b/>
          <w:bCs/>
          <w:sz w:val="24"/>
          <w:szCs w:val="24"/>
        </w:rPr>
        <w:t>2、人</w:t>
      </w:r>
      <w:r>
        <w:rPr>
          <w:rFonts w:hint="eastAsia" w:ascii="宋体" w:hAnsi="宋体" w:cs="宋体"/>
          <w:b w:val="0"/>
          <w:bCs w:val="0"/>
          <w:sz w:val="24"/>
          <w:szCs w:val="24"/>
        </w:rPr>
        <w:t>员配置一览表</w:t>
      </w:r>
    </w:p>
    <w:tbl>
      <w:tblPr>
        <w:tblStyle w:val="48"/>
        <w:tblpPr w:leftFromText="180" w:rightFromText="180" w:vertAnchor="text" w:horzAnchor="page" w:tblpX="1873" w:tblpY="153"/>
        <w:tblOverlap w:val="never"/>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106"/>
        <w:gridCol w:w="3250"/>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91" w:type="dxa"/>
            <w:noWrap w:val="0"/>
            <w:vAlign w:val="top"/>
          </w:tcPr>
          <w:p>
            <w:pPr>
              <w:tabs>
                <w:tab w:val="left" w:pos="420"/>
              </w:tabs>
              <w:jc w:val="center"/>
              <w:rPr>
                <w:rFonts w:hint="eastAsia" w:ascii="宋体" w:hAnsi="宋体" w:cs="宋体"/>
                <w:sz w:val="24"/>
              </w:rPr>
            </w:pPr>
            <w:r>
              <w:rPr>
                <w:rFonts w:hint="eastAsia" w:ascii="宋体" w:hAnsi="宋体" w:cs="宋体"/>
                <w:sz w:val="24"/>
              </w:rPr>
              <w:t>序号</w:t>
            </w:r>
          </w:p>
        </w:tc>
        <w:tc>
          <w:tcPr>
            <w:tcW w:w="2106" w:type="dxa"/>
            <w:noWrap w:val="0"/>
            <w:vAlign w:val="top"/>
          </w:tcPr>
          <w:p>
            <w:pPr>
              <w:tabs>
                <w:tab w:val="left" w:pos="420"/>
              </w:tabs>
              <w:jc w:val="center"/>
              <w:rPr>
                <w:rFonts w:hint="eastAsia" w:ascii="宋体" w:hAnsi="宋体" w:cs="宋体"/>
                <w:sz w:val="24"/>
              </w:rPr>
            </w:pPr>
            <w:r>
              <w:rPr>
                <w:rFonts w:hint="eastAsia" w:ascii="宋体" w:hAnsi="宋体" w:cs="宋体"/>
                <w:sz w:val="24"/>
              </w:rPr>
              <w:t>工种</w:t>
            </w:r>
          </w:p>
        </w:tc>
        <w:tc>
          <w:tcPr>
            <w:tcW w:w="3250" w:type="dxa"/>
            <w:noWrap w:val="0"/>
            <w:vAlign w:val="top"/>
          </w:tcPr>
          <w:p>
            <w:pPr>
              <w:tabs>
                <w:tab w:val="left" w:pos="420"/>
              </w:tabs>
              <w:jc w:val="center"/>
              <w:rPr>
                <w:rFonts w:hint="eastAsia" w:ascii="宋体" w:hAnsi="宋体" w:cs="宋体"/>
                <w:sz w:val="24"/>
              </w:rPr>
            </w:pPr>
            <w:r>
              <w:rPr>
                <w:rFonts w:hint="eastAsia" w:ascii="宋体" w:hAnsi="宋体" w:cs="宋体"/>
                <w:sz w:val="24"/>
              </w:rPr>
              <w:t>岗位人数（人）</w:t>
            </w:r>
          </w:p>
        </w:tc>
        <w:tc>
          <w:tcPr>
            <w:tcW w:w="2433" w:type="dxa"/>
            <w:noWrap w:val="0"/>
            <w:vAlign w:val="top"/>
          </w:tcPr>
          <w:p>
            <w:pPr>
              <w:tabs>
                <w:tab w:val="left" w:pos="420"/>
              </w:tabs>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91" w:type="dxa"/>
            <w:noWrap w:val="0"/>
            <w:vAlign w:val="top"/>
          </w:tcPr>
          <w:p>
            <w:pPr>
              <w:tabs>
                <w:tab w:val="left" w:pos="420"/>
              </w:tabs>
              <w:jc w:val="center"/>
              <w:rPr>
                <w:rFonts w:hint="eastAsia" w:ascii="宋体" w:hAnsi="宋体" w:cs="宋体"/>
                <w:sz w:val="24"/>
              </w:rPr>
            </w:pPr>
            <w:r>
              <w:rPr>
                <w:rFonts w:hint="eastAsia" w:ascii="宋体" w:hAnsi="宋体" w:cs="宋体"/>
                <w:sz w:val="24"/>
              </w:rPr>
              <w:t>1</w:t>
            </w:r>
          </w:p>
        </w:tc>
        <w:tc>
          <w:tcPr>
            <w:tcW w:w="2106" w:type="dxa"/>
            <w:noWrap w:val="0"/>
            <w:vAlign w:val="top"/>
          </w:tcPr>
          <w:p>
            <w:pPr>
              <w:tabs>
                <w:tab w:val="left" w:pos="420"/>
              </w:tabs>
              <w:jc w:val="center"/>
              <w:rPr>
                <w:rFonts w:hint="eastAsia" w:ascii="宋体" w:hAnsi="宋体" w:cs="宋体"/>
                <w:sz w:val="24"/>
              </w:rPr>
            </w:pPr>
            <w:r>
              <w:rPr>
                <w:rFonts w:hint="eastAsia" w:ascii="宋体" w:hAnsi="宋体" w:cs="宋体"/>
                <w:sz w:val="24"/>
              </w:rPr>
              <w:t>项目经理</w:t>
            </w:r>
          </w:p>
        </w:tc>
        <w:tc>
          <w:tcPr>
            <w:tcW w:w="3250" w:type="dxa"/>
            <w:noWrap w:val="0"/>
            <w:vAlign w:val="top"/>
          </w:tcPr>
          <w:p>
            <w:pPr>
              <w:tabs>
                <w:tab w:val="left" w:pos="420"/>
              </w:tabs>
              <w:jc w:val="center"/>
              <w:rPr>
                <w:rFonts w:hint="eastAsia" w:ascii="宋体" w:hAnsi="宋体" w:cs="宋体"/>
                <w:sz w:val="24"/>
              </w:rPr>
            </w:pPr>
            <w:r>
              <w:rPr>
                <w:rFonts w:hint="eastAsia" w:ascii="宋体" w:hAnsi="宋体" w:cs="宋体"/>
                <w:sz w:val="24"/>
              </w:rPr>
              <w:t>1</w:t>
            </w:r>
          </w:p>
        </w:tc>
        <w:tc>
          <w:tcPr>
            <w:tcW w:w="2433" w:type="dxa"/>
            <w:noWrap w:val="0"/>
            <w:vAlign w:val="top"/>
          </w:tcPr>
          <w:p>
            <w:pPr>
              <w:tabs>
                <w:tab w:val="left" w:pos="420"/>
              </w:tabs>
              <w:jc w:val="center"/>
              <w:rPr>
                <w:rFonts w:hint="eastAsia" w:ascii="宋体" w:hAnsi="宋体" w:cs="宋体"/>
                <w:sz w:val="24"/>
              </w:rPr>
            </w:pP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791" w:type="dxa"/>
            <w:noWrap w:val="0"/>
            <w:vAlign w:val="top"/>
          </w:tcPr>
          <w:p>
            <w:pPr>
              <w:tabs>
                <w:tab w:val="left" w:pos="420"/>
              </w:tabs>
              <w:jc w:val="center"/>
              <w:rPr>
                <w:rFonts w:hint="eastAsia" w:ascii="宋体" w:hAnsi="宋体" w:cs="宋体"/>
                <w:sz w:val="24"/>
              </w:rPr>
            </w:pPr>
            <w:r>
              <w:rPr>
                <w:rFonts w:hint="eastAsia" w:ascii="宋体" w:hAnsi="宋体" w:cs="宋体"/>
                <w:sz w:val="24"/>
              </w:rPr>
              <w:t>2</w:t>
            </w:r>
          </w:p>
        </w:tc>
        <w:tc>
          <w:tcPr>
            <w:tcW w:w="2106" w:type="dxa"/>
            <w:noWrap w:val="0"/>
            <w:vAlign w:val="top"/>
          </w:tcPr>
          <w:p>
            <w:pPr>
              <w:tabs>
                <w:tab w:val="left" w:pos="420"/>
              </w:tabs>
              <w:jc w:val="center"/>
              <w:rPr>
                <w:rFonts w:hint="eastAsia" w:ascii="宋体" w:hAnsi="宋体" w:cs="宋体"/>
                <w:sz w:val="24"/>
              </w:rPr>
            </w:pPr>
            <w:r>
              <w:rPr>
                <w:rFonts w:hint="eastAsia" w:ascii="宋体" w:hAnsi="宋体" w:cs="宋体"/>
                <w:sz w:val="24"/>
              </w:rPr>
              <w:t>环境维护</w:t>
            </w:r>
          </w:p>
        </w:tc>
        <w:tc>
          <w:tcPr>
            <w:tcW w:w="3250" w:type="dxa"/>
            <w:noWrap w:val="0"/>
            <w:vAlign w:val="top"/>
          </w:tcPr>
          <w:p>
            <w:pPr>
              <w:tabs>
                <w:tab w:val="left" w:pos="420"/>
              </w:tabs>
              <w:jc w:val="center"/>
              <w:rPr>
                <w:rFonts w:ascii="宋体" w:hAnsi="宋体" w:cs="宋体"/>
                <w:sz w:val="24"/>
              </w:rPr>
            </w:pPr>
            <w:r>
              <w:rPr>
                <w:rFonts w:hint="eastAsia" w:ascii="宋体" w:hAnsi="宋体" w:cs="宋体"/>
                <w:sz w:val="24"/>
              </w:rPr>
              <w:t>23（除19楼外，各楼1人，共19人；大厅1人；外围2人；保洁主管1人）</w:t>
            </w:r>
          </w:p>
        </w:tc>
        <w:tc>
          <w:tcPr>
            <w:tcW w:w="2433" w:type="dxa"/>
            <w:noWrap w:val="0"/>
            <w:vAlign w:val="top"/>
          </w:tcPr>
          <w:p>
            <w:pPr>
              <w:tabs>
                <w:tab w:val="left" w:pos="420"/>
              </w:tabs>
              <w:jc w:val="center"/>
              <w:rPr>
                <w:rFonts w:hint="eastAsia" w:ascii="宋体" w:hAnsi="宋体" w:cs="宋体"/>
                <w:sz w:val="24"/>
              </w:rPr>
            </w:pP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791" w:type="dxa"/>
            <w:noWrap w:val="0"/>
            <w:vAlign w:val="top"/>
          </w:tcPr>
          <w:p>
            <w:pPr>
              <w:tabs>
                <w:tab w:val="left" w:pos="420"/>
              </w:tabs>
              <w:jc w:val="center"/>
              <w:rPr>
                <w:rFonts w:ascii="宋体" w:hAnsi="宋体" w:cs="宋体"/>
                <w:sz w:val="24"/>
              </w:rPr>
            </w:pPr>
            <w:r>
              <w:rPr>
                <w:rFonts w:hint="eastAsia" w:ascii="宋体" w:hAnsi="宋体" w:cs="宋体"/>
                <w:sz w:val="24"/>
              </w:rPr>
              <w:t>3</w:t>
            </w:r>
          </w:p>
        </w:tc>
        <w:tc>
          <w:tcPr>
            <w:tcW w:w="2106" w:type="dxa"/>
            <w:noWrap w:val="0"/>
            <w:vAlign w:val="top"/>
          </w:tcPr>
          <w:p>
            <w:pPr>
              <w:tabs>
                <w:tab w:val="left" w:pos="420"/>
              </w:tabs>
              <w:jc w:val="center"/>
              <w:rPr>
                <w:rFonts w:hint="eastAsia" w:ascii="宋体" w:hAnsi="宋体" w:cs="宋体"/>
                <w:sz w:val="24"/>
              </w:rPr>
            </w:pPr>
            <w:r>
              <w:rPr>
                <w:rFonts w:hint="eastAsia" w:ascii="宋体" w:hAnsi="宋体" w:cs="宋体"/>
                <w:sz w:val="24"/>
              </w:rPr>
              <w:t>办公室后勤</w:t>
            </w:r>
          </w:p>
        </w:tc>
        <w:tc>
          <w:tcPr>
            <w:tcW w:w="3250" w:type="dxa"/>
            <w:noWrap w:val="0"/>
            <w:vAlign w:val="top"/>
          </w:tcPr>
          <w:p>
            <w:pPr>
              <w:tabs>
                <w:tab w:val="left" w:pos="420"/>
              </w:tabs>
              <w:jc w:val="center"/>
              <w:rPr>
                <w:rFonts w:hint="eastAsia" w:ascii="宋体" w:hAnsi="宋体" w:cs="宋体"/>
                <w:sz w:val="24"/>
              </w:rPr>
            </w:pPr>
            <w:r>
              <w:rPr>
                <w:rFonts w:hint="eastAsia" w:ascii="宋体" w:hAnsi="宋体" w:cs="宋体"/>
                <w:sz w:val="24"/>
              </w:rPr>
              <w:t>1</w:t>
            </w:r>
          </w:p>
        </w:tc>
        <w:tc>
          <w:tcPr>
            <w:tcW w:w="2433" w:type="dxa"/>
            <w:noWrap w:val="0"/>
            <w:vAlign w:val="top"/>
          </w:tcPr>
          <w:p>
            <w:pPr>
              <w:tabs>
                <w:tab w:val="left" w:pos="420"/>
              </w:tabs>
              <w:jc w:val="center"/>
              <w:rPr>
                <w:rFonts w:hint="eastAsia" w:ascii="宋体" w:hAnsi="宋体" w:cs="宋体"/>
                <w:sz w:val="24"/>
              </w:rPr>
            </w:pP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791" w:type="dxa"/>
            <w:noWrap w:val="0"/>
            <w:vAlign w:val="top"/>
          </w:tcPr>
          <w:p>
            <w:pPr>
              <w:tabs>
                <w:tab w:val="left" w:pos="420"/>
              </w:tabs>
              <w:jc w:val="center"/>
              <w:rPr>
                <w:rFonts w:hint="eastAsia" w:ascii="宋体" w:hAnsi="宋体" w:cs="宋体"/>
                <w:sz w:val="24"/>
              </w:rPr>
            </w:pPr>
            <w:r>
              <w:rPr>
                <w:rFonts w:hint="eastAsia" w:ascii="宋体" w:hAnsi="宋体" w:cs="宋体"/>
                <w:sz w:val="24"/>
              </w:rPr>
              <w:t>4</w:t>
            </w:r>
          </w:p>
        </w:tc>
        <w:tc>
          <w:tcPr>
            <w:tcW w:w="2106" w:type="dxa"/>
            <w:noWrap w:val="0"/>
            <w:vAlign w:val="top"/>
          </w:tcPr>
          <w:p>
            <w:pPr>
              <w:tabs>
                <w:tab w:val="left" w:pos="420"/>
              </w:tabs>
              <w:jc w:val="center"/>
              <w:rPr>
                <w:rFonts w:hint="eastAsia" w:ascii="宋体" w:hAnsi="宋体" w:cs="宋体"/>
                <w:sz w:val="24"/>
              </w:rPr>
            </w:pPr>
            <w:r>
              <w:rPr>
                <w:rFonts w:hint="eastAsia" w:ascii="宋体" w:hAnsi="宋体" w:cs="宋体"/>
                <w:sz w:val="24"/>
              </w:rPr>
              <w:t>绿化</w:t>
            </w:r>
          </w:p>
        </w:tc>
        <w:tc>
          <w:tcPr>
            <w:tcW w:w="3250" w:type="dxa"/>
            <w:noWrap w:val="0"/>
            <w:vAlign w:val="top"/>
          </w:tcPr>
          <w:p>
            <w:pPr>
              <w:tabs>
                <w:tab w:val="left" w:pos="420"/>
              </w:tabs>
              <w:jc w:val="center"/>
              <w:rPr>
                <w:rFonts w:hint="eastAsia" w:ascii="宋体" w:hAnsi="宋体" w:cs="宋体"/>
                <w:sz w:val="24"/>
              </w:rPr>
            </w:pPr>
            <w:r>
              <w:rPr>
                <w:rFonts w:hint="eastAsia" w:ascii="宋体" w:hAnsi="宋体" w:cs="宋体"/>
                <w:sz w:val="24"/>
              </w:rPr>
              <w:t>1</w:t>
            </w:r>
          </w:p>
        </w:tc>
        <w:tc>
          <w:tcPr>
            <w:tcW w:w="2433" w:type="dxa"/>
            <w:noWrap w:val="0"/>
            <w:vAlign w:val="top"/>
          </w:tcPr>
          <w:p>
            <w:pPr>
              <w:tabs>
                <w:tab w:val="left" w:pos="420"/>
              </w:tabs>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91" w:type="dxa"/>
            <w:noWrap w:val="0"/>
            <w:vAlign w:val="top"/>
          </w:tcPr>
          <w:p>
            <w:pPr>
              <w:tabs>
                <w:tab w:val="left" w:pos="420"/>
              </w:tabs>
              <w:jc w:val="center"/>
              <w:rPr>
                <w:rFonts w:ascii="宋体" w:hAnsi="宋体" w:cs="宋体"/>
                <w:sz w:val="24"/>
              </w:rPr>
            </w:pPr>
            <w:r>
              <w:rPr>
                <w:rFonts w:hint="eastAsia" w:ascii="宋体" w:hAnsi="宋体" w:cs="宋体"/>
                <w:sz w:val="24"/>
              </w:rPr>
              <w:t>5</w:t>
            </w:r>
          </w:p>
        </w:tc>
        <w:tc>
          <w:tcPr>
            <w:tcW w:w="2106" w:type="dxa"/>
            <w:noWrap w:val="0"/>
            <w:vAlign w:val="top"/>
          </w:tcPr>
          <w:p>
            <w:pPr>
              <w:tabs>
                <w:tab w:val="left" w:pos="420"/>
              </w:tabs>
              <w:jc w:val="center"/>
              <w:rPr>
                <w:rFonts w:hint="eastAsia" w:ascii="宋体" w:hAnsi="宋体" w:cs="宋体"/>
                <w:sz w:val="24"/>
              </w:rPr>
            </w:pPr>
            <w:r>
              <w:rPr>
                <w:rFonts w:hint="eastAsia" w:ascii="宋体" w:hAnsi="宋体" w:cs="宋体"/>
                <w:sz w:val="24"/>
              </w:rPr>
              <w:t>会务服务</w:t>
            </w:r>
          </w:p>
        </w:tc>
        <w:tc>
          <w:tcPr>
            <w:tcW w:w="3250" w:type="dxa"/>
            <w:noWrap w:val="0"/>
            <w:vAlign w:val="top"/>
          </w:tcPr>
          <w:p>
            <w:pPr>
              <w:tabs>
                <w:tab w:val="left" w:pos="420"/>
              </w:tabs>
              <w:jc w:val="center"/>
              <w:rPr>
                <w:rFonts w:ascii="宋体" w:hAnsi="宋体" w:cs="宋体"/>
                <w:sz w:val="24"/>
              </w:rPr>
            </w:pPr>
            <w:r>
              <w:rPr>
                <w:rFonts w:hint="eastAsia" w:ascii="宋体" w:hAnsi="宋体" w:cs="宋体"/>
                <w:sz w:val="24"/>
              </w:rPr>
              <w:t>5（纪委2人，检察院3人）</w:t>
            </w:r>
          </w:p>
        </w:tc>
        <w:tc>
          <w:tcPr>
            <w:tcW w:w="2433" w:type="dxa"/>
            <w:noWrap w:val="0"/>
            <w:vAlign w:val="top"/>
          </w:tcPr>
          <w:p>
            <w:pPr>
              <w:tabs>
                <w:tab w:val="left" w:pos="420"/>
              </w:tabs>
              <w:jc w:val="center"/>
              <w:rPr>
                <w:rFonts w:hint="eastAsia" w:ascii="宋体" w:hAnsi="宋体" w:cs="宋体"/>
                <w:sz w:val="24"/>
              </w:rPr>
            </w:pPr>
            <w:r>
              <w:rPr>
                <w:rFonts w:hint="eastAsia" w:ascii="宋体" w:hAnsi="宋体" w:cs="宋体"/>
                <w:sz w:val="24"/>
              </w:rPr>
              <w:t>年龄：30岁以下，女性，持有效健康证明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791" w:type="dxa"/>
            <w:noWrap w:val="0"/>
            <w:vAlign w:val="top"/>
          </w:tcPr>
          <w:p>
            <w:pPr>
              <w:tabs>
                <w:tab w:val="left" w:pos="420"/>
              </w:tabs>
              <w:jc w:val="center"/>
              <w:rPr>
                <w:rFonts w:hint="eastAsia" w:ascii="宋体" w:hAnsi="宋体" w:cs="宋体"/>
                <w:sz w:val="24"/>
              </w:rPr>
            </w:pPr>
            <w:r>
              <w:rPr>
                <w:rFonts w:hint="eastAsia" w:ascii="宋体" w:hAnsi="宋体" w:cs="宋体"/>
                <w:sz w:val="24"/>
              </w:rPr>
              <w:t>6</w:t>
            </w:r>
          </w:p>
        </w:tc>
        <w:tc>
          <w:tcPr>
            <w:tcW w:w="2106" w:type="dxa"/>
            <w:noWrap w:val="0"/>
            <w:vAlign w:val="top"/>
          </w:tcPr>
          <w:p>
            <w:pPr>
              <w:tabs>
                <w:tab w:val="left" w:pos="420"/>
              </w:tabs>
              <w:jc w:val="center"/>
              <w:rPr>
                <w:rFonts w:hint="eastAsia" w:ascii="宋体" w:hAnsi="宋体" w:cs="宋体"/>
                <w:sz w:val="24"/>
              </w:rPr>
            </w:pPr>
            <w:r>
              <w:rPr>
                <w:rFonts w:hint="eastAsia" w:ascii="宋体" w:hAnsi="宋体" w:cs="宋体"/>
                <w:sz w:val="24"/>
              </w:rPr>
              <w:t>接待及讲解</w:t>
            </w:r>
          </w:p>
        </w:tc>
        <w:tc>
          <w:tcPr>
            <w:tcW w:w="3250" w:type="dxa"/>
            <w:noWrap w:val="0"/>
            <w:vAlign w:val="top"/>
          </w:tcPr>
          <w:p>
            <w:pPr>
              <w:tabs>
                <w:tab w:val="left" w:pos="420"/>
              </w:tabs>
              <w:jc w:val="center"/>
              <w:rPr>
                <w:rFonts w:hint="eastAsia" w:ascii="宋体" w:hAnsi="宋体" w:cs="宋体"/>
                <w:sz w:val="24"/>
              </w:rPr>
            </w:pPr>
            <w:r>
              <w:rPr>
                <w:rFonts w:hint="eastAsia" w:ascii="宋体" w:hAnsi="宋体" w:cs="宋体"/>
                <w:sz w:val="24"/>
              </w:rPr>
              <w:t>2</w:t>
            </w:r>
          </w:p>
        </w:tc>
        <w:tc>
          <w:tcPr>
            <w:tcW w:w="2433" w:type="dxa"/>
            <w:noWrap w:val="0"/>
            <w:vAlign w:val="top"/>
          </w:tcPr>
          <w:p>
            <w:pPr>
              <w:tabs>
                <w:tab w:val="left" w:pos="420"/>
              </w:tabs>
              <w:jc w:val="center"/>
              <w:rPr>
                <w:rFonts w:hint="eastAsia" w:ascii="宋体" w:hAnsi="宋体" w:cs="宋体"/>
                <w:sz w:val="24"/>
              </w:rPr>
            </w:pPr>
            <w:r>
              <w:rPr>
                <w:rFonts w:hint="eastAsia" w:ascii="宋体" w:hAnsi="宋体" w:cs="宋体"/>
                <w:sz w:val="24"/>
              </w:rPr>
              <w:t>双语讲解，具有CET4级同等或以上水平，持有效健康证明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91" w:type="dxa"/>
            <w:noWrap w:val="0"/>
            <w:vAlign w:val="top"/>
          </w:tcPr>
          <w:p>
            <w:pPr>
              <w:tabs>
                <w:tab w:val="left" w:pos="420"/>
              </w:tabs>
              <w:jc w:val="center"/>
              <w:rPr>
                <w:rFonts w:hint="eastAsia" w:ascii="宋体" w:hAnsi="宋体" w:cs="宋体"/>
                <w:sz w:val="24"/>
              </w:rPr>
            </w:pPr>
            <w:r>
              <w:rPr>
                <w:rFonts w:hint="eastAsia" w:ascii="宋体" w:hAnsi="宋体" w:cs="宋体"/>
                <w:sz w:val="24"/>
              </w:rPr>
              <w:t>7</w:t>
            </w:r>
          </w:p>
        </w:tc>
        <w:tc>
          <w:tcPr>
            <w:tcW w:w="2106" w:type="dxa"/>
            <w:noWrap w:val="0"/>
            <w:vAlign w:val="top"/>
          </w:tcPr>
          <w:p>
            <w:pPr>
              <w:tabs>
                <w:tab w:val="left" w:pos="420"/>
              </w:tabs>
              <w:jc w:val="center"/>
              <w:rPr>
                <w:rFonts w:hint="eastAsia" w:ascii="宋体" w:hAnsi="宋体" w:cs="宋体"/>
                <w:sz w:val="24"/>
              </w:rPr>
            </w:pPr>
            <w:r>
              <w:rPr>
                <w:rFonts w:hint="eastAsia" w:ascii="宋体" w:hAnsi="宋体" w:cs="宋体"/>
                <w:sz w:val="24"/>
              </w:rPr>
              <w:t>公共设施设备维护和工程修缮管理</w:t>
            </w:r>
          </w:p>
        </w:tc>
        <w:tc>
          <w:tcPr>
            <w:tcW w:w="3250" w:type="dxa"/>
            <w:noWrap w:val="0"/>
            <w:vAlign w:val="top"/>
          </w:tcPr>
          <w:p>
            <w:pPr>
              <w:tabs>
                <w:tab w:val="left" w:pos="420"/>
              </w:tabs>
              <w:jc w:val="center"/>
              <w:rPr>
                <w:rFonts w:ascii="宋体" w:hAnsi="宋体" w:cs="宋体"/>
                <w:sz w:val="24"/>
              </w:rPr>
            </w:pPr>
            <w:r>
              <w:rPr>
                <w:rFonts w:hint="eastAsia" w:ascii="宋体" w:hAnsi="宋体" w:cs="宋体"/>
                <w:sz w:val="24"/>
              </w:rPr>
              <w:t>4（2人一班分两班倒）</w:t>
            </w:r>
          </w:p>
        </w:tc>
        <w:tc>
          <w:tcPr>
            <w:tcW w:w="2433" w:type="dxa"/>
            <w:noWrap w:val="0"/>
            <w:vAlign w:val="top"/>
          </w:tcPr>
          <w:p>
            <w:pPr>
              <w:tabs>
                <w:tab w:val="left" w:pos="420"/>
              </w:tabs>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791" w:type="dxa"/>
            <w:noWrap w:val="0"/>
            <w:vAlign w:val="top"/>
          </w:tcPr>
          <w:p>
            <w:pPr>
              <w:tabs>
                <w:tab w:val="left" w:pos="420"/>
              </w:tabs>
              <w:jc w:val="center"/>
              <w:rPr>
                <w:rFonts w:hint="eastAsia" w:ascii="宋体" w:hAnsi="宋体" w:cs="宋体"/>
                <w:sz w:val="24"/>
              </w:rPr>
            </w:pPr>
            <w:r>
              <w:rPr>
                <w:rFonts w:hint="eastAsia" w:ascii="宋体" w:hAnsi="宋体" w:cs="宋体"/>
                <w:sz w:val="24"/>
              </w:rPr>
              <w:t>8</w:t>
            </w:r>
          </w:p>
        </w:tc>
        <w:tc>
          <w:tcPr>
            <w:tcW w:w="2106" w:type="dxa"/>
            <w:noWrap w:val="0"/>
            <w:vAlign w:val="top"/>
          </w:tcPr>
          <w:p>
            <w:pPr>
              <w:tabs>
                <w:tab w:val="left" w:pos="420"/>
              </w:tabs>
              <w:jc w:val="center"/>
              <w:rPr>
                <w:rFonts w:hint="eastAsia" w:ascii="宋体" w:hAnsi="宋体" w:cs="宋体"/>
                <w:sz w:val="24"/>
              </w:rPr>
            </w:pPr>
            <w:r>
              <w:rPr>
                <w:rFonts w:hint="eastAsia" w:ascii="宋体" w:hAnsi="宋体" w:cs="宋体"/>
                <w:sz w:val="24"/>
              </w:rPr>
              <w:t>秩序维护</w:t>
            </w:r>
          </w:p>
        </w:tc>
        <w:tc>
          <w:tcPr>
            <w:tcW w:w="3250" w:type="dxa"/>
            <w:noWrap w:val="0"/>
            <w:vAlign w:val="top"/>
          </w:tcPr>
          <w:p>
            <w:pPr>
              <w:tabs>
                <w:tab w:val="left" w:pos="420"/>
              </w:tabs>
              <w:jc w:val="center"/>
              <w:rPr>
                <w:rFonts w:ascii="宋体" w:hAnsi="宋体" w:cs="宋体"/>
                <w:sz w:val="24"/>
              </w:rPr>
            </w:pPr>
            <w:r>
              <w:rPr>
                <w:rFonts w:hint="eastAsia" w:ascii="宋体" w:hAnsi="宋体" w:cs="宋体"/>
                <w:sz w:val="24"/>
              </w:rPr>
              <w:t>16（秩序维护主管1人，大厅2人，电梯口1人，监控2人，消防监控2人，门岗8人）</w:t>
            </w:r>
          </w:p>
        </w:tc>
        <w:tc>
          <w:tcPr>
            <w:tcW w:w="2433" w:type="dxa"/>
            <w:noWrap w:val="0"/>
            <w:vAlign w:val="top"/>
          </w:tcPr>
          <w:p>
            <w:pPr>
              <w:tabs>
                <w:tab w:val="left" w:pos="420"/>
              </w:tabs>
              <w:jc w:val="center"/>
              <w:rPr>
                <w:rFonts w:ascii="宋体" w:hAnsi="宋体" w:cs="宋体"/>
                <w:sz w:val="24"/>
              </w:rPr>
            </w:pPr>
            <w:r>
              <w:rPr>
                <w:rFonts w:hint="eastAsia" w:ascii="宋体" w:hAnsi="宋体" w:cs="宋体"/>
                <w:sz w:val="24"/>
              </w:rPr>
              <w:t>监控、消防监控、门岗三个岗位实行24小时上班制，两班倒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2897" w:type="dxa"/>
            <w:gridSpan w:val="2"/>
            <w:noWrap w:val="0"/>
            <w:vAlign w:val="top"/>
          </w:tcPr>
          <w:p>
            <w:pPr>
              <w:tabs>
                <w:tab w:val="left" w:pos="420"/>
              </w:tabs>
              <w:jc w:val="center"/>
              <w:rPr>
                <w:rFonts w:hint="eastAsia" w:ascii="宋体" w:hAnsi="宋体" w:cs="宋体"/>
                <w:sz w:val="24"/>
              </w:rPr>
            </w:pPr>
            <w:r>
              <w:rPr>
                <w:rFonts w:hint="eastAsia" w:ascii="宋体" w:hAnsi="宋体" w:cs="宋体"/>
                <w:sz w:val="24"/>
              </w:rPr>
              <w:t>共计</w:t>
            </w:r>
          </w:p>
        </w:tc>
        <w:tc>
          <w:tcPr>
            <w:tcW w:w="3250" w:type="dxa"/>
            <w:noWrap w:val="0"/>
            <w:vAlign w:val="top"/>
          </w:tcPr>
          <w:p>
            <w:pPr>
              <w:tabs>
                <w:tab w:val="left" w:pos="420"/>
              </w:tabs>
              <w:jc w:val="center"/>
              <w:rPr>
                <w:rFonts w:ascii="宋体" w:hAnsi="宋体" w:cs="宋体"/>
                <w:sz w:val="24"/>
              </w:rPr>
            </w:pPr>
            <w:r>
              <w:rPr>
                <w:rFonts w:hint="eastAsia" w:ascii="宋体" w:hAnsi="宋体" w:cs="宋体"/>
                <w:sz w:val="24"/>
              </w:rPr>
              <w:t>53</w:t>
            </w:r>
          </w:p>
        </w:tc>
        <w:tc>
          <w:tcPr>
            <w:tcW w:w="2433" w:type="dxa"/>
            <w:noWrap w:val="0"/>
            <w:vAlign w:val="top"/>
          </w:tcPr>
          <w:p>
            <w:pPr>
              <w:tabs>
                <w:tab w:val="left" w:pos="420"/>
              </w:tabs>
              <w:jc w:val="center"/>
              <w:rPr>
                <w:rFonts w:hint="eastAsia" w:ascii="宋体" w:hAnsi="宋体" w:cs="宋体"/>
                <w:sz w:val="24"/>
              </w:rPr>
            </w:pPr>
          </w:p>
        </w:tc>
      </w:tr>
    </w:tbl>
    <w:p>
      <w:pPr>
        <w:spacing w:line="360" w:lineRule="auto"/>
        <w:ind w:firstLine="480" w:firstLineChars="200"/>
        <w:rPr>
          <w:rFonts w:hint="eastAsia" w:ascii="宋体" w:hAnsi="宋体" w:cs="宋体"/>
          <w:sz w:val="24"/>
        </w:rPr>
      </w:pPr>
      <w:r>
        <w:rPr>
          <w:rFonts w:hint="eastAsia" w:ascii="宋体" w:hAnsi="宋体" w:cs="宋体"/>
          <w:sz w:val="24"/>
        </w:rPr>
        <w:t xml:space="preserve"> </w:t>
      </w:r>
      <w:r>
        <w:rPr>
          <w:rFonts w:hint="eastAsia" w:ascii="宋体" w:hAnsi="宋体" w:cs="宋体"/>
          <w:b/>
          <w:bCs/>
          <w:sz w:val="24"/>
          <w:lang w:val="en-US" w:eastAsia="zh-CN"/>
        </w:rPr>
        <w:t>3、</w:t>
      </w:r>
      <w:r>
        <w:rPr>
          <w:rFonts w:hint="eastAsia" w:ascii="宋体" w:hAnsi="宋体" w:cs="宋体"/>
          <w:b/>
          <w:bCs/>
          <w:sz w:val="24"/>
        </w:rPr>
        <w:t>人员配备特别要求</w:t>
      </w:r>
    </w:p>
    <w:p>
      <w:pPr>
        <w:spacing w:line="360" w:lineRule="auto"/>
        <w:ind w:firstLine="720" w:firstLineChars="300"/>
        <w:rPr>
          <w:rFonts w:hint="eastAsia" w:ascii="宋体" w:hAnsi="宋体" w:cs="宋体"/>
          <w:sz w:val="24"/>
        </w:rPr>
      </w:pPr>
      <w:r>
        <w:rPr>
          <w:rFonts w:hint="eastAsia" w:ascii="宋体" w:hAnsi="宋体" w:cs="宋体"/>
          <w:sz w:val="24"/>
        </w:rPr>
        <w:t>（1）所有相关人员的配备如需获得相关主管部门认证的，均需配证并持证上岗，且根据不同岗位统一着装，言行规范，文明礼貌。</w:t>
      </w:r>
    </w:p>
    <w:p>
      <w:pPr>
        <w:spacing w:line="360" w:lineRule="auto"/>
        <w:ind w:firstLine="720" w:firstLineChars="300"/>
        <w:rPr>
          <w:rFonts w:hint="eastAsia" w:ascii="宋体" w:hAnsi="宋体" w:cs="宋体"/>
          <w:b/>
          <w:bCs/>
          <w:sz w:val="24"/>
        </w:rPr>
      </w:pPr>
      <w:r>
        <w:rPr>
          <w:rFonts w:hint="eastAsia" w:ascii="宋体" w:hAnsi="宋体" w:cs="宋体"/>
          <w:sz w:val="24"/>
        </w:rPr>
        <w:t>（2）所有相关人员要求政治上可靠，身体素质好，无不良行为记录。</w:t>
      </w:r>
    </w:p>
    <w:p>
      <w:pPr>
        <w:pStyle w:val="17"/>
        <w:rPr>
          <w:rFonts w:hint="eastAsia" w:ascii="宋体" w:hAnsi="宋体" w:cs="宋体"/>
          <w:b/>
          <w:bCs/>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华文中宋" w:hAnsi="华文中宋" w:eastAsia="华文中宋"/>
          <w:spacing w:val="42"/>
          <w:sz w:val="24"/>
          <w:szCs w:val="24"/>
          <w:lang w:eastAsia="zh-CN"/>
        </w:rPr>
        <w:t>▲</w:t>
      </w:r>
      <w:r>
        <w:rPr>
          <w:rFonts w:hint="eastAsia" w:ascii="宋体" w:hAnsi="宋体" w:cs="宋体"/>
          <w:sz w:val="24"/>
        </w:rPr>
        <w:t>（3）所有人员在上岗前，需经过有保密资质的机构进行保密培训后，方可上岗。</w:t>
      </w:r>
      <w:r>
        <w:rPr>
          <w:rFonts w:hint="eastAsia" w:ascii="宋体" w:hAnsi="宋体" w:cs="宋体"/>
          <w:b/>
          <w:bCs/>
          <w:sz w:val="24"/>
        </w:rPr>
        <w:t>（提供承诺函，格式自拟）</w:t>
      </w:r>
    </w:p>
    <w:p>
      <w:pPr>
        <w:spacing w:line="360" w:lineRule="auto"/>
        <w:ind w:firstLine="720" w:firstLineChars="300"/>
        <w:rPr>
          <w:rFonts w:hint="eastAsia" w:ascii="宋体" w:hAnsi="宋体" w:cs="宋体"/>
          <w:sz w:val="24"/>
        </w:rPr>
      </w:pPr>
      <w:r>
        <w:rPr>
          <w:rFonts w:hint="eastAsia" w:ascii="宋体" w:hAnsi="宋体" w:cs="宋体"/>
          <w:sz w:val="24"/>
        </w:rPr>
        <w:t>（4）参观、会务活动频繁，会务及讲解服务须做到规范严、标准高，必要时要适当增加人数满足重大任务的服务需求，而不另外增加费用。</w:t>
      </w:r>
    </w:p>
    <w:p>
      <w:pPr>
        <w:spacing w:line="360" w:lineRule="auto"/>
        <w:ind w:firstLine="480" w:firstLineChars="200"/>
        <w:rPr>
          <w:rFonts w:hint="eastAsia" w:ascii="宋体" w:hAnsi="宋体" w:cs="宋体"/>
          <w:sz w:val="24"/>
        </w:rPr>
      </w:pPr>
      <w:r>
        <w:rPr>
          <w:rFonts w:hint="eastAsia" w:ascii="宋体" w:hAnsi="宋体" w:cs="宋体"/>
          <w:sz w:val="24"/>
        </w:rPr>
        <w:t>（5）为提高物业管理水平，所有物业人员还需进行商务礼仪的培训。除投标人对服务人员培训外，需接受招标人对服务人员的集中进行培训。</w:t>
      </w:r>
    </w:p>
    <w:p>
      <w:pPr>
        <w:spacing w:line="360" w:lineRule="auto"/>
        <w:ind w:firstLine="480" w:firstLineChars="200"/>
        <w:rPr>
          <w:rFonts w:hint="eastAsia" w:ascii="宋体" w:hAnsi="宋体" w:cs="宋体"/>
          <w:sz w:val="24"/>
        </w:rPr>
      </w:pPr>
      <w:r>
        <w:rPr>
          <w:rFonts w:hint="eastAsia" w:ascii="宋体" w:hAnsi="宋体" w:cs="宋体"/>
          <w:sz w:val="24"/>
        </w:rPr>
        <w:t>（6）招标人将对前期进场主要管理人员、工程技术人员进行考核，如在培训、熟悉环境过程中发现其不能胜任的，招标人可要求更换，直至胜任为止。</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 xml:space="preserve"> 7</w:t>
      </w:r>
      <w:r>
        <w:rPr>
          <w:rFonts w:hint="eastAsia" w:ascii="宋体" w:hAnsi="宋体" w:cs="宋体"/>
          <w:sz w:val="24"/>
          <w:lang w:eastAsia="zh-CN"/>
        </w:rPr>
        <w:t>）</w:t>
      </w:r>
      <w:r>
        <w:rPr>
          <w:rFonts w:hint="eastAsia" w:ascii="宋体" w:hAnsi="宋体" w:cs="宋体"/>
          <w:sz w:val="24"/>
        </w:rPr>
        <w:t>中标人根据招标单位需求合理配备各类服务人员，其中物管主管需有一定物业管理工作经验者担任。根据</w:t>
      </w:r>
      <w:r>
        <w:rPr>
          <w:rFonts w:hint="eastAsia" w:ascii="宋体" w:hAnsi="宋体" w:cs="宋体"/>
          <w:sz w:val="24"/>
          <w:lang w:eastAsia="zh-CN"/>
        </w:rPr>
        <w:t>招标人</w:t>
      </w:r>
      <w:r>
        <w:rPr>
          <w:rFonts w:hint="eastAsia" w:ascii="宋体" w:hAnsi="宋体" w:cs="宋体"/>
          <w:sz w:val="24"/>
        </w:rPr>
        <w:t>实际情况，合理配置人员，使人员达到满负荷，充分利用人力资源，减少开支，降低成本。员工要求统一着装，员工服装按业主要</w:t>
      </w:r>
      <w:r>
        <w:rPr>
          <w:rFonts w:hint="eastAsia" w:ascii="宋体" w:hAnsi="宋体" w:cs="宋体"/>
          <w:sz w:val="24"/>
          <w:lang w:eastAsia="zh-CN"/>
        </w:rPr>
        <w:t>求</w:t>
      </w:r>
      <w:r>
        <w:rPr>
          <w:rFonts w:hint="eastAsia" w:ascii="宋体" w:hAnsi="宋体" w:cs="宋体"/>
          <w:sz w:val="24"/>
        </w:rPr>
        <w:t>配置。</w:t>
      </w:r>
    </w:p>
    <w:p>
      <w:pPr>
        <w:spacing w:line="360" w:lineRule="auto"/>
        <w:rPr>
          <w:rFonts w:hint="eastAsia" w:ascii="宋体" w:hAnsi="宋体" w:cs="宋体"/>
          <w:b/>
          <w:bCs/>
          <w:sz w:val="24"/>
        </w:rPr>
      </w:pPr>
      <w:r>
        <w:rPr>
          <w:rFonts w:hint="eastAsia" w:ascii="宋体" w:hAnsi="宋体" w:cs="宋体"/>
          <w:b/>
          <w:bCs/>
          <w:sz w:val="24"/>
        </w:rPr>
        <w:t>三、服务要求</w:t>
      </w:r>
    </w:p>
    <w:p>
      <w:pPr>
        <w:spacing w:line="360" w:lineRule="auto"/>
        <w:rPr>
          <w:rFonts w:ascii="宋体" w:hAnsi="宋体" w:cs="宋体"/>
          <w:b/>
          <w:bCs/>
          <w:sz w:val="24"/>
        </w:rPr>
      </w:pPr>
      <w:r>
        <w:rPr>
          <w:rFonts w:hint="eastAsia" w:ascii="宋体" w:hAnsi="宋体" w:cs="宋体"/>
          <w:b/>
          <w:bCs/>
          <w:sz w:val="24"/>
        </w:rPr>
        <w:t>（一）环境维护</w:t>
      </w:r>
    </w:p>
    <w:p>
      <w:pPr>
        <w:spacing w:line="360" w:lineRule="auto"/>
        <w:ind w:firstLine="482" w:firstLineChars="200"/>
        <w:rPr>
          <w:rFonts w:hint="eastAsia" w:ascii="宋体" w:hAnsi="宋体" w:cs="宋体"/>
          <w:b/>
          <w:bCs/>
          <w:sz w:val="24"/>
        </w:rPr>
      </w:pPr>
      <w:r>
        <w:rPr>
          <w:rFonts w:hint="eastAsia" w:ascii="宋体" w:hAnsi="宋体" w:cs="宋体"/>
          <w:b/>
          <w:bCs/>
          <w:sz w:val="24"/>
        </w:rPr>
        <w:t>1、总体要求：</w:t>
      </w:r>
    </w:p>
    <w:p>
      <w:pPr>
        <w:spacing w:line="360" w:lineRule="auto"/>
        <w:ind w:firstLine="480" w:firstLineChars="200"/>
        <w:rPr>
          <w:rFonts w:hint="eastAsia" w:ascii="宋体" w:hAnsi="宋体" w:cs="宋体"/>
          <w:sz w:val="24"/>
        </w:rPr>
      </w:pPr>
      <w:r>
        <w:rPr>
          <w:rFonts w:hint="eastAsia" w:ascii="宋体" w:hAnsi="宋体" w:cs="宋体"/>
          <w:sz w:val="24"/>
        </w:rPr>
        <w:t>负责四川省成都市龙泉驿区人民检察院新办公大楼内的所有地面、壁面、天花板、门窗、电梯、楼梯、卫生间、玻璃外墙，所有公共场所包括办公室、会议室、接待室、休息室、档案室、活动室、展厅、办案审讯室、机房、库房、车库、球场、卫生间以及门前三包范围内的清洁卫生，做到无灰尘、无泥沙、无积水、无杂物、地面整洁、门窗光洁明亮、无四害。</w:t>
      </w:r>
    </w:p>
    <w:p>
      <w:pPr>
        <w:spacing w:line="360" w:lineRule="auto"/>
        <w:ind w:firstLine="480" w:firstLineChars="200"/>
        <w:rPr>
          <w:rFonts w:hint="eastAsia" w:ascii="宋体" w:hAnsi="宋体" w:cs="宋体"/>
          <w:sz w:val="24"/>
        </w:rPr>
      </w:pPr>
      <w:r>
        <w:rPr>
          <w:rFonts w:hint="eastAsia" w:ascii="宋体" w:hAnsi="宋体" w:cs="宋体"/>
          <w:sz w:val="24"/>
        </w:rPr>
        <w:t>1.1对以上所有公共场所和门前三包范围内的区域每天保洁1次。长假提前半天做好卫生清洁工作。</w:t>
      </w:r>
    </w:p>
    <w:p>
      <w:pPr>
        <w:spacing w:line="360" w:lineRule="auto"/>
        <w:ind w:firstLine="480" w:firstLineChars="200"/>
        <w:rPr>
          <w:rFonts w:hint="eastAsia" w:ascii="宋体" w:hAnsi="宋体" w:cs="宋体"/>
          <w:sz w:val="24"/>
        </w:rPr>
      </w:pPr>
      <w:r>
        <w:rPr>
          <w:rFonts w:hint="eastAsia" w:ascii="宋体" w:hAnsi="宋体" w:cs="宋体"/>
          <w:sz w:val="24"/>
        </w:rPr>
        <w:t>1.2对各办公室、会议室实行零干扰服务,利用非工作时间每天保洁1次。无会议期间，会议室每天保洁一次,会议结束后及时做好保洁工作，各项设施恢复到位。</w:t>
      </w:r>
    </w:p>
    <w:p>
      <w:pPr>
        <w:spacing w:line="360" w:lineRule="auto"/>
        <w:ind w:firstLine="480" w:firstLineChars="200"/>
        <w:rPr>
          <w:rFonts w:hint="eastAsia" w:ascii="宋体" w:hAnsi="宋体" w:cs="宋体"/>
          <w:sz w:val="24"/>
        </w:rPr>
      </w:pPr>
      <w:r>
        <w:rPr>
          <w:rFonts w:hint="eastAsia" w:ascii="宋体" w:hAnsi="宋体" w:cs="宋体"/>
          <w:sz w:val="24"/>
        </w:rPr>
        <w:t>1.3楼梯，电梯的保养清洁,要做到干净无尘，扶手无污渍；电梯壁面保持光亮无尘,要求每天清洁数次。</w:t>
      </w:r>
    </w:p>
    <w:p>
      <w:pPr>
        <w:spacing w:line="360" w:lineRule="auto"/>
        <w:ind w:firstLine="480" w:firstLineChars="200"/>
        <w:rPr>
          <w:rFonts w:hint="eastAsia" w:ascii="宋体" w:hAnsi="宋体" w:cs="宋体"/>
          <w:sz w:val="24"/>
        </w:rPr>
      </w:pPr>
      <w:r>
        <w:rPr>
          <w:rFonts w:hint="eastAsia" w:ascii="宋体" w:hAnsi="宋体" w:cs="宋体"/>
          <w:sz w:val="24"/>
        </w:rPr>
        <w:t>1.4卫生间的保洁：保持地面整洁干净，无水渍、无异味，要求每天不间断清洁，及时更换清洁用品，及时补充洗手液、卫生纸、擦手纸、香精球、香水等用品。</w:t>
      </w:r>
    </w:p>
    <w:p>
      <w:pPr>
        <w:spacing w:line="360" w:lineRule="auto"/>
        <w:ind w:firstLine="480" w:firstLineChars="200"/>
        <w:rPr>
          <w:rFonts w:hint="eastAsia" w:ascii="宋体" w:hAnsi="宋体" w:cs="宋体"/>
          <w:sz w:val="24"/>
        </w:rPr>
      </w:pPr>
      <w:r>
        <w:rPr>
          <w:rFonts w:hint="eastAsia" w:ascii="宋体" w:hAnsi="宋体" w:cs="宋体"/>
          <w:sz w:val="24"/>
        </w:rPr>
        <w:t>1.5停车场保洁：停车场要求地面无泥沙、无积尘、无积水、保持干净，每天清洁一次。</w:t>
      </w:r>
    </w:p>
    <w:p>
      <w:pPr>
        <w:spacing w:line="360" w:lineRule="auto"/>
        <w:ind w:firstLine="480" w:firstLineChars="200"/>
        <w:rPr>
          <w:rFonts w:hint="eastAsia" w:ascii="宋体" w:hAnsi="宋体" w:cs="宋体"/>
          <w:sz w:val="24"/>
        </w:rPr>
      </w:pPr>
      <w:r>
        <w:rPr>
          <w:rFonts w:hint="eastAsia" w:ascii="宋体" w:hAnsi="宋体" w:cs="宋体"/>
          <w:sz w:val="24"/>
        </w:rPr>
        <w:t>1.6建立消杀工作管理制度,根据卫生部门要求及实际情况定期开展消杀工作，有效控制害虫孳生，定期对各类病虫害进行预防控制。</w:t>
      </w:r>
    </w:p>
    <w:p>
      <w:pPr>
        <w:spacing w:line="520" w:lineRule="exact"/>
        <w:ind w:firstLine="480" w:firstLineChars="200"/>
        <w:rPr>
          <w:rFonts w:hint="eastAsia" w:ascii="宋体" w:hAnsi="宋体" w:cs="宋体"/>
          <w:sz w:val="24"/>
        </w:rPr>
      </w:pPr>
      <w:r>
        <w:rPr>
          <w:rFonts w:hint="eastAsia" w:ascii="宋体" w:hAnsi="宋体" w:cs="宋体"/>
          <w:sz w:val="24"/>
        </w:rPr>
        <w:t>1.7雨水井、化粪池定期清掏，井池不得有淤积、堵塞、漫溢等现象，至少每月检查一次，每半年清理一次。</w:t>
      </w:r>
    </w:p>
    <w:p>
      <w:pPr>
        <w:spacing w:line="360" w:lineRule="auto"/>
        <w:ind w:firstLine="480" w:firstLineChars="200"/>
        <w:rPr>
          <w:rFonts w:hint="eastAsia" w:ascii="宋体" w:hAnsi="宋体" w:cs="宋体"/>
          <w:sz w:val="24"/>
        </w:rPr>
      </w:pPr>
      <w:r>
        <w:rPr>
          <w:rFonts w:hint="eastAsia" w:ascii="宋体" w:hAnsi="宋体" w:cs="宋体"/>
          <w:sz w:val="24"/>
        </w:rPr>
        <w:t>1.8洗衣房服务范围：每周一、三、五中午12:00-2:00为干警提供制服清洗服务，主要清洗的物品为：干警的所有制服、演出服及值班室的床单、被套、枕套。平常需对洗衣房内设备设施进行清洁维护；</w:t>
      </w:r>
    </w:p>
    <w:p>
      <w:pPr>
        <w:spacing w:line="360" w:lineRule="auto"/>
        <w:ind w:firstLine="648" w:firstLineChars="200"/>
        <w:rPr>
          <w:rFonts w:hint="eastAsia" w:ascii="宋体" w:hAnsi="宋体" w:cs="宋体"/>
          <w:b/>
          <w:bCs/>
          <w:sz w:val="24"/>
        </w:rPr>
      </w:pPr>
      <w:r>
        <w:rPr>
          <w:rFonts w:hint="eastAsia" w:ascii="华文中宋" w:hAnsi="华文中宋" w:eastAsia="华文中宋"/>
          <w:spacing w:val="42"/>
          <w:sz w:val="24"/>
          <w:szCs w:val="24"/>
          <w:lang w:eastAsia="zh-CN"/>
        </w:rPr>
        <w:t>▲</w:t>
      </w:r>
      <w:r>
        <w:rPr>
          <w:rFonts w:hint="eastAsia" w:ascii="宋体" w:hAnsi="宋体" w:cs="宋体"/>
          <w:sz w:val="24"/>
        </w:rPr>
        <w:t>1.9 咖啡室的服务范围：每天中午12:00-2:00为干警们提供自助咖啡服务，对咖啡室内的设备设施的清洁维护；</w:t>
      </w:r>
      <w:r>
        <w:rPr>
          <w:rFonts w:hint="eastAsia" w:ascii="宋体" w:hAnsi="宋体" w:cs="宋体"/>
          <w:b/>
          <w:bCs/>
          <w:sz w:val="24"/>
        </w:rPr>
        <w:t>（投标人承诺在中标后提供咖啡室服务人员的健康证明）</w:t>
      </w:r>
    </w:p>
    <w:p>
      <w:pPr>
        <w:spacing w:line="360" w:lineRule="auto"/>
        <w:ind w:firstLine="480" w:firstLineChars="200"/>
        <w:rPr>
          <w:rFonts w:hint="eastAsia" w:ascii="宋体" w:hAnsi="宋体" w:cs="宋体"/>
          <w:sz w:val="24"/>
        </w:rPr>
      </w:pPr>
      <w:r>
        <w:rPr>
          <w:rFonts w:hint="eastAsia" w:ascii="宋体" w:hAnsi="宋体" w:cs="宋体"/>
          <w:sz w:val="24"/>
        </w:rPr>
        <w:t>1.10洗车场：随时需对洗车场内的设备设施进行清洁整理；</w:t>
      </w:r>
    </w:p>
    <w:p>
      <w:pPr>
        <w:spacing w:line="360" w:lineRule="auto"/>
        <w:ind w:firstLine="480" w:firstLineChars="200"/>
        <w:rPr>
          <w:rFonts w:hint="eastAsia" w:ascii="宋体" w:hAnsi="宋体" w:cs="宋体"/>
          <w:sz w:val="24"/>
        </w:rPr>
      </w:pPr>
      <w:r>
        <w:rPr>
          <w:rFonts w:hint="eastAsia" w:ascii="宋体" w:hAnsi="宋体" w:cs="宋体"/>
          <w:sz w:val="24"/>
        </w:rPr>
        <w:t>1.11玻璃外墙：整栋楼的玻璃外墙清洗，每年1次。</w:t>
      </w:r>
    </w:p>
    <w:p>
      <w:pPr>
        <w:pStyle w:val="17"/>
        <w:ind w:firstLine="482" w:firstLineChars="200"/>
        <w:rPr>
          <w:rFonts w:hint="eastAsia" w:ascii="宋体" w:hAnsi="宋体" w:cs="宋体"/>
          <w:b/>
          <w:sz w:val="24"/>
        </w:rPr>
      </w:pPr>
      <w:r>
        <w:rPr>
          <w:rFonts w:hint="eastAsia" w:ascii="宋体" w:hAnsi="宋体" w:cs="宋体"/>
          <w:b/>
          <w:sz w:val="24"/>
        </w:rPr>
        <w:t>2、</w:t>
      </w:r>
      <w:r>
        <w:rPr>
          <w:rFonts w:hint="eastAsia" w:ascii="宋体" w:hAnsi="宋体" w:cs="宋体"/>
          <w:b/>
          <w:bCs/>
          <w:sz w:val="24"/>
        </w:rPr>
        <w:t>具体要求</w:t>
      </w:r>
    </w:p>
    <w:p>
      <w:pPr>
        <w:spacing w:line="360" w:lineRule="auto"/>
        <w:ind w:firstLine="480" w:firstLineChars="200"/>
        <w:rPr>
          <w:rFonts w:hint="eastAsia" w:ascii="宋体" w:hAnsi="宋体" w:cs="宋体"/>
          <w:sz w:val="24"/>
        </w:rPr>
      </w:pPr>
      <w:r>
        <w:rPr>
          <w:rFonts w:hint="eastAsia" w:ascii="宋体" w:hAnsi="宋体" w:cs="宋体"/>
          <w:sz w:val="24"/>
        </w:rPr>
        <w:t>2.1</w:t>
      </w:r>
      <w:r>
        <w:rPr>
          <w:rFonts w:hint="eastAsia" w:ascii="宋体" w:hAnsi="宋体" w:cs="宋体"/>
          <w:b/>
          <w:bCs/>
          <w:sz w:val="24"/>
        </w:rPr>
        <w:t>范围</w:t>
      </w:r>
      <w:r>
        <w:rPr>
          <w:rFonts w:hint="eastAsia" w:ascii="宋体" w:hAnsi="宋体" w:cs="宋体"/>
          <w:sz w:val="24"/>
        </w:rPr>
        <w:t>：四川省成都市龙泉驿区人民检察院新办公大楼红线范围内。</w:t>
      </w:r>
    </w:p>
    <w:p>
      <w:pPr>
        <w:spacing w:line="360" w:lineRule="auto"/>
        <w:ind w:firstLine="480" w:firstLineChars="200"/>
        <w:rPr>
          <w:rFonts w:hint="eastAsia" w:ascii="宋体" w:hAnsi="宋体" w:cs="宋体"/>
          <w:sz w:val="24"/>
        </w:rPr>
      </w:pPr>
      <w:r>
        <w:rPr>
          <w:rFonts w:hint="eastAsia" w:ascii="宋体" w:hAnsi="宋体" w:cs="宋体"/>
          <w:sz w:val="24"/>
        </w:rPr>
        <w:t>2.2</w:t>
      </w:r>
      <w:r>
        <w:rPr>
          <w:rFonts w:hint="eastAsia" w:ascii="宋体" w:hAnsi="宋体" w:cs="宋体"/>
          <w:b/>
          <w:bCs/>
          <w:sz w:val="24"/>
        </w:rPr>
        <w:t xml:space="preserve"> 内容</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2.2.1对项目红线范围内的道路、设施（各类标识牌、路标、果皮箱、休闲椅）等每天进行巡回保洁，办公区、楼梯、扶手、大厅、走廊、电梯间、地下室、天花板、天台、墙面、桌椅、沙发、停车场、道路、球场等所有公共区域随时保持清洁，无随意堆放杂物和占用，不见废弃物、污渍，对相关场地、材料和设施进行保养处理（抛光、打蜡、清洗、冲洗等）。对地下层环境、设施进行巡回保洁。针对实际情况，每月对管井、下水道等进行检查，并根据实际需要定期对排水、排污管道进行清疏。对楼内公共环境、展区、卫生间、设施（各类标识牌、废品回收箱等）进行巡回保洁。</w:t>
      </w:r>
    </w:p>
    <w:p>
      <w:pPr>
        <w:spacing w:line="360" w:lineRule="auto"/>
        <w:ind w:firstLine="480" w:firstLineChars="200"/>
        <w:rPr>
          <w:rFonts w:hint="eastAsia" w:ascii="宋体" w:hAnsi="宋体" w:cs="宋体"/>
          <w:sz w:val="24"/>
        </w:rPr>
      </w:pPr>
      <w:r>
        <w:rPr>
          <w:rFonts w:hint="eastAsia" w:ascii="宋体" w:hAnsi="宋体" w:cs="宋体"/>
          <w:sz w:val="24"/>
        </w:rPr>
        <w:t>2.2.2巡回对各建筑物天面天台进行清洗、保洁。巡回或根据实际天气情况，对建筑物天面排水沟进行及时清理、清疏。巡回对各建筑物天面相关设施（出风口、铝扣板等）进行清洁、保洁。</w:t>
      </w:r>
    </w:p>
    <w:p>
      <w:pPr>
        <w:spacing w:line="360" w:lineRule="auto"/>
        <w:ind w:firstLine="480" w:firstLineChars="200"/>
        <w:rPr>
          <w:rFonts w:hint="eastAsia" w:ascii="宋体" w:hAnsi="宋体" w:cs="宋体"/>
          <w:sz w:val="24"/>
        </w:rPr>
      </w:pPr>
      <w:r>
        <w:rPr>
          <w:rFonts w:hint="eastAsia" w:ascii="宋体" w:hAnsi="宋体" w:cs="宋体"/>
          <w:sz w:val="24"/>
        </w:rPr>
        <w:t>2.2.3每天一次对办公室、会议室、接待室、休息室、展厅等及公共场所进行保洁、清洁及垃圾收集。</w:t>
      </w:r>
    </w:p>
    <w:p>
      <w:pPr>
        <w:spacing w:line="360" w:lineRule="auto"/>
        <w:ind w:firstLine="480" w:firstLineChars="200"/>
        <w:rPr>
          <w:rFonts w:hint="eastAsia" w:ascii="宋体" w:hAnsi="宋体" w:cs="宋体"/>
          <w:sz w:val="24"/>
        </w:rPr>
      </w:pPr>
      <w:r>
        <w:rPr>
          <w:rFonts w:hint="eastAsia" w:ascii="宋体" w:hAnsi="宋体" w:cs="宋体"/>
          <w:sz w:val="24"/>
        </w:rPr>
        <w:t>2.2.4每周定时对休息室、接待室、会议室等地毯进行吸尘、保洁、清洗。</w:t>
      </w:r>
    </w:p>
    <w:p>
      <w:pPr>
        <w:spacing w:line="360" w:lineRule="auto"/>
        <w:ind w:firstLine="480" w:firstLineChars="200"/>
        <w:rPr>
          <w:rFonts w:hint="eastAsia" w:ascii="宋体" w:hAnsi="宋体" w:cs="宋体"/>
          <w:sz w:val="24"/>
        </w:rPr>
      </w:pPr>
      <w:r>
        <w:rPr>
          <w:rFonts w:hint="eastAsia" w:ascii="宋体" w:hAnsi="宋体" w:cs="宋体"/>
          <w:sz w:val="24"/>
        </w:rPr>
        <w:t>2.2.5每半年定期对相关集水井进行清疏、捞渣工作。</w:t>
      </w:r>
    </w:p>
    <w:p>
      <w:pPr>
        <w:spacing w:line="360" w:lineRule="auto"/>
        <w:ind w:firstLine="480" w:firstLineChars="200"/>
        <w:rPr>
          <w:rFonts w:hint="eastAsia" w:ascii="宋体" w:hAnsi="宋体" w:cs="宋体"/>
          <w:sz w:val="24"/>
        </w:rPr>
      </w:pPr>
      <w:r>
        <w:rPr>
          <w:rFonts w:hint="eastAsia" w:ascii="宋体" w:hAnsi="宋体" w:cs="宋体"/>
          <w:sz w:val="24"/>
        </w:rPr>
        <w:t>2.2.6每天及时收集垃圾并集中清运至垃圾中转站。对食堂或办公等产生的各种生活垃圾进行统一收集处理。</w:t>
      </w:r>
    </w:p>
    <w:p>
      <w:pPr>
        <w:spacing w:line="360" w:lineRule="auto"/>
        <w:ind w:firstLine="480" w:firstLineChars="200"/>
        <w:rPr>
          <w:rFonts w:hint="eastAsia" w:ascii="宋体" w:hAnsi="宋体" w:cs="宋体"/>
          <w:sz w:val="24"/>
        </w:rPr>
      </w:pPr>
      <w:r>
        <w:rPr>
          <w:rFonts w:hint="eastAsia" w:ascii="宋体" w:hAnsi="宋体" w:cs="宋体"/>
          <w:sz w:val="24"/>
        </w:rPr>
        <w:t>2.2.7对办公大楼正式使用后部分功能布局调整和部分软装饰工程后的场地进行及时清洁或重新开荒服务。</w:t>
      </w:r>
    </w:p>
    <w:p>
      <w:pPr>
        <w:ind w:firstLine="480" w:firstLineChars="200"/>
        <w:rPr>
          <w:rFonts w:hint="eastAsia" w:ascii="宋体" w:hAnsi="宋体" w:cs="宋体"/>
          <w:sz w:val="24"/>
        </w:rPr>
      </w:pPr>
      <w:r>
        <w:rPr>
          <w:rFonts w:hint="eastAsia" w:ascii="宋体" w:hAnsi="宋体" w:cs="宋体"/>
          <w:sz w:val="24"/>
        </w:rPr>
        <w:t>2.2.8休息室、接待室、会议室应在每次使用过后及时清洁。</w:t>
      </w:r>
    </w:p>
    <w:p>
      <w:pPr>
        <w:ind w:firstLine="480" w:firstLineChars="200"/>
        <w:rPr>
          <w:rFonts w:hint="eastAsia" w:ascii="宋体" w:hAnsi="宋体" w:cs="宋体"/>
          <w:sz w:val="24"/>
        </w:rPr>
      </w:pPr>
      <w:r>
        <w:rPr>
          <w:rFonts w:hint="eastAsia" w:ascii="宋体" w:hAnsi="宋体" w:cs="宋体"/>
          <w:sz w:val="24"/>
        </w:rPr>
        <w:t>2.2.9会议室清洁要求</w:t>
      </w:r>
    </w:p>
    <w:p>
      <w:pPr>
        <w:spacing w:line="360" w:lineRule="auto"/>
        <w:ind w:firstLine="480" w:firstLineChars="200"/>
        <w:rPr>
          <w:rFonts w:hint="eastAsia" w:ascii="宋体" w:hAnsi="宋体" w:cs="宋体"/>
          <w:sz w:val="24"/>
        </w:rPr>
      </w:pPr>
      <w:r>
        <w:rPr>
          <w:rFonts w:hint="eastAsia" w:ascii="宋体" w:hAnsi="宋体" w:cs="宋体"/>
          <w:sz w:val="24"/>
        </w:rPr>
        <w:t xml:space="preserve">   （1）室内干净、无积尘、无渍；</w:t>
      </w:r>
    </w:p>
    <w:p>
      <w:pPr>
        <w:spacing w:line="360" w:lineRule="auto"/>
        <w:ind w:firstLine="480" w:firstLineChars="200"/>
        <w:rPr>
          <w:rFonts w:hint="eastAsia" w:ascii="宋体" w:hAnsi="宋体" w:cs="宋体"/>
          <w:sz w:val="24"/>
        </w:rPr>
      </w:pPr>
      <w:r>
        <w:rPr>
          <w:rFonts w:hint="eastAsia" w:ascii="宋体" w:hAnsi="宋体" w:cs="宋体"/>
          <w:sz w:val="24"/>
        </w:rPr>
        <w:t xml:space="preserve">   （2）桌面干净，整洁有序无划痕；</w:t>
      </w:r>
    </w:p>
    <w:p>
      <w:pPr>
        <w:spacing w:line="360" w:lineRule="auto"/>
        <w:ind w:firstLine="480" w:firstLineChars="200"/>
        <w:rPr>
          <w:rFonts w:hint="eastAsia" w:ascii="宋体" w:hAnsi="宋体" w:cs="宋体"/>
          <w:sz w:val="24"/>
        </w:rPr>
      </w:pPr>
      <w:r>
        <w:rPr>
          <w:rFonts w:hint="eastAsia" w:ascii="宋体" w:hAnsi="宋体" w:cs="宋体"/>
          <w:sz w:val="24"/>
        </w:rPr>
        <w:t xml:space="preserve">   （3）天花板、窗户、四面墙壁无积尘、无蜘蛛网；</w:t>
      </w:r>
    </w:p>
    <w:p>
      <w:pPr>
        <w:spacing w:line="360" w:lineRule="auto"/>
        <w:ind w:firstLine="480" w:firstLineChars="200"/>
        <w:rPr>
          <w:rFonts w:hint="eastAsia" w:ascii="宋体" w:hAnsi="宋体" w:cs="宋体"/>
          <w:sz w:val="24"/>
        </w:rPr>
      </w:pPr>
      <w:r>
        <w:rPr>
          <w:rFonts w:hint="eastAsia" w:ascii="宋体" w:hAnsi="宋体" w:cs="宋体"/>
          <w:sz w:val="24"/>
        </w:rPr>
        <w:t xml:space="preserve">   （4）木地板定时打蜡、地毯定时清洁。保证地面干净无污渍、无积尘、无杂物；</w:t>
      </w:r>
    </w:p>
    <w:p>
      <w:pPr>
        <w:spacing w:line="360" w:lineRule="auto"/>
        <w:ind w:firstLine="480" w:firstLineChars="200"/>
        <w:rPr>
          <w:rFonts w:hint="eastAsia" w:ascii="宋体" w:hAnsi="宋体" w:cs="宋体"/>
          <w:sz w:val="24"/>
        </w:rPr>
      </w:pPr>
      <w:r>
        <w:rPr>
          <w:rFonts w:hint="eastAsia" w:ascii="宋体" w:hAnsi="宋体" w:cs="宋体"/>
          <w:sz w:val="24"/>
        </w:rPr>
        <w:t xml:space="preserve">   （5）窗台无积尘、门窗明亮无污渍，窗帘干净无破损；</w:t>
      </w:r>
    </w:p>
    <w:p>
      <w:pPr>
        <w:spacing w:line="360" w:lineRule="auto"/>
        <w:ind w:firstLine="840" w:firstLineChars="350"/>
        <w:rPr>
          <w:rFonts w:hint="eastAsia" w:ascii="宋体" w:hAnsi="宋体" w:cs="宋体"/>
          <w:sz w:val="24"/>
        </w:rPr>
      </w:pPr>
      <w:r>
        <w:rPr>
          <w:rFonts w:hint="eastAsia" w:ascii="宋体" w:hAnsi="宋体" w:cs="宋体"/>
          <w:sz w:val="24"/>
        </w:rPr>
        <w:t>（6）灯罩、空调送、排风口应保持洁净、光亮；</w:t>
      </w:r>
    </w:p>
    <w:p>
      <w:pPr>
        <w:spacing w:line="360" w:lineRule="auto"/>
        <w:ind w:firstLine="840" w:firstLineChars="350"/>
        <w:rPr>
          <w:rFonts w:hint="eastAsia" w:ascii="宋体" w:hAnsi="宋体" w:cs="宋体"/>
          <w:sz w:val="24"/>
        </w:rPr>
      </w:pPr>
      <w:r>
        <w:rPr>
          <w:rFonts w:hint="eastAsia" w:ascii="宋体" w:hAnsi="宋体" w:cs="宋体"/>
          <w:sz w:val="24"/>
        </w:rPr>
        <w:t>（7）室内设施、设备保持干净无积尘；</w:t>
      </w:r>
    </w:p>
    <w:p>
      <w:pPr>
        <w:spacing w:line="360" w:lineRule="auto"/>
        <w:ind w:firstLine="840" w:firstLineChars="350"/>
        <w:rPr>
          <w:rFonts w:hint="eastAsia" w:ascii="宋体" w:hAnsi="宋体" w:cs="宋体"/>
          <w:sz w:val="24"/>
        </w:rPr>
      </w:pPr>
      <w:r>
        <w:rPr>
          <w:rFonts w:hint="eastAsia" w:ascii="宋体" w:hAnsi="宋体" w:cs="宋体"/>
          <w:sz w:val="24"/>
        </w:rPr>
        <w:t>（8）会议茶具清洁、光亮，严格消毒。</w:t>
      </w:r>
    </w:p>
    <w:p>
      <w:pPr>
        <w:spacing w:line="360" w:lineRule="auto"/>
        <w:ind w:firstLine="482" w:firstLineChars="200"/>
        <w:rPr>
          <w:rFonts w:hint="eastAsia" w:ascii="宋体" w:hAnsi="宋体" w:cs="宋体"/>
          <w:b/>
          <w:bCs/>
          <w:sz w:val="24"/>
        </w:rPr>
      </w:pPr>
      <w:r>
        <w:rPr>
          <w:rFonts w:hint="eastAsia" w:ascii="宋体" w:hAnsi="宋体" w:cs="宋体"/>
          <w:b/>
          <w:bCs/>
          <w:sz w:val="24"/>
        </w:rPr>
        <w:t>3、其他要求：</w:t>
      </w:r>
    </w:p>
    <w:p>
      <w:pPr>
        <w:spacing w:line="360" w:lineRule="auto"/>
        <w:ind w:firstLine="480" w:firstLineChars="200"/>
        <w:rPr>
          <w:rFonts w:hint="eastAsia" w:ascii="宋体" w:hAnsi="宋体" w:cs="宋体"/>
          <w:sz w:val="24"/>
        </w:rPr>
      </w:pPr>
      <w:r>
        <w:rPr>
          <w:rFonts w:hint="eastAsia" w:ascii="宋体" w:hAnsi="宋体" w:cs="宋体"/>
          <w:sz w:val="24"/>
        </w:rPr>
        <w:t>3.1有常用的环卫工具和设施，建立环境卫生管理制度并认真落实，每天应有专人巡检和不定时抽查并做好检查记录，卫生间除定时清洁外，还应根据实际情况巡回保洁，保证卫生间洁净无异味；</w:t>
      </w:r>
    </w:p>
    <w:p>
      <w:pPr>
        <w:spacing w:line="360" w:lineRule="auto"/>
        <w:ind w:firstLine="480" w:firstLineChars="200"/>
        <w:rPr>
          <w:rFonts w:hint="eastAsia" w:ascii="宋体" w:hAnsi="宋体" w:cs="宋体"/>
          <w:sz w:val="24"/>
        </w:rPr>
      </w:pPr>
      <w:r>
        <w:rPr>
          <w:rFonts w:hint="eastAsia" w:ascii="宋体" w:hAnsi="宋体" w:cs="宋体"/>
          <w:sz w:val="24"/>
        </w:rPr>
        <w:t>3.2楼内及建筑物外围道路及绿化除正常定时清扫外，应根据情况不定时清洁，确保容貌整洁。</w:t>
      </w:r>
    </w:p>
    <w:p>
      <w:pPr>
        <w:spacing w:line="360" w:lineRule="auto"/>
        <w:ind w:firstLine="480" w:firstLineChars="200"/>
        <w:rPr>
          <w:rFonts w:hint="eastAsia" w:ascii="宋体" w:hAnsi="宋体" w:cs="宋体"/>
          <w:sz w:val="24"/>
        </w:rPr>
      </w:pPr>
      <w:r>
        <w:rPr>
          <w:rFonts w:hint="eastAsia" w:ascii="宋体" w:hAnsi="宋体" w:cs="宋体"/>
          <w:sz w:val="24"/>
        </w:rPr>
        <w:t xml:space="preserve">3.3保洁人员的呼叫响应时限为3-5分钟。配合专业公司定期消毒杀灭四害及防白蚁、防蛀专业消杀。中标人负责所属区和街道的“门前三包”、“垃圾处理”、“垃圾车垃圾桶”等与清洁卫生有关的一切事项。 </w:t>
      </w:r>
    </w:p>
    <w:p>
      <w:pPr>
        <w:spacing w:line="360" w:lineRule="auto"/>
        <w:ind w:firstLine="480" w:firstLineChars="200"/>
        <w:rPr>
          <w:rFonts w:hint="eastAsia" w:ascii="宋体" w:hAnsi="宋体" w:cs="宋体"/>
          <w:sz w:val="24"/>
        </w:rPr>
      </w:pPr>
      <w:r>
        <w:rPr>
          <w:rFonts w:hint="eastAsia" w:ascii="宋体" w:hAnsi="宋体" w:cs="宋体"/>
          <w:sz w:val="24"/>
        </w:rPr>
        <w:t>3.4中标人负责检查所有卫生间、休息室、接待室、会议室的消耗品（如洗手液、卫生纸、茶叶、纸杯、纸笔等）使用情况。每天定时检查和添加消耗品。卫生间消耗品及中标人在清洁卫生过程中产生的洗涤剂、消毒剂、除臭剂及各种清洁卫生设备工具等费用由中标人负责，会务接待用品及消耗品由采购人负责。</w:t>
      </w:r>
    </w:p>
    <w:p>
      <w:pPr>
        <w:spacing w:line="360" w:lineRule="auto"/>
        <w:ind w:firstLine="480" w:firstLineChars="200"/>
        <w:rPr>
          <w:rFonts w:hint="eastAsia" w:ascii="宋体" w:hAnsi="宋体" w:cs="宋体"/>
          <w:sz w:val="24"/>
        </w:rPr>
      </w:pPr>
      <w:r>
        <w:rPr>
          <w:rFonts w:hint="eastAsia" w:ascii="宋体" w:hAnsi="宋体" w:cs="宋体"/>
          <w:sz w:val="24"/>
        </w:rPr>
        <w:t>3.5办案区、档案区不得随意进出，在清洁卫生过程中做好保密工作。</w:t>
      </w:r>
    </w:p>
    <w:p>
      <w:pPr>
        <w:spacing w:line="360" w:lineRule="auto"/>
        <w:ind w:firstLine="480" w:firstLineChars="200"/>
        <w:rPr>
          <w:rFonts w:hint="eastAsia" w:ascii="宋体" w:hAnsi="宋体" w:cs="宋体"/>
          <w:b/>
          <w:sz w:val="24"/>
        </w:rPr>
      </w:pPr>
      <w:r>
        <w:rPr>
          <w:rFonts w:hint="eastAsia" w:ascii="宋体" w:hAnsi="宋体" w:cs="宋体"/>
          <w:sz w:val="24"/>
        </w:rPr>
        <w:t>3.6垃圾清运须做到袋装化，清运路线与时机应注意避开人流高峰时段，做到文明服务。</w:t>
      </w:r>
    </w:p>
    <w:p>
      <w:pPr>
        <w:spacing w:line="360" w:lineRule="auto"/>
        <w:rPr>
          <w:rFonts w:hint="eastAsia" w:ascii="宋体" w:hAnsi="宋体" w:cs="宋体"/>
          <w:b/>
          <w:bCs/>
          <w:sz w:val="24"/>
        </w:rPr>
      </w:pPr>
      <w:r>
        <w:rPr>
          <w:rFonts w:hint="eastAsia" w:ascii="宋体" w:hAnsi="宋体" w:cs="宋体"/>
          <w:b/>
          <w:bCs/>
          <w:sz w:val="24"/>
        </w:rPr>
        <w:t>（二）接待与会务服务</w:t>
      </w:r>
    </w:p>
    <w:p>
      <w:pPr>
        <w:spacing w:line="360" w:lineRule="auto"/>
        <w:ind w:firstLine="482" w:firstLineChars="200"/>
        <w:rPr>
          <w:rFonts w:hint="eastAsia" w:ascii="宋体" w:hAnsi="宋体" w:cs="宋体"/>
          <w:b/>
          <w:bCs/>
          <w:sz w:val="24"/>
        </w:rPr>
      </w:pPr>
      <w:r>
        <w:rPr>
          <w:rFonts w:hint="eastAsia" w:ascii="宋体" w:hAnsi="宋体" w:cs="宋体"/>
          <w:b/>
          <w:bCs/>
          <w:sz w:val="24"/>
        </w:rPr>
        <w:t>1、总体要求</w:t>
      </w:r>
    </w:p>
    <w:p>
      <w:pPr>
        <w:spacing w:line="360" w:lineRule="auto"/>
        <w:ind w:firstLine="480" w:firstLineChars="200"/>
        <w:rPr>
          <w:rFonts w:hint="eastAsia" w:ascii="宋体" w:hAnsi="宋体" w:cs="宋体"/>
          <w:sz w:val="24"/>
        </w:rPr>
      </w:pPr>
      <w:r>
        <w:rPr>
          <w:rFonts w:hint="eastAsia" w:ascii="宋体" w:hAnsi="宋体" w:cs="宋体"/>
          <w:sz w:val="24"/>
        </w:rPr>
        <w:t>日常大厅来访接待，配合区检察院各职能部门,提供与会议、学术交流、参观讲解等活动相关的一切服务。</w:t>
      </w:r>
    </w:p>
    <w:p>
      <w:pPr>
        <w:spacing w:line="360" w:lineRule="auto"/>
        <w:ind w:firstLine="480" w:firstLineChars="200"/>
        <w:rPr>
          <w:rFonts w:hint="eastAsia" w:ascii="宋体" w:hAnsi="宋体" w:cs="宋体"/>
          <w:sz w:val="24"/>
        </w:rPr>
      </w:pPr>
      <w:r>
        <w:rPr>
          <w:rFonts w:hint="eastAsia" w:ascii="宋体" w:hAnsi="宋体" w:cs="宋体"/>
          <w:sz w:val="24"/>
        </w:rPr>
        <w:t>1.1负责对市预防犯罪警示教育基地展厅的讲解工作，要求形象气质好，普通话标准，英语流利。</w:t>
      </w:r>
    </w:p>
    <w:p>
      <w:pPr>
        <w:spacing w:line="360" w:lineRule="auto"/>
        <w:ind w:firstLine="480" w:firstLineChars="200"/>
        <w:rPr>
          <w:rFonts w:hint="eastAsia" w:ascii="宋体" w:hAnsi="宋体" w:cs="宋体"/>
          <w:sz w:val="24"/>
        </w:rPr>
      </w:pPr>
      <w:r>
        <w:rPr>
          <w:rFonts w:hint="eastAsia" w:ascii="宋体" w:hAnsi="宋体" w:cs="宋体"/>
          <w:sz w:val="24"/>
        </w:rPr>
        <w:t>1.2对外来办事人员要进行接待、登记、记录和引导，懂得礼仪知识，讲究文明礼貌。</w:t>
      </w:r>
    </w:p>
    <w:p>
      <w:pPr>
        <w:spacing w:line="360" w:lineRule="auto"/>
        <w:ind w:firstLine="480" w:firstLineChars="200"/>
        <w:rPr>
          <w:rFonts w:hint="eastAsia" w:ascii="宋体" w:hAnsi="宋体" w:cs="宋体"/>
          <w:sz w:val="24"/>
        </w:rPr>
      </w:pPr>
      <w:r>
        <w:rPr>
          <w:rFonts w:hint="eastAsia" w:ascii="宋体" w:hAnsi="宋体" w:cs="宋体"/>
          <w:sz w:val="24"/>
        </w:rPr>
        <w:t>1.3做好业主单位报修等诉求的传达、登记工作，要求登记完整、规范、及时。</w:t>
      </w:r>
    </w:p>
    <w:p>
      <w:pPr>
        <w:spacing w:line="360" w:lineRule="auto"/>
        <w:ind w:firstLine="480" w:firstLineChars="200"/>
        <w:rPr>
          <w:rFonts w:hint="eastAsia" w:ascii="宋体" w:hAnsi="宋体" w:cs="宋体"/>
          <w:sz w:val="24"/>
        </w:rPr>
      </w:pPr>
      <w:r>
        <w:rPr>
          <w:rFonts w:hint="eastAsia" w:ascii="宋体" w:hAnsi="宋体" w:cs="宋体"/>
          <w:sz w:val="24"/>
        </w:rPr>
        <w:t>1.4负责每天报刊杂志的收发，做到发放及时、准确、无遗漏。</w:t>
      </w:r>
    </w:p>
    <w:p>
      <w:pPr>
        <w:spacing w:line="360" w:lineRule="auto"/>
        <w:ind w:firstLine="480" w:firstLineChars="200"/>
        <w:rPr>
          <w:rFonts w:hint="eastAsia" w:ascii="宋体" w:hAnsi="宋体" w:cs="宋体"/>
          <w:sz w:val="24"/>
        </w:rPr>
      </w:pPr>
      <w:r>
        <w:rPr>
          <w:rFonts w:hint="eastAsia" w:ascii="宋体" w:hAnsi="宋体" w:cs="宋体"/>
          <w:sz w:val="24"/>
        </w:rPr>
        <w:t>1.5布置会场，准备会务物资，按要求设立报到桌，按需摆放鲜花、水果、西点、咖啡、矿泉水、纸、笔等，提供会务茶水、录音、投影、电脑、横幅制作、欢迎牌制作和特殊商务服务，以及参会宾客的迎送和指引服务等。</w:t>
      </w:r>
    </w:p>
    <w:p>
      <w:pPr>
        <w:spacing w:line="360" w:lineRule="auto"/>
        <w:ind w:firstLine="480" w:firstLineChars="200"/>
        <w:rPr>
          <w:rFonts w:hint="eastAsia" w:ascii="宋体" w:hAnsi="宋体" w:cs="宋体"/>
          <w:sz w:val="24"/>
        </w:rPr>
      </w:pPr>
      <w:r>
        <w:rPr>
          <w:rFonts w:hint="eastAsia" w:ascii="宋体" w:hAnsi="宋体" w:cs="宋体"/>
          <w:sz w:val="24"/>
        </w:rPr>
        <w:t>1.6会议接待和服务要及时、礼貌、周到细致，切忌高声喧哗。会场按业主要求布置得当，严格按会议服务作业程序服务。提供会务接待后勤保障。根据会务需求量及时补充会务用品的数量、品种，严格管理会务物品。按规定对非一次性使用的会务用品进行清洗、消毒。会议期间要做好续水等会议服务工作，会后应及时清场、清洗茶杯，进行茶具消毒、打扫卫生并关闭门窗、空调电源。若拾到参会人员遗失物品交区检察院办公室，会议资料交办会单位。</w:t>
      </w:r>
    </w:p>
    <w:p>
      <w:pPr>
        <w:spacing w:line="360" w:lineRule="auto"/>
        <w:ind w:firstLine="480" w:firstLineChars="200"/>
        <w:rPr>
          <w:rFonts w:hint="eastAsia" w:ascii="宋体" w:hAnsi="宋体" w:cs="宋体"/>
          <w:sz w:val="24"/>
        </w:rPr>
      </w:pPr>
      <w:r>
        <w:rPr>
          <w:rFonts w:hint="eastAsia" w:ascii="宋体" w:hAnsi="宋体" w:cs="宋体"/>
          <w:sz w:val="24"/>
        </w:rPr>
        <w:t>1.7日常巡查会议室，检查会议室的各项设施、设备，并保持完好。</w:t>
      </w:r>
    </w:p>
    <w:p>
      <w:pPr>
        <w:spacing w:line="360" w:lineRule="auto"/>
        <w:ind w:firstLine="480" w:firstLineChars="200"/>
        <w:rPr>
          <w:rFonts w:hint="eastAsia" w:ascii="宋体" w:hAnsi="宋体" w:cs="宋体"/>
          <w:sz w:val="24"/>
        </w:rPr>
      </w:pPr>
      <w:r>
        <w:rPr>
          <w:rFonts w:hint="eastAsia" w:ascii="宋体" w:hAnsi="宋体" w:cs="宋体"/>
          <w:sz w:val="24"/>
        </w:rPr>
        <w:t>1.8做好会议保密工作。涉会人员严守纪律，不监听、不录音、不外传会议内容；不传播、夹带会议资料。</w:t>
      </w:r>
    </w:p>
    <w:p>
      <w:pPr>
        <w:spacing w:line="360" w:lineRule="auto"/>
        <w:ind w:firstLine="480" w:firstLineChars="200"/>
        <w:rPr>
          <w:rFonts w:hint="eastAsia" w:ascii="宋体" w:hAnsi="宋体" w:cs="宋体"/>
          <w:sz w:val="24"/>
        </w:rPr>
      </w:pPr>
      <w:r>
        <w:rPr>
          <w:rFonts w:hint="eastAsia" w:ascii="宋体" w:hAnsi="宋体" w:cs="宋体"/>
          <w:sz w:val="24"/>
        </w:rPr>
        <w:t>1.9提供其它会务服务。</w:t>
      </w:r>
    </w:p>
    <w:p>
      <w:pPr>
        <w:spacing w:line="360" w:lineRule="auto"/>
        <w:rPr>
          <w:rFonts w:hint="eastAsia" w:ascii="宋体" w:hAnsi="宋体" w:cs="宋体"/>
          <w:b/>
          <w:bCs/>
          <w:sz w:val="24"/>
        </w:rPr>
      </w:pPr>
      <w:r>
        <w:rPr>
          <w:rFonts w:hint="eastAsia" w:ascii="宋体" w:hAnsi="宋体" w:cs="宋体"/>
          <w:b/>
          <w:bCs/>
          <w:sz w:val="24"/>
        </w:rPr>
        <w:t>（三）绿化养护</w:t>
      </w:r>
    </w:p>
    <w:p>
      <w:pPr>
        <w:spacing w:line="360" w:lineRule="auto"/>
        <w:ind w:firstLine="482" w:firstLineChars="200"/>
        <w:rPr>
          <w:rFonts w:hint="eastAsia" w:ascii="宋体" w:hAnsi="宋体" w:cs="宋体"/>
          <w:sz w:val="24"/>
        </w:rPr>
      </w:pPr>
      <w:r>
        <w:rPr>
          <w:rFonts w:hint="eastAsia" w:ascii="宋体" w:hAnsi="宋体" w:cs="宋体"/>
          <w:b/>
          <w:bCs/>
          <w:sz w:val="24"/>
          <w:szCs w:val="24"/>
        </w:rPr>
        <w:t>1、总体要求</w:t>
      </w:r>
    </w:p>
    <w:p>
      <w:pPr>
        <w:spacing w:line="360" w:lineRule="auto"/>
        <w:ind w:firstLine="480" w:firstLineChars="200"/>
        <w:rPr>
          <w:rFonts w:hint="eastAsia" w:ascii="宋体" w:hAnsi="宋体" w:cs="宋体"/>
          <w:sz w:val="24"/>
        </w:rPr>
      </w:pPr>
      <w:r>
        <w:rPr>
          <w:rFonts w:hint="eastAsia" w:ascii="宋体" w:hAnsi="宋体" w:cs="宋体"/>
          <w:sz w:val="24"/>
        </w:rPr>
        <w:t>负责绿化(花卉)养护、监管。</w:t>
      </w:r>
    </w:p>
    <w:p>
      <w:pPr>
        <w:spacing w:line="360" w:lineRule="auto"/>
        <w:ind w:firstLine="480" w:firstLineChars="200"/>
        <w:rPr>
          <w:rFonts w:hint="eastAsia" w:ascii="宋体" w:hAnsi="宋体" w:cs="宋体"/>
          <w:sz w:val="24"/>
        </w:rPr>
      </w:pPr>
      <w:r>
        <w:rPr>
          <w:rFonts w:hint="eastAsia" w:ascii="宋体" w:hAnsi="宋体" w:cs="宋体"/>
          <w:sz w:val="24"/>
        </w:rPr>
        <w:t>1.1派专人对植物进行养护管理,确保植物生长旺盛,叶片油绿、无桔斑、无浮尘、根据不同季节以及招标方的要求及时调整。</w:t>
      </w:r>
    </w:p>
    <w:p>
      <w:pPr>
        <w:spacing w:line="360" w:lineRule="auto"/>
        <w:ind w:firstLine="480" w:firstLineChars="200"/>
        <w:rPr>
          <w:rFonts w:hint="eastAsia" w:ascii="宋体" w:hAnsi="宋体" w:cs="宋体"/>
          <w:sz w:val="24"/>
        </w:rPr>
      </w:pPr>
      <w:r>
        <w:rPr>
          <w:rFonts w:hint="eastAsia" w:ascii="宋体" w:hAnsi="宋体" w:cs="宋体"/>
          <w:sz w:val="24"/>
        </w:rPr>
        <w:t>1.2室内植物要做到株形美观,造型优雅,花叶并茂,富有生机,达到布局合理, 美化环境的效果。花色鲜艳,花粉、花瓣无毒,无致人过敏的质素；花卉经消毒、杀虫处理后再摆放，并有人定期养护和更换。</w:t>
      </w:r>
      <w:r>
        <w:rPr>
          <w:rFonts w:hint="eastAsia" w:ascii="宋体" w:hAnsi="宋体" w:cs="宋体"/>
          <w:b/>
          <w:bCs/>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1.3室外杂草定期或按实际情况进行修剪，有效防止病虫害。</w:t>
      </w:r>
    </w:p>
    <w:p>
      <w:pPr>
        <w:spacing w:line="360" w:lineRule="auto"/>
        <w:ind w:firstLine="482" w:firstLineChars="200"/>
        <w:rPr>
          <w:rFonts w:hint="eastAsia" w:ascii="宋体" w:hAnsi="宋体" w:cs="宋体"/>
          <w:b/>
          <w:bCs/>
          <w:sz w:val="24"/>
        </w:rPr>
      </w:pPr>
      <w:r>
        <w:rPr>
          <w:rFonts w:hint="eastAsia" w:ascii="宋体" w:hAnsi="宋体" w:cs="宋体"/>
          <w:b/>
          <w:bCs/>
          <w:sz w:val="24"/>
        </w:rPr>
        <w:t>2、具体要求</w:t>
      </w:r>
    </w:p>
    <w:p>
      <w:pPr>
        <w:spacing w:line="360" w:lineRule="auto"/>
        <w:ind w:firstLine="480" w:firstLineChars="200"/>
        <w:rPr>
          <w:rFonts w:hint="eastAsia" w:ascii="宋体" w:hAnsi="宋体" w:cs="宋体"/>
          <w:sz w:val="24"/>
        </w:rPr>
      </w:pPr>
      <w:r>
        <w:rPr>
          <w:rFonts w:hint="eastAsia" w:ascii="宋体" w:hAnsi="宋体" w:cs="宋体"/>
          <w:sz w:val="24"/>
        </w:rPr>
        <w:t>2.1范围：四川省成都市龙泉驿区人民检察院新办公大楼红线范围内。</w:t>
      </w:r>
    </w:p>
    <w:p>
      <w:pPr>
        <w:spacing w:line="360" w:lineRule="auto"/>
        <w:ind w:firstLine="480" w:firstLineChars="200"/>
        <w:rPr>
          <w:rFonts w:hint="eastAsia" w:ascii="宋体" w:hAnsi="宋体" w:cs="宋体"/>
          <w:sz w:val="24"/>
        </w:rPr>
      </w:pPr>
      <w:r>
        <w:rPr>
          <w:rFonts w:hint="eastAsia" w:ascii="宋体" w:hAnsi="宋体" w:cs="宋体"/>
          <w:sz w:val="24"/>
        </w:rPr>
        <w:t>2.2内容：</w:t>
      </w:r>
    </w:p>
    <w:p>
      <w:pPr>
        <w:spacing w:line="360" w:lineRule="auto"/>
        <w:ind w:firstLine="480" w:firstLineChars="200"/>
        <w:rPr>
          <w:rFonts w:hint="eastAsia" w:ascii="宋体" w:hAnsi="宋体" w:cs="宋体"/>
          <w:sz w:val="24"/>
        </w:rPr>
      </w:pPr>
      <w:r>
        <w:rPr>
          <w:rFonts w:hint="eastAsia" w:ascii="宋体" w:hAnsi="宋体" w:cs="宋体"/>
          <w:sz w:val="24"/>
        </w:rPr>
        <w:t>2.2.1按植物生长习性、位置环境等因素进行科学养护。包括光照管理、温度管理、水分管理、土壤管理、施肥管理、修剪整形、病虫害防治等。</w:t>
      </w:r>
    </w:p>
    <w:p>
      <w:pPr>
        <w:spacing w:line="360" w:lineRule="auto"/>
        <w:ind w:firstLine="480" w:firstLineChars="200"/>
        <w:rPr>
          <w:rFonts w:hint="eastAsia" w:ascii="宋体" w:hAnsi="宋体" w:cs="宋体"/>
          <w:sz w:val="24"/>
        </w:rPr>
      </w:pPr>
      <w:r>
        <w:rPr>
          <w:rFonts w:hint="eastAsia" w:ascii="宋体" w:hAnsi="宋体" w:cs="宋体"/>
          <w:sz w:val="24"/>
        </w:rPr>
        <w:t>2.2.2清洗，清除植物体表灰尘，促进植株呼吸，增强光合作用。</w:t>
      </w:r>
    </w:p>
    <w:p>
      <w:pPr>
        <w:spacing w:line="360" w:lineRule="auto"/>
        <w:ind w:firstLine="480" w:firstLineChars="200"/>
        <w:rPr>
          <w:rFonts w:hint="eastAsia" w:ascii="宋体" w:hAnsi="宋体" w:cs="宋体"/>
          <w:sz w:val="24"/>
        </w:rPr>
      </w:pPr>
      <w:r>
        <w:rPr>
          <w:rFonts w:hint="eastAsia" w:ascii="宋体" w:hAnsi="宋体" w:cs="宋体"/>
          <w:sz w:val="24"/>
        </w:rPr>
        <w:t>2.2.3上蜡，增加叶面平滑植物的光泽度，不可处理幼叶，不可用力挤压叶片。</w:t>
      </w:r>
    </w:p>
    <w:p>
      <w:pPr>
        <w:spacing w:line="360" w:lineRule="auto"/>
        <w:ind w:firstLine="480" w:firstLineChars="200"/>
        <w:rPr>
          <w:rFonts w:hint="eastAsia" w:ascii="宋体" w:hAnsi="宋体" w:cs="宋体"/>
          <w:sz w:val="24"/>
        </w:rPr>
      </w:pPr>
      <w:r>
        <w:rPr>
          <w:rFonts w:hint="eastAsia" w:ascii="宋体" w:hAnsi="宋体" w:cs="宋体"/>
          <w:sz w:val="24"/>
        </w:rPr>
        <w:t>2.2.4修剪，适时进行修剪或疏剪，随时剪除枯枝、病枝、密枝，保持植株良好的形态。</w:t>
      </w:r>
    </w:p>
    <w:p>
      <w:pPr>
        <w:spacing w:line="360" w:lineRule="auto"/>
        <w:ind w:firstLine="480" w:firstLineChars="200"/>
        <w:rPr>
          <w:rFonts w:hint="eastAsia" w:ascii="宋体" w:hAnsi="宋体" w:cs="宋体"/>
          <w:sz w:val="24"/>
        </w:rPr>
      </w:pPr>
      <w:r>
        <w:rPr>
          <w:rFonts w:hint="eastAsia" w:ascii="宋体" w:hAnsi="宋体" w:cs="宋体"/>
          <w:sz w:val="24"/>
        </w:rPr>
        <w:t>2.2.5更换，对室内摆设的植物，每月视其生长状况和采购人的要求进行更换。</w:t>
      </w:r>
    </w:p>
    <w:p>
      <w:pPr>
        <w:spacing w:line="360" w:lineRule="auto"/>
        <w:rPr>
          <w:rFonts w:hint="eastAsia" w:ascii="宋体" w:hAnsi="宋体" w:cs="宋体"/>
          <w:sz w:val="24"/>
        </w:rPr>
      </w:pPr>
      <w:r>
        <w:rPr>
          <w:rFonts w:hint="eastAsia" w:ascii="宋体" w:hAnsi="宋体" w:cs="宋体"/>
          <w:b/>
          <w:bCs/>
          <w:sz w:val="24"/>
        </w:rPr>
        <w:t>（四）</w:t>
      </w:r>
      <w:r>
        <w:rPr>
          <w:rFonts w:hint="eastAsia" w:ascii="宋体" w:hAnsi="宋体" w:cs="宋体"/>
          <w:b/>
          <w:bCs/>
          <w:kern w:val="28"/>
          <w:sz w:val="24"/>
        </w:rPr>
        <w:t>公共设施维护和工程修缮管理</w:t>
      </w:r>
    </w:p>
    <w:p>
      <w:pPr>
        <w:spacing w:line="360" w:lineRule="auto"/>
        <w:ind w:firstLine="480" w:firstLineChars="200"/>
        <w:rPr>
          <w:rFonts w:hint="eastAsia" w:ascii="宋体" w:hAnsi="宋体" w:cs="宋体"/>
          <w:sz w:val="24"/>
        </w:rPr>
      </w:pPr>
      <w:r>
        <w:rPr>
          <w:rFonts w:hint="eastAsia" w:ascii="宋体" w:hAnsi="宋体" w:cs="宋体"/>
          <w:sz w:val="24"/>
        </w:rPr>
        <w:t>1、负责水、电、电梯以及中央空调的日常运行、保养、维护、维修和申报等工作。</w:t>
      </w:r>
    </w:p>
    <w:p>
      <w:pPr>
        <w:spacing w:line="360" w:lineRule="auto"/>
        <w:ind w:firstLine="480" w:firstLineChars="200"/>
        <w:rPr>
          <w:rFonts w:hint="eastAsia" w:ascii="宋体" w:hAnsi="宋体" w:cs="宋体"/>
          <w:sz w:val="24"/>
        </w:rPr>
      </w:pPr>
      <w:r>
        <w:rPr>
          <w:rFonts w:hint="eastAsia" w:ascii="宋体" w:hAnsi="宋体" w:cs="宋体"/>
          <w:sz w:val="24"/>
        </w:rPr>
        <w:t>1.1负责物业管理区域内供电系统、照明系统、给排水系统、空调系统、消防系统、安全监控系统、电梯的正常运行、管理和维护。</w:t>
      </w:r>
    </w:p>
    <w:p>
      <w:pPr>
        <w:spacing w:line="360" w:lineRule="auto"/>
        <w:ind w:firstLine="480" w:firstLineChars="200"/>
        <w:rPr>
          <w:rFonts w:hint="eastAsia" w:ascii="宋体" w:hAnsi="宋体" w:cs="宋体"/>
          <w:sz w:val="24"/>
        </w:rPr>
      </w:pPr>
      <w:r>
        <w:rPr>
          <w:rFonts w:hint="eastAsia" w:ascii="宋体" w:hAnsi="宋体" w:cs="宋体"/>
          <w:sz w:val="24"/>
        </w:rPr>
        <w:t>1.2负责物业管理区域内房屋本体的基本维护、保养和管理。</w:t>
      </w:r>
    </w:p>
    <w:p>
      <w:pPr>
        <w:spacing w:line="360" w:lineRule="auto"/>
        <w:ind w:firstLine="480" w:firstLineChars="200"/>
        <w:rPr>
          <w:rFonts w:hint="eastAsia" w:ascii="宋体" w:hAnsi="宋体" w:cs="宋体"/>
          <w:sz w:val="24"/>
        </w:rPr>
      </w:pPr>
      <w:r>
        <w:rPr>
          <w:rFonts w:hint="eastAsia" w:ascii="宋体" w:hAnsi="宋体" w:cs="宋体"/>
          <w:sz w:val="24"/>
        </w:rPr>
        <w:t>1.3负责对高低压配电房24小时的值守和巡视。</w:t>
      </w:r>
    </w:p>
    <w:p>
      <w:pPr>
        <w:spacing w:line="360" w:lineRule="auto"/>
        <w:ind w:firstLine="480" w:firstLineChars="200"/>
        <w:rPr>
          <w:rFonts w:hint="eastAsia" w:ascii="宋体" w:hAnsi="宋体" w:cs="宋体"/>
          <w:sz w:val="24"/>
        </w:rPr>
      </w:pPr>
      <w:r>
        <w:rPr>
          <w:rFonts w:hint="eastAsia" w:ascii="宋体" w:hAnsi="宋体" w:cs="宋体"/>
          <w:sz w:val="24"/>
        </w:rPr>
        <w:t>1.4负责对设施设备能耗的控制。</w:t>
      </w:r>
    </w:p>
    <w:p>
      <w:pPr>
        <w:spacing w:line="360" w:lineRule="auto"/>
        <w:ind w:firstLine="480" w:firstLineChars="200"/>
        <w:rPr>
          <w:rFonts w:hint="eastAsia" w:ascii="宋体" w:hAnsi="宋体" w:cs="宋体"/>
          <w:sz w:val="24"/>
        </w:rPr>
      </w:pPr>
      <w:r>
        <w:rPr>
          <w:rFonts w:hint="eastAsia" w:ascii="宋体" w:hAnsi="宋体" w:cs="宋体"/>
          <w:sz w:val="24"/>
        </w:rPr>
        <w:t>1.5负责编制相关设备、设施的检修、维护计划,并严格按照计划执行。</w:t>
      </w:r>
    </w:p>
    <w:p>
      <w:pPr>
        <w:spacing w:line="360" w:lineRule="auto"/>
        <w:ind w:firstLine="480" w:firstLineChars="200"/>
        <w:rPr>
          <w:rFonts w:hint="eastAsia" w:ascii="宋体" w:hAnsi="宋体" w:cs="宋体"/>
          <w:sz w:val="24"/>
        </w:rPr>
      </w:pPr>
      <w:r>
        <w:rPr>
          <w:rFonts w:hint="eastAsia" w:ascii="宋体" w:hAnsi="宋体" w:cs="宋体"/>
          <w:sz w:val="24"/>
        </w:rPr>
        <w:t>1.6负责对相关设备进行定期保养和维护,确保设备随时处于正常的使用状态。</w:t>
      </w:r>
    </w:p>
    <w:p>
      <w:pPr>
        <w:spacing w:line="360" w:lineRule="auto"/>
        <w:ind w:firstLine="480" w:firstLineChars="200"/>
        <w:rPr>
          <w:rFonts w:hint="eastAsia" w:ascii="宋体" w:hAnsi="宋体" w:cs="宋体"/>
          <w:sz w:val="24"/>
        </w:rPr>
      </w:pPr>
      <w:r>
        <w:rPr>
          <w:rFonts w:hint="eastAsia" w:ascii="宋体" w:hAnsi="宋体" w:cs="宋体"/>
          <w:sz w:val="24"/>
        </w:rPr>
        <w:t>1.7上述设备出现故障时能随叫随到。</w:t>
      </w:r>
    </w:p>
    <w:p>
      <w:pPr>
        <w:spacing w:line="360" w:lineRule="auto"/>
        <w:ind w:firstLine="480" w:firstLineChars="200"/>
        <w:rPr>
          <w:rFonts w:hint="eastAsia" w:ascii="宋体" w:hAnsi="宋体" w:cs="宋体"/>
          <w:sz w:val="24"/>
        </w:rPr>
      </w:pPr>
      <w:r>
        <w:rPr>
          <w:rFonts w:hint="eastAsia" w:ascii="宋体" w:hAnsi="宋体" w:cs="宋体"/>
          <w:sz w:val="24"/>
        </w:rPr>
        <w:t>1.8对上述设备设施项目及其他服务管理,提供具体管理服务方案和服务标准。</w:t>
      </w:r>
    </w:p>
    <w:p>
      <w:pPr>
        <w:spacing w:line="360" w:lineRule="auto"/>
        <w:ind w:firstLine="482" w:firstLineChars="200"/>
        <w:rPr>
          <w:rFonts w:hint="eastAsia" w:ascii="宋体" w:hAnsi="宋体" w:cs="宋体"/>
          <w:b/>
          <w:bCs/>
          <w:sz w:val="24"/>
        </w:rPr>
      </w:pPr>
      <w:r>
        <w:rPr>
          <w:rFonts w:hint="eastAsia" w:ascii="宋体" w:hAnsi="宋体" w:cs="宋体"/>
          <w:b/>
          <w:bCs/>
          <w:sz w:val="24"/>
        </w:rPr>
        <w:t>2、设备设施运行、维护维修具体要求</w:t>
      </w:r>
    </w:p>
    <w:p>
      <w:pPr>
        <w:spacing w:line="360" w:lineRule="auto"/>
        <w:ind w:firstLine="480" w:firstLineChars="200"/>
        <w:rPr>
          <w:rFonts w:hint="eastAsia" w:ascii="宋体" w:hAnsi="宋体" w:cs="宋体"/>
          <w:sz w:val="24"/>
        </w:rPr>
      </w:pPr>
      <w:r>
        <w:rPr>
          <w:rFonts w:hint="eastAsia" w:ascii="宋体" w:hAnsi="宋体" w:cs="宋体"/>
          <w:sz w:val="24"/>
        </w:rPr>
        <w:t>2.1范围：四川省成都市龙泉驿区人民检察院新办公大楼红线范围内。</w:t>
      </w:r>
    </w:p>
    <w:p>
      <w:pPr>
        <w:spacing w:line="360" w:lineRule="auto"/>
        <w:ind w:firstLine="480" w:firstLineChars="200"/>
        <w:rPr>
          <w:rFonts w:hint="eastAsia" w:ascii="宋体" w:hAnsi="宋体" w:cs="宋体"/>
          <w:sz w:val="24"/>
        </w:rPr>
      </w:pPr>
      <w:r>
        <w:rPr>
          <w:rFonts w:hint="eastAsia" w:ascii="宋体" w:hAnsi="宋体" w:cs="宋体"/>
          <w:sz w:val="24"/>
        </w:rPr>
        <w:t>2.2内容：</w:t>
      </w:r>
    </w:p>
    <w:p>
      <w:pPr>
        <w:spacing w:line="360" w:lineRule="auto"/>
        <w:ind w:firstLine="480" w:firstLineChars="200"/>
        <w:rPr>
          <w:rFonts w:hint="eastAsia" w:ascii="宋体" w:hAnsi="宋体" w:cs="宋体"/>
          <w:sz w:val="24"/>
        </w:rPr>
      </w:pPr>
      <w:r>
        <w:rPr>
          <w:rFonts w:hint="eastAsia" w:ascii="宋体" w:hAnsi="宋体" w:cs="宋体"/>
          <w:sz w:val="24"/>
        </w:rPr>
        <w:t xml:space="preserve"> 2.2.1对设备设施日常运行维护；高低压电气设备每天巡视维护和重点检测，建立各项设备档案；建立严格的配送电运行制度、电气设备维修制度和配电房管理制度；加强日常维护检修，确保照明灯具、线路、开关及各类用电设备完好无损；建立电梯、空调系统运行管理制度和安全操作规程，保证电梯、空调系统安全运行和正常使用；制定科学合理的经济运行和节能降耗措施，为甲方提出节能减排的合理化建议；每周检修保养电梯、空调设备、发电机设备一次，每月清洗空调过滤网一次，保证空调设备处于良好状态；每月对冷冻水、冷却水系统进行杀菌灭藻处理及除浮锈化学清洗一次；每天日常管理和维护好避雷接地的设备设施；每年做好电梯、高压电气设备、防雷设施年检工作。以上检修、保养均应做好计划和记录。</w:t>
      </w:r>
    </w:p>
    <w:p>
      <w:pPr>
        <w:spacing w:line="360" w:lineRule="auto"/>
        <w:ind w:firstLine="480" w:firstLineChars="200"/>
        <w:rPr>
          <w:rFonts w:hint="eastAsia" w:ascii="宋体" w:hAnsi="宋体" w:cs="宋体"/>
          <w:sz w:val="24"/>
        </w:rPr>
      </w:pPr>
      <w:r>
        <w:rPr>
          <w:rFonts w:hint="eastAsia" w:ascii="宋体" w:hAnsi="宋体" w:cs="宋体"/>
          <w:sz w:val="24"/>
        </w:rPr>
        <w:t>2.2.2保证给排水系统正常运行使用。建立正常供水管理制度，保证水质符合国家标准；对供水系统管路、水泵、水箱、阀门等进行日常维护和每周检修；水箱、水池保持清洁卫生并每月消毒；每月对水泵房及机电设备进行检查、保养、维修、清洁；每季度对排水管、下水道、沙井进行清通、养护及清除污垢；保证室内外排水系统通畅。</w:t>
      </w:r>
    </w:p>
    <w:p>
      <w:pPr>
        <w:spacing w:line="360" w:lineRule="auto"/>
        <w:ind w:firstLine="480" w:firstLineChars="200"/>
        <w:rPr>
          <w:rFonts w:hint="eastAsia" w:ascii="宋体" w:hAnsi="宋体" w:cs="宋体"/>
          <w:sz w:val="24"/>
        </w:rPr>
      </w:pPr>
      <w:r>
        <w:rPr>
          <w:rFonts w:hint="eastAsia" w:ascii="宋体" w:hAnsi="宋体" w:cs="宋体"/>
          <w:sz w:val="24"/>
        </w:rPr>
        <w:t>2.2.3每周对房屋及设施进行巡检；建筑物的楼面、地面、屋顶、玻璃幕墙出现问题及时修缮；钢架结构、管道、围栏、花基等每年应定期油漆；每周对门窗桌椅柜架进行巡检，发现损坏及时修理；建立和制定维修保养计划并做好记录。</w:t>
      </w:r>
    </w:p>
    <w:p>
      <w:pPr>
        <w:spacing w:line="360" w:lineRule="auto"/>
        <w:ind w:firstLine="482" w:firstLineChars="200"/>
        <w:rPr>
          <w:rFonts w:hint="eastAsia" w:ascii="宋体" w:hAnsi="宋体" w:cs="宋体"/>
          <w:b/>
          <w:sz w:val="24"/>
        </w:rPr>
      </w:pPr>
      <w:r>
        <w:rPr>
          <w:rFonts w:hint="eastAsia" w:ascii="宋体" w:hAnsi="宋体" w:cs="宋体"/>
          <w:b/>
          <w:sz w:val="24"/>
        </w:rPr>
        <w:t>3、要求：</w:t>
      </w:r>
    </w:p>
    <w:p>
      <w:pPr>
        <w:spacing w:line="360" w:lineRule="auto"/>
        <w:ind w:firstLine="480" w:firstLineChars="200"/>
        <w:rPr>
          <w:rFonts w:hint="eastAsia" w:ascii="宋体" w:hAnsi="宋体" w:cs="宋体"/>
          <w:sz w:val="24"/>
        </w:rPr>
      </w:pPr>
      <w:r>
        <w:rPr>
          <w:rFonts w:hint="eastAsia" w:ascii="宋体" w:hAnsi="宋体" w:cs="宋体"/>
          <w:sz w:val="24"/>
        </w:rPr>
        <w:t>3.1中标人应设立有专人值班的总维修保障台，统一指挥调度并跟踪记录完成情况。</w:t>
      </w:r>
    </w:p>
    <w:p>
      <w:pPr>
        <w:spacing w:line="360" w:lineRule="auto"/>
        <w:ind w:firstLine="480" w:firstLineChars="200"/>
        <w:rPr>
          <w:rFonts w:hint="eastAsia" w:ascii="宋体" w:hAnsi="宋体" w:cs="宋体"/>
          <w:sz w:val="24"/>
        </w:rPr>
      </w:pPr>
      <w:r>
        <w:rPr>
          <w:rFonts w:hint="eastAsia" w:ascii="宋体" w:hAnsi="宋体" w:cs="宋体"/>
          <w:sz w:val="24"/>
        </w:rPr>
        <w:t>3.2供电运行和电器维修人员必须持证上岗，做到安全第一，热情服务。照明、用电、用水、电梯等接到报修后，维修人员一般应在10分钟内到达现场抢修处理，并做好记录，及时排除故障，零修合格率100%。空调运行中应无超标噪音和严重滴漏水现象，接到报修后，维修人员在10分钟内到达现场处理，并做好记录；零修合格率100%。一般电气故障不过夜，当天处理完毕，特殊情况当天不能处理，在保证安全的前提下，应采取临时应急措施，保证办公使用需要。</w:t>
      </w:r>
    </w:p>
    <w:p>
      <w:pPr>
        <w:spacing w:line="360" w:lineRule="auto"/>
        <w:ind w:firstLine="480" w:firstLineChars="200"/>
        <w:rPr>
          <w:rFonts w:hint="eastAsia" w:ascii="宋体" w:hAnsi="宋体" w:cs="宋体"/>
          <w:sz w:val="24"/>
        </w:rPr>
      </w:pPr>
      <w:r>
        <w:rPr>
          <w:rFonts w:hint="eastAsia" w:ascii="宋体" w:hAnsi="宋体" w:cs="宋体"/>
          <w:sz w:val="24"/>
        </w:rPr>
        <w:t>3.3中央空调开机阶段，水处理要求：每月加药一次，清洗冷却塔塔盘一次，并进行排污。水泵、水箱、阀门等应防止跑、冒、滴、漏等现象发生。风管风机每月清洁，每月检测加油。各种设备用房整洁干净无杂物。</w:t>
      </w:r>
    </w:p>
    <w:p>
      <w:pPr>
        <w:spacing w:line="360" w:lineRule="auto"/>
        <w:ind w:firstLine="480" w:firstLineChars="200"/>
        <w:rPr>
          <w:rFonts w:hint="eastAsia" w:ascii="宋体" w:hAnsi="宋体" w:cs="宋体"/>
          <w:sz w:val="24"/>
        </w:rPr>
      </w:pPr>
      <w:r>
        <w:rPr>
          <w:rFonts w:hint="eastAsia" w:ascii="宋体" w:hAnsi="宋体" w:cs="宋体"/>
          <w:sz w:val="24"/>
        </w:rPr>
        <w:t>3.4每周对设备进行检查维护维修</w:t>
      </w:r>
    </w:p>
    <w:p>
      <w:pPr>
        <w:spacing w:line="360" w:lineRule="auto"/>
        <w:ind w:firstLine="480" w:firstLineChars="200"/>
        <w:rPr>
          <w:rFonts w:hint="eastAsia" w:ascii="宋体" w:hAnsi="宋体" w:cs="宋体"/>
          <w:sz w:val="24"/>
        </w:rPr>
      </w:pPr>
      <w:r>
        <w:rPr>
          <w:rFonts w:hint="eastAsia" w:ascii="宋体" w:hAnsi="宋体" w:cs="宋体"/>
          <w:sz w:val="24"/>
        </w:rPr>
        <w:t>3.5电梯应每天定时开关、定时检测，保证良好的安全运行状态，每年通过质监部门的检测并取得安全运行许可证（相关费用由中标人承担）。</w:t>
      </w:r>
    </w:p>
    <w:p>
      <w:pPr>
        <w:spacing w:line="360" w:lineRule="auto"/>
        <w:ind w:firstLine="480" w:firstLineChars="200"/>
        <w:rPr>
          <w:rFonts w:hint="eastAsia" w:ascii="宋体" w:hAnsi="宋体" w:cs="宋体"/>
          <w:sz w:val="24"/>
        </w:rPr>
      </w:pPr>
      <w:r>
        <w:rPr>
          <w:rFonts w:hint="eastAsia" w:ascii="宋体" w:hAnsi="宋体" w:cs="宋体"/>
          <w:sz w:val="24"/>
        </w:rPr>
        <w:t>3.6确保供水、排水、排污、供冷及设施畅通完好无损。</w:t>
      </w:r>
    </w:p>
    <w:p>
      <w:pPr>
        <w:spacing w:line="360" w:lineRule="auto"/>
        <w:ind w:firstLine="480" w:firstLineChars="200"/>
        <w:rPr>
          <w:rFonts w:hint="eastAsia" w:ascii="宋体" w:hAnsi="宋体" w:cs="宋体"/>
          <w:sz w:val="24"/>
        </w:rPr>
      </w:pPr>
      <w:r>
        <w:rPr>
          <w:rFonts w:hint="eastAsia" w:ascii="宋体" w:hAnsi="宋体" w:cs="宋体"/>
          <w:sz w:val="24"/>
        </w:rPr>
        <w:t>3.7确保房屋、门窗、道路、家具的完好和正常使用；及时完成各项零星维修任务，零修合格率100%。接到报修后维修人员在10分钟内到达现场抢修处理，及时排除各种故障。</w:t>
      </w:r>
    </w:p>
    <w:p>
      <w:pPr>
        <w:spacing w:line="360" w:lineRule="auto"/>
        <w:ind w:firstLine="482" w:firstLineChars="200"/>
        <w:rPr>
          <w:rFonts w:hint="eastAsia" w:ascii="宋体" w:hAnsi="宋体" w:cs="宋体"/>
          <w:b/>
          <w:bCs/>
          <w:sz w:val="24"/>
        </w:rPr>
      </w:pPr>
      <w:r>
        <w:rPr>
          <w:rFonts w:hint="eastAsia" w:ascii="宋体" w:hAnsi="宋体" w:cs="宋体"/>
          <w:b/>
          <w:bCs/>
          <w:sz w:val="24"/>
        </w:rPr>
        <w:t>（五）秩序维护</w:t>
      </w:r>
    </w:p>
    <w:p>
      <w:pPr>
        <w:spacing w:line="360" w:lineRule="auto"/>
        <w:ind w:firstLine="482" w:firstLineChars="200"/>
        <w:rPr>
          <w:rFonts w:hint="eastAsia" w:ascii="宋体" w:hAnsi="宋体" w:cs="宋体"/>
          <w:b/>
          <w:sz w:val="24"/>
        </w:rPr>
      </w:pPr>
      <w:r>
        <w:rPr>
          <w:rFonts w:hint="eastAsia" w:ascii="宋体" w:hAnsi="宋体" w:cs="宋体"/>
          <w:b/>
          <w:sz w:val="24"/>
        </w:rPr>
        <w:t>1、总体要求</w:t>
      </w:r>
    </w:p>
    <w:p>
      <w:pPr>
        <w:spacing w:line="360" w:lineRule="auto"/>
        <w:ind w:firstLine="480" w:firstLineChars="200"/>
        <w:rPr>
          <w:rFonts w:hint="eastAsia" w:ascii="宋体" w:hAnsi="宋体" w:cs="宋体"/>
          <w:sz w:val="24"/>
        </w:rPr>
      </w:pPr>
      <w:r>
        <w:rPr>
          <w:rFonts w:hint="eastAsia" w:ascii="宋体" w:hAnsi="宋体" w:cs="宋体"/>
          <w:sz w:val="24"/>
        </w:rPr>
        <w:t>负责对辖区内安全秩序管理，确保无因物业管理失职而发生的安全事故。</w:t>
      </w:r>
    </w:p>
    <w:p>
      <w:pPr>
        <w:spacing w:line="360" w:lineRule="auto"/>
        <w:ind w:firstLine="480" w:firstLineChars="200"/>
        <w:rPr>
          <w:rFonts w:hint="eastAsia" w:ascii="宋体" w:hAnsi="宋体" w:cs="宋体"/>
          <w:sz w:val="24"/>
        </w:rPr>
      </w:pPr>
      <w:r>
        <w:rPr>
          <w:rFonts w:hint="eastAsia" w:ascii="宋体" w:hAnsi="宋体" w:cs="宋体"/>
          <w:sz w:val="24"/>
        </w:rPr>
        <w:t>1.1建有严格的安全保卫服务工作制度，具有良好应对与处置突发事件的工作能力，做到遵纪守法、文明执勤，杜绝隐患、主动服务，恪守职业道德，维护业主单位的利益，严格执行业主单位的保密制度与规定。</w:t>
      </w:r>
    </w:p>
    <w:p>
      <w:pPr>
        <w:spacing w:line="360" w:lineRule="auto"/>
        <w:ind w:firstLine="480" w:firstLineChars="200"/>
        <w:rPr>
          <w:rFonts w:hint="eastAsia" w:ascii="宋体" w:hAnsi="宋体" w:cs="宋体"/>
          <w:sz w:val="24"/>
        </w:rPr>
      </w:pPr>
      <w:r>
        <w:rPr>
          <w:rFonts w:hint="eastAsia" w:ascii="宋体" w:hAnsi="宋体" w:cs="宋体"/>
          <w:sz w:val="24"/>
        </w:rPr>
        <w:t>1.2实行24小时的保卫值班制度，按规定严格履行对外来人员与物资出入的通报、验证和登记手续，做好每日值班记录。</w:t>
      </w:r>
    </w:p>
    <w:p>
      <w:pPr>
        <w:spacing w:line="360" w:lineRule="auto"/>
        <w:ind w:firstLine="480" w:firstLineChars="200"/>
        <w:rPr>
          <w:rFonts w:hint="eastAsia" w:ascii="宋体" w:hAnsi="宋体" w:cs="宋体"/>
          <w:sz w:val="24"/>
        </w:rPr>
      </w:pPr>
      <w:r>
        <w:rPr>
          <w:rFonts w:hint="eastAsia" w:ascii="宋体" w:hAnsi="宋体" w:cs="宋体"/>
          <w:sz w:val="24"/>
        </w:rPr>
        <w:t>1.3实行24小时的安保监控值班和定时巡查制度，对重点区域、重点部位每2小时至少巡查一次，并按规定保存视频资料，做好监控值班记录与巡查记录。</w:t>
      </w:r>
    </w:p>
    <w:p>
      <w:pPr>
        <w:spacing w:line="360" w:lineRule="auto"/>
        <w:ind w:firstLine="480" w:firstLineChars="200"/>
        <w:rPr>
          <w:rFonts w:hint="eastAsia" w:ascii="宋体" w:hAnsi="宋体" w:cs="宋体"/>
          <w:sz w:val="24"/>
        </w:rPr>
      </w:pPr>
      <w:r>
        <w:rPr>
          <w:rFonts w:hint="eastAsia" w:ascii="宋体" w:hAnsi="宋体" w:cs="宋体"/>
          <w:sz w:val="24"/>
        </w:rPr>
        <w:t>1.4负责域内交通秩序的维护和各类车辆停泊秩序的管理，严防车辆的毁损与灭失。</w:t>
      </w:r>
    </w:p>
    <w:p>
      <w:pPr>
        <w:spacing w:line="360" w:lineRule="auto"/>
        <w:ind w:firstLine="480" w:firstLineChars="200"/>
        <w:rPr>
          <w:rFonts w:hint="eastAsia" w:ascii="宋体" w:hAnsi="宋体" w:cs="宋体"/>
          <w:sz w:val="24"/>
        </w:rPr>
      </w:pPr>
      <w:r>
        <w:rPr>
          <w:rFonts w:hint="eastAsia" w:ascii="宋体" w:hAnsi="宋体" w:cs="宋体"/>
          <w:sz w:val="24"/>
        </w:rPr>
        <w:t>1.5做好火灾、治安、公共卫生等突发事件的应急预案，事发时及时报告有关部门，并协助做好相应措施，定期安排消防培训及演习（每年不少于一次）。</w:t>
      </w:r>
    </w:p>
    <w:p>
      <w:pPr>
        <w:spacing w:line="360" w:lineRule="auto"/>
        <w:ind w:firstLine="482" w:firstLineChars="200"/>
        <w:rPr>
          <w:rFonts w:hint="eastAsia" w:ascii="宋体" w:hAnsi="宋体" w:cs="宋体"/>
          <w:b/>
          <w:sz w:val="24"/>
        </w:rPr>
      </w:pPr>
      <w:r>
        <w:rPr>
          <w:rFonts w:hint="eastAsia" w:ascii="宋体" w:hAnsi="宋体" w:cs="宋体"/>
          <w:b/>
          <w:sz w:val="24"/>
        </w:rPr>
        <w:t>2、消防安全管理</w:t>
      </w:r>
    </w:p>
    <w:p>
      <w:pPr>
        <w:spacing w:line="360" w:lineRule="auto"/>
        <w:ind w:firstLine="480" w:firstLineChars="200"/>
        <w:rPr>
          <w:rFonts w:hint="eastAsia" w:ascii="宋体" w:hAnsi="宋体" w:cs="宋体"/>
          <w:sz w:val="24"/>
        </w:rPr>
      </w:pPr>
      <w:r>
        <w:rPr>
          <w:rFonts w:hint="eastAsia" w:ascii="宋体" w:hAnsi="宋体" w:cs="宋体"/>
          <w:sz w:val="24"/>
        </w:rPr>
        <w:t>负责对区域内消防安全管理，确保无因物业管理失职而发生的火灾事故。</w:t>
      </w:r>
    </w:p>
    <w:p>
      <w:pPr>
        <w:spacing w:line="360" w:lineRule="auto"/>
        <w:ind w:firstLine="480" w:firstLineChars="200"/>
        <w:rPr>
          <w:rFonts w:hint="eastAsia" w:ascii="宋体" w:hAnsi="宋体" w:cs="宋体"/>
          <w:sz w:val="24"/>
        </w:rPr>
      </w:pPr>
      <w:r>
        <w:rPr>
          <w:rFonts w:hint="eastAsia" w:ascii="宋体" w:hAnsi="宋体" w:cs="宋体"/>
          <w:sz w:val="24"/>
        </w:rPr>
        <w:t>2.1建有严格的消防安全工作制度，积极做好消防安全知识的宣传，认真贯彻执行《消防安全法》，落实消防责任制，定期组织培训与演练。</w:t>
      </w:r>
    </w:p>
    <w:p>
      <w:pPr>
        <w:spacing w:line="360" w:lineRule="auto"/>
        <w:ind w:firstLine="480" w:firstLineChars="200"/>
        <w:rPr>
          <w:rFonts w:hint="eastAsia" w:ascii="宋体" w:hAnsi="宋体" w:cs="宋体"/>
          <w:sz w:val="24"/>
        </w:rPr>
      </w:pPr>
      <w:r>
        <w:rPr>
          <w:rFonts w:hint="eastAsia" w:ascii="宋体" w:hAnsi="宋体" w:cs="宋体"/>
          <w:sz w:val="24"/>
        </w:rPr>
        <w:t>2.2对检查报警探测器、消防管网、水泵接合器、喷淋系统、应急照明、消防广播与灭火器材等设施进行定期巡查，对签约代维单位的相关设备维保情况进行检查监督。</w:t>
      </w:r>
    </w:p>
    <w:p>
      <w:pPr>
        <w:spacing w:line="360" w:lineRule="auto"/>
        <w:ind w:firstLine="480" w:firstLineChars="200"/>
        <w:rPr>
          <w:rFonts w:hint="eastAsia" w:ascii="宋体" w:hAnsi="宋体" w:cs="宋体"/>
          <w:sz w:val="24"/>
        </w:rPr>
      </w:pPr>
      <w:r>
        <w:rPr>
          <w:rFonts w:hint="eastAsia" w:ascii="宋体" w:hAnsi="宋体" w:cs="宋体"/>
          <w:sz w:val="24"/>
        </w:rPr>
        <w:t>2.3实行对大楼内昼夜24小时的消防监控值班和定时巡查制度，按规定保存视频资料，做好监控值班记录与巡查记录。</w:t>
      </w:r>
    </w:p>
    <w:p>
      <w:pPr>
        <w:spacing w:line="360" w:lineRule="auto"/>
        <w:ind w:firstLine="480" w:firstLineChars="200"/>
        <w:rPr>
          <w:rFonts w:hint="eastAsia" w:ascii="宋体" w:hAnsi="宋体" w:cs="宋体"/>
          <w:sz w:val="24"/>
        </w:rPr>
      </w:pPr>
      <w:r>
        <w:rPr>
          <w:rFonts w:hint="eastAsia" w:ascii="宋体" w:hAnsi="宋体" w:cs="宋体"/>
          <w:sz w:val="24"/>
        </w:rPr>
        <w:t>2.4及时清理大楼及托管区内的易燃、易爆物品及其他杂物，确保各安全出口及消防疏散通道的畅通。</w:t>
      </w:r>
    </w:p>
    <w:p>
      <w:pPr>
        <w:spacing w:line="360" w:lineRule="auto"/>
        <w:ind w:firstLine="480" w:firstLineChars="200"/>
        <w:rPr>
          <w:rFonts w:hint="eastAsia" w:ascii="宋体" w:hAnsi="宋体" w:cs="宋体"/>
          <w:sz w:val="24"/>
        </w:rPr>
      </w:pPr>
      <w:r>
        <w:rPr>
          <w:rFonts w:hint="eastAsia" w:ascii="宋体" w:hAnsi="宋体" w:cs="宋体"/>
          <w:sz w:val="24"/>
        </w:rPr>
        <w:t>2.5服从相关部门的管理与调度，积极抓好火灾预防，果断并妥善处置紧急状态下的报警、疏散与扑救工作。</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3、增加的临时事务</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在院内人员需要办公室调整时，需协助搬抬办公桌椅、沙发、茶几等办公设施设备。</w:t>
      </w:r>
    </w:p>
    <w:p>
      <w:pPr>
        <w:spacing w:line="360" w:lineRule="auto"/>
        <w:rPr>
          <w:rFonts w:hint="eastAsia" w:ascii="宋体" w:hAnsi="宋体" w:cs="宋体"/>
          <w:b/>
          <w:bCs/>
          <w:sz w:val="24"/>
        </w:rPr>
      </w:pPr>
      <w:r>
        <w:rPr>
          <w:rFonts w:hint="eastAsia" w:ascii="宋体" w:hAnsi="宋体" w:cs="宋体"/>
          <w:b/>
          <w:bCs/>
          <w:sz w:val="24"/>
        </w:rPr>
        <w:t>（六）房屋设备设施维护管理服务要求</w:t>
      </w:r>
    </w:p>
    <w:p>
      <w:pPr>
        <w:spacing w:line="360" w:lineRule="auto"/>
        <w:ind w:firstLine="480" w:firstLineChars="200"/>
        <w:rPr>
          <w:rFonts w:hint="eastAsia" w:ascii="宋体" w:hAnsi="宋体" w:cs="宋体"/>
          <w:sz w:val="24"/>
        </w:rPr>
      </w:pPr>
      <w:r>
        <w:rPr>
          <w:rFonts w:hint="eastAsia" w:ascii="宋体" w:hAnsi="宋体" w:cs="宋体"/>
          <w:sz w:val="24"/>
        </w:rPr>
        <w:t>1.对房屋及附属设施进行日常管理和维修养护，保证使用功能正常，检修和保养记录齐全。</w:t>
      </w:r>
    </w:p>
    <w:p>
      <w:pPr>
        <w:spacing w:line="360" w:lineRule="auto"/>
        <w:ind w:firstLine="480" w:firstLineChars="200"/>
        <w:rPr>
          <w:rFonts w:hint="eastAsia" w:ascii="宋体" w:hAnsi="宋体" w:cs="宋体"/>
          <w:sz w:val="24"/>
        </w:rPr>
      </w:pPr>
      <w:r>
        <w:rPr>
          <w:rFonts w:hint="eastAsia" w:ascii="宋体" w:hAnsi="宋体" w:cs="宋体"/>
          <w:sz w:val="24"/>
        </w:rPr>
        <w:t>2.房屋及附属设施需要维修时，属于小修范围的，应及时组织修复；属于大、中修范围的，应及时编制房屋维修计划和维修资金使用计划，向业主提出报告与建议，并根据业主的决定，及时组织维修。</w:t>
      </w:r>
    </w:p>
    <w:p>
      <w:pPr>
        <w:spacing w:line="360" w:lineRule="auto"/>
        <w:ind w:firstLine="480" w:firstLineChars="200"/>
        <w:rPr>
          <w:rFonts w:hint="eastAsia" w:ascii="宋体" w:hAnsi="宋体" w:cs="宋体"/>
          <w:sz w:val="24"/>
        </w:rPr>
      </w:pPr>
      <w:r>
        <w:rPr>
          <w:rFonts w:hint="eastAsia" w:ascii="宋体" w:hAnsi="宋体" w:cs="宋体"/>
          <w:sz w:val="24"/>
        </w:rPr>
        <w:t>3.根据房屋实际使用年限，每年定期对房屋进行一次全面的安全状况检查，并做好日常的巡检工作，建立健全检查记录。发现问题应及时报告，并受委托安排专项修理。遇紧急情况时，应及时采取必要的应急措施。</w:t>
      </w:r>
    </w:p>
    <w:p>
      <w:pPr>
        <w:spacing w:line="360" w:lineRule="auto"/>
        <w:ind w:firstLine="480" w:firstLineChars="200"/>
        <w:rPr>
          <w:rFonts w:hint="eastAsia" w:ascii="宋体" w:hAnsi="宋体" w:cs="宋体"/>
          <w:sz w:val="24"/>
        </w:rPr>
      </w:pPr>
      <w:r>
        <w:rPr>
          <w:rFonts w:hint="eastAsia" w:ascii="宋体" w:hAnsi="宋体" w:cs="宋体"/>
          <w:sz w:val="24"/>
        </w:rPr>
        <w:t>4.保证房屋及附属设施完好率98%以上。</w:t>
      </w:r>
    </w:p>
    <w:p>
      <w:pPr>
        <w:spacing w:line="360" w:lineRule="auto"/>
        <w:ind w:firstLine="480" w:firstLineChars="200"/>
        <w:rPr>
          <w:rFonts w:hint="eastAsia" w:ascii="宋体" w:hAnsi="宋体" w:cs="宋体"/>
          <w:sz w:val="24"/>
        </w:rPr>
      </w:pPr>
      <w:r>
        <w:rPr>
          <w:rFonts w:hint="eastAsia" w:ascii="宋体" w:hAnsi="宋体" w:cs="宋体"/>
          <w:sz w:val="24"/>
        </w:rPr>
        <w:t>5.对共用设施设备进行日常管理，包括：空调、消防、电梯、高低压配电系统，给排水系统、照明系统运行管理及日常零修、小修，安全监控、门禁系统的运行管理，保障设施设备顺畅运行，降低设施设备运行维护费用，实现运行低碳化（不含设施设备维保）。</w:t>
      </w:r>
    </w:p>
    <w:p>
      <w:pPr>
        <w:spacing w:line="360" w:lineRule="auto"/>
        <w:ind w:firstLine="480" w:firstLineChars="200"/>
        <w:rPr>
          <w:rFonts w:hint="eastAsia" w:ascii="宋体" w:hAnsi="宋体" w:cs="宋体"/>
          <w:sz w:val="24"/>
        </w:rPr>
      </w:pPr>
      <w:r>
        <w:rPr>
          <w:rFonts w:hint="eastAsia" w:ascii="宋体" w:hAnsi="宋体" w:cs="宋体"/>
          <w:sz w:val="24"/>
        </w:rPr>
        <w:t>6.配合做好空调、电梯、消防、监控、高低压配电系统等专业设备的维护保养，以及对专业设备维护单位的监督管理，对维护工作不到位、不达标的及时向业主物业主管部门报告。</w:t>
      </w:r>
    </w:p>
    <w:p>
      <w:pPr>
        <w:spacing w:line="360" w:lineRule="auto"/>
        <w:ind w:firstLine="480" w:firstLineChars="200"/>
        <w:rPr>
          <w:rFonts w:hint="eastAsia" w:ascii="宋体" w:hAnsi="宋体" w:cs="宋体"/>
          <w:sz w:val="24"/>
        </w:rPr>
      </w:pPr>
      <w:r>
        <w:rPr>
          <w:rFonts w:hint="eastAsia" w:ascii="宋体" w:hAnsi="宋体" w:cs="宋体"/>
          <w:sz w:val="24"/>
        </w:rPr>
        <w:t>7.建立共用设施设备档案（设备台账），设施设备的运行、检查、维修、保养等记录齐全。</w:t>
      </w:r>
    </w:p>
    <w:p>
      <w:pPr>
        <w:spacing w:line="360" w:lineRule="auto"/>
        <w:ind w:firstLine="480" w:firstLineChars="200"/>
        <w:rPr>
          <w:rFonts w:hint="eastAsia" w:ascii="宋体" w:hAnsi="宋体" w:cs="宋体"/>
          <w:sz w:val="24"/>
        </w:rPr>
      </w:pPr>
      <w:r>
        <w:rPr>
          <w:rFonts w:hint="eastAsia" w:ascii="宋体" w:hAnsi="宋体" w:cs="宋体"/>
          <w:sz w:val="24"/>
        </w:rPr>
        <w:t>8.设施设备标志齐全、规范，责任明确；操作维护人员严格执行设施设备操作规程及保养规范；设施设备运行正常。</w:t>
      </w:r>
    </w:p>
    <w:p>
      <w:pPr>
        <w:spacing w:line="360" w:lineRule="auto"/>
        <w:ind w:firstLine="480" w:firstLineChars="200"/>
        <w:rPr>
          <w:rFonts w:hint="eastAsia" w:ascii="宋体" w:hAnsi="宋体" w:cs="宋体"/>
          <w:sz w:val="24"/>
        </w:rPr>
      </w:pPr>
      <w:r>
        <w:rPr>
          <w:rFonts w:hint="eastAsia" w:ascii="宋体" w:hAnsi="宋体" w:cs="宋体"/>
          <w:sz w:val="24"/>
        </w:rPr>
        <w:t>9.消防设施设备完好，可随时启用；消防通道畅通。</w:t>
      </w:r>
    </w:p>
    <w:p>
      <w:pPr>
        <w:spacing w:line="360" w:lineRule="auto"/>
        <w:ind w:firstLine="480" w:firstLineChars="200"/>
        <w:rPr>
          <w:rFonts w:hint="eastAsia" w:ascii="宋体" w:hAnsi="宋体" w:cs="宋体"/>
          <w:sz w:val="24"/>
        </w:rPr>
      </w:pPr>
      <w:r>
        <w:rPr>
          <w:rFonts w:hint="eastAsia" w:ascii="宋体" w:hAnsi="宋体" w:cs="宋体"/>
          <w:sz w:val="24"/>
        </w:rPr>
        <w:t>10.设备房保持整洁、通风，无滴、漏和鼠害现象。</w:t>
      </w:r>
    </w:p>
    <w:p>
      <w:pPr>
        <w:spacing w:line="360" w:lineRule="auto"/>
        <w:ind w:firstLine="480" w:firstLineChars="200"/>
        <w:rPr>
          <w:rFonts w:hint="eastAsia" w:ascii="宋体" w:hAnsi="宋体" w:cs="宋体"/>
          <w:sz w:val="24"/>
        </w:rPr>
      </w:pPr>
      <w:r>
        <w:rPr>
          <w:rFonts w:hint="eastAsia" w:ascii="宋体" w:hAnsi="宋体" w:cs="宋体"/>
          <w:sz w:val="24"/>
        </w:rPr>
        <w:t>11.管理区域内道路平整，主要道路及停车场交通标志齐全、规范。</w:t>
      </w:r>
    </w:p>
    <w:p>
      <w:pPr>
        <w:spacing w:line="360" w:lineRule="auto"/>
        <w:ind w:firstLine="480" w:firstLineChars="200"/>
        <w:rPr>
          <w:rFonts w:hint="eastAsia" w:ascii="宋体" w:hAnsi="宋体" w:cs="宋体"/>
          <w:sz w:val="24"/>
        </w:rPr>
      </w:pPr>
      <w:r>
        <w:rPr>
          <w:rFonts w:hint="eastAsia" w:ascii="宋体" w:hAnsi="宋体" w:cs="宋体"/>
          <w:sz w:val="24"/>
        </w:rPr>
        <w:t>12.容易危及人身安全的设施设备有明显警示标志和防范措施；对可能发生的各种突发设备故障有应急方案。</w:t>
      </w:r>
    </w:p>
    <w:p>
      <w:pPr>
        <w:spacing w:line="360" w:lineRule="auto"/>
        <w:ind w:firstLine="480" w:firstLineChars="200"/>
        <w:rPr>
          <w:rFonts w:hint="eastAsia" w:ascii="宋体" w:hAnsi="宋体" w:cs="宋体"/>
          <w:sz w:val="24"/>
        </w:rPr>
      </w:pPr>
      <w:r>
        <w:rPr>
          <w:rFonts w:hint="eastAsia" w:ascii="宋体" w:hAnsi="宋体" w:cs="宋体"/>
          <w:sz w:val="24"/>
        </w:rPr>
        <w:t xml:space="preserve">13.负责对供水、供电、供气设施等的日常运行管理，以及对专业设备维护单位的监督管理，当专业维护单位在物业管理区域内对相关管线、设施进行维修、养护时，应给予必要的协调和配合。 </w:t>
      </w:r>
    </w:p>
    <w:p>
      <w:pPr>
        <w:spacing w:line="360" w:lineRule="auto"/>
        <w:ind w:firstLine="480" w:firstLineChars="200"/>
        <w:rPr>
          <w:rFonts w:hint="eastAsia"/>
        </w:rPr>
      </w:pPr>
      <w:r>
        <w:rPr>
          <w:rFonts w:hint="eastAsia" w:ascii="宋体" w:hAnsi="宋体" w:cs="宋体"/>
          <w:sz w:val="24"/>
        </w:rPr>
        <w:t>注：工程类维修耗材由业主方承担。</w:t>
      </w:r>
    </w:p>
    <w:p>
      <w:pPr>
        <w:ind w:firstLine="482" w:firstLineChars="200"/>
        <w:rPr>
          <w:rFonts w:hint="eastAsia" w:ascii="宋体" w:hAnsi="宋体" w:cs="宋体"/>
          <w:b/>
          <w:bCs/>
          <w:sz w:val="24"/>
          <w:szCs w:val="24"/>
        </w:rPr>
      </w:pPr>
      <w:r>
        <w:rPr>
          <w:rFonts w:hint="eastAsia" w:ascii="宋体" w:hAnsi="宋体" w:cs="宋体"/>
          <w:b/>
          <w:bCs/>
          <w:sz w:val="24"/>
          <w:szCs w:val="24"/>
        </w:rPr>
        <w:t>四、各项指标</w:t>
      </w:r>
    </w:p>
    <w:p>
      <w:pPr>
        <w:spacing w:line="360" w:lineRule="auto"/>
        <w:ind w:firstLine="480" w:firstLineChars="200"/>
        <w:rPr>
          <w:rFonts w:hint="eastAsia" w:ascii="宋体" w:hAnsi="宋体" w:cs="宋体"/>
          <w:sz w:val="24"/>
        </w:rPr>
      </w:pPr>
      <w:r>
        <w:rPr>
          <w:rFonts w:hint="eastAsia" w:ascii="宋体" w:hAnsi="宋体" w:cs="宋体"/>
          <w:sz w:val="24"/>
        </w:rPr>
        <w:t>1.杜绝火灾责任事故，杜绝刑事案件；</w:t>
      </w:r>
    </w:p>
    <w:p>
      <w:pPr>
        <w:spacing w:line="360" w:lineRule="auto"/>
        <w:ind w:firstLine="480" w:firstLineChars="200"/>
        <w:rPr>
          <w:rFonts w:hint="eastAsia" w:ascii="宋体" w:hAnsi="宋体" w:cs="宋体"/>
          <w:sz w:val="24"/>
        </w:rPr>
      </w:pPr>
      <w:r>
        <w:rPr>
          <w:rFonts w:hint="eastAsia" w:ascii="宋体" w:hAnsi="宋体" w:cs="宋体"/>
          <w:sz w:val="24"/>
        </w:rPr>
        <w:t>2.环境卫生、清洁率达95%；</w:t>
      </w:r>
    </w:p>
    <w:p>
      <w:pPr>
        <w:spacing w:line="360" w:lineRule="auto"/>
        <w:ind w:firstLine="480" w:firstLineChars="200"/>
        <w:rPr>
          <w:rFonts w:hint="eastAsia" w:ascii="宋体" w:hAnsi="宋体" w:cs="宋体"/>
          <w:sz w:val="24"/>
        </w:rPr>
      </w:pPr>
      <w:r>
        <w:rPr>
          <w:rFonts w:hint="eastAsia" w:ascii="宋体" w:hAnsi="宋体" w:cs="宋体"/>
          <w:sz w:val="24"/>
        </w:rPr>
        <w:t>3.智能化系统运行正常率100%；</w:t>
      </w:r>
    </w:p>
    <w:p>
      <w:pPr>
        <w:spacing w:line="360" w:lineRule="auto"/>
        <w:ind w:firstLine="480" w:firstLineChars="200"/>
        <w:rPr>
          <w:rFonts w:hint="eastAsia" w:ascii="宋体" w:hAnsi="宋体" w:cs="宋体"/>
          <w:sz w:val="24"/>
        </w:rPr>
      </w:pPr>
      <w:r>
        <w:rPr>
          <w:rFonts w:hint="eastAsia" w:ascii="宋体" w:hAnsi="宋体" w:cs="宋体"/>
          <w:sz w:val="24"/>
        </w:rPr>
        <w:t>4.零修、报修及时率100%，返修率小于1%；</w:t>
      </w:r>
    </w:p>
    <w:p>
      <w:pPr>
        <w:spacing w:line="360" w:lineRule="auto"/>
        <w:ind w:firstLine="480" w:firstLineChars="200"/>
        <w:rPr>
          <w:rFonts w:hint="eastAsia" w:ascii="宋体" w:hAnsi="宋体" w:cs="宋体"/>
          <w:sz w:val="24"/>
        </w:rPr>
      </w:pPr>
      <w:r>
        <w:rPr>
          <w:rFonts w:hint="eastAsia" w:ascii="宋体" w:hAnsi="宋体" w:cs="宋体"/>
          <w:sz w:val="24"/>
        </w:rPr>
        <w:t>5.服务有效投诉少于总投诉的1%，处理率100%；</w:t>
      </w:r>
    </w:p>
    <w:p>
      <w:pPr>
        <w:spacing w:line="360" w:lineRule="auto"/>
        <w:ind w:firstLine="480" w:firstLineChars="200"/>
        <w:rPr>
          <w:rFonts w:hint="eastAsia" w:ascii="宋体" w:hAnsi="宋体" w:cs="宋体"/>
          <w:sz w:val="24"/>
        </w:rPr>
      </w:pPr>
      <w:r>
        <w:rPr>
          <w:rFonts w:hint="eastAsia" w:ascii="宋体" w:hAnsi="宋体" w:cs="宋体"/>
          <w:sz w:val="24"/>
        </w:rPr>
        <w:t>6.满意率95%以上。</w:t>
      </w:r>
    </w:p>
    <w:p>
      <w:pPr>
        <w:spacing w:line="360" w:lineRule="auto"/>
        <w:ind w:firstLine="482" w:firstLineChars="200"/>
        <w:rPr>
          <w:rFonts w:hint="eastAsia" w:ascii="宋体" w:hAnsi="宋体" w:cs="宋体"/>
          <w:b/>
          <w:bCs/>
          <w:sz w:val="24"/>
          <w:szCs w:val="24"/>
        </w:rPr>
      </w:pPr>
      <w:r>
        <w:rPr>
          <w:rFonts w:hint="eastAsia" w:ascii="宋体" w:hAnsi="宋体" w:cs="宋体"/>
          <w:b/>
          <w:bCs/>
          <w:sz w:val="24"/>
          <w:szCs w:val="24"/>
          <w:lang w:eastAsia="zh-CN"/>
        </w:rPr>
        <w:t>五、</w:t>
      </w:r>
      <w:r>
        <w:rPr>
          <w:rFonts w:hint="eastAsia" w:ascii="宋体" w:hAnsi="宋体" w:cs="宋体"/>
          <w:b/>
          <w:bCs/>
          <w:sz w:val="24"/>
          <w:szCs w:val="24"/>
        </w:rPr>
        <w:t>验收标准和方法</w:t>
      </w:r>
    </w:p>
    <w:p>
      <w:pPr>
        <w:spacing w:line="360" w:lineRule="auto"/>
        <w:rPr>
          <w:rFonts w:hint="eastAsia" w:ascii="宋体" w:hAnsi="宋体" w:cs="宋体"/>
          <w:sz w:val="24"/>
        </w:rPr>
      </w:pPr>
      <w:r>
        <w:rPr>
          <w:rFonts w:hint="eastAsia" w:ascii="宋体" w:hAnsi="宋体" w:cs="宋体"/>
          <w:sz w:val="24"/>
        </w:rPr>
        <w:t xml:space="preserve">  按《成都市龙泉驿区人民检察院办公楼物业服务合同》及《物业服务工作考核办法》的要求执行。</w:t>
      </w:r>
    </w:p>
    <w:p>
      <w:pPr>
        <w:ind w:firstLine="482" w:firstLineChars="200"/>
        <w:rPr>
          <w:rFonts w:hint="eastAsia" w:ascii="宋体" w:hAnsi="宋体" w:cs="宋体"/>
          <w:b/>
          <w:bCs/>
          <w:sz w:val="24"/>
          <w:szCs w:val="24"/>
        </w:rPr>
      </w:pPr>
      <w:r>
        <w:rPr>
          <w:rFonts w:hint="eastAsia" w:ascii="宋体" w:hAnsi="宋体" w:cs="宋体"/>
          <w:b/>
          <w:bCs/>
          <w:sz w:val="24"/>
          <w:szCs w:val="24"/>
        </w:rPr>
        <w:t>检查与考核</w:t>
      </w:r>
    </w:p>
    <w:p>
      <w:pPr>
        <w:spacing w:line="360" w:lineRule="auto"/>
        <w:ind w:firstLine="480" w:firstLineChars="200"/>
        <w:rPr>
          <w:rFonts w:hint="eastAsia" w:ascii="宋体" w:hAnsi="宋体" w:cs="宋体"/>
          <w:sz w:val="24"/>
        </w:rPr>
      </w:pPr>
      <w:r>
        <w:rPr>
          <w:rFonts w:hint="eastAsia" w:ascii="宋体" w:hAnsi="宋体" w:cs="宋体"/>
          <w:sz w:val="24"/>
        </w:rPr>
        <w:t>1.中标人应制订具体的质量保证措施及质量保证和相关服务承诺。中标人所有的工作除应按中标人的内部流程实施外，还应接受招标人或第三方的随时检查。如因质量未达到目标，招标人有权要求其整改，同时投标投标人应承担责任和经济赔偿（扣款或终止合同）。</w:t>
      </w:r>
    </w:p>
    <w:p>
      <w:pPr>
        <w:spacing w:line="360" w:lineRule="auto"/>
        <w:ind w:firstLine="480" w:firstLineChars="200"/>
        <w:rPr>
          <w:rFonts w:hint="eastAsia" w:ascii="宋体" w:hAnsi="宋体" w:cs="宋体"/>
          <w:sz w:val="24"/>
        </w:rPr>
      </w:pPr>
      <w:r>
        <w:rPr>
          <w:rFonts w:hint="eastAsia" w:ascii="宋体" w:hAnsi="宋体" w:cs="宋体"/>
          <w:sz w:val="24"/>
        </w:rPr>
        <w:t>2.招标人定期和不定期地对中标人管理服务进行检查和抽查，检查记录和整改时限反馈承包人。并每月对相应内容的检查结果进行考核。</w:t>
      </w:r>
    </w:p>
    <w:p>
      <w:pPr>
        <w:ind w:firstLine="560"/>
        <w:rPr>
          <w:rFonts w:hint="eastAsia" w:ascii="宋体" w:hAnsi="宋体" w:cs="宋体"/>
          <w:b/>
          <w:bCs/>
          <w:sz w:val="24"/>
        </w:rPr>
      </w:pPr>
      <w:r>
        <w:rPr>
          <w:rFonts w:hint="eastAsia" w:ascii="宋体" w:hAnsi="宋体" w:cs="宋体"/>
          <w:b/>
          <w:bCs/>
          <w:sz w:val="24"/>
        </w:rPr>
        <w:t>考核标准</w:t>
      </w:r>
    </w:p>
    <w:p>
      <w:pPr>
        <w:spacing w:line="360" w:lineRule="auto"/>
        <w:ind w:firstLine="480" w:firstLineChars="200"/>
        <w:rPr>
          <w:rFonts w:hint="eastAsia" w:ascii="宋体" w:hAnsi="宋体" w:cs="宋体"/>
          <w:sz w:val="24"/>
        </w:rPr>
      </w:pPr>
      <w:r>
        <w:rPr>
          <w:rFonts w:hint="eastAsia" w:ascii="宋体" w:hAnsi="宋体" w:cs="宋体"/>
          <w:sz w:val="24"/>
        </w:rPr>
        <w:t>为规范物业管理单位服务行为，保障业主和物业管理单位的合法权益，整体提升物业管理服务水平，根据物业管理相关法规，结合我院物业管理的实际情况，制定本院物业管理考核办法：</w:t>
      </w:r>
    </w:p>
    <w:p>
      <w:pPr>
        <w:spacing w:line="360" w:lineRule="auto"/>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b/>
          <w:bCs/>
          <w:sz w:val="24"/>
        </w:rPr>
        <w:t>考核范围</w:t>
      </w:r>
    </w:p>
    <w:p>
      <w:pPr>
        <w:spacing w:line="360" w:lineRule="auto"/>
        <w:ind w:firstLine="480" w:firstLineChars="200"/>
        <w:rPr>
          <w:rFonts w:hint="eastAsia" w:ascii="宋体" w:hAnsi="宋体" w:cs="宋体"/>
          <w:sz w:val="24"/>
        </w:rPr>
      </w:pPr>
      <w:r>
        <w:rPr>
          <w:rFonts w:hint="eastAsia" w:ascii="宋体" w:hAnsi="宋体" w:cs="宋体"/>
          <w:sz w:val="24"/>
        </w:rPr>
        <w:t>本院物业管理中标服务公司。</w:t>
      </w:r>
    </w:p>
    <w:p>
      <w:pPr>
        <w:spacing w:line="360" w:lineRule="auto"/>
        <w:ind w:firstLine="482" w:firstLineChars="200"/>
        <w:rPr>
          <w:rFonts w:hint="eastAsia" w:ascii="宋体" w:hAnsi="宋体" w:cs="宋体"/>
          <w:b/>
          <w:bCs/>
          <w:sz w:val="24"/>
        </w:rPr>
      </w:pPr>
      <w:r>
        <w:rPr>
          <w:rFonts w:hint="eastAsia" w:ascii="宋体" w:hAnsi="宋体" w:cs="宋体"/>
          <w:b/>
          <w:bCs/>
          <w:sz w:val="24"/>
        </w:rPr>
        <w:t>2、考核的组织领导</w:t>
      </w:r>
    </w:p>
    <w:p>
      <w:pPr>
        <w:spacing w:line="360" w:lineRule="auto"/>
        <w:ind w:firstLine="480" w:firstLineChars="200"/>
        <w:rPr>
          <w:rFonts w:hint="eastAsia" w:ascii="宋体" w:hAnsi="宋体" w:cs="宋体"/>
          <w:sz w:val="24"/>
        </w:rPr>
      </w:pPr>
      <w:r>
        <w:rPr>
          <w:rFonts w:hint="eastAsia" w:ascii="宋体" w:hAnsi="宋体" w:cs="宋体"/>
          <w:sz w:val="24"/>
        </w:rPr>
        <w:t>由分管办公室的院领导、办公室负责人及办公室物管工作人员组成物业管理考核小组，负责对物业管理服务进行考核。</w:t>
      </w:r>
    </w:p>
    <w:p>
      <w:pPr>
        <w:spacing w:line="360" w:lineRule="auto"/>
        <w:ind w:firstLine="482" w:firstLineChars="200"/>
        <w:rPr>
          <w:rFonts w:hint="eastAsia" w:ascii="宋体" w:hAnsi="宋体" w:cs="宋体"/>
          <w:b/>
          <w:bCs/>
          <w:sz w:val="24"/>
        </w:rPr>
      </w:pPr>
      <w:r>
        <w:rPr>
          <w:rFonts w:hint="eastAsia" w:ascii="宋体" w:hAnsi="宋体" w:cs="宋体"/>
          <w:b/>
          <w:bCs/>
          <w:sz w:val="24"/>
        </w:rPr>
        <w:t>3、考核的基本原则</w:t>
      </w:r>
    </w:p>
    <w:p>
      <w:pPr>
        <w:spacing w:line="360" w:lineRule="auto"/>
        <w:ind w:firstLine="480" w:firstLineChars="200"/>
        <w:rPr>
          <w:rFonts w:hint="eastAsia" w:ascii="宋体" w:hAnsi="宋体" w:cs="宋体"/>
          <w:sz w:val="24"/>
        </w:rPr>
      </w:pPr>
      <w:r>
        <w:rPr>
          <w:rFonts w:hint="eastAsia" w:ascii="宋体" w:hAnsi="宋体" w:cs="宋体"/>
          <w:sz w:val="24"/>
        </w:rPr>
        <w:t>坚持公平、公开、公正、定量考核原则。</w:t>
      </w:r>
    </w:p>
    <w:p>
      <w:pPr>
        <w:spacing w:line="360" w:lineRule="auto"/>
        <w:ind w:firstLine="482" w:firstLineChars="200"/>
        <w:rPr>
          <w:rFonts w:hint="eastAsia" w:ascii="宋体" w:hAnsi="宋体" w:cs="宋体"/>
          <w:b/>
          <w:bCs/>
          <w:sz w:val="24"/>
        </w:rPr>
      </w:pPr>
      <w:r>
        <w:rPr>
          <w:rFonts w:hint="eastAsia" w:ascii="宋体" w:hAnsi="宋体" w:cs="宋体"/>
          <w:b/>
          <w:bCs/>
          <w:sz w:val="24"/>
        </w:rPr>
        <w:t>4、考核内容</w:t>
      </w:r>
    </w:p>
    <w:p>
      <w:pPr>
        <w:spacing w:line="360" w:lineRule="auto"/>
        <w:ind w:firstLine="480" w:firstLineChars="200"/>
        <w:rPr>
          <w:rFonts w:hint="eastAsia" w:ascii="宋体" w:hAnsi="宋体" w:cs="宋体"/>
          <w:sz w:val="24"/>
        </w:rPr>
      </w:pPr>
      <w:r>
        <w:rPr>
          <w:rFonts w:hint="eastAsia" w:ascii="宋体" w:hAnsi="宋体" w:cs="宋体"/>
          <w:sz w:val="24"/>
        </w:rPr>
        <w:t>物业管理单位从事物业管理行为，包括基本要求、会议服务、房屋管理、公用设施设备的维修养护、公共秩序的维护、节能管理、保洁服务及绿化养护管理等七个方面。</w:t>
      </w:r>
    </w:p>
    <w:p>
      <w:pPr>
        <w:spacing w:line="360" w:lineRule="auto"/>
        <w:ind w:firstLine="482" w:firstLineChars="200"/>
        <w:rPr>
          <w:rFonts w:hint="eastAsia" w:ascii="宋体" w:hAnsi="宋体" w:cs="宋体"/>
          <w:b/>
          <w:bCs/>
          <w:sz w:val="24"/>
        </w:rPr>
      </w:pPr>
      <w:r>
        <w:rPr>
          <w:rFonts w:hint="eastAsia" w:ascii="宋体" w:hAnsi="宋体" w:cs="宋体"/>
          <w:b/>
          <w:bCs/>
          <w:sz w:val="24"/>
        </w:rPr>
        <w:t>5、考核办法</w:t>
      </w:r>
    </w:p>
    <w:p>
      <w:pPr>
        <w:spacing w:line="360" w:lineRule="auto"/>
        <w:ind w:firstLine="480" w:firstLineChars="200"/>
        <w:jc w:val="both"/>
        <w:rPr>
          <w:rFonts w:hint="eastAsia" w:ascii="宋体" w:hAnsi="宋体" w:cs="宋体"/>
          <w:sz w:val="24"/>
        </w:rPr>
      </w:pPr>
      <w:r>
        <w:rPr>
          <w:rFonts w:hint="eastAsia" w:ascii="宋体" w:hAnsi="宋体" w:cs="宋体"/>
          <w:sz w:val="24"/>
        </w:rPr>
        <w:t>每个月对物业管理单位考核1次，考核工作主要采取抽查、突击检查、现场调查的形式进行。根据检查的情况依据评分标准得出考核分数。考核分数未到达90分的，扣减物业管理公司当月服务费2万元。单个合同期内，供应商有任意三个月份服务质量考核结果为不合格或连续两个月考核结果不合格的，采购人可立即终止合同且不承担任何责任。</w:t>
      </w:r>
    </w:p>
    <w:p>
      <w:pPr>
        <w:numPr>
          <w:ilvl w:val="0"/>
          <w:numId w:val="38"/>
        </w:numPr>
        <w:spacing w:line="360" w:lineRule="auto"/>
        <w:ind w:firstLine="482" w:firstLineChars="200"/>
        <w:jc w:val="both"/>
        <w:rPr>
          <w:rFonts w:hint="eastAsia" w:ascii="宋体" w:hAnsi="宋体" w:cs="宋体"/>
          <w:sz w:val="24"/>
        </w:rPr>
      </w:pPr>
      <w:r>
        <w:rPr>
          <w:rFonts w:hint="eastAsia" w:ascii="宋体" w:hAnsi="宋体" w:cs="宋体"/>
          <w:b/>
          <w:bCs/>
          <w:sz w:val="24"/>
        </w:rPr>
        <w:t>考核结果的作用：</w:t>
      </w:r>
      <w:r>
        <w:rPr>
          <w:rFonts w:hint="eastAsia" w:ascii="宋体" w:hAnsi="宋体" w:cs="宋体"/>
          <w:sz w:val="24"/>
        </w:rPr>
        <w:t>考核结果作为支付物业服务费及物业管理单位续签合同的依据</w:t>
      </w:r>
      <w:r>
        <w:rPr>
          <w:rFonts w:hint="eastAsia" w:ascii="宋体" w:hAnsi="宋体" w:cs="宋体"/>
          <w:sz w:val="24"/>
          <w:lang w:eastAsia="zh-CN"/>
        </w:rPr>
        <w:t>。</w:t>
      </w:r>
    </w:p>
    <w:p>
      <w:pPr>
        <w:numPr>
          <w:ilvl w:val="0"/>
          <w:numId w:val="0"/>
        </w:numPr>
        <w:spacing w:line="360" w:lineRule="auto"/>
        <w:ind w:firstLine="720" w:firstLineChars="300"/>
        <w:jc w:val="both"/>
        <w:rPr>
          <w:rFonts w:hint="eastAsia" w:ascii="宋体" w:hAnsi="宋体" w:cs="宋体"/>
          <w:sz w:val="24"/>
        </w:rPr>
      </w:pPr>
      <w:r>
        <w:rPr>
          <w:rFonts w:hint="eastAsia" w:ascii="宋体" w:hAnsi="宋体" w:cs="宋体"/>
          <w:sz w:val="24"/>
        </w:rPr>
        <w:t>物业管理单位物业管理考核评分标准</w:t>
      </w:r>
    </w:p>
    <w:tbl>
      <w:tblPr>
        <w:tblStyle w:val="48"/>
        <w:tblpPr w:leftFromText="180" w:rightFromText="180" w:vertAnchor="text" w:horzAnchor="page" w:tblpX="2114" w:tblpY="309"/>
        <w:tblOverlap w:val="never"/>
        <w:tblW w:w="8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576"/>
        <w:gridCol w:w="660"/>
        <w:gridCol w:w="3197"/>
        <w:gridCol w:w="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序号</w:t>
            </w:r>
          </w:p>
        </w:tc>
        <w:tc>
          <w:tcPr>
            <w:tcW w:w="3576" w:type="dxa"/>
            <w:noWrap w:val="0"/>
            <w:vAlign w:val="center"/>
          </w:tcPr>
          <w:p>
            <w:pPr>
              <w:jc w:val="center"/>
              <w:rPr>
                <w:rFonts w:hint="eastAsia" w:ascii="宋体" w:hAnsi="宋体" w:cs="宋体"/>
                <w:sz w:val="22"/>
              </w:rPr>
            </w:pPr>
            <w:r>
              <w:rPr>
                <w:rFonts w:hint="eastAsia" w:ascii="宋体" w:hAnsi="宋体" w:cs="宋体"/>
                <w:sz w:val="22"/>
              </w:rPr>
              <w:t>考核要求</w:t>
            </w:r>
          </w:p>
        </w:tc>
        <w:tc>
          <w:tcPr>
            <w:tcW w:w="660" w:type="dxa"/>
            <w:noWrap w:val="0"/>
            <w:vAlign w:val="center"/>
          </w:tcPr>
          <w:p>
            <w:pPr>
              <w:jc w:val="center"/>
              <w:rPr>
                <w:rFonts w:hint="eastAsia" w:ascii="宋体" w:hAnsi="宋体" w:cs="宋体"/>
                <w:sz w:val="22"/>
              </w:rPr>
            </w:pPr>
            <w:r>
              <w:rPr>
                <w:rFonts w:hint="eastAsia" w:ascii="宋体" w:hAnsi="宋体" w:cs="宋体"/>
                <w:sz w:val="22"/>
              </w:rPr>
              <w:t>规定分数</w:t>
            </w:r>
          </w:p>
        </w:tc>
        <w:tc>
          <w:tcPr>
            <w:tcW w:w="3197" w:type="dxa"/>
            <w:noWrap w:val="0"/>
            <w:vAlign w:val="center"/>
          </w:tcPr>
          <w:p>
            <w:pPr>
              <w:jc w:val="center"/>
              <w:rPr>
                <w:rFonts w:hint="eastAsia" w:ascii="宋体" w:hAnsi="宋体" w:cs="宋体"/>
                <w:sz w:val="22"/>
              </w:rPr>
            </w:pPr>
            <w:r>
              <w:rPr>
                <w:rFonts w:hint="eastAsia" w:ascii="宋体" w:hAnsi="宋体" w:cs="宋体"/>
                <w:sz w:val="22"/>
              </w:rPr>
              <w:t>评分标准</w:t>
            </w:r>
          </w:p>
        </w:tc>
        <w:tc>
          <w:tcPr>
            <w:tcW w:w="357" w:type="dxa"/>
            <w:noWrap w:val="0"/>
            <w:vAlign w:val="center"/>
          </w:tcPr>
          <w:p>
            <w:pPr>
              <w:jc w:val="center"/>
              <w:rPr>
                <w:rFonts w:hint="eastAsia" w:ascii="宋体" w:hAnsi="宋体" w:cs="宋体"/>
                <w:sz w:val="22"/>
              </w:rPr>
            </w:pPr>
            <w:r>
              <w:rPr>
                <w:rFonts w:hint="eastAsia" w:ascii="宋体" w:hAnsi="宋体" w:cs="宋体"/>
                <w:sz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一</w:t>
            </w:r>
          </w:p>
        </w:tc>
        <w:tc>
          <w:tcPr>
            <w:tcW w:w="3576" w:type="dxa"/>
            <w:noWrap w:val="0"/>
            <w:vAlign w:val="center"/>
          </w:tcPr>
          <w:p>
            <w:pPr>
              <w:jc w:val="center"/>
              <w:rPr>
                <w:rFonts w:hint="eastAsia" w:ascii="宋体" w:hAnsi="宋体" w:cs="宋体"/>
                <w:sz w:val="22"/>
              </w:rPr>
            </w:pPr>
            <w:r>
              <w:rPr>
                <w:rFonts w:hint="eastAsia" w:ascii="宋体" w:hAnsi="宋体" w:cs="宋体"/>
                <w:sz w:val="22"/>
              </w:rPr>
              <w:t>基本要求</w:t>
            </w:r>
          </w:p>
        </w:tc>
        <w:tc>
          <w:tcPr>
            <w:tcW w:w="660" w:type="dxa"/>
            <w:noWrap w:val="0"/>
            <w:vAlign w:val="center"/>
          </w:tcPr>
          <w:p>
            <w:pPr>
              <w:jc w:val="center"/>
              <w:rPr>
                <w:rFonts w:ascii="宋体" w:hAnsi="宋体" w:cs="宋体"/>
                <w:sz w:val="22"/>
              </w:rPr>
            </w:pPr>
            <w:r>
              <w:rPr>
                <w:rFonts w:hint="eastAsia" w:ascii="宋体" w:hAnsi="宋体" w:cs="宋体"/>
                <w:sz w:val="22"/>
              </w:rPr>
              <w:t>19</w:t>
            </w:r>
          </w:p>
        </w:tc>
        <w:tc>
          <w:tcPr>
            <w:tcW w:w="3197" w:type="dxa"/>
            <w:noWrap w:val="0"/>
            <w:vAlign w:val="center"/>
          </w:tcPr>
          <w:p>
            <w:pPr>
              <w:jc w:val="center"/>
              <w:rPr>
                <w:rFonts w:hint="eastAsia" w:ascii="宋体" w:hAnsi="宋体" w:cs="宋体"/>
                <w:sz w:val="22"/>
              </w:rPr>
            </w:pP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1</w:t>
            </w:r>
          </w:p>
        </w:tc>
        <w:tc>
          <w:tcPr>
            <w:tcW w:w="3576" w:type="dxa"/>
            <w:noWrap w:val="0"/>
            <w:vAlign w:val="center"/>
          </w:tcPr>
          <w:p>
            <w:pPr>
              <w:jc w:val="center"/>
              <w:rPr>
                <w:rFonts w:hint="eastAsia" w:ascii="宋体" w:hAnsi="宋体" w:cs="宋体"/>
                <w:sz w:val="22"/>
              </w:rPr>
            </w:pPr>
            <w:r>
              <w:rPr>
                <w:rFonts w:hint="eastAsia" w:ascii="宋体" w:hAnsi="宋体" w:cs="宋体"/>
                <w:sz w:val="22"/>
              </w:rPr>
              <w:t>物业管理专业人员取得资格证书，专业人员持证上岗</w:t>
            </w:r>
          </w:p>
        </w:tc>
        <w:tc>
          <w:tcPr>
            <w:tcW w:w="660" w:type="dxa"/>
            <w:noWrap w:val="0"/>
            <w:vAlign w:val="center"/>
          </w:tcPr>
          <w:p>
            <w:pPr>
              <w:jc w:val="center"/>
              <w:rPr>
                <w:rFonts w:hint="eastAsia" w:ascii="宋体" w:hAnsi="宋体" w:cs="宋体"/>
                <w:sz w:val="22"/>
              </w:rPr>
            </w:pPr>
            <w:r>
              <w:rPr>
                <w:rFonts w:hint="eastAsia" w:ascii="宋体" w:hAnsi="宋体" w:cs="宋体"/>
                <w:sz w:val="22"/>
              </w:rPr>
              <w:t>2.5</w:t>
            </w:r>
          </w:p>
        </w:tc>
        <w:tc>
          <w:tcPr>
            <w:tcW w:w="3197" w:type="dxa"/>
            <w:noWrap w:val="0"/>
            <w:vAlign w:val="center"/>
          </w:tcPr>
          <w:p>
            <w:pPr>
              <w:jc w:val="center"/>
              <w:rPr>
                <w:rFonts w:hint="eastAsia" w:ascii="宋体" w:hAnsi="宋体" w:cs="宋体"/>
                <w:sz w:val="22"/>
              </w:rPr>
            </w:pPr>
            <w:r>
              <w:rPr>
                <w:rFonts w:hint="eastAsia" w:ascii="宋体" w:hAnsi="宋体" w:cs="宋体"/>
                <w:sz w:val="22"/>
              </w:rPr>
              <w:t>物业管理岗位资格证书1.5分；专业操作人员持证上岗1分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2</w:t>
            </w:r>
          </w:p>
        </w:tc>
        <w:tc>
          <w:tcPr>
            <w:tcW w:w="3576" w:type="dxa"/>
            <w:noWrap w:val="0"/>
            <w:vAlign w:val="center"/>
          </w:tcPr>
          <w:p>
            <w:pPr>
              <w:jc w:val="center"/>
              <w:rPr>
                <w:rFonts w:hint="eastAsia" w:ascii="宋体" w:hAnsi="宋体" w:cs="宋体"/>
                <w:sz w:val="22"/>
              </w:rPr>
            </w:pPr>
            <w:r>
              <w:rPr>
                <w:rFonts w:hint="eastAsia" w:ascii="宋体" w:hAnsi="宋体" w:cs="宋体"/>
                <w:sz w:val="22"/>
              </w:rPr>
              <w:t>做好自查记录</w:t>
            </w:r>
          </w:p>
        </w:tc>
        <w:tc>
          <w:tcPr>
            <w:tcW w:w="660" w:type="dxa"/>
            <w:noWrap w:val="0"/>
            <w:vAlign w:val="center"/>
          </w:tcPr>
          <w:p>
            <w:pPr>
              <w:jc w:val="center"/>
              <w:rPr>
                <w:rFonts w:hint="eastAsia" w:ascii="宋体" w:hAnsi="宋体" w:cs="宋体"/>
                <w:sz w:val="22"/>
              </w:rPr>
            </w:pPr>
            <w:r>
              <w:rPr>
                <w:rFonts w:hint="eastAsia" w:ascii="宋体" w:hAnsi="宋体" w:cs="宋体"/>
                <w:sz w:val="22"/>
              </w:rPr>
              <w:t>3.5</w:t>
            </w:r>
          </w:p>
        </w:tc>
        <w:tc>
          <w:tcPr>
            <w:tcW w:w="3197" w:type="dxa"/>
            <w:noWrap w:val="0"/>
            <w:vAlign w:val="center"/>
          </w:tcPr>
          <w:p>
            <w:pPr>
              <w:jc w:val="center"/>
              <w:rPr>
                <w:rFonts w:hint="eastAsia" w:ascii="宋体" w:hAnsi="宋体" w:cs="宋体"/>
                <w:sz w:val="22"/>
              </w:rPr>
            </w:pPr>
            <w:r>
              <w:rPr>
                <w:rFonts w:hint="eastAsia" w:ascii="宋体" w:hAnsi="宋体" w:cs="宋体"/>
                <w:sz w:val="22"/>
              </w:rPr>
              <w:t>自查记录3.5分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3</w:t>
            </w:r>
          </w:p>
        </w:tc>
        <w:tc>
          <w:tcPr>
            <w:tcW w:w="3576" w:type="dxa"/>
            <w:noWrap w:val="0"/>
            <w:vAlign w:val="center"/>
          </w:tcPr>
          <w:p>
            <w:pPr>
              <w:jc w:val="center"/>
              <w:rPr>
                <w:rFonts w:hint="eastAsia" w:ascii="宋体" w:hAnsi="宋体" w:cs="宋体"/>
                <w:sz w:val="22"/>
              </w:rPr>
            </w:pPr>
            <w:r>
              <w:rPr>
                <w:rFonts w:hint="eastAsia" w:ascii="宋体" w:hAnsi="宋体" w:cs="宋体"/>
                <w:sz w:val="22"/>
              </w:rPr>
              <w:t>指定完善的内部管理制度；建立较完善的的物业管理档案（设备管理档案、日常管理档案等）；有物业管理方案，对各管理和服务人员进行考核。</w:t>
            </w:r>
          </w:p>
        </w:tc>
        <w:tc>
          <w:tcPr>
            <w:tcW w:w="660" w:type="dxa"/>
            <w:noWrap w:val="0"/>
            <w:vAlign w:val="center"/>
          </w:tcPr>
          <w:p>
            <w:pPr>
              <w:jc w:val="center"/>
              <w:rPr>
                <w:rFonts w:hint="eastAsia" w:ascii="宋体" w:hAnsi="宋体" w:cs="宋体"/>
                <w:sz w:val="22"/>
              </w:rPr>
            </w:pPr>
            <w:r>
              <w:rPr>
                <w:rFonts w:hint="eastAsia" w:ascii="宋体" w:hAnsi="宋体" w:cs="宋体"/>
                <w:sz w:val="22"/>
              </w:rPr>
              <w:t>2.5</w:t>
            </w:r>
          </w:p>
        </w:tc>
        <w:tc>
          <w:tcPr>
            <w:tcW w:w="3197" w:type="dxa"/>
            <w:noWrap w:val="0"/>
            <w:vAlign w:val="center"/>
          </w:tcPr>
          <w:p>
            <w:pPr>
              <w:jc w:val="center"/>
              <w:rPr>
                <w:rFonts w:hint="eastAsia" w:ascii="宋体" w:hAnsi="宋体" w:cs="宋体"/>
                <w:sz w:val="22"/>
              </w:rPr>
            </w:pPr>
            <w:r>
              <w:rPr>
                <w:rFonts w:hint="eastAsia" w:ascii="宋体" w:hAnsi="宋体" w:cs="宋体"/>
                <w:sz w:val="22"/>
              </w:rPr>
              <w:t>指定完善的内部管理制度1分；设备管理档案0.3分；日常管理档案0.5分；物业管理方案0.2分；对各管理和服务人员进行考核0.5分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4</w:t>
            </w:r>
          </w:p>
        </w:tc>
        <w:tc>
          <w:tcPr>
            <w:tcW w:w="3576" w:type="dxa"/>
            <w:noWrap w:val="0"/>
            <w:vAlign w:val="center"/>
          </w:tcPr>
          <w:p>
            <w:pPr>
              <w:jc w:val="center"/>
              <w:rPr>
                <w:rFonts w:hint="eastAsia" w:ascii="宋体" w:hAnsi="宋体" w:cs="宋体"/>
                <w:sz w:val="22"/>
              </w:rPr>
            </w:pPr>
            <w:r>
              <w:rPr>
                <w:rFonts w:hint="eastAsia" w:ascii="宋体" w:hAnsi="宋体" w:cs="宋体"/>
                <w:sz w:val="22"/>
              </w:rPr>
              <w:t>物业管理人员佩戴标志，仪表仪容整洁规范，文明用语，无损坏，影响形象的行为</w:t>
            </w:r>
          </w:p>
        </w:tc>
        <w:tc>
          <w:tcPr>
            <w:tcW w:w="660" w:type="dxa"/>
            <w:noWrap w:val="0"/>
            <w:vAlign w:val="center"/>
          </w:tcPr>
          <w:p>
            <w:pPr>
              <w:jc w:val="center"/>
              <w:rPr>
                <w:rFonts w:hint="eastAsia" w:ascii="宋体" w:hAnsi="宋体" w:cs="宋体"/>
                <w:sz w:val="22"/>
              </w:rPr>
            </w:pPr>
            <w:r>
              <w:rPr>
                <w:rFonts w:hint="eastAsia" w:ascii="宋体" w:hAnsi="宋体" w:cs="宋体"/>
                <w:sz w:val="22"/>
              </w:rPr>
              <w:t>3</w:t>
            </w:r>
          </w:p>
        </w:tc>
        <w:tc>
          <w:tcPr>
            <w:tcW w:w="3197" w:type="dxa"/>
            <w:noWrap w:val="0"/>
            <w:vAlign w:val="center"/>
          </w:tcPr>
          <w:p>
            <w:pPr>
              <w:jc w:val="center"/>
              <w:rPr>
                <w:rFonts w:hint="eastAsia" w:ascii="宋体" w:hAnsi="宋体" w:cs="宋体"/>
                <w:sz w:val="22"/>
              </w:rPr>
            </w:pPr>
            <w:r>
              <w:rPr>
                <w:rFonts w:hint="eastAsia" w:ascii="宋体" w:hAnsi="宋体" w:cs="宋体"/>
                <w:sz w:val="22"/>
              </w:rPr>
              <w:t>管理服务人员佩戴标志1分，仪表仪容整洁规范0.5分，发生影响形象的行为扣1.5分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5</w:t>
            </w:r>
          </w:p>
        </w:tc>
        <w:tc>
          <w:tcPr>
            <w:tcW w:w="3576" w:type="dxa"/>
            <w:noWrap w:val="0"/>
            <w:vAlign w:val="center"/>
          </w:tcPr>
          <w:p>
            <w:pPr>
              <w:jc w:val="center"/>
              <w:rPr>
                <w:rFonts w:hint="eastAsia" w:ascii="宋体" w:hAnsi="宋体" w:cs="宋体"/>
                <w:sz w:val="22"/>
              </w:rPr>
            </w:pPr>
            <w:r>
              <w:rPr>
                <w:rFonts w:hint="eastAsia" w:ascii="宋体" w:hAnsi="宋体" w:cs="宋体"/>
                <w:sz w:val="22"/>
              </w:rPr>
              <w:t>公示24小时服务电话，急10分钟内到场做应急处理，其他报修按双方约定时间到达现场，有报修维修和重点维修项目的回访记录</w:t>
            </w:r>
          </w:p>
        </w:tc>
        <w:tc>
          <w:tcPr>
            <w:tcW w:w="660" w:type="dxa"/>
            <w:noWrap w:val="0"/>
            <w:vAlign w:val="center"/>
          </w:tcPr>
          <w:p>
            <w:pPr>
              <w:jc w:val="center"/>
              <w:rPr>
                <w:rFonts w:hint="eastAsia" w:ascii="宋体" w:hAnsi="宋体" w:cs="宋体"/>
                <w:sz w:val="22"/>
              </w:rPr>
            </w:pPr>
            <w:r>
              <w:rPr>
                <w:rFonts w:hint="eastAsia" w:ascii="宋体" w:hAnsi="宋体" w:cs="宋体"/>
                <w:sz w:val="22"/>
              </w:rPr>
              <w:t>2</w:t>
            </w:r>
          </w:p>
        </w:tc>
        <w:tc>
          <w:tcPr>
            <w:tcW w:w="3197" w:type="dxa"/>
            <w:noWrap w:val="0"/>
            <w:vAlign w:val="center"/>
          </w:tcPr>
          <w:p>
            <w:pPr>
              <w:jc w:val="center"/>
              <w:rPr>
                <w:rFonts w:hint="eastAsia" w:ascii="宋体" w:hAnsi="宋体" w:cs="宋体"/>
                <w:sz w:val="22"/>
              </w:rPr>
            </w:pPr>
            <w:r>
              <w:rPr>
                <w:rFonts w:hint="eastAsia" w:ascii="宋体" w:hAnsi="宋体" w:cs="宋体"/>
                <w:sz w:val="22"/>
              </w:rPr>
              <w:t>公示24小时服务电话1分，按时到场做应急处理0.5分，有报修维修和重点维修项目的回访记录0.5分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6</w:t>
            </w:r>
          </w:p>
        </w:tc>
        <w:tc>
          <w:tcPr>
            <w:tcW w:w="3576" w:type="dxa"/>
            <w:noWrap w:val="0"/>
            <w:vAlign w:val="center"/>
          </w:tcPr>
          <w:p>
            <w:pPr>
              <w:jc w:val="center"/>
              <w:rPr>
                <w:rFonts w:hint="eastAsia" w:ascii="宋体" w:hAnsi="宋体" w:cs="宋体"/>
                <w:sz w:val="22"/>
              </w:rPr>
            </w:pPr>
            <w:r>
              <w:rPr>
                <w:rFonts w:hint="eastAsia" w:ascii="宋体" w:hAnsi="宋体" w:cs="宋体"/>
                <w:sz w:val="22"/>
              </w:rPr>
              <w:t>提供物业服务合同之外的特约服务和便民服务，包括业主交办的各类临时任务</w:t>
            </w:r>
          </w:p>
        </w:tc>
        <w:tc>
          <w:tcPr>
            <w:tcW w:w="660" w:type="dxa"/>
            <w:noWrap w:val="0"/>
            <w:vAlign w:val="center"/>
          </w:tcPr>
          <w:p>
            <w:pPr>
              <w:jc w:val="center"/>
              <w:rPr>
                <w:rFonts w:hint="eastAsia" w:ascii="宋体" w:hAnsi="宋体" w:cs="宋体"/>
                <w:sz w:val="22"/>
              </w:rPr>
            </w:pPr>
            <w:r>
              <w:rPr>
                <w:rFonts w:hint="eastAsia" w:ascii="宋体" w:hAnsi="宋体" w:cs="宋体"/>
                <w:sz w:val="22"/>
              </w:rPr>
              <w:t>2</w:t>
            </w:r>
          </w:p>
        </w:tc>
        <w:tc>
          <w:tcPr>
            <w:tcW w:w="3197" w:type="dxa"/>
            <w:noWrap w:val="0"/>
            <w:vAlign w:val="center"/>
          </w:tcPr>
          <w:p>
            <w:pPr>
              <w:jc w:val="center"/>
              <w:rPr>
                <w:rFonts w:hint="eastAsia" w:ascii="宋体" w:hAnsi="宋体" w:cs="宋体"/>
                <w:sz w:val="22"/>
              </w:rPr>
            </w:pPr>
            <w:r>
              <w:rPr>
                <w:rFonts w:hint="eastAsia" w:ascii="宋体" w:hAnsi="宋体" w:cs="宋体"/>
                <w:sz w:val="22"/>
              </w:rPr>
              <w:t>提供物业服务服务和便民服务1分，无故推拖业主交办的各类临时任务扣1分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7</w:t>
            </w:r>
          </w:p>
          <w:p>
            <w:pPr>
              <w:jc w:val="center"/>
              <w:rPr>
                <w:rFonts w:hint="eastAsia" w:ascii="宋体" w:hAnsi="宋体" w:cs="宋体"/>
                <w:sz w:val="22"/>
              </w:rPr>
            </w:pPr>
          </w:p>
          <w:p>
            <w:pPr>
              <w:jc w:val="center"/>
              <w:rPr>
                <w:rFonts w:hint="eastAsia" w:ascii="宋体" w:hAnsi="宋体" w:cs="宋体"/>
                <w:sz w:val="22"/>
              </w:rPr>
            </w:pPr>
          </w:p>
        </w:tc>
        <w:tc>
          <w:tcPr>
            <w:tcW w:w="3576" w:type="dxa"/>
            <w:noWrap w:val="0"/>
            <w:vAlign w:val="center"/>
          </w:tcPr>
          <w:p>
            <w:pPr>
              <w:jc w:val="center"/>
              <w:rPr>
                <w:rFonts w:hint="eastAsia" w:ascii="宋体" w:hAnsi="宋体" w:cs="宋体"/>
                <w:sz w:val="22"/>
              </w:rPr>
            </w:pPr>
            <w:r>
              <w:rPr>
                <w:rFonts w:hint="eastAsia" w:ascii="宋体" w:hAnsi="宋体" w:cs="宋体"/>
                <w:sz w:val="22"/>
              </w:rPr>
              <w:t>采取多种形式如电话、作坊、工作函等，每周至少与业主沟通一次，每月征询一次业主对物业服务的意见，对业主反映问题的处理率达95%以上</w:t>
            </w:r>
          </w:p>
        </w:tc>
        <w:tc>
          <w:tcPr>
            <w:tcW w:w="660" w:type="dxa"/>
            <w:noWrap w:val="0"/>
            <w:vAlign w:val="center"/>
          </w:tcPr>
          <w:p>
            <w:pPr>
              <w:jc w:val="center"/>
              <w:rPr>
                <w:rFonts w:hint="eastAsia" w:ascii="宋体" w:hAnsi="宋体" w:cs="宋体"/>
                <w:sz w:val="22"/>
              </w:rPr>
            </w:pPr>
            <w:r>
              <w:rPr>
                <w:rFonts w:hint="eastAsia" w:ascii="宋体" w:hAnsi="宋体" w:cs="宋体"/>
                <w:sz w:val="22"/>
              </w:rPr>
              <w:t>1.5</w:t>
            </w:r>
          </w:p>
        </w:tc>
        <w:tc>
          <w:tcPr>
            <w:tcW w:w="3197" w:type="dxa"/>
            <w:noWrap w:val="0"/>
            <w:vAlign w:val="center"/>
          </w:tcPr>
          <w:p>
            <w:pPr>
              <w:jc w:val="center"/>
              <w:rPr>
                <w:rFonts w:hint="eastAsia" w:ascii="宋体" w:hAnsi="宋体" w:cs="宋体"/>
                <w:sz w:val="22"/>
              </w:rPr>
            </w:pPr>
            <w:r>
              <w:rPr>
                <w:rFonts w:hint="eastAsia" w:ascii="宋体" w:hAnsi="宋体" w:cs="宋体"/>
                <w:sz w:val="22"/>
              </w:rPr>
              <w:t>有与业主沟通、征询业主意见的记录0.5分，对业主反映问题的处理率达95%以上1分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8</w:t>
            </w:r>
          </w:p>
        </w:tc>
        <w:tc>
          <w:tcPr>
            <w:tcW w:w="3576" w:type="dxa"/>
            <w:noWrap w:val="0"/>
            <w:vAlign w:val="center"/>
          </w:tcPr>
          <w:p>
            <w:pPr>
              <w:jc w:val="center"/>
              <w:rPr>
                <w:rFonts w:hint="eastAsia" w:ascii="宋体" w:hAnsi="宋体" w:cs="宋体"/>
                <w:sz w:val="22"/>
              </w:rPr>
            </w:pPr>
            <w:r>
              <w:rPr>
                <w:rFonts w:hint="eastAsia" w:ascii="宋体" w:hAnsi="宋体" w:cs="宋体"/>
                <w:sz w:val="22"/>
              </w:rPr>
              <w:t>项目经理每天早中晚全面巡查，保洁时段不定时巡查，根据现场情况督促、指导、培训、调度、工作积极主动</w:t>
            </w:r>
          </w:p>
        </w:tc>
        <w:tc>
          <w:tcPr>
            <w:tcW w:w="660" w:type="dxa"/>
            <w:noWrap w:val="0"/>
            <w:vAlign w:val="center"/>
          </w:tcPr>
          <w:p>
            <w:pPr>
              <w:jc w:val="center"/>
              <w:rPr>
                <w:rFonts w:hint="eastAsia" w:ascii="宋体" w:hAnsi="宋体" w:cs="宋体"/>
                <w:sz w:val="22"/>
              </w:rPr>
            </w:pPr>
            <w:r>
              <w:rPr>
                <w:rFonts w:hint="eastAsia" w:ascii="宋体" w:hAnsi="宋体" w:cs="宋体"/>
                <w:sz w:val="22"/>
              </w:rPr>
              <w:t>2</w:t>
            </w:r>
          </w:p>
        </w:tc>
        <w:tc>
          <w:tcPr>
            <w:tcW w:w="3197" w:type="dxa"/>
            <w:noWrap w:val="0"/>
            <w:vAlign w:val="center"/>
          </w:tcPr>
          <w:p>
            <w:pPr>
              <w:jc w:val="center"/>
              <w:rPr>
                <w:rFonts w:hint="eastAsia" w:ascii="宋体" w:hAnsi="宋体" w:cs="宋体"/>
                <w:sz w:val="22"/>
              </w:rPr>
            </w:pPr>
            <w:r>
              <w:rPr>
                <w:rFonts w:hint="eastAsia" w:ascii="宋体" w:hAnsi="宋体" w:cs="宋体"/>
                <w:sz w:val="22"/>
              </w:rPr>
              <w:t>项目经理按时巡查到位，工作积极主动2分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9</w:t>
            </w:r>
          </w:p>
        </w:tc>
        <w:tc>
          <w:tcPr>
            <w:tcW w:w="3576" w:type="dxa"/>
            <w:noWrap w:val="0"/>
            <w:vAlign w:val="center"/>
          </w:tcPr>
          <w:p>
            <w:pPr>
              <w:jc w:val="center"/>
              <w:rPr>
                <w:rFonts w:hint="eastAsia" w:ascii="宋体" w:hAnsi="宋体" w:cs="宋体"/>
                <w:sz w:val="22"/>
              </w:rPr>
            </w:pPr>
            <w:r>
              <w:rPr>
                <w:rFonts w:hint="eastAsia" w:ascii="宋体" w:hAnsi="宋体" w:cs="宋体"/>
                <w:sz w:val="22"/>
              </w:rPr>
              <w:t>个岗位人员履职到位，无给检察院造成不良影响的事件发生</w:t>
            </w:r>
          </w:p>
        </w:tc>
        <w:tc>
          <w:tcPr>
            <w:tcW w:w="660" w:type="dxa"/>
            <w:noWrap w:val="0"/>
            <w:vAlign w:val="center"/>
          </w:tcPr>
          <w:p>
            <w:pPr>
              <w:jc w:val="center"/>
              <w:rPr>
                <w:rFonts w:hint="eastAsia" w:ascii="宋体" w:hAnsi="宋体" w:cs="宋体"/>
                <w:sz w:val="22"/>
              </w:rPr>
            </w:pPr>
            <w:r>
              <w:rPr>
                <w:rFonts w:hint="eastAsia" w:ascii="宋体" w:hAnsi="宋体" w:cs="宋体"/>
                <w:sz w:val="22"/>
              </w:rPr>
              <w:t>1</w:t>
            </w:r>
          </w:p>
        </w:tc>
        <w:tc>
          <w:tcPr>
            <w:tcW w:w="3197" w:type="dxa"/>
            <w:noWrap w:val="0"/>
            <w:vAlign w:val="center"/>
          </w:tcPr>
          <w:p>
            <w:pPr>
              <w:jc w:val="center"/>
              <w:rPr>
                <w:rFonts w:hint="eastAsia" w:ascii="宋体" w:hAnsi="宋体" w:cs="宋体"/>
                <w:sz w:val="22"/>
              </w:rPr>
            </w:pPr>
            <w:r>
              <w:rPr>
                <w:rFonts w:hint="eastAsia" w:ascii="宋体" w:hAnsi="宋体" w:cs="宋体"/>
                <w:sz w:val="22"/>
              </w:rPr>
              <w:t>因物业服务人员履职不到位，发生检察院造成不良影响的事件发生扣1分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二</w:t>
            </w:r>
          </w:p>
        </w:tc>
        <w:tc>
          <w:tcPr>
            <w:tcW w:w="3576" w:type="dxa"/>
            <w:noWrap w:val="0"/>
            <w:vAlign w:val="center"/>
          </w:tcPr>
          <w:p>
            <w:pPr>
              <w:jc w:val="center"/>
              <w:rPr>
                <w:rFonts w:hint="eastAsia" w:ascii="宋体" w:hAnsi="宋体" w:cs="宋体"/>
                <w:sz w:val="22"/>
              </w:rPr>
            </w:pPr>
            <w:r>
              <w:rPr>
                <w:rFonts w:hint="eastAsia" w:ascii="宋体" w:hAnsi="宋体" w:cs="宋体"/>
                <w:sz w:val="22"/>
              </w:rPr>
              <w:t>会议服务</w:t>
            </w:r>
          </w:p>
        </w:tc>
        <w:tc>
          <w:tcPr>
            <w:tcW w:w="660" w:type="dxa"/>
            <w:noWrap w:val="0"/>
            <w:vAlign w:val="center"/>
          </w:tcPr>
          <w:p>
            <w:pPr>
              <w:jc w:val="center"/>
              <w:rPr>
                <w:rFonts w:hint="eastAsia" w:ascii="宋体" w:hAnsi="宋体" w:cs="宋体"/>
                <w:sz w:val="22"/>
              </w:rPr>
            </w:pPr>
            <w:r>
              <w:rPr>
                <w:rFonts w:hint="eastAsia" w:ascii="宋体" w:hAnsi="宋体" w:cs="宋体"/>
                <w:sz w:val="22"/>
              </w:rPr>
              <w:t>5</w:t>
            </w:r>
          </w:p>
        </w:tc>
        <w:tc>
          <w:tcPr>
            <w:tcW w:w="3197" w:type="dxa"/>
            <w:noWrap w:val="0"/>
            <w:vAlign w:val="center"/>
          </w:tcPr>
          <w:p>
            <w:pPr>
              <w:tabs>
                <w:tab w:val="center" w:pos="1398"/>
              </w:tabs>
              <w:jc w:val="center"/>
              <w:rPr>
                <w:rFonts w:hint="eastAsia" w:ascii="宋体" w:hAnsi="宋体" w:cs="宋体"/>
                <w:sz w:val="22"/>
              </w:rPr>
            </w:pP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1</w:t>
            </w:r>
          </w:p>
        </w:tc>
        <w:tc>
          <w:tcPr>
            <w:tcW w:w="3576" w:type="dxa"/>
            <w:noWrap w:val="0"/>
            <w:vAlign w:val="center"/>
          </w:tcPr>
          <w:p>
            <w:pPr>
              <w:jc w:val="center"/>
              <w:rPr>
                <w:rFonts w:hint="eastAsia" w:ascii="宋体" w:hAnsi="宋体" w:cs="宋体"/>
                <w:sz w:val="22"/>
              </w:rPr>
            </w:pPr>
            <w:r>
              <w:rPr>
                <w:rFonts w:hint="eastAsia" w:ascii="宋体" w:hAnsi="宋体" w:cs="宋体"/>
                <w:sz w:val="22"/>
              </w:rPr>
              <w:t>提供会议服务、服务热情、周到细致、根据会议要求进行会场布置，按照会议规格配置相应物品</w:t>
            </w:r>
          </w:p>
        </w:tc>
        <w:tc>
          <w:tcPr>
            <w:tcW w:w="660" w:type="dxa"/>
            <w:noWrap w:val="0"/>
            <w:vAlign w:val="center"/>
          </w:tcPr>
          <w:p>
            <w:pPr>
              <w:jc w:val="center"/>
              <w:rPr>
                <w:rFonts w:hint="eastAsia" w:ascii="宋体" w:hAnsi="宋体" w:cs="宋体"/>
                <w:sz w:val="22"/>
              </w:rPr>
            </w:pPr>
            <w:r>
              <w:rPr>
                <w:rFonts w:hint="eastAsia" w:ascii="宋体" w:hAnsi="宋体" w:cs="宋体"/>
                <w:sz w:val="22"/>
              </w:rPr>
              <w:t>2</w:t>
            </w:r>
          </w:p>
        </w:tc>
        <w:tc>
          <w:tcPr>
            <w:tcW w:w="3197" w:type="dxa"/>
            <w:noWrap w:val="0"/>
            <w:vAlign w:val="center"/>
          </w:tcPr>
          <w:p>
            <w:pPr>
              <w:jc w:val="center"/>
              <w:rPr>
                <w:rFonts w:hint="eastAsia" w:ascii="宋体" w:hAnsi="宋体" w:cs="宋体"/>
                <w:sz w:val="22"/>
              </w:rPr>
            </w:pPr>
            <w:r>
              <w:rPr>
                <w:rFonts w:hint="eastAsia" w:ascii="宋体" w:hAnsi="宋体" w:cs="宋体"/>
                <w:sz w:val="22"/>
              </w:rPr>
              <w:t>根据会议要求进行会场布置1分，会议服务热情、周到、细致1分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2</w:t>
            </w:r>
          </w:p>
        </w:tc>
        <w:tc>
          <w:tcPr>
            <w:tcW w:w="3576" w:type="dxa"/>
            <w:noWrap w:val="0"/>
            <w:vAlign w:val="center"/>
          </w:tcPr>
          <w:p>
            <w:pPr>
              <w:jc w:val="center"/>
              <w:rPr>
                <w:rFonts w:hint="eastAsia" w:ascii="宋体" w:hAnsi="宋体" w:cs="宋体"/>
                <w:sz w:val="22"/>
              </w:rPr>
            </w:pPr>
            <w:r>
              <w:rPr>
                <w:rFonts w:hint="eastAsia" w:ascii="宋体" w:hAnsi="宋体" w:cs="宋体"/>
                <w:sz w:val="22"/>
              </w:rPr>
              <w:t>负责贵宾、来访人员及办事人员的接待和服务工作；提供接待餐席桌服务</w:t>
            </w:r>
          </w:p>
        </w:tc>
        <w:tc>
          <w:tcPr>
            <w:tcW w:w="660" w:type="dxa"/>
            <w:noWrap w:val="0"/>
            <w:vAlign w:val="center"/>
          </w:tcPr>
          <w:p>
            <w:pPr>
              <w:jc w:val="center"/>
              <w:rPr>
                <w:rFonts w:hint="eastAsia" w:ascii="宋体" w:hAnsi="宋体" w:cs="宋体"/>
                <w:sz w:val="22"/>
              </w:rPr>
            </w:pPr>
            <w:r>
              <w:rPr>
                <w:rFonts w:hint="eastAsia" w:ascii="宋体" w:hAnsi="宋体" w:cs="宋体"/>
                <w:sz w:val="22"/>
              </w:rPr>
              <w:t>2</w:t>
            </w:r>
          </w:p>
        </w:tc>
        <w:tc>
          <w:tcPr>
            <w:tcW w:w="3197" w:type="dxa"/>
            <w:noWrap w:val="0"/>
            <w:vAlign w:val="center"/>
          </w:tcPr>
          <w:p>
            <w:pPr>
              <w:jc w:val="center"/>
              <w:rPr>
                <w:rFonts w:hint="eastAsia" w:ascii="宋体" w:hAnsi="宋体" w:cs="宋体"/>
                <w:sz w:val="22"/>
              </w:rPr>
            </w:pPr>
            <w:r>
              <w:rPr>
                <w:rFonts w:hint="eastAsia" w:ascii="宋体" w:hAnsi="宋体" w:cs="宋体"/>
                <w:sz w:val="22"/>
              </w:rPr>
              <w:t>负责贵宾、来访人员及办事人员的接待和服务工作1分；提供接待餐席桌服务1分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3</w:t>
            </w:r>
          </w:p>
        </w:tc>
        <w:tc>
          <w:tcPr>
            <w:tcW w:w="3576" w:type="dxa"/>
            <w:noWrap w:val="0"/>
            <w:vAlign w:val="center"/>
          </w:tcPr>
          <w:p>
            <w:pPr>
              <w:jc w:val="center"/>
              <w:rPr>
                <w:rFonts w:hint="eastAsia" w:ascii="宋体" w:hAnsi="宋体" w:cs="宋体"/>
                <w:sz w:val="22"/>
              </w:rPr>
            </w:pPr>
            <w:r>
              <w:rPr>
                <w:rFonts w:hint="eastAsia" w:ascii="宋体" w:hAnsi="宋体" w:cs="宋体"/>
                <w:sz w:val="22"/>
              </w:rPr>
              <w:t>负责按时分发报纸、信件、对挂号信、快递、包裹单要逐件登记并交收件人签收</w:t>
            </w:r>
          </w:p>
        </w:tc>
        <w:tc>
          <w:tcPr>
            <w:tcW w:w="660" w:type="dxa"/>
            <w:noWrap w:val="0"/>
            <w:vAlign w:val="center"/>
          </w:tcPr>
          <w:p>
            <w:pPr>
              <w:jc w:val="center"/>
              <w:rPr>
                <w:rFonts w:hint="eastAsia" w:ascii="宋体" w:hAnsi="宋体" w:cs="宋体"/>
                <w:sz w:val="22"/>
              </w:rPr>
            </w:pPr>
            <w:r>
              <w:rPr>
                <w:rFonts w:hint="eastAsia" w:ascii="宋体" w:hAnsi="宋体" w:cs="宋体"/>
                <w:sz w:val="22"/>
              </w:rPr>
              <w:t>1</w:t>
            </w:r>
          </w:p>
        </w:tc>
        <w:tc>
          <w:tcPr>
            <w:tcW w:w="3197" w:type="dxa"/>
            <w:noWrap w:val="0"/>
            <w:vAlign w:val="center"/>
          </w:tcPr>
          <w:p>
            <w:pPr>
              <w:jc w:val="center"/>
              <w:rPr>
                <w:rFonts w:hint="eastAsia" w:ascii="宋体" w:hAnsi="宋体" w:cs="宋体"/>
                <w:sz w:val="22"/>
              </w:rPr>
            </w:pPr>
            <w:r>
              <w:rPr>
                <w:rFonts w:hint="eastAsia" w:ascii="宋体" w:hAnsi="宋体" w:cs="宋体"/>
                <w:sz w:val="22"/>
              </w:rPr>
              <w:t>未按时分发报纸、信件扣0.5分，对挂号信、快递、包裹单未登记扣扣0.5分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三</w:t>
            </w:r>
          </w:p>
        </w:tc>
        <w:tc>
          <w:tcPr>
            <w:tcW w:w="3576" w:type="dxa"/>
            <w:noWrap w:val="0"/>
            <w:vAlign w:val="center"/>
          </w:tcPr>
          <w:p>
            <w:pPr>
              <w:jc w:val="center"/>
              <w:rPr>
                <w:rFonts w:hint="eastAsia" w:ascii="宋体" w:hAnsi="宋体" w:cs="宋体"/>
                <w:sz w:val="22"/>
              </w:rPr>
            </w:pPr>
            <w:r>
              <w:rPr>
                <w:rFonts w:hint="eastAsia" w:ascii="宋体" w:hAnsi="宋体" w:cs="宋体"/>
                <w:sz w:val="22"/>
              </w:rPr>
              <w:t>房屋管理</w:t>
            </w:r>
          </w:p>
        </w:tc>
        <w:tc>
          <w:tcPr>
            <w:tcW w:w="660" w:type="dxa"/>
            <w:noWrap w:val="0"/>
            <w:vAlign w:val="center"/>
          </w:tcPr>
          <w:p>
            <w:pPr>
              <w:jc w:val="center"/>
              <w:rPr>
                <w:rFonts w:hint="eastAsia" w:ascii="宋体" w:hAnsi="宋体" w:cs="宋体"/>
                <w:sz w:val="22"/>
              </w:rPr>
            </w:pPr>
            <w:r>
              <w:rPr>
                <w:rFonts w:hint="eastAsia" w:ascii="宋体" w:hAnsi="宋体" w:cs="宋体"/>
                <w:sz w:val="22"/>
              </w:rPr>
              <w:t>19</w:t>
            </w:r>
          </w:p>
        </w:tc>
        <w:tc>
          <w:tcPr>
            <w:tcW w:w="3197" w:type="dxa"/>
            <w:noWrap w:val="0"/>
            <w:vAlign w:val="center"/>
          </w:tcPr>
          <w:p>
            <w:pPr>
              <w:jc w:val="center"/>
              <w:rPr>
                <w:rFonts w:hint="eastAsia" w:ascii="宋体" w:hAnsi="宋体" w:cs="宋体"/>
                <w:sz w:val="22"/>
              </w:rPr>
            </w:pP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1</w:t>
            </w:r>
          </w:p>
        </w:tc>
        <w:tc>
          <w:tcPr>
            <w:tcW w:w="3576" w:type="dxa"/>
            <w:noWrap w:val="0"/>
            <w:vAlign w:val="center"/>
          </w:tcPr>
          <w:p>
            <w:pPr>
              <w:jc w:val="center"/>
              <w:rPr>
                <w:rFonts w:hint="eastAsia" w:ascii="宋体" w:hAnsi="宋体" w:cs="宋体"/>
                <w:sz w:val="22"/>
              </w:rPr>
            </w:pPr>
            <w:r>
              <w:rPr>
                <w:rFonts w:hint="eastAsia" w:ascii="宋体" w:hAnsi="宋体" w:cs="宋体"/>
                <w:sz w:val="22"/>
              </w:rPr>
              <w:t>对房屋进行日常管理和维修养护，有较完善的巡查、维修、保养记录</w:t>
            </w:r>
          </w:p>
        </w:tc>
        <w:tc>
          <w:tcPr>
            <w:tcW w:w="660" w:type="dxa"/>
            <w:noWrap w:val="0"/>
            <w:vAlign w:val="center"/>
          </w:tcPr>
          <w:p>
            <w:pPr>
              <w:jc w:val="center"/>
              <w:rPr>
                <w:rFonts w:hint="eastAsia" w:ascii="宋体" w:hAnsi="宋体" w:cs="宋体"/>
                <w:sz w:val="22"/>
              </w:rPr>
            </w:pPr>
            <w:r>
              <w:rPr>
                <w:rFonts w:hint="eastAsia" w:ascii="宋体" w:hAnsi="宋体" w:cs="宋体"/>
                <w:sz w:val="22"/>
              </w:rPr>
              <w:t>3</w:t>
            </w:r>
          </w:p>
        </w:tc>
        <w:tc>
          <w:tcPr>
            <w:tcW w:w="3197" w:type="dxa"/>
            <w:noWrap w:val="0"/>
            <w:vAlign w:val="center"/>
          </w:tcPr>
          <w:p>
            <w:pPr>
              <w:jc w:val="center"/>
              <w:rPr>
                <w:rFonts w:hint="eastAsia" w:ascii="宋体" w:hAnsi="宋体" w:cs="宋体"/>
                <w:sz w:val="22"/>
              </w:rPr>
            </w:pPr>
            <w:r>
              <w:rPr>
                <w:rFonts w:hint="eastAsia" w:ascii="宋体" w:hAnsi="宋体" w:cs="宋体"/>
                <w:sz w:val="22"/>
              </w:rPr>
              <w:t>巡查记录1分、维修记录1分、保养记录1分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2</w:t>
            </w:r>
          </w:p>
        </w:tc>
        <w:tc>
          <w:tcPr>
            <w:tcW w:w="3576" w:type="dxa"/>
            <w:noWrap w:val="0"/>
            <w:vAlign w:val="center"/>
          </w:tcPr>
          <w:p>
            <w:pPr>
              <w:jc w:val="center"/>
              <w:rPr>
                <w:rFonts w:hint="eastAsia" w:ascii="宋体" w:hAnsi="宋体" w:cs="宋体"/>
                <w:sz w:val="22"/>
              </w:rPr>
            </w:pPr>
            <w:r>
              <w:rPr>
                <w:rFonts w:hint="eastAsia" w:ascii="宋体" w:hAnsi="宋体" w:cs="宋体"/>
                <w:sz w:val="22"/>
              </w:rPr>
              <w:t>负责院内设计水电和房屋的各类维修（门、窗、办公桌椅、洗手间、供水终端设施、楼梯、房屋地面、墙壁、吊顶、漏水等零星维修，除特殊材料外）；每年一次以上对房屋结构及设计使用安全的部位进行检查并有记录，发现损坏及时安排专项维修。属于小修范围的，及时组织修复；属于大中修范围的，及时编制维修计划报业主单位决定组织维修</w:t>
            </w:r>
          </w:p>
        </w:tc>
        <w:tc>
          <w:tcPr>
            <w:tcW w:w="660" w:type="dxa"/>
            <w:noWrap w:val="0"/>
            <w:vAlign w:val="center"/>
          </w:tcPr>
          <w:p>
            <w:pPr>
              <w:jc w:val="center"/>
              <w:rPr>
                <w:rFonts w:hint="eastAsia" w:ascii="宋体" w:hAnsi="宋体" w:cs="宋体"/>
                <w:sz w:val="22"/>
              </w:rPr>
            </w:pPr>
            <w:r>
              <w:rPr>
                <w:rFonts w:hint="eastAsia" w:ascii="宋体" w:hAnsi="宋体" w:cs="宋体"/>
                <w:sz w:val="22"/>
              </w:rPr>
              <w:t>4</w:t>
            </w:r>
          </w:p>
        </w:tc>
        <w:tc>
          <w:tcPr>
            <w:tcW w:w="3197" w:type="dxa"/>
            <w:noWrap w:val="0"/>
            <w:vAlign w:val="center"/>
          </w:tcPr>
          <w:p>
            <w:pPr>
              <w:jc w:val="center"/>
              <w:rPr>
                <w:rFonts w:hint="eastAsia" w:ascii="宋体" w:hAnsi="宋体" w:cs="宋体"/>
                <w:sz w:val="22"/>
              </w:rPr>
            </w:pPr>
            <w:r>
              <w:rPr>
                <w:rFonts w:hint="eastAsia" w:ascii="宋体" w:hAnsi="宋体" w:cs="宋体"/>
                <w:sz w:val="22"/>
              </w:rPr>
              <w:t>房屋检查记录2分，及时组织小修1分，及时编制大中修计划或报修1分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3</w:t>
            </w:r>
          </w:p>
        </w:tc>
        <w:tc>
          <w:tcPr>
            <w:tcW w:w="3576" w:type="dxa"/>
            <w:noWrap w:val="0"/>
            <w:vAlign w:val="center"/>
          </w:tcPr>
          <w:p>
            <w:pPr>
              <w:jc w:val="center"/>
              <w:rPr>
                <w:rFonts w:hint="eastAsia" w:ascii="宋体" w:hAnsi="宋体" w:cs="宋体"/>
                <w:sz w:val="22"/>
              </w:rPr>
            </w:pPr>
            <w:r>
              <w:rPr>
                <w:rFonts w:hint="eastAsia" w:ascii="宋体" w:hAnsi="宋体" w:cs="宋体"/>
                <w:sz w:val="22"/>
              </w:rPr>
              <w:t>发现室内会议设施损坏立即修复，保证工作正常开展，必要时联系专业厂家进行维修</w:t>
            </w:r>
          </w:p>
        </w:tc>
        <w:tc>
          <w:tcPr>
            <w:tcW w:w="660" w:type="dxa"/>
            <w:noWrap w:val="0"/>
            <w:vAlign w:val="center"/>
          </w:tcPr>
          <w:p>
            <w:pPr>
              <w:jc w:val="center"/>
              <w:rPr>
                <w:rFonts w:hint="eastAsia" w:ascii="宋体" w:hAnsi="宋体" w:cs="宋体"/>
                <w:sz w:val="22"/>
              </w:rPr>
            </w:pPr>
            <w:r>
              <w:rPr>
                <w:rFonts w:hint="eastAsia" w:ascii="宋体" w:hAnsi="宋体" w:cs="宋体"/>
                <w:sz w:val="22"/>
              </w:rPr>
              <w:t>1</w:t>
            </w:r>
          </w:p>
        </w:tc>
        <w:tc>
          <w:tcPr>
            <w:tcW w:w="3197" w:type="dxa"/>
            <w:noWrap w:val="0"/>
            <w:vAlign w:val="center"/>
          </w:tcPr>
          <w:p>
            <w:pPr>
              <w:jc w:val="center"/>
              <w:rPr>
                <w:rFonts w:hint="eastAsia" w:ascii="宋体" w:hAnsi="宋体" w:cs="宋体"/>
                <w:sz w:val="22"/>
              </w:rPr>
            </w:pPr>
            <w:r>
              <w:rPr>
                <w:rFonts w:hint="eastAsia" w:ascii="宋体" w:hAnsi="宋体" w:cs="宋体"/>
                <w:sz w:val="22"/>
              </w:rPr>
              <w:t>及时对设施设备进行修复1分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4</w:t>
            </w:r>
          </w:p>
        </w:tc>
        <w:tc>
          <w:tcPr>
            <w:tcW w:w="3576" w:type="dxa"/>
            <w:noWrap w:val="0"/>
            <w:vAlign w:val="center"/>
          </w:tcPr>
          <w:p>
            <w:pPr>
              <w:jc w:val="center"/>
              <w:rPr>
                <w:rFonts w:hint="eastAsia" w:ascii="宋体" w:hAnsi="宋体" w:cs="宋体"/>
                <w:sz w:val="22"/>
              </w:rPr>
            </w:pPr>
            <w:r>
              <w:rPr>
                <w:rFonts w:hint="eastAsia" w:ascii="宋体" w:hAnsi="宋体" w:cs="宋体"/>
                <w:sz w:val="22"/>
              </w:rPr>
              <w:t>每周一次对单位门体、楼道内防火、窗户进行安全检查，每日对玻璃门窗配件检查，门窗完好，开闭灵活并无异常声响。每年两次以上（雨季前需安排一次）对屋面排水沟、室内、室外排水管道进行清扫、疏通，保障排水畅通；定期检查屋顶，发现防水层有气臌、碎裂，隔热板有断裂、破损的，应及时与委托方或协商安排专项维修</w:t>
            </w:r>
          </w:p>
        </w:tc>
        <w:tc>
          <w:tcPr>
            <w:tcW w:w="660" w:type="dxa"/>
            <w:noWrap w:val="0"/>
            <w:vAlign w:val="center"/>
          </w:tcPr>
          <w:p>
            <w:pPr>
              <w:jc w:val="center"/>
              <w:rPr>
                <w:rFonts w:hint="eastAsia" w:ascii="宋体" w:hAnsi="宋体" w:cs="宋体"/>
                <w:sz w:val="22"/>
              </w:rPr>
            </w:pPr>
            <w:r>
              <w:rPr>
                <w:rFonts w:hint="eastAsia" w:ascii="宋体" w:hAnsi="宋体" w:cs="宋体"/>
                <w:sz w:val="22"/>
              </w:rPr>
              <w:t>4</w:t>
            </w:r>
          </w:p>
        </w:tc>
        <w:tc>
          <w:tcPr>
            <w:tcW w:w="3197" w:type="dxa"/>
            <w:noWrap w:val="0"/>
            <w:vAlign w:val="center"/>
          </w:tcPr>
          <w:p>
            <w:pPr>
              <w:jc w:val="center"/>
              <w:rPr>
                <w:rFonts w:hint="eastAsia" w:ascii="宋体" w:hAnsi="宋体" w:cs="宋体"/>
                <w:sz w:val="22"/>
              </w:rPr>
            </w:pPr>
            <w:r>
              <w:rPr>
                <w:rFonts w:hint="eastAsia" w:ascii="宋体" w:hAnsi="宋体" w:cs="宋体"/>
                <w:sz w:val="22"/>
              </w:rPr>
              <w:t>门窗安全检查记录，玻璃保持完好1分，每日夜巡单位部门门窗及电气是否关闭，未关闭及时关闭，不能关闭及时报告并记录1分；保持屋面排水沟、室内、室外排水管道排水畅通1分；检查屋顶，及时报告业主1分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5</w:t>
            </w:r>
          </w:p>
        </w:tc>
        <w:tc>
          <w:tcPr>
            <w:tcW w:w="3576" w:type="dxa"/>
            <w:noWrap w:val="0"/>
            <w:vAlign w:val="center"/>
          </w:tcPr>
          <w:p>
            <w:pPr>
              <w:jc w:val="center"/>
              <w:rPr>
                <w:rFonts w:hint="eastAsia" w:ascii="宋体" w:hAnsi="宋体" w:cs="宋体"/>
                <w:sz w:val="22"/>
              </w:rPr>
            </w:pPr>
            <w:r>
              <w:rPr>
                <w:rFonts w:hint="eastAsia" w:ascii="宋体" w:hAnsi="宋体" w:cs="宋体"/>
                <w:sz w:val="22"/>
              </w:rPr>
              <w:t>墙体表面基本完好，地坪、地砖基本平整，如有缺损未及时报告，及时修补</w:t>
            </w:r>
          </w:p>
        </w:tc>
        <w:tc>
          <w:tcPr>
            <w:tcW w:w="660" w:type="dxa"/>
            <w:noWrap w:val="0"/>
            <w:vAlign w:val="center"/>
          </w:tcPr>
          <w:p>
            <w:pPr>
              <w:jc w:val="center"/>
              <w:rPr>
                <w:rFonts w:hint="eastAsia" w:ascii="宋体" w:hAnsi="宋体" w:cs="宋体"/>
                <w:sz w:val="22"/>
              </w:rPr>
            </w:pPr>
            <w:r>
              <w:rPr>
                <w:rFonts w:hint="eastAsia" w:ascii="宋体" w:hAnsi="宋体" w:cs="宋体"/>
                <w:sz w:val="22"/>
              </w:rPr>
              <w:t>2</w:t>
            </w:r>
          </w:p>
        </w:tc>
        <w:tc>
          <w:tcPr>
            <w:tcW w:w="3197" w:type="dxa"/>
            <w:noWrap w:val="0"/>
            <w:vAlign w:val="center"/>
          </w:tcPr>
          <w:p>
            <w:pPr>
              <w:jc w:val="center"/>
              <w:rPr>
                <w:rFonts w:hint="eastAsia" w:ascii="宋体" w:hAnsi="宋体" w:cs="宋体"/>
                <w:sz w:val="22"/>
              </w:rPr>
            </w:pPr>
            <w:r>
              <w:rPr>
                <w:rFonts w:hint="eastAsia" w:ascii="宋体" w:hAnsi="宋体" w:cs="宋体"/>
                <w:sz w:val="22"/>
              </w:rPr>
              <w:t>墙体表面基本完好，地坪、地砖基本平整1.5分，如有缺损未及时报告修补扣0.5分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6</w:t>
            </w:r>
          </w:p>
        </w:tc>
        <w:tc>
          <w:tcPr>
            <w:tcW w:w="3576" w:type="dxa"/>
            <w:noWrap w:val="0"/>
            <w:vAlign w:val="center"/>
          </w:tcPr>
          <w:p>
            <w:pPr>
              <w:jc w:val="center"/>
              <w:rPr>
                <w:rFonts w:hint="eastAsia" w:ascii="宋体" w:hAnsi="宋体" w:cs="宋体"/>
                <w:sz w:val="22"/>
              </w:rPr>
            </w:pPr>
            <w:r>
              <w:rPr>
                <w:rFonts w:hint="eastAsia" w:ascii="宋体" w:hAnsi="宋体" w:cs="宋体"/>
                <w:sz w:val="22"/>
              </w:rPr>
              <w:t>房屋维修、设备出现故障时，维修人员应在接到报修后15分钟内到达现场，不能及时到达的，应向报修人员说明情况；一般性维修不过夜</w:t>
            </w:r>
          </w:p>
        </w:tc>
        <w:tc>
          <w:tcPr>
            <w:tcW w:w="660" w:type="dxa"/>
            <w:noWrap w:val="0"/>
            <w:vAlign w:val="center"/>
          </w:tcPr>
          <w:p>
            <w:pPr>
              <w:jc w:val="center"/>
              <w:rPr>
                <w:rFonts w:hint="eastAsia" w:ascii="宋体" w:hAnsi="宋体" w:cs="宋体"/>
                <w:sz w:val="22"/>
              </w:rPr>
            </w:pPr>
            <w:r>
              <w:rPr>
                <w:rFonts w:hint="eastAsia" w:ascii="宋体" w:hAnsi="宋体" w:cs="宋体"/>
                <w:sz w:val="22"/>
              </w:rPr>
              <w:t>2</w:t>
            </w:r>
          </w:p>
        </w:tc>
        <w:tc>
          <w:tcPr>
            <w:tcW w:w="3197" w:type="dxa"/>
            <w:noWrap w:val="0"/>
            <w:vAlign w:val="center"/>
          </w:tcPr>
          <w:p>
            <w:pPr>
              <w:jc w:val="center"/>
              <w:rPr>
                <w:rFonts w:hint="eastAsia" w:ascii="宋体" w:hAnsi="宋体" w:cs="宋体"/>
                <w:sz w:val="22"/>
              </w:rPr>
            </w:pPr>
            <w:r>
              <w:rPr>
                <w:rFonts w:hint="eastAsia" w:ascii="宋体" w:hAnsi="宋体" w:cs="宋体"/>
                <w:sz w:val="22"/>
              </w:rPr>
              <w:t>无正当理由为在规定时间内到达现场扣1分，维修不及时扣1分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7</w:t>
            </w:r>
          </w:p>
        </w:tc>
        <w:tc>
          <w:tcPr>
            <w:tcW w:w="3576" w:type="dxa"/>
            <w:noWrap w:val="0"/>
            <w:vAlign w:val="center"/>
          </w:tcPr>
          <w:p>
            <w:pPr>
              <w:jc w:val="center"/>
              <w:rPr>
                <w:rFonts w:hint="eastAsia" w:ascii="宋体" w:hAnsi="宋体" w:cs="宋体"/>
                <w:sz w:val="22"/>
              </w:rPr>
            </w:pPr>
            <w:r>
              <w:rPr>
                <w:rFonts w:hint="eastAsia" w:ascii="宋体" w:hAnsi="宋体" w:cs="宋体"/>
                <w:sz w:val="22"/>
              </w:rPr>
              <w:t>物业区域内危险隐患部位设置安全防范警示标识，并在主要通道设置安全疏散指示标识；每月检查一次，保证标识清洗完整</w:t>
            </w:r>
          </w:p>
        </w:tc>
        <w:tc>
          <w:tcPr>
            <w:tcW w:w="660" w:type="dxa"/>
            <w:noWrap w:val="0"/>
            <w:vAlign w:val="center"/>
          </w:tcPr>
          <w:p>
            <w:pPr>
              <w:jc w:val="center"/>
              <w:rPr>
                <w:rFonts w:hint="eastAsia" w:ascii="宋体" w:hAnsi="宋体" w:cs="宋体"/>
                <w:sz w:val="22"/>
              </w:rPr>
            </w:pPr>
            <w:r>
              <w:rPr>
                <w:rFonts w:hint="eastAsia" w:ascii="宋体" w:hAnsi="宋体" w:cs="宋体"/>
                <w:sz w:val="22"/>
              </w:rPr>
              <w:t>2</w:t>
            </w:r>
          </w:p>
        </w:tc>
        <w:tc>
          <w:tcPr>
            <w:tcW w:w="3197" w:type="dxa"/>
            <w:noWrap w:val="0"/>
            <w:vAlign w:val="center"/>
          </w:tcPr>
          <w:p>
            <w:pPr>
              <w:jc w:val="center"/>
              <w:rPr>
                <w:rFonts w:hint="eastAsia" w:ascii="宋体" w:hAnsi="宋体" w:cs="宋体"/>
                <w:sz w:val="22"/>
              </w:rPr>
            </w:pPr>
            <w:r>
              <w:rPr>
                <w:rFonts w:hint="eastAsia" w:ascii="宋体" w:hAnsi="宋体" w:cs="宋体"/>
                <w:sz w:val="22"/>
              </w:rPr>
              <w:t>设置安全防范警示标识1分，设置清晰安全疏散指示标识1分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8</w:t>
            </w:r>
          </w:p>
        </w:tc>
        <w:tc>
          <w:tcPr>
            <w:tcW w:w="3576" w:type="dxa"/>
            <w:noWrap w:val="0"/>
            <w:vAlign w:val="center"/>
          </w:tcPr>
          <w:p>
            <w:pPr>
              <w:jc w:val="center"/>
              <w:rPr>
                <w:rFonts w:hint="eastAsia" w:ascii="宋体" w:hAnsi="宋体" w:cs="宋体"/>
                <w:sz w:val="22"/>
              </w:rPr>
            </w:pPr>
            <w:r>
              <w:rPr>
                <w:rFonts w:hint="eastAsia" w:ascii="宋体" w:hAnsi="宋体" w:cs="宋体"/>
                <w:sz w:val="22"/>
              </w:rPr>
              <w:t>道路畅通，路面平整；井盖无缺损，无丢失，路面井盖不影响测量和行人通行</w:t>
            </w:r>
          </w:p>
        </w:tc>
        <w:tc>
          <w:tcPr>
            <w:tcW w:w="660" w:type="dxa"/>
            <w:noWrap w:val="0"/>
            <w:vAlign w:val="center"/>
          </w:tcPr>
          <w:p>
            <w:pPr>
              <w:jc w:val="center"/>
              <w:rPr>
                <w:rFonts w:hint="eastAsia" w:ascii="宋体" w:hAnsi="宋体" w:cs="宋体"/>
                <w:sz w:val="22"/>
              </w:rPr>
            </w:pPr>
            <w:r>
              <w:rPr>
                <w:rFonts w:hint="eastAsia" w:ascii="宋体" w:hAnsi="宋体" w:cs="宋体"/>
                <w:sz w:val="22"/>
              </w:rPr>
              <w:t>1</w:t>
            </w:r>
          </w:p>
        </w:tc>
        <w:tc>
          <w:tcPr>
            <w:tcW w:w="3197" w:type="dxa"/>
            <w:noWrap w:val="0"/>
            <w:vAlign w:val="center"/>
          </w:tcPr>
          <w:p>
            <w:pPr>
              <w:jc w:val="center"/>
              <w:rPr>
                <w:rFonts w:hint="eastAsia" w:ascii="宋体" w:hAnsi="宋体" w:cs="宋体"/>
                <w:sz w:val="22"/>
              </w:rPr>
            </w:pPr>
            <w:r>
              <w:rPr>
                <w:rFonts w:hint="eastAsia" w:ascii="宋体" w:hAnsi="宋体" w:cs="宋体"/>
                <w:sz w:val="22"/>
              </w:rPr>
              <w:t>道路堵塞，井盖缺损、丢失扣1分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四</w:t>
            </w:r>
          </w:p>
        </w:tc>
        <w:tc>
          <w:tcPr>
            <w:tcW w:w="3576" w:type="dxa"/>
            <w:noWrap w:val="0"/>
            <w:vAlign w:val="center"/>
          </w:tcPr>
          <w:p>
            <w:pPr>
              <w:jc w:val="center"/>
              <w:rPr>
                <w:rFonts w:hint="eastAsia" w:ascii="宋体" w:hAnsi="宋体" w:cs="宋体"/>
                <w:sz w:val="22"/>
              </w:rPr>
            </w:pPr>
            <w:r>
              <w:rPr>
                <w:rFonts w:hint="eastAsia" w:ascii="宋体" w:hAnsi="宋体" w:cs="宋体"/>
                <w:sz w:val="22"/>
              </w:rPr>
              <w:t>公用设施设备维修养护</w:t>
            </w:r>
          </w:p>
        </w:tc>
        <w:tc>
          <w:tcPr>
            <w:tcW w:w="660" w:type="dxa"/>
            <w:noWrap w:val="0"/>
            <w:vAlign w:val="center"/>
          </w:tcPr>
          <w:p>
            <w:pPr>
              <w:jc w:val="center"/>
              <w:rPr>
                <w:rFonts w:hint="eastAsia" w:ascii="宋体" w:hAnsi="宋体" w:cs="宋体"/>
                <w:sz w:val="22"/>
              </w:rPr>
            </w:pPr>
            <w:r>
              <w:rPr>
                <w:rFonts w:hint="eastAsia" w:ascii="宋体" w:hAnsi="宋体" w:cs="宋体"/>
                <w:sz w:val="22"/>
              </w:rPr>
              <w:t>24</w:t>
            </w:r>
          </w:p>
        </w:tc>
        <w:tc>
          <w:tcPr>
            <w:tcW w:w="3197" w:type="dxa"/>
            <w:noWrap w:val="0"/>
            <w:vAlign w:val="center"/>
          </w:tcPr>
          <w:p>
            <w:pPr>
              <w:jc w:val="center"/>
              <w:rPr>
                <w:rFonts w:hint="eastAsia" w:ascii="宋体" w:hAnsi="宋体" w:cs="宋体"/>
                <w:sz w:val="22"/>
              </w:rPr>
            </w:pPr>
            <w:r>
              <w:rPr>
                <w:rFonts w:hint="eastAsia" w:ascii="宋体" w:hAnsi="宋体" w:cs="宋体"/>
                <w:sz w:val="22"/>
              </w:rPr>
              <w:t>公用设施设备维修养护</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1</w:t>
            </w:r>
          </w:p>
        </w:tc>
        <w:tc>
          <w:tcPr>
            <w:tcW w:w="3576" w:type="dxa"/>
            <w:noWrap w:val="0"/>
            <w:vAlign w:val="center"/>
          </w:tcPr>
          <w:p>
            <w:pPr>
              <w:jc w:val="center"/>
              <w:rPr>
                <w:rFonts w:hint="eastAsia" w:ascii="宋体" w:hAnsi="宋体" w:cs="宋体"/>
                <w:sz w:val="22"/>
              </w:rPr>
            </w:pPr>
            <w:r>
              <w:rPr>
                <w:rFonts w:hint="eastAsia" w:ascii="宋体" w:hAnsi="宋体" w:cs="宋体"/>
                <w:sz w:val="22"/>
              </w:rPr>
              <w:t>对公用设施设备进行日常管理和维修养护，包括中央空调、消防、电梯、高低压配电系统，给排水系统、照明系统运营及日常零修、小修、安全监控系统的运行管理（依法应由专业部门负责的除外）。公用设施设备完好率95%以上，急修及时率达98%</w:t>
            </w:r>
          </w:p>
        </w:tc>
        <w:tc>
          <w:tcPr>
            <w:tcW w:w="660" w:type="dxa"/>
            <w:noWrap w:val="0"/>
            <w:vAlign w:val="center"/>
          </w:tcPr>
          <w:p>
            <w:pPr>
              <w:jc w:val="center"/>
              <w:rPr>
                <w:rFonts w:hint="eastAsia" w:ascii="宋体" w:hAnsi="宋体" w:cs="宋体"/>
                <w:sz w:val="22"/>
              </w:rPr>
            </w:pPr>
            <w:r>
              <w:rPr>
                <w:rFonts w:hint="eastAsia" w:ascii="宋体" w:hAnsi="宋体" w:cs="宋体"/>
                <w:sz w:val="22"/>
              </w:rPr>
              <w:t>3</w:t>
            </w:r>
          </w:p>
        </w:tc>
        <w:tc>
          <w:tcPr>
            <w:tcW w:w="3197" w:type="dxa"/>
            <w:noWrap w:val="0"/>
            <w:vAlign w:val="center"/>
          </w:tcPr>
          <w:p>
            <w:pPr>
              <w:jc w:val="center"/>
              <w:rPr>
                <w:rFonts w:hint="eastAsia" w:ascii="宋体" w:hAnsi="宋体" w:cs="宋体"/>
                <w:sz w:val="22"/>
              </w:rPr>
            </w:pPr>
            <w:r>
              <w:rPr>
                <w:rFonts w:hint="eastAsia" w:ascii="宋体" w:hAnsi="宋体" w:cs="宋体"/>
                <w:sz w:val="22"/>
              </w:rPr>
              <w:t>公用设施设备完好率95%以上2分，急修及时率达98%1分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2</w:t>
            </w:r>
          </w:p>
        </w:tc>
        <w:tc>
          <w:tcPr>
            <w:tcW w:w="3576" w:type="dxa"/>
            <w:noWrap w:val="0"/>
            <w:vAlign w:val="center"/>
          </w:tcPr>
          <w:p>
            <w:pPr>
              <w:jc w:val="center"/>
              <w:rPr>
                <w:rFonts w:hint="eastAsia" w:ascii="宋体" w:hAnsi="宋体" w:cs="宋体"/>
                <w:sz w:val="22"/>
              </w:rPr>
            </w:pPr>
            <w:r>
              <w:rPr>
                <w:rFonts w:hint="eastAsia" w:ascii="宋体" w:hAnsi="宋体" w:cs="宋体"/>
                <w:sz w:val="22"/>
              </w:rPr>
              <w:t>设施设备运行、巡查、维修、保养等记录齐全，并按国家规定办理年检手续，保证其性能符合国家相关标准</w:t>
            </w:r>
          </w:p>
        </w:tc>
        <w:tc>
          <w:tcPr>
            <w:tcW w:w="660" w:type="dxa"/>
            <w:noWrap w:val="0"/>
            <w:vAlign w:val="center"/>
          </w:tcPr>
          <w:p>
            <w:pPr>
              <w:jc w:val="center"/>
              <w:rPr>
                <w:rFonts w:hint="eastAsia" w:ascii="宋体" w:hAnsi="宋体" w:cs="宋体"/>
                <w:sz w:val="22"/>
              </w:rPr>
            </w:pPr>
            <w:r>
              <w:rPr>
                <w:rFonts w:hint="eastAsia" w:ascii="宋体" w:hAnsi="宋体" w:cs="宋体"/>
                <w:sz w:val="22"/>
              </w:rPr>
              <w:t>3</w:t>
            </w:r>
          </w:p>
        </w:tc>
        <w:tc>
          <w:tcPr>
            <w:tcW w:w="3197" w:type="dxa"/>
            <w:noWrap w:val="0"/>
            <w:vAlign w:val="center"/>
          </w:tcPr>
          <w:p>
            <w:pPr>
              <w:jc w:val="center"/>
              <w:rPr>
                <w:rFonts w:hint="eastAsia" w:ascii="宋体" w:hAnsi="宋体" w:cs="宋体"/>
                <w:sz w:val="22"/>
              </w:rPr>
            </w:pPr>
            <w:r>
              <w:rPr>
                <w:rFonts w:hint="eastAsia" w:ascii="宋体" w:hAnsi="宋体" w:cs="宋体"/>
                <w:sz w:val="22"/>
              </w:rPr>
              <w:t>记录齐全1分，办理年检手续1分，设施设备性能符合国家相关标准1分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3</w:t>
            </w:r>
          </w:p>
        </w:tc>
        <w:tc>
          <w:tcPr>
            <w:tcW w:w="3576" w:type="dxa"/>
            <w:noWrap w:val="0"/>
            <w:vAlign w:val="center"/>
          </w:tcPr>
          <w:p>
            <w:pPr>
              <w:jc w:val="center"/>
              <w:rPr>
                <w:rFonts w:hint="eastAsia" w:ascii="宋体" w:hAnsi="宋体" w:cs="宋体"/>
                <w:sz w:val="22"/>
              </w:rPr>
            </w:pPr>
            <w:r>
              <w:rPr>
                <w:rFonts w:hint="eastAsia" w:ascii="宋体" w:hAnsi="宋体" w:cs="宋体"/>
                <w:sz w:val="22"/>
              </w:rPr>
              <w:t>设施设备标识齐全、规范，责任人明确；操作维护人员严格执行设施设备操作规程及保养规范；设施设备运行正常</w:t>
            </w:r>
          </w:p>
        </w:tc>
        <w:tc>
          <w:tcPr>
            <w:tcW w:w="660" w:type="dxa"/>
            <w:noWrap w:val="0"/>
            <w:vAlign w:val="center"/>
          </w:tcPr>
          <w:p>
            <w:pPr>
              <w:jc w:val="center"/>
              <w:rPr>
                <w:rFonts w:hint="eastAsia" w:ascii="宋体" w:hAnsi="宋体" w:cs="宋体"/>
                <w:sz w:val="22"/>
              </w:rPr>
            </w:pPr>
            <w:r>
              <w:rPr>
                <w:rFonts w:hint="eastAsia" w:ascii="宋体" w:hAnsi="宋体" w:cs="宋体"/>
                <w:sz w:val="22"/>
              </w:rPr>
              <w:t>2</w:t>
            </w:r>
          </w:p>
        </w:tc>
        <w:tc>
          <w:tcPr>
            <w:tcW w:w="3197" w:type="dxa"/>
            <w:noWrap w:val="0"/>
            <w:vAlign w:val="center"/>
          </w:tcPr>
          <w:p>
            <w:pPr>
              <w:jc w:val="center"/>
              <w:rPr>
                <w:rFonts w:hint="eastAsia" w:ascii="宋体" w:hAnsi="宋体" w:cs="宋体"/>
                <w:sz w:val="22"/>
              </w:rPr>
            </w:pPr>
            <w:r>
              <w:rPr>
                <w:rFonts w:hint="eastAsia" w:ascii="宋体" w:hAnsi="宋体" w:cs="宋体"/>
                <w:sz w:val="22"/>
              </w:rPr>
              <w:t>设施设备标识齐全、规范0.5分，责任人明确0.5分；操作维护人员严格执行设施设备操作规程及保养规范0.5分；设施设备运行正常0.5分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4</w:t>
            </w:r>
          </w:p>
        </w:tc>
        <w:tc>
          <w:tcPr>
            <w:tcW w:w="3576" w:type="dxa"/>
            <w:noWrap w:val="0"/>
            <w:vAlign w:val="center"/>
          </w:tcPr>
          <w:p>
            <w:pPr>
              <w:jc w:val="center"/>
              <w:rPr>
                <w:rFonts w:hint="eastAsia" w:ascii="宋体" w:hAnsi="宋体" w:cs="宋体"/>
                <w:sz w:val="22"/>
              </w:rPr>
            </w:pPr>
            <w:r>
              <w:rPr>
                <w:rFonts w:hint="eastAsia" w:ascii="宋体" w:hAnsi="宋体" w:cs="宋体"/>
                <w:sz w:val="22"/>
              </w:rPr>
              <w:t>负责对供水供电设施等的日常运行管理，当专业维护单位在物业管理区域内对相关管线、设施进行维修、养护时，应给予必要的配合和协调</w:t>
            </w:r>
          </w:p>
        </w:tc>
        <w:tc>
          <w:tcPr>
            <w:tcW w:w="660" w:type="dxa"/>
            <w:noWrap w:val="0"/>
            <w:vAlign w:val="center"/>
          </w:tcPr>
          <w:p>
            <w:pPr>
              <w:jc w:val="center"/>
              <w:rPr>
                <w:rFonts w:hint="eastAsia" w:ascii="宋体" w:hAnsi="宋体" w:cs="宋体"/>
                <w:sz w:val="22"/>
              </w:rPr>
            </w:pPr>
            <w:r>
              <w:rPr>
                <w:rFonts w:hint="eastAsia" w:ascii="宋体" w:hAnsi="宋体" w:cs="宋体"/>
                <w:sz w:val="22"/>
              </w:rPr>
              <w:t>2</w:t>
            </w:r>
          </w:p>
        </w:tc>
        <w:tc>
          <w:tcPr>
            <w:tcW w:w="3197" w:type="dxa"/>
            <w:noWrap w:val="0"/>
            <w:vAlign w:val="center"/>
          </w:tcPr>
          <w:p>
            <w:pPr>
              <w:jc w:val="center"/>
              <w:rPr>
                <w:rFonts w:hint="eastAsia" w:ascii="宋体" w:hAnsi="宋体" w:cs="宋体"/>
                <w:sz w:val="22"/>
              </w:rPr>
            </w:pPr>
            <w:r>
              <w:rPr>
                <w:rFonts w:hint="eastAsia" w:ascii="宋体" w:hAnsi="宋体" w:cs="宋体"/>
                <w:sz w:val="22"/>
              </w:rPr>
              <w:t>负责对供水供电设施等的日常运行管理1分，当专业维护单位在物业管理区域内对相关管线、设施进行维修、养护时，应给予必要的配合和协调1分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5</w:t>
            </w:r>
          </w:p>
        </w:tc>
        <w:tc>
          <w:tcPr>
            <w:tcW w:w="3576" w:type="dxa"/>
            <w:noWrap w:val="0"/>
            <w:vAlign w:val="center"/>
          </w:tcPr>
          <w:p>
            <w:pPr>
              <w:jc w:val="center"/>
              <w:rPr>
                <w:rFonts w:hint="eastAsia" w:ascii="宋体" w:hAnsi="宋体" w:cs="宋体"/>
                <w:sz w:val="22"/>
              </w:rPr>
            </w:pPr>
            <w:r>
              <w:rPr>
                <w:rFonts w:hint="eastAsia" w:ascii="宋体" w:hAnsi="宋体" w:cs="宋体"/>
                <w:sz w:val="22"/>
              </w:rPr>
              <w:t>建立公用设施设备档案（设备台账），设施设备的运行、检查、维修、保养等记录</w:t>
            </w:r>
          </w:p>
        </w:tc>
        <w:tc>
          <w:tcPr>
            <w:tcW w:w="660" w:type="dxa"/>
            <w:noWrap w:val="0"/>
            <w:vAlign w:val="center"/>
          </w:tcPr>
          <w:p>
            <w:pPr>
              <w:jc w:val="center"/>
              <w:rPr>
                <w:rFonts w:hint="eastAsia" w:ascii="宋体" w:hAnsi="宋体" w:cs="宋体"/>
                <w:sz w:val="22"/>
              </w:rPr>
            </w:pPr>
            <w:r>
              <w:rPr>
                <w:rFonts w:hint="eastAsia" w:ascii="宋体" w:hAnsi="宋体" w:cs="宋体"/>
                <w:sz w:val="22"/>
              </w:rPr>
              <w:t>2</w:t>
            </w:r>
          </w:p>
        </w:tc>
        <w:tc>
          <w:tcPr>
            <w:tcW w:w="3197" w:type="dxa"/>
            <w:noWrap w:val="0"/>
            <w:vAlign w:val="center"/>
          </w:tcPr>
          <w:p>
            <w:pPr>
              <w:jc w:val="center"/>
              <w:rPr>
                <w:rFonts w:hint="eastAsia" w:ascii="宋体" w:hAnsi="宋体" w:cs="宋体"/>
                <w:sz w:val="22"/>
              </w:rPr>
            </w:pPr>
            <w:r>
              <w:rPr>
                <w:rFonts w:hint="eastAsia" w:ascii="宋体" w:hAnsi="宋体" w:cs="宋体"/>
                <w:sz w:val="22"/>
              </w:rPr>
              <w:t>建立公用设施设备档案（设备台账）1分，设施设备的运行、检查、维修、保养等记录齐全1分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6</w:t>
            </w:r>
          </w:p>
        </w:tc>
        <w:tc>
          <w:tcPr>
            <w:tcW w:w="3576" w:type="dxa"/>
            <w:noWrap w:val="0"/>
            <w:vAlign w:val="center"/>
          </w:tcPr>
          <w:p>
            <w:pPr>
              <w:jc w:val="center"/>
              <w:rPr>
                <w:rFonts w:hint="eastAsia" w:ascii="宋体" w:hAnsi="宋体" w:cs="宋体"/>
                <w:sz w:val="22"/>
              </w:rPr>
            </w:pPr>
            <w:r>
              <w:rPr>
                <w:rFonts w:hint="eastAsia" w:ascii="宋体" w:hAnsi="宋体" w:cs="宋体"/>
                <w:sz w:val="22"/>
              </w:rPr>
              <w:t>属于小修范围的设施设备，应及时组织修复；属于大中修范围或者需要更新改造的设施设备，及时编制维修计划及报告</w:t>
            </w:r>
          </w:p>
        </w:tc>
        <w:tc>
          <w:tcPr>
            <w:tcW w:w="660" w:type="dxa"/>
            <w:noWrap w:val="0"/>
            <w:vAlign w:val="center"/>
          </w:tcPr>
          <w:p>
            <w:pPr>
              <w:jc w:val="center"/>
              <w:rPr>
                <w:rFonts w:hint="eastAsia" w:ascii="宋体" w:hAnsi="宋体" w:cs="宋体"/>
                <w:sz w:val="22"/>
              </w:rPr>
            </w:pPr>
            <w:r>
              <w:rPr>
                <w:rFonts w:hint="eastAsia" w:ascii="宋体" w:hAnsi="宋体" w:cs="宋体"/>
                <w:sz w:val="22"/>
              </w:rPr>
              <w:t>2</w:t>
            </w:r>
          </w:p>
        </w:tc>
        <w:tc>
          <w:tcPr>
            <w:tcW w:w="3197" w:type="dxa"/>
            <w:noWrap w:val="0"/>
            <w:vAlign w:val="center"/>
          </w:tcPr>
          <w:p>
            <w:pPr>
              <w:jc w:val="center"/>
              <w:rPr>
                <w:rFonts w:hint="eastAsia" w:ascii="宋体" w:hAnsi="宋体" w:cs="宋体"/>
                <w:sz w:val="22"/>
              </w:rPr>
            </w:pPr>
            <w:r>
              <w:rPr>
                <w:rFonts w:hint="eastAsia" w:ascii="宋体" w:hAnsi="宋体" w:cs="宋体"/>
                <w:sz w:val="22"/>
              </w:rPr>
              <w:t>及时组织小修1分；及时编制大中修、计划及报告1分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7</w:t>
            </w:r>
          </w:p>
        </w:tc>
        <w:tc>
          <w:tcPr>
            <w:tcW w:w="3576" w:type="dxa"/>
            <w:noWrap w:val="0"/>
            <w:vAlign w:val="center"/>
          </w:tcPr>
          <w:p>
            <w:pPr>
              <w:jc w:val="center"/>
              <w:rPr>
                <w:rFonts w:hint="eastAsia" w:ascii="宋体" w:hAnsi="宋体" w:cs="宋体"/>
                <w:sz w:val="22"/>
              </w:rPr>
            </w:pPr>
            <w:r>
              <w:rPr>
                <w:rFonts w:hint="eastAsia" w:ascii="宋体" w:hAnsi="宋体" w:cs="宋体"/>
                <w:sz w:val="22"/>
              </w:rPr>
              <w:t>每年保养2次水泵，泵房整洁，按规定定期清洗水箱、蓄水池，水箱、蓄水池盖板应保持完好并加锁，溢流管口必须安装金属防护网并完好，每年秋冬季对暴露水管进行查看，水箱、蓄水池管理应具备一箱一卡，不定期对泵房、管道进行除锈、油漆</w:t>
            </w:r>
          </w:p>
        </w:tc>
        <w:tc>
          <w:tcPr>
            <w:tcW w:w="660" w:type="dxa"/>
            <w:noWrap w:val="0"/>
            <w:vAlign w:val="center"/>
          </w:tcPr>
          <w:p>
            <w:pPr>
              <w:jc w:val="center"/>
              <w:rPr>
                <w:rFonts w:hint="eastAsia" w:ascii="宋体" w:hAnsi="宋体" w:cs="宋体"/>
                <w:sz w:val="22"/>
              </w:rPr>
            </w:pPr>
            <w:r>
              <w:rPr>
                <w:rFonts w:hint="eastAsia" w:ascii="宋体" w:hAnsi="宋体" w:cs="宋体"/>
                <w:sz w:val="22"/>
              </w:rPr>
              <w:t>1.5</w:t>
            </w:r>
          </w:p>
        </w:tc>
        <w:tc>
          <w:tcPr>
            <w:tcW w:w="3197" w:type="dxa"/>
            <w:noWrap w:val="0"/>
            <w:vAlign w:val="center"/>
          </w:tcPr>
          <w:p>
            <w:pPr>
              <w:jc w:val="center"/>
              <w:rPr>
                <w:rFonts w:hint="eastAsia" w:ascii="宋体" w:hAnsi="宋体" w:cs="宋体"/>
                <w:sz w:val="22"/>
              </w:rPr>
            </w:pPr>
            <w:r>
              <w:rPr>
                <w:rFonts w:hint="eastAsia" w:ascii="宋体" w:hAnsi="宋体" w:cs="宋体"/>
                <w:sz w:val="22"/>
              </w:rPr>
              <w:t>定期保养水泵，定期清洗蓄水池0.5分，保证正常运行0.5分；其他0.5分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8</w:t>
            </w:r>
          </w:p>
        </w:tc>
        <w:tc>
          <w:tcPr>
            <w:tcW w:w="3576" w:type="dxa"/>
            <w:noWrap w:val="0"/>
            <w:vAlign w:val="center"/>
          </w:tcPr>
          <w:p>
            <w:pPr>
              <w:jc w:val="center"/>
              <w:rPr>
                <w:rFonts w:hint="eastAsia" w:ascii="宋体" w:hAnsi="宋体" w:cs="宋体"/>
                <w:sz w:val="22"/>
              </w:rPr>
            </w:pPr>
            <w:r>
              <w:rPr>
                <w:rFonts w:hint="eastAsia" w:ascii="宋体" w:hAnsi="宋体" w:cs="宋体"/>
                <w:sz w:val="22"/>
              </w:rPr>
              <w:t>按照合同约定保证电梯正常运行，发生故障及时报告业主单位及电梯维保单位，发生困人或其他重大事件时，物业管理人员应立即到现场应急处理</w:t>
            </w:r>
          </w:p>
        </w:tc>
        <w:tc>
          <w:tcPr>
            <w:tcW w:w="660" w:type="dxa"/>
            <w:noWrap w:val="0"/>
            <w:vAlign w:val="center"/>
          </w:tcPr>
          <w:p>
            <w:pPr>
              <w:jc w:val="center"/>
              <w:rPr>
                <w:rFonts w:hint="eastAsia" w:ascii="宋体" w:hAnsi="宋体" w:cs="宋体"/>
                <w:sz w:val="22"/>
              </w:rPr>
            </w:pPr>
            <w:r>
              <w:rPr>
                <w:rFonts w:hint="eastAsia" w:ascii="宋体" w:hAnsi="宋体" w:cs="宋体"/>
                <w:sz w:val="22"/>
              </w:rPr>
              <w:t>2</w:t>
            </w:r>
          </w:p>
        </w:tc>
        <w:tc>
          <w:tcPr>
            <w:tcW w:w="3197" w:type="dxa"/>
            <w:noWrap w:val="0"/>
            <w:vAlign w:val="center"/>
          </w:tcPr>
          <w:p>
            <w:pPr>
              <w:jc w:val="center"/>
              <w:rPr>
                <w:rFonts w:hint="eastAsia" w:ascii="宋体" w:hAnsi="宋体" w:cs="宋体"/>
                <w:sz w:val="22"/>
              </w:rPr>
            </w:pPr>
            <w:r>
              <w:rPr>
                <w:rFonts w:hint="eastAsia" w:ascii="宋体" w:hAnsi="宋体" w:cs="宋体"/>
                <w:sz w:val="22"/>
              </w:rPr>
              <w:t>电梯正常运行，发生故障及时报告业主单位及电梯维保单位1分；，物业管理人员及时到现场应急处理大事件1分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9</w:t>
            </w:r>
          </w:p>
        </w:tc>
        <w:tc>
          <w:tcPr>
            <w:tcW w:w="3576" w:type="dxa"/>
            <w:noWrap w:val="0"/>
            <w:vAlign w:val="center"/>
          </w:tcPr>
          <w:p>
            <w:pPr>
              <w:jc w:val="center"/>
              <w:rPr>
                <w:rFonts w:hint="eastAsia" w:ascii="宋体" w:hAnsi="宋体" w:cs="宋体"/>
                <w:sz w:val="22"/>
              </w:rPr>
            </w:pPr>
            <w:r>
              <w:rPr>
                <w:rFonts w:hint="eastAsia" w:ascii="宋体" w:hAnsi="宋体" w:cs="宋体"/>
                <w:sz w:val="22"/>
              </w:rPr>
              <w:t>消防泵每季启动一次并做记录，每年保养一次，保证其运行正常；消防栓每季巡查一次，消防栓箱内各种配件完整；每年一次检查消防龙带、阀杆处加注润滑油等，保持消防器材能随时有效使用；按需配备灭火器，每月检查一次灭火器，临近失效立即更新或充压；消防通道畅通</w:t>
            </w:r>
          </w:p>
        </w:tc>
        <w:tc>
          <w:tcPr>
            <w:tcW w:w="660" w:type="dxa"/>
            <w:noWrap w:val="0"/>
            <w:vAlign w:val="center"/>
          </w:tcPr>
          <w:p>
            <w:pPr>
              <w:jc w:val="center"/>
              <w:rPr>
                <w:rFonts w:hint="eastAsia" w:ascii="宋体" w:hAnsi="宋体" w:cs="宋体"/>
                <w:sz w:val="22"/>
              </w:rPr>
            </w:pPr>
            <w:r>
              <w:rPr>
                <w:rFonts w:hint="eastAsia" w:ascii="宋体" w:hAnsi="宋体" w:cs="宋体"/>
                <w:sz w:val="22"/>
              </w:rPr>
              <w:t>2</w:t>
            </w:r>
          </w:p>
        </w:tc>
        <w:tc>
          <w:tcPr>
            <w:tcW w:w="3197" w:type="dxa"/>
            <w:noWrap w:val="0"/>
            <w:vAlign w:val="center"/>
          </w:tcPr>
          <w:p>
            <w:pPr>
              <w:jc w:val="center"/>
              <w:rPr>
                <w:rFonts w:hint="eastAsia" w:ascii="宋体" w:hAnsi="宋体" w:cs="宋体"/>
                <w:sz w:val="22"/>
              </w:rPr>
            </w:pPr>
            <w:r>
              <w:rPr>
                <w:rFonts w:hint="eastAsia" w:ascii="宋体" w:hAnsi="宋体" w:cs="宋体"/>
                <w:sz w:val="22"/>
              </w:rPr>
              <w:t>消防泵启动记录0.5分，消防器材能随时有效使用0.5分；消防通道畅通0.5分；其他0.5分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10</w:t>
            </w:r>
          </w:p>
        </w:tc>
        <w:tc>
          <w:tcPr>
            <w:tcW w:w="3576" w:type="dxa"/>
            <w:noWrap w:val="0"/>
            <w:vAlign w:val="center"/>
          </w:tcPr>
          <w:p>
            <w:pPr>
              <w:jc w:val="center"/>
              <w:rPr>
                <w:rFonts w:hint="eastAsia" w:ascii="宋体" w:hAnsi="宋体" w:cs="宋体"/>
                <w:sz w:val="22"/>
              </w:rPr>
            </w:pPr>
            <w:r>
              <w:rPr>
                <w:rFonts w:hint="eastAsia" w:ascii="宋体" w:hAnsi="宋体" w:cs="宋体"/>
                <w:sz w:val="22"/>
              </w:rPr>
              <w:t>设备房保持整洁、通风，无跑、冒、滴、漏和鼠害等现象</w:t>
            </w:r>
          </w:p>
        </w:tc>
        <w:tc>
          <w:tcPr>
            <w:tcW w:w="660" w:type="dxa"/>
            <w:noWrap w:val="0"/>
            <w:vAlign w:val="center"/>
          </w:tcPr>
          <w:p>
            <w:pPr>
              <w:jc w:val="center"/>
              <w:rPr>
                <w:rFonts w:hint="eastAsia" w:ascii="宋体" w:hAnsi="宋体" w:cs="宋体"/>
                <w:sz w:val="22"/>
              </w:rPr>
            </w:pPr>
            <w:r>
              <w:rPr>
                <w:rFonts w:hint="eastAsia" w:ascii="宋体" w:hAnsi="宋体" w:cs="宋体"/>
                <w:sz w:val="22"/>
              </w:rPr>
              <w:t>0.5</w:t>
            </w:r>
          </w:p>
        </w:tc>
        <w:tc>
          <w:tcPr>
            <w:tcW w:w="3197" w:type="dxa"/>
            <w:noWrap w:val="0"/>
            <w:vAlign w:val="center"/>
          </w:tcPr>
          <w:p>
            <w:pPr>
              <w:jc w:val="center"/>
              <w:rPr>
                <w:rFonts w:hint="eastAsia" w:ascii="宋体" w:hAnsi="宋体" w:cs="宋体"/>
                <w:sz w:val="22"/>
              </w:rPr>
            </w:pPr>
            <w:r>
              <w:rPr>
                <w:rFonts w:hint="eastAsia" w:ascii="宋体" w:hAnsi="宋体" w:cs="宋体"/>
                <w:sz w:val="22"/>
              </w:rPr>
              <w:t>设备房保持整洁、通风，无跑、冒、滴、漏和鼠害等现象0.5分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11</w:t>
            </w:r>
          </w:p>
        </w:tc>
        <w:tc>
          <w:tcPr>
            <w:tcW w:w="3576" w:type="dxa"/>
            <w:noWrap w:val="0"/>
            <w:vAlign w:val="center"/>
          </w:tcPr>
          <w:p>
            <w:pPr>
              <w:jc w:val="center"/>
              <w:rPr>
                <w:rFonts w:hint="eastAsia" w:ascii="宋体" w:hAnsi="宋体" w:cs="宋体"/>
                <w:sz w:val="22"/>
              </w:rPr>
            </w:pPr>
            <w:r>
              <w:rPr>
                <w:rFonts w:hint="eastAsia" w:ascii="宋体" w:hAnsi="宋体" w:cs="宋体"/>
                <w:sz w:val="22"/>
              </w:rPr>
              <w:t>不定期巡视路面、侧石、围墙等，发现损坏的48小时内修复，要求路面不积水（因市政、管道结构因素除外），窨井不漫溢，围墙不倾斜，窨井盖无缺损；健身设施随时检查，使其能正常使用（需更换除外）</w:t>
            </w:r>
          </w:p>
        </w:tc>
        <w:tc>
          <w:tcPr>
            <w:tcW w:w="660" w:type="dxa"/>
            <w:noWrap w:val="0"/>
            <w:vAlign w:val="center"/>
          </w:tcPr>
          <w:p>
            <w:pPr>
              <w:jc w:val="center"/>
              <w:rPr>
                <w:rFonts w:hint="eastAsia" w:ascii="宋体" w:hAnsi="宋体" w:cs="宋体"/>
                <w:sz w:val="22"/>
              </w:rPr>
            </w:pPr>
            <w:r>
              <w:rPr>
                <w:rFonts w:hint="eastAsia" w:ascii="宋体" w:hAnsi="宋体" w:cs="宋体"/>
                <w:sz w:val="22"/>
              </w:rPr>
              <w:t>1.5</w:t>
            </w:r>
          </w:p>
        </w:tc>
        <w:tc>
          <w:tcPr>
            <w:tcW w:w="3197" w:type="dxa"/>
            <w:noWrap w:val="0"/>
            <w:vAlign w:val="center"/>
          </w:tcPr>
          <w:p>
            <w:pPr>
              <w:jc w:val="center"/>
              <w:rPr>
                <w:rFonts w:hint="eastAsia" w:ascii="宋体" w:hAnsi="宋体" w:cs="宋体"/>
                <w:sz w:val="22"/>
              </w:rPr>
            </w:pPr>
            <w:r>
              <w:rPr>
                <w:rFonts w:hint="eastAsia" w:ascii="宋体" w:hAnsi="宋体" w:cs="宋体"/>
                <w:sz w:val="22"/>
              </w:rPr>
              <w:t>无路面、侧石、围墙等损坏1分；路面不积水、窨井不漫溢，围墙不倾斜，窨井盖无缺损0.2分；健身设施能正常使用0.3分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12</w:t>
            </w:r>
          </w:p>
        </w:tc>
        <w:tc>
          <w:tcPr>
            <w:tcW w:w="3576" w:type="dxa"/>
            <w:noWrap w:val="0"/>
            <w:vAlign w:val="center"/>
          </w:tcPr>
          <w:p>
            <w:pPr>
              <w:jc w:val="center"/>
              <w:rPr>
                <w:rFonts w:hint="eastAsia" w:ascii="宋体" w:hAnsi="宋体" w:cs="宋体"/>
                <w:sz w:val="22"/>
              </w:rPr>
            </w:pPr>
            <w:r>
              <w:rPr>
                <w:rFonts w:hint="eastAsia" w:ascii="宋体" w:hAnsi="宋体" w:cs="宋体"/>
                <w:sz w:val="22"/>
              </w:rPr>
              <w:t>路灯、楼道灯完好率不低于95%，损坏的应在2日内修复</w:t>
            </w:r>
          </w:p>
        </w:tc>
        <w:tc>
          <w:tcPr>
            <w:tcW w:w="660" w:type="dxa"/>
            <w:noWrap w:val="0"/>
            <w:vAlign w:val="center"/>
          </w:tcPr>
          <w:p>
            <w:pPr>
              <w:jc w:val="center"/>
              <w:rPr>
                <w:rFonts w:hint="eastAsia" w:ascii="宋体" w:hAnsi="宋体" w:cs="宋体"/>
                <w:sz w:val="22"/>
              </w:rPr>
            </w:pPr>
            <w:r>
              <w:rPr>
                <w:rFonts w:hint="eastAsia" w:ascii="宋体" w:hAnsi="宋体" w:cs="宋体"/>
                <w:sz w:val="22"/>
              </w:rPr>
              <w:t>1</w:t>
            </w:r>
          </w:p>
        </w:tc>
        <w:tc>
          <w:tcPr>
            <w:tcW w:w="3197" w:type="dxa"/>
            <w:noWrap w:val="0"/>
            <w:vAlign w:val="center"/>
          </w:tcPr>
          <w:p>
            <w:pPr>
              <w:jc w:val="center"/>
              <w:rPr>
                <w:rFonts w:hint="eastAsia" w:ascii="宋体" w:hAnsi="宋体" w:cs="宋体"/>
                <w:sz w:val="22"/>
              </w:rPr>
            </w:pPr>
            <w:r>
              <w:rPr>
                <w:rFonts w:hint="eastAsia" w:ascii="宋体" w:hAnsi="宋体" w:cs="宋体"/>
                <w:sz w:val="22"/>
              </w:rPr>
              <w:t>路灯、楼道灯完好率不低于95%1分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13</w:t>
            </w:r>
          </w:p>
        </w:tc>
        <w:tc>
          <w:tcPr>
            <w:tcW w:w="3576" w:type="dxa"/>
            <w:noWrap w:val="0"/>
            <w:vAlign w:val="center"/>
          </w:tcPr>
          <w:p>
            <w:pPr>
              <w:jc w:val="center"/>
              <w:rPr>
                <w:rFonts w:hint="eastAsia" w:ascii="宋体" w:hAnsi="宋体" w:cs="宋体"/>
                <w:sz w:val="22"/>
              </w:rPr>
            </w:pPr>
            <w:r>
              <w:rPr>
                <w:rFonts w:hint="eastAsia" w:ascii="宋体" w:hAnsi="宋体" w:cs="宋体"/>
                <w:sz w:val="22"/>
              </w:rPr>
              <w:t>对容易危及人身安全的设施设备有明显警示标识和防范措施；对可能发生的各种突发设备故障有应急预案</w:t>
            </w:r>
          </w:p>
        </w:tc>
        <w:tc>
          <w:tcPr>
            <w:tcW w:w="660" w:type="dxa"/>
            <w:noWrap w:val="0"/>
            <w:vAlign w:val="center"/>
          </w:tcPr>
          <w:p>
            <w:pPr>
              <w:jc w:val="center"/>
              <w:rPr>
                <w:rFonts w:hint="eastAsia" w:ascii="宋体" w:hAnsi="宋体" w:cs="宋体"/>
                <w:sz w:val="22"/>
              </w:rPr>
            </w:pPr>
            <w:r>
              <w:rPr>
                <w:rFonts w:hint="eastAsia" w:ascii="宋体" w:hAnsi="宋体" w:cs="宋体"/>
                <w:sz w:val="22"/>
              </w:rPr>
              <w:t>1.5</w:t>
            </w:r>
          </w:p>
        </w:tc>
        <w:tc>
          <w:tcPr>
            <w:tcW w:w="3197" w:type="dxa"/>
            <w:noWrap w:val="0"/>
            <w:vAlign w:val="center"/>
          </w:tcPr>
          <w:p>
            <w:pPr>
              <w:jc w:val="center"/>
              <w:rPr>
                <w:rFonts w:hint="eastAsia" w:ascii="宋体" w:hAnsi="宋体" w:cs="宋体"/>
                <w:sz w:val="22"/>
              </w:rPr>
            </w:pPr>
            <w:r>
              <w:rPr>
                <w:rFonts w:hint="eastAsia" w:ascii="宋体" w:hAnsi="宋体" w:cs="宋体"/>
                <w:sz w:val="22"/>
              </w:rPr>
              <w:t>有明显警示标识和防范措施0.5分；对可能发生的各种突发设备故障有应急预案1分</w:t>
            </w: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center"/>
          </w:tcPr>
          <w:p>
            <w:pPr>
              <w:jc w:val="center"/>
              <w:rPr>
                <w:rFonts w:hint="eastAsia" w:ascii="宋体" w:hAnsi="宋体" w:cs="宋体"/>
                <w:sz w:val="22"/>
              </w:rPr>
            </w:pPr>
            <w:r>
              <w:rPr>
                <w:rFonts w:hint="eastAsia" w:ascii="宋体" w:hAnsi="宋体" w:cs="宋体"/>
                <w:sz w:val="22"/>
              </w:rPr>
              <w:t>五</w:t>
            </w:r>
          </w:p>
        </w:tc>
        <w:tc>
          <w:tcPr>
            <w:tcW w:w="3576" w:type="dxa"/>
            <w:noWrap w:val="0"/>
            <w:vAlign w:val="center"/>
          </w:tcPr>
          <w:p>
            <w:pPr>
              <w:jc w:val="center"/>
              <w:rPr>
                <w:rFonts w:hint="eastAsia" w:ascii="宋体" w:hAnsi="宋体" w:cs="宋体"/>
                <w:sz w:val="22"/>
              </w:rPr>
            </w:pPr>
            <w:r>
              <w:rPr>
                <w:rFonts w:hint="eastAsia" w:ascii="宋体" w:hAnsi="宋体" w:cs="宋体"/>
                <w:sz w:val="22"/>
              </w:rPr>
              <w:t>协助维护公共秩序</w:t>
            </w:r>
          </w:p>
        </w:tc>
        <w:tc>
          <w:tcPr>
            <w:tcW w:w="660" w:type="dxa"/>
            <w:noWrap w:val="0"/>
            <w:vAlign w:val="center"/>
          </w:tcPr>
          <w:p>
            <w:pPr>
              <w:jc w:val="center"/>
              <w:rPr>
                <w:rFonts w:hint="eastAsia" w:ascii="宋体" w:hAnsi="宋体" w:cs="宋体"/>
                <w:sz w:val="22"/>
              </w:rPr>
            </w:pPr>
            <w:r>
              <w:rPr>
                <w:rFonts w:hint="eastAsia" w:ascii="宋体" w:hAnsi="宋体" w:cs="宋体"/>
                <w:sz w:val="22"/>
              </w:rPr>
              <w:t>15</w:t>
            </w:r>
          </w:p>
        </w:tc>
        <w:tc>
          <w:tcPr>
            <w:tcW w:w="3197" w:type="dxa"/>
            <w:noWrap w:val="0"/>
            <w:vAlign w:val="center"/>
          </w:tcPr>
          <w:p>
            <w:pPr>
              <w:jc w:val="center"/>
              <w:rPr>
                <w:rFonts w:hint="eastAsia" w:ascii="宋体" w:hAnsi="宋体" w:cs="宋体"/>
                <w:sz w:val="22"/>
              </w:rPr>
            </w:pPr>
          </w:p>
        </w:tc>
        <w:tc>
          <w:tcPr>
            <w:tcW w:w="357" w:type="dxa"/>
            <w:noWrap w:val="0"/>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1</w:t>
            </w:r>
          </w:p>
        </w:tc>
        <w:tc>
          <w:tcPr>
            <w:tcW w:w="3576" w:type="dxa"/>
            <w:noWrap w:val="0"/>
            <w:vAlign w:val="top"/>
          </w:tcPr>
          <w:p>
            <w:pPr>
              <w:jc w:val="center"/>
              <w:rPr>
                <w:rFonts w:hint="eastAsia" w:ascii="宋体" w:hAnsi="宋体" w:cs="宋体"/>
                <w:sz w:val="22"/>
              </w:rPr>
            </w:pPr>
            <w:r>
              <w:rPr>
                <w:rFonts w:hint="eastAsia" w:ascii="宋体" w:hAnsi="宋体" w:cs="宋体"/>
                <w:sz w:val="22"/>
              </w:rPr>
              <w:t>公共秩序维护人员受过相关安全护卫知识与技能培训，持证上岗；工作认真负责，体态良好；不定期参加安全保卫知识与技能的岗位培训，有较强的安全防范能力，能正确使用各类消防、物防、技防器械和设备；上岗时佩带统一标志，穿戴统一制服，器械佩戴规范，仪容仪表规范整齐；当值时坐姿挺直，站岗时不倚不靠；会讲普通话；配备必要的安全服务器械</w:t>
            </w:r>
          </w:p>
        </w:tc>
        <w:tc>
          <w:tcPr>
            <w:tcW w:w="660" w:type="dxa"/>
            <w:noWrap w:val="0"/>
            <w:vAlign w:val="top"/>
          </w:tcPr>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3</w:t>
            </w:r>
          </w:p>
        </w:tc>
        <w:tc>
          <w:tcPr>
            <w:tcW w:w="3197" w:type="dxa"/>
            <w:noWrap w:val="0"/>
            <w:vAlign w:val="top"/>
          </w:tcPr>
          <w:p>
            <w:pPr>
              <w:jc w:val="center"/>
              <w:rPr>
                <w:rFonts w:hint="eastAsia" w:ascii="宋体" w:hAnsi="宋体" w:cs="宋体"/>
                <w:sz w:val="22"/>
              </w:rPr>
            </w:pPr>
            <w:r>
              <w:rPr>
                <w:rFonts w:hint="eastAsia" w:ascii="宋体" w:hAnsi="宋体" w:cs="宋体"/>
                <w:sz w:val="22"/>
              </w:rPr>
              <w:t>知识与技能培训，持证上岗1.5分；能正确使用各类消防、物防、技防器械和设备0.5分；上岗时佩带统一制服，器械佩戴规范0.5分；配备必要的安全服务器械0.5分</w:t>
            </w: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2</w:t>
            </w:r>
          </w:p>
        </w:tc>
        <w:tc>
          <w:tcPr>
            <w:tcW w:w="3576" w:type="dxa"/>
            <w:noWrap w:val="0"/>
            <w:vAlign w:val="top"/>
          </w:tcPr>
          <w:p>
            <w:pPr>
              <w:jc w:val="center"/>
              <w:rPr>
                <w:rFonts w:hint="eastAsia" w:ascii="宋体" w:hAnsi="宋体" w:cs="宋体"/>
                <w:sz w:val="22"/>
              </w:rPr>
            </w:pPr>
            <w:r>
              <w:rPr>
                <w:rFonts w:hint="eastAsia" w:ascii="宋体" w:hAnsi="宋体" w:cs="宋体"/>
                <w:sz w:val="22"/>
              </w:rPr>
              <w:t>单位监控室24小时值班，并有交接班记录和进出车辆的登记记录；对外来人员实行登记；对进出车辆进行管理和疏导；保持出入口环境整洁、有序。道路畅通；阻止小商小贩、可疑人员随意入内</w:t>
            </w:r>
          </w:p>
        </w:tc>
        <w:tc>
          <w:tcPr>
            <w:tcW w:w="660" w:type="dxa"/>
            <w:noWrap w:val="0"/>
            <w:vAlign w:val="top"/>
          </w:tcPr>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3</w:t>
            </w:r>
          </w:p>
        </w:tc>
        <w:tc>
          <w:tcPr>
            <w:tcW w:w="3197" w:type="dxa"/>
            <w:noWrap w:val="0"/>
            <w:vAlign w:val="top"/>
          </w:tcPr>
          <w:p>
            <w:pPr>
              <w:jc w:val="center"/>
              <w:rPr>
                <w:rFonts w:hint="eastAsia" w:ascii="宋体" w:hAnsi="宋体" w:cs="宋体"/>
                <w:sz w:val="22"/>
              </w:rPr>
            </w:pPr>
            <w:r>
              <w:rPr>
                <w:rFonts w:hint="eastAsia" w:ascii="宋体" w:hAnsi="宋体" w:cs="宋体"/>
                <w:sz w:val="22"/>
              </w:rPr>
              <w:t>交接班记录和外来车辆的登记记录1分；对装修等劳务人员实行登记0.5分；出入口环境整洁、有序，道路畅通1分；无小商小贩、可疑人员随意入内0.5分</w:t>
            </w: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3</w:t>
            </w:r>
          </w:p>
        </w:tc>
        <w:tc>
          <w:tcPr>
            <w:tcW w:w="3576" w:type="dxa"/>
            <w:noWrap w:val="0"/>
            <w:vAlign w:val="top"/>
          </w:tcPr>
          <w:p>
            <w:pPr>
              <w:jc w:val="center"/>
              <w:rPr>
                <w:rFonts w:hint="eastAsia" w:ascii="宋体" w:hAnsi="宋体" w:cs="宋体"/>
                <w:sz w:val="22"/>
              </w:rPr>
            </w:pPr>
            <w:r>
              <w:rPr>
                <w:rFonts w:hint="eastAsia" w:ascii="宋体" w:hAnsi="宋体" w:cs="宋体"/>
                <w:sz w:val="22"/>
              </w:rPr>
              <w:t>根据物业特点，制定详细的巡逻方案，原则上每天巡查2次，重点部位增加巡逻频次，有巡逻记录；在遇到异常情况，巡逻人员应采取相应措施，并及时报告物业管理处和相关部门、和业主单位</w:t>
            </w:r>
          </w:p>
        </w:tc>
        <w:tc>
          <w:tcPr>
            <w:tcW w:w="660" w:type="dxa"/>
            <w:noWrap w:val="0"/>
            <w:vAlign w:val="top"/>
          </w:tcPr>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3</w:t>
            </w:r>
          </w:p>
        </w:tc>
        <w:tc>
          <w:tcPr>
            <w:tcW w:w="3197" w:type="dxa"/>
            <w:noWrap w:val="0"/>
            <w:vAlign w:val="top"/>
          </w:tcPr>
          <w:p>
            <w:pPr>
              <w:jc w:val="center"/>
              <w:rPr>
                <w:rFonts w:hint="eastAsia" w:ascii="宋体" w:hAnsi="宋体" w:cs="宋体"/>
                <w:sz w:val="22"/>
              </w:rPr>
            </w:pPr>
            <w:r>
              <w:rPr>
                <w:rFonts w:hint="eastAsia" w:ascii="宋体" w:hAnsi="宋体" w:cs="宋体"/>
                <w:sz w:val="22"/>
              </w:rPr>
              <w:t>巡逻方案及记录2分；及时处理异常情况并及时报告 1分</w:t>
            </w: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r>
              <w:rPr>
                <w:rFonts w:hint="eastAsia" w:ascii="宋体" w:hAnsi="宋体" w:cs="宋体"/>
                <w:sz w:val="22"/>
              </w:rPr>
              <w:t>4</w:t>
            </w:r>
          </w:p>
        </w:tc>
        <w:tc>
          <w:tcPr>
            <w:tcW w:w="3576" w:type="dxa"/>
            <w:noWrap w:val="0"/>
            <w:vAlign w:val="top"/>
          </w:tcPr>
          <w:p>
            <w:pPr>
              <w:jc w:val="center"/>
              <w:rPr>
                <w:rFonts w:hint="eastAsia" w:ascii="宋体" w:hAnsi="宋体" w:cs="宋体"/>
                <w:sz w:val="22"/>
              </w:rPr>
            </w:pPr>
            <w:r>
              <w:rPr>
                <w:rFonts w:hint="eastAsia" w:ascii="宋体" w:hAnsi="宋体" w:cs="宋体"/>
                <w:sz w:val="22"/>
              </w:rPr>
              <w:t>设有监控设备的，应对控制设备做好巡查保养，并保证24小时开通</w:t>
            </w:r>
          </w:p>
        </w:tc>
        <w:tc>
          <w:tcPr>
            <w:tcW w:w="660" w:type="dxa"/>
            <w:noWrap w:val="0"/>
            <w:vAlign w:val="top"/>
          </w:tcPr>
          <w:p>
            <w:pPr>
              <w:jc w:val="center"/>
              <w:rPr>
                <w:rFonts w:hint="eastAsia" w:ascii="宋体" w:hAnsi="宋体" w:cs="宋体"/>
                <w:sz w:val="22"/>
              </w:rPr>
            </w:pPr>
            <w:r>
              <w:rPr>
                <w:rFonts w:hint="eastAsia" w:ascii="宋体" w:hAnsi="宋体" w:cs="宋体"/>
                <w:sz w:val="22"/>
              </w:rPr>
              <w:t>1</w:t>
            </w:r>
          </w:p>
        </w:tc>
        <w:tc>
          <w:tcPr>
            <w:tcW w:w="3197" w:type="dxa"/>
            <w:noWrap w:val="0"/>
            <w:vAlign w:val="top"/>
          </w:tcPr>
          <w:p>
            <w:pPr>
              <w:jc w:val="center"/>
              <w:rPr>
                <w:rFonts w:hint="eastAsia" w:ascii="宋体" w:hAnsi="宋体" w:cs="宋体"/>
                <w:sz w:val="22"/>
              </w:rPr>
            </w:pPr>
            <w:r>
              <w:rPr>
                <w:rFonts w:hint="eastAsia" w:ascii="宋体" w:hAnsi="宋体" w:cs="宋体"/>
                <w:sz w:val="22"/>
              </w:rPr>
              <w:t>监控设备维护保养良好0.5分；24小时开通0.5分</w:t>
            </w: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r>
              <w:rPr>
                <w:rFonts w:hint="eastAsia" w:ascii="宋体" w:hAnsi="宋体" w:cs="宋体"/>
                <w:sz w:val="22"/>
              </w:rPr>
              <w:t>5</w:t>
            </w:r>
          </w:p>
        </w:tc>
        <w:tc>
          <w:tcPr>
            <w:tcW w:w="3576" w:type="dxa"/>
            <w:noWrap w:val="0"/>
            <w:vAlign w:val="top"/>
          </w:tcPr>
          <w:p>
            <w:pPr>
              <w:jc w:val="center"/>
              <w:rPr>
                <w:rFonts w:hint="eastAsia" w:ascii="宋体" w:hAnsi="宋体" w:cs="宋体"/>
                <w:sz w:val="22"/>
              </w:rPr>
            </w:pPr>
            <w:r>
              <w:rPr>
                <w:rFonts w:hint="eastAsia" w:ascii="宋体" w:hAnsi="宋体" w:cs="宋体"/>
                <w:sz w:val="22"/>
              </w:rPr>
              <w:t>有火、水、警应急预案，应按计划组织应急预案演习</w:t>
            </w:r>
          </w:p>
        </w:tc>
        <w:tc>
          <w:tcPr>
            <w:tcW w:w="660" w:type="dxa"/>
            <w:noWrap w:val="0"/>
            <w:vAlign w:val="top"/>
          </w:tcPr>
          <w:p>
            <w:pPr>
              <w:jc w:val="center"/>
              <w:rPr>
                <w:rFonts w:hint="eastAsia" w:ascii="宋体" w:hAnsi="宋体" w:cs="宋体"/>
                <w:sz w:val="22"/>
              </w:rPr>
            </w:pPr>
            <w:r>
              <w:rPr>
                <w:rFonts w:hint="eastAsia" w:ascii="宋体" w:hAnsi="宋体" w:cs="宋体"/>
                <w:sz w:val="22"/>
              </w:rPr>
              <w:t>3</w:t>
            </w:r>
          </w:p>
        </w:tc>
        <w:tc>
          <w:tcPr>
            <w:tcW w:w="3197" w:type="dxa"/>
            <w:noWrap w:val="0"/>
            <w:vAlign w:val="top"/>
          </w:tcPr>
          <w:p>
            <w:pPr>
              <w:jc w:val="center"/>
              <w:rPr>
                <w:rFonts w:hint="eastAsia" w:ascii="宋体" w:hAnsi="宋体" w:cs="宋体"/>
                <w:sz w:val="22"/>
              </w:rPr>
            </w:pPr>
            <w:r>
              <w:rPr>
                <w:rFonts w:hint="eastAsia" w:ascii="宋体" w:hAnsi="宋体" w:cs="宋体"/>
                <w:sz w:val="22"/>
              </w:rPr>
              <w:t>应急预案2.5分；组织应急预案演习0.5分</w:t>
            </w: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6</w:t>
            </w:r>
          </w:p>
        </w:tc>
        <w:tc>
          <w:tcPr>
            <w:tcW w:w="3576" w:type="dxa"/>
            <w:noWrap w:val="0"/>
            <w:vAlign w:val="top"/>
          </w:tcPr>
          <w:p>
            <w:pPr>
              <w:jc w:val="center"/>
              <w:rPr>
                <w:rFonts w:hint="eastAsia" w:ascii="宋体" w:hAnsi="宋体" w:cs="宋体"/>
                <w:sz w:val="22"/>
              </w:rPr>
            </w:pPr>
            <w:r>
              <w:rPr>
                <w:rFonts w:hint="eastAsia" w:ascii="宋体" w:hAnsi="宋体" w:cs="宋体"/>
                <w:sz w:val="22"/>
              </w:rPr>
              <w:t>物业区域地面、墙面按车辆道路行驶要求设立指示牌和地标；地面停车场上班时间有专人管理，地面、墙面按车辆道路行驶要求设立指示牌和地标，照明、消防器械配置齐全，车辆停放有序；车库、场地定期清洁，无渗漏、无积水，通风良好；无易燃易爆等物品存放</w:t>
            </w:r>
          </w:p>
        </w:tc>
        <w:tc>
          <w:tcPr>
            <w:tcW w:w="660" w:type="dxa"/>
            <w:noWrap w:val="0"/>
            <w:vAlign w:val="top"/>
          </w:tcPr>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2</w:t>
            </w:r>
          </w:p>
        </w:tc>
        <w:tc>
          <w:tcPr>
            <w:tcW w:w="3197" w:type="dxa"/>
            <w:noWrap w:val="0"/>
            <w:vAlign w:val="top"/>
          </w:tcPr>
          <w:p>
            <w:pPr>
              <w:jc w:val="center"/>
              <w:rPr>
                <w:rFonts w:hint="eastAsia" w:ascii="宋体" w:hAnsi="宋体" w:cs="宋体"/>
                <w:sz w:val="22"/>
              </w:rPr>
            </w:pPr>
            <w:r>
              <w:rPr>
                <w:rFonts w:hint="eastAsia" w:ascii="宋体" w:hAnsi="宋体" w:cs="宋体"/>
                <w:sz w:val="22"/>
              </w:rPr>
              <w:t>设立指示牌和地标0.4分；专人管理0.2分；照明、消防器械配置0.6分；车辆停放有序0.2分；车库、场地清洁，无渗漏、无积水，通风良好0.1分；无易燃易爆等物品存放0.5分</w:t>
            </w: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r>
              <w:rPr>
                <w:rFonts w:hint="eastAsia" w:ascii="宋体" w:hAnsi="宋体" w:cs="宋体"/>
                <w:sz w:val="22"/>
              </w:rPr>
              <w:t>六</w:t>
            </w:r>
          </w:p>
        </w:tc>
        <w:tc>
          <w:tcPr>
            <w:tcW w:w="3576" w:type="dxa"/>
            <w:noWrap w:val="0"/>
            <w:vAlign w:val="top"/>
          </w:tcPr>
          <w:p>
            <w:pPr>
              <w:jc w:val="center"/>
              <w:rPr>
                <w:rFonts w:hint="eastAsia" w:ascii="宋体" w:hAnsi="宋体" w:cs="宋体"/>
                <w:sz w:val="22"/>
              </w:rPr>
            </w:pPr>
            <w:r>
              <w:rPr>
                <w:rFonts w:hint="eastAsia" w:ascii="宋体" w:hAnsi="宋体" w:cs="宋体"/>
                <w:sz w:val="22"/>
              </w:rPr>
              <w:t>节能管理</w:t>
            </w:r>
          </w:p>
        </w:tc>
        <w:tc>
          <w:tcPr>
            <w:tcW w:w="660" w:type="dxa"/>
            <w:noWrap w:val="0"/>
            <w:vAlign w:val="top"/>
          </w:tcPr>
          <w:p>
            <w:pPr>
              <w:jc w:val="center"/>
              <w:rPr>
                <w:rFonts w:hint="eastAsia" w:ascii="宋体" w:hAnsi="宋体" w:cs="宋体"/>
                <w:sz w:val="22"/>
              </w:rPr>
            </w:pPr>
            <w:r>
              <w:rPr>
                <w:rFonts w:hint="eastAsia" w:ascii="宋体" w:hAnsi="宋体" w:cs="宋体"/>
                <w:sz w:val="22"/>
              </w:rPr>
              <w:t>4</w:t>
            </w:r>
          </w:p>
        </w:tc>
        <w:tc>
          <w:tcPr>
            <w:tcW w:w="3197" w:type="dxa"/>
            <w:noWrap w:val="0"/>
            <w:vAlign w:val="top"/>
          </w:tcPr>
          <w:p>
            <w:pPr>
              <w:jc w:val="center"/>
              <w:rPr>
                <w:rFonts w:hint="eastAsia" w:ascii="宋体" w:hAnsi="宋体" w:cs="宋体"/>
                <w:sz w:val="22"/>
              </w:rPr>
            </w:pP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r>
              <w:rPr>
                <w:rFonts w:hint="eastAsia" w:ascii="宋体" w:hAnsi="宋体" w:cs="宋体"/>
                <w:sz w:val="22"/>
              </w:rPr>
              <w:t>1</w:t>
            </w:r>
          </w:p>
        </w:tc>
        <w:tc>
          <w:tcPr>
            <w:tcW w:w="3576" w:type="dxa"/>
            <w:noWrap w:val="0"/>
            <w:vAlign w:val="top"/>
          </w:tcPr>
          <w:p>
            <w:pPr>
              <w:jc w:val="center"/>
              <w:rPr>
                <w:rFonts w:hint="eastAsia" w:ascii="宋体" w:hAnsi="宋体" w:cs="宋体"/>
                <w:sz w:val="22"/>
              </w:rPr>
            </w:pPr>
            <w:r>
              <w:rPr>
                <w:rFonts w:hint="eastAsia" w:ascii="宋体" w:hAnsi="宋体" w:cs="宋体"/>
                <w:sz w:val="22"/>
              </w:rPr>
              <w:t>建立节能工作制度，制定实施方案；有好的意见建议及时与业主联系</w:t>
            </w:r>
          </w:p>
        </w:tc>
        <w:tc>
          <w:tcPr>
            <w:tcW w:w="660" w:type="dxa"/>
            <w:noWrap w:val="0"/>
            <w:vAlign w:val="top"/>
          </w:tcPr>
          <w:p>
            <w:pPr>
              <w:jc w:val="center"/>
              <w:rPr>
                <w:rFonts w:hint="eastAsia" w:ascii="宋体" w:hAnsi="宋体" w:cs="宋体"/>
                <w:sz w:val="22"/>
              </w:rPr>
            </w:pPr>
            <w:r>
              <w:rPr>
                <w:rFonts w:hint="eastAsia" w:ascii="宋体" w:hAnsi="宋体" w:cs="宋体"/>
                <w:sz w:val="22"/>
              </w:rPr>
              <w:t>1</w:t>
            </w:r>
          </w:p>
        </w:tc>
        <w:tc>
          <w:tcPr>
            <w:tcW w:w="3197" w:type="dxa"/>
            <w:noWrap w:val="0"/>
            <w:vAlign w:val="top"/>
          </w:tcPr>
          <w:p>
            <w:pPr>
              <w:jc w:val="center"/>
              <w:rPr>
                <w:rFonts w:hint="eastAsia" w:ascii="宋体" w:hAnsi="宋体" w:cs="宋体"/>
                <w:sz w:val="22"/>
              </w:rPr>
            </w:pPr>
            <w:r>
              <w:rPr>
                <w:rFonts w:hint="eastAsia" w:ascii="宋体" w:hAnsi="宋体" w:cs="宋体"/>
                <w:sz w:val="22"/>
              </w:rPr>
              <w:t>节能工作制度，实施方案1分；</w:t>
            </w: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r>
              <w:rPr>
                <w:rFonts w:hint="eastAsia" w:ascii="宋体" w:hAnsi="宋体" w:cs="宋体"/>
                <w:sz w:val="22"/>
              </w:rPr>
              <w:t>2</w:t>
            </w:r>
          </w:p>
        </w:tc>
        <w:tc>
          <w:tcPr>
            <w:tcW w:w="3576" w:type="dxa"/>
            <w:noWrap w:val="0"/>
            <w:vAlign w:val="top"/>
          </w:tcPr>
          <w:p>
            <w:pPr>
              <w:jc w:val="center"/>
              <w:rPr>
                <w:rFonts w:hint="eastAsia" w:ascii="宋体" w:hAnsi="宋体" w:cs="宋体"/>
                <w:sz w:val="22"/>
              </w:rPr>
            </w:pPr>
            <w:r>
              <w:rPr>
                <w:rFonts w:hint="eastAsia" w:ascii="宋体" w:hAnsi="宋体" w:cs="宋体"/>
                <w:sz w:val="22"/>
              </w:rPr>
              <w:t>制定节约用电制度；公共场所的夏季空调温度设置在26摄氏度以上，冬季空调温度设置在摄氏度以下；走廊、通道等场所，使用瓦数小的节能灯，无长明灯现象</w:t>
            </w:r>
          </w:p>
        </w:tc>
        <w:tc>
          <w:tcPr>
            <w:tcW w:w="660" w:type="dxa"/>
            <w:noWrap w:val="0"/>
            <w:vAlign w:val="top"/>
          </w:tcPr>
          <w:p>
            <w:pPr>
              <w:jc w:val="center"/>
              <w:rPr>
                <w:rFonts w:hint="eastAsia" w:ascii="宋体" w:hAnsi="宋体" w:cs="宋体"/>
                <w:sz w:val="22"/>
              </w:rPr>
            </w:pPr>
            <w:r>
              <w:rPr>
                <w:rFonts w:hint="eastAsia" w:ascii="宋体" w:hAnsi="宋体" w:cs="宋体"/>
                <w:sz w:val="22"/>
              </w:rPr>
              <w:t>1</w:t>
            </w:r>
          </w:p>
        </w:tc>
        <w:tc>
          <w:tcPr>
            <w:tcW w:w="3197" w:type="dxa"/>
            <w:noWrap w:val="0"/>
            <w:vAlign w:val="top"/>
          </w:tcPr>
          <w:p>
            <w:pPr>
              <w:jc w:val="center"/>
              <w:rPr>
                <w:rFonts w:hint="eastAsia" w:ascii="宋体" w:hAnsi="宋体" w:cs="宋体"/>
                <w:sz w:val="22"/>
              </w:rPr>
            </w:pPr>
            <w:r>
              <w:rPr>
                <w:rFonts w:hint="eastAsia" w:ascii="宋体" w:hAnsi="宋体" w:cs="宋体"/>
                <w:sz w:val="22"/>
              </w:rPr>
              <w:t>节约用电制度0.5分；温度达到要求0.3分；无长明灯现象0.2分</w:t>
            </w: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3</w:t>
            </w:r>
          </w:p>
        </w:tc>
        <w:tc>
          <w:tcPr>
            <w:tcW w:w="3576" w:type="dxa"/>
            <w:noWrap w:val="0"/>
            <w:vAlign w:val="top"/>
          </w:tcPr>
          <w:p>
            <w:pPr>
              <w:jc w:val="center"/>
              <w:rPr>
                <w:rFonts w:hint="eastAsia" w:ascii="宋体" w:hAnsi="宋体" w:cs="宋体"/>
                <w:sz w:val="22"/>
              </w:rPr>
            </w:pPr>
            <w:r>
              <w:rPr>
                <w:rFonts w:hint="eastAsia" w:ascii="宋体" w:hAnsi="宋体" w:cs="宋体"/>
                <w:sz w:val="22"/>
              </w:rPr>
              <w:t>建立节用水规章制度；普遍使用节水器具，无跑冒滴漏和长流水现象；无直接用水冲洗现象</w:t>
            </w:r>
          </w:p>
        </w:tc>
        <w:tc>
          <w:tcPr>
            <w:tcW w:w="660" w:type="dxa"/>
            <w:noWrap w:val="0"/>
            <w:vAlign w:val="top"/>
          </w:tcPr>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1</w:t>
            </w:r>
          </w:p>
        </w:tc>
        <w:tc>
          <w:tcPr>
            <w:tcW w:w="3197" w:type="dxa"/>
            <w:noWrap w:val="0"/>
            <w:vAlign w:val="top"/>
          </w:tcPr>
          <w:p>
            <w:pPr>
              <w:jc w:val="center"/>
              <w:rPr>
                <w:rFonts w:hint="eastAsia" w:ascii="宋体" w:hAnsi="宋体" w:cs="宋体"/>
                <w:sz w:val="22"/>
              </w:rPr>
            </w:pPr>
            <w:r>
              <w:rPr>
                <w:rFonts w:hint="eastAsia" w:ascii="宋体" w:hAnsi="宋体" w:cs="宋体"/>
                <w:sz w:val="22"/>
              </w:rPr>
              <w:t>水规章制度0.5分；无跑冒滴漏和长流水现象0.3分；无直接用水冲洗车辆现象0.2分</w:t>
            </w: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4</w:t>
            </w:r>
          </w:p>
        </w:tc>
        <w:tc>
          <w:tcPr>
            <w:tcW w:w="3576" w:type="dxa"/>
            <w:noWrap w:val="0"/>
            <w:vAlign w:val="top"/>
          </w:tcPr>
          <w:p>
            <w:pPr>
              <w:jc w:val="center"/>
              <w:rPr>
                <w:rFonts w:hint="eastAsia" w:ascii="宋体" w:hAnsi="宋体" w:cs="宋体"/>
                <w:sz w:val="22"/>
              </w:rPr>
            </w:pPr>
            <w:r>
              <w:rPr>
                <w:rFonts w:hint="eastAsia" w:ascii="宋体" w:hAnsi="宋体" w:cs="宋体"/>
                <w:sz w:val="22"/>
              </w:rPr>
              <w:t>共用设施设备更新改造，优先采购国家认证的节约型设备或产品，不采购国家明令禁止使用的高消耗、低效率设备和产品</w:t>
            </w:r>
          </w:p>
        </w:tc>
        <w:tc>
          <w:tcPr>
            <w:tcW w:w="660" w:type="dxa"/>
            <w:noWrap w:val="0"/>
            <w:vAlign w:val="top"/>
          </w:tcPr>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1</w:t>
            </w:r>
          </w:p>
        </w:tc>
        <w:tc>
          <w:tcPr>
            <w:tcW w:w="3197" w:type="dxa"/>
            <w:noWrap w:val="0"/>
            <w:vAlign w:val="top"/>
          </w:tcPr>
          <w:p>
            <w:pPr>
              <w:jc w:val="center"/>
              <w:rPr>
                <w:rFonts w:hint="eastAsia" w:ascii="宋体" w:hAnsi="宋体" w:cs="宋体"/>
                <w:sz w:val="22"/>
              </w:rPr>
            </w:pPr>
            <w:r>
              <w:rPr>
                <w:rFonts w:hint="eastAsia" w:ascii="宋体" w:hAnsi="宋体" w:cs="宋体"/>
                <w:sz w:val="22"/>
              </w:rPr>
              <w:t>不使用国家明令禁止使用的高消耗、低效率设备和产品1分</w:t>
            </w: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r>
              <w:rPr>
                <w:rFonts w:hint="eastAsia" w:ascii="宋体" w:hAnsi="宋体" w:cs="宋体"/>
                <w:sz w:val="22"/>
              </w:rPr>
              <w:t>七</w:t>
            </w:r>
          </w:p>
        </w:tc>
        <w:tc>
          <w:tcPr>
            <w:tcW w:w="3576" w:type="dxa"/>
            <w:noWrap w:val="0"/>
            <w:vAlign w:val="top"/>
          </w:tcPr>
          <w:p>
            <w:pPr>
              <w:jc w:val="center"/>
              <w:rPr>
                <w:rFonts w:hint="eastAsia" w:ascii="宋体" w:hAnsi="宋体" w:cs="宋体"/>
                <w:sz w:val="22"/>
              </w:rPr>
            </w:pPr>
            <w:r>
              <w:rPr>
                <w:rFonts w:hint="eastAsia" w:ascii="宋体" w:hAnsi="宋体" w:cs="宋体"/>
                <w:sz w:val="22"/>
              </w:rPr>
              <w:t>保洁服务、绿化养护管理</w:t>
            </w:r>
          </w:p>
        </w:tc>
        <w:tc>
          <w:tcPr>
            <w:tcW w:w="660" w:type="dxa"/>
            <w:noWrap w:val="0"/>
            <w:vAlign w:val="top"/>
          </w:tcPr>
          <w:p>
            <w:pPr>
              <w:jc w:val="center"/>
              <w:rPr>
                <w:rFonts w:hint="eastAsia" w:ascii="宋体" w:hAnsi="宋体" w:cs="宋体"/>
                <w:sz w:val="22"/>
              </w:rPr>
            </w:pPr>
            <w:r>
              <w:rPr>
                <w:rFonts w:hint="eastAsia" w:ascii="宋体" w:hAnsi="宋体" w:cs="宋体"/>
                <w:sz w:val="22"/>
              </w:rPr>
              <w:t>13</w:t>
            </w:r>
          </w:p>
        </w:tc>
        <w:tc>
          <w:tcPr>
            <w:tcW w:w="3197" w:type="dxa"/>
            <w:noWrap w:val="0"/>
            <w:vAlign w:val="top"/>
          </w:tcPr>
          <w:p>
            <w:pPr>
              <w:jc w:val="center"/>
              <w:rPr>
                <w:rFonts w:hint="eastAsia" w:ascii="宋体" w:hAnsi="宋体" w:cs="宋体"/>
                <w:sz w:val="22"/>
              </w:rPr>
            </w:pP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1</w:t>
            </w:r>
          </w:p>
        </w:tc>
        <w:tc>
          <w:tcPr>
            <w:tcW w:w="3576" w:type="dxa"/>
            <w:noWrap w:val="0"/>
            <w:vAlign w:val="top"/>
          </w:tcPr>
          <w:p>
            <w:pPr>
              <w:jc w:val="center"/>
              <w:rPr>
                <w:rFonts w:hint="eastAsia" w:ascii="宋体" w:hAnsi="宋体" w:cs="宋体"/>
                <w:sz w:val="22"/>
              </w:rPr>
            </w:pPr>
            <w:r>
              <w:rPr>
                <w:rFonts w:hint="eastAsia" w:ascii="宋体" w:hAnsi="宋体" w:cs="宋体"/>
                <w:sz w:val="22"/>
              </w:rPr>
              <w:t>保持路面、绿地目视干净，地面垃圾滞留时间不能超过4小时；明沟无杂物；道路地面、绿地、门窗档遮雨棚顶（视线所到之处）每日清扫1次，并巡视保洁，无明显暴漏垃圾、卫生死角；院内硬化地面无痰渍、污渍；宣传栏、标识栏、建身娱乐设施每周擦拭1次</w:t>
            </w:r>
          </w:p>
        </w:tc>
        <w:tc>
          <w:tcPr>
            <w:tcW w:w="660" w:type="dxa"/>
            <w:noWrap w:val="0"/>
            <w:vAlign w:val="top"/>
          </w:tcPr>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3</w:t>
            </w:r>
          </w:p>
        </w:tc>
        <w:tc>
          <w:tcPr>
            <w:tcW w:w="3197" w:type="dxa"/>
            <w:noWrap w:val="0"/>
            <w:vAlign w:val="top"/>
          </w:tcPr>
          <w:p>
            <w:pPr>
              <w:jc w:val="center"/>
              <w:rPr>
                <w:rFonts w:hint="eastAsia" w:ascii="宋体" w:hAnsi="宋体" w:cs="宋体"/>
                <w:sz w:val="22"/>
              </w:rPr>
            </w:pPr>
            <w:r>
              <w:rPr>
                <w:rFonts w:hint="eastAsia" w:ascii="宋体" w:hAnsi="宋体" w:cs="宋体"/>
                <w:sz w:val="22"/>
              </w:rPr>
              <w:t>路面、绿地目视干净，地面无滞留垃圾时间、明沟无杂物1分；巡视保洁，无明显暴漏垃圾、卫生死角；院内硬化地面无痰渍、污渍1分；宣传栏、标识栏、建身娱乐设施无污染1分</w:t>
            </w: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2</w:t>
            </w:r>
          </w:p>
        </w:tc>
        <w:tc>
          <w:tcPr>
            <w:tcW w:w="3576" w:type="dxa"/>
            <w:noWrap w:val="0"/>
            <w:vAlign w:val="top"/>
          </w:tcPr>
          <w:p>
            <w:pPr>
              <w:jc w:val="center"/>
              <w:rPr>
                <w:rFonts w:hint="eastAsia" w:ascii="宋体" w:hAnsi="宋体" w:cs="宋体"/>
                <w:sz w:val="22"/>
              </w:rPr>
            </w:pPr>
            <w:r>
              <w:rPr>
                <w:rFonts w:hint="eastAsia" w:ascii="宋体" w:hAnsi="宋体" w:cs="宋体"/>
                <w:sz w:val="22"/>
              </w:rPr>
              <w:t>根据物业情况设置垃圾箱（桶），每日清理1次；保持垃圾箱（桶）及周围基本清洁、无明显异味、无积水；定期消毒灭害，公共卫生间设置卫生桶，箱（桶）无满溢、无异味、无污迹；对垃圾每天进行清除、外运，做到垃圾日产日清</w:t>
            </w:r>
          </w:p>
        </w:tc>
        <w:tc>
          <w:tcPr>
            <w:tcW w:w="660" w:type="dxa"/>
            <w:noWrap w:val="0"/>
            <w:vAlign w:val="top"/>
          </w:tcPr>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2</w:t>
            </w:r>
          </w:p>
        </w:tc>
        <w:tc>
          <w:tcPr>
            <w:tcW w:w="3197" w:type="dxa"/>
            <w:noWrap w:val="0"/>
            <w:vAlign w:val="top"/>
          </w:tcPr>
          <w:p>
            <w:pPr>
              <w:jc w:val="center"/>
              <w:rPr>
                <w:rFonts w:hint="eastAsia" w:ascii="宋体" w:hAnsi="宋体" w:cs="宋体"/>
                <w:sz w:val="22"/>
              </w:rPr>
            </w:pPr>
            <w:r>
              <w:rPr>
                <w:rFonts w:hint="eastAsia" w:ascii="宋体" w:hAnsi="宋体" w:cs="宋体"/>
                <w:sz w:val="22"/>
              </w:rPr>
              <w:t>设置垃圾箱（桶），周围基本清洁1分；卫生桶、果皮箱无满溢、无污迹0.5分；垃圾日产日清0.5分</w:t>
            </w: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r>
              <w:rPr>
                <w:rFonts w:hint="eastAsia" w:ascii="宋体" w:hAnsi="宋体" w:cs="宋体"/>
                <w:sz w:val="22"/>
              </w:rPr>
              <w:t>3</w:t>
            </w:r>
          </w:p>
        </w:tc>
        <w:tc>
          <w:tcPr>
            <w:tcW w:w="3576" w:type="dxa"/>
            <w:noWrap w:val="0"/>
            <w:vAlign w:val="top"/>
          </w:tcPr>
          <w:p>
            <w:pPr>
              <w:jc w:val="center"/>
              <w:rPr>
                <w:rFonts w:hint="eastAsia" w:ascii="宋体" w:hAnsi="宋体" w:cs="宋体"/>
                <w:sz w:val="22"/>
              </w:rPr>
            </w:pPr>
            <w:r>
              <w:rPr>
                <w:rFonts w:hint="eastAsia" w:ascii="宋体" w:hAnsi="宋体" w:cs="宋体"/>
                <w:sz w:val="22"/>
              </w:rPr>
              <w:t>雨、污水井每季检查1次，视检查情况及时清掏；化粪池每季检查1次，发现异常及时做出清掏计划</w:t>
            </w:r>
          </w:p>
        </w:tc>
        <w:tc>
          <w:tcPr>
            <w:tcW w:w="660" w:type="dxa"/>
            <w:noWrap w:val="0"/>
            <w:vAlign w:val="top"/>
          </w:tcPr>
          <w:p>
            <w:pPr>
              <w:jc w:val="center"/>
              <w:rPr>
                <w:rFonts w:hint="eastAsia" w:ascii="宋体" w:hAnsi="宋体" w:cs="宋体"/>
                <w:sz w:val="22"/>
              </w:rPr>
            </w:pPr>
            <w:r>
              <w:rPr>
                <w:rFonts w:hint="eastAsia" w:ascii="宋体" w:hAnsi="宋体" w:cs="宋体"/>
                <w:sz w:val="22"/>
              </w:rPr>
              <w:t>1</w:t>
            </w:r>
          </w:p>
        </w:tc>
        <w:tc>
          <w:tcPr>
            <w:tcW w:w="3197" w:type="dxa"/>
            <w:noWrap w:val="0"/>
            <w:vAlign w:val="top"/>
          </w:tcPr>
          <w:p>
            <w:pPr>
              <w:jc w:val="center"/>
              <w:rPr>
                <w:rFonts w:hint="eastAsia" w:ascii="宋体" w:hAnsi="宋体" w:cs="宋体"/>
                <w:sz w:val="22"/>
              </w:rPr>
            </w:pPr>
            <w:r>
              <w:rPr>
                <w:rFonts w:hint="eastAsia" w:ascii="宋体" w:hAnsi="宋体" w:cs="宋体"/>
                <w:sz w:val="22"/>
              </w:rPr>
              <w:t>定期检查雨、污水井、化粪池0.5分；及时清掏0.5分</w:t>
            </w: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4</w:t>
            </w:r>
          </w:p>
        </w:tc>
        <w:tc>
          <w:tcPr>
            <w:tcW w:w="3576" w:type="dxa"/>
            <w:noWrap w:val="0"/>
            <w:vAlign w:val="top"/>
          </w:tcPr>
          <w:p>
            <w:pPr>
              <w:jc w:val="center"/>
              <w:rPr>
                <w:rFonts w:hint="eastAsia" w:ascii="宋体" w:hAnsi="宋体" w:cs="宋体"/>
                <w:sz w:val="22"/>
              </w:rPr>
            </w:pPr>
            <w:r>
              <w:rPr>
                <w:rFonts w:hint="eastAsia" w:ascii="宋体" w:hAnsi="宋体" w:cs="宋体"/>
                <w:sz w:val="22"/>
              </w:rPr>
              <w:t>楼道地面、楼梯每日拖洗1次，走道、门厅、楼梯地面无垃圾、杂物、灰尘、污迹，无乱堆乱放楼梯扶手、栏杆、窗台每周擦拭2次，保持基本无灰尘；消防栓、指示牌等公共设施表面基本无灰尘、无污渍、天花板、公共灯具定期除尘，保持目视基本无灰尘、无蜘蛛网，走廊、楼梯窗玻璃每季清洁1次，门厅玻璃每周擦拭1次，目视明亮、无污迹</w:t>
            </w:r>
          </w:p>
        </w:tc>
        <w:tc>
          <w:tcPr>
            <w:tcW w:w="660" w:type="dxa"/>
            <w:noWrap w:val="0"/>
            <w:vAlign w:val="top"/>
          </w:tcPr>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2</w:t>
            </w:r>
          </w:p>
        </w:tc>
        <w:tc>
          <w:tcPr>
            <w:tcW w:w="3197" w:type="dxa"/>
            <w:noWrap w:val="0"/>
            <w:vAlign w:val="top"/>
          </w:tcPr>
          <w:p>
            <w:pPr>
              <w:jc w:val="center"/>
              <w:rPr>
                <w:rFonts w:hint="eastAsia" w:ascii="宋体" w:hAnsi="宋体" w:cs="宋体"/>
                <w:sz w:val="22"/>
              </w:rPr>
            </w:pPr>
            <w:r>
              <w:rPr>
                <w:rFonts w:hint="eastAsia" w:ascii="宋体" w:hAnsi="宋体" w:cs="宋体"/>
                <w:sz w:val="22"/>
              </w:rPr>
              <w:t>定期清扫1分；无污迹、无乱堆乱放1分</w:t>
            </w: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r>
              <w:rPr>
                <w:rFonts w:hint="eastAsia" w:ascii="宋体" w:hAnsi="宋体" w:cs="宋体"/>
                <w:sz w:val="22"/>
              </w:rPr>
              <w:t>5</w:t>
            </w:r>
          </w:p>
        </w:tc>
        <w:tc>
          <w:tcPr>
            <w:tcW w:w="3576" w:type="dxa"/>
            <w:noWrap w:val="0"/>
            <w:vAlign w:val="top"/>
          </w:tcPr>
          <w:p>
            <w:pPr>
              <w:jc w:val="center"/>
              <w:rPr>
                <w:rFonts w:hint="eastAsia" w:ascii="宋体" w:hAnsi="宋体" w:cs="宋体"/>
                <w:sz w:val="22"/>
              </w:rPr>
            </w:pPr>
            <w:r>
              <w:rPr>
                <w:rFonts w:hint="eastAsia" w:ascii="宋体" w:hAnsi="宋体" w:cs="宋体"/>
                <w:sz w:val="22"/>
              </w:rPr>
              <w:t>天台、屋顶不定期清扫，无垃圾堆积；大楼外幕墙每年清洗1次</w:t>
            </w:r>
          </w:p>
        </w:tc>
        <w:tc>
          <w:tcPr>
            <w:tcW w:w="660" w:type="dxa"/>
            <w:noWrap w:val="0"/>
            <w:vAlign w:val="top"/>
          </w:tcPr>
          <w:p>
            <w:pPr>
              <w:jc w:val="center"/>
              <w:rPr>
                <w:rFonts w:hint="eastAsia" w:ascii="宋体" w:hAnsi="宋体" w:cs="宋体"/>
                <w:sz w:val="22"/>
              </w:rPr>
            </w:pPr>
            <w:r>
              <w:rPr>
                <w:rFonts w:hint="eastAsia" w:ascii="宋体" w:hAnsi="宋体" w:cs="宋体"/>
                <w:sz w:val="22"/>
              </w:rPr>
              <w:t>2</w:t>
            </w:r>
          </w:p>
        </w:tc>
        <w:tc>
          <w:tcPr>
            <w:tcW w:w="3197" w:type="dxa"/>
            <w:noWrap w:val="0"/>
            <w:vAlign w:val="top"/>
          </w:tcPr>
          <w:p>
            <w:pPr>
              <w:jc w:val="center"/>
              <w:rPr>
                <w:rFonts w:hint="eastAsia" w:ascii="宋体" w:hAnsi="宋体" w:cs="宋体"/>
                <w:sz w:val="22"/>
              </w:rPr>
            </w:pPr>
            <w:r>
              <w:rPr>
                <w:rFonts w:hint="eastAsia" w:ascii="宋体" w:hAnsi="宋体" w:cs="宋体"/>
                <w:sz w:val="22"/>
              </w:rPr>
              <w:t>无垃圾堆积1.5分，大楼外幕墙每年清洗1次0.5分</w:t>
            </w: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r>
              <w:rPr>
                <w:rFonts w:hint="eastAsia" w:ascii="宋体" w:hAnsi="宋体" w:cs="宋体"/>
                <w:sz w:val="22"/>
              </w:rPr>
              <w:t>6</w:t>
            </w:r>
          </w:p>
        </w:tc>
        <w:tc>
          <w:tcPr>
            <w:tcW w:w="3576" w:type="dxa"/>
            <w:noWrap w:val="0"/>
            <w:vAlign w:val="top"/>
          </w:tcPr>
          <w:p>
            <w:pPr>
              <w:jc w:val="center"/>
              <w:rPr>
                <w:rFonts w:hint="eastAsia" w:ascii="宋体" w:hAnsi="宋体" w:cs="宋体"/>
                <w:sz w:val="22"/>
              </w:rPr>
            </w:pPr>
            <w:r>
              <w:rPr>
                <w:rFonts w:hint="eastAsia" w:ascii="宋体" w:hAnsi="宋体" w:cs="宋体"/>
                <w:sz w:val="22"/>
              </w:rPr>
              <w:t>电梯轿厢保持目视干净、无污迹，每天更换地垫</w:t>
            </w:r>
          </w:p>
        </w:tc>
        <w:tc>
          <w:tcPr>
            <w:tcW w:w="660" w:type="dxa"/>
            <w:noWrap w:val="0"/>
            <w:vAlign w:val="top"/>
          </w:tcPr>
          <w:p>
            <w:pPr>
              <w:jc w:val="center"/>
              <w:rPr>
                <w:rFonts w:hint="eastAsia" w:ascii="宋体" w:hAnsi="宋体" w:cs="宋体"/>
                <w:sz w:val="22"/>
              </w:rPr>
            </w:pPr>
            <w:r>
              <w:rPr>
                <w:rFonts w:hint="eastAsia" w:ascii="宋体" w:hAnsi="宋体" w:cs="宋体"/>
                <w:sz w:val="22"/>
              </w:rPr>
              <w:t>0.5</w:t>
            </w:r>
          </w:p>
        </w:tc>
        <w:tc>
          <w:tcPr>
            <w:tcW w:w="3197" w:type="dxa"/>
            <w:noWrap w:val="0"/>
            <w:vAlign w:val="top"/>
          </w:tcPr>
          <w:p>
            <w:pPr>
              <w:jc w:val="center"/>
              <w:rPr>
                <w:rFonts w:hint="eastAsia" w:ascii="宋体" w:hAnsi="宋体" w:cs="宋体"/>
                <w:sz w:val="22"/>
              </w:rPr>
            </w:pPr>
            <w:r>
              <w:rPr>
                <w:rFonts w:hint="eastAsia" w:ascii="宋体" w:hAnsi="宋体" w:cs="宋体"/>
                <w:sz w:val="22"/>
              </w:rPr>
              <w:t>电梯轿厢无污迹0.5分</w:t>
            </w: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7</w:t>
            </w:r>
          </w:p>
        </w:tc>
        <w:tc>
          <w:tcPr>
            <w:tcW w:w="3576" w:type="dxa"/>
            <w:noWrap w:val="0"/>
            <w:vAlign w:val="top"/>
          </w:tcPr>
          <w:p>
            <w:pPr>
              <w:jc w:val="center"/>
              <w:rPr>
                <w:rFonts w:hint="eastAsia" w:ascii="宋体" w:hAnsi="宋体" w:cs="宋体"/>
                <w:sz w:val="22"/>
              </w:rPr>
            </w:pPr>
            <w:r>
              <w:rPr>
                <w:rFonts w:hint="eastAsia" w:ascii="宋体" w:hAnsi="宋体" w:cs="宋体"/>
                <w:sz w:val="22"/>
              </w:rPr>
              <w:t>负责枪库室被单、床单每月至少清洗1次，每周值班室内卫生打扫一次</w:t>
            </w:r>
          </w:p>
        </w:tc>
        <w:tc>
          <w:tcPr>
            <w:tcW w:w="660" w:type="dxa"/>
            <w:noWrap w:val="0"/>
            <w:vAlign w:val="top"/>
          </w:tcPr>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1</w:t>
            </w:r>
          </w:p>
        </w:tc>
        <w:tc>
          <w:tcPr>
            <w:tcW w:w="3197" w:type="dxa"/>
            <w:noWrap w:val="0"/>
            <w:vAlign w:val="top"/>
          </w:tcPr>
          <w:p>
            <w:pPr>
              <w:jc w:val="center"/>
              <w:rPr>
                <w:rFonts w:hint="eastAsia" w:ascii="宋体" w:hAnsi="宋体" w:cs="宋体"/>
                <w:sz w:val="22"/>
              </w:rPr>
            </w:pPr>
            <w:r>
              <w:rPr>
                <w:rFonts w:hint="eastAsia" w:ascii="宋体" w:hAnsi="宋体" w:cs="宋体"/>
                <w:sz w:val="22"/>
              </w:rPr>
              <w:t>被单、床单及时清洗0.5分；室内卫生及时打扫0.5分</w:t>
            </w: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r>
              <w:rPr>
                <w:rFonts w:hint="eastAsia" w:ascii="宋体" w:hAnsi="宋体" w:cs="宋体"/>
                <w:sz w:val="22"/>
              </w:rPr>
              <w:t>8</w:t>
            </w:r>
          </w:p>
        </w:tc>
        <w:tc>
          <w:tcPr>
            <w:tcW w:w="3576" w:type="dxa"/>
            <w:noWrap w:val="0"/>
            <w:vAlign w:val="top"/>
          </w:tcPr>
          <w:p>
            <w:pPr>
              <w:jc w:val="center"/>
              <w:rPr>
                <w:rFonts w:hint="eastAsia" w:ascii="宋体" w:hAnsi="宋体" w:cs="宋体"/>
                <w:sz w:val="22"/>
              </w:rPr>
            </w:pPr>
            <w:r>
              <w:rPr>
                <w:rFonts w:hint="eastAsia" w:ascii="宋体" w:hAnsi="宋体" w:cs="宋体"/>
                <w:sz w:val="22"/>
              </w:rPr>
              <w:t>大理石地面、墙面按规定定期保养</w:t>
            </w:r>
          </w:p>
        </w:tc>
        <w:tc>
          <w:tcPr>
            <w:tcW w:w="660" w:type="dxa"/>
            <w:noWrap w:val="0"/>
            <w:vAlign w:val="top"/>
          </w:tcPr>
          <w:p>
            <w:pPr>
              <w:jc w:val="center"/>
              <w:rPr>
                <w:rFonts w:hint="eastAsia" w:ascii="宋体" w:hAnsi="宋体" w:cs="宋体"/>
                <w:sz w:val="22"/>
              </w:rPr>
            </w:pPr>
            <w:r>
              <w:rPr>
                <w:rFonts w:hint="eastAsia" w:ascii="宋体" w:hAnsi="宋体" w:cs="宋体"/>
                <w:sz w:val="22"/>
              </w:rPr>
              <w:t>0.5</w:t>
            </w:r>
          </w:p>
        </w:tc>
        <w:tc>
          <w:tcPr>
            <w:tcW w:w="3197" w:type="dxa"/>
            <w:noWrap w:val="0"/>
            <w:vAlign w:val="top"/>
          </w:tcPr>
          <w:p>
            <w:pPr>
              <w:jc w:val="center"/>
              <w:rPr>
                <w:rFonts w:hint="eastAsia" w:ascii="宋体" w:hAnsi="宋体" w:cs="宋体"/>
                <w:sz w:val="22"/>
              </w:rPr>
            </w:pPr>
            <w:r>
              <w:rPr>
                <w:rFonts w:hint="eastAsia" w:ascii="宋体" w:hAnsi="宋体" w:cs="宋体"/>
                <w:sz w:val="22"/>
              </w:rPr>
              <w:t>定期保养0.5分</w:t>
            </w: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9</w:t>
            </w:r>
          </w:p>
        </w:tc>
        <w:tc>
          <w:tcPr>
            <w:tcW w:w="3576" w:type="dxa"/>
            <w:noWrap w:val="0"/>
            <w:vAlign w:val="top"/>
          </w:tcPr>
          <w:p>
            <w:pPr>
              <w:jc w:val="center"/>
              <w:rPr>
                <w:rFonts w:hint="eastAsia" w:ascii="宋体" w:hAnsi="宋体" w:cs="宋体"/>
                <w:sz w:val="22"/>
              </w:rPr>
            </w:pPr>
            <w:r>
              <w:rPr>
                <w:rFonts w:hint="eastAsia" w:ascii="宋体" w:hAnsi="宋体" w:cs="宋体"/>
                <w:sz w:val="22"/>
              </w:rPr>
              <w:t>绿化布局合理，绿地无杂物，无侵占现象以绿为主，绿地内植物覆盖在80%以上花草树木目视外观长势良好，无明显杂草，无严重病虫害，每年打药不少于1次。死亡树木应在植树季节及时补栽，绿地植物存活率95%以上，绿地设施基本完好</w:t>
            </w:r>
          </w:p>
        </w:tc>
        <w:tc>
          <w:tcPr>
            <w:tcW w:w="660" w:type="dxa"/>
            <w:noWrap w:val="0"/>
            <w:vAlign w:val="top"/>
          </w:tcPr>
          <w:p>
            <w:pPr>
              <w:jc w:val="center"/>
              <w:rPr>
                <w:rFonts w:hint="eastAsia" w:ascii="宋体" w:hAnsi="宋体" w:cs="宋体"/>
                <w:sz w:val="22"/>
              </w:rPr>
            </w:pPr>
          </w:p>
          <w:p>
            <w:pPr>
              <w:jc w:val="center"/>
              <w:rPr>
                <w:rFonts w:hint="eastAsia" w:ascii="宋体" w:hAnsi="宋体" w:cs="宋体"/>
                <w:sz w:val="22"/>
              </w:rPr>
            </w:pPr>
          </w:p>
          <w:p>
            <w:pPr>
              <w:jc w:val="center"/>
              <w:rPr>
                <w:rFonts w:hint="eastAsia" w:ascii="宋体" w:hAnsi="宋体" w:cs="宋体"/>
                <w:sz w:val="22"/>
              </w:rPr>
            </w:pPr>
            <w:r>
              <w:rPr>
                <w:rFonts w:hint="eastAsia" w:ascii="宋体" w:hAnsi="宋体" w:cs="宋体"/>
                <w:sz w:val="22"/>
              </w:rPr>
              <w:t>1</w:t>
            </w:r>
          </w:p>
        </w:tc>
        <w:tc>
          <w:tcPr>
            <w:tcW w:w="3197" w:type="dxa"/>
            <w:noWrap w:val="0"/>
            <w:vAlign w:val="top"/>
          </w:tcPr>
          <w:p>
            <w:pPr>
              <w:jc w:val="center"/>
              <w:rPr>
                <w:rFonts w:hint="eastAsia" w:ascii="宋体" w:hAnsi="宋体" w:cs="宋体"/>
                <w:sz w:val="22"/>
              </w:rPr>
            </w:pPr>
            <w:r>
              <w:rPr>
                <w:rFonts w:hint="eastAsia" w:ascii="宋体" w:hAnsi="宋体" w:cs="宋体"/>
                <w:sz w:val="22"/>
              </w:rPr>
              <w:t>花草树木目视外观长势良好0.5分；绿地植物存活率95%以上0.5分</w:t>
            </w:r>
          </w:p>
        </w:tc>
        <w:tc>
          <w:tcPr>
            <w:tcW w:w="357" w:type="dxa"/>
            <w:noWrap w:val="0"/>
            <w:vAlign w:val="top"/>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noWrap w:val="0"/>
            <w:vAlign w:val="top"/>
          </w:tcPr>
          <w:p>
            <w:pPr>
              <w:jc w:val="center"/>
              <w:rPr>
                <w:rFonts w:hint="eastAsia" w:ascii="宋体" w:hAnsi="宋体" w:cs="宋体"/>
                <w:sz w:val="22"/>
              </w:rPr>
            </w:pPr>
          </w:p>
        </w:tc>
        <w:tc>
          <w:tcPr>
            <w:tcW w:w="3576" w:type="dxa"/>
            <w:noWrap w:val="0"/>
            <w:vAlign w:val="top"/>
          </w:tcPr>
          <w:p>
            <w:pPr>
              <w:jc w:val="center"/>
              <w:rPr>
                <w:rFonts w:hint="eastAsia" w:ascii="宋体" w:hAnsi="宋体" w:cs="宋体"/>
                <w:sz w:val="22"/>
              </w:rPr>
            </w:pPr>
          </w:p>
        </w:tc>
        <w:tc>
          <w:tcPr>
            <w:tcW w:w="660" w:type="dxa"/>
            <w:noWrap w:val="0"/>
            <w:vAlign w:val="top"/>
          </w:tcPr>
          <w:p>
            <w:pPr>
              <w:jc w:val="center"/>
              <w:rPr>
                <w:rFonts w:hint="eastAsia" w:ascii="宋体" w:hAnsi="宋体" w:cs="宋体"/>
                <w:sz w:val="22"/>
              </w:rPr>
            </w:pPr>
          </w:p>
        </w:tc>
        <w:tc>
          <w:tcPr>
            <w:tcW w:w="3197" w:type="dxa"/>
            <w:noWrap w:val="0"/>
            <w:vAlign w:val="top"/>
          </w:tcPr>
          <w:p>
            <w:pPr>
              <w:jc w:val="center"/>
              <w:rPr>
                <w:rFonts w:hint="eastAsia" w:ascii="宋体" w:hAnsi="宋体" w:cs="宋体"/>
                <w:sz w:val="22"/>
              </w:rPr>
            </w:pPr>
          </w:p>
        </w:tc>
        <w:tc>
          <w:tcPr>
            <w:tcW w:w="357" w:type="dxa"/>
            <w:noWrap w:val="0"/>
            <w:vAlign w:val="top"/>
          </w:tcPr>
          <w:p>
            <w:pPr>
              <w:jc w:val="center"/>
              <w:rPr>
                <w:rFonts w:hint="eastAsia" w:ascii="宋体" w:hAnsi="宋体" w:cs="宋体"/>
                <w:sz w:val="22"/>
              </w:rPr>
            </w:pPr>
          </w:p>
        </w:tc>
      </w:tr>
    </w:tbl>
    <w:p>
      <w:pPr>
        <w:pStyle w:val="2"/>
        <w:numPr>
          <w:ilvl w:val="4"/>
          <w:numId w:val="0"/>
        </w:numPr>
        <w:rPr>
          <w:rFonts w:hint="eastAsia"/>
        </w:rPr>
      </w:pPr>
    </w:p>
    <w:p>
      <w:pPr>
        <w:spacing w:line="360" w:lineRule="auto"/>
        <w:rPr>
          <w:rFonts w:hint="eastAsia" w:ascii="宋体" w:hAnsi="宋体" w:cs="宋体"/>
          <w:b/>
          <w:bCs/>
          <w:sz w:val="24"/>
        </w:rPr>
      </w:pPr>
      <w:r>
        <w:rPr>
          <w:rFonts w:hint="eastAsia" w:ascii="宋体" w:hAnsi="宋体" w:cs="宋体"/>
          <w:b/>
          <w:bCs/>
          <w:sz w:val="24"/>
          <w:lang w:eastAsia="zh-CN"/>
        </w:rPr>
        <w:t>六</w:t>
      </w:r>
      <w:r>
        <w:rPr>
          <w:rFonts w:hint="eastAsia" w:ascii="宋体" w:hAnsi="宋体" w:cs="宋体"/>
          <w:b/>
          <w:bCs/>
          <w:sz w:val="24"/>
        </w:rPr>
        <w:t>、商务要求</w:t>
      </w:r>
    </w:p>
    <w:p>
      <w:pPr>
        <w:spacing w:line="360" w:lineRule="auto"/>
        <w:ind w:firstLine="482" w:firstLineChars="200"/>
        <w:rPr>
          <w:rFonts w:hint="eastAsia" w:ascii="宋体" w:hAnsi="宋体" w:cs="宋体"/>
          <w:sz w:val="24"/>
        </w:rPr>
      </w:pPr>
      <w:r>
        <w:rPr>
          <w:rFonts w:hint="eastAsia" w:ascii="宋体" w:hAnsi="宋体" w:cs="宋体"/>
          <w:b/>
          <w:bCs/>
          <w:sz w:val="24"/>
        </w:rPr>
        <w:t>1、服务期限：</w:t>
      </w:r>
      <w:r>
        <w:rPr>
          <w:rFonts w:hint="eastAsia" w:ascii="宋体" w:hAnsi="宋体" w:cs="宋体"/>
          <w:color w:val="FF0000"/>
          <w:kern w:val="0"/>
          <w:sz w:val="24"/>
          <w:lang w:eastAsia="zh-CN"/>
        </w:rPr>
        <w:t>三</w:t>
      </w:r>
      <w:r>
        <w:rPr>
          <w:rFonts w:hint="eastAsia" w:ascii="宋体" w:hAnsi="宋体" w:cs="宋体"/>
          <w:color w:val="FF0000"/>
          <w:kern w:val="0"/>
          <w:sz w:val="24"/>
        </w:rPr>
        <w:t>年</w:t>
      </w:r>
      <w:r>
        <w:rPr>
          <w:rFonts w:hint="eastAsia" w:ascii="宋体" w:hAnsi="宋体" w:cs="宋体"/>
          <w:kern w:val="0"/>
          <w:sz w:val="24"/>
        </w:rPr>
        <w:t>，合同一年一签，</w:t>
      </w:r>
      <w:r>
        <w:rPr>
          <w:rFonts w:hint="eastAsia" w:ascii="宋体" w:hAnsi="宋体" w:cs="宋体"/>
          <w:color w:val="000000"/>
          <w:sz w:val="24"/>
        </w:rPr>
        <w:t>具体起止时间以合同约定为准</w:t>
      </w:r>
      <w:r>
        <w:rPr>
          <w:rFonts w:hint="eastAsia" w:ascii="宋体" w:hAnsi="宋体" w:cs="宋体"/>
          <w:sz w:val="24"/>
        </w:rPr>
        <w:t>。单个合同期内，投标人有任意三个月份服务质量考核结果为不合格或连续两个月考核结果不合格的，采购人可立即终止合同且不承担任何责任。</w:t>
      </w:r>
    </w:p>
    <w:p>
      <w:pPr>
        <w:spacing w:line="360" w:lineRule="auto"/>
        <w:ind w:firstLine="482" w:firstLineChars="200"/>
        <w:rPr>
          <w:rFonts w:hint="eastAsia" w:ascii="宋体" w:hAnsi="宋体" w:cs="宋体"/>
          <w:sz w:val="24"/>
        </w:rPr>
      </w:pPr>
      <w:r>
        <w:rPr>
          <w:rFonts w:hint="eastAsia" w:ascii="宋体" w:hAnsi="宋体" w:cs="宋体"/>
          <w:b/>
          <w:bCs/>
          <w:sz w:val="24"/>
        </w:rPr>
        <w:t>2、付款方式：</w:t>
      </w:r>
      <w:r>
        <w:rPr>
          <w:rFonts w:hint="eastAsia" w:ascii="宋体" w:hAnsi="宋体" w:cs="宋体"/>
          <w:kern w:val="0"/>
          <w:sz w:val="24"/>
        </w:rPr>
        <w:t>按季支付，</w:t>
      </w:r>
      <w:r>
        <w:rPr>
          <w:rFonts w:hint="eastAsia" w:ascii="宋体" w:hAnsi="宋体" w:cs="宋体"/>
          <w:sz w:val="24"/>
        </w:rPr>
        <w:t>中标人于</w:t>
      </w:r>
      <w:r>
        <w:rPr>
          <w:rFonts w:hint="eastAsia" w:ascii="宋体" w:hAnsi="宋体" w:cs="宋体"/>
          <w:kern w:val="0"/>
          <w:sz w:val="24"/>
        </w:rPr>
        <w:t>每季度第一个月10日前</w:t>
      </w:r>
      <w:r>
        <w:rPr>
          <w:rFonts w:hint="eastAsia" w:ascii="宋体" w:hAnsi="宋体" w:cs="宋体"/>
          <w:sz w:val="24"/>
        </w:rPr>
        <w:t>开具上季度发票给采购人，采购人在收到发票后5日内</w:t>
      </w:r>
      <w:r>
        <w:rPr>
          <w:rFonts w:hint="eastAsia" w:ascii="宋体" w:hAnsi="宋体" w:cs="宋体"/>
          <w:kern w:val="0"/>
          <w:sz w:val="24"/>
        </w:rPr>
        <w:t>支付该季度费用。</w:t>
      </w:r>
    </w:p>
    <w:p>
      <w:pPr>
        <w:spacing w:line="360" w:lineRule="auto"/>
        <w:ind w:firstLine="482" w:firstLineChars="200"/>
        <w:rPr>
          <w:rFonts w:hint="eastAsia" w:ascii="宋体" w:hAnsi="宋体" w:cs="宋体"/>
          <w:b/>
          <w:bCs/>
          <w:sz w:val="24"/>
        </w:rPr>
      </w:pPr>
      <w:r>
        <w:rPr>
          <w:rFonts w:hint="eastAsia" w:ascii="宋体" w:hAnsi="宋体" w:cs="宋体"/>
          <w:b/>
          <w:bCs/>
          <w:sz w:val="24"/>
        </w:rPr>
        <w:t>3、中标人应承诺在合同签订并接到采购人通知后7个工作日内将相关服务人员配置到位。</w:t>
      </w:r>
    </w:p>
    <w:p>
      <w:pPr>
        <w:spacing w:line="360" w:lineRule="auto"/>
        <w:ind w:firstLine="482" w:firstLineChars="200"/>
        <w:rPr>
          <w:rFonts w:hint="eastAsia" w:ascii="宋体" w:hAnsi="宋体" w:cs="宋体"/>
          <w:b/>
          <w:bCs/>
          <w:sz w:val="24"/>
        </w:rPr>
      </w:pPr>
      <w:r>
        <w:rPr>
          <w:rFonts w:hint="eastAsia" w:ascii="宋体" w:hAnsi="宋体" w:cs="宋体"/>
          <w:b/>
          <w:bCs/>
          <w:sz w:val="24"/>
        </w:rPr>
        <w:t>4、其他要求</w:t>
      </w:r>
    </w:p>
    <w:p>
      <w:pPr>
        <w:spacing w:line="360" w:lineRule="auto"/>
        <w:ind w:firstLine="480" w:firstLineChars="200"/>
        <w:rPr>
          <w:rFonts w:hint="eastAsia" w:ascii="宋体" w:hAnsi="宋体" w:cs="宋体"/>
          <w:sz w:val="24"/>
        </w:rPr>
      </w:pPr>
      <w:r>
        <w:rPr>
          <w:rFonts w:hint="eastAsia" w:ascii="宋体" w:hAnsi="宋体" w:cs="宋体"/>
          <w:sz w:val="24"/>
        </w:rPr>
        <w:t xml:space="preserve"> （一）中标金额包含清洁用具费用，相应物品由物业管理服务单位自行购买区检察院指定产品。</w:t>
      </w:r>
    </w:p>
    <w:p>
      <w:pPr>
        <w:spacing w:line="360" w:lineRule="auto"/>
        <w:ind w:firstLine="480" w:firstLineChars="200"/>
        <w:rPr>
          <w:rFonts w:hint="eastAsia" w:ascii="宋体" w:hAnsi="宋体" w:cs="宋体"/>
          <w:sz w:val="24"/>
        </w:rPr>
      </w:pPr>
      <w:r>
        <w:rPr>
          <w:rFonts w:hint="eastAsia" w:ascii="宋体" w:hAnsi="宋体" w:cs="宋体"/>
          <w:sz w:val="24"/>
        </w:rPr>
        <w:t xml:space="preserve"> （二）中标金额包含工作人员服装及装备费用，服装样式以区检察院认可的为准。</w:t>
      </w:r>
    </w:p>
    <w:p>
      <w:pPr>
        <w:spacing w:line="360" w:lineRule="auto"/>
        <w:ind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eastAsia="zh-CN"/>
        </w:rPr>
        <w:t>三</w:t>
      </w:r>
      <w:r>
        <w:rPr>
          <w:rFonts w:hint="eastAsia" w:ascii="宋体" w:hAnsi="宋体" w:cs="宋体"/>
          <w:sz w:val="24"/>
        </w:rPr>
        <w:t>）公示24小时服务电话；有完整的报修、维修和回访记录。</w:t>
      </w:r>
    </w:p>
    <w:p>
      <w:pPr>
        <w:spacing w:line="360" w:lineRule="auto"/>
        <w:ind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eastAsia="zh-CN"/>
        </w:rPr>
        <w:t>四</w:t>
      </w:r>
      <w:r>
        <w:rPr>
          <w:rFonts w:hint="eastAsia" w:ascii="宋体" w:hAnsi="宋体" w:cs="宋体"/>
          <w:sz w:val="24"/>
        </w:rPr>
        <w:t>）保密措施到位，对管理服务中接触到的案件机密、秘密以及机关、领导个人机密、秘密，做好保密工作。</w:t>
      </w:r>
    </w:p>
    <w:p>
      <w:pPr>
        <w:spacing w:line="360" w:lineRule="auto"/>
        <w:ind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eastAsia="zh-CN"/>
        </w:rPr>
        <w:t>五</w:t>
      </w:r>
      <w:r>
        <w:rPr>
          <w:rFonts w:hint="eastAsia" w:ascii="宋体" w:hAnsi="宋体" w:cs="宋体"/>
          <w:sz w:val="24"/>
        </w:rPr>
        <w:t>）根据业主业务工作需求，按要求提供物业服务合同之外的特约服务和代办服务。</w:t>
      </w:r>
    </w:p>
    <w:p>
      <w:pPr>
        <w:spacing w:line="360" w:lineRule="auto"/>
        <w:ind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eastAsia="zh-CN"/>
        </w:rPr>
        <w:t>六</w:t>
      </w:r>
      <w:r>
        <w:rPr>
          <w:rFonts w:hint="eastAsia" w:ascii="宋体" w:hAnsi="宋体" w:cs="宋体"/>
          <w:sz w:val="24"/>
        </w:rPr>
        <w:t>）不得泄露服务单位内部工作人员的私人电话、工作时间及生活规律。</w:t>
      </w:r>
    </w:p>
    <w:p>
      <w:pPr>
        <w:spacing w:line="360" w:lineRule="auto"/>
        <w:ind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eastAsia="zh-CN"/>
        </w:rPr>
        <w:t>七</w:t>
      </w:r>
      <w:r>
        <w:rPr>
          <w:rFonts w:hint="eastAsia" w:ascii="宋体" w:hAnsi="宋体" w:cs="宋体"/>
          <w:sz w:val="24"/>
        </w:rPr>
        <w:t>）未经服务单位后勤主管部门批准，一律不允许参观人员入内参观大楼要害部位和核心设备。</w:t>
      </w:r>
    </w:p>
    <w:p>
      <w:pPr>
        <w:spacing w:line="360" w:lineRule="auto"/>
        <w:ind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eastAsia="zh-CN"/>
        </w:rPr>
        <w:t>八</w:t>
      </w:r>
      <w:r>
        <w:rPr>
          <w:rFonts w:hint="eastAsia" w:ascii="宋体" w:hAnsi="宋体" w:cs="宋体"/>
          <w:sz w:val="24"/>
        </w:rPr>
        <w:t>）对施工现场进行检查监督。</w:t>
      </w:r>
    </w:p>
    <w:p>
      <w:pPr>
        <w:spacing w:line="360" w:lineRule="auto"/>
        <w:ind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eastAsia="zh-CN"/>
        </w:rPr>
        <w:t>九</w:t>
      </w:r>
      <w:r>
        <w:rPr>
          <w:rFonts w:hint="eastAsia" w:ascii="宋体" w:hAnsi="宋体" w:cs="宋体"/>
          <w:sz w:val="24"/>
        </w:rPr>
        <w:t>）物业管理档案资料按保密等级分类存放和使用。</w:t>
      </w:r>
    </w:p>
    <w:p>
      <w:pPr>
        <w:spacing w:line="360" w:lineRule="auto"/>
        <w:ind w:firstLine="480" w:firstLineChars="200"/>
        <w:rPr>
          <w:rFonts w:hint="eastAsia" w:ascii="宋体" w:hAnsi="宋体" w:cs="宋体"/>
          <w:sz w:val="24"/>
        </w:rPr>
      </w:pPr>
      <w:r>
        <w:rPr>
          <w:rFonts w:hint="eastAsia" w:ascii="宋体" w:hAnsi="宋体" w:cs="宋体"/>
          <w:sz w:val="24"/>
        </w:rPr>
        <w:t>（十）物业管理服务中所需低值易耗品、清洁用品、用具、设备器材、物业管理办公费（包括电话费）和服务中损坏物赔偿费等由服务方自行承担。</w:t>
      </w:r>
    </w:p>
    <w:p>
      <w:pPr>
        <w:spacing w:line="360" w:lineRule="auto"/>
        <w:ind w:firstLine="480" w:firstLineChars="200"/>
        <w:rPr>
          <w:rFonts w:hint="eastAsia" w:ascii="宋体" w:hAnsi="宋体" w:cs="宋体"/>
          <w:sz w:val="24"/>
        </w:rPr>
      </w:pPr>
      <w:r>
        <w:rPr>
          <w:rFonts w:hint="eastAsia" w:ascii="宋体" w:hAnsi="宋体" w:cs="宋体"/>
          <w:sz w:val="24"/>
        </w:rPr>
        <w:t>（十</w:t>
      </w:r>
      <w:r>
        <w:rPr>
          <w:rFonts w:hint="eastAsia" w:ascii="宋体" w:hAnsi="宋体" w:cs="宋体"/>
          <w:sz w:val="24"/>
          <w:lang w:eastAsia="zh-CN"/>
        </w:rPr>
        <w:t>一</w:t>
      </w:r>
      <w:r>
        <w:rPr>
          <w:rFonts w:hint="eastAsia" w:ascii="宋体" w:hAnsi="宋体" w:cs="宋体"/>
          <w:sz w:val="24"/>
        </w:rPr>
        <w:t>）设备、设施中大修或购买，经业主方同意后办理，经费实报实销。</w:t>
      </w:r>
    </w:p>
    <w:p>
      <w:pPr>
        <w:spacing w:line="360" w:lineRule="auto"/>
        <w:ind w:firstLine="480" w:firstLineChars="200"/>
        <w:rPr>
          <w:rFonts w:hint="eastAsia" w:ascii="宋体" w:hAnsi="宋体" w:cs="宋体"/>
          <w:sz w:val="24"/>
        </w:rPr>
      </w:pPr>
      <w:r>
        <w:rPr>
          <w:rFonts w:hint="eastAsia" w:ascii="宋体" w:hAnsi="宋体" w:cs="宋体"/>
          <w:sz w:val="24"/>
        </w:rPr>
        <w:t>（十</w:t>
      </w:r>
      <w:r>
        <w:rPr>
          <w:rFonts w:hint="eastAsia" w:ascii="宋体" w:hAnsi="宋体" w:cs="宋体"/>
          <w:sz w:val="24"/>
          <w:lang w:eastAsia="zh-CN"/>
        </w:rPr>
        <w:t>二</w:t>
      </w:r>
      <w:r>
        <w:rPr>
          <w:rFonts w:hint="eastAsia" w:ascii="宋体" w:hAnsi="宋体" w:cs="宋体"/>
          <w:sz w:val="24"/>
        </w:rPr>
        <w:t>）本次招标项目不包括维修耗材、卫生间耗材等，设施设备的中修、大修维修基金由业主方建立。</w:t>
      </w:r>
    </w:p>
    <w:p>
      <w:pPr>
        <w:spacing w:line="360" w:lineRule="auto"/>
        <w:ind w:firstLine="480" w:firstLineChars="200"/>
        <w:rPr>
          <w:rFonts w:hint="eastAsia" w:ascii="宋体" w:hAnsi="宋体" w:cs="宋体"/>
          <w:sz w:val="24"/>
        </w:rPr>
      </w:pPr>
      <w:r>
        <w:rPr>
          <w:rFonts w:hint="eastAsia" w:ascii="宋体" w:hAnsi="宋体" w:cs="宋体"/>
          <w:sz w:val="24"/>
        </w:rPr>
        <w:t>（十</w:t>
      </w:r>
      <w:r>
        <w:rPr>
          <w:rFonts w:hint="eastAsia" w:ascii="宋体" w:hAnsi="宋体" w:cs="宋体"/>
          <w:sz w:val="24"/>
          <w:lang w:eastAsia="zh-CN"/>
        </w:rPr>
        <w:t>三</w:t>
      </w:r>
      <w:r>
        <w:rPr>
          <w:rFonts w:hint="eastAsia" w:ascii="宋体" w:hAnsi="宋体" w:cs="宋体"/>
          <w:sz w:val="24"/>
        </w:rPr>
        <w:t>）本物业项目要求中标人的员工在院内，不能使用大功率的电器（设备）用于生活用途，如热得快、电炒锅、电炉等；也不能使用煤气炉灶等私自做饭菜。</w:t>
      </w:r>
    </w:p>
    <w:p>
      <w:pPr>
        <w:spacing w:line="360" w:lineRule="auto"/>
        <w:ind w:firstLine="480" w:firstLineChars="200"/>
        <w:rPr>
          <w:rFonts w:hint="eastAsia"/>
        </w:rPr>
      </w:pPr>
      <w:r>
        <w:rPr>
          <w:rFonts w:hint="eastAsia" w:ascii="宋体" w:hAnsi="宋体" w:cs="宋体"/>
          <w:sz w:val="24"/>
        </w:rPr>
        <w:t>（十</w:t>
      </w:r>
      <w:r>
        <w:rPr>
          <w:rFonts w:hint="eastAsia" w:ascii="宋体" w:hAnsi="宋体" w:cs="宋体"/>
          <w:sz w:val="24"/>
          <w:lang w:eastAsia="zh-CN"/>
        </w:rPr>
        <w:t>四</w:t>
      </w:r>
      <w:r>
        <w:rPr>
          <w:rFonts w:hint="eastAsia" w:ascii="宋体" w:hAnsi="宋体" w:cs="宋体"/>
          <w:sz w:val="24"/>
        </w:rPr>
        <w:t>）物业公司对其物业管理服务人员工资标准、社保、福利等应执行国家和地方政府的相关法律、法规和部门规章，对其物业管理服务人员的疾病及人身安全负责，采购人对此不承担任何的责任和义务。若因物业公司拖欠物业管理服务人员工资、社保、福利等造成物业管理服务人员上访、闹访的，采购人可扣留当月服务费用于支付物业管理服务人员上述费用。</w:t>
      </w:r>
    </w:p>
    <w:p>
      <w:pPr>
        <w:keepNext w:val="0"/>
        <w:keepLines w:val="0"/>
        <w:pageBreakBefore w:val="0"/>
        <w:widowControl w:val="0"/>
        <w:kinsoku/>
        <w:wordWrap/>
        <w:overflowPunct/>
        <w:topLinePunct w:val="0"/>
        <w:autoSpaceDE/>
        <w:autoSpaceDN/>
        <w:bidi w:val="0"/>
        <w:adjustRightInd w:val="0"/>
        <w:snapToGrid w:val="0"/>
        <w:spacing w:line="360" w:lineRule="auto"/>
        <w:ind w:firstLine="281" w:firstLineChars="100"/>
        <w:textAlignment w:val="auto"/>
        <w:rPr>
          <w:rFonts w:hint="eastAsia" w:ascii="宋体" w:hAnsi="宋体" w:cs="宋体"/>
          <w:b/>
          <w:bCs/>
          <w:color w:val="000000"/>
          <w:sz w:val="28"/>
          <w:szCs w:val="28"/>
        </w:rPr>
      </w:pPr>
      <w:bookmarkStart w:id="252" w:name="_Toc12471_WPSOffice_Level2"/>
      <w:bookmarkStart w:id="253" w:name="_Toc24174_WPSOffice_Level2"/>
      <w:bookmarkStart w:id="254" w:name="_Toc10871_WPSOffice_Level2"/>
      <w:bookmarkStart w:id="255" w:name="_Toc529173741"/>
      <w:bookmarkStart w:id="256" w:name="_Toc533672602"/>
      <w:r>
        <w:rPr>
          <w:rFonts w:hint="eastAsia" w:ascii="宋体" w:hAnsi="宋体" w:cs="宋体"/>
          <w:b/>
          <w:bCs/>
          <w:color w:val="000000"/>
          <w:sz w:val="28"/>
          <w:szCs w:val="28"/>
          <w:lang w:eastAsia="zh-CN"/>
        </w:rPr>
        <w:t>（七）</w:t>
      </w:r>
      <w:r>
        <w:rPr>
          <w:rFonts w:hint="eastAsia" w:ascii="宋体" w:hAnsi="宋体" w:cs="宋体"/>
          <w:b/>
          <w:bCs/>
          <w:color w:val="000000"/>
          <w:sz w:val="28"/>
          <w:szCs w:val="28"/>
        </w:rPr>
        <w:t>验收标准：</w:t>
      </w:r>
      <w:bookmarkEnd w:id="252"/>
      <w:bookmarkEnd w:id="253"/>
      <w:bookmarkEnd w:id="254"/>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本项目招标人及其委托的招标代理机构将严格按照《财政部关于进一步加强政府采购需求和履约验收管理的指导意见》(财库〔2016〕205 号)的要求进行验收。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验收结果合格的，中标人凭验收报告办理相关手续；验收结果不合格的，招标人将不予支付采购资金，对于已支付的采购资金将予追回，同时还可能会报告本项目同级财政部门按照政府采购法律法规及《四川省政府采购当事人诚信管理办法》（川财采〔2015〕33号）等有关规定给予行政处罚或者以失信行为记入诚信档案。</w:t>
      </w:r>
    </w:p>
    <w:p>
      <w:pPr>
        <w:pStyle w:val="17"/>
        <w:outlineLvl w:val="9"/>
      </w:pPr>
    </w:p>
    <w:p>
      <w:pPr>
        <w:outlineLvl w:val="9"/>
      </w:pPr>
    </w:p>
    <w:p>
      <w:pPr>
        <w:outlineLvl w:val="9"/>
        <w:rPr>
          <w:rFonts w:ascii="宋体" w:hAnsi="宋体"/>
          <w:sz w:val="24"/>
        </w:rPr>
      </w:pPr>
    </w:p>
    <w:p>
      <w:pPr>
        <w:numPr>
          <w:ilvl w:val="3"/>
          <w:numId w:val="0"/>
        </w:numPr>
        <w:ind w:leftChars="0"/>
        <w:outlineLvl w:val="9"/>
        <w:rPr>
          <w:rFonts w:hint="eastAsia"/>
          <w:lang w:val="en-US" w:eastAsia="zh-CN"/>
        </w:rPr>
      </w:pPr>
      <w:r>
        <w:rPr>
          <w:rFonts w:hint="eastAsia"/>
          <w:lang w:val="en-US" w:eastAsia="zh-CN"/>
        </w:rPr>
        <w:t xml:space="preserve"> </w:t>
      </w:r>
    </w:p>
    <w:p>
      <w:pPr>
        <w:rPr>
          <w:rFonts w:hint="eastAsia"/>
          <w:lang w:val="en-US" w:eastAsia="zh-CN"/>
        </w:rPr>
      </w:pPr>
    </w:p>
    <w:p>
      <w:pPr>
        <w:pStyle w:val="17"/>
        <w:rPr>
          <w:rFonts w:hint="eastAsia"/>
          <w:lang w:val="en-US" w:eastAsia="zh-CN"/>
        </w:rPr>
      </w:pPr>
    </w:p>
    <w:p>
      <w:pPr>
        <w:rPr>
          <w:rFonts w:hint="eastAsia"/>
          <w:lang w:val="en-US" w:eastAsia="zh-CN"/>
        </w:rPr>
      </w:pPr>
    </w:p>
    <w:p>
      <w:pPr>
        <w:pStyle w:val="16"/>
        <w:ind w:left="0" w:leftChars="0" w:firstLine="0" w:firstLineChars="0"/>
        <w:rPr>
          <w:rFonts w:hint="eastAsia"/>
          <w:lang w:val="en-US" w:eastAsia="zh-CN"/>
        </w:rPr>
      </w:pPr>
    </w:p>
    <w:p>
      <w:pPr>
        <w:pStyle w:val="16"/>
        <w:rPr>
          <w:rFonts w:hint="eastAsia"/>
          <w:lang w:val="en-US" w:eastAsia="zh-CN"/>
        </w:rPr>
      </w:pPr>
    </w:p>
    <w:bookmarkEnd w:id="255"/>
    <w:bookmarkEnd w:id="256"/>
    <w:p>
      <w:pPr>
        <w:keepNext/>
        <w:keepLines/>
        <w:numPr>
          <w:ilvl w:val="0"/>
          <w:numId w:val="0"/>
        </w:numPr>
        <w:spacing w:before="340" w:after="330" w:line="400" w:lineRule="exact"/>
        <w:jc w:val="both"/>
        <w:outlineLvl w:val="0"/>
        <w:rPr>
          <w:rFonts w:ascii="宋体" w:hAnsi="宋体"/>
          <w:b/>
          <w:bCs/>
          <w:spacing w:val="-20"/>
          <w:kern w:val="44"/>
          <w:sz w:val="32"/>
          <w:szCs w:val="32"/>
        </w:rPr>
        <w:sectPr>
          <w:pgSz w:w="11850" w:h="16783"/>
          <w:pgMar w:top="1440" w:right="1800" w:bottom="1440" w:left="1800" w:header="708" w:footer="708" w:gutter="0"/>
          <w:cols w:space="708" w:num="1"/>
          <w:docGrid w:linePitch="360" w:charSpace="0"/>
        </w:sectPr>
      </w:pPr>
      <w:bookmarkStart w:id="257" w:name="_Toc74752339"/>
    </w:p>
    <w:p>
      <w:pPr>
        <w:keepNext/>
        <w:keepLines/>
        <w:numPr>
          <w:ilvl w:val="0"/>
          <w:numId w:val="6"/>
        </w:numPr>
        <w:spacing w:before="340" w:after="330" w:line="400" w:lineRule="exact"/>
        <w:jc w:val="center"/>
        <w:outlineLvl w:val="0"/>
        <w:rPr>
          <w:rFonts w:ascii="宋体" w:hAnsi="宋体"/>
          <w:b/>
          <w:bCs/>
          <w:spacing w:val="-20"/>
          <w:kern w:val="44"/>
          <w:sz w:val="32"/>
          <w:szCs w:val="32"/>
        </w:rPr>
      </w:pPr>
      <w:bookmarkStart w:id="258" w:name="_Toc28183_WPSOffice_Level1"/>
      <w:bookmarkStart w:id="259" w:name="_Toc21072_WPSOffice_Level1"/>
      <w:bookmarkStart w:id="260" w:name="_Toc21586_WPSOffice_Level1"/>
      <w:r>
        <w:rPr>
          <w:rFonts w:hint="eastAsia" w:ascii="宋体" w:hAnsi="宋体"/>
          <w:b/>
          <w:bCs/>
          <w:spacing w:val="-20"/>
          <w:kern w:val="44"/>
          <w:sz w:val="32"/>
          <w:szCs w:val="32"/>
        </w:rPr>
        <w:t>资格性审查</w:t>
      </w:r>
      <w:bookmarkEnd w:id="257"/>
      <w:bookmarkEnd w:id="258"/>
      <w:bookmarkEnd w:id="259"/>
      <w:bookmarkEnd w:id="260"/>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资格性审查由采购人组建的资格审查小组依据法律法规和招标文件的规定，对投标保证金(区公资交易中心出具的</w:t>
      </w:r>
      <w:r>
        <w:rPr>
          <w:rFonts w:hint="eastAsia" w:ascii="宋体" w:hAnsi="宋体"/>
          <w:b/>
          <w:sz w:val="28"/>
          <w:szCs w:val="28"/>
        </w:rPr>
        <w:t>《</w:t>
      </w:r>
      <w:r>
        <w:rPr>
          <w:rFonts w:hint="eastAsia" w:ascii="宋体" w:hAnsi="宋体" w:cs="宋体"/>
          <w:b/>
          <w:sz w:val="28"/>
          <w:szCs w:val="28"/>
        </w:rPr>
        <w:t>成都市政府采购项目供应商参与及保证金交纳情况表》</w:t>
      </w:r>
      <w:r>
        <w:rPr>
          <w:rFonts w:hint="eastAsia" w:ascii="宋体" w:hAnsi="宋体"/>
          <w:b/>
          <w:sz w:val="28"/>
          <w:szCs w:val="28"/>
        </w:rPr>
        <w:t>或投标人递交的投标保函</w:t>
      </w:r>
      <w:r>
        <w:rPr>
          <w:rFonts w:hint="eastAsia" w:ascii="宋体" w:hAnsi="宋体"/>
          <w:sz w:val="28"/>
          <w:szCs w:val="28"/>
        </w:rPr>
        <w:t>)、投标文件中的资格证明等进行审查，以确定投标人是否具备投标资格，并出具资格性审查报告。</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区公资交易中心将以电子邮件形式通知各投标人。资格性审查标准见下表：</w:t>
      </w:r>
    </w:p>
    <w:tbl>
      <w:tblPr>
        <w:tblStyle w:val="4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446"/>
        <w:gridCol w:w="1756"/>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7"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sz w:val="20"/>
              </w:rPr>
            </w:pPr>
            <w:r>
              <w:rPr>
                <w:b/>
                <w:sz w:val="20"/>
              </w:rPr>
              <w:t>资格性审查项</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在中华人民共和国境内依法登记注册，并有效存续具有独立法人资格的</w:t>
            </w:r>
            <w:r>
              <w:rPr>
                <w:rFonts w:hint="eastAsia"/>
                <w:sz w:val="20"/>
              </w:rPr>
              <w:t>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营业执照复印件（正本或副本）或法人证书复印件（正本或副本）</w:t>
            </w:r>
            <w:r>
              <w:rPr>
                <w:rFonts w:hint="eastAsia"/>
                <w:sz w:val="20"/>
              </w:rPr>
              <w:t>。</w:t>
            </w:r>
            <w:r>
              <w:rPr>
                <w:sz w:val="20"/>
              </w:rPr>
              <w:t>【说明：</w:t>
            </w:r>
            <w:r>
              <w:rPr>
                <w:rFonts w:hint="eastAsia" w:ascii="宋体" w:hAnsi="宋体"/>
                <w:sz w:val="20"/>
                <w:szCs w:val="28"/>
              </w:rPr>
              <w:t>①</w:t>
            </w:r>
            <w:r>
              <w:rPr>
                <w:sz w:val="20"/>
              </w:rPr>
              <w:t>营业执照或法人证书载明有期限的，应在有效期限内；</w:t>
            </w:r>
            <w:r>
              <w:rPr>
                <w:rFonts w:hint="eastAsia" w:ascii="宋体" w:hAnsi="宋体"/>
                <w:sz w:val="20"/>
                <w:szCs w:val="28"/>
              </w:rPr>
              <w:t>②</w:t>
            </w:r>
            <w:r>
              <w:rPr>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sz w:val="20"/>
              </w:rPr>
              <w:t>2</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具有良好的商业信誉的证明材料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投标人具有良好的商业信誉的书面声明材料。【</w:t>
            </w:r>
            <w:r>
              <w:rPr>
                <w:rFonts w:hint="eastAsia"/>
                <w:sz w:val="20"/>
              </w:rPr>
              <w:t>说明</w:t>
            </w:r>
            <w:r>
              <w:rPr>
                <w:sz w:val="20"/>
              </w:rPr>
              <w:t>：</w:t>
            </w:r>
            <w:r>
              <w:rPr>
                <w:rFonts w:hint="eastAsia" w:ascii="宋体" w:hAnsi="宋体"/>
                <w:sz w:val="20"/>
                <w:szCs w:val="28"/>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w:t>
            </w:r>
            <w:r>
              <w:rPr>
                <w:rFonts w:ascii="宋体" w:hAnsi="宋体"/>
                <w:sz w:val="20"/>
                <w:szCs w:val="28"/>
              </w:rPr>
              <w:t>具有良好的商业信誉</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参加政府采购活动前三年内，在经营活动中没有重大违法记录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1.投标人参加政府采购活动前三年内，在经营活动中没有重大违法记录的书面声明材料</w:t>
            </w:r>
            <w:r>
              <w:rPr>
                <w:rFonts w:hint="eastAsia"/>
                <w:sz w:val="20"/>
              </w:rPr>
              <w:t>。</w:t>
            </w:r>
            <w:r>
              <w:rPr>
                <w:sz w:val="20"/>
              </w:rPr>
              <w:t>【说明：</w:t>
            </w:r>
            <w:r>
              <w:rPr>
                <w:rFonts w:hint="eastAsia" w:ascii="宋体" w:hAnsi="宋体"/>
                <w:sz w:val="20"/>
                <w:szCs w:val="28"/>
              </w:rPr>
              <w:t>①</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sz w:val="20"/>
              </w:rPr>
              <w:t>；</w:t>
            </w:r>
            <w:r>
              <w:rPr>
                <w:rFonts w:hint="eastAsia" w:ascii="宋体" w:hAnsi="宋体"/>
                <w:sz w:val="20"/>
                <w:szCs w:val="28"/>
              </w:rPr>
              <w:t>②供应商参加政府采购活动前三年内，在经营活动中没有重大违法记录</w:t>
            </w:r>
            <w:r>
              <w:rPr>
                <w:sz w:val="20"/>
              </w:rPr>
              <w:t>。】</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“中国政府采购网”网站的查询结果，在资格审查期间对投标人在参加政府采购活动前三年内，在经营活动中是否有重大违法记录进行审查</w:t>
            </w:r>
            <w:r>
              <w:rPr>
                <w:rFonts w:hint="eastAsia"/>
                <w:sz w:val="20"/>
              </w:rPr>
              <w:t>。</w:t>
            </w:r>
            <w:r>
              <w:rPr>
                <w:sz w:val="20"/>
              </w:rPr>
              <w:t>【说明：投标人参加政府采购活动前三年内，在经营活动中没有重大违法记录</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未被列入失信被执行人、重大税收违法案件当事人名单、政府采购严重违法失信行为记录名单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1.投标人未列入失信被执行人、重大税收违法案件当事人名单、政府采购严重违法失信行为记录名单的书面声明材料</w:t>
            </w:r>
            <w:r>
              <w:rPr>
                <w:rFonts w:hint="eastAsia"/>
                <w:sz w:val="20"/>
              </w:rPr>
              <w:t>。</w:t>
            </w:r>
            <w:r>
              <w:rPr>
                <w:sz w:val="20"/>
              </w:rPr>
              <w:t>【说明：</w:t>
            </w:r>
            <w:r>
              <w:rPr>
                <w:rFonts w:hint="eastAsia" w:ascii="宋体" w:hAnsi="宋体" w:cs="宋体"/>
                <w:sz w:val="20"/>
                <w:lang w:eastAsia="ja-JP"/>
              </w:rPr>
              <w:t>①</w:t>
            </w:r>
            <w:r>
              <w:rPr>
                <w:sz w:val="20"/>
              </w:rPr>
              <w:t>投标人未列入失信被执行人、重大税收违法案件当事人名单、政府采购严重违法失信行为记录名单；</w:t>
            </w:r>
            <w:r>
              <w:rPr>
                <w:rFonts w:hint="eastAsia" w:ascii="宋体" w:hAnsi="宋体"/>
                <w:sz w:val="20"/>
                <w:szCs w:val="28"/>
              </w:rPr>
              <w:t>②</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sz w:val="20"/>
              </w:rPr>
              <w:t>。</w:t>
            </w:r>
            <w:r>
              <w:rPr>
                <w:sz w:val="20"/>
              </w:rPr>
              <w:t>【说明：投标人未列入失信被执行人、重大税收违法案件当事人名单、政府采购严重违法失信行为记录名单。】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未处于被行政部门禁止参与政府采购活动的期限内</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投标人未处于被行政部门禁止参与政府采购活动的期限内。【说明：</w:t>
            </w:r>
            <w:r>
              <w:rPr>
                <w:rFonts w:hint="eastAsia"/>
                <w:sz w:val="20"/>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；②供应商未处于被行政部门禁止参与政府采购活动的期限内。</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行贿犯罪记录</w:t>
            </w:r>
          </w:p>
        </w:tc>
        <w:tc>
          <w:tcPr>
            <w:tcW w:w="629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在行贿犯罪信息查询期限内，投标人及其现任法定代表人、主要负责人没有行贿犯罪记录的书面声明材料。【说明：</w:t>
            </w:r>
            <w:r>
              <w:rPr>
                <w:rFonts w:hint="eastAsia" w:ascii="宋体" w:hAnsi="宋体" w:cs="宋体"/>
                <w:sz w:val="20"/>
                <w:lang w:eastAsia="ja-JP"/>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的格式及要求提供书面声明材料，投标文件中不需提供中国裁判文书网（https://wenshu.court.gov.cn）查询结果的证明材料</w:t>
            </w:r>
            <w:r>
              <w:rPr>
                <w:rFonts w:hint="eastAsia"/>
                <w:sz w:val="20"/>
              </w:rPr>
              <w:t>；</w:t>
            </w:r>
            <w:r>
              <w:rPr>
                <w:rFonts w:hint="eastAsia" w:ascii="宋体" w:hAnsi="宋体"/>
                <w:sz w:val="20"/>
                <w:szCs w:val="28"/>
              </w:rPr>
              <w:t>②在行贿犯罪信息查询期限内，供应商及其现任法定代表人、主要负责人没有行贿犯罪记录</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单位负责人为同一人或者存在直接控股、管理关系的不同供应商，不得参加同一项目的投标</w:t>
            </w:r>
          </w:p>
        </w:tc>
        <w:tc>
          <w:tcPr>
            <w:tcW w:w="6299"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与投标人单位负责人为同一人或者存在直接控股、管理关系的相关供应商的书面声明材料。</w:t>
            </w:r>
            <w:r>
              <w:rPr>
                <w:sz w:val="20"/>
              </w:rPr>
              <w:t>【说明：</w:t>
            </w:r>
            <w:r>
              <w:rPr>
                <w:rFonts w:hint="eastAsia"/>
                <w:sz w:val="20"/>
              </w:rPr>
              <w:t>①</w:t>
            </w:r>
            <w:r>
              <w:rPr>
                <w:sz w:val="20"/>
              </w:rPr>
              <w:t>按招标文件3.2.2</w:t>
            </w:r>
            <w:r>
              <w:rPr>
                <w:rFonts w:hint="eastAsia"/>
                <w:sz w:val="20"/>
              </w:rPr>
              <w:t>声明</w:t>
            </w:r>
            <w:r>
              <w:rPr>
                <w:sz w:val="20"/>
              </w:rPr>
              <w:t>的格式及要求提供书面声明材料</w:t>
            </w:r>
            <w:r>
              <w:rPr>
                <w:rFonts w:hint="eastAsia"/>
                <w:sz w:val="20"/>
              </w:rPr>
              <w:t>；②参加投标的供应商中无与投标人的单位负责人为同一人或者存在直接控股、管理关系的供应商</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3</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不属于其他国家相关法律法规规定的禁止参加投标的供应商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1、根据招标文件的要求不属于禁止参加投标或投标无效的供应商；</w:t>
            </w:r>
          </w:p>
          <w:p>
            <w:pPr>
              <w:tabs>
                <w:tab w:val="left" w:pos="851"/>
              </w:tabs>
              <w:spacing w:line="360" w:lineRule="auto"/>
              <w:rPr>
                <w:sz w:val="20"/>
              </w:rPr>
            </w:pPr>
            <w:r>
              <w:rPr>
                <w:sz w:val="20"/>
              </w:rPr>
              <w:t>2、资格审查小组未发现或者未知晓投标人存在属于国家相关法律法规规定的禁止参加投标或投标无效的供应商。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具有履行合同所必须的设备和专业技术能力</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采购人对投标人履行合同所必须的设备和专业技术能力无其他特殊要求，投标人具有有效的营业执照或法人证书即可，可不提供其他证明材料。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法律、行政法规规定的其他条件</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采购人对法律、行政法规规定的其他条件无其他特殊要求，投标人具有有效的营业执照或法人证书即可，可不提供其他证明材料。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联合体投标</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非联合体投标。</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资质要求</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投标保证金</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sz w:val="20"/>
              </w:rPr>
              <w:t>投标文件解密情况</w:t>
            </w:r>
          </w:p>
        </w:tc>
        <w:tc>
          <w:tcPr>
            <w:tcW w:w="6299"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投标文件签章</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投标文件加盖有投标人（法定名称）电子签章</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投标文件资格性审查部分的语言</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语言符合招标文件的要求。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4</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投标文件资格性审查部分组成</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符合资格</w:t>
            </w:r>
            <w:r>
              <w:rPr>
                <w:rFonts w:hint="eastAsia" w:ascii="宋体" w:hAnsi="宋体"/>
                <w:sz w:val="20"/>
                <w:szCs w:val="28"/>
                <w:lang w:eastAsia="zh-CN"/>
              </w:rPr>
              <w:t>响应</w:t>
            </w:r>
            <w:r>
              <w:rPr>
                <w:rFonts w:hint="eastAsia" w:ascii="宋体" w:hAnsi="宋体"/>
                <w:sz w:val="20"/>
                <w:szCs w:val="28"/>
              </w:rPr>
              <w:t>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【说明：投标人按招标文件3.2.1关于投标人资格资格申明的函格式及要求提供关于投标人资格资格申明的函。】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5</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缴纳社会保障资金的证明材料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6</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缴纳税收的证明材料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年任意时段的税收的银行电子回单或者行政部门出具的纳税证明或完税证明的复印件。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7</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具有健全的财务会计制度的证明材料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20</w:t>
            </w:r>
            <w:r>
              <w:rPr>
                <w:rFonts w:hint="eastAsia"/>
                <w:sz w:val="20"/>
              </w:rPr>
              <w:t>19</w:t>
            </w:r>
            <w:r>
              <w:rPr>
                <w:sz w:val="20"/>
              </w:rPr>
              <w:t>或20</w:t>
            </w:r>
            <w:r>
              <w:rPr>
                <w:rFonts w:hint="eastAsia"/>
                <w:sz w:val="20"/>
              </w:rPr>
              <w:t>20</w:t>
            </w:r>
            <w:r>
              <w:rPr>
                <w:sz w:val="20"/>
              </w:rPr>
              <w:t>会计年度资产负债表复印件</w:t>
            </w:r>
            <w:r>
              <w:rPr>
                <w:rFonts w:hint="eastAsia"/>
                <w:sz w:val="20"/>
              </w:rPr>
              <w:t>。</w:t>
            </w:r>
            <w:r>
              <w:rPr>
                <w:sz w:val="20"/>
              </w:rPr>
              <w:t>【说明：投标人成立时间至投标截止时间止不足一年的，提供成立后任意时段的资产负债表复印件</w:t>
            </w:r>
            <w:r>
              <w:rPr>
                <w:rFonts w:hint="eastAsia"/>
                <w:sz w:val="20"/>
              </w:rPr>
              <w:t>。</w:t>
            </w:r>
            <w:r>
              <w:rPr>
                <w:sz w:val="20"/>
              </w:rPr>
              <w:t>】</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投标人的投标文件资格性审查时被判定为无效的，区公资交易中心将通知投标人（以现场公示、电话、短信、区公资交易中心网站等任一方式）。投标人如对资格审查结论有异议的，应及时向区公资交易中心反馈意见。区公资交易中心将及时告知资格审查小组。（说明：无论投标人是否收到通知或提供反馈意见，均不影响资格审查和评标工作，且区公资交易中心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四、通过资格性审查的供应商＜3名，采购失败。</w:t>
      </w: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pStyle w:val="17"/>
        <w:rPr>
          <w:rFonts w:ascii="宋体" w:hAnsi="宋体"/>
          <w:sz w:val="28"/>
          <w:szCs w:val="28"/>
        </w:rPr>
      </w:pPr>
    </w:p>
    <w:p>
      <w:pPr>
        <w:rPr>
          <w:rFonts w:ascii="宋体" w:hAnsi="宋体"/>
          <w:sz w:val="28"/>
          <w:szCs w:val="28"/>
        </w:rPr>
      </w:pPr>
    </w:p>
    <w:p>
      <w:pPr>
        <w:pStyle w:val="17"/>
        <w:rPr>
          <w:rFonts w:ascii="宋体" w:hAnsi="宋体"/>
          <w:sz w:val="28"/>
          <w:szCs w:val="28"/>
        </w:rPr>
      </w:pPr>
    </w:p>
    <w:p>
      <w:pPr>
        <w:rPr>
          <w:rFonts w:ascii="宋体" w:hAnsi="宋体"/>
          <w:sz w:val="28"/>
          <w:szCs w:val="28"/>
        </w:rPr>
      </w:pPr>
    </w:p>
    <w:p>
      <w:pPr>
        <w:pStyle w:val="2"/>
      </w:pPr>
    </w:p>
    <w:p>
      <w:pPr>
        <w:pStyle w:val="3"/>
      </w:pPr>
    </w:p>
    <w:p>
      <w:pPr>
        <w:pStyle w:val="17"/>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keepNext/>
        <w:keepLines/>
        <w:numPr>
          <w:ilvl w:val="0"/>
          <w:numId w:val="6"/>
        </w:numPr>
        <w:spacing w:line="360" w:lineRule="auto"/>
        <w:ind w:left="0" w:firstLine="0"/>
        <w:jc w:val="center"/>
        <w:outlineLvl w:val="0"/>
        <w:rPr>
          <w:rFonts w:ascii="宋体" w:hAnsi="宋体"/>
          <w:b/>
          <w:bCs/>
          <w:spacing w:val="-20"/>
          <w:kern w:val="44"/>
          <w:sz w:val="32"/>
          <w:szCs w:val="32"/>
        </w:rPr>
      </w:pPr>
      <w:bookmarkStart w:id="261" w:name="_Toc74752340"/>
      <w:bookmarkStart w:id="262" w:name="_Toc23411_WPSOffice_Level1"/>
      <w:bookmarkStart w:id="263" w:name="_Toc797_WPSOffice_Level1"/>
      <w:bookmarkStart w:id="264" w:name="_Toc12471_WPSOffice_Level1"/>
      <w:r>
        <w:rPr>
          <w:rFonts w:hint="eastAsia" w:ascii="宋体" w:hAnsi="宋体"/>
          <w:b/>
          <w:bCs/>
          <w:spacing w:val="-20"/>
          <w:kern w:val="44"/>
          <w:sz w:val="32"/>
          <w:szCs w:val="32"/>
        </w:rPr>
        <w:t>评标办法</w:t>
      </w:r>
      <w:bookmarkEnd w:id="261"/>
      <w:bookmarkEnd w:id="262"/>
      <w:bookmarkEnd w:id="263"/>
      <w:bookmarkEnd w:id="264"/>
    </w:p>
    <w:p>
      <w:pPr>
        <w:keepNext/>
        <w:keepLines/>
        <w:numPr>
          <w:ilvl w:val="1"/>
          <w:numId w:val="6"/>
        </w:numPr>
        <w:spacing w:line="360" w:lineRule="auto"/>
        <w:jc w:val="left"/>
        <w:outlineLvl w:val="1"/>
        <w:rPr>
          <w:rFonts w:ascii="宋体" w:hAnsi="宋体"/>
          <w:b/>
          <w:bCs/>
          <w:sz w:val="28"/>
          <w:szCs w:val="28"/>
        </w:rPr>
      </w:pPr>
      <w:bookmarkStart w:id="265" w:name="_Toc74752341"/>
      <w:bookmarkStart w:id="266" w:name="_Toc7286_WPSOffice_Level2"/>
      <w:bookmarkStart w:id="267" w:name="_Toc5379_WPSOffice_Level2"/>
      <w:bookmarkStart w:id="268" w:name="_Toc15872_WPSOffice_Level2"/>
      <w:r>
        <w:rPr>
          <w:rFonts w:hint="eastAsia" w:ascii="宋体" w:hAnsi="宋体"/>
          <w:b/>
          <w:bCs/>
          <w:sz w:val="28"/>
          <w:szCs w:val="28"/>
        </w:rPr>
        <w:t>总则</w:t>
      </w:r>
      <w:bookmarkEnd w:id="265"/>
      <w:bookmarkEnd w:id="266"/>
      <w:bookmarkEnd w:id="267"/>
      <w:bookmarkEnd w:id="268"/>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rPr>
        <w:t>区公资交易中心</w:t>
      </w:r>
      <w:r>
        <w:rPr>
          <w:rFonts w:hint="eastAsia" w:ascii="宋体" w:hAnsi="宋体"/>
          <w:sz w:val="28"/>
          <w:szCs w:val="28"/>
        </w:rPr>
        <w:t>负责组织，具体评标事务由采购人或</w:t>
      </w:r>
      <w:r>
        <w:rPr>
          <w:rFonts w:hint="eastAsia" w:cs="Arial"/>
          <w:sz w:val="28"/>
          <w:szCs w:val="28"/>
        </w:rPr>
        <w:t>区公资交易中心</w:t>
      </w:r>
      <w:r>
        <w:rPr>
          <w:rFonts w:hint="eastAsia" w:ascii="宋体" w:hAnsi="宋体"/>
          <w:sz w:val="28"/>
          <w:szCs w:val="28"/>
        </w:rPr>
        <w:t>依法组建的评标委员会负责。评标委员会由采购人代表和评审专家组成。</w:t>
      </w:r>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40"/>
        </w:numPr>
        <w:spacing w:line="360" w:lineRule="auto"/>
        <w:ind w:left="0" w:firstLine="567"/>
        <w:rPr>
          <w:rFonts w:ascii="宋体" w:hAnsi="宋体"/>
          <w:sz w:val="28"/>
          <w:szCs w:val="28"/>
        </w:rPr>
      </w:pPr>
      <w:r>
        <w:rPr>
          <w:rFonts w:hint="eastAsia" w:ascii="宋体" w:hAnsi="宋体"/>
          <w:sz w:val="28"/>
          <w:szCs w:val="28"/>
        </w:rPr>
        <w:t>熟悉和理解招标文件；</w:t>
      </w:r>
    </w:p>
    <w:p>
      <w:pPr>
        <w:numPr>
          <w:ilvl w:val="1"/>
          <w:numId w:val="40"/>
        </w:numPr>
        <w:spacing w:line="360" w:lineRule="auto"/>
        <w:ind w:left="0" w:firstLine="567"/>
        <w:rPr>
          <w:rFonts w:ascii="宋体" w:hAnsi="宋体"/>
          <w:sz w:val="28"/>
          <w:szCs w:val="28"/>
        </w:rPr>
      </w:pPr>
      <w:r>
        <w:rPr>
          <w:rFonts w:hint="eastAsia" w:ascii="宋体" w:hAnsi="宋体"/>
          <w:sz w:val="28"/>
          <w:szCs w:val="28"/>
        </w:rPr>
        <w:t>审查、评价投标文件是否符合招标文件的商务、技术等实质性要求；</w:t>
      </w:r>
    </w:p>
    <w:p>
      <w:pPr>
        <w:numPr>
          <w:ilvl w:val="1"/>
          <w:numId w:val="40"/>
        </w:numPr>
        <w:spacing w:line="360" w:lineRule="auto"/>
        <w:ind w:left="0" w:firstLine="567"/>
        <w:rPr>
          <w:rFonts w:ascii="宋体" w:hAnsi="宋体"/>
          <w:sz w:val="28"/>
          <w:szCs w:val="28"/>
        </w:rPr>
      </w:pPr>
      <w:r>
        <w:rPr>
          <w:rFonts w:hint="eastAsia" w:ascii="宋体" w:hAnsi="宋体"/>
          <w:sz w:val="28"/>
          <w:szCs w:val="28"/>
        </w:rPr>
        <w:t>对投标文件进行比较和评价；</w:t>
      </w:r>
    </w:p>
    <w:p>
      <w:pPr>
        <w:numPr>
          <w:ilvl w:val="1"/>
          <w:numId w:val="40"/>
        </w:numPr>
        <w:spacing w:line="360" w:lineRule="auto"/>
        <w:ind w:left="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40"/>
        </w:numPr>
        <w:spacing w:line="360" w:lineRule="auto"/>
        <w:ind w:left="0" w:firstLine="567"/>
        <w:rPr>
          <w:rFonts w:ascii="宋体" w:hAnsi="宋体"/>
          <w:sz w:val="28"/>
          <w:szCs w:val="28"/>
        </w:rPr>
      </w:pPr>
      <w:r>
        <w:rPr>
          <w:rFonts w:hint="eastAsia" w:ascii="宋体" w:hAnsi="宋体"/>
          <w:sz w:val="28"/>
          <w:szCs w:val="28"/>
        </w:rPr>
        <w:t>确定中标候选人名单，以及根据采购人委托直接确定中标人；</w:t>
      </w:r>
    </w:p>
    <w:p>
      <w:pPr>
        <w:numPr>
          <w:ilvl w:val="1"/>
          <w:numId w:val="40"/>
        </w:numPr>
        <w:spacing w:line="360" w:lineRule="auto"/>
        <w:ind w:left="0" w:firstLine="567"/>
        <w:rPr>
          <w:rFonts w:ascii="宋体" w:hAnsi="宋体"/>
          <w:sz w:val="28"/>
          <w:szCs w:val="28"/>
        </w:rPr>
      </w:pPr>
      <w:r>
        <w:rPr>
          <w:rFonts w:hint="eastAsia" w:ascii="宋体" w:hAnsi="宋体"/>
          <w:sz w:val="28"/>
          <w:szCs w:val="28"/>
        </w:rPr>
        <w:t>起草评标报告并进行签署；</w:t>
      </w:r>
    </w:p>
    <w:p>
      <w:pPr>
        <w:numPr>
          <w:ilvl w:val="1"/>
          <w:numId w:val="40"/>
        </w:numPr>
        <w:spacing w:line="360" w:lineRule="auto"/>
        <w:ind w:left="0" w:firstLine="567"/>
        <w:rPr>
          <w:rFonts w:ascii="宋体" w:hAnsi="宋体"/>
          <w:sz w:val="28"/>
          <w:szCs w:val="28"/>
        </w:rPr>
      </w:pPr>
      <w:r>
        <w:rPr>
          <w:rFonts w:hint="eastAsia" w:ascii="宋体" w:hAnsi="宋体"/>
          <w:sz w:val="28"/>
          <w:szCs w:val="28"/>
        </w:rPr>
        <w:t>向采购人、区公资交易中心构或者财政、监察等有关部门报告或举报非法干预评标工作的行为；</w:t>
      </w:r>
    </w:p>
    <w:p>
      <w:pPr>
        <w:numPr>
          <w:ilvl w:val="1"/>
          <w:numId w:val="40"/>
        </w:numPr>
        <w:spacing w:line="360" w:lineRule="auto"/>
        <w:ind w:left="0" w:firstLine="567"/>
        <w:rPr>
          <w:rFonts w:ascii="宋体" w:hAnsi="宋体"/>
          <w:sz w:val="28"/>
          <w:szCs w:val="28"/>
        </w:rPr>
      </w:pPr>
      <w:r>
        <w:rPr>
          <w:rFonts w:hint="eastAsia" w:ascii="宋体" w:hAnsi="宋体"/>
          <w:sz w:val="28"/>
          <w:szCs w:val="28"/>
        </w:rPr>
        <w:t>向采购人、</w:t>
      </w:r>
      <w:r>
        <w:rPr>
          <w:rFonts w:hint="eastAsia" w:cs="Arial"/>
          <w:sz w:val="28"/>
          <w:szCs w:val="28"/>
        </w:rPr>
        <w:t>区公资交易中心</w:t>
      </w:r>
      <w:r>
        <w:rPr>
          <w:rFonts w:hint="eastAsia" w:ascii="宋体" w:hAnsi="宋体"/>
          <w:sz w:val="28"/>
          <w:szCs w:val="28"/>
        </w:rPr>
        <w:t>或者有关部门报告评标中发现的违法行为。</w:t>
      </w:r>
    </w:p>
    <w:p>
      <w:pPr>
        <w:numPr>
          <w:ilvl w:val="1"/>
          <w:numId w:val="40"/>
        </w:numPr>
        <w:spacing w:line="360" w:lineRule="auto"/>
        <w:ind w:left="0" w:firstLine="567"/>
        <w:rPr>
          <w:rFonts w:ascii="宋体" w:hAnsi="宋体"/>
          <w:sz w:val="28"/>
          <w:szCs w:val="28"/>
        </w:rPr>
      </w:pPr>
      <w:r>
        <w:rPr>
          <w:rFonts w:hint="eastAsia" w:ascii="宋体" w:hAnsi="宋体"/>
          <w:sz w:val="28"/>
          <w:szCs w:val="28"/>
        </w:rPr>
        <w:t>法律、法规和规章规定的其他职责。</w:t>
      </w:r>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评标委员会发现招标文件表述不明确或需要说明的事项，可提请采购人和区公资交易中心书面解释说明。</w:t>
      </w:r>
    </w:p>
    <w:p>
      <w:pPr>
        <w:keepNext/>
        <w:keepLines/>
        <w:numPr>
          <w:ilvl w:val="1"/>
          <w:numId w:val="6"/>
        </w:numPr>
        <w:spacing w:line="360" w:lineRule="auto"/>
        <w:jc w:val="left"/>
        <w:outlineLvl w:val="1"/>
        <w:rPr>
          <w:rFonts w:ascii="宋体" w:hAnsi="宋体"/>
          <w:b/>
          <w:bCs/>
          <w:sz w:val="28"/>
          <w:szCs w:val="28"/>
        </w:rPr>
      </w:pPr>
      <w:bookmarkStart w:id="269" w:name="_Toc14221_WPSOffice_Level2"/>
      <w:bookmarkStart w:id="270" w:name="_Toc19990_WPSOffice_Level2"/>
      <w:bookmarkStart w:id="271" w:name="_Toc13945_WPSOffice_Level2"/>
      <w:bookmarkStart w:id="272" w:name="_Toc74752342"/>
      <w:r>
        <w:rPr>
          <w:rFonts w:hint="eastAsia" w:ascii="宋体" w:hAnsi="宋体"/>
          <w:b/>
          <w:bCs/>
          <w:sz w:val="28"/>
          <w:szCs w:val="28"/>
        </w:rPr>
        <w:t>评标方法</w:t>
      </w:r>
      <w:bookmarkEnd w:id="269"/>
      <w:bookmarkEnd w:id="270"/>
      <w:bookmarkEnd w:id="271"/>
      <w:bookmarkEnd w:id="272"/>
    </w:p>
    <w:p>
      <w:pPr>
        <w:spacing w:line="360" w:lineRule="auto"/>
        <w:ind w:firstLine="565" w:firstLineChars="202"/>
        <w:rPr>
          <w:rFonts w:ascii="宋体" w:hAnsi="宋体"/>
          <w:sz w:val="28"/>
          <w:szCs w:val="28"/>
        </w:rPr>
      </w:pPr>
      <w:r>
        <w:rPr>
          <w:rFonts w:hint="eastAsia" w:ascii="宋体" w:hAnsi="宋体"/>
          <w:sz w:val="28"/>
          <w:szCs w:val="28"/>
        </w:rPr>
        <w:t>综合评分法。</w:t>
      </w:r>
    </w:p>
    <w:p>
      <w:pPr>
        <w:keepNext/>
        <w:keepLines/>
        <w:numPr>
          <w:ilvl w:val="1"/>
          <w:numId w:val="6"/>
        </w:numPr>
        <w:spacing w:line="360" w:lineRule="auto"/>
        <w:jc w:val="left"/>
        <w:outlineLvl w:val="1"/>
        <w:rPr>
          <w:rFonts w:ascii="宋体" w:hAnsi="宋体"/>
          <w:b/>
          <w:bCs/>
          <w:sz w:val="28"/>
          <w:szCs w:val="28"/>
        </w:rPr>
      </w:pPr>
      <w:bookmarkStart w:id="273" w:name="_Toc29385_WPSOffice_Level2"/>
      <w:bookmarkStart w:id="274" w:name="_Toc74752343"/>
      <w:bookmarkStart w:id="275" w:name="_Toc24949_WPSOffice_Level2"/>
      <w:bookmarkStart w:id="276" w:name="_Toc11406_WPSOffice_Level2"/>
      <w:r>
        <w:rPr>
          <w:rFonts w:hint="eastAsia" w:ascii="宋体" w:hAnsi="宋体"/>
          <w:b/>
          <w:bCs/>
          <w:sz w:val="28"/>
          <w:szCs w:val="28"/>
        </w:rPr>
        <w:t>评标程序</w:t>
      </w:r>
      <w:bookmarkEnd w:id="273"/>
      <w:bookmarkEnd w:id="274"/>
      <w:bookmarkEnd w:id="275"/>
      <w:bookmarkEnd w:id="276"/>
    </w:p>
    <w:p>
      <w:pPr>
        <w:keepNext/>
        <w:keepLines/>
        <w:numPr>
          <w:ilvl w:val="2"/>
          <w:numId w:val="6"/>
        </w:numPr>
        <w:spacing w:line="360" w:lineRule="auto"/>
        <w:ind w:left="3119" w:hanging="3119"/>
        <w:outlineLvl w:val="2"/>
        <w:rPr>
          <w:rFonts w:ascii="宋体" w:hAnsi="宋体"/>
          <w:b/>
          <w:bCs/>
          <w:sz w:val="28"/>
          <w:szCs w:val="28"/>
        </w:rPr>
      </w:pPr>
      <w:r>
        <w:rPr>
          <w:rFonts w:hint="eastAsia" w:ascii="宋体" w:hAnsi="宋体"/>
          <w:b/>
          <w:bCs/>
          <w:sz w:val="28"/>
          <w:szCs w:val="28"/>
        </w:rPr>
        <w:t>符合性审查</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符合性审查标准见下表（按以下顺序审查）：</w:t>
      </w:r>
    </w:p>
    <w:tbl>
      <w:tblPr>
        <w:tblStyle w:val="48"/>
        <w:tblW w:w="874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087"/>
        <w:gridCol w:w="5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sz w:val="24"/>
                <w:szCs w:val="28"/>
              </w:rPr>
            </w:pPr>
            <w:r>
              <w:rPr>
                <w:rFonts w:hint="eastAsia" w:ascii="宋体" w:hAnsi="宋体"/>
                <w:b/>
                <w:sz w:val="24"/>
                <w:szCs w:val="28"/>
              </w:rPr>
              <w:t>符合性审查项</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组成</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2</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的计量单位、语言、报价货币、投标有效期</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3</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第4章打</w:t>
            </w:r>
            <w:r>
              <w:rPr>
                <w:rFonts w:hint="eastAsia" w:ascii="宋体" w:hAnsi="宋体" w:cs="宋体"/>
                <w:sz w:val="24"/>
                <w:szCs w:val="28"/>
              </w:rPr>
              <w:t>▲</w:t>
            </w:r>
            <w:r>
              <w:rPr>
                <w:rFonts w:hint="eastAsia" w:ascii="宋体" w:hAnsi="宋体"/>
                <w:sz w:val="24"/>
                <w:szCs w:val="28"/>
              </w:rPr>
              <w:t>号的技术、服务、商务和其他要求</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投标文件均实质性响应招标文件中加</w:t>
            </w:r>
            <w:r>
              <w:rPr>
                <w:rFonts w:hint="eastAsia" w:ascii="宋体" w:hAnsi="宋体" w:cs="宋体"/>
                <w:sz w:val="24"/>
                <w:szCs w:val="28"/>
              </w:rPr>
              <w:t>▲</w:t>
            </w:r>
            <w:r>
              <w:rPr>
                <w:rFonts w:hint="eastAsia" w:ascii="宋体" w:hAnsi="宋体"/>
                <w:sz w:val="24"/>
                <w:szCs w:val="28"/>
              </w:rPr>
              <w:t>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4</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不属于禁止参加投标或投标无效的供应商</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5</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6</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5846" w:type="dxa"/>
            <w:tcBorders>
              <w:top w:val="single" w:color="auto" w:sz="2" w:space="0"/>
              <w:left w:val="single" w:color="auto" w:sz="2" w:space="0"/>
              <w:bottom w:val="single" w:color="auto" w:sz="2" w:space="0"/>
              <w:right w:val="single" w:color="auto" w:sz="2" w:space="0"/>
            </w:tcBorders>
            <w:vAlign w:val="center"/>
          </w:tcPr>
          <w:p>
            <w:pPr>
              <w:pStyle w:val="154"/>
              <w:spacing w:line="360" w:lineRule="auto"/>
              <w:rPr>
                <w:rFonts w:ascii="宋体" w:hAnsi="宋体"/>
                <w:sz w:val="24"/>
                <w:szCs w:val="28"/>
              </w:rPr>
            </w:pPr>
            <w:r>
              <w:rPr>
                <w:rFonts w:hAnsi="宋体" w:cs="Times New Roman"/>
                <w:color w:val="auto"/>
                <w:kern w:val="2"/>
                <w:szCs w:val="28"/>
              </w:rPr>
              <w:t>1.承诺函【注：①按</w:t>
            </w:r>
            <w:r>
              <w:rPr>
                <w:rFonts w:ascii="Times New Roman" w:hAnsi="Times New Roman" w:cs="Times New Roman"/>
                <w:color w:val="auto"/>
                <w:kern w:val="2"/>
                <w:szCs w:val="28"/>
              </w:rPr>
              <w:t>3.3.7</w:t>
            </w:r>
            <w:r>
              <w:rPr>
                <w:rFonts w:hAnsi="宋体" w:cs="Times New Roman"/>
                <w:color w:val="auto"/>
                <w:kern w:val="2"/>
                <w:szCs w:val="28"/>
              </w:rPr>
              <w:t>的格式及要求提供承诺函；②承诺的内容满足招标文件的要求。】。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7</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报价</w:t>
            </w:r>
            <w:r>
              <w:rPr>
                <w:rFonts w:ascii="宋体" w:hAnsi="宋体"/>
                <w:sz w:val="24"/>
                <w:szCs w:val="28"/>
              </w:rPr>
              <w:t>要求响应文件的</w:t>
            </w:r>
            <w:r>
              <w:rPr>
                <w:rFonts w:hint="eastAsia" w:ascii="宋体" w:hAnsi="宋体"/>
                <w:sz w:val="24"/>
                <w:szCs w:val="28"/>
              </w:rPr>
              <w:t>投标报价</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pPr>
            <w:r>
              <w:rPr>
                <w:rFonts w:hint="eastAsia" w:ascii="宋体" w:hAnsi="宋体"/>
                <w:sz w:val="24"/>
                <w:szCs w:val="28"/>
              </w:rPr>
              <w:t>开标一览表、报价</w:t>
            </w:r>
            <w:r>
              <w:rPr>
                <w:rFonts w:ascii="宋体" w:hAnsi="宋体"/>
                <w:sz w:val="24"/>
                <w:szCs w:val="28"/>
              </w:rPr>
              <w:t>明细表</w:t>
            </w:r>
            <w:r>
              <w:rPr>
                <w:rFonts w:hint="eastAsia" w:ascii="宋体" w:hAnsi="宋体"/>
                <w:sz w:val="24"/>
                <w:szCs w:val="28"/>
              </w:rPr>
              <w:t>、</w:t>
            </w:r>
            <w:r>
              <w:rPr>
                <w:rFonts w:ascii="宋体" w:hAnsi="宋体"/>
                <w:sz w:val="24"/>
                <w:szCs w:val="28"/>
              </w:rPr>
              <w:t>投标文件</w:t>
            </w:r>
            <w:r>
              <w:rPr>
                <w:rFonts w:hint="eastAsia" w:ascii="宋体" w:hAnsi="宋体"/>
                <w:sz w:val="24"/>
                <w:szCs w:val="28"/>
              </w:rPr>
              <w:t>【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w:t>
            </w:r>
            <w:r>
              <w:rPr>
                <w:rFonts w:hint="eastAsia" w:ascii="宋体" w:hAnsi="宋体"/>
                <w:sz w:val="24"/>
                <w:szCs w:val="28"/>
                <w:lang w:eastAsia="zh-CN"/>
              </w:rPr>
              <w:t>（服务）</w:t>
            </w:r>
            <w:r>
              <w:rPr>
                <w:rFonts w:hint="eastAsia" w:ascii="宋体" w:hAnsi="宋体"/>
                <w:sz w:val="24"/>
                <w:szCs w:val="28"/>
              </w:rPr>
              <w:t>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投标人的投标文件符合性审查时被判定为无效投标文件的，区公资交易中心将通知投标人（以现场公示、电话、短信、区公资交易中心网站等任一方式）。投标人如对评审结论有异议的，应及时向区公资交易中心反馈意见。区公资交易中心在评审结束前将收到的反馈意见及时告知评标委员会。（说明：无论投标人是否收到通知或提供反馈意见，均不影响评标委员会的评标工作，且区公资交易中心对此将不承担任何的责任。投标人对评审结论有异议的，其反馈意见仅限于评标委员会对评审结论的正确性进行复核，避免出现评审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三、通过符合性审查的供应商＜3名，本项目采购失败。</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解释、澄清有关问题</w:t>
      </w:r>
    </w:p>
    <w:p>
      <w:pPr>
        <w:numPr>
          <w:ilvl w:val="0"/>
          <w:numId w:val="41"/>
        </w:numPr>
        <w:tabs>
          <w:tab w:val="left" w:pos="1134"/>
        </w:tabs>
        <w:spacing w:line="360" w:lineRule="auto"/>
        <w:ind w:left="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区公资交易中心书面解释。区公资交易中心的解释不得改变招标文件的原义或者影响公平、公正，解释事项如果涉及投标人权益的以有利于投标人的原则进行解释。</w:t>
      </w:r>
    </w:p>
    <w:p>
      <w:pPr>
        <w:numPr>
          <w:ilvl w:val="0"/>
          <w:numId w:val="41"/>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41"/>
        </w:numPr>
        <w:tabs>
          <w:tab w:val="left" w:pos="1134"/>
        </w:tabs>
        <w:spacing w:line="360" w:lineRule="auto"/>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42"/>
        </w:numPr>
        <w:tabs>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42"/>
        </w:numPr>
        <w:tabs>
          <w:tab w:val="left" w:pos="1260"/>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42"/>
        </w:numPr>
        <w:tabs>
          <w:tab w:val="left" w:pos="993"/>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41"/>
        </w:numPr>
        <w:tabs>
          <w:tab w:val="left" w:pos="1134"/>
        </w:tabs>
        <w:spacing w:line="360" w:lineRule="auto"/>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（一）开标现场宣读的投标报价与投标文件中的投标报价不一致的，以投标人</w:t>
      </w:r>
      <w:r>
        <w:rPr>
          <w:rFonts w:ascii="宋体" w:hAnsi="宋体"/>
          <w:sz w:val="28"/>
          <w:szCs w:val="28"/>
        </w:rPr>
        <w:t>在</w:t>
      </w:r>
      <w:r>
        <w:rPr>
          <w:rFonts w:hint="eastAsia" w:ascii="宋体" w:hAnsi="宋体"/>
          <w:sz w:val="28"/>
          <w:szCs w:val="28"/>
        </w:rPr>
        <w:t>政府采购</w:t>
      </w:r>
      <w:r>
        <w:rPr>
          <w:rFonts w:ascii="宋体" w:hAnsi="宋体"/>
          <w:sz w:val="28"/>
          <w:szCs w:val="28"/>
        </w:rPr>
        <w:t>云平台</w:t>
      </w:r>
      <w:r>
        <w:rPr>
          <w:rFonts w:hint="eastAsia" w:ascii="宋体" w:hAnsi="宋体"/>
          <w:sz w:val="28"/>
          <w:szCs w:val="28"/>
        </w:rPr>
        <w:t>开标</w:t>
      </w:r>
      <w:r>
        <w:rPr>
          <w:rFonts w:ascii="宋体" w:hAnsi="宋体"/>
          <w:sz w:val="28"/>
          <w:szCs w:val="28"/>
        </w:rPr>
        <w:t>一览表中填写的报价为准</w:t>
      </w:r>
      <w:r>
        <w:rPr>
          <w:rFonts w:hint="eastAsia" w:ascii="宋体" w:hAnsi="宋体"/>
          <w:sz w:val="28"/>
          <w:szCs w:val="28"/>
        </w:rPr>
        <w:t>；</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spacing w:line="360" w:lineRule="auto"/>
        <w:ind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360" w:lineRule="auto"/>
        <w:ind w:firstLine="561"/>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比较与评价</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rPr>
        <w:t>区公资交易中心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43"/>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43"/>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43"/>
        </w:numPr>
        <w:tabs>
          <w:tab w:val="left" w:pos="851"/>
          <w:tab w:val="left" w:pos="1276"/>
          <w:tab w:val="left" w:pos="1560"/>
        </w:tabs>
        <w:spacing w:line="360" w:lineRule="auto"/>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43"/>
        </w:numPr>
        <w:tabs>
          <w:tab w:val="left" w:pos="851"/>
          <w:tab w:val="left" w:pos="1276"/>
        </w:tabs>
        <w:spacing w:line="360" w:lineRule="auto"/>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确定中标候选人名单</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kern w:val="0"/>
          <w:sz w:val="28"/>
          <w:szCs w:val="28"/>
        </w:rPr>
        <w:t>投标文件满足招标文件全部实质性要求，且按照评审因素的量化指标评审得分最高的投标人为排名第一的中标候选人。</w:t>
      </w:r>
    </w:p>
    <w:p>
      <w:pPr>
        <w:keepNext/>
        <w:keepLines/>
        <w:numPr>
          <w:ilvl w:val="2"/>
          <w:numId w:val="6"/>
        </w:numPr>
        <w:spacing w:before="240" w:line="360" w:lineRule="auto"/>
        <w:ind w:left="0" w:firstLine="0"/>
        <w:outlineLvl w:val="2"/>
        <w:rPr>
          <w:rFonts w:ascii="宋体" w:hAnsi="宋体"/>
          <w:b/>
          <w:bCs/>
          <w:sz w:val="28"/>
          <w:szCs w:val="28"/>
        </w:rPr>
      </w:pPr>
      <w:r>
        <w:rPr>
          <w:rFonts w:hint="eastAsia" w:ascii="宋体" w:hAnsi="宋体"/>
          <w:b/>
          <w:bCs/>
          <w:sz w:val="28"/>
          <w:szCs w:val="28"/>
        </w:rPr>
        <w:t>编写评标报告</w:t>
      </w:r>
    </w:p>
    <w:p>
      <w:pPr>
        <w:spacing w:line="360" w:lineRule="auto"/>
        <w:ind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投标人名单和评标委员会成员名单；</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评标方法和标准；</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6"/>
        </w:numPr>
        <w:spacing w:line="360" w:lineRule="auto"/>
        <w:jc w:val="left"/>
        <w:outlineLvl w:val="1"/>
        <w:rPr>
          <w:rFonts w:ascii="宋体" w:hAnsi="宋体"/>
          <w:b/>
          <w:bCs/>
          <w:sz w:val="28"/>
          <w:szCs w:val="28"/>
        </w:rPr>
      </w:pPr>
      <w:bookmarkStart w:id="277" w:name="_Toc795_WPSOffice_Level2"/>
      <w:bookmarkStart w:id="278" w:name="_Toc22665_WPSOffice_Level2"/>
      <w:bookmarkStart w:id="279" w:name="_Toc14172_WPSOffice_Level2"/>
      <w:bookmarkStart w:id="280" w:name="_Toc74752344"/>
      <w:r>
        <w:rPr>
          <w:rFonts w:hint="eastAsia" w:ascii="宋体" w:hAnsi="宋体"/>
          <w:b/>
          <w:bCs/>
          <w:sz w:val="28"/>
          <w:szCs w:val="28"/>
        </w:rPr>
        <w:t>评标争议处理规则</w:t>
      </w:r>
      <w:bookmarkEnd w:id="277"/>
      <w:bookmarkEnd w:id="278"/>
      <w:bookmarkEnd w:id="279"/>
      <w:bookmarkEnd w:id="280"/>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rPr>
        <w:t>区公资交易中心</w:t>
      </w:r>
      <w:r>
        <w:rPr>
          <w:rFonts w:hint="eastAsia" w:ascii="宋体" w:hAnsi="宋体"/>
          <w:sz w:val="28"/>
          <w:szCs w:val="28"/>
        </w:rPr>
        <w:t>书面反映。采购人或</w:t>
      </w:r>
      <w:r>
        <w:rPr>
          <w:rFonts w:hint="eastAsia" w:cs="Arial"/>
          <w:sz w:val="28"/>
          <w:szCs w:val="28"/>
        </w:rPr>
        <w:t>区公资交易中心</w:t>
      </w:r>
      <w:r>
        <w:rPr>
          <w:rFonts w:hint="eastAsia" w:ascii="宋体" w:hAnsi="宋体"/>
          <w:sz w:val="28"/>
          <w:szCs w:val="28"/>
        </w:rPr>
        <w:t>收到书面反映后，应当书面报告采购项目同级财政部门依法处理。</w:t>
      </w:r>
    </w:p>
    <w:p>
      <w:pPr>
        <w:keepNext/>
        <w:keepLines/>
        <w:numPr>
          <w:ilvl w:val="1"/>
          <w:numId w:val="6"/>
        </w:numPr>
        <w:spacing w:line="360" w:lineRule="auto"/>
        <w:jc w:val="left"/>
        <w:outlineLvl w:val="1"/>
        <w:rPr>
          <w:rFonts w:ascii="宋体" w:hAnsi="宋体"/>
          <w:b/>
          <w:bCs/>
          <w:sz w:val="28"/>
          <w:szCs w:val="28"/>
        </w:rPr>
      </w:pPr>
      <w:bookmarkStart w:id="281" w:name="_Toc31997_WPSOffice_Level2"/>
      <w:bookmarkStart w:id="282" w:name="_Toc1096_WPSOffice_Level2"/>
      <w:bookmarkStart w:id="283" w:name="_Toc23072_WPSOffice_Level2"/>
      <w:bookmarkStart w:id="284" w:name="_Toc74752345"/>
      <w:r>
        <w:rPr>
          <w:rFonts w:hint="eastAsia" w:ascii="宋体" w:hAnsi="宋体"/>
          <w:b/>
          <w:bCs/>
          <w:sz w:val="28"/>
          <w:szCs w:val="28"/>
        </w:rPr>
        <w:t>评标细则及标准</w:t>
      </w:r>
      <w:bookmarkEnd w:id="281"/>
      <w:bookmarkEnd w:id="282"/>
      <w:bookmarkEnd w:id="283"/>
      <w:bookmarkEnd w:id="284"/>
    </w:p>
    <w:p>
      <w:pPr>
        <w:numPr>
          <w:ilvl w:val="0"/>
          <w:numId w:val="45"/>
        </w:numPr>
        <w:tabs>
          <w:tab w:val="left" w:pos="1155"/>
        </w:tabs>
        <w:spacing w:after="200" w:line="360" w:lineRule="auto"/>
        <w:ind w:left="0" w:firstLine="567"/>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numPr>
          <w:ilvl w:val="0"/>
          <w:numId w:val="45"/>
        </w:numPr>
        <w:tabs>
          <w:tab w:val="left" w:pos="1155"/>
        </w:tabs>
        <w:spacing w:after="200" w:line="360" w:lineRule="auto"/>
        <w:ind w:left="0" w:firstLine="567"/>
        <w:rPr>
          <w:rFonts w:ascii="宋体" w:hAnsi="宋体"/>
          <w:sz w:val="28"/>
          <w:szCs w:val="28"/>
        </w:rPr>
      </w:pPr>
      <w:r>
        <w:rPr>
          <w:rFonts w:hint="eastAsia" w:ascii="宋体" w:hAnsi="宋体"/>
          <w:sz w:val="28"/>
          <w:szCs w:val="28"/>
        </w:rPr>
        <w:t>本次综合评分的因素是：价格、服务、商务等。</w:t>
      </w:r>
    </w:p>
    <w:p>
      <w:pPr>
        <w:numPr>
          <w:ilvl w:val="0"/>
          <w:numId w:val="45"/>
        </w:numPr>
        <w:tabs>
          <w:tab w:val="left" w:pos="1155"/>
        </w:tabs>
        <w:spacing w:after="200" w:line="360" w:lineRule="auto"/>
        <w:ind w:left="0" w:firstLine="525"/>
        <w:rPr>
          <w:rFonts w:ascii="宋体" w:hAnsi="宋体"/>
          <w:sz w:val="28"/>
          <w:szCs w:val="28"/>
        </w:rPr>
      </w:pPr>
      <w:r>
        <w:rPr>
          <w:rFonts w:hint="eastAsia" w:ascii="宋体" w:hAnsi="宋体"/>
          <w:sz w:val="28"/>
          <w:szCs w:val="28"/>
        </w:rPr>
        <w:t>评标委员会成员应依据招标文件规定的评分标准和方法独立打分。</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spacing w:line="360" w:lineRule="auto"/>
        <w:ind w:firstLine="630" w:firstLineChars="225"/>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spacing w:line="360" w:lineRule="auto"/>
        <w:ind w:firstLine="630" w:firstLineChars="225"/>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widowControl/>
        <w:spacing w:line="360" w:lineRule="auto"/>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评分标准</w:t>
      </w:r>
    </w:p>
    <w:tbl>
      <w:tblPr>
        <w:tblStyle w:val="48"/>
        <w:tblW w:w="78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479"/>
        <w:gridCol w:w="4752"/>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b/>
                <w:sz w:val="24"/>
                <w:szCs w:val="24"/>
                <w:lang w:eastAsia="zh-CN"/>
              </w:rPr>
            </w:pPr>
            <w:r>
              <w:rPr>
                <w:rFonts w:hint="eastAsia" w:ascii="宋体" w:hAnsi="宋体" w:cs="宋体"/>
                <w:b/>
                <w:sz w:val="24"/>
                <w:szCs w:val="24"/>
                <w:lang w:eastAsia="zh-CN"/>
              </w:rPr>
              <w:t>序号</w:t>
            </w:r>
          </w:p>
        </w:tc>
        <w:tc>
          <w:tcPr>
            <w:tcW w:w="147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b/>
                <w:sz w:val="24"/>
                <w:szCs w:val="24"/>
                <w:lang w:eastAsia="zh-CN"/>
              </w:rPr>
            </w:pPr>
            <w:r>
              <w:rPr>
                <w:rFonts w:hint="eastAsia" w:ascii="宋体" w:hAnsi="宋体" w:cs="宋体"/>
                <w:b/>
                <w:sz w:val="24"/>
                <w:szCs w:val="24"/>
              </w:rPr>
              <w:t>评审项目</w:t>
            </w:r>
            <w:r>
              <w:rPr>
                <w:rFonts w:hint="eastAsia" w:ascii="宋体" w:hAnsi="宋体" w:cs="宋体"/>
                <w:b/>
                <w:sz w:val="24"/>
                <w:szCs w:val="24"/>
                <w:lang w:eastAsia="zh-CN"/>
              </w:rPr>
              <w:t>及分值</w:t>
            </w:r>
          </w:p>
        </w:tc>
        <w:tc>
          <w:tcPr>
            <w:tcW w:w="47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b/>
                <w:sz w:val="24"/>
                <w:szCs w:val="24"/>
              </w:rPr>
            </w:pPr>
            <w:r>
              <w:rPr>
                <w:rFonts w:hint="eastAsia" w:ascii="宋体" w:hAnsi="宋体" w:cs="宋体"/>
                <w:b/>
                <w:sz w:val="24"/>
                <w:szCs w:val="24"/>
              </w:rPr>
              <w:t>评分标准</w:t>
            </w:r>
          </w:p>
        </w:tc>
        <w:tc>
          <w:tcPr>
            <w:tcW w:w="963" w:type="dxa"/>
            <w:tcBorders>
              <w:top w:val="single" w:color="auto" w:sz="2" w:space="0"/>
              <w:left w:val="single" w:color="auto" w:sz="2" w:space="0"/>
              <w:bottom w:val="single" w:color="auto" w:sz="2" w:space="0"/>
              <w:right w:val="single" w:color="auto" w:sz="2" w:space="0"/>
            </w:tcBorders>
          </w:tcPr>
          <w:p>
            <w:pPr>
              <w:jc w:val="center"/>
              <w:rPr>
                <w:rFonts w:ascii="宋体" w:hAnsi="宋体" w:cs="宋体"/>
                <w:b/>
                <w:sz w:val="24"/>
                <w:szCs w:val="24"/>
              </w:rPr>
            </w:pPr>
            <w:r>
              <w:rPr>
                <w:rFonts w:hint="eastAsia" w:ascii="宋体" w:hAnsi="宋体" w:cs="宋体"/>
                <w:b/>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2" w:space="0"/>
              <w:left w:val="single" w:color="auto" w:sz="2" w:space="0"/>
              <w:bottom w:val="single" w:color="auto" w:sz="2" w:space="0"/>
              <w:right w:val="single" w:color="auto" w:sz="2" w:space="0"/>
            </w:tcBorders>
            <w:vAlign w:val="center"/>
          </w:tcPr>
          <w:p>
            <w:pPr>
              <w:rPr>
                <w:rFonts w:hint="eastAsia" w:eastAsia="宋体" w:cs="Times New Roman"/>
                <w:sz w:val="24"/>
                <w:szCs w:val="24"/>
                <w:lang w:val="en-US" w:eastAsia="zh-CN"/>
              </w:rPr>
            </w:pPr>
            <w:r>
              <w:rPr>
                <w:rFonts w:hint="eastAsia" w:eastAsia="宋体" w:cs="Times New Roman"/>
                <w:sz w:val="24"/>
                <w:szCs w:val="24"/>
                <w:lang w:val="en-US" w:eastAsia="zh-CN"/>
              </w:rPr>
              <w:t>1</w:t>
            </w:r>
          </w:p>
        </w:tc>
        <w:tc>
          <w:tcPr>
            <w:tcW w:w="1479" w:type="dxa"/>
            <w:tcBorders>
              <w:top w:val="single" w:color="auto" w:sz="2" w:space="0"/>
              <w:left w:val="single" w:color="auto" w:sz="2" w:space="0"/>
              <w:bottom w:val="single" w:color="auto" w:sz="2" w:space="0"/>
              <w:right w:val="single" w:color="auto" w:sz="2" w:space="0"/>
            </w:tcBorders>
            <w:vAlign w:val="center"/>
          </w:tcPr>
          <w:p>
            <w:pPr>
              <w:rPr>
                <w:rFonts w:hint="eastAsia" w:eastAsia="宋体" w:cs="Times New Roman"/>
                <w:sz w:val="24"/>
                <w:szCs w:val="24"/>
                <w:lang w:eastAsia="zh-CN"/>
              </w:rPr>
            </w:pPr>
            <w:r>
              <w:rPr>
                <w:rFonts w:hint="eastAsia" w:eastAsia="宋体" w:cs="Times New Roman"/>
                <w:sz w:val="24"/>
                <w:szCs w:val="24"/>
              </w:rPr>
              <w:t>报价得分</w:t>
            </w:r>
            <w:r>
              <w:rPr>
                <w:rFonts w:hint="eastAsia" w:eastAsia="宋体" w:cs="Times New Roman"/>
                <w:sz w:val="24"/>
                <w:szCs w:val="24"/>
                <w:lang w:eastAsia="zh-CN"/>
              </w:rPr>
              <w:t>（</w:t>
            </w:r>
            <w:r>
              <w:rPr>
                <w:rFonts w:hint="eastAsia" w:eastAsia="宋体" w:cs="Times New Roman"/>
                <w:sz w:val="24"/>
                <w:szCs w:val="24"/>
                <w:lang w:val="en-US" w:eastAsia="zh-CN"/>
              </w:rPr>
              <w:t>2</w:t>
            </w:r>
            <w:r>
              <w:rPr>
                <w:rFonts w:hint="eastAsia" w:cs="Times New Roman"/>
                <w:sz w:val="24"/>
                <w:szCs w:val="24"/>
                <w:lang w:val="en-US" w:eastAsia="zh-CN"/>
              </w:rPr>
              <w:t>2</w:t>
            </w:r>
            <w:r>
              <w:rPr>
                <w:rFonts w:hint="eastAsia" w:eastAsia="宋体" w:cs="Times New Roman"/>
                <w:sz w:val="24"/>
                <w:szCs w:val="24"/>
              </w:rPr>
              <w:t>分</w:t>
            </w:r>
            <w:r>
              <w:rPr>
                <w:rFonts w:hint="eastAsia" w:eastAsia="宋体" w:cs="Times New Roman"/>
                <w:sz w:val="24"/>
                <w:szCs w:val="24"/>
                <w:lang w:eastAsia="zh-CN"/>
              </w:rPr>
              <w:t>）</w:t>
            </w:r>
          </w:p>
        </w:tc>
        <w:tc>
          <w:tcPr>
            <w:tcW w:w="4752" w:type="dxa"/>
            <w:tcBorders>
              <w:top w:val="single" w:color="auto" w:sz="2" w:space="0"/>
              <w:left w:val="single" w:color="auto" w:sz="2" w:space="0"/>
              <w:bottom w:val="single" w:color="auto" w:sz="2" w:space="0"/>
              <w:right w:val="single" w:color="auto" w:sz="2" w:space="0"/>
            </w:tcBorders>
            <w:vAlign w:val="center"/>
          </w:tcPr>
          <w:p>
            <w:pPr>
              <w:rPr>
                <w:rFonts w:hint="eastAsia" w:eastAsia="宋体" w:cs="Times New Roman"/>
                <w:sz w:val="24"/>
                <w:szCs w:val="24"/>
                <w:lang w:eastAsia="zh-CN"/>
              </w:rPr>
            </w:pPr>
            <w:r>
              <w:rPr>
                <w:rFonts w:hint="eastAsia" w:eastAsia="宋体" w:cs="Times New Roman"/>
                <w:sz w:val="24"/>
                <w:szCs w:val="24"/>
              </w:rPr>
              <w:t>1.经专家评审，通过资格性和符合性审查，以所有有效投标人有效报价的最低价为评标基准价，投标报价得分=(评标基准价／投标报价)*2</w:t>
            </w:r>
            <w:r>
              <w:rPr>
                <w:rFonts w:hint="eastAsia" w:cs="Times New Roman"/>
                <w:sz w:val="24"/>
                <w:szCs w:val="24"/>
                <w:lang w:val="en-US" w:eastAsia="zh-CN"/>
              </w:rPr>
              <w:t>2</w:t>
            </w:r>
          </w:p>
          <w:p>
            <w:pPr>
              <w:rPr>
                <w:rFonts w:eastAsia="宋体" w:cs="Times New Roman"/>
                <w:sz w:val="24"/>
                <w:szCs w:val="24"/>
              </w:rPr>
            </w:pPr>
            <w:r>
              <w:rPr>
                <w:rFonts w:hint="eastAsia" w:eastAsia="宋体" w:cs="Times New Roman"/>
                <w:sz w:val="24"/>
                <w:szCs w:val="24"/>
              </w:rPr>
              <w:t>2.投标人如为监狱企业、小型和微型企业、残疾人福利性企业的，则给予其投标报价10%的价格扣除，用扣除后的价格参与评审；[说明：投标人为监狱企业的，提供由省级以上监狱管理局、戒毒管理局（含新疆生产建设兵团）出具的投标人属于监狱企业的证明文件复印件。</w:t>
            </w:r>
          </w:p>
        </w:tc>
        <w:tc>
          <w:tcPr>
            <w:tcW w:w="963" w:type="dxa"/>
            <w:tcBorders>
              <w:top w:val="single" w:color="auto" w:sz="2" w:space="0"/>
              <w:left w:val="single" w:color="auto" w:sz="2" w:space="0"/>
              <w:bottom w:val="single" w:color="auto" w:sz="2" w:space="0"/>
              <w:right w:val="single" w:color="auto" w:sz="2" w:space="0"/>
            </w:tcBorders>
          </w:tcPr>
          <w:p>
            <w:pPr>
              <w:rPr>
                <w:rFonts w:eastAsia="宋体" w:cs="Times New Roman"/>
                <w:sz w:val="24"/>
                <w:szCs w:val="24"/>
              </w:rPr>
            </w:pPr>
            <w:r>
              <w:rPr>
                <w:rFonts w:hint="eastAsia" w:eastAsia="宋体" w:cs="Times New Roman"/>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0" w:type="dxa"/>
            <w:tcBorders>
              <w:top w:val="single" w:color="auto" w:sz="2" w:space="0"/>
              <w:left w:val="single" w:color="auto" w:sz="2" w:space="0"/>
              <w:right w:val="single" w:color="auto" w:sz="2" w:space="0"/>
            </w:tcBorders>
            <w:vAlign w:val="center"/>
          </w:tcPr>
          <w:p>
            <w:pPr>
              <w:rPr>
                <w:rFonts w:hint="eastAsia" w:eastAsia="宋体" w:cs="Times New Roman"/>
                <w:sz w:val="24"/>
                <w:szCs w:val="24"/>
                <w:lang w:val="en-US" w:eastAsia="zh-CN"/>
              </w:rPr>
            </w:pPr>
            <w:r>
              <w:rPr>
                <w:rFonts w:hint="eastAsia" w:eastAsia="宋体" w:cs="Times New Roman"/>
                <w:sz w:val="24"/>
                <w:szCs w:val="24"/>
                <w:lang w:val="en-US" w:eastAsia="zh-CN"/>
              </w:rPr>
              <w:t>2</w:t>
            </w:r>
          </w:p>
        </w:tc>
        <w:tc>
          <w:tcPr>
            <w:tcW w:w="1479" w:type="dxa"/>
            <w:tcBorders>
              <w:top w:val="single" w:color="auto" w:sz="2" w:space="0"/>
              <w:left w:val="single" w:color="auto" w:sz="2" w:space="0"/>
              <w:right w:val="single" w:color="auto" w:sz="2" w:space="0"/>
            </w:tcBorders>
            <w:vAlign w:val="center"/>
          </w:tcPr>
          <w:p>
            <w:pPr>
              <w:rPr>
                <w:rFonts w:hint="eastAsia" w:eastAsia="宋体" w:cs="Times New Roman"/>
                <w:sz w:val="24"/>
                <w:szCs w:val="24"/>
                <w:lang w:val="en-US" w:eastAsia="zh-CN"/>
              </w:rPr>
            </w:pPr>
            <w:r>
              <w:rPr>
                <w:rFonts w:eastAsia="宋体" w:cs="Times New Roman"/>
                <w:sz w:val="24"/>
                <w:szCs w:val="24"/>
              </w:rPr>
              <w:t>项目管理机构设置、工作职能组织运行、职责分工及内部管理制度</w:t>
            </w:r>
            <w:r>
              <w:rPr>
                <w:rFonts w:hint="eastAsia" w:eastAsia="宋体" w:cs="Times New Roman"/>
                <w:sz w:val="24"/>
                <w:szCs w:val="24"/>
                <w:lang w:eastAsia="zh-CN"/>
              </w:rPr>
              <w:t>（</w:t>
            </w:r>
            <w:r>
              <w:rPr>
                <w:rFonts w:hint="eastAsia" w:eastAsia="宋体" w:cs="Times New Roman"/>
                <w:sz w:val="24"/>
                <w:szCs w:val="24"/>
                <w:lang w:val="en-US" w:eastAsia="zh-CN"/>
              </w:rPr>
              <w:t>8分</w:t>
            </w:r>
            <w:r>
              <w:rPr>
                <w:rFonts w:hint="eastAsia" w:eastAsia="宋体" w:cs="Times New Roman"/>
                <w:sz w:val="24"/>
                <w:szCs w:val="24"/>
                <w:lang w:eastAsia="zh-CN"/>
              </w:rPr>
              <w:t>）</w:t>
            </w:r>
          </w:p>
        </w:tc>
        <w:tc>
          <w:tcPr>
            <w:tcW w:w="4752" w:type="dxa"/>
            <w:tcBorders>
              <w:top w:val="single" w:color="auto" w:sz="2" w:space="0"/>
              <w:left w:val="single" w:color="auto" w:sz="2" w:space="0"/>
              <w:bottom w:val="single" w:color="auto" w:sz="2" w:space="0"/>
              <w:right w:val="single" w:color="auto" w:sz="2" w:space="0"/>
            </w:tcBorders>
            <w:vAlign w:val="center"/>
          </w:tcPr>
          <w:p>
            <w:pPr>
              <w:rPr>
                <w:rFonts w:hint="eastAsia" w:eastAsia="宋体" w:cs="Times New Roman"/>
                <w:sz w:val="24"/>
                <w:szCs w:val="24"/>
              </w:rPr>
            </w:pPr>
            <w:r>
              <w:rPr>
                <w:rFonts w:eastAsia="宋体" w:cs="Times New Roman"/>
                <w:sz w:val="24"/>
                <w:szCs w:val="24"/>
              </w:rPr>
              <w:t>1、投标人拟对本项目提供项目管理机构设置、工作职能组织运行、职责分工进行综合分析评分：提供项目管理机构设置、工作职能组织运行、职责分工的得</w:t>
            </w:r>
            <w:r>
              <w:rPr>
                <w:rFonts w:hint="eastAsia" w:eastAsia="宋体" w:cs="Times New Roman"/>
                <w:sz w:val="24"/>
                <w:szCs w:val="24"/>
              </w:rPr>
              <w:t>4</w:t>
            </w:r>
            <w:r>
              <w:rPr>
                <w:rFonts w:eastAsia="宋体" w:cs="Times New Roman"/>
                <w:sz w:val="24"/>
                <w:szCs w:val="24"/>
              </w:rPr>
              <w:t xml:space="preserve">分，未提供或者以上要素不完整的不得分； </w:t>
            </w:r>
          </w:p>
          <w:p>
            <w:pPr>
              <w:rPr>
                <w:rFonts w:hint="eastAsia" w:eastAsia="宋体" w:cs="Times New Roman"/>
                <w:sz w:val="24"/>
                <w:szCs w:val="24"/>
                <w:lang w:eastAsia="zh-CN"/>
              </w:rPr>
            </w:pPr>
            <w:r>
              <w:rPr>
                <w:rFonts w:eastAsia="宋体" w:cs="Times New Roman"/>
                <w:sz w:val="24"/>
                <w:szCs w:val="24"/>
              </w:rPr>
              <w:t>2、投标人拟对本项目提供内部管理制度（包含员工考勤管理、财务管理、投诉处理、员工工作管理、培训学习）进行综合评分：提供内部管理制度的得</w:t>
            </w:r>
            <w:r>
              <w:rPr>
                <w:rFonts w:hint="eastAsia" w:eastAsia="宋体" w:cs="Times New Roman"/>
                <w:sz w:val="24"/>
                <w:szCs w:val="24"/>
              </w:rPr>
              <w:t>4</w:t>
            </w:r>
            <w:r>
              <w:rPr>
                <w:rFonts w:eastAsia="宋体" w:cs="Times New Roman"/>
                <w:sz w:val="24"/>
                <w:szCs w:val="24"/>
              </w:rPr>
              <w:t>分，未提供或者以上要素不完整的不得分</w:t>
            </w:r>
            <w:r>
              <w:rPr>
                <w:rFonts w:hint="eastAsia" w:eastAsia="宋体" w:cs="Times New Roman"/>
                <w:sz w:val="24"/>
                <w:szCs w:val="24"/>
              </w:rPr>
              <w:t xml:space="preserve">。 </w:t>
            </w:r>
          </w:p>
        </w:tc>
        <w:tc>
          <w:tcPr>
            <w:tcW w:w="963" w:type="dxa"/>
            <w:tcBorders>
              <w:top w:val="single" w:color="auto" w:sz="2" w:space="0"/>
              <w:left w:val="single" w:color="auto" w:sz="2" w:space="0"/>
              <w:right w:val="single" w:color="auto" w:sz="2" w:space="0"/>
            </w:tcBorders>
          </w:tcPr>
          <w:p>
            <w:pPr>
              <w:rPr>
                <w:rFonts w:eastAsia="宋体" w:cs="Times New Roman"/>
                <w:sz w:val="24"/>
                <w:szCs w:val="24"/>
              </w:rPr>
            </w:pPr>
          </w:p>
          <w:p>
            <w:pPr>
              <w:rPr>
                <w:rFonts w:eastAsia="宋体" w:cs="Times New Roman"/>
                <w:sz w:val="24"/>
                <w:szCs w:val="24"/>
              </w:rPr>
            </w:pPr>
            <w:r>
              <w:rPr>
                <w:rFonts w:hint="eastAsia" w:eastAsia="宋体" w:cs="Times New Roman"/>
                <w:sz w:val="24"/>
                <w:szCs w:val="24"/>
              </w:rPr>
              <w:t>共同评分因素</w:t>
            </w:r>
          </w:p>
          <w:p>
            <w:pPr>
              <w:rPr>
                <w:rFonts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2" w:space="0"/>
              <w:left w:val="single" w:color="auto" w:sz="2" w:space="0"/>
              <w:bottom w:val="single" w:color="auto" w:sz="2" w:space="0"/>
              <w:right w:val="single" w:color="auto" w:sz="2" w:space="0"/>
            </w:tcBorders>
            <w:vAlign w:val="center"/>
          </w:tcPr>
          <w:p>
            <w:pPr>
              <w:rPr>
                <w:rFonts w:hint="eastAsia" w:eastAsia="宋体" w:cs="Times New Roman"/>
                <w:sz w:val="24"/>
                <w:szCs w:val="24"/>
                <w:lang w:val="en-US" w:eastAsia="zh-CN"/>
              </w:rPr>
            </w:pPr>
            <w:r>
              <w:rPr>
                <w:rFonts w:hint="eastAsia" w:eastAsia="宋体" w:cs="Times New Roman"/>
                <w:sz w:val="24"/>
                <w:szCs w:val="24"/>
                <w:lang w:val="en-US" w:eastAsia="zh-CN"/>
              </w:rPr>
              <w:t>3</w:t>
            </w:r>
          </w:p>
        </w:tc>
        <w:tc>
          <w:tcPr>
            <w:tcW w:w="1479" w:type="dxa"/>
            <w:tcBorders>
              <w:top w:val="single" w:color="auto" w:sz="2" w:space="0"/>
              <w:left w:val="single" w:color="auto" w:sz="2" w:space="0"/>
              <w:bottom w:val="single" w:color="auto" w:sz="2" w:space="0"/>
              <w:right w:val="single" w:color="auto" w:sz="2" w:space="0"/>
            </w:tcBorders>
            <w:vAlign w:val="center"/>
          </w:tcPr>
          <w:p>
            <w:pPr>
              <w:rPr>
                <w:rFonts w:hint="eastAsia" w:eastAsia="宋体" w:cs="Times New Roman"/>
                <w:sz w:val="24"/>
                <w:szCs w:val="24"/>
                <w:lang w:eastAsia="zh-CN"/>
              </w:rPr>
            </w:pPr>
            <w:r>
              <w:rPr>
                <w:rFonts w:eastAsia="宋体" w:cs="Times New Roman"/>
                <w:sz w:val="24"/>
                <w:szCs w:val="24"/>
              </w:rPr>
              <w:t>项目概况分析及现场描述</w:t>
            </w:r>
            <w:r>
              <w:rPr>
                <w:rFonts w:hint="eastAsia" w:eastAsia="宋体" w:cs="Times New Roman"/>
                <w:sz w:val="24"/>
                <w:szCs w:val="24"/>
                <w:lang w:eastAsia="zh-CN"/>
              </w:rPr>
              <w:t>（</w:t>
            </w:r>
            <w:r>
              <w:rPr>
                <w:rFonts w:hint="eastAsia" w:cs="Times New Roman"/>
                <w:sz w:val="24"/>
                <w:szCs w:val="24"/>
                <w:lang w:val="en-US" w:eastAsia="zh-CN"/>
              </w:rPr>
              <w:t>6</w:t>
            </w:r>
            <w:r>
              <w:rPr>
                <w:rFonts w:hint="eastAsia" w:eastAsia="宋体" w:cs="Times New Roman"/>
                <w:sz w:val="24"/>
                <w:szCs w:val="24"/>
                <w:lang w:val="en-US" w:eastAsia="zh-CN"/>
              </w:rPr>
              <w:t>分</w:t>
            </w:r>
            <w:r>
              <w:rPr>
                <w:rFonts w:hint="eastAsia" w:eastAsia="宋体" w:cs="Times New Roman"/>
                <w:sz w:val="24"/>
                <w:szCs w:val="24"/>
                <w:lang w:eastAsia="zh-CN"/>
              </w:rPr>
              <w:t>）</w:t>
            </w:r>
          </w:p>
        </w:tc>
        <w:tc>
          <w:tcPr>
            <w:tcW w:w="4752" w:type="dxa"/>
            <w:tcBorders>
              <w:top w:val="single" w:color="auto" w:sz="2" w:space="0"/>
              <w:left w:val="single" w:color="auto" w:sz="2" w:space="0"/>
              <w:bottom w:val="single" w:color="auto" w:sz="2" w:space="0"/>
              <w:right w:val="single" w:color="auto" w:sz="2" w:space="0"/>
            </w:tcBorders>
            <w:vAlign w:val="center"/>
          </w:tcPr>
          <w:p>
            <w:pPr>
              <w:rPr>
                <w:rFonts w:eastAsia="宋体" w:cs="Times New Roman"/>
                <w:sz w:val="24"/>
                <w:szCs w:val="24"/>
              </w:rPr>
            </w:pPr>
            <w:r>
              <w:rPr>
                <w:rFonts w:eastAsia="宋体" w:cs="Times New Roman"/>
                <w:sz w:val="24"/>
                <w:szCs w:val="24"/>
              </w:rPr>
              <w:t>投标人拟对本项目提供项目概况分析及现场描述进行综合评分：</w:t>
            </w:r>
            <w:r>
              <w:rPr>
                <w:rFonts w:hint="eastAsia" w:cs="Times New Roman"/>
                <w:sz w:val="24"/>
                <w:szCs w:val="24"/>
                <w:lang w:val="en-US" w:eastAsia="zh-CN"/>
              </w:rPr>
              <w:t>1、</w:t>
            </w:r>
            <w:r>
              <w:rPr>
                <w:rFonts w:eastAsia="宋体" w:cs="Times New Roman"/>
                <w:sz w:val="24"/>
                <w:szCs w:val="24"/>
              </w:rPr>
              <w:t>提供了项目概况分析及现场描述的得</w:t>
            </w:r>
            <w:r>
              <w:rPr>
                <w:rFonts w:hint="eastAsia" w:cs="Times New Roman"/>
                <w:sz w:val="24"/>
                <w:szCs w:val="24"/>
                <w:lang w:val="en-US" w:eastAsia="zh-CN"/>
              </w:rPr>
              <w:t>3</w:t>
            </w:r>
            <w:r>
              <w:rPr>
                <w:rFonts w:eastAsia="宋体" w:cs="Times New Roman"/>
                <w:sz w:val="24"/>
                <w:szCs w:val="24"/>
              </w:rPr>
              <w:t>分，未提供或者以上要素不完整的不得分；</w:t>
            </w:r>
          </w:p>
          <w:p>
            <w:pPr>
              <w:rPr>
                <w:rFonts w:hint="eastAsia" w:eastAsia="宋体" w:cs="Times New Roman"/>
                <w:sz w:val="24"/>
                <w:szCs w:val="24"/>
                <w:lang w:eastAsia="zh-CN"/>
              </w:rPr>
            </w:pPr>
            <w:r>
              <w:rPr>
                <w:rFonts w:hint="eastAsia" w:cs="Times New Roman"/>
                <w:sz w:val="24"/>
                <w:szCs w:val="24"/>
                <w:lang w:val="en-US" w:eastAsia="zh-CN"/>
              </w:rPr>
              <w:t>2、</w:t>
            </w:r>
            <w:r>
              <w:rPr>
                <w:rFonts w:eastAsia="宋体" w:cs="Times New Roman"/>
                <w:sz w:val="24"/>
                <w:szCs w:val="24"/>
              </w:rPr>
              <w:t>对项目概况分析及现场描述全面清晰、分析到位的</w:t>
            </w:r>
            <w:r>
              <w:rPr>
                <w:rFonts w:hint="eastAsia" w:cs="Times New Roman"/>
                <w:sz w:val="24"/>
                <w:szCs w:val="24"/>
                <w:lang w:eastAsia="zh-CN"/>
              </w:rPr>
              <w:t>得</w:t>
            </w:r>
            <w:r>
              <w:rPr>
                <w:rFonts w:hint="eastAsia" w:cs="Times New Roman"/>
                <w:sz w:val="24"/>
                <w:szCs w:val="24"/>
                <w:lang w:val="en-US" w:eastAsia="zh-CN"/>
              </w:rPr>
              <w:t>3</w:t>
            </w:r>
            <w:r>
              <w:rPr>
                <w:rFonts w:eastAsia="宋体" w:cs="Times New Roman"/>
                <w:sz w:val="24"/>
                <w:szCs w:val="24"/>
              </w:rPr>
              <w:t>分；项目概况分析及现场描述差的不</w:t>
            </w:r>
            <w:r>
              <w:rPr>
                <w:rFonts w:hint="eastAsia" w:cs="Times New Roman"/>
                <w:sz w:val="24"/>
                <w:szCs w:val="24"/>
                <w:lang w:eastAsia="zh-CN"/>
              </w:rPr>
              <w:t>得</w:t>
            </w:r>
            <w:r>
              <w:rPr>
                <w:rFonts w:eastAsia="宋体" w:cs="Times New Roman"/>
                <w:sz w:val="24"/>
                <w:szCs w:val="24"/>
              </w:rPr>
              <w:t>分。</w:t>
            </w:r>
          </w:p>
        </w:tc>
        <w:tc>
          <w:tcPr>
            <w:tcW w:w="963" w:type="dxa"/>
            <w:tcBorders>
              <w:top w:val="single" w:color="auto" w:sz="2" w:space="0"/>
              <w:left w:val="single" w:color="auto" w:sz="2" w:space="0"/>
              <w:bottom w:val="single" w:color="auto" w:sz="2" w:space="0"/>
              <w:right w:val="single" w:color="auto" w:sz="2" w:space="0"/>
            </w:tcBorders>
          </w:tcPr>
          <w:p>
            <w:pPr>
              <w:rPr>
                <w:rFonts w:eastAsia="宋体" w:cs="Times New Roman"/>
                <w:sz w:val="24"/>
                <w:szCs w:val="24"/>
              </w:rPr>
            </w:pPr>
          </w:p>
          <w:p>
            <w:pPr>
              <w:rPr>
                <w:rFonts w:eastAsia="宋体" w:cs="Times New Roman"/>
                <w:sz w:val="24"/>
                <w:szCs w:val="24"/>
              </w:rPr>
            </w:pPr>
            <w:r>
              <w:rPr>
                <w:rFonts w:hint="eastAsia" w:eastAsia="宋体" w:cs="Times New Roman"/>
                <w:sz w:val="24"/>
                <w:szCs w:val="24"/>
              </w:rPr>
              <w:t>共同评分因素</w:t>
            </w:r>
          </w:p>
          <w:p>
            <w:pPr>
              <w:rPr>
                <w:rFonts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0" w:hRule="atLeast"/>
          <w:jc w:val="center"/>
        </w:trPr>
        <w:tc>
          <w:tcPr>
            <w:tcW w:w="700" w:type="dxa"/>
            <w:tcBorders>
              <w:top w:val="single" w:color="auto" w:sz="2" w:space="0"/>
              <w:left w:val="single" w:color="auto" w:sz="2" w:space="0"/>
              <w:right w:val="single" w:color="auto" w:sz="4" w:space="0"/>
            </w:tcBorders>
            <w:vAlign w:val="center"/>
          </w:tcPr>
          <w:p>
            <w:pPr>
              <w:rPr>
                <w:rFonts w:hint="eastAsia" w:eastAsia="宋体" w:cs="Times New Roman"/>
                <w:sz w:val="24"/>
                <w:szCs w:val="24"/>
                <w:lang w:val="en-US" w:eastAsia="zh-CN"/>
              </w:rPr>
            </w:pPr>
            <w:r>
              <w:rPr>
                <w:rFonts w:hint="eastAsia" w:eastAsia="宋体" w:cs="Times New Roman"/>
                <w:sz w:val="24"/>
                <w:szCs w:val="24"/>
                <w:lang w:val="en-US" w:eastAsia="zh-CN"/>
              </w:rPr>
              <w:t>4</w:t>
            </w:r>
          </w:p>
        </w:tc>
        <w:tc>
          <w:tcPr>
            <w:tcW w:w="1479" w:type="dxa"/>
            <w:tcBorders>
              <w:top w:val="single" w:color="auto" w:sz="2" w:space="0"/>
              <w:left w:val="single" w:color="auto" w:sz="2" w:space="0"/>
              <w:right w:val="single" w:color="auto" w:sz="2" w:space="0"/>
            </w:tcBorders>
            <w:vAlign w:val="center"/>
          </w:tcPr>
          <w:p>
            <w:pPr>
              <w:rPr>
                <w:rFonts w:hint="eastAsia" w:eastAsia="宋体" w:cs="Times New Roman"/>
                <w:sz w:val="24"/>
                <w:szCs w:val="24"/>
                <w:lang w:val="en-US" w:eastAsia="zh-CN"/>
              </w:rPr>
            </w:pPr>
            <w:r>
              <w:rPr>
                <w:rFonts w:hint="eastAsia" w:eastAsia="宋体" w:cs="Times New Roman"/>
                <w:sz w:val="24"/>
                <w:szCs w:val="24"/>
              </w:rPr>
              <w:t>公共秩序方案</w:t>
            </w:r>
            <w:r>
              <w:rPr>
                <w:rFonts w:hint="eastAsia" w:eastAsia="宋体" w:cs="Times New Roman"/>
                <w:sz w:val="24"/>
                <w:szCs w:val="24"/>
                <w:lang w:eastAsia="zh-CN"/>
              </w:rPr>
              <w:t>（</w:t>
            </w:r>
            <w:r>
              <w:rPr>
                <w:rFonts w:hint="eastAsia" w:eastAsia="宋体" w:cs="Times New Roman"/>
                <w:sz w:val="24"/>
                <w:szCs w:val="24"/>
                <w:lang w:val="en-US" w:eastAsia="zh-CN"/>
              </w:rPr>
              <w:t>6分</w:t>
            </w:r>
            <w:r>
              <w:rPr>
                <w:rFonts w:hint="eastAsia" w:eastAsia="宋体" w:cs="Times New Roman"/>
                <w:sz w:val="24"/>
                <w:szCs w:val="24"/>
                <w:lang w:eastAsia="zh-CN"/>
              </w:rPr>
              <w:t>）</w:t>
            </w:r>
          </w:p>
        </w:tc>
        <w:tc>
          <w:tcPr>
            <w:tcW w:w="4752" w:type="dxa"/>
            <w:tcBorders>
              <w:top w:val="single" w:color="auto" w:sz="2" w:space="0"/>
              <w:left w:val="single" w:color="auto" w:sz="2" w:space="0"/>
              <w:right w:val="single" w:color="auto" w:sz="2" w:space="0"/>
            </w:tcBorders>
            <w:vAlign w:val="center"/>
          </w:tcPr>
          <w:p>
            <w:pPr>
              <w:rPr>
                <w:rFonts w:hint="eastAsia" w:eastAsia="宋体" w:cs="Times New Roman"/>
                <w:sz w:val="24"/>
                <w:szCs w:val="24"/>
                <w:lang w:val="en-US" w:eastAsia="zh-CN"/>
              </w:rPr>
            </w:pPr>
            <w:r>
              <w:rPr>
                <w:rFonts w:eastAsia="宋体" w:cs="Times New Roman"/>
                <w:sz w:val="24"/>
                <w:szCs w:val="24"/>
              </w:rPr>
              <w:t>投标人拟对本项目提供的秩序维护方案（包含人员及岗位设置、机具配备、安全事故防范、机动车及非机动车行驶和停放等管理服务、人员的管理和培训、重大活动保障）进行综合评分：</w:t>
            </w:r>
            <w:r>
              <w:rPr>
                <w:rFonts w:hint="eastAsia" w:cs="Times New Roman"/>
                <w:sz w:val="24"/>
                <w:szCs w:val="24"/>
                <w:lang w:val="en-US" w:eastAsia="zh-CN"/>
              </w:rPr>
              <w:t>1、</w:t>
            </w:r>
            <w:r>
              <w:rPr>
                <w:rFonts w:eastAsia="宋体" w:cs="Times New Roman"/>
                <w:sz w:val="24"/>
                <w:szCs w:val="24"/>
              </w:rPr>
              <w:t>提供秩序维护方案的得</w:t>
            </w:r>
            <w:r>
              <w:rPr>
                <w:rFonts w:hint="eastAsia" w:eastAsia="宋体" w:cs="Times New Roman"/>
                <w:sz w:val="24"/>
                <w:szCs w:val="24"/>
              </w:rPr>
              <w:t>3</w:t>
            </w:r>
            <w:r>
              <w:rPr>
                <w:rFonts w:eastAsia="宋体" w:cs="Times New Roman"/>
                <w:sz w:val="24"/>
                <w:szCs w:val="24"/>
              </w:rPr>
              <w:t>分，未提供或者以上要素不完整的不得分；</w:t>
            </w:r>
            <w:r>
              <w:rPr>
                <w:rFonts w:hint="eastAsia" w:cs="Times New Roman"/>
                <w:sz w:val="24"/>
                <w:szCs w:val="24"/>
                <w:lang w:val="en-US" w:eastAsia="zh-CN"/>
              </w:rPr>
              <w:t>2、</w:t>
            </w:r>
            <w:r>
              <w:rPr>
                <w:rFonts w:eastAsia="宋体" w:cs="Times New Roman"/>
                <w:sz w:val="24"/>
                <w:szCs w:val="24"/>
              </w:rPr>
              <w:t>方案合理、完善、可操作性强，能完全保障项目实施的</w:t>
            </w:r>
            <w:r>
              <w:rPr>
                <w:rFonts w:hint="eastAsia" w:cs="Times New Roman"/>
                <w:sz w:val="24"/>
                <w:szCs w:val="24"/>
                <w:lang w:eastAsia="zh-CN"/>
              </w:rPr>
              <w:t>得</w:t>
            </w:r>
            <w:r>
              <w:rPr>
                <w:rFonts w:hint="eastAsia" w:eastAsia="宋体" w:cs="Times New Roman"/>
                <w:sz w:val="24"/>
                <w:szCs w:val="24"/>
              </w:rPr>
              <w:t>3</w:t>
            </w:r>
            <w:r>
              <w:rPr>
                <w:rFonts w:eastAsia="宋体" w:cs="Times New Roman"/>
                <w:sz w:val="24"/>
                <w:szCs w:val="24"/>
              </w:rPr>
              <w:t>分；秩序维护方案差的不</w:t>
            </w:r>
            <w:r>
              <w:rPr>
                <w:rFonts w:hint="eastAsia" w:cs="Times New Roman"/>
                <w:sz w:val="24"/>
                <w:szCs w:val="24"/>
                <w:lang w:eastAsia="zh-CN"/>
              </w:rPr>
              <w:t>得</w:t>
            </w:r>
            <w:r>
              <w:rPr>
                <w:rFonts w:eastAsia="宋体" w:cs="Times New Roman"/>
                <w:sz w:val="24"/>
                <w:szCs w:val="24"/>
              </w:rPr>
              <w:t>分</w:t>
            </w:r>
            <w:r>
              <w:rPr>
                <w:rFonts w:hint="eastAsia" w:eastAsia="宋体" w:cs="Times New Roman"/>
                <w:sz w:val="24"/>
                <w:szCs w:val="24"/>
                <w:lang w:eastAsia="zh-CN"/>
              </w:rPr>
              <w:t>。</w:t>
            </w:r>
          </w:p>
        </w:tc>
        <w:tc>
          <w:tcPr>
            <w:tcW w:w="963" w:type="dxa"/>
            <w:tcBorders>
              <w:top w:val="single" w:color="auto" w:sz="2" w:space="0"/>
              <w:left w:val="single" w:color="auto" w:sz="2" w:space="0"/>
              <w:bottom w:val="single" w:color="auto" w:sz="2" w:space="0"/>
              <w:right w:val="single" w:color="auto" w:sz="2" w:space="0"/>
            </w:tcBorders>
          </w:tcPr>
          <w:p>
            <w:pPr>
              <w:rPr>
                <w:rFonts w:eastAsia="宋体" w:cs="Times New Roman"/>
                <w:sz w:val="24"/>
                <w:szCs w:val="24"/>
              </w:rPr>
            </w:pPr>
          </w:p>
          <w:p>
            <w:pPr>
              <w:rPr>
                <w:rFonts w:eastAsia="宋体" w:cs="Times New Roman"/>
                <w:sz w:val="24"/>
                <w:szCs w:val="24"/>
              </w:rPr>
            </w:pPr>
            <w:r>
              <w:rPr>
                <w:rFonts w:hint="eastAsia" w:eastAsia="宋体" w:cs="Times New Roman"/>
                <w:sz w:val="24"/>
                <w:szCs w:val="24"/>
              </w:rPr>
              <w:t>共同评分因素</w:t>
            </w:r>
          </w:p>
          <w:p>
            <w:pPr>
              <w:rPr>
                <w:rFonts w:eastAsia="宋体" w:cs="Times New Roman"/>
                <w:sz w:val="24"/>
                <w:szCs w:val="24"/>
              </w:rPr>
            </w:pPr>
          </w:p>
          <w:p>
            <w:pPr>
              <w:rPr>
                <w:rFonts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0" w:type="dxa"/>
            <w:tcBorders>
              <w:top w:val="single" w:color="auto" w:sz="2" w:space="0"/>
              <w:left w:val="single" w:color="auto" w:sz="2" w:space="0"/>
              <w:right w:val="single" w:color="auto" w:sz="4" w:space="0"/>
            </w:tcBorders>
            <w:vAlign w:val="center"/>
          </w:tcPr>
          <w:p>
            <w:pPr>
              <w:rPr>
                <w:rFonts w:hint="default" w:eastAsia="宋体" w:cs="Times New Roman"/>
                <w:sz w:val="24"/>
                <w:szCs w:val="24"/>
                <w:lang w:val="en-US" w:eastAsia="zh-CN"/>
              </w:rPr>
            </w:pPr>
            <w:r>
              <w:rPr>
                <w:rFonts w:hint="eastAsia" w:eastAsia="宋体" w:cs="Times New Roman"/>
                <w:sz w:val="24"/>
                <w:szCs w:val="24"/>
                <w:lang w:val="en-US" w:eastAsia="zh-CN"/>
              </w:rPr>
              <w:t>5</w:t>
            </w:r>
          </w:p>
        </w:tc>
        <w:tc>
          <w:tcPr>
            <w:tcW w:w="1479" w:type="dxa"/>
            <w:tcBorders>
              <w:top w:val="single" w:color="auto" w:sz="2" w:space="0"/>
              <w:left w:val="single" w:color="auto" w:sz="2" w:space="0"/>
              <w:right w:val="single" w:color="auto" w:sz="2" w:space="0"/>
            </w:tcBorders>
            <w:vAlign w:val="center"/>
          </w:tcPr>
          <w:p>
            <w:pPr>
              <w:rPr>
                <w:rFonts w:hint="eastAsia" w:eastAsia="宋体" w:cs="Times New Roman"/>
                <w:sz w:val="24"/>
                <w:szCs w:val="24"/>
                <w:lang w:eastAsia="zh-CN"/>
              </w:rPr>
            </w:pPr>
            <w:r>
              <w:rPr>
                <w:rFonts w:eastAsia="宋体" w:cs="Times New Roman"/>
                <w:sz w:val="24"/>
                <w:szCs w:val="24"/>
              </w:rPr>
              <w:t>环境维护和绿化养护方案</w:t>
            </w:r>
            <w:r>
              <w:rPr>
                <w:rFonts w:hint="eastAsia" w:eastAsia="宋体" w:cs="Times New Roman"/>
                <w:sz w:val="24"/>
                <w:szCs w:val="24"/>
                <w:lang w:eastAsia="zh-CN"/>
              </w:rPr>
              <w:t>（</w:t>
            </w:r>
            <w:r>
              <w:rPr>
                <w:rFonts w:hint="eastAsia" w:eastAsia="宋体" w:cs="Times New Roman"/>
                <w:sz w:val="24"/>
                <w:szCs w:val="24"/>
                <w:lang w:val="en-US" w:eastAsia="zh-CN"/>
              </w:rPr>
              <w:t>8分</w:t>
            </w:r>
            <w:r>
              <w:rPr>
                <w:rFonts w:hint="eastAsia" w:eastAsia="宋体" w:cs="Times New Roman"/>
                <w:sz w:val="24"/>
                <w:szCs w:val="24"/>
                <w:lang w:eastAsia="zh-CN"/>
              </w:rPr>
              <w:t>）</w:t>
            </w:r>
          </w:p>
        </w:tc>
        <w:tc>
          <w:tcPr>
            <w:tcW w:w="4752" w:type="dxa"/>
            <w:tcBorders>
              <w:top w:val="single" w:color="auto" w:sz="2" w:space="0"/>
              <w:left w:val="single" w:color="auto" w:sz="2" w:space="0"/>
              <w:right w:val="single" w:color="auto" w:sz="2" w:space="0"/>
            </w:tcBorders>
            <w:vAlign w:val="center"/>
          </w:tcPr>
          <w:p>
            <w:pPr>
              <w:rPr>
                <w:rFonts w:hint="eastAsia" w:eastAsia="宋体" w:cs="Times New Roman"/>
                <w:sz w:val="24"/>
                <w:szCs w:val="24"/>
              </w:rPr>
            </w:pPr>
            <w:r>
              <w:rPr>
                <w:rFonts w:eastAsia="宋体" w:cs="Times New Roman"/>
                <w:sz w:val="24"/>
                <w:szCs w:val="24"/>
              </w:rPr>
              <w:t>投标人拟对本项目提供的环境维护和绿化养护方案（包含人员及岗位设置、机具配备、日常保洁细则、绿化管理、消杀作业规程、设施设备清洁、粪池及雨污水井定期检查清掏和疏通）进行综合评分，</w:t>
            </w:r>
            <w:r>
              <w:rPr>
                <w:rFonts w:hint="eastAsia" w:cs="Times New Roman"/>
                <w:sz w:val="24"/>
                <w:szCs w:val="24"/>
                <w:lang w:val="en-US" w:eastAsia="zh-CN"/>
              </w:rPr>
              <w:t>1、</w:t>
            </w:r>
            <w:r>
              <w:rPr>
                <w:rFonts w:eastAsia="宋体" w:cs="Times New Roman"/>
                <w:sz w:val="24"/>
                <w:szCs w:val="24"/>
              </w:rPr>
              <w:t>提供环境维护和绿化养护方案的得4分，未提供或者以上要素不完整的不得分；</w:t>
            </w:r>
            <w:r>
              <w:rPr>
                <w:rFonts w:hint="eastAsia" w:cs="Times New Roman"/>
                <w:sz w:val="24"/>
                <w:szCs w:val="24"/>
                <w:lang w:val="en-US" w:eastAsia="zh-CN"/>
              </w:rPr>
              <w:t>2、</w:t>
            </w:r>
            <w:r>
              <w:rPr>
                <w:rFonts w:eastAsia="宋体" w:cs="Times New Roman"/>
                <w:sz w:val="24"/>
                <w:szCs w:val="24"/>
              </w:rPr>
              <w:t xml:space="preserve"> 方案合理、完善、可操作性强，能完全保障项目实施的</w:t>
            </w:r>
            <w:r>
              <w:rPr>
                <w:rFonts w:hint="eastAsia" w:cs="Times New Roman"/>
                <w:sz w:val="24"/>
                <w:szCs w:val="24"/>
                <w:lang w:eastAsia="zh-CN"/>
              </w:rPr>
              <w:t>得</w:t>
            </w:r>
            <w:r>
              <w:rPr>
                <w:rFonts w:eastAsia="宋体" w:cs="Times New Roman"/>
                <w:sz w:val="24"/>
                <w:szCs w:val="24"/>
              </w:rPr>
              <w:t>4分；环境维护和绿化养护方案差的不</w:t>
            </w:r>
            <w:r>
              <w:rPr>
                <w:rFonts w:hint="eastAsia" w:cs="Times New Roman"/>
                <w:sz w:val="24"/>
                <w:szCs w:val="24"/>
                <w:lang w:eastAsia="zh-CN"/>
              </w:rPr>
              <w:t>得</w:t>
            </w:r>
            <w:r>
              <w:rPr>
                <w:rFonts w:eastAsia="宋体" w:cs="Times New Roman"/>
                <w:sz w:val="24"/>
                <w:szCs w:val="24"/>
              </w:rPr>
              <w:t>分。</w:t>
            </w:r>
          </w:p>
        </w:tc>
        <w:tc>
          <w:tcPr>
            <w:tcW w:w="963" w:type="dxa"/>
            <w:tcBorders>
              <w:top w:val="single" w:color="auto" w:sz="2" w:space="0"/>
              <w:left w:val="single" w:color="auto" w:sz="2" w:space="0"/>
              <w:bottom w:val="single" w:color="auto" w:sz="2" w:space="0"/>
              <w:right w:val="single" w:color="auto" w:sz="2" w:space="0"/>
            </w:tcBorders>
          </w:tcPr>
          <w:p>
            <w:pPr>
              <w:rPr>
                <w:rFonts w:eastAsia="宋体" w:cs="Times New Roman"/>
                <w:sz w:val="24"/>
                <w:szCs w:val="24"/>
              </w:rPr>
            </w:pPr>
            <w:r>
              <w:rPr>
                <w:rFonts w:hint="eastAsia" w:eastAsia="宋体" w:cs="Times New Roman"/>
                <w:sz w:val="24"/>
                <w:szCs w:val="24"/>
              </w:rPr>
              <w:t>共同评分因素</w:t>
            </w:r>
          </w:p>
          <w:p>
            <w:pPr>
              <w:rPr>
                <w:rFonts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2" w:space="0"/>
              <w:left w:val="single" w:color="auto" w:sz="2" w:space="0"/>
              <w:right w:val="single" w:color="auto" w:sz="2" w:space="0"/>
            </w:tcBorders>
            <w:vAlign w:val="center"/>
          </w:tcPr>
          <w:p>
            <w:pPr>
              <w:rPr>
                <w:rFonts w:hint="eastAsia" w:eastAsia="宋体" w:cs="Times New Roman"/>
                <w:sz w:val="24"/>
                <w:szCs w:val="24"/>
                <w:lang w:val="en-US" w:eastAsia="zh-CN"/>
              </w:rPr>
            </w:pPr>
            <w:r>
              <w:rPr>
                <w:rFonts w:hint="eastAsia" w:eastAsia="宋体" w:cs="Times New Roman"/>
                <w:sz w:val="24"/>
                <w:szCs w:val="24"/>
                <w:lang w:val="en-US" w:eastAsia="zh-CN"/>
              </w:rPr>
              <w:t>6</w:t>
            </w:r>
          </w:p>
        </w:tc>
        <w:tc>
          <w:tcPr>
            <w:tcW w:w="1479" w:type="dxa"/>
            <w:tcBorders>
              <w:top w:val="single" w:color="auto" w:sz="2" w:space="0"/>
              <w:left w:val="single" w:color="auto" w:sz="2" w:space="0"/>
              <w:right w:val="single" w:color="auto" w:sz="2" w:space="0"/>
            </w:tcBorders>
            <w:vAlign w:val="center"/>
          </w:tcPr>
          <w:p>
            <w:pPr>
              <w:rPr>
                <w:rFonts w:hint="eastAsia" w:eastAsia="宋体" w:cs="Times New Roman"/>
                <w:sz w:val="24"/>
                <w:szCs w:val="24"/>
                <w:lang w:eastAsia="zh-CN"/>
              </w:rPr>
            </w:pPr>
            <w:r>
              <w:rPr>
                <w:rFonts w:hint="eastAsia" w:eastAsia="宋体" w:cs="Times New Roman"/>
                <w:sz w:val="24"/>
                <w:szCs w:val="24"/>
              </w:rPr>
              <w:t>设施设备维护方案</w:t>
            </w:r>
            <w:r>
              <w:rPr>
                <w:rFonts w:hint="eastAsia" w:eastAsia="宋体" w:cs="Times New Roman"/>
                <w:sz w:val="24"/>
                <w:szCs w:val="24"/>
                <w:lang w:eastAsia="zh-CN"/>
              </w:rPr>
              <w:t>（</w:t>
            </w:r>
            <w:r>
              <w:rPr>
                <w:rFonts w:hint="eastAsia" w:eastAsia="宋体" w:cs="Times New Roman"/>
                <w:sz w:val="24"/>
                <w:szCs w:val="24"/>
                <w:lang w:val="en-US" w:eastAsia="zh-CN"/>
              </w:rPr>
              <w:t>6分</w:t>
            </w:r>
            <w:r>
              <w:rPr>
                <w:rFonts w:hint="eastAsia" w:eastAsia="宋体" w:cs="Times New Roman"/>
                <w:sz w:val="24"/>
                <w:szCs w:val="24"/>
                <w:lang w:eastAsia="zh-CN"/>
              </w:rPr>
              <w:t>）</w:t>
            </w:r>
          </w:p>
        </w:tc>
        <w:tc>
          <w:tcPr>
            <w:tcW w:w="4752" w:type="dxa"/>
            <w:tcBorders>
              <w:top w:val="single" w:color="auto" w:sz="2" w:space="0"/>
              <w:left w:val="single" w:color="auto" w:sz="2" w:space="0"/>
              <w:bottom w:val="single" w:color="auto" w:sz="2" w:space="0"/>
              <w:right w:val="single" w:color="auto" w:sz="2" w:space="0"/>
            </w:tcBorders>
            <w:vAlign w:val="center"/>
          </w:tcPr>
          <w:p>
            <w:pPr>
              <w:rPr>
                <w:rFonts w:eastAsia="宋体" w:cs="Times New Roman"/>
                <w:sz w:val="24"/>
                <w:szCs w:val="24"/>
              </w:rPr>
            </w:pPr>
            <w:r>
              <w:rPr>
                <w:rFonts w:eastAsia="宋体" w:cs="Times New Roman"/>
                <w:sz w:val="24"/>
                <w:szCs w:val="24"/>
              </w:rPr>
              <w:t>投标人提供的设施设备维护方案（包含人员配置及岗位职责；维护方案及考评标准；其他方面综合分析）的可操作性进行综合比较评审：</w:t>
            </w:r>
            <w:r>
              <w:rPr>
                <w:rFonts w:hint="eastAsia" w:cs="Times New Roman"/>
                <w:sz w:val="24"/>
                <w:szCs w:val="24"/>
                <w:lang w:val="en-US" w:eastAsia="zh-CN"/>
              </w:rPr>
              <w:t>1、</w:t>
            </w:r>
            <w:r>
              <w:rPr>
                <w:rFonts w:eastAsia="宋体" w:cs="Times New Roman"/>
                <w:sz w:val="24"/>
                <w:szCs w:val="24"/>
              </w:rPr>
              <w:t>提供方案得</w:t>
            </w:r>
            <w:r>
              <w:rPr>
                <w:rFonts w:hint="eastAsia" w:eastAsia="宋体" w:cs="Times New Roman"/>
                <w:sz w:val="24"/>
                <w:szCs w:val="24"/>
              </w:rPr>
              <w:t>3</w:t>
            </w:r>
            <w:r>
              <w:rPr>
                <w:rFonts w:eastAsia="宋体" w:cs="Times New Roman"/>
                <w:sz w:val="24"/>
                <w:szCs w:val="24"/>
              </w:rPr>
              <w:t>分，未提供或者以上要素不完整的不得分；</w:t>
            </w:r>
            <w:r>
              <w:rPr>
                <w:rFonts w:hint="eastAsia" w:cs="Times New Roman"/>
                <w:sz w:val="24"/>
                <w:szCs w:val="24"/>
                <w:lang w:val="en-US" w:eastAsia="zh-CN"/>
              </w:rPr>
              <w:t>2、</w:t>
            </w:r>
            <w:r>
              <w:rPr>
                <w:rFonts w:eastAsia="宋体" w:cs="Times New Roman"/>
                <w:sz w:val="24"/>
                <w:szCs w:val="24"/>
              </w:rPr>
              <w:t>方案合理、完善、可操作性强，能完全保障项目实施的</w:t>
            </w:r>
            <w:r>
              <w:rPr>
                <w:rFonts w:hint="eastAsia" w:cs="Times New Roman"/>
                <w:sz w:val="24"/>
                <w:szCs w:val="24"/>
                <w:lang w:eastAsia="zh-CN"/>
              </w:rPr>
              <w:t>得</w:t>
            </w:r>
            <w:r>
              <w:rPr>
                <w:rFonts w:hint="eastAsia" w:eastAsia="宋体" w:cs="Times New Roman"/>
                <w:sz w:val="24"/>
                <w:szCs w:val="24"/>
              </w:rPr>
              <w:t>3</w:t>
            </w:r>
            <w:r>
              <w:rPr>
                <w:rFonts w:eastAsia="宋体" w:cs="Times New Roman"/>
                <w:sz w:val="24"/>
                <w:szCs w:val="24"/>
              </w:rPr>
              <w:t>分；设施设备运行维护方案差的不</w:t>
            </w:r>
            <w:r>
              <w:rPr>
                <w:rFonts w:hint="eastAsia" w:cs="Times New Roman"/>
                <w:sz w:val="24"/>
                <w:szCs w:val="24"/>
                <w:lang w:eastAsia="zh-CN"/>
              </w:rPr>
              <w:t>得</w:t>
            </w:r>
            <w:r>
              <w:rPr>
                <w:rFonts w:eastAsia="宋体" w:cs="Times New Roman"/>
                <w:sz w:val="24"/>
                <w:szCs w:val="24"/>
              </w:rPr>
              <w:t>分。</w:t>
            </w:r>
          </w:p>
        </w:tc>
        <w:tc>
          <w:tcPr>
            <w:tcW w:w="963" w:type="dxa"/>
            <w:tcBorders>
              <w:top w:val="single" w:color="auto" w:sz="2" w:space="0"/>
              <w:left w:val="single" w:color="auto" w:sz="2" w:space="0"/>
              <w:bottom w:val="single" w:color="auto" w:sz="2" w:space="0"/>
              <w:right w:val="single" w:color="auto" w:sz="2" w:space="0"/>
            </w:tcBorders>
          </w:tcPr>
          <w:p>
            <w:pPr>
              <w:rPr>
                <w:rFonts w:eastAsia="宋体" w:cs="Times New Roman"/>
                <w:sz w:val="24"/>
                <w:szCs w:val="24"/>
              </w:rPr>
            </w:pPr>
            <w:r>
              <w:rPr>
                <w:rFonts w:hint="eastAsia" w:eastAsia="宋体" w:cs="Times New Roman"/>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2" w:space="0"/>
              <w:left w:val="single" w:color="auto" w:sz="2" w:space="0"/>
              <w:bottom w:val="single" w:color="auto" w:sz="2" w:space="0"/>
              <w:right w:val="single" w:color="auto" w:sz="2" w:space="0"/>
            </w:tcBorders>
            <w:vAlign w:val="center"/>
          </w:tcPr>
          <w:p>
            <w:pPr>
              <w:rPr>
                <w:rFonts w:hint="eastAsia" w:eastAsia="宋体" w:cs="Times New Roman"/>
                <w:sz w:val="24"/>
                <w:szCs w:val="24"/>
                <w:lang w:val="en-US" w:eastAsia="zh-CN"/>
              </w:rPr>
            </w:pPr>
            <w:r>
              <w:rPr>
                <w:rFonts w:hint="eastAsia" w:eastAsia="宋体" w:cs="Times New Roman"/>
                <w:sz w:val="24"/>
                <w:szCs w:val="24"/>
                <w:lang w:val="en-US" w:eastAsia="zh-CN"/>
              </w:rPr>
              <w:t>7</w:t>
            </w:r>
          </w:p>
        </w:tc>
        <w:tc>
          <w:tcPr>
            <w:tcW w:w="1479" w:type="dxa"/>
            <w:tcBorders>
              <w:top w:val="single" w:color="auto" w:sz="2" w:space="0"/>
              <w:left w:val="single" w:color="auto" w:sz="2" w:space="0"/>
              <w:bottom w:val="single" w:color="auto" w:sz="2" w:space="0"/>
              <w:right w:val="single" w:color="auto" w:sz="2" w:space="0"/>
            </w:tcBorders>
            <w:vAlign w:val="center"/>
          </w:tcPr>
          <w:p>
            <w:pPr>
              <w:rPr>
                <w:rFonts w:hint="eastAsia" w:eastAsia="宋体" w:cs="Times New Roman"/>
                <w:sz w:val="24"/>
                <w:szCs w:val="24"/>
                <w:lang w:val="en-US" w:eastAsia="zh-CN"/>
              </w:rPr>
            </w:pPr>
            <w:r>
              <w:rPr>
                <w:rFonts w:hint="eastAsia" w:eastAsia="宋体" w:cs="Times New Roman"/>
                <w:sz w:val="24"/>
                <w:szCs w:val="24"/>
              </w:rPr>
              <w:t>会议服务方案</w:t>
            </w:r>
            <w:r>
              <w:rPr>
                <w:rFonts w:hint="eastAsia" w:eastAsia="宋体" w:cs="Times New Roman"/>
                <w:sz w:val="24"/>
                <w:szCs w:val="24"/>
                <w:lang w:eastAsia="zh-CN"/>
              </w:rPr>
              <w:t>（</w:t>
            </w:r>
            <w:r>
              <w:rPr>
                <w:rFonts w:hint="eastAsia" w:eastAsia="宋体" w:cs="Times New Roman"/>
                <w:sz w:val="24"/>
                <w:szCs w:val="24"/>
                <w:lang w:val="en-US" w:eastAsia="zh-CN"/>
              </w:rPr>
              <w:t>6分</w:t>
            </w:r>
            <w:r>
              <w:rPr>
                <w:rFonts w:hint="eastAsia" w:eastAsia="宋体" w:cs="Times New Roman"/>
                <w:sz w:val="24"/>
                <w:szCs w:val="24"/>
                <w:lang w:eastAsia="zh-CN"/>
              </w:rPr>
              <w:t>）</w:t>
            </w:r>
          </w:p>
        </w:tc>
        <w:tc>
          <w:tcPr>
            <w:tcW w:w="4752" w:type="dxa"/>
            <w:tcBorders>
              <w:top w:val="single" w:color="auto" w:sz="2" w:space="0"/>
              <w:left w:val="single" w:color="auto" w:sz="2" w:space="0"/>
              <w:bottom w:val="single" w:color="auto" w:sz="2" w:space="0"/>
              <w:right w:val="single" w:color="auto" w:sz="2" w:space="0"/>
            </w:tcBorders>
            <w:vAlign w:val="center"/>
          </w:tcPr>
          <w:p>
            <w:pPr>
              <w:rPr>
                <w:rFonts w:eastAsia="宋体" w:cs="Times New Roman"/>
                <w:sz w:val="24"/>
                <w:szCs w:val="24"/>
              </w:rPr>
            </w:pPr>
            <w:r>
              <w:rPr>
                <w:rFonts w:hint="eastAsia" w:eastAsia="宋体" w:cs="Times New Roman"/>
                <w:sz w:val="24"/>
                <w:szCs w:val="24"/>
              </w:rPr>
              <w:t>投标人提供的本项目客户、会议服务方案，方案包括：①服务程序；②服务标准；③服务礼仪的得6分；每缺少一项内容或每有一项内容不切实可行或有逻辑性错误或不具有针对性的扣2分；本项最多扣6分。</w:t>
            </w:r>
          </w:p>
        </w:tc>
        <w:tc>
          <w:tcPr>
            <w:tcW w:w="963" w:type="dxa"/>
            <w:tcBorders>
              <w:top w:val="single" w:color="auto" w:sz="2" w:space="0"/>
              <w:left w:val="single" w:color="auto" w:sz="2" w:space="0"/>
              <w:bottom w:val="single" w:color="auto" w:sz="2" w:space="0"/>
              <w:right w:val="single" w:color="auto" w:sz="2" w:space="0"/>
            </w:tcBorders>
          </w:tcPr>
          <w:p>
            <w:pPr>
              <w:rPr>
                <w:rFonts w:eastAsia="宋体" w:cs="Times New Roman"/>
                <w:sz w:val="24"/>
                <w:szCs w:val="24"/>
              </w:rPr>
            </w:pPr>
          </w:p>
          <w:p>
            <w:pPr>
              <w:rPr>
                <w:rFonts w:eastAsia="宋体" w:cs="Times New Roman"/>
                <w:sz w:val="24"/>
                <w:szCs w:val="24"/>
              </w:rPr>
            </w:pPr>
            <w:r>
              <w:rPr>
                <w:rFonts w:hint="eastAsia" w:eastAsia="宋体" w:cs="Times New Roman"/>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2" w:space="0"/>
              <w:left w:val="single" w:color="auto" w:sz="2" w:space="0"/>
              <w:bottom w:val="single" w:color="auto" w:sz="2" w:space="0"/>
              <w:right w:val="single" w:color="auto" w:sz="2" w:space="0"/>
            </w:tcBorders>
            <w:vAlign w:val="center"/>
          </w:tcPr>
          <w:p>
            <w:pPr>
              <w:rPr>
                <w:rFonts w:hint="eastAsia" w:eastAsia="宋体" w:cs="Times New Roman"/>
                <w:sz w:val="24"/>
                <w:szCs w:val="24"/>
                <w:lang w:val="en-US" w:eastAsia="zh-CN"/>
              </w:rPr>
            </w:pPr>
            <w:r>
              <w:rPr>
                <w:rFonts w:hint="eastAsia" w:eastAsia="宋体" w:cs="Times New Roman"/>
                <w:sz w:val="24"/>
                <w:szCs w:val="24"/>
                <w:lang w:val="en-US" w:eastAsia="zh-CN"/>
              </w:rPr>
              <w:t>8</w:t>
            </w:r>
          </w:p>
        </w:tc>
        <w:tc>
          <w:tcPr>
            <w:tcW w:w="1479" w:type="dxa"/>
            <w:tcBorders>
              <w:top w:val="single" w:color="auto" w:sz="2" w:space="0"/>
              <w:left w:val="single" w:color="auto" w:sz="2" w:space="0"/>
              <w:bottom w:val="single" w:color="auto" w:sz="2" w:space="0"/>
              <w:right w:val="single" w:color="auto" w:sz="2" w:space="0"/>
            </w:tcBorders>
            <w:vAlign w:val="center"/>
          </w:tcPr>
          <w:p>
            <w:pPr>
              <w:rPr>
                <w:rFonts w:hint="eastAsia" w:eastAsia="宋体" w:cs="Times New Roman"/>
                <w:sz w:val="24"/>
                <w:szCs w:val="24"/>
                <w:lang w:eastAsia="zh-CN"/>
              </w:rPr>
            </w:pPr>
            <w:r>
              <w:rPr>
                <w:rFonts w:hint="eastAsia" w:eastAsia="宋体" w:cs="Times New Roman"/>
                <w:sz w:val="24"/>
                <w:szCs w:val="24"/>
              </w:rPr>
              <w:t>应急处理方案</w:t>
            </w:r>
            <w:r>
              <w:rPr>
                <w:rFonts w:hint="eastAsia" w:eastAsia="宋体" w:cs="Times New Roman"/>
                <w:sz w:val="24"/>
                <w:szCs w:val="24"/>
                <w:lang w:eastAsia="zh-CN"/>
              </w:rPr>
              <w:t>（</w:t>
            </w:r>
            <w:r>
              <w:rPr>
                <w:rFonts w:hint="eastAsia" w:eastAsia="宋体" w:cs="Times New Roman"/>
                <w:sz w:val="24"/>
                <w:szCs w:val="24"/>
                <w:lang w:val="en-US" w:eastAsia="zh-CN"/>
              </w:rPr>
              <w:t>8分</w:t>
            </w:r>
            <w:r>
              <w:rPr>
                <w:rFonts w:hint="eastAsia" w:eastAsia="宋体" w:cs="Times New Roman"/>
                <w:sz w:val="24"/>
                <w:szCs w:val="24"/>
                <w:lang w:eastAsia="zh-CN"/>
              </w:rPr>
              <w:t>）</w:t>
            </w:r>
          </w:p>
        </w:tc>
        <w:tc>
          <w:tcPr>
            <w:tcW w:w="4752" w:type="dxa"/>
            <w:tcBorders>
              <w:top w:val="single" w:color="auto" w:sz="2" w:space="0"/>
              <w:left w:val="single" w:color="auto" w:sz="2" w:space="0"/>
              <w:bottom w:val="single" w:color="auto" w:sz="2" w:space="0"/>
              <w:right w:val="single" w:color="auto" w:sz="2" w:space="0"/>
            </w:tcBorders>
            <w:vAlign w:val="center"/>
          </w:tcPr>
          <w:p>
            <w:pPr>
              <w:rPr>
                <w:rFonts w:eastAsia="宋体" w:cs="Times New Roman"/>
                <w:sz w:val="24"/>
                <w:szCs w:val="24"/>
              </w:rPr>
            </w:pPr>
            <w:r>
              <w:rPr>
                <w:rFonts w:hint="eastAsia" w:eastAsia="宋体" w:cs="Times New Roman"/>
                <w:sz w:val="24"/>
                <w:szCs w:val="24"/>
              </w:rPr>
              <w:t>投标人提供的本项目突发事件应急处理方案，方案包括：①发生水电气系统、雨污管网系统等故障事故的应急处置方案；②发生火灾、自然灾害等人祸及自然灾害的应急处置方案；③发生治安、群体性应急处置方案；④发生</w:t>
            </w:r>
            <w:r>
              <w:rPr>
                <w:rFonts w:eastAsia="宋体" w:cs="Times New Roman"/>
                <w:sz w:val="24"/>
                <w:szCs w:val="24"/>
              </w:rPr>
              <w:t>突然断水、断电的应急</w:t>
            </w:r>
            <w:r>
              <w:rPr>
                <w:rFonts w:hint="eastAsia" w:eastAsia="宋体" w:cs="Times New Roman"/>
                <w:sz w:val="24"/>
                <w:szCs w:val="24"/>
              </w:rPr>
              <w:t>处置</w:t>
            </w:r>
            <w:r>
              <w:rPr>
                <w:rFonts w:eastAsia="宋体" w:cs="Times New Roman"/>
                <w:sz w:val="24"/>
                <w:szCs w:val="24"/>
              </w:rPr>
              <w:t>方案</w:t>
            </w:r>
            <w:r>
              <w:rPr>
                <w:rFonts w:hint="eastAsia" w:eastAsia="宋体" w:cs="Times New Roman"/>
                <w:sz w:val="24"/>
                <w:szCs w:val="24"/>
              </w:rPr>
              <w:t>的得8分；每缺少一项内容或每有一项内容不切实可行或有逻辑性错误或不具有针对性的扣2分；本项最多扣8分。</w:t>
            </w:r>
          </w:p>
        </w:tc>
        <w:tc>
          <w:tcPr>
            <w:tcW w:w="963" w:type="dxa"/>
            <w:tcBorders>
              <w:top w:val="single" w:color="auto" w:sz="2" w:space="0"/>
              <w:left w:val="single" w:color="auto" w:sz="2" w:space="0"/>
              <w:bottom w:val="single" w:color="auto" w:sz="2" w:space="0"/>
              <w:right w:val="single" w:color="auto" w:sz="2" w:space="0"/>
            </w:tcBorders>
          </w:tcPr>
          <w:p>
            <w:pPr>
              <w:rPr>
                <w:rFonts w:eastAsia="宋体" w:cs="Times New Roman"/>
                <w:sz w:val="24"/>
                <w:szCs w:val="24"/>
              </w:rPr>
            </w:pPr>
            <w:r>
              <w:rPr>
                <w:rFonts w:hint="eastAsia" w:eastAsia="宋体" w:cs="Times New Roman"/>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2" w:space="0"/>
              <w:left w:val="single" w:color="auto" w:sz="2" w:space="0"/>
              <w:bottom w:val="single" w:color="auto" w:sz="2" w:space="0"/>
              <w:right w:val="single" w:color="auto" w:sz="2" w:space="0"/>
            </w:tcBorders>
            <w:vAlign w:val="center"/>
          </w:tcPr>
          <w:p>
            <w:pPr>
              <w:rPr>
                <w:rFonts w:hint="eastAsia" w:eastAsia="宋体" w:cs="Times New Roman"/>
                <w:sz w:val="24"/>
                <w:szCs w:val="24"/>
                <w:lang w:val="en-US" w:eastAsia="zh-CN"/>
              </w:rPr>
            </w:pPr>
            <w:r>
              <w:rPr>
                <w:rFonts w:hint="eastAsia" w:eastAsia="宋体" w:cs="Times New Roman"/>
                <w:sz w:val="24"/>
                <w:szCs w:val="24"/>
                <w:lang w:val="en-US" w:eastAsia="zh-CN"/>
              </w:rPr>
              <w:t>9</w:t>
            </w:r>
          </w:p>
        </w:tc>
        <w:tc>
          <w:tcPr>
            <w:tcW w:w="1479" w:type="dxa"/>
            <w:tcBorders>
              <w:top w:val="single" w:color="auto" w:sz="2" w:space="0"/>
              <w:left w:val="single" w:color="auto" w:sz="2" w:space="0"/>
              <w:bottom w:val="single" w:color="auto" w:sz="2" w:space="0"/>
              <w:right w:val="single" w:color="auto" w:sz="2" w:space="0"/>
            </w:tcBorders>
            <w:vAlign w:val="center"/>
          </w:tcPr>
          <w:p>
            <w:pPr>
              <w:rPr>
                <w:rFonts w:hint="eastAsia" w:eastAsia="宋体" w:cs="Times New Roman"/>
                <w:sz w:val="24"/>
                <w:szCs w:val="24"/>
                <w:lang w:eastAsia="zh-CN"/>
              </w:rPr>
            </w:pPr>
            <w:r>
              <w:rPr>
                <w:rFonts w:hint="eastAsia" w:eastAsia="宋体" w:cs="Times New Roman"/>
                <w:sz w:val="24"/>
                <w:szCs w:val="24"/>
              </w:rPr>
              <w:t>人员配置要求</w:t>
            </w:r>
            <w:r>
              <w:rPr>
                <w:rFonts w:hint="eastAsia" w:eastAsia="宋体" w:cs="Times New Roman"/>
                <w:sz w:val="24"/>
                <w:szCs w:val="24"/>
                <w:lang w:eastAsia="zh-CN"/>
              </w:rPr>
              <w:t>（</w:t>
            </w:r>
            <w:r>
              <w:rPr>
                <w:rFonts w:hint="eastAsia" w:eastAsia="宋体" w:cs="Times New Roman"/>
                <w:sz w:val="24"/>
                <w:szCs w:val="24"/>
                <w:lang w:val="en-US" w:eastAsia="zh-CN"/>
              </w:rPr>
              <w:t>15分</w:t>
            </w:r>
            <w:r>
              <w:rPr>
                <w:rFonts w:hint="eastAsia" w:eastAsia="宋体" w:cs="Times New Roman"/>
                <w:sz w:val="24"/>
                <w:szCs w:val="24"/>
                <w:lang w:eastAsia="zh-CN"/>
              </w:rPr>
              <w:t>）</w:t>
            </w:r>
          </w:p>
        </w:tc>
        <w:tc>
          <w:tcPr>
            <w:tcW w:w="4752" w:type="dxa"/>
            <w:tcBorders>
              <w:top w:val="single" w:color="auto" w:sz="2" w:space="0"/>
              <w:left w:val="single" w:color="auto" w:sz="2" w:space="0"/>
              <w:bottom w:val="single" w:color="auto" w:sz="2" w:space="0"/>
              <w:right w:val="single" w:color="auto" w:sz="2" w:space="0"/>
            </w:tcBorders>
            <w:vAlign w:val="center"/>
          </w:tcPr>
          <w:p>
            <w:pPr>
              <w:rPr>
                <w:rFonts w:hint="eastAsia" w:eastAsia="宋体" w:cs="Times New Roman"/>
                <w:sz w:val="24"/>
                <w:szCs w:val="24"/>
              </w:rPr>
            </w:pPr>
            <w:r>
              <w:rPr>
                <w:rFonts w:hint="eastAsia" w:cs="Times New Roman"/>
                <w:sz w:val="24"/>
                <w:szCs w:val="24"/>
                <w:lang w:val="en-US" w:eastAsia="zh-CN"/>
              </w:rPr>
              <w:t>1、</w:t>
            </w:r>
            <w:r>
              <w:rPr>
                <w:rFonts w:hint="eastAsia" w:eastAsia="宋体" w:cs="Times New Roman"/>
                <w:sz w:val="24"/>
                <w:szCs w:val="24"/>
              </w:rPr>
              <w:t>项目经理：具有</w:t>
            </w:r>
            <w:r>
              <w:rPr>
                <w:rFonts w:hint="eastAsia" w:cs="Times New Roman"/>
                <w:sz w:val="24"/>
                <w:szCs w:val="24"/>
                <w:lang w:eastAsia="zh-CN"/>
              </w:rPr>
              <w:t>中级职称</w:t>
            </w:r>
            <w:r>
              <w:rPr>
                <w:rFonts w:hint="eastAsia" w:eastAsia="宋体" w:cs="Times New Roman"/>
                <w:sz w:val="24"/>
                <w:szCs w:val="24"/>
              </w:rPr>
              <w:t>，5年及以上的物业管理经验，要求提供：A.身份证；B.</w:t>
            </w:r>
            <w:r>
              <w:rPr>
                <w:rFonts w:hint="eastAsia" w:cs="Times New Roman"/>
                <w:sz w:val="24"/>
                <w:szCs w:val="24"/>
                <w:lang w:eastAsia="zh-CN"/>
              </w:rPr>
              <w:t>中级职称</w:t>
            </w:r>
            <w:r>
              <w:rPr>
                <w:rFonts w:hint="eastAsia" w:eastAsia="宋体" w:cs="Times New Roman"/>
                <w:sz w:val="24"/>
                <w:szCs w:val="24"/>
              </w:rPr>
              <w:t>C.提供从业经验证明原件。上述证件及证明材料提供复印件加盖投标人公章。满分3分，每缺一项扣1分，扣完为止。</w:t>
            </w:r>
          </w:p>
          <w:p>
            <w:pPr>
              <w:rPr>
                <w:rFonts w:hint="eastAsia" w:eastAsia="宋体" w:cs="Times New Roman"/>
                <w:sz w:val="24"/>
                <w:szCs w:val="24"/>
              </w:rPr>
            </w:pPr>
            <w:r>
              <w:rPr>
                <w:rFonts w:hint="eastAsia" w:cs="Times New Roman"/>
                <w:sz w:val="24"/>
                <w:szCs w:val="24"/>
                <w:lang w:val="en-US" w:eastAsia="zh-CN"/>
              </w:rPr>
              <w:t>2、</w:t>
            </w:r>
            <w:r>
              <w:rPr>
                <w:rFonts w:hint="eastAsia" w:eastAsia="宋体" w:cs="Times New Roman"/>
                <w:sz w:val="24"/>
                <w:szCs w:val="24"/>
              </w:rPr>
              <w:t>公共设施设备维护主管：具有机电工程专业中级及以上职称证书，具备物业服务岗位培训合格证，具备5年及以上物业项目管理经验，要求提供：A.身份证、物业服务岗位培训合格证；B. 建筑或机电专业中级及以上职称证书；C. 提供从业经验证明原件。上述证件及证明材料提供复印件加盖投标人公章。满分3分，每缺一项扣1分，扣完为止。</w:t>
            </w:r>
          </w:p>
          <w:p>
            <w:pPr>
              <w:rPr>
                <w:rFonts w:hint="eastAsia" w:eastAsia="宋体" w:cs="Times New Roman"/>
                <w:sz w:val="24"/>
                <w:szCs w:val="24"/>
              </w:rPr>
            </w:pPr>
            <w:r>
              <w:rPr>
                <w:rFonts w:hint="eastAsia" w:cs="Times New Roman"/>
                <w:sz w:val="24"/>
                <w:szCs w:val="24"/>
                <w:lang w:val="en-US" w:eastAsia="zh-CN"/>
              </w:rPr>
              <w:t>3、</w:t>
            </w:r>
            <w:r>
              <w:rPr>
                <w:rFonts w:hint="eastAsia" w:eastAsia="宋体" w:cs="Times New Roman"/>
                <w:sz w:val="24"/>
                <w:szCs w:val="24"/>
              </w:rPr>
              <w:t>工程修缮管理人员：具有特种设备操作证，具备2年及以上工作经验，要求提供：A.身份证；B.电工操作证证书；C. 提供从业经验证明原件。上述证件及证明材料提供复印件加盖投标人公章。满分3分，每缺一项扣1分，扣完为止。</w:t>
            </w:r>
          </w:p>
          <w:p>
            <w:pPr>
              <w:rPr>
                <w:rFonts w:hint="eastAsia" w:eastAsia="宋体" w:cs="Times New Roman"/>
                <w:sz w:val="24"/>
                <w:szCs w:val="24"/>
              </w:rPr>
            </w:pPr>
            <w:r>
              <w:rPr>
                <w:rFonts w:hint="eastAsia" w:cs="Times New Roman"/>
                <w:sz w:val="24"/>
                <w:szCs w:val="24"/>
                <w:lang w:val="en-US" w:eastAsia="zh-CN"/>
              </w:rPr>
              <w:t>4、</w:t>
            </w:r>
            <w:r>
              <w:rPr>
                <w:rFonts w:hint="eastAsia" w:eastAsia="宋体" w:cs="Times New Roman"/>
                <w:sz w:val="24"/>
                <w:szCs w:val="24"/>
              </w:rPr>
              <w:t>秩序维护主管：具有物业服务岗位培训合格证，具备5年以上物业项目管理经验，要求提供：A.身份证；B. 物业服务岗位培训合格证；C. 提供从业经验证明原件。</w:t>
            </w:r>
          </w:p>
          <w:p>
            <w:pPr>
              <w:rPr>
                <w:rFonts w:hint="eastAsia" w:eastAsia="宋体" w:cs="Times New Roman"/>
                <w:sz w:val="24"/>
                <w:szCs w:val="24"/>
              </w:rPr>
            </w:pPr>
            <w:r>
              <w:rPr>
                <w:rFonts w:hint="eastAsia" w:eastAsia="宋体" w:cs="Times New Roman"/>
                <w:sz w:val="24"/>
                <w:szCs w:val="24"/>
              </w:rPr>
              <w:t>上述证件及证明材料提供复印件加盖投标人公章，满分3分，每缺一项扣1分，扣完为止。</w:t>
            </w:r>
          </w:p>
          <w:p>
            <w:pPr>
              <w:rPr>
                <w:rFonts w:eastAsia="宋体" w:cs="Times New Roman"/>
                <w:sz w:val="24"/>
                <w:szCs w:val="24"/>
              </w:rPr>
            </w:pPr>
            <w:r>
              <w:rPr>
                <w:rFonts w:hint="eastAsia" w:cs="Times New Roman"/>
                <w:sz w:val="24"/>
                <w:szCs w:val="24"/>
                <w:lang w:val="en-US" w:eastAsia="zh-CN"/>
              </w:rPr>
              <w:t>5</w:t>
            </w:r>
            <w:r>
              <w:rPr>
                <w:rFonts w:hint="eastAsia" w:eastAsia="宋体" w:cs="Times New Roman"/>
                <w:sz w:val="24"/>
                <w:szCs w:val="24"/>
              </w:rPr>
              <w:t>、环境维护主管：具有物业服务岗位培训合格证，具备5年及以上物业项目管理经验，要求提供：A.身份证；B. 物业服务岗位培训合格证；C. 提供从业经验证明原件。上述证件及证明材料提供复印件加盖投标人公章，满分3分，每缺一项扣1分，扣完为止。</w:t>
            </w:r>
          </w:p>
        </w:tc>
        <w:tc>
          <w:tcPr>
            <w:tcW w:w="963" w:type="dxa"/>
            <w:tcBorders>
              <w:top w:val="single" w:color="auto" w:sz="2" w:space="0"/>
              <w:left w:val="single" w:color="auto" w:sz="2" w:space="0"/>
              <w:bottom w:val="single" w:color="auto" w:sz="2" w:space="0"/>
              <w:right w:val="single" w:color="auto" w:sz="2" w:space="0"/>
            </w:tcBorders>
          </w:tcPr>
          <w:p>
            <w:pPr>
              <w:rPr>
                <w:rFonts w:eastAsia="宋体" w:cs="Times New Roman"/>
                <w:sz w:val="24"/>
                <w:szCs w:val="24"/>
              </w:rPr>
            </w:pPr>
            <w:r>
              <w:rPr>
                <w:rFonts w:hint="eastAsia" w:eastAsia="宋体" w:cs="Times New Roman"/>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2" w:space="0"/>
              <w:left w:val="single" w:color="auto" w:sz="2" w:space="0"/>
              <w:bottom w:val="single" w:color="auto" w:sz="2" w:space="0"/>
              <w:right w:val="single" w:color="auto" w:sz="2" w:space="0"/>
            </w:tcBorders>
            <w:vAlign w:val="center"/>
          </w:tcPr>
          <w:p>
            <w:pPr>
              <w:rPr>
                <w:rFonts w:hint="default" w:eastAsia="宋体" w:cs="Times New Roman"/>
                <w:sz w:val="24"/>
                <w:szCs w:val="24"/>
                <w:lang w:val="en-US" w:eastAsia="zh-CN"/>
              </w:rPr>
            </w:pPr>
            <w:r>
              <w:rPr>
                <w:rFonts w:hint="eastAsia" w:eastAsia="宋体" w:cs="Times New Roman"/>
                <w:sz w:val="24"/>
                <w:szCs w:val="24"/>
                <w:lang w:val="en-US" w:eastAsia="zh-CN"/>
              </w:rPr>
              <w:t>1</w:t>
            </w:r>
            <w:r>
              <w:rPr>
                <w:rFonts w:hint="eastAsia" w:cs="Times New Roman"/>
                <w:sz w:val="24"/>
                <w:szCs w:val="24"/>
                <w:lang w:val="en-US" w:eastAsia="zh-CN"/>
              </w:rPr>
              <w:t>0</w:t>
            </w:r>
          </w:p>
        </w:tc>
        <w:tc>
          <w:tcPr>
            <w:tcW w:w="1479" w:type="dxa"/>
            <w:tcBorders>
              <w:top w:val="single" w:color="auto" w:sz="2" w:space="0"/>
              <w:left w:val="single" w:color="auto" w:sz="2" w:space="0"/>
              <w:bottom w:val="single" w:color="auto" w:sz="2" w:space="0"/>
              <w:right w:val="single" w:color="auto" w:sz="2" w:space="0"/>
            </w:tcBorders>
            <w:vAlign w:val="center"/>
          </w:tcPr>
          <w:p>
            <w:pPr>
              <w:rPr>
                <w:rFonts w:hint="eastAsia" w:eastAsia="宋体" w:cs="Times New Roman"/>
                <w:sz w:val="24"/>
                <w:szCs w:val="24"/>
                <w:lang w:eastAsia="zh-CN"/>
              </w:rPr>
            </w:pPr>
            <w:r>
              <w:rPr>
                <w:rFonts w:hint="eastAsia" w:eastAsia="宋体" w:cs="Times New Roman"/>
                <w:sz w:val="24"/>
                <w:szCs w:val="24"/>
              </w:rPr>
              <w:t>履约能力</w:t>
            </w:r>
            <w:r>
              <w:rPr>
                <w:rFonts w:hint="eastAsia" w:eastAsia="宋体" w:cs="Times New Roman"/>
                <w:sz w:val="24"/>
                <w:szCs w:val="24"/>
                <w:lang w:eastAsia="zh-CN"/>
              </w:rPr>
              <w:t>（</w:t>
            </w:r>
            <w:r>
              <w:rPr>
                <w:rFonts w:hint="eastAsia" w:eastAsia="宋体" w:cs="Times New Roman"/>
                <w:sz w:val="24"/>
                <w:szCs w:val="24"/>
                <w:lang w:val="en-US" w:eastAsia="zh-CN"/>
              </w:rPr>
              <w:t>1</w:t>
            </w:r>
            <w:r>
              <w:rPr>
                <w:rFonts w:hint="eastAsia" w:cs="Times New Roman"/>
                <w:sz w:val="24"/>
                <w:szCs w:val="24"/>
                <w:lang w:val="en-US" w:eastAsia="zh-CN"/>
              </w:rPr>
              <w:t>4</w:t>
            </w:r>
            <w:r>
              <w:rPr>
                <w:rFonts w:hint="eastAsia" w:eastAsia="宋体" w:cs="Times New Roman"/>
                <w:sz w:val="24"/>
                <w:szCs w:val="24"/>
                <w:lang w:val="en-US" w:eastAsia="zh-CN"/>
              </w:rPr>
              <w:t>分</w:t>
            </w:r>
            <w:r>
              <w:rPr>
                <w:rFonts w:hint="eastAsia" w:eastAsia="宋体" w:cs="Times New Roman"/>
                <w:sz w:val="24"/>
                <w:szCs w:val="24"/>
                <w:lang w:eastAsia="zh-CN"/>
              </w:rPr>
              <w:t>）</w:t>
            </w:r>
          </w:p>
        </w:tc>
        <w:tc>
          <w:tcPr>
            <w:tcW w:w="4752" w:type="dxa"/>
            <w:tcBorders>
              <w:top w:val="single" w:color="auto" w:sz="2" w:space="0"/>
              <w:left w:val="single" w:color="auto" w:sz="2" w:space="0"/>
              <w:bottom w:val="single" w:color="auto" w:sz="2" w:space="0"/>
              <w:right w:val="single" w:color="auto" w:sz="2" w:space="0"/>
            </w:tcBorders>
            <w:vAlign w:val="center"/>
          </w:tcPr>
          <w:p>
            <w:pPr>
              <w:rPr>
                <w:rFonts w:hint="eastAsia" w:eastAsia="宋体" w:cs="Times New Roman"/>
                <w:sz w:val="24"/>
                <w:szCs w:val="24"/>
              </w:rPr>
            </w:pPr>
            <w:r>
              <w:rPr>
                <w:rFonts w:hint="eastAsia" w:eastAsia="宋体" w:cs="Times New Roman"/>
                <w:sz w:val="24"/>
                <w:szCs w:val="24"/>
              </w:rPr>
              <w:t>1、投标人具有在有效期内的质量管理体系认证证书的，得2分；（提供有效的证书复印件并加盖投标人公章）</w:t>
            </w:r>
          </w:p>
          <w:p>
            <w:pPr>
              <w:rPr>
                <w:rFonts w:hint="eastAsia" w:eastAsia="宋体" w:cs="Times New Roman"/>
                <w:sz w:val="24"/>
                <w:szCs w:val="24"/>
              </w:rPr>
            </w:pPr>
            <w:r>
              <w:rPr>
                <w:rFonts w:hint="eastAsia" w:eastAsia="宋体" w:cs="Times New Roman"/>
                <w:sz w:val="24"/>
                <w:szCs w:val="24"/>
              </w:rPr>
              <w:t>2、投标人具有在有效期内的环境管理体系认证证书的，得2分；（提供有效的证书复印件并加盖投标人公章）</w:t>
            </w:r>
          </w:p>
          <w:p>
            <w:pPr>
              <w:rPr>
                <w:rFonts w:hint="eastAsia" w:eastAsia="宋体" w:cs="Times New Roman"/>
                <w:sz w:val="24"/>
                <w:szCs w:val="24"/>
              </w:rPr>
            </w:pPr>
            <w:r>
              <w:rPr>
                <w:rFonts w:hint="eastAsia" w:eastAsia="宋体" w:cs="Times New Roman"/>
                <w:sz w:val="24"/>
                <w:szCs w:val="24"/>
              </w:rPr>
              <w:t>3、投标人具有在有效期内的</w:t>
            </w:r>
            <w:r>
              <w:rPr>
                <w:rFonts w:eastAsia="宋体" w:cs="Times New Roman"/>
                <w:sz w:val="24"/>
                <w:szCs w:val="24"/>
              </w:rPr>
              <w:t>职业健康安全管理体系</w:t>
            </w:r>
            <w:r>
              <w:rPr>
                <w:rFonts w:hint="eastAsia" w:eastAsia="宋体" w:cs="Times New Roman"/>
                <w:sz w:val="24"/>
                <w:szCs w:val="24"/>
              </w:rPr>
              <w:t>认证证书的，得2分；（提供有效的证书复印件并加盖投标人公章）</w:t>
            </w:r>
          </w:p>
          <w:p>
            <w:pPr>
              <w:rPr>
                <w:rFonts w:eastAsia="宋体" w:cs="Times New Roman"/>
                <w:sz w:val="24"/>
                <w:szCs w:val="24"/>
              </w:rPr>
            </w:pPr>
            <w:r>
              <w:rPr>
                <w:rFonts w:hint="eastAsia" w:eastAsia="宋体" w:cs="Times New Roman"/>
                <w:sz w:val="24"/>
                <w:szCs w:val="24"/>
              </w:rPr>
              <w:t>4、投标人自2019年1月1日（含）以来，</w:t>
            </w:r>
            <w:r>
              <w:rPr>
                <w:rFonts w:ascii="宋体" w:hAnsi="宋体" w:eastAsia="宋体" w:cs="宋体"/>
                <w:sz w:val="24"/>
                <w:szCs w:val="24"/>
              </w:rPr>
              <w:t>每提供一个物业合同的得2分，</w:t>
            </w:r>
            <w:r>
              <w:rPr>
                <w:rFonts w:hint="eastAsia" w:eastAsia="宋体" w:cs="Times New Roman"/>
                <w:sz w:val="24"/>
                <w:szCs w:val="24"/>
              </w:rPr>
              <w:t>最多得</w:t>
            </w:r>
            <w:r>
              <w:rPr>
                <w:rFonts w:hint="eastAsia" w:cs="Times New Roman"/>
                <w:sz w:val="24"/>
                <w:szCs w:val="24"/>
                <w:lang w:val="en-US" w:eastAsia="zh-CN"/>
              </w:rPr>
              <w:t>8</w:t>
            </w:r>
            <w:r>
              <w:rPr>
                <w:rFonts w:hint="eastAsia" w:eastAsia="宋体" w:cs="Times New Roman"/>
                <w:sz w:val="24"/>
                <w:szCs w:val="24"/>
              </w:rPr>
              <w:t>分。（提供合同期内任意月份银行转账凭证和合同复印件并加盖投标人公章,合同须包含合同页中的首页、服务期页、金额页、盖章页。）</w:t>
            </w:r>
          </w:p>
        </w:tc>
        <w:tc>
          <w:tcPr>
            <w:tcW w:w="963" w:type="dxa"/>
            <w:tcBorders>
              <w:top w:val="single" w:color="auto" w:sz="2" w:space="0"/>
              <w:left w:val="single" w:color="auto" w:sz="2" w:space="0"/>
              <w:bottom w:val="single" w:color="auto" w:sz="2" w:space="0"/>
              <w:right w:val="single" w:color="auto" w:sz="2" w:space="0"/>
            </w:tcBorders>
          </w:tcPr>
          <w:p>
            <w:pPr>
              <w:rPr>
                <w:rFonts w:hint="eastAsia" w:eastAsia="宋体" w:cs="Times New Roman"/>
                <w:sz w:val="24"/>
                <w:szCs w:val="24"/>
              </w:rPr>
            </w:pPr>
            <w:r>
              <w:rPr>
                <w:rFonts w:hint="eastAsia" w:eastAsia="宋体" w:cs="Times New Roman"/>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2" w:space="0"/>
              <w:left w:val="single" w:color="auto" w:sz="2" w:space="0"/>
              <w:bottom w:val="single" w:color="auto" w:sz="2" w:space="0"/>
              <w:right w:val="single" w:color="auto" w:sz="2" w:space="0"/>
            </w:tcBorders>
            <w:vAlign w:val="center"/>
          </w:tcPr>
          <w:p>
            <w:pPr>
              <w:rPr>
                <w:rFonts w:hint="default" w:eastAsia="宋体" w:cs="Times New Roman"/>
                <w:sz w:val="24"/>
                <w:szCs w:val="24"/>
                <w:lang w:val="en-US" w:eastAsia="zh-CN"/>
              </w:rPr>
            </w:pPr>
            <w:r>
              <w:rPr>
                <w:rFonts w:hint="eastAsia" w:eastAsia="宋体" w:cs="Times New Roman"/>
                <w:sz w:val="24"/>
                <w:szCs w:val="24"/>
                <w:lang w:val="en-US" w:eastAsia="zh-CN"/>
              </w:rPr>
              <w:t>1</w:t>
            </w:r>
            <w:r>
              <w:rPr>
                <w:rFonts w:hint="eastAsia" w:cs="Times New Roman"/>
                <w:sz w:val="24"/>
                <w:szCs w:val="24"/>
                <w:lang w:val="en-US" w:eastAsia="zh-CN"/>
              </w:rPr>
              <w:t>1</w:t>
            </w:r>
          </w:p>
        </w:tc>
        <w:tc>
          <w:tcPr>
            <w:tcW w:w="1479" w:type="dxa"/>
            <w:tcBorders>
              <w:top w:val="single" w:color="auto" w:sz="2" w:space="0"/>
              <w:left w:val="single" w:color="auto" w:sz="2" w:space="0"/>
              <w:bottom w:val="single" w:color="auto" w:sz="2" w:space="0"/>
              <w:right w:val="single" w:color="auto" w:sz="2" w:space="0"/>
            </w:tcBorders>
            <w:vAlign w:val="center"/>
          </w:tcPr>
          <w:p>
            <w:pPr>
              <w:rPr>
                <w:rFonts w:hint="eastAsia" w:eastAsia="宋体" w:cs="Times New Roman"/>
                <w:sz w:val="24"/>
                <w:szCs w:val="24"/>
              </w:rPr>
            </w:pPr>
            <w:r>
              <w:rPr>
                <w:rFonts w:hint="eastAsia" w:eastAsia="宋体" w:cs="Times New Roman"/>
                <w:sz w:val="24"/>
                <w:szCs w:val="24"/>
                <w:lang w:val="en-US" w:eastAsia="zh-CN"/>
              </w:rPr>
              <w:t>扶持不发达地区和少数民族地区</w:t>
            </w:r>
            <w:r>
              <w:rPr>
                <w:rFonts w:hint="eastAsia" w:eastAsia="宋体" w:cs="Times New Roman"/>
                <w:sz w:val="24"/>
                <w:szCs w:val="24"/>
              </w:rPr>
              <w:t>（1分）</w:t>
            </w:r>
          </w:p>
        </w:tc>
        <w:tc>
          <w:tcPr>
            <w:tcW w:w="4752" w:type="dxa"/>
            <w:tcBorders>
              <w:top w:val="single" w:color="auto" w:sz="2" w:space="0"/>
              <w:left w:val="single" w:color="auto" w:sz="2" w:space="0"/>
              <w:bottom w:val="single" w:color="auto" w:sz="2" w:space="0"/>
              <w:right w:val="single" w:color="auto" w:sz="2" w:space="0"/>
            </w:tcBorders>
            <w:vAlign w:val="center"/>
          </w:tcPr>
          <w:p>
            <w:pPr>
              <w:rPr>
                <w:rFonts w:hint="eastAsia" w:eastAsia="宋体" w:cs="Times New Roman"/>
                <w:sz w:val="24"/>
                <w:szCs w:val="24"/>
                <w:lang w:val="en-US" w:eastAsia="zh-CN"/>
              </w:rPr>
            </w:pPr>
            <w:r>
              <w:rPr>
                <w:rFonts w:hint="eastAsia" w:eastAsia="宋体" w:cs="Times New Roman"/>
                <w:sz w:val="24"/>
                <w:szCs w:val="24"/>
                <w:lang w:val="en-US" w:eastAsia="zh-CN"/>
              </w:rPr>
              <w:t>供应商为不发达地区或少数民族地区企业的得1分。</w:t>
            </w:r>
          </w:p>
          <w:p>
            <w:pPr>
              <w:rPr>
                <w:rFonts w:hint="eastAsia" w:eastAsia="宋体" w:cs="Times New Roman"/>
                <w:sz w:val="24"/>
                <w:szCs w:val="24"/>
              </w:rPr>
            </w:pPr>
            <w:r>
              <w:rPr>
                <w:rFonts w:hint="eastAsia" w:eastAsia="宋体" w:cs="Times New Roman"/>
                <w:sz w:val="24"/>
                <w:szCs w:val="24"/>
                <w:lang w:val="en-US" w:eastAsia="zh-CN"/>
              </w:rPr>
              <w:t>注:需提供不发达地区企业的相关证明材料或供应商注册地为少数民族地区,否则不得分。</w:t>
            </w:r>
          </w:p>
        </w:tc>
        <w:tc>
          <w:tcPr>
            <w:tcW w:w="963" w:type="dxa"/>
            <w:tcBorders>
              <w:top w:val="single" w:color="auto" w:sz="2" w:space="0"/>
              <w:left w:val="single" w:color="auto" w:sz="2" w:space="0"/>
              <w:bottom w:val="single" w:color="auto" w:sz="2" w:space="0"/>
              <w:right w:val="single" w:color="auto" w:sz="2" w:space="0"/>
            </w:tcBorders>
          </w:tcPr>
          <w:p>
            <w:pPr>
              <w:rPr>
                <w:rFonts w:eastAsia="宋体" w:cs="Times New Roman"/>
                <w:sz w:val="24"/>
                <w:szCs w:val="24"/>
              </w:rPr>
            </w:pPr>
            <w:r>
              <w:rPr>
                <w:rFonts w:hint="eastAsia" w:eastAsia="宋体" w:cs="Times New Roman"/>
                <w:sz w:val="24"/>
                <w:szCs w:val="24"/>
              </w:rPr>
              <w:t>共同评分因素</w:t>
            </w:r>
          </w:p>
        </w:tc>
      </w:tr>
    </w:tbl>
    <w:p>
      <w:pPr>
        <w:rPr>
          <w:rFonts w:eastAsia="宋体" w:cs="Times New Roman"/>
          <w:sz w:val="24"/>
          <w:szCs w:val="24"/>
        </w:rPr>
      </w:pPr>
    </w:p>
    <w:p/>
    <w:p>
      <w:pPr>
        <w:ind w:firstLine="560" w:firstLineChars="200"/>
        <w:rPr>
          <w:rFonts w:ascii="宋体" w:hAnsi="宋体"/>
          <w:sz w:val="28"/>
        </w:rPr>
      </w:pPr>
      <w:r>
        <w:rPr>
          <w:rFonts w:hint="eastAsia" w:ascii="宋体" w:hAnsi="宋体"/>
          <w:sz w:val="28"/>
        </w:rPr>
        <w:t>说明：</w:t>
      </w:r>
    </w:p>
    <w:p>
      <w:pPr>
        <w:spacing w:line="360" w:lineRule="auto"/>
        <w:ind w:firstLine="560" w:firstLineChars="200"/>
        <w:rPr>
          <w:rFonts w:ascii="宋体" w:hAnsi="宋体"/>
          <w:sz w:val="28"/>
        </w:rPr>
      </w:pPr>
      <w:r>
        <w:rPr>
          <w:rFonts w:hint="eastAsia" w:ascii="宋体" w:hAnsi="宋体"/>
          <w:sz w:val="28"/>
        </w:rPr>
        <w:t>1、评分的取值按四舍五入法，保留小数点后两位；</w:t>
      </w:r>
    </w:p>
    <w:p>
      <w:pPr>
        <w:spacing w:line="360" w:lineRule="auto"/>
        <w:ind w:firstLine="560" w:firstLineChars="200"/>
        <w:rPr>
          <w:rFonts w:ascii="宋体" w:hAnsi="宋体"/>
          <w:sz w:val="28"/>
        </w:rPr>
      </w:pPr>
      <w:r>
        <w:rPr>
          <w:rFonts w:hint="eastAsia" w:ascii="宋体" w:hAnsi="宋体"/>
          <w:sz w:val="28"/>
        </w:rPr>
        <w:t>2、评分标准中要求提供复印件的证明材料须清晰可辨。</w:t>
      </w:r>
    </w:p>
    <w:p>
      <w:pPr>
        <w:keepNext/>
        <w:keepLines/>
        <w:numPr>
          <w:ilvl w:val="1"/>
          <w:numId w:val="6"/>
        </w:numPr>
        <w:spacing w:before="260" w:after="260" w:line="360" w:lineRule="auto"/>
        <w:jc w:val="left"/>
        <w:outlineLvl w:val="1"/>
        <w:rPr>
          <w:rFonts w:ascii="宋体" w:hAnsi="宋体"/>
          <w:b/>
          <w:bCs/>
          <w:sz w:val="28"/>
          <w:szCs w:val="28"/>
        </w:rPr>
      </w:pPr>
      <w:bookmarkStart w:id="285" w:name="_Toc29110_WPSOffice_Level2"/>
      <w:bookmarkStart w:id="286" w:name="_Toc20351_WPSOffice_Level2"/>
      <w:bookmarkStart w:id="287" w:name="_Toc74752346"/>
      <w:bookmarkStart w:id="288" w:name="_Toc9364_WPSOffice_Level2"/>
      <w:r>
        <w:rPr>
          <w:rFonts w:hint="eastAsia" w:ascii="宋体" w:hAnsi="宋体"/>
          <w:b/>
          <w:bCs/>
          <w:sz w:val="28"/>
          <w:szCs w:val="28"/>
        </w:rPr>
        <w:t>废标</w:t>
      </w:r>
      <w:bookmarkEnd w:id="285"/>
      <w:bookmarkEnd w:id="286"/>
      <w:bookmarkEnd w:id="287"/>
      <w:bookmarkEnd w:id="288"/>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废标后，区公资交易中心将在“四川政府采购网”和“成都市公共资源交易服务中心”网站上公告。</w:t>
      </w:r>
    </w:p>
    <w:p>
      <w:pPr>
        <w:keepNext/>
        <w:keepLines/>
        <w:numPr>
          <w:ilvl w:val="1"/>
          <w:numId w:val="6"/>
        </w:numPr>
        <w:spacing w:before="260" w:after="260" w:line="360" w:lineRule="auto"/>
        <w:jc w:val="left"/>
        <w:outlineLvl w:val="1"/>
        <w:rPr>
          <w:rFonts w:ascii="宋体" w:hAnsi="宋体"/>
          <w:b/>
          <w:bCs/>
          <w:sz w:val="28"/>
          <w:szCs w:val="28"/>
        </w:rPr>
      </w:pPr>
      <w:bookmarkStart w:id="289" w:name="_Toc74752347"/>
      <w:bookmarkStart w:id="290" w:name="_Toc3854_WPSOffice_Level2"/>
      <w:bookmarkStart w:id="291" w:name="_Toc5495_WPSOffice_Level2"/>
      <w:bookmarkStart w:id="292" w:name="_Toc5549_WPSOffice_Level2"/>
      <w:r>
        <w:rPr>
          <w:rFonts w:hint="eastAsia" w:ascii="宋体" w:hAnsi="宋体"/>
          <w:b/>
          <w:bCs/>
          <w:sz w:val="28"/>
          <w:szCs w:val="28"/>
        </w:rPr>
        <w:t>定标</w:t>
      </w:r>
      <w:bookmarkEnd w:id="289"/>
      <w:bookmarkEnd w:id="290"/>
      <w:bookmarkEnd w:id="291"/>
      <w:bookmarkEnd w:id="292"/>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spacing w:line="560" w:lineRule="exact"/>
        <w:ind w:firstLine="560" w:firstLineChars="200"/>
        <w:rPr>
          <w:rFonts w:ascii="宋体" w:hAnsi="宋体"/>
          <w:sz w:val="28"/>
          <w:szCs w:val="28"/>
        </w:rPr>
      </w:pPr>
      <w:r>
        <w:rPr>
          <w:rFonts w:hint="eastAsia" w:ascii="宋体" w:hAnsi="宋体"/>
          <w:sz w:val="28"/>
          <w:szCs w:val="28"/>
        </w:rPr>
        <w:t>本项目根据评标委员会确定的中标候选人名单，采购人按顺序确定1名中标人。成交候选供应商并列的，则在排名并列的投标人中优先选择不发达地区或少数民族地区或国家级贫困地区的供应商为中标候选人，如并列供应商无不发达地区或少数民族地区或国家级贫困地区的供应商，则采购人采取随机抽取的方式确定。</w:t>
      </w:r>
    </w:p>
    <w:p>
      <w:pPr>
        <w:spacing w:line="560" w:lineRule="exact"/>
        <w:ind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二、区公资交易中心在评审结束之日起2个工作日内将评审报告送采购人。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四、根据采购人确定的中标（成交）人，区公资交易中心在“四川政府采购网”和“成都市公共资源交易服务中心”网站上发布中标（成交）公告，同时向中标（成交）人发出中标（成交）通知书。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五、采购人、区公资交易中心不解释中标（成交）或未中标（成交）原因，不退回投标文件和其他投标资料。</w:t>
      </w:r>
    </w:p>
    <w:p>
      <w:pPr>
        <w:keepNext/>
        <w:keepLines/>
        <w:numPr>
          <w:ilvl w:val="1"/>
          <w:numId w:val="6"/>
        </w:numPr>
        <w:spacing w:line="360" w:lineRule="auto"/>
        <w:jc w:val="left"/>
        <w:outlineLvl w:val="1"/>
        <w:rPr>
          <w:rFonts w:ascii="宋体" w:hAnsi="宋体"/>
          <w:b/>
          <w:bCs/>
          <w:sz w:val="28"/>
          <w:szCs w:val="28"/>
        </w:rPr>
      </w:pPr>
      <w:bookmarkStart w:id="293" w:name="_Toc74752348"/>
      <w:bookmarkStart w:id="294" w:name="_Toc7976_WPSOffice_Level2"/>
      <w:bookmarkStart w:id="295" w:name="_Toc21526_WPSOffice_Level2"/>
      <w:bookmarkStart w:id="296" w:name="_Toc21511_WPSOffice_Level2"/>
      <w:r>
        <w:rPr>
          <w:rFonts w:hint="eastAsia" w:ascii="宋体" w:hAnsi="宋体"/>
          <w:b/>
          <w:bCs/>
          <w:sz w:val="28"/>
          <w:szCs w:val="28"/>
        </w:rPr>
        <w:t>评标专家在政府采购活动中承担以下义务</w:t>
      </w:r>
      <w:bookmarkEnd w:id="293"/>
      <w:bookmarkEnd w:id="294"/>
      <w:bookmarkEnd w:id="295"/>
      <w:bookmarkEnd w:id="296"/>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发现采购人、区公资交易中心及其工作人员在政府采购活动中有干预评审、发表倾向性和歧视性言论、受贿或者接受投标人的其他好处及其他违法违规行为，及时向财政部门报告。</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解答有关方面对政府采购评审工作中有关问题的询问，配合采购人或者区公资交易中心答复投标人的询问、质疑，配合财政部门的投诉处理工作等事宜。</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法律、法规和规章规定的其他义务。</w:t>
      </w:r>
    </w:p>
    <w:p>
      <w:pPr>
        <w:keepNext/>
        <w:keepLines/>
        <w:numPr>
          <w:ilvl w:val="1"/>
          <w:numId w:val="6"/>
        </w:numPr>
        <w:spacing w:line="360" w:lineRule="auto"/>
        <w:jc w:val="left"/>
        <w:outlineLvl w:val="1"/>
        <w:rPr>
          <w:rFonts w:ascii="宋体" w:hAnsi="宋体"/>
          <w:b/>
          <w:bCs/>
          <w:sz w:val="28"/>
          <w:szCs w:val="28"/>
        </w:rPr>
      </w:pPr>
      <w:bookmarkStart w:id="297" w:name="_Toc74752349"/>
      <w:bookmarkStart w:id="298" w:name="_Toc3243_WPSOffice_Level2"/>
      <w:bookmarkStart w:id="299" w:name="_Toc14633_WPSOffice_Level2"/>
      <w:bookmarkStart w:id="300" w:name="_Toc19488_WPSOffice_Level2"/>
      <w:r>
        <w:rPr>
          <w:rFonts w:hint="eastAsia" w:ascii="宋体" w:hAnsi="宋体"/>
          <w:b/>
          <w:bCs/>
          <w:sz w:val="28"/>
          <w:szCs w:val="28"/>
        </w:rPr>
        <w:t>评标委员会及其成员不得有下列行为</w:t>
      </w:r>
      <w:bookmarkEnd w:id="297"/>
      <w:bookmarkEnd w:id="298"/>
      <w:bookmarkEnd w:id="299"/>
      <w:bookmarkEnd w:id="300"/>
    </w:p>
    <w:p>
      <w:pPr>
        <w:numPr>
          <w:ilvl w:val="0"/>
          <w:numId w:val="48"/>
        </w:numPr>
        <w:tabs>
          <w:tab w:val="left" w:pos="1155"/>
        </w:tabs>
        <w:spacing w:line="360" w:lineRule="auto"/>
        <w:rPr>
          <w:rFonts w:ascii="宋体" w:hAnsi="宋体"/>
          <w:sz w:val="28"/>
          <w:szCs w:val="28"/>
        </w:rPr>
      </w:pPr>
      <w:r>
        <w:rPr>
          <w:rFonts w:hint="eastAsia" w:ascii="宋体" w:hAnsi="宋体"/>
          <w:sz w:val="28"/>
          <w:szCs w:val="28"/>
        </w:rPr>
        <w:t>确定参与评标至评标结束前私自接触投标人；</w:t>
      </w:r>
    </w:p>
    <w:p>
      <w:pPr>
        <w:numPr>
          <w:ilvl w:val="0"/>
          <w:numId w:val="48"/>
        </w:numPr>
        <w:tabs>
          <w:tab w:val="left" w:pos="1155"/>
        </w:tabs>
        <w:spacing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48"/>
        </w:numPr>
        <w:tabs>
          <w:tab w:val="left" w:pos="1155"/>
        </w:tabs>
        <w:spacing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48"/>
        </w:numPr>
        <w:tabs>
          <w:tab w:val="left" w:pos="1155"/>
        </w:tabs>
        <w:spacing w:line="360" w:lineRule="auto"/>
        <w:rPr>
          <w:rFonts w:ascii="宋体" w:hAnsi="宋体"/>
          <w:sz w:val="28"/>
          <w:szCs w:val="28"/>
        </w:rPr>
      </w:pPr>
      <w:r>
        <w:rPr>
          <w:rFonts w:hint="eastAsia" w:ascii="宋体" w:hAnsi="宋体"/>
          <w:sz w:val="28"/>
          <w:szCs w:val="28"/>
        </w:rPr>
        <w:t>对需要专业判断的主观评审因素协商评分；</w:t>
      </w:r>
    </w:p>
    <w:p>
      <w:pPr>
        <w:numPr>
          <w:ilvl w:val="0"/>
          <w:numId w:val="48"/>
        </w:numPr>
        <w:tabs>
          <w:tab w:val="left" w:pos="1155"/>
        </w:tabs>
        <w:spacing w:line="360" w:lineRule="auto"/>
        <w:rPr>
          <w:rFonts w:ascii="宋体" w:hAnsi="宋体"/>
          <w:sz w:val="28"/>
          <w:szCs w:val="28"/>
        </w:rPr>
      </w:pPr>
      <w:r>
        <w:rPr>
          <w:rFonts w:hint="eastAsia" w:ascii="宋体" w:hAnsi="宋体"/>
          <w:sz w:val="28"/>
          <w:szCs w:val="28"/>
        </w:rPr>
        <w:t>在评标过程中擅离职守，影响评标程序正常进行的；</w:t>
      </w:r>
    </w:p>
    <w:p>
      <w:pPr>
        <w:numPr>
          <w:ilvl w:val="0"/>
          <w:numId w:val="48"/>
        </w:numPr>
        <w:tabs>
          <w:tab w:val="left" w:pos="1155"/>
        </w:tabs>
        <w:spacing w:line="360" w:lineRule="auto"/>
        <w:rPr>
          <w:rFonts w:ascii="宋体" w:hAnsi="宋体"/>
          <w:sz w:val="28"/>
          <w:szCs w:val="28"/>
        </w:rPr>
      </w:pPr>
      <w:r>
        <w:rPr>
          <w:rFonts w:hint="eastAsia" w:ascii="宋体" w:hAnsi="宋体"/>
          <w:sz w:val="28"/>
          <w:szCs w:val="28"/>
        </w:rPr>
        <w:t>记录、复制或者带走任何评标资料；</w:t>
      </w:r>
    </w:p>
    <w:p>
      <w:pPr>
        <w:numPr>
          <w:ilvl w:val="0"/>
          <w:numId w:val="48"/>
        </w:numPr>
        <w:tabs>
          <w:tab w:val="left" w:pos="1155"/>
        </w:tabs>
        <w:spacing w:line="360" w:lineRule="auto"/>
        <w:rPr>
          <w:rFonts w:ascii="宋体" w:hAnsi="宋体"/>
          <w:sz w:val="28"/>
          <w:szCs w:val="28"/>
        </w:rPr>
      </w:pPr>
      <w:r>
        <w:rPr>
          <w:rFonts w:hint="eastAsia" w:ascii="宋体" w:hAnsi="宋体"/>
          <w:sz w:val="28"/>
          <w:szCs w:val="28"/>
        </w:rPr>
        <w:t>其他不遵守评标纪律的行为。</w:t>
      </w:r>
    </w:p>
    <w:p>
      <w:pPr>
        <w:spacing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keepNext/>
        <w:keepLines/>
        <w:numPr>
          <w:ilvl w:val="1"/>
          <w:numId w:val="6"/>
        </w:numPr>
        <w:spacing w:before="240" w:line="360" w:lineRule="auto"/>
        <w:jc w:val="left"/>
        <w:outlineLvl w:val="1"/>
        <w:rPr>
          <w:rFonts w:ascii="宋体" w:hAnsi="宋体"/>
          <w:b/>
          <w:bCs/>
          <w:sz w:val="28"/>
          <w:szCs w:val="28"/>
        </w:rPr>
      </w:pPr>
      <w:bookmarkStart w:id="301" w:name="_Toc74752350"/>
      <w:bookmarkStart w:id="302" w:name="_Toc19629_WPSOffice_Level2"/>
      <w:bookmarkStart w:id="303" w:name="_Toc22762_WPSOffice_Level2"/>
      <w:bookmarkStart w:id="304" w:name="_Toc17454_WPSOffice_Level2"/>
      <w:r>
        <w:rPr>
          <w:rFonts w:hint="eastAsia" w:ascii="宋体" w:hAnsi="宋体"/>
          <w:b/>
          <w:bCs/>
          <w:sz w:val="28"/>
          <w:szCs w:val="28"/>
        </w:rPr>
        <w:t>评审专家在政府采购活动中应当遵守以下工作纪律</w:t>
      </w:r>
      <w:bookmarkEnd w:id="301"/>
      <w:bookmarkEnd w:id="302"/>
      <w:bookmarkEnd w:id="303"/>
      <w:bookmarkEnd w:id="304"/>
    </w:p>
    <w:p>
      <w:pPr>
        <w:numPr>
          <w:ilvl w:val="0"/>
          <w:numId w:val="49"/>
        </w:numPr>
        <w:tabs>
          <w:tab w:val="left" w:pos="1155"/>
        </w:tabs>
        <w:spacing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rPr>
        <w:t>区公资交易中心</w:t>
      </w:r>
      <w:r>
        <w:rPr>
          <w:rFonts w:hint="eastAsia" w:ascii="宋体" w:hAnsi="宋体"/>
          <w:sz w:val="28"/>
          <w:szCs w:val="28"/>
        </w:rPr>
        <w:t>，不得私自转托他人。</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rPr>
        <w:t>区公资交易中心</w:t>
      </w:r>
      <w:r>
        <w:rPr>
          <w:rFonts w:hint="eastAsia" w:ascii="宋体" w:hAnsi="宋体"/>
          <w:sz w:val="28"/>
          <w:szCs w:val="28"/>
        </w:rPr>
        <w:t>也可要求该评审专家回避。</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服从评标现场</w:t>
      </w:r>
      <w:r>
        <w:rPr>
          <w:rFonts w:hint="eastAsia" w:cs="Arial"/>
          <w:sz w:val="28"/>
          <w:szCs w:val="28"/>
        </w:rPr>
        <w:t>区公资交易中心</w:t>
      </w:r>
      <w:r>
        <w:rPr>
          <w:rFonts w:hint="eastAsia" w:ascii="宋体" w:hAnsi="宋体"/>
          <w:sz w:val="28"/>
          <w:szCs w:val="28"/>
        </w:rPr>
        <w:t>的现场秩序管理，接受评标现场监督人员的合法监督。</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49"/>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8"/>
          <w:szCs w:val="28"/>
        </w:rPr>
        <w:t>有关部门（机构）制定的其他评审工作纪律。</w:t>
      </w: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bookmarkEnd w:id="239"/>
    <w:bookmarkEnd w:id="240"/>
    <w:p>
      <w:pPr>
        <w:keepNext/>
        <w:keepLines/>
        <w:spacing w:before="340" w:after="330" w:line="400" w:lineRule="exact"/>
        <w:outlineLvl w:val="0"/>
        <w:rPr>
          <w:rFonts w:ascii="宋体" w:hAnsi="宋体"/>
          <w:b/>
          <w:bCs/>
          <w:spacing w:val="-20"/>
          <w:kern w:val="44"/>
          <w:szCs w:val="32"/>
        </w:rPr>
        <w:sectPr>
          <w:pgSz w:w="11850" w:h="16783"/>
          <w:pgMar w:top="1440" w:right="1800" w:bottom="1440" w:left="1800" w:header="708" w:footer="708" w:gutter="0"/>
          <w:cols w:space="708" w:num="1"/>
          <w:docGrid w:linePitch="360" w:charSpace="0"/>
        </w:sectPr>
      </w:pPr>
      <w:bookmarkStart w:id="305" w:name="_Toc74752351"/>
    </w:p>
    <w:p>
      <w:pPr>
        <w:keepNext/>
        <w:keepLines/>
        <w:numPr>
          <w:ilvl w:val="0"/>
          <w:numId w:val="6"/>
        </w:numPr>
        <w:spacing w:before="340" w:after="330" w:line="400" w:lineRule="exact"/>
        <w:jc w:val="center"/>
        <w:outlineLvl w:val="9"/>
        <w:rPr>
          <w:rFonts w:ascii="宋体" w:hAnsi="宋体"/>
          <w:b/>
          <w:bCs/>
          <w:spacing w:val="-20"/>
          <w:kern w:val="44"/>
          <w:szCs w:val="32"/>
        </w:rPr>
      </w:pPr>
      <w:bookmarkStart w:id="306" w:name="_Toc17680_WPSOffice_Level1"/>
      <w:bookmarkStart w:id="307" w:name="_Toc3564_WPSOffice_Level1"/>
      <w:bookmarkStart w:id="308" w:name="_Toc10313_WPSOffice_Level1"/>
      <w:r>
        <w:rPr>
          <w:rFonts w:hint="eastAsia" w:ascii="宋体" w:hAnsi="宋体"/>
          <w:b/>
          <w:bCs/>
          <w:spacing w:val="-20"/>
          <w:kern w:val="44"/>
          <w:sz w:val="32"/>
          <w:szCs w:val="32"/>
        </w:rPr>
        <w:t>拟签订合同</w:t>
      </w:r>
      <w:bookmarkStart w:id="309" w:name="_Toc299975392"/>
      <w:bookmarkEnd w:id="309"/>
      <w:bookmarkStart w:id="310" w:name="_Toc316475671"/>
      <w:bookmarkEnd w:id="310"/>
      <w:bookmarkStart w:id="311" w:name="_Toc316475753"/>
      <w:bookmarkEnd w:id="311"/>
      <w:bookmarkStart w:id="312" w:name="_Toc316475762"/>
      <w:bookmarkEnd w:id="312"/>
      <w:bookmarkStart w:id="313" w:name="_Toc277152523"/>
      <w:bookmarkEnd w:id="313"/>
      <w:bookmarkStart w:id="314" w:name="_Toc316475751"/>
      <w:bookmarkEnd w:id="314"/>
      <w:bookmarkStart w:id="315" w:name="_Toc316475752"/>
      <w:bookmarkEnd w:id="315"/>
      <w:bookmarkStart w:id="316" w:name="_Toc299975364"/>
      <w:bookmarkEnd w:id="316"/>
      <w:bookmarkStart w:id="317" w:name="_Toc277152520"/>
      <w:bookmarkEnd w:id="317"/>
      <w:bookmarkStart w:id="318" w:name="_Toc316475754"/>
      <w:bookmarkEnd w:id="318"/>
      <w:bookmarkStart w:id="319" w:name="_Toc316475757"/>
      <w:bookmarkEnd w:id="319"/>
      <w:bookmarkStart w:id="320" w:name="_Toc277152521"/>
      <w:bookmarkEnd w:id="320"/>
      <w:bookmarkStart w:id="321" w:name="_Toc316475676"/>
      <w:bookmarkEnd w:id="321"/>
      <w:bookmarkStart w:id="322" w:name="_Toc316475761"/>
      <w:bookmarkEnd w:id="322"/>
      <w:bookmarkStart w:id="323" w:name="_Toc316475759"/>
      <w:bookmarkEnd w:id="323"/>
      <w:bookmarkStart w:id="324" w:name="_Toc316475763"/>
      <w:bookmarkEnd w:id="324"/>
      <w:bookmarkStart w:id="325" w:name="_Toc316475756"/>
      <w:bookmarkEnd w:id="325"/>
      <w:bookmarkStart w:id="326" w:name="_Toc316475672"/>
      <w:bookmarkEnd w:id="326"/>
      <w:bookmarkStart w:id="327" w:name="_Toc316475677"/>
      <w:bookmarkEnd w:id="327"/>
      <w:bookmarkStart w:id="328" w:name="_Toc316475667"/>
      <w:bookmarkEnd w:id="328"/>
      <w:bookmarkStart w:id="329" w:name="_Toc316475758"/>
      <w:bookmarkEnd w:id="329"/>
      <w:bookmarkStart w:id="330" w:name="_Toc316475665"/>
      <w:bookmarkEnd w:id="330"/>
      <w:bookmarkStart w:id="331" w:name="_Toc316475669"/>
      <w:bookmarkEnd w:id="331"/>
      <w:bookmarkStart w:id="332" w:name="_Toc277152522"/>
      <w:bookmarkEnd w:id="332"/>
      <w:bookmarkStart w:id="333" w:name="_Toc214858832"/>
      <w:bookmarkEnd w:id="333"/>
      <w:bookmarkStart w:id="334" w:name="_Toc316475670"/>
      <w:bookmarkEnd w:id="334"/>
      <w:bookmarkStart w:id="335" w:name="_Toc316475675"/>
      <w:bookmarkEnd w:id="335"/>
      <w:bookmarkStart w:id="336" w:name="_Toc316475673"/>
      <w:bookmarkEnd w:id="336"/>
      <w:bookmarkStart w:id="337" w:name="_Toc316475764"/>
      <w:bookmarkEnd w:id="337"/>
      <w:bookmarkStart w:id="338" w:name="_Toc316475668"/>
      <w:bookmarkEnd w:id="338"/>
      <w:bookmarkStart w:id="339" w:name="_Toc316475760"/>
      <w:bookmarkEnd w:id="339"/>
      <w:bookmarkStart w:id="340" w:name="_Toc316475755"/>
      <w:bookmarkEnd w:id="340"/>
      <w:bookmarkStart w:id="341" w:name="_Toc316475664"/>
      <w:bookmarkEnd w:id="341"/>
      <w:bookmarkStart w:id="342" w:name="_Toc316475666"/>
      <w:bookmarkEnd w:id="342"/>
      <w:bookmarkStart w:id="343" w:name="_Toc316475674"/>
      <w:bookmarkEnd w:id="343"/>
      <w:bookmarkStart w:id="344" w:name="_Toc34729074"/>
      <w:bookmarkStart w:id="345" w:name="_Toc217446108"/>
      <w:bookmarkStart w:id="346" w:name="_Toc8573798"/>
      <w:r>
        <w:rPr>
          <w:rFonts w:hint="eastAsia" w:ascii="宋体" w:hAnsi="宋体"/>
          <w:b/>
          <w:bCs/>
          <w:spacing w:val="-20"/>
          <w:kern w:val="44"/>
          <w:sz w:val="32"/>
          <w:szCs w:val="32"/>
        </w:rPr>
        <w:t>文本</w:t>
      </w:r>
      <w:bookmarkEnd w:id="305"/>
      <w:bookmarkEnd w:id="306"/>
      <w:bookmarkEnd w:id="307"/>
      <w:bookmarkEnd w:id="308"/>
      <w:bookmarkEnd w:id="344"/>
      <w:bookmarkEnd w:id="345"/>
      <w:bookmarkEnd w:id="346"/>
    </w:p>
    <w:p>
      <w:pPr>
        <w:spacing w:line="360" w:lineRule="auto"/>
        <w:jc w:val="center"/>
        <w:outlineLvl w:val="9"/>
        <w:rPr>
          <w:rFonts w:ascii="宋体" w:hAnsi="宋体"/>
          <w:color w:val="auto"/>
          <w:sz w:val="24"/>
          <w:szCs w:val="24"/>
        </w:rPr>
      </w:pPr>
      <w:bookmarkStart w:id="347" w:name="_Toc225244858"/>
      <w:bookmarkEnd w:id="347"/>
      <w:bookmarkStart w:id="348" w:name="_Toc212019600"/>
      <w:bookmarkEnd w:id="348"/>
      <w:bookmarkStart w:id="349" w:name="_Toc247334847"/>
      <w:bookmarkEnd w:id="349"/>
      <w:bookmarkStart w:id="350" w:name="_Toc211911354"/>
      <w:bookmarkEnd w:id="350"/>
      <w:bookmarkStart w:id="351" w:name="_Toc283019219"/>
      <w:bookmarkEnd w:id="351"/>
      <w:bookmarkStart w:id="352" w:name="_Toc211854455"/>
      <w:bookmarkEnd w:id="352"/>
      <w:bookmarkStart w:id="353" w:name="_Toc225654650"/>
      <w:bookmarkEnd w:id="353"/>
      <w:bookmarkStart w:id="354" w:name="_Toc185395255"/>
      <w:bookmarkEnd w:id="354"/>
      <w:bookmarkStart w:id="355" w:name="_Toc239568424"/>
      <w:bookmarkEnd w:id="355"/>
      <w:bookmarkStart w:id="356" w:name="_Toc239233920"/>
      <w:bookmarkEnd w:id="356"/>
      <w:bookmarkStart w:id="357" w:name="_Toc232492934"/>
      <w:bookmarkEnd w:id="357"/>
      <w:bookmarkStart w:id="358" w:name="_Toc251768868"/>
      <w:bookmarkEnd w:id="358"/>
      <w:bookmarkStart w:id="359" w:name="_Toc238984981"/>
      <w:bookmarkEnd w:id="359"/>
      <w:bookmarkStart w:id="360" w:name="_Toc225670757"/>
      <w:bookmarkEnd w:id="360"/>
      <w:bookmarkStart w:id="361" w:name="_Toc286993793"/>
      <w:bookmarkEnd w:id="361"/>
      <w:bookmarkStart w:id="362" w:name="_Toc237145412"/>
      <w:bookmarkEnd w:id="362"/>
      <w:bookmarkStart w:id="363" w:name="_Toc282696231"/>
      <w:bookmarkEnd w:id="363"/>
      <w:bookmarkStart w:id="364" w:name="_Toc9989_WPSOffice_Level1"/>
      <w:r>
        <w:rPr>
          <w:rFonts w:hint="eastAsia" w:ascii="宋体" w:hAnsi="宋体"/>
          <w:color w:val="auto"/>
          <w:sz w:val="24"/>
          <w:szCs w:val="24"/>
        </w:rPr>
        <w:t>（本部分内容仅供投标人参考，具体条款以双方签订合同为准）</w:t>
      </w:r>
      <w:bookmarkEnd w:id="364"/>
    </w:p>
    <w:p>
      <w:pPr>
        <w:spacing w:line="360" w:lineRule="auto"/>
        <w:outlineLvl w:val="9"/>
        <w:rPr>
          <w:rFonts w:hint="eastAsia" w:ascii="宋体" w:hAnsi="宋体" w:cs="宋体"/>
          <w:sz w:val="24"/>
        </w:rPr>
      </w:pPr>
      <w:r>
        <w:rPr>
          <w:rFonts w:hint="eastAsia" w:ascii="宋体" w:hAnsi="宋体" w:cs="宋体"/>
          <w:sz w:val="24"/>
        </w:rPr>
        <w:t>合同编号：</w:t>
      </w:r>
    </w:p>
    <w:p>
      <w:pPr>
        <w:spacing w:line="360" w:lineRule="auto"/>
        <w:outlineLvl w:val="9"/>
        <w:rPr>
          <w:rFonts w:hint="eastAsia" w:ascii="宋体" w:hAnsi="宋体" w:cs="宋体"/>
          <w:sz w:val="24"/>
        </w:rPr>
      </w:pPr>
      <w:r>
        <w:rPr>
          <w:rFonts w:hint="eastAsia" w:ascii="宋体" w:hAnsi="宋体" w:cs="宋体"/>
          <w:sz w:val="24"/>
        </w:rPr>
        <w:t>签订地点：</w:t>
      </w:r>
    </w:p>
    <w:p>
      <w:pPr>
        <w:spacing w:line="360" w:lineRule="auto"/>
        <w:outlineLvl w:val="9"/>
        <w:rPr>
          <w:rFonts w:hint="eastAsia" w:ascii="宋体" w:hAnsi="宋体" w:cs="宋体"/>
          <w:sz w:val="24"/>
        </w:rPr>
      </w:pPr>
      <w:r>
        <w:rPr>
          <w:rFonts w:hint="eastAsia" w:ascii="宋体" w:hAnsi="宋体" w:cs="宋体"/>
          <w:sz w:val="24"/>
        </w:rPr>
        <w:t>签订时间：    年   月   日</w:t>
      </w:r>
    </w:p>
    <w:p>
      <w:pPr>
        <w:spacing w:line="360" w:lineRule="auto"/>
        <w:outlineLvl w:val="9"/>
        <w:rPr>
          <w:rFonts w:hint="eastAsia" w:ascii="宋体" w:hAnsi="宋体" w:cs="宋体"/>
          <w:sz w:val="24"/>
        </w:rPr>
      </w:pPr>
      <w:r>
        <w:rPr>
          <w:rFonts w:hint="eastAsia" w:ascii="宋体" w:hAnsi="宋体" w:cs="宋体"/>
          <w:sz w:val="24"/>
        </w:rPr>
        <w:t xml:space="preserve">    </w:t>
      </w:r>
      <w:bookmarkStart w:id="365" w:name="_Toc23316_WPSOffice_Level1"/>
      <w:r>
        <w:rPr>
          <w:rFonts w:hint="eastAsia" w:ascii="宋体" w:hAnsi="宋体" w:cs="宋体"/>
          <w:sz w:val="24"/>
        </w:rPr>
        <w:t>甲　方：</w:t>
      </w:r>
      <w:bookmarkEnd w:id="365"/>
      <w:r>
        <w:rPr>
          <w:rFonts w:hint="eastAsia" w:ascii="宋体" w:hAnsi="宋体" w:cs="宋体"/>
          <w:sz w:val="24"/>
          <w:u w:val="single"/>
        </w:rPr>
        <w:t xml:space="preserve">                              </w:t>
      </w:r>
    </w:p>
    <w:p>
      <w:pPr>
        <w:spacing w:line="360" w:lineRule="auto"/>
        <w:outlineLvl w:val="9"/>
        <w:rPr>
          <w:rFonts w:hint="eastAsia" w:ascii="宋体" w:hAnsi="宋体" w:cs="宋体"/>
          <w:sz w:val="24"/>
        </w:rPr>
      </w:pPr>
      <w:r>
        <w:rPr>
          <w:rFonts w:hint="eastAsia" w:ascii="宋体" w:hAnsi="宋体" w:cs="宋体"/>
          <w:sz w:val="24"/>
        </w:rPr>
        <w:t xml:space="preserve">    </w:t>
      </w:r>
      <w:bookmarkStart w:id="366" w:name="_Toc19536_WPSOffice_Level1"/>
      <w:r>
        <w:rPr>
          <w:rFonts w:hint="eastAsia" w:ascii="宋体" w:hAnsi="宋体" w:cs="宋体"/>
          <w:sz w:val="24"/>
        </w:rPr>
        <w:t>乙  方：</w:t>
      </w:r>
      <w:bookmarkEnd w:id="366"/>
      <w:r>
        <w:rPr>
          <w:rFonts w:hint="eastAsia" w:ascii="宋体" w:hAnsi="宋体" w:cs="宋体"/>
          <w:sz w:val="24"/>
          <w:u w:val="single"/>
        </w:rPr>
        <w:t xml:space="preserve">                              </w:t>
      </w:r>
    </w:p>
    <w:p>
      <w:pPr>
        <w:spacing w:line="360" w:lineRule="auto"/>
        <w:ind w:firstLine="630"/>
        <w:outlineLvl w:val="9"/>
        <w:rPr>
          <w:rFonts w:hint="eastAsia" w:ascii="宋体" w:hAnsi="宋体" w:cs="宋体"/>
          <w:sz w:val="24"/>
        </w:rPr>
      </w:pPr>
      <w:r>
        <w:rPr>
          <w:rFonts w:hint="eastAsia" w:ascii="宋体" w:hAnsi="宋体" w:cs="宋体"/>
          <w:sz w:val="24"/>
        </w:rPr>
        <w:t>依据《</w:t>
      </w:r>
      <w:r>
        <w:rPr>
          <w:rFonts w:hint="eastAsia" w:ascii="宋体" w:hAnsi="宋体" w:cs="宋体"/>
          <w:sz w:val="24"/>
          <w:lang w:eastAsia="zh-CN"/>
        </w:rPr>
        <w:t>中华人民共和国民法典</w:t>
      </w:r>
      <w:r>
        <w:rPr>
          <w:rFonts w:hint="eastAsia" w:ascii="宋体" w:hAnsi="宋体" w:cs="宋体"/>
          <w:sz w:val="24"/>
        </w:rPr>
        <w:t>》、《中华人民共和国政府采购法》与项目行业有关的法律法规，以及XXXX采购项目（项目编号：XX）的《</w:t>
      </w:r>
      <w:r>
        <w:rPr>
          <w:rFonts w:hint="eastAsia" w:ascii="宋体" w:hAnsi="宋体" w:cs="宋体"/>
          <w:sz w:val="24"/>
          <w:lang w:eastAsia="zh-CN"/>
        </w:rPr>
        <w:t>招标文件</w:t>
      </w:r>
      <w:r>
        <w:rPr>
          <w:rFonts w:hint="eastAsia" w:ascii="宋体" w:hAnsi="宋体" w:cs="宋体"/>
          <w:sz w:val="24"/>
        </w:rPr>
        <w:t>》，乙方的《</w:t>
      </w:r>
      <w:r>
        <w:rPr>
          <w:rFonts w:hint="eastAsia" w:ascii="宋体" w:hAnsi="宋体" w:cs="宋体"/>
          <w:sz w:val="24"/>
          <w:lang w:eastAsia="zh-CN"/>
        </w:rPr>
        <w:t>投标文件</w:t>
      </w:r>
      <w:r>
        <w:rPr>
          <w:rFonts w:hint="eastAsia" w:ascii="宋体" w:hAnsi="宋体" w:cs="宋体"/>
          <w:sz w:val="24"/>
        </w:rPr>
        <w:t>》及《成交通知书》，甲、乙双方同意签订本合同。详细技术说明及其他有关合同项目的特定信息由合同附件予以说明，合同附件及本项目的《</w:t>
      </w:r>
      <w:r>
        <w:rPr>
          <w:rFonts w:hint="eastAsia" w:ascii="宋体" w:hAnsi="宋体" w:cs="宋体"/>
          <w:sz w:val="24"/>
          <w:lang w:eastAsia="zh-CN"/>
        </w:rPr>
        <w:t>招标文件</w:t>
      </w:r>
      <w:r>
        <w:rPr>
          <w:rFonts w:hint="eastAsia" w:ascii="宋体" w:hAnsi="宋体" w:cs="宋体"/>
          <w:sz w:val="24"/>
        </w:rPr>
        <w:t>》、《</w:t>
      </w:r>
      <w:r>
        <w:rPr>
          <w:rFonts w:hint="eastAsia" w:ascii="宋体" w:hAnsi="宋体" w:cs="宋体"/>
          <w:sz w:val="24"/>
          <w:lang w:eastAsia="zh-CN"/>
        </w:rPr>
        <w:t>投标文件</w:t>
      </w:r>
      <w:r>
        <w:rPr>
          <w:rFonts w:hint="eastAsia" w:ascii="宋体" w:hAnsi="宋体" w:cs="宋体"/>
          <w:sz w:val="24"/>
        </w:rPr>
        <w:t xml:space="preserve">》、《成交通知书》等均为本合同的组成部分。 </w:t>
      </w:r>
    </w:p>
    <w:p>
      <w:pPr>
        <w:numPr>
          <w:ilvl w:val="0"/>
          <w:numId w:val="50"/>
        </w:numPr>
        <w:spacing w:line="360" w:lineRule="auto"/>
        <w:outlineLvl w:val="9"/>
        <w:rPr>
          <w:rFonts w:hint="eastAsia" w:ascii="宋体" w:hAnsi="宋体" w:cs="宋体"/>
          <w:b/>
          <w:sz w:val="24"/>
        </w:rPr>
      </w:pPr>
      <w:bookmarkStart w:id="367" w:name="_Toc16083_WPSOffice_Level1"/>
      <w:bookmarkStart w:id="368" w:name="_Toc12160"/>
      <w:r>
        <w:rPr>
          <w:rFonts w:hint="eastAsia" w:ascii="宋体" w:hAnsi="宋体" w:cs="宋体"/>
          <w:b/>
          <w:sz w:val="24"/>
        </w:rPr>
        <w:t>项目基本情况</w:t>
      </w:r>
      <w:bookmarkEnd w:id="367"/>
      <w:bookmarkEnd w:id="368"/>
    </w:p>
    <w:p>
      <w:pPr>
        <w:spacing w:line="360" w:lineRule="auto"/>
        <w:ind w:firstLine="630"/>
        <w:outlineLvl w:val="9"/>
        <w:rPr>
          <w:rFonts w:hint="eastAsia" w:ascii="宋体" w:hAnsi="宋体" w:cs="宋体"/>
          <w:b/>
          <w:sz w:val="24"/>
        </w:rPr>
      </w:pPr>
    </w:p>
    <w:p>
      <w:pPr>
        <w:numPr>
          <w:ilvl w:val="0"/>
          <w:numId w:val="50"/>
        </w:numPr>
        <w:spacing w:line="360" w:lineRule="auto"/>
        <w:outlineLvl w:val="9"/>
        <w:rPr>
          <w:rFonts w:hint="eastAsia" w:ascii="宋体" w:hAnsi="宋体" w:cs="宋体"/>
          <w:b/>
          <w:sz w:val="24"/>
        </w:rPr>
      </w:pPr>
      <w:bookmarkStart w:id="369" w:name="_Toc2393_WPSOffice_Level1"/>
      <w:bookmarkStart w:id="370" w:name="_Toc25616"/>
      <w:r>
        <w:rPr>
          <w:rFonts w:hint="eastAsia" w:ascii="宋体" w:hAnsi="宋体" w:cs="宋体"/>
          <w:b/>
          <w:sz w:val="24"/>
        </w:rPr>
        <w:t>服务期限</w:t>
      </w:r>
      <w:bookmarkEnd w:id="369"/>
      <w:bookmarkEnd w:id="370"/>
    </w:p>
    <w:p>
      <w:pPr>
        <w:spacing w:line="360" w:lineRule="auto"/>
        <w:ind w:firstLine="480" w:firstLineChars="200"/>
        <w:outlineLvl w:val="9"/>
        <w:rPr>
          <w:rFonts w:hint="eastAsia" w:ascii="宋体" w:hAnsi="宋体" w:cs="宋体"/>
          <w:sz w:val="24"/>
        </w:rPr>
      </w:pPr>
    </w:p>
    <w:p>
      <w:pPr>
        <w:numPr>
          <w:ilvl w:val="0"/>
          <w:numId w:val="50"/>
        </w:numPr>
        <w:spacing w:line="360" w:lineRule="auto"/>
        <w:outlineLvl w:val="9"/>
        <w:rPr>
          <w:rFonts w:hint="eastAsia" w:ascii="宋体" w:hAnsi="宋体" w:cs="宋体"/>
          <w:b/>
          <w:sz w:val="24"/>
        </w:rPr>
      </w:pPr>
      <w:bookmarkStart w:id="371" w:name="_Toc23925"/>
      <w:bookmarkStart w:id="372" w:name="_Toc9609_WPSOffice_Level1"/>
      <w:bookmarkStart w:id="373" w:name="_Toc286993786"/>
      <w:bookmarkStart w:id="374" w:name="_Toc232492928"/>
      <w:bookmarkStart w:id="375" w:name="_Toc225670751"/>
      <w:bookmarkStart w:id="376" w:name="_Toc239233914"/>
      <w:bookmarkStart w:id="377" w:name="_Toc237145406"/>
      <w:bookmarkStart w:id="378" w:name="_Toc225244852"/>
      <w:bookmarkStart w:id="379" w:name="_Toc239568418"/>
      <w:bookmarkStart w:id="380" w:name="_Toc211854449"/>
      <w:bookmarkStart w:id="381" w:name="_Toc241833903"/>
      <w:bookmarkStart w:id="382" w:name="_Toc185395249"/>
      <w:bookmarkStart w:id="383" w:name="_Toc238984975"/>
      <w:bookmarkStart w:id="384" w:name="_Toc247334841"/>
      <w:bookmarkStart w:id="385" w:name="_Toc225654644"/>
      <w:bookmarkStart w:id="386" w:name="_Toc282696226"/>
      <w:bookmarkStart w:id="387" w:name="_Toc283019214"/>
      <w:bookmarkStart w:id="388" w:name="_Toc212019594"/>
      <w:bookmarkStart w:id="389" w:name="_Toc251768862"/>
      <w:bookmarkStart w:id="390" w:name="_Toc211911348"/>
      <w:r>
        <w:rPr>
          <w:rFonts w:hint="eastAsia" w:ascii="宋体" w:hAnsi="宋体" w:cs="宋体"/>
          <w:b/>
          <w:sz w:val="24"/>
        </w:rPr>
        <w:t>服务内容与质量标准</w:t>
      </w:r>
      <w:bookmarkEnd w:id="371"/>
      <w:bookmarkEnd w:id="372"/>
    </w:p>
    <w:p>
      <w:pPr>
        <w:numPr>
          <w:ilvl w:val="0"/>
          <w:numId w:val="51"/>
        </w:numPr>
        <w:spacing w:line="360" w:lineRule="auto"/>
        <w:ind w:left="0" w:firstLine="567"/>
        <w:outlineLvl w:val="9"/>
        <w:rPr>
          <w:rFonts w:hint="eastAsia" w:ascii="宋体" w:hAnsi="宋体" w:cs="宋体"/>
          <w:sz w:val="24"/>
        </w:rPr>
      </w:pPr>
    </w:p>
    <w:p>
      <w:pPr>
        <w:numPr>
          <w:ilvl w:val="0"/>
          <w:numId w:val="51"/>
        </w:numPr>
        <w:spacing w:line="360" w:lineRule="auto"/>
        <w:ind w:left="0" w:firstLine="567"/>
        <w:outlineLvl w:val="9"/>
        <w:rPr>
          <w:rFonts w:hint="eastAsia" w:ascii="宋体" w:hAnsi="宋体" w:cs="宋体"/>
          <w:sz w:val="24"/>
        </w:rPr>
      </w:pPr>
    </w:p>
    <w:p>
      <w:pPr>
        <w:numPr>
          <w:ilvl w:val="0"/>
          <w:numId w:val="51"/>
        </w:numPr>
        <w:spacing w:line="360" w:lineRule="auto"/>
        <w:ind w:left="0" w:firstLine="567"/>
        <w:outlineLvl w:val="9"/>
        <w:rPr>
          <w:rFonts w:hint="eastAsia" w:ascii="宋体" w:hAnsi="宋体" w:cs="宋体"/>
          <w:sz w:val="24"/>
        </w:rPr>
      </w:pPr>
    </w:p>
    <w:p>
      <w:pPr>
        <w:numPr>
          <w:ilvl w:val="0"/>
          <w:numId w:val="51"/>
        </w:numPr>
        <w:spacing w:line="360" w:lineRule="auto"/>
        <w:ind w:left="0" w:firstLine="567"/>
        <w:outlineLvl w:val="9"/>
        <w:rPr>
          <w:rFonts w:hint="eastAsia" w:ascii="宋体" w:hAnsi="宋体" w:cs="宋体"/>
          <w:sz w:val="24"/>
        </w:rPr>
      </w:pPr>
    </w:p>
    <w:p>
      <w:pPr>
        <w:numPr>
          <w:ilvl w:val="0"/>
          <w:numId w:val="51"/>
        </w:numPr>
        <w:spacing w:line="360" w:lineRule="auto"/>
        <w:ind w:left="0" w:firstLine="567"/>
        <w:outlineLvl w:val="9"/>
        <w:rPr>
          <w:rFonts w:hint="eastAsia" w:ascii="宋体" w:hAnsi="宋体" w:cs="宋体"/>
          <w:sz w:val="24"/>
        </w:rPr>
      </w:pPr>
    </w:p>
    <w:p>
      <w:pPr>
        <w:spacing w:line="360" w:lineRule="auto"/>
        <w:ind w:firstLine="630"/>
        <w:outlineLvl w:val="9"/>
        <w:rPr>
          <w:rFonts w:hint="eastAsia" w:ascii="宋体" w:hAnsi="宋体" w:cs="宋体"/>
          <w:sz w:val="24"/>
        </w:rPr>
      </w:pPr>
      <w:r>
        <w:rPr>
          <w:rFonts w:hint="eastAsia" w:ascii="宋体" w:hAnsi="宋体" w:cs="宋体"/>
          <w:sz w:val="24"/>
        </w:rPr>
        <w:t>…</w:t>
      </w:r>
    </w:p>
    <w:p>
      <w:pPr>
        <w:numPr>
          <w:ilvl w:val="0"/>
          <w:numId w:val="50"/>
        </w:numPr>
        <w:spacing w:line="360" w:lineRule="auto"/>
        <w:outlineLvl w:val="9"/>
        <w:rPr>
          <w:rFonts w:hint="eastAsia" w:ascii="宋体" w:hAnsi="宋体" w:cs="宋体"/>
          <w:b/>
          <w:sz w:val="24"/>
        </w:rPr>
      </w:pPr>
      <w:bookmarkStart w:id="391" w:name="_Toc19706"/>
      <w:bookmarkStart w:id="392" w:name="_Toc30694_WPSOffice_Level1"/>
      <w:r>
        <w:rPr>
          <w:rFonts w:hint="eastAsia" w:ascii="宋体" w:hAnsi="宋体" w:cs="宋体"/>
          <w:b/>
          <w:sz w:val="24"/>
        </w:rPr>
        <w:t>服务费用及支付方式</w:t>
      </w:r>
      <w:bookmarkEnd w:id="391"/>
      <w:bookmarkEnd w:id="392"/>
    </w:p>
    <w:p>
      <w:pPr>
        <w:numPr>
          <w:ilvl w:val="0"/>
          <w:numId w:val="52"/>
        </w:numPr>
        <w:spacing w:line="360" w:lineRule="auto"/>
        <w:ind w:left="0" w:firstLine="567"/>
        <w:outlineLvl w:val="9"/>
        <w:rPr>
          <w:rFonts w:hint="eastAsia" w:ascii="宋体" w:hAnsi="宋体" w:cs="宋体"/>
          <w:b/>
          <w:sz w:val="24"/>
        </w:rPr>
      </w:pPr>
      <w:bookmarkStart w:id="393" w:name="_Toc25087_WPSOffice_Level2"/>
      <w:r>
        <w:rPr>
          <w:rFonts w:hint="eastAsia" w:ascii="宋体" w:hAnsi="宋体" w:cs="宋体"/>
          <w:b/>
          <w:sz w:val="24"/>
        </w:rPr>
        <w:t>本项目服务费用由以下组成：</w:t>
      </w:r>
      <w:bookmarkEnd w:id="393"/>
    </w:p>
    <w:p>
      <w:pPr>
        <w:numPr>
          <w:ilvl w:val="0"/>
          <w:numId w:val="53"/>
        </w:numPr>
        <w:spacing w:line="360" w:lineRule="auto"/>
        <w:outlineLvl w:val="9"/>
        <w:rPr>
          <w:rFonts w:hint="eastAsia" w:ascii="宋体" w:hAnsi="宋体" w:cs="宋体"/>
          <w:sz w:val="24"/>
        </w:rPr>
      </w:pPr>
      <w:r>
        <w:rPr>
          <w:rFonts w:hint="eastAsia" w:ascii="宋体" w:hAnsi="宋体" w:cs="宋体"/>
          <w:sz w:val="24"/>
        </w:rPr>
        <w:t>　　　　万元；</w:t>
      </w:r>
    </w:p>
    <w:p>
      <w:pPr>
        <w:numPr>
          <w:ilvl w:val="0"/>
          <w:numId w:val="53"/>
        </w:numPr>
        <w:spacing w:line="360" w:lineRule="auto"/>
        <w:outlineLvl w:val="9"/>
        <w:rPr>
          <w:rFonts w:hint="eastAsia" w:ascii="宋体" w:hAnsi="宋体" w:cs="宋体"/>
          <w:sz w:val="24"/>
        </w:rPr>
      </w:pPr>
      <w:r>
        <w:rPr>
          <w:rFonts w:hint="eastAsia" w:ascii="宋体" w:hAnsi="宋体" w:cs="宋体"/>
          <w:sz w:val="24"/>
        </w:rPr>
        <w:t xml:space="preserve">        万元；</w:t>
      </w:r>
    </w:p>
    <w:p>
      <w:pPr>
        <w:numPr>
          <w:ilvl w:val="0"/>
          <w:numId w:val="53"/>
        </w:numPr>
        <w:spacing w:line="360" w:lineRule="auto"/>
        <w:outlineLvl w:val="9"/>
        <w:rPr>
          <w:rFonts w:hint="eastAsia" w:ascii="宋体" w:hAnsi="宋体" w:cs="宋体"/>
          <w:sz w:val="24"/>
        </w:rPr>
      </w:pPr>
      <w:r>
        <w:rPr>
          <w:rFonts w:hint="eastAsia" w:ascii="宋体" w:hAnsi="宋体" w:cs="宋体"/>
          <w:sz w:val="24"/>
        </w:rPr>
        <w:t xml:space="preserve">        万元。</w:t>
      </w:r>
    </w:p>
    <w:p>
      <w:pPr>
        <w:numPr>
          <w:ilvl w:val="0"/>
          <w:numId w:val="52"/>
        </w:numPr>
        <w:tabs>
          <w:tab w:val="left" w:pos="780"/>
        </w:tabs>
        <w:spacing w:line="360" w:lineRule="auto"/>
        <w:ind w:left="0" w:firstLine="567"/>
        <w:outlineLvl w:val="9"/>
        <w:rPr>
          <w:rFonts w:hint="eastAsia" w:ascii="宋体" w:hAnsi="宋体" w:cs="宋体"/>
          <w:b/>
          <w:sz w:val="24"/>
        </w:rPr>
      </w:pPr>
      <w:bookmarkStart w:id="394" w:name="_Toc19540_WPSOffice_Level2"/>
      <w:r>
        <w:rPr>
          <w:rFonts w:hint="eastAsia" w:ascii="宋体" w:hAnsi="宋体" w:cs="宋体"/>
          <w:b/>
          <w:sz w:val="24"/>
        </w:rPr>
        <w:t>服务费支付方式：</w:t>
      </w:r>
      <w:bookmarkEnd w:id="394"/>
      <w:r>
        <w:rPr>
          <w:rFonts w:hint="eastAsia" w:ascii="宋体" w:hAnsi="宋体" w:cs="宋体"/>
          <w:b/>
          <w:sz w:val="24"/>
        </w:rPr>
        <w:t xml:space="preserve"> </w:t>
      </w:r>
    </w:p>
    <w:p>
      <w:pPr>
        <w:numPr>
          <w:ilvl w:val="0"/>
          <w:numId w:val="50"/>
        </w:numPr>
        <w:spacing w:line="360" w:lineRule="auto"/>
        <w:outlineLvl w:val="9"/>
        <w:rPr>
          <w:rFonts w:hint="eastAsia" w:ascii="宋体" w:hAnsi="宋体" w:cs="宋体"/>
          <w:b/>
          <w:sz w:val="24"/>
        </w:rPr>
      </w:pPr>
      <w:bookmarkStart w:id="395" w:name="_Toc32118_WPSOffice_Level1"/>
      <w:bookmarkStart w:id="396" w:name="_Toc18554"/>
      <w:r>
        <w:rPr>
          <w:rFonts w:hint="eastAsia" w:ascii="宋体" w:hAnsi="宋体" w:cs="宋体"/>
          <w:b/>
          <w:sz w:val="24"/>
        </w:rPr>
        <w:t>知识产权</w:t>
      </w:r>
      <w:bookmarkEnd w:id="395"/>
      <w:bookmarkEnd w:id="396"/>
    </w:p>
    <w:p>
      <w:pPr>
        <w:tabs>
          <w:tab w:val="left" w:pos="1440"/>
        </w:tabs>
        <w:spacing w:line="360" w:lineRule="auto"/>
        <w:ind w:firstLine="480" w:firstLineChars="200"/>
        <w:outlineLvl w:val="9"/>
        <w:rPr>
          <w:rFonts w:hint="eastAsia" w:ascii="宋体" w:hAnsi="宋体" w:cs="宋体"/>
          <w:sz w:val="24"/>
        </w:rPr>
      </w:pPr>
      <w:r>
        <w:rPr>
          <w:rFonts w:hint="eastAsia" w:ascii="宋体" w:hAnsi="宋体" w:cs="宋体"/>
          <w:sz w:val="24"/>
        </w:rPr>
        <w:t>乙方应保证所提供的服务或其任何一部分均不会侵犯任何第三方的专利权、商标权或著作权。</w:t>
      </w:r>
    </w:p>
    <w:p>
      <w:pPr>
        <w:numPr>
          <w:ilvl w:val="0"/>
          <w:numId w:val="50"/>
        </w:numPr>
        <w:spacing w:line="360" w:lineRule="auto"/>
        <w:outlineLvl w:val="9"/>
        <w:rPr>
          <w:rFonts w:hint="eastAsia" w:ascii="宋体" w:hAnsi="宋体" w:cs="宋体"/>
          <w:b/>
          <w:sz w:val="24"/>
        </w:rPr>
      </w:pPr>
      <w:bookmarkStart w:id="397" w:name="_Toc8252"/>
      <w:bookmarkStart w:id="398" w:name="_Toc25214_WPSOffice_Level1"/>
      <w:r>
        <w:rPr>
          <w:rFonts w:hint="eastAsia" w:ascii="宋体" w:hAnsi="宋体" w:cs="宋体"/>
          <w:b/>
          <w:sz w:val="24"/>
        </w:rPr>
        <w:t>无产权瑕疵条款</w:t>
      </w:r>
      <w:bookmarkEnd w:id="397"/>
      <w:bookmarkEnd w:id="398"/>
    </w:p>
    <w:p>
      <w:pPr>
        <w:tabs>
          <w:tab w:val="left" w:pos="1440"/>
        </w:tabs>
        <w:spacing w:line="360" w:lineRule="auto"/>
        <w:ind w:firstLine="480" w:firstLineChars="200"/>
        <w:outlineLvl w:val="9"/>
        <w:rPr>
          <w:rFonts w:hint="eastAsia" w:ascii="宋体" w:hAnsi="宋体" w:cs="宋体"/>
          <w:sz w:val="24"/>
        </w:rPr>
      </w:pPr>
      <w:r>
        <w:rPr>
          <w:rFonts w:hint="eastAsia" w:ascii="宋体" w:hAnsi="宋体" w:cs="宋体"/>
          <w:sz w:val="24"/>
        </w:rPr>
        <w:t>乙方保证所提供的服务的所有权完全属于乙方且无任何抵押、查封等产权瑕疵。如有产权瑕疵的，视为乙方违约。乙方应负担由此而产生的一切损失。</w:t>
      </w:r>
    </w:p>
    <w:p>
      <w:pPr>
        <w:numPr>
          <w:ilvl w:val="0"/>
          <w:numId w:val="50"/>
        </w:numPr>
        <w:spacing w:line="360" w:lineRule="auto"/>
        <w:outlineLvl w:val="9"/>
        <w:rPr>
          <w:rFonts w:hint="eastAsia" w:ascii="宋体" w:hAnsi="宋体" w:cs="宋体"/>
          <w:b/>
          <w:sz w:val="24"/>
        </w:rPr>
      </w:pPr>
      <w:bookmarkStart w:id="399" w:name="_Toc224"/>
      <w:bookmarkStart w:id="400" w:name="_Toc20263_WPSOffice_Level1"/>
      <w:r>
        <w:rPr>
          <w:rFonts w:hint="eastAsia" w:ascii="宋体" w:hAnsi="宋体" w:cs="宋体"/>
          <w:b/>
          <w:sz w:val="24"/>
        </w:rPr>
        <w:t>履约验收</w:t>
      </w:r>
      <w:bookmarkEnd w:id="399"/>
      <w:bookmarkEnd w:id="400"/>
    </w:p>
    <w:p>
      <w:pPr>
        <w:tabs>
          <w:tab w:val="left" w:pos="1440"/>
        </w:tabs>
        <w:spacing w:line="360" w:lineRule="auto"/>
        <w:ind w:firstLine="480" w:firstLineChars="200"/>
        <w:outlineLvl w:val="9"/>
        <w:rPr>
          <w:rFonts w:hint="eastAsia" w:ascii="宋体" w:hAnsi="宋体" w:cs="宋体"/>
          <w:sz w:val="24"/>
        </w:rPr>
      </w:pPr>
      <w:r>
        <w:rPr>
          <w:rFonts w:hint="eastAsia" w:ascii="宋体" w:hAnsi="宋体" w:cs="宋体"/>
          <w:sz w:val="24"/>
        </w:rPr>
        <w:t>本项目</w:t>
      </w:r>
      <w:r>
        <w:rPr>
          <w:rFonts w:hint="eastAsia" w:ascii="宋体" w:hAnsi="宋体" w:cs="宋体"/>
          <w:sz w:val="24"/>
          <w:lang w:eastAsia="zh-CN"/>
        </w:rPr>
        <w:t>招标人</w:t>
      </w:r>
      <w:r>
        <w:rPr>
          <w:rFonts w:hint="eastAsia" w:ascii="宋体" w:hAnsi="宋体" w:cs="宋体"/>
          <w:sz w:val="24"/>
        </w:rPr>
        <w:t>及其委托的</w:t>
      </w:r>
      <w:r>
        <w:rPr>
          <w:rFonts w:hint="eastAsia" w:ascii="宋体" w:hAnsi="宋体" w:cs="宋体"/>
          <w:sz w:val="24"/>
          <w:lang w:eastAsia="zh-CN"/>
        </w:rPr>
        <w:t>招标</w:t>
      </w:r>
      <w:r>
        <w:rPr>
          <w:rFonts w:hint="eastAsia" w:ascii="宋体" w:hAnsi="宋体" w:cs="宋体"/>
          <w:sz w:val="24"/>
        </w:rPr>
        <w:t>代理机构将严格按照政府采购相关法律法规以及《</w:t>
      </w:r>
      <w:r>
        <w:rPr>
          <w:rFonts w:hint="eastAsia" w:ascii="宋体" w:hAnsi="宋体" w:cs="宋体"/>
          <w:sz w:val="24"/>
          <w:lang w:eastAsia="zh-CN"/>
        </w:rPr>
        <w:t>财政部关于进一步加强政府采购需求和履约验收管理的指导意见</w:t>
      </w:r>
      <w:r>
        <w:rPr>
          <w:rFonts w:hint="eastAsia" w:ascii="宋体" w:hAnsi="宋体" w:cs="宋体"/>
          <w:sz w:val="24"/>
        </w:rPr>
        <w:t>》（</w:t>
      </w:r>
      <w:r>
        <w:rPr>
          <w:rFonts w:hint="eastAsia" w:ascii="宋体" w:hAnsi="宋体" w:cs="宋体"/>
          <w:sz w:val="24"/>
          <w:lang w:eastAsia="zh-CN"/>
        </w:rPr>
        <w:t>财库</w:t>
      </w:r>
      <w:r>
        <w:rPr>
          <w:rFonts w:hint="eastAsia" w:ascii="宋体" w:hAnsi="宋体" w:cs="宋体"/>
          <w:sz w:val="24"/>
        </w:rPr>
        <w:t>〔201</w:t>
      </w:r>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lang w:val="en-US" w:eastAsia="zh-CN"/>
        </w:rPr>
        <w:t>205</w:t>
      </w:r>
      <w:r>
        <w:rPr>
          <w:rFonts w:hint="eastAsia" w:ascii="宋体" w:hAnsi="宋体" w:cs="宋体"/>
          <w:sz w:val="24"/>
        </w:rPr>
        <w:t>号）的要求进行验收。</w:t>
      </w:r>
    </w:p>
    <w:p>
      <w:pPr>
        <w:spacing w:line="360" w:lineRule="auto"/>
        <w:ind w:firstLine="480" w:firstLineChars="200"/>
        <w:outlineLvl w:val="9"/>
        <w:rPr>
          <w:rFonts w:hint="eastAsia" w:ascii="宋体" w:hAnsi="宋体" w:cs="宋体"/>
          <w:b/>
          <w:sz w:val="24"/>
        </w:rPr>
      </w:pPr>
      <w:bookmarkStart w:id="401" w:name="_Toc4902"/>
      <w:r>
        <w:rPr>
          <w:rFonts w:hint="eastAsia" w:ascii="宋体" w:hAnsi="宋体" w:cs="宋体"/>
          <w:sz w:val="24"/>
        </w:rPr>
        <w:t>验收结果合格的，</w:t>
      </w:r>
      <w:r>
        <w:rPr>
          <w:rFonts w:hint="eastAsia" w:ascii="宋体" w:hAnsi="宋体" w:cs="宋体"/>
          <w:sz w:val="24"/>
          <w:lang w:eastAsia="zh-CN"/>
        </w:rPr>
        <w:t>中标人</w:t>
      </w:r>
      <w:r>
        <w:rPr>
          <w:rFonts w:hint="eastAsia" w:ascii="宋体" w:hAnsi="宋体" w:cs="宋体"/>
          <w:sz w:val="24"/>
        </w:rPr>
        <w:t>凭验收报告到</w:t>
      </w:r>
      <w:r>
        <w:rPr>
          <w:rFonts w:hint="eastAsia" w:ascii="宋体" w:hAnsi="宋体" w:cs="宋体"/>
          <w:sz w:val="24"/>
          <w:lang w:eastAsia="zh-CN"/>
        </w:rPr>
        <w:t>招标人</w:t>
      </w:r>
      <w:r>
        <w:rPr>
          <w:rFonts w:hint="eastAsia" w:ascii="宋体" w:hAnsi="宋体" w:cs="宋体"/>
          <w:sz w:val="24"/>
        </w:rPr>
        <w:t>处办理履约保证金的退付手续；验收结果不合格的，履约保证金将不予退还，也将不予支付采购资金，还可能会报本项目同级财政部门按照政府采购法律法规及</w:t>
      </w:r>
      <w:r>
        <w:rPr>
          <w:rFonts w:hint="eastAsia" w:ascii="宋体" w:hAnsi="宋体" w:cs="宋体"/>
          <w:sz w:val="24"/>
          <w:lang w:eastAsia="zh-CN"/>
        </w:rPr>
        <w:t>参照</w:t>
      </w:r>
      <w:r>
        <w:rPr>
          <w:rFonts w:hint="eastAsia" w:ascii="宋体" w:hAnsi="宋体" w:cs="宋体"/>
          <w:sz w:val="24"/>
        </w:rPr>
        <w:t>《四川省政府采购当事人诚信管理办法》（川财采〔2015〕33号）等有关规定给予行政处罚或者以失信行为记入诚信档案。</w:t>
      </w:r>
      <w:bookmarkEnd w:id="401"/>
    </w:p>
    <w:p>
      <w:pPr>
        <w:spacing w:line="360" w:lineRule="auto"/>
        <w:ind w:left="426"/>
        <w:outlineLvl w:val="9"/>
        <w:rPr>
          <w:rFonts w:hint="eastAsia" w:ascii="宋体" w:hAnsi="宋体" w:cs="宋体"/>
          <w:b/>
          <w:sz w:val="24"/>
        </w:rPr>
      </w:pPr>
      <w:bookmarkStart w:id="402" w:name="_Toc203_WPSOffice_Level2"/>
      <w:bookmarkStart w:id="403" w:name="_Toc15345"/>
      <w:r>
        <w:rPr>
          <w:rFonts w:hint="eastAsia" w:ascii="宋体" w:hAnsi="宋体" w:cs="宋体"/>
          <w:b/>
          <w:sz w:val="24"/>
        </w:rPr>
        <w:t>第八条  甲方的权利和义务</w:t>
      </w:r>
      <w:bookmarkEnd w:id="402"/>
      <w:bookmarkEnd w:id="403"/>
    </w:p>
    <w:p>
      <w:pPr>
        <w:numPr>
          <w:ilvl w:val="0"/>
          <w:numId w:val="54"/>
        </w:numPr>
        <w:tabs>
          <w:tab w:val="left" w:pos="1440"/>
        </w:tabs>
        <w:adjustRightInd w:val="0"/>
        <w:spacing w:line="360" w:lineRule="auto"/>
        <w:ind w:left="0" w:firstLine="420"/>
        <w:jc w:val="left"/>
        <w:textAlignment w:val="baseline"/>
        <w:outlineLvl w:val="9"/>
        <w:rPr>
          <w:rFonts w:hint="eastAsia" w:ascii="宋体" w:hAnsi="宋体" w:cs="宋体"/>
          <w:bCs/>
          <w:sz w:val="24"/>
        </w:rPr>
      </w:pPr>
      <w:r>
        <w:rPr>
          <w:rFonts w:hint="eastAsia" w:ascii="宋体" w:hAnsi="宋体" w:cs="宋体"/>
          <w:bCs/>
          <w:sz w:val="24"/>
        </w:rPr>
        <w:t>甲方有权对合同规定范围内乙方的服务行为进行监督和检查，拥有监管权。有权定期核对乙方提供服务所配备的人员数量。对甲方认为不合理的部分有权下达整改通知书，并要求乙方限期整改。</w:t>
      </w:r>
    </w:p>
    <w:p>
      <w:pPr>
        <w:numPr>
          <w:ilvl w:val="0"/>
          <w:numId w:val="54"/>
        </w:numPr>
        <w:tabs>
          <w:tab w:val="left" w:pos="1440"/>
        </w:tabs>
        <w:adjustRightInd w:val="0"/>
        <w:spacing w:line="360" w:lineRule="auto"/>
        <w:ind w:left="0" w:firstLine="420"/>
        <w:jc w:val="left"/>
        <w:textAlignment w:val="baseline"/>
        <w:outlineLvl w:val="9"/>
        <w:rPr>
          <w:rFonts w:hint="eastAsia" w:ascii="宋体" w:hAnsi="宋体" w:cs="宋体"/>
          <w:bCs/>
          <w:sz w:val="24"/>
        </w:rPr>
      </w:pPr>
      <w:r>
        <w:rPr>
          <w:rFonts w:hint="eastAsia" w:ascii="宋体" w:hAnsi="宋体" w:cs="宋体"/>
          <w:bCs/>
          <w:sz w:val="24"/>
        </w:rPr>
        <w:t>甲方有权依据双方签订的考评办法对乙方提供的服务进行定期考评。当考评结果未达到标准时，有权依据考评办法约定的数额扣除履约保证金。</w:t>
      </w:r>
    </w:p>
    <w:p>
      <w:pPr>
        <w:numPr>
          <w:ilvl w:val="0"/>
          <w:numId w:val="54"/>
        </w:numPr>
        <w:tabs>
          <w:tab w:val="left" w:pos="1440"/>
        </w:tabs>
        <w:adjustRightInd w:val="0"/>
        <w:spacing w:line="360" w:lineRule="auto"/>
        <w:ind w:left="0" w:firstLine="420"/>
        <w:jc w:val="left"/>
        <w:textAlignment w:val="baseline"/>
        <w:outlineLvl w:val="9"/>
        <w:rPr>
          <w:rFonts w:hint="eastAsia" w:ascii="宋体" w:hAnsi="宋体" w:cs="宋体"/>
          <w:bCs/>
          <w:sz w:val="24"/>
        </w:rPr>
      </w:pPr>
      <w:r>
        <w:rPr>
          <w:rFonts w:hint="eastAsia" w:ascii="宋体" w:hAnsi="宋体" w:cs="宋体"/>
          <w:bCs/>
          <w:sz w:val="24"/>
        </w:rPr>
        <w:t>负责检查监督乙方管理工作的实施及制度的执行情况。</w:t>
      </w:r>
    </w:p>
    <w:p>
      <w:pPr>
        <w:numPr>
          <w:ilvl w:val="0"/>
          <w:numId w:val="54"/>
        </w:numPr>
        <w:tabs>
          <w:tab w:val="left" w:pos="1440"/>
        </w:tabs>
        <w:adjustRightInd w:val="0"/>
        <w:spacing w:line="360" w:lineRule="auto"/>
        <w:ind w:left="0" w:firstLine="420"/>
        <w:jc w:val="left"/>
        <w:textAlignment w:val="baseline"/>
        <w:outlineLvl w:val="9"/>
        <w:rPr>
          <w:rFonts w:hint="eastAsia" w:ascii="宋体" w:hAnsi="宋体" w:cs="宋体"/>
          <w:bCs/>
          <w:sz w:val="24"/>
        </w:rPr>
      </w:pPr>
      <w:r>
        <w:rPr>
          <w:rFonts w:hint="eastAsia" w:ascii="宋体" w:hAnsi="宋体" w:cs="宋体"/>
          <w:bCs/>
          <w:sz w:val="24"/>
        </w:rPr>
        <w:t>根据本合同规定，按时向乙方支付应付服务费用。</w:t>
      </w:r>
    </w:p>
    <w:p>
      <w:pPr>
        <w:numPr>
          <w:ilvl w:val="0"/>
          <w:numId w:val="54"/>
        </w:numPr>
        <w:tabs>
          <w:tab w:val="left" w:pos="1440"/>
        </w:tabs>
        <w:adjustRightInd w:val="0"/>
        <w:spacing w:line="360" w:lineRule="auto"/>
        <w:ind w:left="0" w:firstLine="420"/>
        <w:jc w:val="left"/>
        <w:textAlignment w:val="baseline"/>
        <w:outlineLvl w:val="9"/>
        <w:rPr>
          <w:rFonts w:hint="eastAsia" w:ascii="宋体" w:hAnsi="宋体" w:cs="宋体"/>
          <w:bCs/>
          <w:sz w:val="24"/>
        </w:rPr>
      </w:pPr>
      <w:r>
        <w:rPr>
          <w:rFonts w:hint="eastAsia" w:ascii="宋体" w:hAnsi="宋体" w:cs="宋体"/>
          <w:bCs/>
          <w:sz w:val="24"/>
        </w:rPr>
        <w:t>国家法律、法规所规定由甲方承担的其它责任。</w:t>
      </w:r>
    </w:p>
    <w:p>
      <w:pPr>
        <w:numPr>
          <w:ilvl w:val="0"/>
          <w:numId w:val="50"/>
        </w:numPr>
        <w:spacing w:line="360" w:lineRule="auto"/>
        <w:outlineLvl w:val="9"/>
        <w:rPr>
          <w:rFonts w:hint="eastAsia" w:ascii="宋体" w:hAnsi="宋体" w:cs="宋体"/>
          <w:b/>
          <w:sz w:val="24"/>
        </w:rPr>
      </w:pPr>
      <w:bookmarkStart w:id="404" w:name="_Toc32540_WPSOffice_Level1"/>
      <w:bookmarkStart w:id="405" w:name="_Toc28203"/>
      <w:r>
        <w:rPr>
          <w:rFonts w:hint="eastAsia" w:ascii="宋体" w:hAnsi="宋体" w:cs="宋体"/>
          <w:b/>
          <w:sz w:val="24"/>
        </w:rPr>
        <w:t>乙方的权利和义务</w:t>
      </w:r>
      <w:bookmarkEnd w:id="404"/>
      <w:bookmarkEnd w:id="405"/>
    </w:p>
    <w:p>
      <w:pPr>
        <w:numPr>
          <w:ilvl w:val="0"/>
          <w:numId w:val="55"/>
        </w:numPr>
        <w:adjustRightInd w:val="0"/>
        <w:spacing w:line="360" w:lineRule="auto"/>
        <w:ind w:left="0" w:firstLine="567"/>
        <w:jc w:val="left"/>
        <w:textAlignment w:val="baseline"/>
        <w:outlineLvl w:val="9"/>
        <w:rPr>
          <w:rFonts w:hint="eastAsia" w:ascii="宋体" w:hAnsi="宋体" w:cs="宋体"/>
          <w:bCs/>
          <w:sz w:val="24"/>
        </w:rPr>
      </w:pPr>
      <w:r>
        <w:rPr>
          <w:rFonts w:hint="eastAsia" w:ascii="宋体" w:hAnsi="宋体" w:cs="宋体"/>
          <w:bCs/>
          <w:sz w:val="24"/>
        </w:rPr>
        <w:t>对本合同规定的委托服务范围内的项目享有管理权及服务义务。</w:t>
      </w:r>
    </w:p>
    <w:p>
      <w:pPr>
        <w:numPr>
          <w:ilvl w:val="0"/>
          <w:numId w:val="55"/>
        </w:numPr>
        <w:adjustRightInd w:val="0"/>
        <w:spacing w:line="360" w:lineRule="auto"/>
        <w:ind w:left="0" w:firstLine="567"/>
        <w:jc w:val="left"/>
        <w:textAlignment w:val="baseline"/>
        <w:outlineLvl w:val="9"/>
        <w:rPr>
          <w:rFonts w:hint="eastAsia" w:ascii="宋体" w:hAnsi="宋体" w:cs="宋体"/>
          <w:bCs/>
          <w:sz w:val="24"/>
        </w:rPr>
      </w:pPr>
      <w:r>
        <w:rPr>
          <w:rFonts w:hint="eastAsia" w:ascii="宋体" w:hAnsi="宋体" w:cs="宋体"/>
          <w:bCs/>
          <w:sz w:val="24"/>
        </w:rPr>
        <w:t>根据本合同的规定向甲方收取相关服务费用，并有权在本项目管理范围内管理及合理使用。</w:t>
      </w:r>
    </w:p>
    <w:p>
      <w:pPr>
        <w:numPr>
          <w:ilvl w:val="0"/>
          <w:numId w:val="55"/>
        </w:numPr>
        <w:adjustRightInd w:val="0"/>
        <w:spacing w:line="360" w:lineRule="auto"/>
        <w:ind w:left="0" w:firstLine="567"/>
        <w:jc w:val="left"/>
        <w:textAlignment w:val="baseline"/>
        <w:outlineLvl w:val="9"/>
        <w:rPr>
          <w:rFonts w:hint="eastAsia" w:ascii="宋体" w:hAnsi="宋体" w:cs="宋体"/>
          <w:bCs/>
          <w:sz w:val="24"/>
        </w:rPr>
      </w:pPr>
      <w:r>
        <w:rPr>
          <w:rFonts w:hint="eastAsia" w:ascii="宋体" w:hAnsi="宋体" w:cs="宋体"/>
          <w:sz w:val="24"/>
        </w:rPr>
        <w:t>及时向甲方通告本项目服务范围内有关服务的重大事项，及时配合处理投诉。</w:t>
      </w:r>
    </w:p>
    <w:p>
      <w:pPr>
        <w:numPr>
          <w:ilvl w:val="0"/>
          <w:numId w:val="55"/>
        </w:numPr>
        <w:adjustRightInd w:val="0"/>
        <w:spacing w:line="360" w:lineRule="auto"/>
        <w:ind w:left="0" w:firstLine="567"/>
        <w:jc w:val="left"/>
        <w:textAlignment w:val="baseline"/>
        <w:outlineLvl w:val="9"/>
        <w:rPr>
          <w:rFonts w:hint="eastAsia" w:ascii="宋体" w:hAnsi="宋体" w:cs="宋体"/>
          <w:bCs/>
          <w:sz w:val="24"/>
        </w:rPr>
      </w:pPr>
      <w:r>
        <w:rPr>
          <w:rFonts w:hint="eastAsia" w:ascii="宋体" w:hAnsi="宋体" w:cs="宋体"/>
          <w:bCs/>
          <w:sz w:val="24"/>
        </w:rPr>
        <w:t>接受项目行业管理部门及政府有关部门的指导，接受甲方的监督。</w:t>
      </w:r>
    </w:p>
    <w:p>
      <w:pPr>
        <w:numPr>
          <w:ilvl w:val="0"/>
          <w:numId w:val="55"/>
        </w:numPr>
        <w:adjustRightInd w:val="0"/>
        <w:spacing w:line="360" w:lineRule="auto"/>
        <w:ind w:left="0" w:firstLine="567"/>
        <w:jc w:val="left"/>
        <w:textAlignment w:val="baseline"/>
        <w:outlineLvl w:val="9"/>
        <w:rPr>
          <w:rFonts w:hint="eastAsia" w:ascii="宋体" w:hAnsi="宋体" w:cs="宋体"/>
          <w:bCs/>
          <w:sz w:val="24"/>
        </w:rPr>
      </w:pPr>
      <w:r>
        <w:rPr>
          <w:rFonts w:hint="eastAsia" w:ascii="宋体" w:hAnsi="宋体" w:cs="宋体"/>
          <w:bCs/>
          <w:sz w:val="24"/>
        </w:rPr>
        <w:t>国家法律、法规所规定由乙方承担的其它责任。</w:t>
      </w:r>
    </w:p>
    <w:p>
      <w:pPr>
        <w:numPr>
          <w:ilvl w:val="0"/>
          <w:numId w:val="50"/>
        </w:numPr>
        <w:spacing w:line="360" w:lineRule="auto"/>
        <w:outlineLvl w:val="9"/>
        <w:rPr>
          <w:rFonts w:hint="eastAsia" w:ascii="宋体" w:hAnsi="宋体" w:cs="宋体"/>
          <w:b/>
          <w:sz w:val="24"/>
        </w:rPr>
      </w:pPr>
      <w:bookmarkStart w:id="406" w:name="_Toc12122"/>
      <w:bookmarkStart w:id="407" w:name="_Toc29155_WPSOffice_Level1"/>
      <w:r>
        <w:rPr>
          <w:rFonts w:hint="eastAsia" w:ascii="宋体" w:hAnsi="宋体" w:cs="宋体"/>
          <w:b/>
          <w:sz w:val="24"/>
        </w:rPr>
        <w:t>违约责任</w:t>
      </w:r>
      <w:bookmarkEnd w:id="406"/>
      <w:bookmarkEnd w:id="407"/>
    </w:p>
    <w:p>
      <w:pPr>
        <w:numPr>
          <w:ilvl w:val="0"/>
          <w:numId w:val="56"/>
        </w:numPr>
        <w:adjustRightInd w:val="0"/>
        <w:spacing w:line="360" w:lineRule="auto"/>
        <w:ind w:left="0" w:firstLine="567"/>
        <w:jc w:val="left"/>
        <w:textAlignment w:val="baseline"/>
        <w:outlineLvl w:val="9"/>
        <w:rPr>
          <w:rFonts w:hint="eastAsia" w:ascii="宋体" w:hAnsi="宋体" w:cs="宋体"/>
          <w:bCs/>
          <w:sz w:val="24"/>
        </w:rPr>
      </w:pPr>
      <w:r>
        <w:rPr>
          <w:rFonts w:hint="eastAsia" w:ascii="宋体" w:hAnsi="宋体" w:cs="宋体"/>
          <w:bCs/>
          <w:sz w:val="24"/>
        </w:rPr>
        <w:t>甲乙双方必须遵守本合同并执行合同中的各项规定，保证本合同的正常履行。</w:t>
      </w:r>
    </w:p>
    <w:p>
      <w:pPr>
        <w:numPr>
          <w:ilvl w:val="0"/>
          <w:numId w:val="56"/>
        </w:numPr>
        <w:adjustRightInd w:val="0"/>
        <w:spacing w:line="360" w:lineRule="auto"/>
        <w:ind w:left="0" w:firstLine="567"/>
        <w:jc w:val="left"/>
        <w:textAlignment w:val="baseline"/>
        <w:outlineLvl w:val="9"/>
        <w:rPr>
          <w:rFonts w:hint="eastAsia" w:ascii="宋体" w:hAnsi="宋体" w:cs="宋体"/>
          <w:bCs/>
          <w:sz w:val="24"/>
        </w:rPr>
      </w:pPr>
      <w:r>
        <w:rPr>
          <w:rFonts w:hint="eastAsia" w:ascii="宋体" w:hAnsi="宋体" w:cs="宋体"/>
          <w:bCs/>
          <w:sz w:val="24"/>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50"/>
        </w:numPr>
        <w:spacing w:line="360" w:lineRule="auto"/>
        <w:outlineLvl w:val="9"/>
        <w:rPr>
          <w:rFonts w:hint="eastAsia" w:ascii="宋体" w:hAnsi="宋体" w:cs="宋体"/>
          <w:b/>
          <w:sz w:val="24"/>
        </w:rPr>
      </w:pPr>
      <w:bookmarkStart w:id="408" w:name="_Toc2854"/>
      <w:bookmarkStart w:id="409" w:name="_Toc9295_WPSOffice_Level1"/>
      <w:r>
        <w:rPr>
          <w:rFonts w:hint="eastAsia" w:ascii="宋体" w:hAnsi="宋体" w:cs="宋体"/>
          <w:b/>
          <w:sz w:val="24"/>
        </w:rPr>
        <w:t>不可抗力事件处理</w:t>
      </w:r>
      <w:bookmarkEnd w:id="408"/>
      <w:bookmarkEnd w:id="409"/>
    </w:p>
    <w:p>
      <w:pPr>
        <w:numPr>
          <w:ilvl w:val="0"/>
          <w:numId w:val="57"/>
        </w:numPr>
        <w:tabs>
          <w:tab w:val="left" w:pos="0"/>
        </w:tabs>
        <w:spacing w:line="360" w:lineRule="auto"/>
        <w:ind w:left="0" w:firstLine="567"/>
        <w:outlineLvl w:val="9"/>
        <w:rPr>
          <w:rFonts w:hint="eastAsia" w:ascii="宋体" w:hAnsi="宋体" w:cs="宋体"/>
          <w:sz w:val="24"/>
        </w:rPr>
      </w:pPr>
      <w:r>
        <w:rPr>
          <w:rFonts w:hint="eastAsia" w:ascii="宋体" w:hAnsi="宋体" w:cs="宋体"/>
          <w:sz w:val="24"/>
        </w:rPr>
        <w:t>在合同有效期内，任何一方因不可抗力事件导致不能履行合同，则合同履行期可延长，其延长期与不可抗力影响期相同。</w:t>
      </w:r>
    </w:p>
    <w:p>
      <w:pPr>
        <w:numPr>
          <w:ilvl w:val="0"/>
          <w:numId w:val="57"/>
        </w:numPr>
        <w:tabs>
          <w:tab w:val="left" w:pos="0"/>
        </w:tabs>
        <w:spacing w:line="360" w:lineRule="auto"/>
        <w:ind w:left="0" w:firstLine="567"/>
        <w:outlineLvl w:val="9"/>
        <w:rPr>
          <w:rFonts w:hint="eastAsia" w:ascii="宋体" w:hAnsi="宋体" w:cs="宋体"/>
          <w:sz w:val="24"/>
        </w:rPr>
      </w:pPr>
      <w:r>
        <w:rPr>
          <w:rFonts w:hint="eastAsia" w:ascii="宋体" w:hAnsi="宋体" w:cs="宋体"/>
          <w:sz w:val="24"/>
        </w:rPr>
        <w:t>不可抗力事件发生后，应立即通知对方，并寄送有关权威机构出具的证明。</w:t>
      </w:r>
    </w:p>
    <w:p>
      <w:pPr>
        <w:numPr>
          <w:ilvl w:val="0"/>
          <w:numId w:val="57"/>
        </w:numPr>
        <w:tabs>
          <w:tab w:val="left" w:pos="0"/>
        </w:tabs>
        <w:spacing w:line="360" w:lineRule="auto"/>
        <w:ind w:left="0" w:firstLine="567"/>
        <w:outlineLvl w:val="9"/>
        <w:rPr>
          <w:rFonts w:hint="eastAsia" w:ascii="宋体" w:hAnsi="宋体" w:cs="宋体"/>
          <w:sz w:val="24"/>
        </w:rPr>
      </w:pPr>
      <w:r>
        <w:rPr>
          <w:rFonts w:hint="eastAsia" w:ascii="宋体" w:hAnsi="宋体" w:cs="宋体"/>
          <w:sz w:val="24"/>
        </w:rPr>
        <w:t>不可抗力事件延续120天以上，双方应通过友好协商，确定是否继续履行合同。</w:t>
      </w:r>
    </w:p>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Pr>
        <w:numPr>
          <w:ilvl w:val="0"/>
          <w:numId w:val="50"/>
        </w:numPr>
        <w:spacing w:line="360" w:lineRule="auto"/>
        <w:outlineLvl w:val="9"/>
        <w:rPr>
          <w:rFonts w:hint="eastAsia" w:ascii="宋体" w:hAnsi="宋体" w:cs="宋体"/>
          <w:b/>
          <w:sz w:val="24"/>
        </w:rPr>
      </w:pPr>
      <w:bookmarkStart w:id="410" w:name="_Toc247334846"/>
      <w:bookmarkStart w:id="411" w:name="_Toc239568423"/>
      <w:bookmarkStart w:id="412" w:name="_Toc239233919"/>
      <w:bookmarkStart w:id="413" w:name="_Toc211911353"/>
      <w:bookmarkStart w:id="414" w:name="_Toc185395254"/>
      <w:bookmarkStart w:id="415" w:name="_Toc241833908"/>
      <w:bookmarkStart w:id="416" w:name="_Toc232492933"/>
      <w:bookmarkStart w:id="417" w:name="_Toc225244857"/>
      <w:bookmarkStart w:id="418" w:name="_Toc286993792"/>
      <w:bookmarkStart w:id="419" w:name="_Toc212019599"/>
      <w:bookmarkStart w:id="420" w:name="_Toc251768867"/>
      <w:bookmarkStart w:id="421" w:name="_Toc238984980"/>
      <w:bookmarkStart w:id="422" w:name="_Toc225654649"/>
      <w:bookmarkStart w:id="423" w:name="_Toc25831"/>
      <w:bookmarkStart w:id="424" w:name="_Toc237145411"/>
      <w:bookmarkStart w:id="425" w:name="_Toc211854454"/>
      <w:bookmarkStart w:id="426" w:name="_Toc225670756"/>
      <w:bookmarkStart w:id="427" w:name="_Toc29878_WPSOffice_Level1"/>
      <w:r>
        <w:rPr>
          <w:rFonts w:hint="eastAsia" w:ascii="宋体" w:hAnsi="宋体" w:cs="宋体"/>
          <w:b/>
          <w:sz w:val="24"/>
        </w:rPr>
        <w:t>解决合同纠纷的方式</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numPr>
          <w:ilvl w:val="0"/>
          <w:numId w:val="58"/>
        </w:numPr>
        <w:tabs>
          <w:tab w:val="left" w:pos="0"/>
        </w:tabs>
        <w:spacing w:line="360" w:lineRule="auto"/>
        <w:ind w:left="0" w:firstLine="560"/>
        <w:outlineLvl w:val="9"/>
        <w:rPr>
          <w:rFonts w:hint="eastAsia" w:ascii="宋体" w:hAnsi="宋体" w:cs="宋体"/>
          <w:sz w:val="24"/>
        </w:rPr>
      </w:pPr>
      <w:r>
        <w:rPr>
          <w:rFonts w:hint="eastAsia" w:ascii="宋体" w:hAnsi="宋体" w:cs="宋体"/>
          <w:sz w:val="24"/>
        </w:rPr>
        <w:t>在执行本合同中发生的或与本合同有关的争端，双方应通过友好协商解决，经协商在60天内不能达成协议时，应提交成都仲裁委员会仲裁。</w:t>
      </w:r>
    </w:p>
    <w:p>
      <w:pPr>
        <w:numPr>
          <w:ilvl w:val="0"/>
          <w:numId w:val="58"/>
        </w:numPr>
        <w:tabs>
          <w:tab w:val="left" w:pos="0"/>
        </w:tabs>
        <w:spacing w:line="360" w:lineRule="auto"/>
        <w:ind w:left="0" w:firstLine="560"/>
        <w:outlineLvl w:val="9"/>
        <w:rPr>
          <w:rFonts w:hint="eastAsia" w:ascii="宋体" w:hAnsi="宋体" w:cs="宋体"/>
          <w:sz w:val="24"/>
        </w:rPr>
      </w:pPr>
      <w:r>
        <w:rPr>
          <w:rFonts w:hint="eastAsia" w:ascii="宋体" w:hAnsi="宋体" w:cs="宋体"/>
          <w:sz w:val="24"/>
        </w:rPr>
        <w:t>仲裁裁决应为最终决定，并对双方具有约束力。</w:t>
      </w:r>
    </w:p>
    <w:p>
      <w:pPr>
        <w:numPr>
          <w:ilvl w:val="0"/>
          <w:numId w:val="58"/>
        </w:numPr>
        <w:tabs>
          <w:tab w:val="left" w:pos="0"/>
        </w:tabs>
        <w:spacing w:line="360" w:lineRule="auto"/>
        <w:ind w:left="0" w:firstLine="560"/>
        <w:outlineLvl w:val="9"/>
        <w:rPr>
          <w:rFonts w:hint="eastAsia" w:ascii="宋体" w:hAnsi="宋体" w:cs="宋体"/>
          <w:sz w:val="24"/>
        </w:rPr>
      </w:pPr>
      <w:r>
        <w:rPr>
          <w:rFonts w:hint="eastAsia" w:ascii="宋体" w:hAnsi="宋体" w:cs="宋体"/>
          <w:sz w:val="24"/>
        </w:rPr>
        <w:t xml:space="preserve">除另有裁决外，仲裁费应由败诉方负担。 </w:t>
      </w:r>
    </w:p>
    <w:p>
      <w:pPr>
        <w:numPr>
          <w:ilvl w:val="0"/>
          <w:numId w:val="58"/>
        </w:numPr>
        <w:tabs>
          <w:tab w:val="left" w:pos="0"/>
        </w:tabs>
        <w:spacing w:line="360" w:lineRule="auto"/>
        <w:ind w:left="0" w:firstLine="560"/>
        <w:outlineLvl w:val="9"/>
        <w:rPr>
          <w:rFonts w:hint="eastAsia" w:ascii="宋体" w:hAnsi="宋体" w:cs="宋体"/>
          <w:sz w:val="24"/>
        </w:rPr>
      </w:pPr>
      <w:r>
        <w:rPr>
          <w:rFonts w:hint="eastAsia" w:ascii="宋体" w:hAnsi="宋体" w:cs="宋体"/>
          <w:sz w:val="24"/>
        </w:rPr>
        <w:t xml:space="preserve">在仲裁期间，除正在进行仲裁部分外，合同其他部分继续执行。  </w:t>
      </w:r>
    </w:p>
    <w:p>
      <w:pPr>
        <w:numPr>
          <w:ilvl w:val="0"/>
          <w:numId w:val="50"/>
        </w:numPr>
        <w:spacing w:line="360" w:lineRule="auto"/>
        <w:outlineLvl w:val="9"/>
        <w:rPr>
          <w:rFonts w:hint="eastAsia" w:ascii="宋体" w:hAnsi="宋体" w:cs="宋体"/>
          <w:b/>
          <w:sz w:val="24"/>
        </w:rPr>
      </w:pPr>
      <w:bookmarkStart w:id="428" w:name="_Toc241833909"/>
      <w:bookmarkStart w:id="429" w:name="_Toc28325"/>
      <w:bookmarkStart w:id="430" w:name="_Toc29869_WPSOffice_Level1"/>
      <w:r>
        <w:rPr>
          <w:rFonts w:hint="eastAsia" w:ascii="宋体" w:hAnsi="宋体" w:cs="宋体"/>
          <w:b/>
          <w:sz w:val="24"/>
        </w:rPr>
        <w:t>合同</w:t>
      </w:r>
      <w:bookmarkEnd w:id="428"/>
      <w:r>
        <w:rPr>
          <w:rFonts w:hint="eastAsia" w:ascii="宋体" w:hAnsi="宋体" w:cs="宋体"/>
          <w:b/>
          <w:sz w:val="24"/>
        </w:rPr>
        <w:t>生效及其他</w:t>
      </w:r>
      <w:bookmarkEnd w:id="429"/>
      <w:bookmarkEnd w:id="430"/>
    </w:p>
    <w:p>
      <w:pPr>
        <w:pStyle w:val="79"/>
        <w:numPr>
          <w:ilvl w:val="0"/>
          <w:numId w:val="59"/>
        </w:numPr>
        <w:spacing w:line="360" w:lineRule="auto"/>
        <w:ind w:left="0" w:firstLine="630" w:firstLineChars="0"/>
        <w:outlineLvl w:val="9"/>
        <w:rPr>
          <w:rFonts w:hint="eastAsia" w:ascii="宋体" w:hAnsi="宋体" w:cs="宋体"/>
          <w:sz w:val="24"/>
        </w:rPr>
      </w:pPr>
      <w:r>
        <w:rPr>
          <w:rFonts w:hint="eastAsia" w:ascii="宋体" w:hAnsi="宋体" w:cs="宋体"/>
          <w:sz w:val="24"/>
        </w:rPr>
        <w:t>合同经双方法定代表人或授权委托代理人签字并加盖单位公章后生效。</w:t>
      </w:r>
    </w:p>
    <w:p>
      <w:pPr>
        <w:pStyle w:val="79"/>
        <w:numPr>
          <w:ilvl w:val="0"/>
          <w:numId w:val="59"/>
        </w:numPr>
        <w:spacing w:line="360" w:lineRule="auto"/>
        <w:ind w:left="0" w:firstLine="630" w:firstLineChars="0"/>
        <w:outlineLvl w:val="9"/>
        <w:rPr>
          <w:rFonts w:hint="eastAsia" w:ascii="宋体" w:hAnsi="宋体" w:cs="宋体"/>
          <w:sz w:val="24"/>
        </w:rPr>
      </w:pPr>
      <w:r>
        <w:rPr>
          <w:rFonts w:hint="eastAsia" w:ascii="宋体" w:hAnsi="宋体" w:cs="宋体"/>
          <w:sz w:val="24"/>
        </w:rPr>
        <w:t>合同执行中涉及采购资金和采购内容修改或补充的，须经政府采购监管部门审批，并签书面补充协议报政府采购监督管理部门备案，方可作为主合同不可分割的一部分。</w:t>
      </w:r>
    </w:p>
    <w:p>
      <w:pPr>
        <w:pStyle w:val="79"/>
        <w:numPr>
          <w:ilvl w:val="0"/>
          <w:numId w:val="59"/>
        </w:numPr>
        <w:spacing w:line="360" w:lineRule="auto"/>
        <w:ind w:left="0" w:firstLine="630" w:firstLineChars="0"/>
        <w:outlineLvl w:val="9"/>
        <w:rPr>
          <w:rFonts w:hint="eastAsia" w:ascii="宋体" w:hAnsi="宋体" w:cs="宋体"/>
          <w:sz w:val="24"/>
        </w:rPr>
      </w:pPr>
      <w:r>
        <w:rPr>
          <w:rFonts w:hint="eastAsia" w:ascii="宋体" w:hAnsi="宋体" w:cs="宋体"/>
          <w:sz w:val="24"/>
        </w:rPr>
        <w:t>本合同一式</w:t>
      </w:r>
      <w:r>
        <w:rPr>
          <w:rFonts w:hint="eastAsia" w:ascii="宋体" w:hAnsi="宋体" w:cs="宋体"/>
          <w:sz w:val="24"/>
          <w:u w:val="single"/>
        </w:rPr>
        <w:t xml:space="preserve">  </w:t>
      </w:r>
      <w:r>
        <w:rPr>
          <w:rFonts w:hint="eastAsia" w:ascii="宋体" w:hAnsi="宋体" w:cs="宋体"/>
          <w:sz w:val="24"/>
        </w:rPr>
        <w:t>份，自双方签章之日起起效。甲方</w:t>
      </w:r>
      <w:r>
        <w:rPr>
          <w:rFonts w:hint="eastAsia" w:ascii="宋体" w:hAnsi="宋体" w:cs="宋体"/>
          <w:sz w:val="24"/>
          <w:u w:val="single"/>
        </w:rPr>
        <w:t xml:space="preserve">  </w:t>
      </w:r>
      <w:r>
        <w:rPr>
          <w:rFonts w:hint="eastAsia" w:ascii="宋体" w:hAnsi="宋体" w:cs="宋体"/>
          <w:sz w:val="24"/>
        </w:rPr>
        <w:t>份，乙方</w:t>
      </w:r>
      <w:r>
        <w:rPr>
          <w:rFonts w:hint="eastAsia" w:ascii="宋体" w:hAnsi="宋体" w:cs="宋体"/>
          <w:sz w:val="24"/>
          <w:u w:val="single"/>
        </w:rPr>
        <w:t xml:space="preserve">  </w:t>
      </w:r>
      <w:r>
        <w:rPr>
          <w:rFonts w:hint="eastAsia" w:ascii="宋体" w:hAnsi="宋体" w:cs="宋体"/>
          <w:sz w:val="24"/>
        </w:rPr>
        <w:t>份，政府采购代理机构</w:t>
      </w:r>
      <w:r>
        <w:rPr>
          <w:rFonts w:hint="eastAsia" w:ascii="宋体" w:hAnsi="宋体" w:cs="宋体"/>
          <w:sz w:val="24"/>
          <w:u w:val="single"/>
        </w:rPr>
        <w:t xml:space="preserve">  </w:t>
      </w:r>
      <w:r>
        <w:rPr>
          <w:rFonts w:hint="eastAsia" w:ascii="宋体" w:hAnsi="宋体" w:cs="宋体"/>
          <w:sz w:val="24"/>
        </w:rPr>
        <w:t>份，同级财政部门备案</w:t>
      </w:r>
      <w:r>
        <w:rPr>
          <w:rFonts w:hint="eastAsia" w:ascii="宋体" w:hAnsi="宋体" w:cs="宋体"/>
          <w:sz w:val="24"/>
          <w:u w:val="single"/>
        </w:rPr>
        <w:t xml:space="preserve">  </w:t>
      </w:r>
      <w:r>
        <w:rPr>
          <w:rFonts w:hint="eastAsia" w:ascii="宋体" w:hAnsi="宋体" w:cs="宋体"/>
          <w:sz w:val="24"/>
        </w:rPr>
        <w:t>份，具有同等法律效力。</w:t>
      </w:r>
    </w:p>
    <w:p>
      <w:pPr>
        <w:numPr>
          <w:ilvl w:val="0"/>
          <w:numId w:val="50"/>
        </w:numPr>
        <w:spacing w:line="360" w:lineRule="auto"/>
        <w:outlineLvl w:val="9"/>
        <w:rPr>
          <w:rFonts w:hint="eastAsia" w:ascii="宋体" w:hAnsi="宋体" w:cs="宋体"/>
          <w:b/>
          <w:sz w:val="24"/>
        </w:rPr>
      </w:pPr>
      <w:bookmarkStart w:id="431" w:name="_Toc12567"/>
      <w:bookmarkStart w:id="432" w:name="_Toc26807_WPSOffice_Level1"/>
      <w:r>
        <w:rPr>
          <w:rFonts w:hint="eastAsia" w:ascii="宋体" w:hAnsi="宋体" w:cs="宋体"/>
          <w:b/>
          <w:sz w:val="24"/>
        </w:rPr>
        <w:t>附件</w:t>
      </w:r>
      <w:bookmarkEnd w:id="431"/>
      <w:bookmarkEnd w:id="432"/>
    </w:p>
    <w:p>
      <w:pPr>
        <w:pStyle w:val="79"/>
        <w:numPr>
          <w:ilvl w:val="0"/>
          <w:numId w:val="4"/>
        </w:numPr>
        <w:spacing w:line="360" w:lineRule="auto"/>
        <w:ind w:firstLineChars="0"/>
        <w:outlineLvl w:val="9"/>
        <w:rPr>
          <w:rFonts w:hint="eastAsia" w:ascii="宋体" w:hAnsi="宋体" w:cs="宋体"/>
          <w:sz w:val="24"/>
        </w:rPr>
      </w:pPr>
      <w:bookmarkStart w:id="433" w:name="_Toc15474_WPSOffice_Level2"/>
      <w:r>
        <w:rPr>
          <w:rFonts w:hint="eastAsia" w:ascii="宋体" w:hAnsi="宋体" w:cs="宋体"/>
          <w:sz w:val="24"/>
        </w:rPr>
        <w:t>项目</w:t>
      </w:r>
      <w:r>
        <w:rPr>
          <w:rFonts w:hint="eastAsia" w:ascii="宋体" w:hAnsi="宋体" w:cs="宋体"/>
          <w:sz w:val="24"/>
          <w:lang w:eastAsia="zh-CN"/>
        </w:rPr>
        <w:t>招标</w:t>
      </w:r>
      <w:r>
        <w:rPr>
          <w:rFonts w:hint="eastAsia" w:ascii="宋体" w:hAnsi="宋体" w:cs="宋体"/>
          <w:sz w:val="24"/>
        </w:rPr>
        <w:t>文件</w:t>
      </w:r>
      <w:bookmarkEnd w:id="433"/>
    </w:p>
    <w:p>
      <w:pPr>
        <w:pStyle w:val="79"/>
        <w:numPr>
          <w:ilvl w:val="0"/>
          <w:numId w:val="4"/>
        </w:numPr>
        <w:spacing w:line="360" w:lineRule="auto"/>
        <w:ind w:firstLineChars="0"/>
        <w:outlineLvl w:val="9"/>
        <w:rPr>
          <w:rFonts w:hint="eastAsia" w:ascii="宋体" w:hAnsi="宋体" w:cs="宋体"/>
          <w:sz w:val="24"/>
        </w:rPr>
      </w:pPr>
      <w:bookmarkStart w:id="434" w:name="_Toc9221_WPSOffice_Level2"/>
      <w:r>
        <w:rPr>
          <w:rFonts w:hint="eastAsia" w:ascii="宋体" w:hAnsi="宋体" w:cs="宋体"/>
          <w:sz w:val="24"/>
        </w:rPr>
        <w:t>项目修改澄清文件</w:t>
      </w:r>
      <w:bookmarkEnd w:id="434"/>
    </w:p>
    <w:p>
      <w:pPr>
        <w:pStyle w:val="79"/>
        <w:numPr>
          <w:ilvl w:val="0"/>
          <w:numId w:val="4"/>
        </w:numPr>
        <w:spacing w:line="360" w:lineRule="auto"/>
        <w:ind w:firstLineChars="0"/>
        <w:outlineLvl w:val="9"/>
        <w:rPr>
          <w:rFonts w:hint="eastAsia" w:ascii="宋体" w:hAnsi="宋体" w:cs="宋体"/>
          <w:sz w:val="24"/>
        </w:rPr>
      </w:pPr>
      <w:bookmarkStart w:id="435" w:name="_Toc27815_WPSOffice_Level2"/>
      <w:r>
        <w:rPr>
          <w:rFonts w:hint="eastAsia" w:ascii="宋体" w:hAnsi="宋体" w:cs="宋体"/>
          <w:sz w:val="24"/>
        </w:rPr>
        <w:t>项目</w:t>
      </w:r>
      <w:r>
        <w:rPr>
          <w:rFonts w:hint="eastAsia" w:ascii="宋体" w:hAnsi="宋体" w:cs="宋体"/>
          <w:sz w:val="24"/>
          <w:lang w:eastAsia="zh-CN"/>
        </w:rPr>
        <w:t>投标文件</w:t>
      </w:r>
      <w:bookmarkEnd w:id="435"/>
    </w:p>
    <w:p>
      <w:pPr>
        <w:pStyle w:val="79"/>
        <w:numPr>
          <w:ilvl w:val="0"/>
          <w:numId w:val="4"/>
        </w:numPr>
        <w:spacing w:line="360" w:lineRule="auto"/>
        <w:ind w:firstLineChars="0"/>
        <w:outlineLvl w:val="9"/>
        <w:rPr>
          <w:rFonts w:hint="eastAsia" w:ascii="宋体" w:hAnsi="宋体" w:cs="宋体"/>
          <w:sz w:val="24"/>
        </w:rPr>
      </w:pPr>
      <w:bookmarkStart w:id="436" w:name="_Toc26593_WPSOffice_Level2"/>
      <w:r>
        <w:rPr>
          <w:rFonts w:hint="eastAsia" w:ascii="宋体" w:hAnsi="宋体" w:cs="宋体"/>
          <w:sz w:val="24"/>
        </w:rPr>
        <w:t>成交通知书</w:t>
      </w:r>
      <w:bookmarkEnd w:id="436"/>
    </w:p>
    <w:p>
      <w:pPr>
        <w:pStyle w:val="79"/>
        <w:numPr>
          <w:ilvl w:val="0"/>
          <w:numId w:val="4"/>
        </w:numPr>
        <w:spacing w:line="360" w:lineRule="auto"/>
        <w:ind w:firstLineChars="0"/>
        <w:outlineLvl w:val="9"/>
        <w:rPr>
          <w:rFonts w:hint="eastAsia" w:ascii="宋体" w:hAnsi="宋体" w:cs="宋体"/>
          <w:sz w:val="24"/>
        </w:rPr>
      </w:pPr>
      <w:bookmarkStart w:id="437" w:name="_Toc15686_WPSOffice_Level2"/>
      <w:r>
        <w:rPr>
          <w:rFonts w:hint="eastAsia" w:ascii="宋体" w:hAnsi="宋体" w:cs="宋体"/>
          <w:sz w:val="24"/>
        </w:rPr>
        <w:t>其他</w:t>
      </w:r>
      <w:bookmarkEnd w:id="437"/>
    </w:p>
    <w:p>
      <w:pPr>
        <w:spacing w:line="360" w:lineRule="auto"/>
        <w:outlineLvl w:val="9"/>
        <w:rPr>
          <w:rFonts w:hint="eastAsia" w:ascii="宋体" w:hAnsi="宋体" w:cs="宋体"/>
          <w:sz w:val="24"/>
        </w:rPr>
      </w:pPr>
    </w:p>
    <w:p>
      <w:pPr>
        <w:spacing w:line="400" w:lineRule="exact"/>
        <w:ind w:firstLine="480" w:firstLineChars="200"/>
        <w:outlineLvl w:val="9"/>
        <w:rPr>
          <w:rFonts w:hint="eastAsia" w:ascii="宋体" w:hAnsi="宋体" w:cs="宋体"/>
          <w:sz w:val="24"/>
        </w:rPr>
      </w:pPr>
      <w:r>
        <w:rPr>
          <w:rFonts w:hint="eastAsia" w:ascii="宋体" w:hAnsi="宋体" w:cs="宋体"/>
          <w:sz w:val="24"/>
        </w:rPr>
        <w:t xml:space="preserve">甲方：   （盖章）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 乙方：   （盖章）</w:t>
      </w:r>
    </w:p>
    <w:p>
      <w:pPr>
        <w:spacing w:line="400" w:lineRule="exact"/>
        <w:ind w:firstLine="480" w:firstLineChars="200"/>
        <w:outlineLvl w:val="9"/>
        <w:rPr>
          <w:rFonts w:hint="eastAsia" w:ascii="宋体" w:hAnsi="宋体" w:cs="宋体"/>
          <w:sz w:val="24"/>
        </w:rPr>
      </w:pPr>
      <w:r>
        <w:rPr>
          <w:rFonts w:hint="eastAsia" w:ascii="宋体" w:hAnsi="宋体" w:cs="宋体"/>
          <w:sz w:val="24"/>
        </w:rPr>
        <w:t>法定代表人（授权代表）：           法定代表人（授权代表）：</w:t>
      </w:r>
    </w:p>
    <w:p>
      <w:pPr>
        <w:spacing w:line="400" w:lineRule="exact"/>
        <w:ind w:firstLine="480" w:firstLineChars="200"/>
        <w:outlineLvl w:val="9"/>
        <w:rPr>
          <w:rFonts w:hint="eastAsia" w:ascii="宋体" w:hAnsi="宋体" w:cs="宋体"/>
          <w:sz w:val="24"/>
        </w:rPr>
      </w:pPr>
      <w:r>
        <w:rPr>
          <w:rFonts w:hint="eastAsia" w:ascii="宋体" w:hAnsi="宋体" w:cs="宋体"/>
          <w:sz w:val="24"/>
        </w:rPr>
        <w:t>地    址：                         地    址：</w:t>
      </w:r>
    </w:p>
    <w:p>
      <w:pPr>
        <w:spacing w:line="400" w:lineRule="exact"/>
        <w:ind w:firstLine="480" w:firstLineChars="200"/>
        <w:outlineLvl w:val="9"/>
        <w:rPr>
          <w:rFonts w:hint="eastAsia" w:ascii="宋体" w:hAnsi="宋体" w:cs="宋体"/>
          <w:sz w:val="24"/>
        </w:rPr>
      </w:pPr>
      <w:r>
        <w:rPr>
          <w:rFonts w:hint="eastAsia" w:ascii="宋体" w:hAnsi="宋体" w:cs="宋体"/>
          <w:sz w:val="24"/>
        </w:rPr>
        <w:t>开户银行：                         开户银行：</w:t>
      </w:r>
    </w:p>
    <w:p>
      <w:pPr>
        <w:spacing w:line="400" w:lineRule="exact"/>
        <w:ind w:firstLine="480" w:firstLineChars="200"/>
        <w:outlineLvl w:val="9"/>
        <w:rPr>
          <w:rFonts w:hint="eastAsia" w:ascii="宋体" w:hAnsi="宋体" w:cs="宋体"/>
          <w:sz w:val="24"/>
        </w:rPr>
      </w:pPr>
      <w:r>
        <w:rPr>
          <w:rFonts w:hint="eastAsia" w:ascii="宋体" w:hAnsi="宋体" w:cs="宋体"/>
          <w:sz w:val="24"/>
        </w:rPr>
        <w:t>账号：                             账号：</w:t>
      </w:r>
    </w:p>
    <w:p>
      <w:pPr>
        <w:spacing w:line="400" w:lineRule="exact"/>
        <w:ind w:firstLine="480" w:firstLineChars="200"/>
        <w:outlineLvl w:val="9"/>
        <w:rPr>
          <w:rFonts w:hint="eastAsia" w:ascii="宋体" w:hAnsi="宋体" w:cs="宋体"/>
          <w:sz w:val="24"/>
        </w:rPr>
      </w:pPr>
      <w:r>
        <w:rPr>
          <w:rFonts w:hint="eastAsia" w:ascii="宋体" w:hAnsi="宋体" w:cs="宋体"/>
          <w:sz w:val="24"/>
        </w:rPr>
        <w:t>电    话：                         电    话：</w:t>
      </w:r>
    </w:p>
    <w:p>
      <w:pPr>
        <w:spacing w:line="400" w:lineRule="exact"/>
        <w:ind w:firstLine="480" w:firstLineChars="200"/>
        <w:outlineLvl w:val="9"/>
        <w:rPr>
          <w:rFonts w:hint="eastAsia" w:ascii="宋体" w:hAnsi="宋体" w:cs="宋体"/>
          <w:sz w:val="24"/>
        </w:rPr>
      </w:pPr>
      <w:r>
        <w:rPr>
          <w:rFonts w:hint="eastAsia" w:ascii="宋体" w:hAnsi="宋体" w:cs="宋体"/>
          <w:sz w:val="24"/>
        </w:rPr>
        <w:t>传    真：                         传    真：</w:t>
      </w:r>
    </w:p>
    <w:p>
      <w:pPr>
        <w:spacing w:line="400" w:lineRule="exact"/>
        <w:ind w:firstLine="480" w:firstLineChars="200"/>
        <w:outlineLvl w:val="9"/>
        <w:rPr>
          <w:rFonts w:hint="eastAsia" w:ascii="宋体" w:hAnsi="宋体" w:cs="宋体"/>
          <w:sz w:val="24"/>
        </w:rPr>
      </w:pPr>
      <w:r>
        <w:rPr>
          <w:rFonts w:hint="eastAsia" w:ascii="宋体" w:hAnsi="宋体" w:cs="宋体"/>
          <w:sz w:val="24"/>
        </w:rPr>
        <w:t xml:space="preserve">签约日期：XX年XX月XX日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签约日期：XX年XX月XX日</w:t>
      </w:r>
    </w:p>
    <w:p>
      <w:pPr>
        <w:spacing w:line="400" w:lineRule="exact"/>
        <w:ind w:firstLine="420" w:firstLineChars="200"/>
        <w:outlineLvl w:val="9"/>
        <w:rPr>
          <w:rFonts w:hint="eastAsia" w:ascii="宋体" w:hAnsi="宋体" w:cs="宋体"/>
        </w:rPr>
      </w:pPr>
    </w:p>
    <w:p>
      <w:pPr>
        <w:spacing w:after="160" w:line="400" w:lineRule="exact"/>
        <w:outlineLvl w:val="9"/>
        <w:rPr>
          <w:rFonts w:hint="eastAsia" w:ascii="宋体" w:hAnsi="宋体" w:eastAsia="宋体" w:cs="宋体"/>
          <w:color w:val="auto"/>
          <w:kern w:val="2"/>
          <w:sz w:val="21"/>
          <w:szCs w:val="24"/>
          <w:highlight w:val="none"/>
        </w:rPr>
      </w:pPr>
    </w:p>
    <w:p>
      <w:pPr>
        <w:spacing w:line="400" w:lineRule="exact"/>
        <w:outlineLvl w:val="9"/>
        <w:rPr>
          <w:rFonts w:ascii="宋体" w:hAnsi="宋体"/>
          <w:color w:val="auto"/>
          <w:sz w:val="20"/>
          <w:szCs w:val="21"/>
        </w:rPr>
      </w:pPr>
    </w:p>
    <w:p>
      <w:pPr>
        <w:pStyle w:val="17"/>
        <w:outlineLvl w:val="9"/>
      </w:pPr>
    </w:p>
    <w:sectPr>
      <w:pgSz w:w="11850" w:h="16783"/>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48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64514241"/>
                          </w:sdtPr>
                          <w:sdtContent>
                            <w:p>
                              <w:pPr>
                                <w:pStyle w:val="32"/>
                                <w:ind w:firstLine="480"/>
                                <w:jc w:val="center"/>
                              </w:pPr>
                              <w:r>
                                <w:fldChar w:fldCharType="begin"/>
                              </w:r>
                              <w:r>
                                <w:instrText xml:space="preserve">PAGE   \* MERGEFORMAT</w:instrText>
                              </w:r>
                              <w:r>
                                <w:fldChar w:fldCharType="separate"/>
                              </w:r>
                              <w:r>
                                <w:rPr>
                                  <w:lang w:val="zh-CN"/>
                                </w:rPr>
                                <w:t>46</w:t>
                              </w:r>
                              <w:r>
                                <w:fldChar w:fldCharType="end"/>
                              </w:r>
                            </w:p>
                          </w:sdtContent>
                        </w:sdt>
                        <w:p>
                          <w:pPr>
                            <w:pStyle w:val="1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264514241"/>
                    </w:sdtPr>
                    <w:sdtContent>
                      <w:p>
                        <w:pPr>
                          <w:pStyle w:val="32"/>
                          <w:ind w:firstLine="480"/>
                          <w:jc w:val="center"/>
                        </w:pPr>
                        <w:r>
                          <w:fldChar w:fldCharType="begin"/>
                        </w:r>
                        <w:r>
                          <w:instrText xml:space="preserve">PAGE   \* MERGEFORMAT</w:instrText>
                        </w:r>
                        <w:r>
                          <w:fldChar w:fldCharType="separate"/>
                        </w:r>
                        <w:r>
                          <w:rPr>
                            <w:lang w:val="zh-CN"/>
                          </w:rPr>
                          <w:t>46</w:t>
                        </w:r>
                        <w:r>
                          <w:fldChar w:fldCharType="end"/>
                        </w:r>
                      </w:p>
                    </w:sdtContent>
                  </w:sdt>
                  <w:p>
                    <w:pPr>
                      <w:pStyle w:val="17"/>
                    </w:pPr>
                  </w:p>
                </w:txbxContent>
              </v:textbox>
            </v:shape>
          </w:pict>
        </mc:Fallback>
      </mc:AlternateContent>
    </w:r>
  </w:p>
  <w:p>
    <w:pPr>
      <w:pStyle w:val="3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2"/>
    <w:multiLevelType w:val="multilevel"/>
    <w:tmpl w:val="00000002"/>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07"/>
    <w:multiLevelType w:val="multilevel"/>
    <w:tmpl w:val="00000007"/>
    <w:lvl w:ilvl="0" w:tentative="0">
      <w:start w:val="1"/>
      <w:numFmt w:val="decimal"/>
      <w:suff w:val="nothing"/>
      <w:lvlText w:val="%1."/>
      <w:lvlJc w:val="left"/>
      <w:pPr>
        <w:ind w:left="1406"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8"/>
    <w:multiLevelType w:val="multilevel"/>
    <w:tmpl w:val="00000008"/>
    <w:lvl w:ilvl="0" w:tentative="0">
      <w:start w:val="1"/>
      <w:numFmt w:val="decimal"/>
      <w:suff w:val="nothing"/>
      <w:lvlText w:val="%1."/>
      <w:lvlJc w:val="left"/>
      <w:pPr>
        <w:ind w:left="42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5">
    <w:nsid w:val="0000000D"/>
    <w:multiLevelType w:val="multilevel"/>
    <w:tmpl w:val="0000000D"/>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11"/>
    <w:multiLevelType w:val="multilevel"/>
    <w:tmpl w:val="00000011"/>
    <w:lvl w:ilvl="0" w:tentative="0">
      <w:start w:val="1"/>
      <w:numFmt w:val="decimal"/>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0000013"/>
    <w:multiLevelType w:val="multilevel"/>
    <w:tmpl w:val="00000013"/>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9">
    <w:nsid w:val="00000014"/>
    <w:multiLevelType w:val="multilevel"/>
    <w:tmpl w:val="00000014"/>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90"/>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11">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2">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4" w:tentative="0">
      <w:start w:val="1"/>
      <w:numFmt w:val="decimal"/>
      <w:pStyle w:val="8"/>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9"/>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15">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6">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7">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9">
    <w:nsid w:val="0000002E"/>
    <w:multiLevelType w:val="multilevel"/>
    <w:tmpl w:val="0000002E"/>
    <w:lvl w:ilvl="0" w:tentative="0">
      <w:start w:val="1"/>
      <w:numFmt w:val="decimal"/>
      <w:pStyle w:val="4"/>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5"/>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6"/>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7"/>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20">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1">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2">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24">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26">
    <w:nsid w:val="0053208E"/>
    <w:multiLevelType w:val="multilevel"/>
    <w:tmpl w:val="0053208E"/>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7">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8">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9">
    <w:nsid w:val="0B7C44A9"/>
    <w:multiLevelType w:val="multilevel"/>
    <w:tmpl w:val="0B7C44A9"/>
    <w:lvl w:ilvl="0" w:tentative="0">
      <w:start w:val="1"/>
      <w:numFmt w:val="japaneseCounting"/>
      <w:lvlText w:val="%1、"/>
      <w:lvlJc w:val="left"/>
      <w:pPr>
        <w:ind w:left="1288" w:hanging="720"/>
      </w:pPr>
      <w:rPr>
        <w:rFonts w:hint="default"/>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30">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1">
    <w:nsid w:val="18D03E60"/>
    <w:multiLevelType w:val="singleLevel"/>
    <w:tmpl w:val="18D03E60"/>
    <w:lvl w:ilvl="0" w:tentative="0">
      <w:start w:val="6"/>
      <w:numFmt w:val="decimal"/>
      <w:suff w:val="nothing"/>
      <w:lvlText w:val="%1、"/>
      <w:lvlJc w:val="left"/>
    </w:lvl>
  </w:abstractNum>
  <w:abstractNum w:abstractNumId="32">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33">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34">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5">
    <w:nsid w:val="2B883668"/>
    <w:multiLevelType w:val="multilevel"/>
    <w:tmpl w:val="2B883668"/>
    <w:lvl w:ilvl="0" w:tentative="0">
      <w:start w:val="1"/>
      <w:numFmt w:val="chineseCountingThousand"/>
      <w:lvlText w:val="(%1)"/>
      <w:lvlJc w:val="left"/>
      <w:pPr>
        <w:ind w:left="2972"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2C5917C3"/>
    <w:multiLevelType w:val="multilevel"/>
    <w:tmpl w:val="2C5917C3"/>
    <w:lvl w:ilvl="0" w:tentative="0">
      <w:start w:val="1"/>
      <w:numFmt w:val="none"/>
      <w:pStyle w:val="156"/>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37">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8">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9">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0">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2">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3">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4">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5">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6">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7">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8">
    <w:nsid w:val="617229B6"/>
    <w:multiLevelType w:val="multilevel"/>
    <w:tmpl w:val="617229B6"/>
    <w:lvl w:ilvl="0" w:tentative="0">
      <w:start w:val="1"/>
      <w:numFmt w:val="chineseCountingThousand"/>
      <w:lvlText w:val="%1、"/>
      <w:lvlJc w:val="left"/>
      <w:pPr>
        <w:ind w:left="966" w:hanging="420"/>
      </w:pPr>
      <w:rPr>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9">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50">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1">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52">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53">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4">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5">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56">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9"/>
  </w:num>
  <w:num w:numId="2">
    <w:abstractNumId w:val="14"/>
  </w:num>
  <w:num w:numId="3">
    <w:abstractNumId w:val="41"/>
  </w:num>
  <w:num w:numId="4">
    <w:abstractNumId w:val="10"/>
  </w:num>
  <w:num w:numId="5">
    <w:abstractNumId w:val="3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6"/>
  </w:num>
  <w:num w:numId="52">
    <w:abstractNumId w:val="9"/>
  </w:num>
  <w:num w:numId="53">
    <w:abstractNumId w:val="8"/>
  </w:num>
  <w:num w:numId="54">
    <w:abstractNumId w:val="0"/>
  </w:num>
  <w:num w:numId="55">
    <w:abstractNumId w:val="5"/>
  </w:num>
  <w:num w:numId="56">
    <w:abstractNumId w:val="2"/>
  </w:num>
  <w:num w:numId="57">
    <w:abstractNumId w:val="3"/>
  </w:num>
  <w:num w:numId="58">
    <w:abstractNumId w:val="1"/>
  </w:num>
  <w:num w:numId="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D4"/>
    <w:rsid w:val="00001186"/>
    <w:rsid w:val="000014AD"/>
    <w:rsid w:val="00001B71"/>
    <w:rsid w:val="00005F22"/>
    <w:rsid w:val="000115D7"/>
    <w:rsid w:val="00012151"/>
    <w:rsid w:val="000141F6"/>
    <w:rsid w:val="000175B6"/>
    <w:rsid w:val="000243B4"/>
    <w:rsid w:val="00027377"/>
    <w:rsid w:val="00030E31"/>
    <w:rsid w:val="0003441E"/>
    <w:rsid w:val="00034B6E"/>
    <w:rsid w:val="000352C7"/>
    <w:rsid w:val="00037CCE"/>
    <w:rsid w:val="0004003F"/>
    <w:rsid w:val="000403DE"/>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53CE6"/>
    <w:rsid w:val="00155145"/>
    <w:rsid w:val="00163AF9"/>
    <w:rsid w:val="00167216"/>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D791A"/>
    <w:rsid w:val="001E2114"/>
    <w:rsid w:val="001E369C"/>
    <w:rsid w:val="001E3E2B"/>
    <w:rsid w:val="001F412D"/>
    <w:rsid w:val="001F5DE0"/>
    <w:rsid w:val="00200370"/>
    <w:rsid w:val="00201F03"/>
    <w:rsid w:val="002023C7"/>
    <w:rsid w:val="0020244C"/>
    <w:rsid w:val="00211279"/>
    <w:rsid w:val="00216EA3"/>
    <w:rsid w:val="002258B8"/>
    <w:rsid w:val="0023546D"/>
    <w:rsid w:val="002359E9"/>
    <w:rsid w:val="00236E6B"/>
    <w:rsid w:val="0024454D"/>
    <w:rsid w:val="00250119"/>
    <w:rsid w:val="00250F2D"/>
    <w:rsid w:val="0025426D"/>
    <w:rsid w:val="00257C0B"/>
    <w:rsid w:val="0026057E"/>
    <w:rsid w:val="00266214"/>
    <w:rsid w:val="00267499"/>
    <w:rsid w:val="00277630"/>
    <w:rsid w:val="00281AF2"/>
    <w:rsid w:val="0028299F"/>
    <w:rsid w:val="00287268"/>
    <w:rsid w:val="00290A5C"/>
    <w:rsid w:val="00290E1D"/>
    <w:rsid w:val="002923EA"/>
    <w:rsid w:val="0029432D"/>
    <w:rsid w:val="002A0908"/>
    <w:rsid w:val="002A0FC0"/>
    <w:rsid w:val="002A35F1"/>
    <w:rsid w:val="002A4E91"/>
    <w:rsid w:val="002A6C35"/>
    <w:rsid w:val="002A734D"/>
    <w:rsid w:val="002B1ABE"/>
    <w:rsid w:val="002B2470"/>
    <w:rsid w:val="002B3BBD"/>
    <w:rsid w:val="002B46A8"/>
    <w:rsid w:val="002B5F08"/>
    <w:rsid w:val="002B6C18"/>
    <w:rsid w:val="002B6FA3"/>
    <w:rsid w:val="002B729A"/>
    <w:rsid w:val="002B7FDA"/>
    <w:rsid w:val="002C022D"/>
    <w:rsid w:val="002C184B"/>
    <w:rsid w:val="002C397A"/>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344E"/>
    <w:rsid w:val="003A464B"/>
    <w:rsid w:val="003B254C"/>
    <w:rsid w:val="003B3D08"/>
    <w:rsid w:val="003B4E95"/>
    <w:rsid w:val="003C04C7"/>
    <w:rsid w:val="003C22B2"/>
    <w:rsid w:val="003C237F"/>
    <w:rsid w:val="003C2DEB"/>
    <w:rsid w:val="003D2F39"/>
    <w:rsid w:val="003E0EC4"/>
    <w:rsid w:val="003E439D"/>
    <w:rsid w:val="003E62C8"/>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64BF"/>
    <w:rsid w:val="00437153"/>
    <w:rsid w:val="004417D5"/>
    <w:rsid w:val="00444A4E"/>
    <w:rsid w:val="00450758"/>
    <w:rsid w:val="00451D9F"/>
    <w:rsid w:val="00452F16"/>
    <w:rsid w:val="004539B0"/>
    <w:rsid w:val="00453E3D"/>
    <w:rsid w:val="00454540"/>
    <w:rsid w:val="00454B38"/>
    <w:rsid w:val="00455E6A"/>
    <w:rsid w:val="00455ED6"/>
    <w:rsid w:val="00461D47"/>
    <w:rsid w:val="004642AB"/>
    <w:rsid w:val="00473B52"/>
    <w:rsid w:val="00480E1E"/>
    <w:rsid w:val="00481271"/>
    <w:rsid w:val="00482461"/>
    <w:rsid w:val="00485D6A"/>
    <w:rsid w:val="00486C7F"/>
    <w:rsid w:val="00490EB1"/>
    <w:rsid w:val="00492416"/>
    <w:rsid w:val="004937FB"/>
    <w:rsid w:val="00496BF2"/>
    <w:rsid w:val="004A33F2"/>
    <w:rsid w:val="004A46B7"/>
    <w:rsid w:val="004A7164"/>
    <w:rsid w:val="004B488F"/>
    <w:rsid w:val="004C0629"/>
    <w:rsid w:val="004C1903"/>
    <w:rsid w:val="004C21C1"/>
    <w:rsid w:val="004D1459"/>
    <w:rsid w:val="004D5161"/>
    <w:rsid w:val="004D51B2"/>
    <w:rsid w:val="004D57C1"/>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30EE6"/>
    <w:rsid w:val="0073298A"/>
    <w:rsid w:val="00740A2F"/>
    <w:rsid w:val="007477AD"/>
    <w:rsid w:val="0075057C"/>
    <w:rsid w:val="007513A7"/>
    <w:rsid w:val="00751480"/>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38AF"/>
    <w:rsid w:val="008F5E19"/>
    <w:rsid w:val="008F6FA3"/>
    <w:rsid w:val="009018B3"/>
    <w:rsid w:val="00901ECD"/>
    <w:rsid w:val="009035B3"/>
    <w:rsid w:val="00905839"/>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496E"/>
    <w:rsid w:val="009F6780"/>
    <w:rsid w:val="00A0119E"/>
    <w:rsid w:val="00A020EB"/>
    <w:rsid w:val="00A06B09"/>
    <w:rsid w:val="00A10B6D"/>
    <w:rsid w:val="00A1129D"/>
    <w:rsid w:val="00A1339A"/>
    <w:rsid w:val="00A146AB"/>
    <w:rsid w:val="00A1574E"/>
    <w:rsid w:val="00A16AA7"/>
    <w:rsid w:val="00A17799"/>
    <w:rsid w:val="00A2013E"/>
    <w:rsid w:val="00A21399"/>
    <w:rsid w:val="00A23726"/>
    <w:rsid w:val="00A25B6F"/>
    <w:rsid w:val="00A2615C"/>
    <w:rsid w:val="00A301C6"/>
    <w:rsid w:val="00A31667"/>
    <w:rsid w:val="00A3426A"/>
    <w:rsid w:val="00A35765"/>
    <w:rsid w:val="00A36E25"/>
    <w:rsid w:val="00A37352"/>
    <w:rsid w:val="00A37E17"/>
    <w:rsid w:val="00A420B4"/>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A09CA"/>
    <w:rsid w:val="00AA0E63"/>
    <w:rsid w:val="00AA408C"/>
    <w:rsid w:val="00AA5229"/>
    <w:rsid w:val="00AA660C"/>
    <w:rsid w:val="00AB1127"/>
    <w:rsid w:val="00AB2105"/>
    <w:rsid w:val="00AC5977"/>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24"/>
    <w:rsid w:val="00B572D0"/>
    <w:rsid w:val="00B668E1"/>
    <w:rsid w:val="00B673F4"/>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E19"/>
    <w:rsid w:val="00BC0A36"/>
    <w:rsid w:val="00BC541F"/>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DE9"/>
    <w:rsid w:val="00D44390"/>
    <w:rsid w:val="00D51B77"/>
    <w:rsid w:val="00D53F4E"/>
    <w:rsid w:val="00D547DC"/>
    <w:rsid w:val="00D55190"/>
    <w:rsid w:val="00D56AEA"/>
    <w:rsid w:val="00D60811"/>
    <w:rsid w:val="00D62941"/>
    <w:rsid w:val="00D6306E"/>
    <w:rsid w:val="00D64F14"/>
    <w:rsid w:val="00D65C74"/>
    <w:rsid w:val="00D66060"/>
    <w:rsid w:val="00D67E2D"/>
    <w:rsid w:val="00D73F77"/>
    <w:rsid w:val="00D75236"/>
    <w:rsid w:val="00D7670A"/>
    <w:rsid w:val="00D82056"/>
    <w:rsid w:val="00D8576D"/>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12BCD"/>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77CEA"/>
    <w:rsid w:val="00E803F1"/>
    <w:rsid w:val="00E80555"/>
    <w:rsid w:val="00E83A59"/>
    <w:rsid w:val="00E879F0"/>
    <w:rsid w:val="00E9016E"/>
    <w:rsid w:val="00E91619"/>
    <w:rsid w:val="00E942EE"/>
    <w:rsid w:val="00E95DED"/>
    <w:rsid w:val="00E967CD"/>
    <w:rsid w:val="00E96C70"/>
    <w:rsid w:val="00E97716"/>
    <w:rsid w:val="00EA21BC"/>
    <w:rsid w:val="00EA35CE"/>
    <w:rsid w:val="00EA478D"/>
    <w:rsid w:val="00EA55D7"/>
    <w:rsid w:val="00EB5195"/>
    <w:rsid w:val="00EB5D94"/>
    <w:rsid w:val="00EC0B24"/>
    <w:rsid w:val="00EC2852"/>
    <w:rsid w:val="00EC49FF"/>
    <w:rsid w:val="00EC66DD"/>
    <w:rsid w:val="00EC6CA9"/>
    <w:rsid w:val="00EC7450"/>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49D8"/>
    <w:rsid w:val="00F47CDF"/>
    <w:rsid w:val="00F50729"/>
    <w:rsid w:val="00F545BB"/>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0E08"/>
    <w:rsid w:val="00FC27FC"/>
    <w:rsid w:val="00FC3E65"/>
    <w:rsid w:val="00FC554B"/>
    <w:rsid w:val="00FC6936"/>
    <w:rsid w:val="00FC6C3D"/>
    <w:rsid w:val="00FD3A4B"/>
    <w:rsid w:val="00FD4714"/>
    <w:rsid w:val="00FD5FB7"/>
    <w:rsid w:val="00FD6888"/>
    <w:rsid w:val="00FD74A2"/>
    <w:rsid w:val="00FE02F4"/>
    <w:rsid w:val="00FE47B2"/>
    <w:rsid w:val="00FF72E9"/>
    <w:rsid w:val="00FF75D6"/>
    <w:rsid w:val="012974F9"/>
    <w:rsid w:val="014A07EF"/>
    <w:rsid w:val="01510107"/>
    <w:rsid w:val="01A3462D"/>
    <w:rsid w:val="01F01D5D"/>
    <w:rsid w:val="01F3478B"/>
    <w:rsid w:val="025A1558"/>
    <w:rsid w:val="02C80A75"/>
    <w:rsid w:val="02D00294"/>
    <w:rsid w:val="02EF5314"/>
    <w:rsid w:val="0307764D"/>
    <w:rsid w:val="032618EE"/>
    <w:rsid w:val="03A3137C"/>
    <w:rsid w:val="04782EAE"/>
    <w:rsid w:val="048316CE"/>
    <w:rsid w:val="04EC5C80"/>
    <w:rsid w:val="05AF2ACA"/>
    <w:rsid w:val="05DE044A"/>
    <w:rsid w:val="06185A63"/>
    <w:rsid w:val="06256515"/>
    <w:rsid w:val="06293C36"/>
    <w:rsid w:val="07112FE3"/>
    <w:rsid w:val="071601F4"/>
    <w:rsid w:val="073519BE"/>
    <w:rsid w:val="07790C43"/>
    <w:rsid w:val="07807AE4"/>
    <w:rsid w:val="07EF076F"/>
    <w:rsid w:val="08085727"/>
    <w:rsid w:val="085C47AA"/>
    <w:rsid w:val="08F07526"/>
    <w:rsid w:val="090617CA"/>
    <w:rsid w:val="0942071D"/>
    <w:rsid w:val="095B6B36"/>
    <w:rsid w:val="09BB458B"/>
    <w:rsid w:val="0A3D6332"/>
    <w:rsid w:val="0A437065"/>
    <w:rsid w:val="0A861419"/>
    <w:rsid w:val="0A925A6B"/>
    <w:rsid w:val="0AB028A8"/>
    <w:rsid w:val="0B517666"/>
    <w:rsid w:val="0B7C6A78"/>
    <w:rsid w:val="0B812686"/>
    <w:rsid w:val="0C4C4EF5"/>
    <w:rsid w:val="0C4D08FA"/>
    <w:rsid w:val="0CA74A63"/>
    <w:rsid w:val="0CBD29BF"/>
    <w:rsid w:val="0CC3219B"/>
    <w:rsid w:val="0D4C672F"/>
    <w:rsid w:val="0D551279"/>
    <w:rsid w:val="0D571992"/>
    <w:rsid w:val="0D790042"/>
    <w:rsid w:val="0DFB55F8"/>
    <w:rsid w:val="0E524049"/>
    <w:rsid w:val="0F052A46"/>
    <w:rsid w:val="0F372316"/>
    <w:rsid w:val="0F4D7585"/>
    <w:rsid w:val="0F61448E"/>
    <w:rsid w:val="0F725B2A"/>
    <w:rsid w:val="0FB55B87"/>
    <w:rsid w:val="10CB6B52"/>
    <w:rsid w:val="112C2BC4"/>
    <w:rsid w:val="11C23FFB"/>
    <w:rsid w:val="11CB744A"/>
    <w:rsid w:val="11D43417"/>
    <w:rsid w:val="11E3661B"/>
    <w:rsid w:val="12520EA9"/>
    <w:rsid w:val="12527D81"/>
    <w:rsid w:val="12DD05E9"/>
    <w:rsid w:val="13171902"/>
    <w:rsid w:val="13D5775E"/>
    <w:rsid w:val="13F00C50"/>
    <w:rsid w:val="141A18C2"/>
    <w:rsid w:val="14595F09"/>
    <w:rsid w:val="148804D9"/>
    <w:rsid w:val="14C71D9E"/>
    <w:rsid w:val="1557579A"/>
    <w:rsid w:val="15DF7533"/>
    <w:rsid w:val="160D6230"/>
    <w:rsid w:val="1629786C"/>
    <w:rsid w:val="16711C47"/>
    <w:rsid w:val="16C1427F"/>
    <w:rsid w:val="16EB2051"/>
    <w:rsid w:val="16FA502F"/>
    <w:rsid w:val="18571A9C"/>
    <w:rsid w:val="185F4DA3"/>
    <w:rsid w:val="1890497B"/>
    <w:rsid w:val="18CF4609"/>
    <w:rsid w:val="193A494B"/>
    <w:rsid w:val="1948620F"/>
    <w:rsid w:val="1A226432"/>
    <w:rsid w:val="1A6757A3"/>
    <w:rsid w:val="1ADC023B"/>
    <w:rsid w:val="1B403F8F"/>
    <w:rsid w:val="1BE611A3"/>
    <w:rsid w:val="1C2D664A"/>
    <w:rsid w:val="1C7E22CE"/>
    <w:rsid w:val="1CAA651A"/>
    <w:rsid w:val="1D257E50"/>
    <w:rsid w:val="1D3800E5"/>
    <w:rsid w:val="1D403C48"/>
    <w:rsid w:val="1D452F25"/>
    <w:rsid w:val="1D583F7D"/>
    <w:rsid w:val="1D611131"/>
    <w:rsid w:val="1D7A6A81"/>
    <w:rsid w:val="1DAA6120"/>
    <w:rsid w:val="1DDF2FFF"/>
    <w:rsid w:val="1DEF4C56"/>
    <w:rsid w:val="1E387C25"/>
    <w:rsid w:val="1EF6435A"/>
    <w:rsid w:val="1F1E5F5E"/>
    <w:rsid w:val="1F9832F2"/>
    <w:rsid w:val="1FB95088"/>
    <w:rsid w:val="1FD00954"/>
    <w:rsid w:val="1FE01983"/>
    <w:rsid w:val="1FEB336A"/>
    <w:rsid w:val="1FFA4FC1"/>
    <w:rsid w:val="20044367"/>
    <w:rsid w:val="200E353D"/>
    <w:rsid w:val="20364BEF"/>
    <w:rsid w:val="203E75BE"/>
    <w:rsid w:val="20582906"/>
    <w:rsid w:val="2088035E"/>
    <w:rsid w:val="20A023AD"/>
    <w:rsid w:val="20E30BCC"/>
    <w:rsid w:val="20E64162"/>
    <w:rsid w:val="20F9719D"/>
    <w:rsid w:val="21351420"/>
    <w:rsid w:val="21880993"/>
    <w:rsid w:val="229437B8"/>
    <w:rsid w:val="22B674D1"/>
    <w:rsid w:val="22B80418"/>
    <w:rsid w:val="23423E47"/>
    <w:rsid w:val="2354174D"/>
    <w:rsid w:val="23543BEC"/>
    <w:rsid w:val="237117AF"/>
    <w:rsid w:val="238B421A"/>
    <w:rsid w:val="23B919F7"/>
    <w:rsid w:val="24145213"/>
    <w:rsid w:val="24960018"/>
    <w:rsid w:val="24D67F55"/>
    <w:rsid w:val="25091FB5"/>
    <w:rsid w:val="256A42FE"/>
    <w:rsid w:val="256C7E2D"/>
    <w:rsid w:val="25A40EFC"/>
    <w:rsid w:val="25A56EBD"/>
    <w:rsid w:val="262527C8"/>
    <w:rsid w:val="263B28AE"/>
    <w:rsid w:val="264E6A0B"/>
    <w:rsid w:val="268D7491"/>
    <w:rsid w:val="26B87B7F"/>
    <w:rsid w:val="28181BD6"/>
    <w:rsid w:val="28193344"/>
    <w:rsid w:val="28E32F4E"/>
    <w:rsid w:val="28E5009D"/>
    <w:rsid w:val="28E76D2F"/>
    <w:rsid w:val="28F21F48"/>
    <w:rsid w:val="290736F4"/>
    <w:rsid w:val="29136292"/>
    <w:rsid w:val="29721EDE"/>
    <w:rsid w:val="29877E40"/>
    <w:rsid w:val="298D3E05"/>
    <w:rsid w:val="299670EE"/>
    <w:rsid w:val="29A47705"/>
    <w:rsid w:val="29BE2903"/>
    <w:rsid w:val="2A473FA1"/>
    <w:rsid w:val="2AF44AF1"/>
    <w:rsid w:val="2BB928F5"/>
    <w:rsid w:val="2BC9338B"/>
    <w:rsid w:val="2C4A65D1"/>
    <w:rsid w:val="2C5059A1"/>
    <w:rsid w:val="2D453A5B"/>
    <w:rsid w:val="2E2D7735"/>
    <w:rsid w:val="2FA62539"/>
    <w:rsid w:val="2FEA7D72"/>
    <w:rsid w:val="3039326B"/>
    <w:rsid w:val="30E9027C"/>
    <w:rsid w:val="313E24FD"/>
    <w:rsid w:val="31D91630"/>
    <w:rsid w:val="322C73BC"/>
    <w:rsid w:val="32B24E34"/>
    <w:rsid w:val="32D8461F"/>
    <w:rsid w:val="33A55E69"/>
    <w:rsid w:val="33ED2441"/>
    <w:rsid w:val="340B1548"/>
    <w:rsid w:val="34ED49E9"/>
    <w:rsid w:val="34F142DD"/>
    <w:rsid w:val="35CA7E96"/>
    <w:rsid w:val="36180A94"/>
    <w:rsid w:val="361E5607"/>
    <w:rsid w:val="37937A8E"/>
    <w:rsid w:val="385746C0"/>
    <w:rsid w:val="385C75F0"/>
    <w:rsid w:val="38601536"/>
    <w:rsid w:val="38720B73"/>
    <w:rsid w:val="38B74DEF"/>
    <w:rsid w:val="38C639A9"/>
    <w:rsid w:val="38DC3445"/>
    <w:rsid w:val="39037EDA"/>
    <w:rsid w:val="39483E2C"/>
    <w:rsid w:val="397309EF"/>
    <w:rsid w:val="397A571B"/>
    <w:rsid w:val="39AF0741"/>
    <w:rsid w:val="39BD4814"/>
    <w:rsid w:val="39D62B89"/>
    <w:rsid w:val="39DD1A15"/>
    <w:rsid w:val="3A1A462C"/>
    <w:rsid w:val="3A4D3081"/>
    <w:rsid w:val="3A81467B"/>
    <w:rsid w:val="3A9577F1"/>
    <w:rsid w:val="3AE141CF"/>
    <w:rsid w:val="3B024314"/>
    <w:rsid w:val="3B61768E"/>
    <w:rsid w:val="3B84694D"/>
    <w:rsid w:val="3C2D538F"/>
    <w:rsid w:val="3C6F585C"/>
    <w:rsid w:val="3CE16F6F"/>
    <w:rsid w:val="3CE70DD6"/>
    <w:rsid w:val="3D014545"/>
    <w:rsid w:val="3D6559AA"/>
    <w:rsid w:val="3E0969FA"/>
    <w:rsid w:val="3E6D7E3C"/>
    <w:rsid w:val="3EDD2583"/>
    <w:rsid w:val="3F3604AB"/>
    <w:rsid w:val="3FBF4D0A"/>
    <w:rsid w:val="400C2F6E"/>
    <w:rsid w:val="40650CB2"/>
    <w:rsid w:val="40995E46"/>
    <w:rsid w:val="40B76B0A"/>
    <w:rsid w:val="40C36DE4"/>
    <w:rsid w:val="412E6881"/>
    <w:rsid w:val="41370AAF"/>
    <w:rsid w:val="41476E3A"/>
    <w:rsid w:val="415F6CF4"/>
    <w:rsid w:val="419F5106"/>
    <w:rsid w:val="41D94F7A"/>
    <w:rsid w:val="41FD7722"/>
    <w:rsid w:val="42D01E9C"/>
    <w:rsid w:val="431F1E11"/>
    <w:rsid w:val="43273257"/>
    <w:rsid w:val="433F12C9"/>
    <w:rsid w:val="437C672E"/>
    <w:rsid w:val="43DC28F2"/>
    <w:rsid w:val="44A5589C"/>
    <w:rsid w:val="44C74FA1"/>
    <w:rsid w:val="451D09E8"/>
    <w:rsid w:val="455334A0"/>
    <w:rsid w:val="45B923A0"/>
    <w:rsid w:val="46611308"/>
    <w:rsid w:val="46887868"/>
    <w:rsid w:val="46A96339"/>
    <w:rsid w:val="478D5C50"/>
    <w:rsid w:val="479A31A6"/>
    <w:rsid w:val="480D5033"/>
    <w:rsid w:val="481562C8"/>
    <w:rsid w:val="485634D6"/>
    <w:rsid w:val="48F346C7"/>
    <w:rsid w:val="495F0769"/>
    <w:rsid w:val="49E80465"/>
    <w:rsid w:val="4A8B7BA0"/>
    <w:rsid w:val="4B1F4488"/>
    <w:rsid w:val="4B2231F6"/>
    <w:rsid w:val="4B374269"/>
    <w:rsid w:val="4B5E0A53"/>
    <w:rsid w:val="4B6742DE"/>
    <w:rsid w:val="4C0869CB"/>
    <w:rsid w:val="4C0D6DFC"/>
    <w:rsid w:val="4C2B7B24"/>
    <w:rsid w:val="4C7220E5"/>
    <w:rsid w:val="4CBE6908"/>
    <w:rsid w:val="4CC60AEB"/>
    <w:rsid w:val="4CDD74E4"/>
    <w:rsid w:val="4D0200A8"/>
    <w:rsid w:val="4DD9796D"/>
    <w:rsid w:val="4DFB10ED"/>
    <w:rsid w:val="4E05633B"/>
    <w:rsid w:val="4E8E7D8E"/>
    <w:rsid w:val="4EEA6B79"/>
    <w:rsid w:val="4F271BB1"/>
    <w:rsid w:val="4F2B5CB9"/>
    <w:rsid w:val="4F451C3A"/>
    <w:rsid w:val="4F640283"/>
    <w:rsid w:val="4FA32719"/>
    <w:rsid w:val="506F7F50"/>
    <w:rsid w:val="50783714"/>
    <w:rsid w:val="5087461C"/>
    <w:rsid w:val="50FE3E65"/>
    <w:rsid w:val="51165660"/>
    <w:rsid w:val="5136200B"/>
    <w:rsid w:val="516765C6"/>
    <w:rsid w:val="518A1511"/>
    <w:rsid w:val="51E56991"/>
    <w:rsid w:val="51FF4425"/>
    <w:rsid w:val="52AA1031"/>
    <w:rsid w:val="52E53D7A"/>
    <w:rsid w:val="53537EE4"/>
    <w:rsid w:val="53CE4DBB"/>
    <w:rsid w:val="53F531C3"/>
    <w:rsid w:val="54E657EC"/>
    <w:rsid w:val="55C06B8D"/>
    <w:rsid w:val="56656C6E"/>
    <w:rsid w:val="56757E07"/>
    <w:rsid w:val="56C51F1A"/>
    <w:rsid w:val="56F54B17"/>
    <w:rsid w:val="57604BCE"/>
    <w:rsid w:val="577065DF"/>
    <w:rsid w:val="5817319D"/>
    <w:rsid w:val="58275719"/>
    <w:rsid w:val="582C6F70"/>
    <w:rsid w:val="5859401C"/>
    <w:rsid w:val="586D488B"/>
    <w:rsid w:val="587821A8"/>
    <w:rsid w:val="587D57C7"/>
    <w:rsid w:val="58CB49AF"/>
    <w:rsid w:val="58DA0675"/>
    <w:rsid w:val="594F5FD9"/>
    <w:rsid w:val="595766ED"/>
    <w:rsid w:val="596D433A"/>
    <w:rsid w:val="59BC01DD"/>
    <w:rsid w:val="59DD3FE8"/>
    <w:rsid w:val="59FC594A"/>
    <w:rsid w:val="5A1422A6"/>
    <w:rsid w:val="5A2315F0"/>
    <w:rsid w:val="5A25397F"/>
    <w:rsid w:val="5A29118E"/>
    <w:rsid w:val="5A5A542E"/>
    <w:rsid w:val="5A5B1B5E"/>
    <w:rsid w:val="5AA9382E"/>
    <w:rsid w:val="5B704328"/>
    <w:rsid w:val="5BC7316F"/>
    <w:rsid w:val="5C036DA3"/>
    <w:rsid w:val="5C5159A1"/>
    <w:rsid w:val="5CC91BE5"/>
    <w:rsid w:val="5CF3140F"/>
    <w:rsid w:val="5D4B04E4"/>
    <w:rsid w:val="5DDE4CE1"/>
    <w:rsid w:val="5E3120FD"/>
    <w:rsid w:val="5E8B734D"/>
    <w:rsid w:val="5ED1160D"/>
    <w:rsid w:val="5EDD30EB"/>
    <w:rsid w:val="5EF1773E"/>
    <w:rsid w:val="6011535E"/>
    <w:rsid w:val="604A3234"/>
    <w:rsid w:val="60726849"/>
    <w:rsid w:val="60F62A30"/>
    <w:rsid w:val="60FD699C"/>
    <w:rsid w:val="613028BB"/>
    <w:rsid w:val="616921F2"/>
    <w:rsid w:val="61AA6B36"/>
    <w:rsid w:val="61F96DBA"/>
    <w:rsid w:val="622552FB"/>
    <w:rsid w:val="62695693"/>
    <w:rsid w:val="628D2E0C"/>
    <w:rsid w:val="6349433D"/>
    <w:rsid w:val="63EB49E5"/>
    <w:rsid w:val="643C0FC3"/>
    <w:rsid w:val="6456291D"/>
    <w:rsid w:val="649C5D28"/>
    <w:rsid w:val="64A81520"/>
    <w:rsid w:val="64AA7D25"/>
    <w:rsid w:val="64E64341"/>
    <w:rsid w:val="65410A0F"/>
    <w:rsid w:val="658B23DA"/>
    <w:rsid w:val="65AD2E12"/>
    <w:rsid w:val="65BA491F"/>
    <w:rsid w:val="66242A78"/>
    <w:rsid w:val="66336BDA"/>
    <w:rsid w:val="664064B9"/>
    <w:rsid w:val="66563C11"/>
    <w:rsid w:val="666B21AB"/>
    <w:rsid w:val="66CE05FC"/>
    <w:rsid w:val="670951B1"/>
    <w:rsid w:val="670B0E1A"/>
    <w:rsid w:val="67512AAD"/>
    <w:rsid w:val="67ED3F19"/>
    <w:rsid w:val="68393EA4"/>
    <w:rsid w:val="68526254"/>
    <w:rsid w:val="689E697E"/>
    <w:rsid w:val="689F2E7D"/>
    <w:rsid w:val="68EC3A77"/>
    <w:rsid w:val="69396744"/>
    <w:rsid w:val="6A020857"/>
    <w:rsid w:val="6A6013FF"/>
    <w:rsid w:val="6A68112B"/>
    <w:rsid w:val="6A9F77E2"/>
    <w:rsid w:val="6B0E47D0"/>
    <w:rsid w:val="6B1913A0"/>
    <w:rsid w:val="6B4C6789"/>
    <w:rsid w:val="6BC8310A"/>
    <w:rsid w:val="6C284192"/>
    <w:rsid w:val="6CFD501E"/>
    <w:rsid w:val="6DF539D5"/>
    <w:rsid w:val="6E3D45A7"/>
    <w:rsid w:val="6ED230D4"/>
    <w:rsid w:val="6EE0393E"/>
    <w:rsid w:val="6EF53FB2"/>
    <w:rsid w:val="6F00019E"/>
    <w:rsid w:val="6FDD00FC"/>
    <w:rsid w:val="6FFB1566"/>
    <w:rsid w:val="70476740"/>
    <w:rsid w:val="704D0DB7"/>
    <w:rsid w:val="706A6661"/>
    <w:rsid w:val="70CA4467"/>
    <w:rsid w:val="70DE1183"/>
    <w:rsid w:val="70E42EA3"/>
    <w:rsid w:val="71D71B60"/>
    <w:rsid w:val="72315C78"/>
    <w:rsid w:val="72A10BD3"/>
    <w:rsid w:val="7308273E"/>
    <w:rsid w:val="73E12A16"/>
    <w:rsid w:val="7476222D"/>
    <w:rsid w:val="74917FF7"/>
    <w:rsid w:val="74A53587"/>
    <w:rsid w:val="751D2C06"/>
    <w:rsid w:val="757760A3"/>
    <w:rsid w:val="75D275B3"/>
    <w:rsid w:val="761C33A6"/>
    <w:rsid w:val="766B3CCD"/>
    <w:rsid w:val="77487872"/>
    <w:rsid w:val="77553DC6"/>
    <w:rsid w:val="77BB7E1A"/>
    <w:rsid w:val="77F61571"/>
    <w:rsid w:val="78903436"/>
    <w:rsid w:val="79D15ABE"/>
    <w:rsid w:val="79DC6D34"/>
    <w:rsid w:val="79E8082E"/>
    <w:rsid w:val="7AA2309E"/>
    <w:rsid w:val="7ADA548E"/>
    <w:rsid w:val="7B195A4B"/>
    <w:rsid w:val="7B5320F0"/>
    <w:rsid w:val="7B7215C3"/>
    <w:rsid w:val="7B925FB1"/>
    <w:rsid w:val="7BB607CA"/>
    <w:rsid w:val="7C1612EB"/>
    <w:rsid w:val="7C1A3B9D"/>
    <w:rsid w:val="7CE73923"/>
    <w:rsid w:val="7D184D00"/>
    <w:rsid w:val="7D5116F8"/>
    <w:rsid w:val="7D7E17DC"/>
    <w:rsid w:val="7E1B22B1"/>
    <w:rsid w:val="7E446B64"/>
    <w:rsid w:val="7E646E8E"/>
    <w:rsid w:val="7EB0302C"/>
    <w:rsid w:val="7EE01986"/>
    <w:rsid w:val="7F4D4519"/>
    <w:rsid w:val="7F95698A"/>
    <w:rsid w:val="7FBB63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50"/>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5">
    <w:name w:val="heading 2"/>
    <w:basedOn w:val="1"/>
    <w:next w:val="1"/>
    <w:link w:val="51"/>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6">
    <w:name w:val="heading 3"/>
    <w:basedOn w:val="1"/>
    <w:next w:val="1"/>
    <w:link w:val="52"/>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7">
    <w:name w:val="heading 4"/>
    <w:basedOn w:val="1"/>
    <w:next w:val="1"/>
    <w:link w:val="53"/>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8">
    <w:name w:val="heading 5"/>
    <w:basedOn w:val="1"/>
    <w:next w:val="1"/>
    <w:link w:val="54"/>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9">
    <w:name w:val="heading 6"/>
    <w:basedOn w:val="1"/>
    <w:next w:val="1"/>
    <w:link w:val="55"/>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10">
    <w:name w:val="heading 7"/>
    <w:basedOn w:val="1"/>
    <w:next w:val="1"/>
    <w:link w:val="56"/>
    <w:semiHidden/>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1">
    <w:name w:val="heading 8"/>
    <w:basedOn w:val="1"/>
    <w:next w:val="1"/>
    <w:link w:val="57"/>
    <w:semiHidden/>
    <w:unhideWhenUsed/>
    <w:qFormat/>
    <w:uiPriority w:val="0"/>
    <w:pPr>
      <w:keepNext/>
      <w:keepLines/>
      <w:spacing w:before="240" w:after="64" w:line="314" w:lineRule="auto"/>
      <w:outlineLvl w:val="7"/>
    </w:pPr>
    <w:rPr>
      <w:rFonts w:ascii="Arial" w:hAnsi="Arial" w:eastAsia="黑体"/>
      <w:kern w:val="0"/>
      <w:sz w:val="24"/>
      <w:szCs w:val="24"/>
    </w:rPr>
  </w:style>
  <w:style w:type="paragraph" w:styleId="12">
    <w:name w:val="heading 9"/>
    <w:basedOn w:val="1"/>
    <w:next w:val="1"/>
    <w:link w:val="58"/>
    <w:semiHidden/>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3">
    <w:name w:val="Default Paragraph Font"/>
    <w:semiHidden/>
    <w:unhideWhenUsed/>
    <w:qFormat/>
    <w:uiPriority w:val="1"/>
  </w:style>
  <w:style w:type="table" w:default="1" w:styleId="4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3"/>
      </w:numPr>
      <w:tabs>
        <w:tab w:val="left" w:pos="0"/>
      </w:tabs>
      <w:spacing w:before="280" w:after="156" w:line="377" w:lineRule="auto"/>
      <w:outlineLvl w:val="4"/>
    </w:pPr>
    <w:rPr>
      <w:rFonts w:ascii="Arial" w:hAnsi="Arial" w:eastAsia="黑体"/>
      <w:b/>
      <w:kern w:val="0"/>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13">
    <w:name w:val="annotation subject"/>
    <w:basedOn w:val="14"/>
    <w:next w:val="14"/>
    <w:link w:val="75"/>
    <w:unhideWhenUsed/>
    <w:qFormat/>
    <w:uiPriority w:val="99"/>
    <w:rPr>
      <w:rFonts w:ascii="Calibri" w:hAnsi="Calibri"/>
      <w:b/>
      <w:bCs/>
      <w:kern w:val="2"/>
      <w:sz w:val="21"/>
      <w:szCs w:val="22"/>
    </w:rPr>
  </w:style>
  <w:style w:type="paragraph" w:styleId="14">
    <w:name w:val="annotation text"/>
    <w:basedOn w:val="1"/>
    <w:link w:val="61"/>
    <w:unhideWhenUsed/>
    <w:qFormat/>
    <w:uiPriority w:val="0"/>
    <w:pPr>
      <w:jc w:val="left"/>
    </w:pPr>
    <w:rPr>
      <w:rFonts w:ascii="Times New Roman" w:hAnsi="Times New Roman"/>
      <w:kern w:val="0"/>
      <w:sz w:val="18"/>
      <w:szCs w:val="18"/>
    </w:rPr>
  </w:style>
  <w:style w:type="paragraph" w:styleId="15">
    <w:name w:val="toc 7"/>
    <w:basedOn w:val="1"/>
    <w:next w:val="1"/>
    <w:unhideWhenUsed/>
    <w:qFormat/>
    <w:uiPriority w:val="0"/>
    <w:pPr>
      <w:ind w:left="2520" w:leftChars="1200"/>
    </w:pPr>
    <w:rPr>
      <w:rFonts w:ascii="Times New Roman" w:hAnsi="Times New Roman"/>
      <w:szCs w:val="24"/>
    </w:rPr>
  </w:style>
  <w:style w:type="paragraph" w:styleId="16">
    <w:name w:val="Body Text First Indent"/>
    <w:basedOn w:val="17"/>
    <w:link w:val="68"/>
    <w:unhideWhenUsed/>
    <w:qFormat/>
    <w:uiPriority w:val="0"/>
    <w:pPr>
      <w:ind w:firstLine="420" w:firstLineChars="100"/>
    </w:pPr>
    <w:rPr>
      <w:rFonts w:ascii="Times New Roman" w:hAnsi="Times New Roman"/>
      <w:kern w:val="0"/>
      <w:sz w:val="18"/>
      <w:szCs w:val="18"/>
    </w:rPr>
  </w:style>
  <w:style w:type="paragraph" w:styleId="17">
    <w:name w:val="Body Text"/>
    <w:basedOn w:val="1"/>
    <w:next w:val="1"/>
    <w:link w:val="185"/>
    <w:unhideWhenUsed/>
    <w:qFormat/>
    <w:uiPriority w:val="99"/>
    <w:pPr>
      <w:spacing w:after="120"/>
    </w:pPr>
  </w:style>
  <w:style w:type="paragraph" w:styleId="18">
    <w:name w:val="Normal Indent"/>
    <w:basedOn w:val="1"/>
    <w:link w:val="59"/>
    <w:unhideWhenUsed/>
    <w:qFormat/>
    <w:uiPriority w:val="0"/>
    <w:pPr>
      <w:spacing w:after="180" w:line="307" w:lineRule="auto"/>
      <w:ind w:firstLine="420"/>
    </w:pPr>
    <w:rPr>
      <w:rFonts w:asciiTheme="minorHAnsi" w:hAnsiTheme="minorHAnsi" w:eastAsiaTheme="minorEastAsia" w:cstheme="minorBidi"/>
    </w:rPr>
  </w:style>
  <w:style w:type="paragraph" w:styleId="19">
    <w:name w:val="caption"/>
    <w:basedOn w:val="1"/>
    <w:next w:val="1"/>
    <w:semiHidden/>
    <w:unhideWhenUsed/>
    <w:qFormat/>
    <w:uiPriority w:val="0"/>
    <w:pPr>
      <w:spacing w:before="152" w:after="160" w:line="360" w:lineRule="auto"/>
    </w:pPr>
    <w:rPr>
      <w:rFonts w:ascii="Arial" w:hAnsi="Arial" w:eastAsia="黑体" w:cs="Arial"/>
      <w:sz w:val="20"/>
      <w:szCs w:val="20"/>
    </w:rPr>
  </w:style>
  <w:style w:type="paragraph" w:styleId="20">
    <w:name w:val="Document Map"/>
    <w:basedOn w:val="1"/>
    <w:link w:val="73"/>
    <w:unhideWhenUsed/>
    <w:qFormat/>
    <w:uiPriority w:val="0"/>
    <w:pPr>
      <w:shd w:val="clear" w:color="auto" w:fill="000080"/>
    </w:pPr>
    <w:rPr>
      <w:rFonts w:ascii="Times New Roman" w:hAnsi="Times New Roman"/>
      <w:kern w:val="0"/>
      <w:sz w:val="18"/>
      <w:szCs w:val="18"/>
    </w:rPr>
  </w:style>
  <w:style w:type="paragraph" w:styleId="21">
    <w:name w:val="Body Text 3"/>
    <w:basedOn w:val="1"/>
    <w:link w:val="70"/>
    <w:unhideWhenUsed/>
    <w:qFormat/>
    <w:uiPriority w:val="0"/>
    <w:pPr>
      <w:jc w:val="center"/>
    </w:pPr>
    <w:rPr>
      <w:rFonts w:ascii="Times New Roman" w:hAnsi="Times New Roman" w:eastAsia="黑体"/>
      <w:sz w:val="44"/>
      <w:szCs w:val="24"/>
    </w:rPr>
  </w:style>
  <w:style w:type="paragraph" w:styleId="22">
    <w:name w:val="Body Text Indent"/>
    <w:basedOn w:val="1"/>
    <w:link w:val="65"/>
    <w:unhideWhenUsed/>
    <w:qFormat/>
    <w:uiPriority w:val="0"/>
    <w:pPr>
      <w:spacing w:after="120"/>
      <w:ind w:left="420" w:leftChars="200"/>
    </w:pPr>
    <w:rPr>
      <w:rFonts w:ascii="Times New Roman" w:hAnsi="Times New Roman"/>
      <w:kern w:val="0"/>
      <w:sz w:val="20"/>
      <w:szCs w:val="24"/>
    </w:rPr>
  </w:style>
  <w:style w:type="paragraph" w:styleId="23">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4">
    <w:name w:val="toc 5"/>
    <w:basedOn w:val="1"/>
    <w:next w:val="1"/>
    <w:unhideWhenUsed/>
    <w:qFormat/>
    <w:uiPriority w:val="0"/>
    <w:pPr>
      <w:ind w:left="1680" w:leftChars="800"/>
    </w:pPr>
    <w:rPr>
      <w:rFonts w:ascii="Times New Roman" w:hAnsi="Times New Roman"/>
      <w:sz w:val="18"/>
      <w:szCs w:val="18"/>
    </w:rPr>
  </w:style>
  <w:style w:type="paragraph" w:styleId="25">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6">
    <w:name w:val="Plain Text"/>
    <w:basedOn w:val="1"/>
    <w:next w:val="27"/>
    <w:link w:val="190"/>
    <w:unhideWhenUsed/>
    <w:qFormat/>
    <w:uiPriority w:val="0"/>
    <w:rPr>
      <w:rFonts w:ascii="宋体" w:hAnsi="Courier New"/>
      <w:kern w:val="0"/>
      <w:sz w:val="20"/>
      <w:szCs w:val="18"/>
    </w:rPr>
  </w:style>
  <w:style w:type="paragraph" w:styleId="27">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28">
    <w:name w:val="toc 8"/>
    <w:basedOn w:val="1"/>
    <w:next w:val="1"/>
    <w:unhideWhenUsed/>
    <w:qFormat/>
    <w:uiPriority w:val="0"/>
    <w:pPr>
      <w:ind w:left="2940" w:leftChars="1400"/>
    </w:pPr>
    <w:rPr>
      <w:rFonts w:ascii="Times New Roman" w:hAnsi="Times New Roman"/>
      <w:szCs w:val="24"/>
    </w:rPr>
  </w:style>
  <w:style w:type="paragraph" w:styleId="29">
    <w:name w:val="Date"/>
    <w:basedOn w:val="1"/>
    <w:next w:val="1"/>
    <w:link w:val="67"/>
    <w:unhideWhenUsed/>
    <w:qFormat/>
    <w:uiPriority w:val="0"/>
    <w:pPr>
      <w:ind w:left="100" w:leftChars="2500"/>
    </w:pPr>
    <w:rPr>
      <w:rFonts w:ascii="Times New Roman" w:hAnsi="Times New Roman"/>
      <w:kern w:val="0"/>
      <w:sz w:val="24"/>
      <w:szCs w:val="24"/>
    </w:rPr>
  </w:style>
  <w:style w:type="paragraph" w:styleId="30">
    <w:name w:val="Body Text Indent 2"/>
    <w:basedOn w:val="1"/>
    <w:link w:val="71"/>
    <w:unhideWhenUsed/>
    <w:qFormat/>
    <w:uiPriority w:val="0"/>
    <w:pPr>
      <w:spacing w:after="120" w:line="480" w:lineRule="auto"/>
      <w:ind w:left="420" w:leftChars="200"/>
    </w:pPr>
  </w:style>
  <w:style w:type="paragraph" w:styleId="31">
    <w:name w:val="Balloon Text"/>
    <w:basedOn w:val="1"/>
    <w:link w:val="76"/>
    <w:unhideWhenUsed/>
    <w:qFormat/>
    <w:uiPriority w:val="99"/>
    <w:rPr>
      <w:rFonts w:ascii="Times New Roman" w:hAnsi="Times New Roman"/>
      <w:kern w:val="0"/>
      <w:sz w:val="18"/>
      <w:szCs w:val="18"/>
    </w:rPr>
  </w:style>
  <w:style w:type="paragraph" w:styleId="32">
    <w:name w:val="footer"/>
    <w:basedOn w:val="1"/>
    <w:link w:val="63"/>
    <w:unhideWhenUsed/>
    <w:qFormat/>
    <w:uiPriority w:val="99"/>
    <w:pPr>
      <w:tabs>
        <w:tab w:val="center" w:pos="4153"/>
        <w:tab w:val="right" w:pos="8306"/>
      </w:tabs>
      <w:snapToGrid w:val="0"/>
      <w:jc w:val="left"/>
    </w:pPr>
    <w:rPr>
      <w:kern w:val="0"/>
      <w:sz w:val="18"/>
      <w:szCs w:val="18"/>
    </w:rPr>
  </w:style>
  <w:style w:type="paragraph" w:styleId="33">
    <w:name w:val="header"/>
    <w:basedOn w:val="1"/>
    <w:link w:val="6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4">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5">
    <w:name w:val="toc 4"/>
    <w:basedOn w:val="1"/>
    <w:next w:val="1"/>
    <w:unhideWhenUsed/>
    <w:qFormat/>
    <w:uiPriority w:val="0"/>
    <w:pPr>
      <w:ind w:left="1260" w:leftChars="600"/>
    </w:pPr>
    <w:rPr>
      <w:rFonts w:ascii="Times New Roman" w:hAnsi="Times New Roman"/>
      <w:sz w:val="18"/>
      <w:szCs w:val="18"/>
    </w:rPr>
  </w:style>
  <w:style w:type="paragraph" w:styleId="36">
    <w:name w:val="Subtitle"/>
    <w:basedOn w:val="1"/>
    <w:next w:val="1"/>
    <w:link w:val="66"/>
    <w:qFormat/>
    <w:uiPriority w:val="0"/>
    <w:pPr>
      <w:spacing w:before="240" w:after="60" w:line="312" w:lineRule="auto"/>
      <w:jc w:val="center"/>
      <w:outlineLvl w:val="1"/>
    </w:pPr>
    <w:rPr>
      <w:rFonts w:ascii="Cambria" w:hAnsi="Cambria"/>
      <w:b/>
      <w:bCs/>
      <w:kern w:val="28"/>
      <w:sz w:val="32"/>
      <w:szCs w:val="32"/>
    </w:rPr>
  </w:style>
  <w:style w:type="paragraph" w:styleId="37">
    <w:name w:val="footnote text"/>
    <w:basedOn w:val="1"/>
    <w:link w:val="60"/>
    <w:unhideWhenUsed/>
    <w:qFormat/>
    <w:uiPriority w:val="0"/>
    <w:pPr>
      <w:snapToGrid w:val="0"/>
      <w:jc w:val="left"/>
    </w:pPr>
    <w:rPr>
      <w:sz w:val="18"/>
      <w:szCs w:val="18"/>
    </w:rPr>
  </w:style>
  <w:style w:type="paragraph" w:styleId="38">
    <w:name w:val="toc 6"/>
    <w:basedOn w:val="1"/>
    <w:next w:val="1"/>
    <w:unhideWhenUsed/>
    <w:qFormat/>
    <w:uiPriority w:val="0"/>
    <w:pPr>
      <w:ind w:left="2100" w:leftChars="1000"/>
    </w:pPr>
    <w:rPr>
      <w:rFonts w:ascii="Times New Roman" w:hAnsi="Times New Roman"/>
      <w:szCs w:val="24"/>
    </w:rPr>
  </w:style>
  <w:style w:type="paragraph" w:styleId="39">
    <w:name w:val="Body Text Indent 3"/>
    <w:basedOn w:val="1"/>
    <w:link w:val="72"/>
    <w:unhideWhenUsed/>
    <w:qFormat/>
    <w:uiPriority w:val="0"/>
    <w:pPr>
      <w:spacing w:line="360" w:lineRule="auto"/>
      <w:ind w:left="153" w:leftChars="85" w:firstLine="560" w:firstLineChars="200"/>
    </w:pPr>
    <w:rPr>
      <w:rFonts w:ascii="宋体" w:hAnsi="宋体"/>
      <w:kern w:val="0"/>
      <w:sz w:val="28"/>
      <w:szCs w:val="28"/>
    </w:rPr>
  </w:style>
  <w:style w:type="paragraph" w:styleId="40">
    <w:name w:val="toc 9"/>
    <w:basedOn w:val="1"/>
    <w:next w:val="1"/>
    <w:unhideWhenUsed/>
    <w:qFormat/>
    <w:uiPriority w:val="0"/>
    <w:pPr>
      <w:ind w:left="3360" w:leftChars="1600"/>
    </w:pPr>
    <w:rPr>
      <w:rFonts w:ascii="Times New Roman" w:hAnsi="Times New Roman"/>
      <w:szCs w:val="24"/>
    </w:rPr>
  </w:style>
  <w:style w:type="paragraph" w:styleId="41">
    <w:name w:val="Body Text 2"/>
    <w:basedOn w:val="1"/>
    <w:link w:val="69"/>
    <w:unhideWhenUsed/>
    <w:qFormat/>
    <w:uiPriority w:val="0"/>
    <w:pPr>
      <w:spacing w:after="120" w:line="480" w:lineRule="auto"/>
    </w:pPr>
    <w:rPr>
      <w:rFonts w:ascii="Times New Roman" w:hAnsi="Times New Roman"/>
      <w:kern w:val="0"/>
      <w:sz w:val="18"/>
      <w:szCs w:val="18"/>
    </w:rPr>
  </w:style>
  <w:style w:type="paragraph" w:styleId="42">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character" w:styleId="44">
    <w:name w:val="FollowedHyperlink"/>
    <w:basedOn w:val="43"/>
    <w:unhideWhenUsed/>
    <w:qFormat/>
    <w:uiPriority w:val="99"/>
    <w:rPr>
      <w:color w:val="44B9E8" w:themeColor="followedHyperlink"/>
      <w:u w:val="single"/>
      <w14:textFill>
        <w14:solidFill>
          <w14:schemeClr w14:val="folHlink"/>
        </w14:solidFill>
      </w14:textFill>
    </w:rPr>
  </w:style>
  <w:style w:type="character" w:styleId="45">
    <w:name w:val="Hyperlink"/>
    <w:unhideWhenUsed/>
    <w:qFormat/>
    <w:uiPriority w:val="99"/>
    <w:rPr>
      <w:color w:val="0000FF"/>
      <w:u w:val="single"/>
    </w:rPr>
  </w:style>
  <w:style w:type="character" w:styleId="46">
    <w:name w:val="annotation reference"/>
    <w:unhideWhenUsed/>
    <w:qFormat/>
    <w:uiPriority w:val="0"/>
    <w:rPr>
      <w:sz w:val="21"/>
      <w:szCs w:val="21"/>
    </w:rPr>
  </w:style>
  <w:style w:type="character" w:styleId="47">
    <w:name w:val="footnote reference"/>
    <w:unhideWhenUsed/>
    <w:qFormat/>
    <w:uiPriority w:val="0"/>
    <w:rPr>
      <w:vertAlign w:val="superscript"/>
    </w:rPr>
  </w:style>
  <w:style w:type="table" w:styleId="49">
    <w:name w:val="Table Grid"/>
    <w:basedOn w:val="4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0">
    <w:name w:val="标题 1 Char"/>
    <w:basedOn w:val="43"/>
    <w:link w:val="4"/>
    <w:qFormat/>
    <w:uiPriority w:val="9"/>
    <w:rPr>
      <w:rFonts w:ascii="宋体" w:hAnsi="宋体" w:eastAsia="宋体" w:cs="宋体"/>
      <w:b/>
      <w:bCs/>
      <w:spacing w:val="-20"/>
      <w:kern w:val="44"/>
      <w:sz w:val="32"/>
      <w:szCs w:val="32"/>
    </w:rPr>
  </w:style>
  <w:style w:type="character" w:customStyle="1" w:styleId="51">
    <w:name w:val="标题 2 Char"/>
    <w:basedOn w:val="43"/>
    <w:link w:val="5"/>
    <w:qFormat/>
    <w:uiPriority w:val="0"/>
    <w:rPr>
      <w:rFonts w:ascii="宋体" w:hAnsi="宋体" w:eastAsia="宋体" w:cs="宋体"/>
      <w:b/>
      <w:bCs/>
      <w:sz w:val="28"/>
      <w:szCs w:val="28"/>
    </w:rPr>
  </w:style>
  <w:style w:type="character" w:customStyle="1" w:styleId="52">
    <w:name w:val="标题 3 Char"/>
    <w:basedOn w:val="43"/>
    <w:link w:val="6"/>
    <w:qFormat/>
    <w:uiPriority w:val="0"/>
    <w:rPr>
      <w:rFonts w:ascii="宋体" w:hAnsi="宋体" w:eastAsia="宋体" w:cs="宋体"/>
      <w:b/>
      <w:bCs/>
      <w:color w:val="000000"/>
      <w:kern w:val="0"/>
      <w:sz w:val="28"/>
      <w:szCs w:val="28"/>
    </w:rPr>
  </w:style>
  <w:style w:type="character" w:customStyle="1" w:styleId="53">
    <w:name w:val="标题 4 Char"/>
    <w:basedOn w:val="43"/>
    <w:link w:val="7"/>
    <w:qFormat/>
    <w:uiPriority w:val="0"/>
    <w:rPr>
      <w:rFonts w:ascii="Arial" w:hAnsi="Arial" w:eastAsia="宋体" w:cs="Times New Roman"/>
      <w:b/>
      <w:bCs/>
      <w:kern w:val="0"/>
      <w:sz w:val="28"/>
      <w:szCs w:val="28"/>
    </w:rPr>
  </w:style>
  <w:style w:type="character" w:customStyle="1" w:styleId="54">
    <w:name w:val="标题 5 Char"/>
    <w:basedOn w:val="43"/>
    <w:link w:val="8"/>
    <w:qFormat/>
    <w:uiPriority w:val="0"/>
    <w:rPr>
      <w:rFonts w:ascii="Calibri" w:hAnsi="Calibri" w:eastAsia="宋体" w:cs="宋体"/>
      <w:b/>
      <w:bCs/>
      <w:kern w:val="0"/>
      <w:sz w:val="28"/>
      <w:szCs w:val="28"/>
    </w:rPr>
  </w:style>
  <w:style w:type="character" w:customStyle="1" w:styleId="55">
    <w:name w:val="标题 6 Char"/>
    <w:basedOn w:val="43"/>
    <w:link w:val="9"/>
    <w:qFormat/>
    <w:uiPriority w:val="0"/>
    <w:rPr>
      <w:rFonts w:ascii="Arial" w:hAnsi="Arial" w:eastAsia="宋体" w:cs="Times New Roman"/>
      <w:b/>
      <w:bCs/>
      <w:kern w:val="0"/>
      <w:sz w:val="28"/>
      <w:szCs w:val="18"/>
    </w:rPr>
  </w:style>
  <w:style w:type="character" w:customStyle="1" w:styleId="56">
    <w:name w:val="标题 7 Char"/>
    <w:basedOn w:val="43"/>
    <w:link w:val="10"/>
    <w:semiHidden/>
    <w:qFormat/>
    <w:uiPriority w:val="0"/>
    <w:rPr>
      <w:rFonts w:ascii="Arial Narrow" w:hAnsi="Arial Narrow" w:eastAsia="宋体" w:cs="Times New Roman"/>
      <w:b/>
      <w:bCs/>
      <w:iCs/>
      <w:kern w:val="0"/>
      <w:sz w:val="20"/>
      <w:szCs w:val="24"/>
      <w:lang w:eastAsia="en-US"/>
    </w:rPr>
  </w:style>
  <w:style w:type="character" w:customStyle="1" w:styleId="57">
    <w:name w:val="标题 8 Char"/>
    <w:basedOn w:val="43"/>
    <w:link w:val="11"/>
    <w:semiHidden/>
    <w:qFormat/>
    <w:uiPriority w:val="0"/>
    <w:rPr>
      <w:rFonts w:ascii="Arial" w:hAnsi="Arial" w:eastAsia="黑体" w:cs="Times New Roman"/>
      <w:kern w:val="0"/>
      <w:sz w:val="24"/>
      <w:szCs w:val="24"/>
    </w:rPr>
  </w:style>
  <w:style w:type="character" w:customStyle="1" w:styleId="58">
    <w:name w:val="标题 9 Char"/>
    <w:basedOn w:val="43"/>
    <w:link w:val="12"/>
    <w:semiHidden/>
    <w:qFormat/>
    <w:uiPriority w:val="0"/>
    <w:rPr>
      <w:rFonts w:ascii="Arial" w:hAnsi="Arial" w:eastAsia="黑体" w:cs="Times New Roman"/>
      <w:kern w:val="0"/>
      <w:sz w:val="20"/>
      <w:szCs w:val="21"/>
    </w:rPr>
  </w:style>
  <w:style w:type="character" w:customStyle="1" w:styleId="59">
    <w:name w:val="正文缩进 Char1"/>
    <w:link w:val="18"/>
    <w:qFormat/>
    <w:locked/>
    <w:uiPriority w:val="0"/>
  </w:style>
  <w:style w:type="character" w:customStyle="1" w:styleId="60">
    <w:name w:val="脚注文本 Char"/>
    <w:basedOn w:val="43"/>
    <w:link w:val="37"/>
    <w:qFormat/>
    <w:uiPriority w:val="0"/>
    <w:rPr>
      <w:rFonts w:ascii="Calibri" w:hAnsi="Calibri" w:eastAsia="宋体" w:cs="Times New Roman"/>
      <w:sz w:val="18"/>
      <w:szCs w:val="18"/>
    </w:rPr>
  </w:style>
  <w:style w:type="character" w:customStyle="1" w:styleId="61">
    <w:name w:val="批注文字 Char"/>
    <w:basedOn w:val="43"/>
    <w:link w:val="14"/>
    <w:qFormat/>
    <w:uiPriority w:val="99"/>
    <w:rPr>
      <w:rFonts w:ascii="Times New Roman" w:hAnsi="Times New Roman" w:eastAsia="宋体" w:cs="Times New Roman"/>
      <w:kern w:val="0"/>
      <w:sz w:val="18"/>
      <w:szCs w:val="18"/>
    </w:rPr>
  </w:style>
  <w:style w:type="character" w:customStyle="1" w:styleId="62">
    <w:name w:val="页眉 Char"/>
    <w:basedOn w:val="43"/>
    <w:link w:val="33"/>
    <w:qFormat/>
    <w:uiPriority w:val="99"/>
    <w:rPr>
      <w:rFonts w:ascii="Calibri" w:hAnsi="Calibri" w:eastAsia="宋体" w:cs="Times New Roman"/>
      <w:kern w:val="0"/>
      <w:sz w:val="18"/>
      <w:szCs w:val="18"/>
    </w:rPr>
  </w:style>
  <w:style w:type="character" w:customStyle="1" w:styleId="63">
    <w:name w:val="页脚 Char"/>
    <w:basedOn w:val="43"/>
    <w:link w:val="32"/>
    <w:qFormat/>
    <w:uiPriority w:val="99"/>
    <w:rPr>
      <w:rFonts w:ascii="Calibri" w:hAnsi="Calibri" w:eastAsia="宋体" w:cs="Times New Roman"/>
      <w:kern w:val="0"/>
      <w:sz w:val="18"/>
      <w:szCs w:val="18"/>
    </w:rPr>
  </w:style>
  <w:style w:type="character" w:customStyle="1" w:styleId="64">
    <w:name w:val="正文文本 Char"/>
    <w:basedOn w:val="43"/>
    <w:qFormat/>
    <w:uiPriority w:val="0"/>
    <w:rPr>
      <w:rFonts w:ascii="Calibri" w:hAnsi="Calibri" w:eastAsia="宋体" w:cs="Times New Roman"/>
    </w:rPr>
  </w:style>
  <w:style w:type="character" w:customStyle="1" w:styleId="65">
    <w:name w:val="正文文本缩进 Char"/>
    <w:basedOn w:val="43"/>
    <w:link w:val="22"/>
    <w:qFormat/>
    <w:uiPriority w:val="0"/>
    <w:rPr>
      <w:rFonts w:ascii="Times New Roman" w:hAnsi="Times New Roman" w:eastAsia="宋体" w:cs="Times New Roman"/>
      <w:kern w:val="0"/>
      <w:sz w:val="20"/>
      <w:szCs w:val="24"/>
    </w:rPr>
  </w:style>
  <w:style w:type="character" w:customStyle="1" w:styleId="66">
    <w:name w:val="副标题 Char"/>
    <w:basedOn w:val="43"/>
    <w:link w:val="36"/>
    <w:qFormat/>
    <w:uiPriority w:val="0"/>
    <w:rPr>
      <w:rFonts w:ascii="Cambria" w:hAnsi="Cambria" w:eastAsia="宋体" w:cs="Times New Roman"/>
      <w:b/>
      <w:bCs/>
      <w:kern w:val="28"/>
      <w:sz w:val="32"/>
      <w:szCs w:val="32"/>
    </w:rPr>
  </w:style>
  <w:style w:type="character" w:customStyle="1" w:styleId="67">
    <w:name w:val="日期 Char"/>
    <w:basedOn w:val="43"/>
    <w:link w:val="29"/>
    <w:qFormat/>
    <w:uiPriority w:val="0"/>
    <w:rPr>
      <w:rFonts w:ascii="Times New Roman" w:hAnsi="Times New Roman" w:eastAsia="宋体" w:cs="Times New Roman"/>
      <w:kern w:val="0"/>
      <w:sz w:val="24"/>
      <w:szCs w:val="24"/>
    </w:rPr>
  </w:style>
  <w:style w:type="character" w:customStyle="1" w:styleId="68">
    <w:name w:val="正文首行缩进 Char"/>
    <w:basedOn w:val="64"/>
    <w:link w:val="16"/>
    <w:qFormat/>
    <w:uiPriority w:val="0"/>
    <w:rPr>
      <w:rFonts w:ascii="Times New Roman" w:hAnsi="Times New Roman" w:eastAsia="宋体" w:cs="Times New Roman"/>
      <w:kern w:val="0"/>
      <w:sz w:val="18"/>
      <w:szCs w:val="18"/>
    </w:rPr>
  </w:style>
  <w:style w:type="character" w:customStyle="1" w:styleId="69">
    <w:name w:val="正文文本 2 Char"/>
    <w:basedOn w:val="43"/>
    <w:link w:val="41"/>
    <w:qFormat/>
    <w:uiPriority w:val="0"/>
    <w:rPr>
      <w:rFonts w:ascii="Times New Roman" w:hAnsi="Times New Roman" w:eastAsia="宋体" w:cs="Times New Roman"/>
      <w:kern w:val="0"/>
      <w:sz w:val="18"/>
      <w:szCs w:val="18"/>
    </w:rPr>
  </w:style>
  <w:style w:type="character" w:customStyle="1" w:styleId="70">
    <w:name w:val="正文文本 3 Char"/>
    <w:basedOn w:val="43"/>
    <w:link w:val="21"/>
    <w:qFormat/>
    <w:uiPriority w:val="0"/>
    <w:rPr>
      <w:rFonts w:ascii="Times New Roman" w:hAnsi="Times New Roman" w:eastAsia="黑体" w:cs="Times New Roman"/>
      <w:sz w:val="44"/>
      <w:szCs w:val="24"/>
    </w:rPr>
  </w:style>
  <w:style w:type="character" w:customStyle="1" w:styleId="71">
    <w:name w:val="正文文本缩进 2 Char"/>
    <w:basedOn w:val="43"/>
    <w:link w:val="30"/>
    <w:qFormat/>
    <w:uiPriority w:val="0"/>
    <w:rPr>
      <w:rFonts w:ascii="Calibri" w:hAnsi="Calibri" w:eastAsia="宋体" w:cs="Times New Roman"/>
    </w:rPr>
  </w:style>
  <w:style w:type="character" w:customStyle="1" w:styleId="72">
    <w:name w:val="正文文本缩进 3 Char"/>
    <w:basedOn w:val="43"/>
    <w:link w:val="39"/>
    <w:qFormat/>
    <w:uiPriority w:val="0"/>
    <w:rPr>
      <w:rFonts w:ascii="宋体" w:hAnsi="宋体" w:eastAsia="宋体" w:cs="Times New Roman"/>
      <w:kern w:val="0"/>
      <w:sz w:val="28"/>
      <w:szCs w:val="28"/>
    </w:rPr>
  </w:style>
  <w:style w:type="character" w:customStyle="1" w:styleId="73">
    <w:name w:val="文档结构图 Char"/>
    <w:basedOn w:val="43"/>
    <w:link w:val="20"/>
    <w:qFormat/>
    <w:uiPriority w:val="0"/>
    <w:rPr>
      <w:rFonts w:ascii="Times New Roman" w:hAnsi="Times New Roman" w:eastAsia="宋体" w:cs="Times New Roman"/>
      <w:kern w:val="0"/>
      <w:sz w:val="18"/>
      <w:szCs w:val="18"/>
      <w:shd w:val="clear" w:color="auto" w:fill="000080"/>
    </w:rPr>
  </w:style>
  <w:style w:type="character" w:customStyle="1" w:styleId="74">
    <w:name w:val="纯文本 Char"/>
    <w:basedOn w:val="43"/>
    <w:qFormat/>
    <w:uiPriority w:val="0"/>
    <w:rPr>
      <w:rFonts w:ascii="宋体" w:hAnsi="Courier New" w:eastAsia="宋体" w:cs="Courier New"/>
      <w:szCs w:val="21"/>
    </w:rPr>
  </w:style>
  <w:style w:type="character" w:customStyle="1" w:styleId="75">
    <w:name w:val="批注主题 Char"/>
    <w:basedOn w:val="61"/>
    <w:link w:val="13"/>
    <w:qFormat/>
    <w:uiPriority w:val="99"/>
    <w:rPr>
      <w:rFonts w:ascii="Calibri" w:hAnsi="Calibri" w:eastAsia="宋体" w:cs="Times New Roman"/>
      <w:b/>
      <w:bCs/>
      <w:kern w:val="0"/>
      <w:sz w:val="18"/>
      <w:szCs w:val="18"/>
    </w:rPr>
  </w:style>
  <w:style w:type="character" w:customStyle="1" w:styleId="76">
    <w:name w:val="批注框文本 Char"/>
    <w:basedOn w:val="43"/>
    <w:link w:val="31"/>
    <w:qFormat/>
    <w:uiPriority w:val="99"/>
    <w:rPr>
      <w:rFonts w:ascii="Times New Roman" w:hAnsi="Times New Roman" w:eastAsia="宋体" w:cs="Times New Roman"/>
      <w:kern w:val="0"/>
      <w:sz w:val="18"/>
      <w:szCs w:val="18"/>
    </w:rPr>
  </w:style>
  <w:style w:type="paragraph" w:styleId="7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8">
    <w:name w:val="列出段落 Char"/>
    <w:link w:val="79"/>
    <w:qFormat/>
    <w:locked/>
    <w:uiPriority w:val="34"/>
    <w:rPr>
      <w:rFonts w:ascii="Calibri" w:hAnsi="Calibri"/>
    </w:rPr>
  </w:style>
  <w:style w:type="paragraph" w:styleId="79">
    <w:name w:val="List Paragraph"/>
    <w:basedOn w:val="1"/>
    <w:link w:val="78"/>
    <w:qFormat/>
    <w:uiPriority w:val="34"/>
    <w:pPr>
      <w:ind w:firstLine="420" w:firstLineChars="200"/>
    </w:pPr>
    <w:rPr>
      <w:rFonts w:eastAsiaTheme="minorEastAsia" w:cstheme="minorBidi"/>
    </w:rPr>
  </w:style>
  <w:style w:type="character" w:customStyle="1" w:styleId="80">
    <w:name w:val="彩色列表 - 强调文字颜色 1 Char"/>
    <w:link w:val="81"/>
    <w:qFormat/>
    <w:locked/>
    <w:uiPriority w:val="0"/>
    <w:rPr>
      <w:rFonts w:ascii="Calibri" w:hAnsi="Calibri"/>
    </w:rPr>
  </w:style>
  <w:style w:type="paragraph" w:customStyle="1" w:styleId="81">
    <w:name w:val="彩色列表 - 强调文字颜色 11"/>
    <w:basedOn w:val="1"/>
    <w:link w:val="80"/>
    <w:qFormat/>
    <w:uiPriority w:val="0"/>
    <w:pPr>
      <w:ind w:firstLine="420" w:firstLineChars="200"/>
    </w:pPr>
    <w:rPr>
      <w:rFonts w:eastAsiaTheme="minorEastAsia" w:cstheme="minorBidi"/>
    </w:rPr>
  </w:style>
  <w:style w:type="paragraph" w:customStyle="1" w:styleId="82">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3">
    <w:name w:val="MM Title"/>
    <w:basedOn w:val="1"/>
    <w:qFormat/>
    <w:uiPriority w:val="0"/>
    <w:pPr>
      <w:spacing w:before="240" w:after="60"/>
      <w:jc w:val="center"/>
      <w:outlineLvl w:val="0"/>
    </w:pPr>
    <w:rPr>
      <w:rFonts w:ascii="Arial" w:hAnsi="Arial" w:cs="Arial"/>
      <w:b/>
      <w:bCs/>
      <w:sz w:val="32"/>
      <w:szCs w:val="32"/>
    </w:rPr>
  </w:style>
  <w:style w:type="paragraph" w:customStyle="1" w:styleId="84">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5">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6">
    <w:name w:val="gb_master正文"/>
    <w:basedOn w:val="1"/>
    <w:qFormat/>
    <w:uiPriority w:val="0"/>
    <w:pPr>
      <w:ind w:firstLine="200" w:firstLineChars="200"/>
    </w:pPr>
    <w:rPr>
      <w:rFonts w:ascii="Times New Roman" w:hAnsi="Times New Roman"/>
      <w:szCs w:val="24"/>
    </w:rPr>
  </w:style>
  <w:style w:type="paragraph" w:customStyle="1" w:styleId="87">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8">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9">
    <w:name w:val="Char2 Char Char Char"/>
    <w:basedOn w:val="1"/>
    <w:qFormat/>
    <w:uiPriority w:val="0"/>
    <w:rPr>
      <w:rFonts w:ascii="仿宋_GB2312" w:hAnsi="Times New Roman"/>
      <w:b/>
      <w:sz w:val="30"/>
      <w:szCs w:val="32"/>
    </w:rPr>
  </w:style>
  <w:style w:type="paragraph" w:customStyle="1" w:styleId="90">
    <w:name w:val="样式 样式 样式 标题 2 + 宋体 五号 非加粗 黑色 + 段前: 6 磅 段后: 0 磅 行距: 单倍行距 + 段前: 12..."/>
    <w:basedOn w:val="1"/>
    <w:qFormat/>
    <w:uiPriority w:val="0"/>
    <w:pPr>
      <w:keepNext/>
      <w:keepLines/>
      <w:numPr>
        <w:ilvl w:val="1"/>
        <w:numId w:val="4"/>
      </w:numPr>
      <w:adjustRightInd w:val="0"/>
      <w:spacing w:before="240"/>
      <w:jc w:val="left"/>
      <w:outlineLvl w:val="1"/>
    </w:pPr>
    <w:rPr>
      <w:rFonts w:ascii="宋体" w:hAnsi="宋体" w:cs="宋体"/>
      <w:color w:val="000000"/>
      <w:kern w:val="0"/>
      <w:szCs w:val="20"/>
    </w:rPr>
  </w:style>
  <w:style w:type="paragraph" w:customStyle="1" w:styleId="9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2">
    <w:name w:val="默认段落字体 Para Char"/>
    <w:basedOn w:val="1"/>
    <w:qFormat/>
    <w:uiPriority w:val="0"/>
    <w:rPr>
      <w:rFonts w:ascii="Tahoma" w:hAnsi="Tahoma"/>
      <w:sz w:val="24"/>
      <w:szCs w:val="20"/>
    </w:rPr>
  </w:style>
  <w:style w:type="paragraph" w:customStyle="1" w:styleId="93">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4">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5">
    <w:name w:val="样式 正文缩进 + (中文) 仿宋_GB2312 小四 Char"/>
    <w:basedOn w:val="18"/>
    <w:qFormat/>
    <w:uiPriority w:val="0"/>
    <w:pPr>
      <w:spacing w:after="0" w:line="360" w:lineRule="auto"/>
      <w:ind w:firstLine="480" w:firstLineChars="200"/>
    </w:pPr>
    <w:rPr>
      <w:rFonts w:ascii="宋体" w:hAnsi="宋体"/>
      <w:sz w:val="24"/>
      <w:szCs w:val="24"/>
    </w:rPr>
  </w:style>
  <w:style w:type="paragraph" w:customStyle="1" w:styleId="96">
    <w:name w:val="表格文字"/>
    <w:basedOn w:val="1"/>
    <w:qFormat/>
    <w:uiPriority w:val="0"/>
    <w:pPr>
      <w:spacing w:beforeLines="25"/>
    </w:pPr>
    <w:rPr>
      <w:rFonts w:ascii="Times New (W1)" w:hAnsi="Times New (W1)"/>
      <w:spacing w:val="10"/>
      <w:szCs w:val="24"/>
    </w:rPr>
  </w:style>
  <w:style w:type="paragraph" w:customStyle="1" w:styleId="97">
    <w:name w:val="文章正文"/>
    <w:basedOn w:val="1"/>
    <w:qFormat/>
    <w:uiPriority w:val="0"/>
    <w:pPr>
      <w:spacing w:line="360" w:lineRule="auto"/>
      <w:ind w:firstLine="420"/>
    </w:pPr>
    <w:rPr>
      <w:rFonts w:ascii="Times New Roman" w:hAnsi="Times New Roman"/>
      <w:sz w:val="24"/>
      <w:szCs w:val="24"/>
    </w:rPr>
  </w:style>
  <w:style w:type="paragraph" w:customStyle="1" w:styleId="98">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9">
    <w:name w:val="默认段落字体 Para Char Char"/>
    <w:basedOn w:val="1"/>
    <w:qFormat/>
    <w:uiPriority w:val="0"/>
    <w:rPr>
      <w:rFonts w:ascii="Times New Roman" w:hAnsi="Times New Roman"/>
      <w:szCs w:val="24"/>
    </w:rPr>
  </w:style>
  <w:style w:type="paragraph" w:customStyle="1" w:styleId="100">
    <w:name w:val="MM Topic 6"/>
    <w:basedOn w:val="9"/>
    <w:qFormat/>
    <w:uiPriority w:val="0"/>
    <w:pPr>
      <w:tabs>
        <w:tab w:val="left" w:pos="3260"/>
        <w:tab w:val="clear" w:pos="1702"/>
      </w:tabs>
      <w:ind w:left="0" w:firstLine="0"/>
    </w:pPr>
    <w:rPr>
      <w:rFonts w:eastAsia="黑体"/>
    </w:rPr>
  </w:style>
  <w:style w:type="paragraph" w:customStyle="1" w:styleId="101">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2">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3">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4">
    <w:name w:val="标题 5 + 首行缩进:  2 字符"/>
    <w:basedOn w:val="8"/>
    <w:next w:val="22"/>
    <w:qFormat/>
    <w:uiPriority w:val="0"/>
    <w:pPr>
      <w:tabs>
        <w:tab w:val="left" w:pos="992"/>
        <w:tab w:val="clear" w:pos="1134"/>
      </w:tabs>
      <w:snapToGrid w:val="0"/>
      <w:spacing w:beforeLines="50" w:afterLines="50"/>
      <w:ind w:left="3570" w:firstLine="482" w:firstLineChars="200"/>
    </w:pPr>
    <w:rPr>
      <w:rFonts w:cs="Times New Roman"/>
      <w:color w:val="000000"/>
      <w:szCs w:val="20"/>
    </w:rPr>
  </w:style>
  <w:style w:type="paragraph" w:customStyle="1" w:styleId="105">
    <w:name w:val="Char2 Char Char Char Char Char Char"/>
    <w:basedOn w:val="1"/>
    <w:qFormat/>
    <w:uiPriority w:val="0"/>
    <w:rPr>
      <w:rFonts w:ascii="仿宋_GB2312" w:hAnsi="Times New Roman"/>
      <w:b/>
      <w:sz w:val="30"/>
      <w:szCs w:val="32"/>
    </w:rPr>
  </w:style>
  <w:style w:type="paragraph" w:customStyle="1" w:styleId="106">
    <w:name w:val="MM Topic 2"/>
    <w:basedOn w:val="5"/>
    <w:qFormat/>
    <w:uiPriority w:val="0"/>
    <w:pPr>
      <w:numPr>
        <w:ilvl w:val="0"/>
        <w:numId w:val="0"/>
      </w:numPr>
      <w:tabs>
        <w:tab w:val="left" w:pos="992"/>
      </w:tabs>
    </w:pPr>
    <w:rPr>
      <w:rFonts w:cs="Times New Roman"/>
    </w:rPr>
  </w:style>
  <w:style w:type="paragraph" w:customStyle="1" w:styleId="107">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8">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9">
    <w:name w:val="MM Topic 8"/>
    <w:basedOn w:val="11"/>
    <w:qFormat/>
    <w:uiPriority w:val="0"/>
    <w:pPr>
      <w:tabs>
        <w:tab w:val="left" w:pos="4394"/>
      </w:tabs>
    </w:pPr>
  </w:style>
  <w:style w:type="paragraph" w:customStyle="1" w:styleId="110">
    <w:name w:val="Char1 Char Char Char Char Char Char"/>
    <w:basedOn w:val="1"/>
    <w:qFormat/>
    <w:uiPriority w:val="0"/>
    <w:rPr>
      <w:rFonts w:ascii="Tahoma" w:hAnsi="Tahoma"/>
      <w:sz w:val="24"/>
      <w:szCs w:val="20"/>
    </w:rPr>
  </w:style>
  <w:style w:type="paragraph" w:customStyle="1" w:styleId="111">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2">
    <w:name w:val="样式 小四2"/>
    <w:basedOn w:val="1"/>
    <w:qFormat/>
    <w:uiPriority w:val="0"/>
    <w:rPr>
      <w:rFonts w:ascii="宋体" w:hAnsi="宋体"/>
      <w:sz w:val="24"/>
      <w:szCs w:val="24"/>
    </w:rPr>
  </w:style>
  <w:style w:type="paragraph" w:customStyle="1" w:styleId="113">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4">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5">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6">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7">
    <w:name w:val="文章正文 Char Char1"/>
    <w:basedOn w:val="1"/>
    <w:qFormat/>
    <w:uiPriority w:val="0"/>
    <w:pPr>
      <w:spacing w:line="360" w:lineRule="auto"/>
      <w:ind w:firstLine="420"/>
    </w:pPr>
    <w:rPr>
      <w:rFonts w:ascii="Times New Roman" w:hAnsi="Times New Roman"/>
      <w:sz w:val="24"/>
      <w:szCs w:val="24"/>
    </w:rPr>
  </w:style>
  <w:style w:type="paragraph" w:customStyle="1" w:styleId="118">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9">
    <w:name w:val="样式"/>
    <w:link w:val="223"/>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0">
    <w:name w:val="图"/>
    <w:basedOn w:val="1"/>
    <w:qFormat/>
    <w:uiPriority w:val="0"/>
    <w:pPr>
      <w:widowControl/>
      <w:adjustRightInd w:val="0"/>
      <w:snapToGrid w:val="0"/>
      <w:jc w:val="center"/>
    </w:pPr>
    <w:rPr>
      <w:rFonts w:ascii="宋体" w:hAnsi="宋体"/>
      <w:bCs/>
      <w:szCs w:val="24"/>
    </w:rPr>
  </w:style>
  <w:style w:type="paragraph" w:customStyle="1" w:styleId="121">
    <w:name w:val="Char1 Char Char Char Char Char Char1"/>
    <w:basedOn w:val="1"/>
    <w:qFormat/>
    <w:uiPriority w:val="0"/>
    <w:rPr>
      <w:rFonts w:ascii="Tahoma" w:hAnsi="Tahoma"/>
      <w:sz w:val="24"/>
      <w:szCs w:val="20"/>
    </w:rPr>
  </w:style>
  <w:style w:type="paragraph" w:customStyle="1" w:styleId="122">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3">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4">
    <w:name w:val="MM Topic 1"/>
    <w:basedOn w:val="4"/>
    <w:qFormat/>
    <w:uiPriority w:val="0"/>
    <w:pPr>
      <w:tabs>
        <w:tab w:val="left" w:pos="425"/>
      </w:tabs>
    </w:pPr>
    <w:rPr>
      <w:rFonts w:cs="Times New Roman"/>
      <w:sz w:val="44"/>
    </w:rPr>
  </w:style>
  <w:style w:type="paragraph" w:customStyle="1" w:styleId="125">
    <w:name w:val="样式 标题 5 + 倾斜"/>
    <w:basedOn w:val="8"/>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6">
    <w:name w:val="我的正文"/>
    <w:basedOn w:val="1"/>
    <w:qFormat/>
    <w:uiPriority w:val="0"/>
    <w:pPr>
      <w:spacing w:line="360" w:lineRule="auto"/>
      <w:ind w:firstLine="420" w:firstLineChars="200"/>
    </w:pPr>
    <w:rPr>
      <w:rFonts w:ascii="宋体" w:hAnsi="宋体"/>
      <w:szCs w:val="24"/>
    </w:rPr>
  </w:style>
  <w:style w:type="paragraph" w:customStyle="1" w:styleId="127">
    <w:name w:val="MM Topic 7"/>
    <w:basedOn w:val="10"/>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8">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9">
    <w:name w:val="样式 标题 3 + (西文) 仿宋_GB2312 (中文) 仿宋_GB2312 四号"/>
    <w:basedOn w:val="6"/>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30">
    <w:name w:val="论文正文"/>
    <w:basedOn w:val="1"/>
    <w:qFormat/>
    <w:uiPriority w:val="0"/>
    <w:pPr>
      <w:spacing w:line="360" w:lineRule="auto"/>
      <w:ind w:firstLine="700" w:firstLineChars="250"/>
    </w:pPr>
    <w:rPr>
      <w:rFonts w:ascii="宋体" w:hAnsi="宋体"/>
      <w:bCs/>
      <w:sz w:val="28"/>
      <w:szCs w:val="28"/>
    </w:rPr>
  </w:style>
  <w:style w:type="paragraph" w:customStyle="1" w:styleId="131">
    <w:name w:val="样式1"/>
    <w:basedOn w:val="1"/>
    <w:qFormat/>
    <w:uiPriority w:val="0"/>
    <w:rPr>
      <w:rFonts w:ascii="Times New Roman" w:hAnsi="Times New Roman" w:eastAsia="隶书"/>
      <w:i/>
      <w:dstrike/>
      <w:sz w:val="28"/>
      <w:szCs w:val="18"/>
    </w:rPr>
  </w:style>
  <w:style w:type="paragraph" w:customStyle="1" w:styleId="132">
    <w:name w:val="表格"/>
    <w:basedOn w:val="1"/>
    <w:qFormat/>
    <w:uiPriority w:val="0"/>
    <w:pPr>
      <w:spacing w:line="400" w:lineRule="exact"/>
    </w:pPr>
    <w:rPr>
      <w:rFonts w:ascii="Times New Roman" w:hAnsi="Times New Roman"/>
      <w:sz w:val="24"/>
      <w:szCs w:val="24"/>
    </w:rPr>
  </w:style>
  <w:style w:type="paragraph" w:customStyle="1" w:styleId="133">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4">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5">
    <w:name w:val="Char Char Char Char Char Char Char Char Char Char Char Char Char"/>
    <w:basedOn w:val="20"/>
    <w:qFormat/>
    <w:uiPriority w:val="0"/>
    <w:rPr>
      <w:rFonts w:ascii="Tahoma" w:hAnsi="Tahoma"/>
      <w:sz w:val="24"/>
      <w:szCs w:val="24"/>
    </w:rPr>
  </w:style>
  <w:style w:type="paragraph" w:customStyle="1" w:styleId="136">
    <w:name w:val="MM Topic 3"/>
    <w:basedOn w:val="6"/>
    <w:qFormat/>
    <w:uiPriority w:val="0"/>
    <w:pPr>
      <w:numPr>
        <w:ilvl w:val="0"/>
        <w:numId w:val="0"/>
      </w:numPr>
      <w:tabs>
        <w:tab w:val="left" w:pos="1418"/>
      </w:tabs>
    </w:pPr>
    <w:rPr>
      <w:rFonts w:cs="Times New Roman"/>
    </w:rPr>
  </w:style>
  <w:style w:type="paragraph" w:customStyle="1" w:styleId="137">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8">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9">
    <w:name w:val="Char Char Char Char"/>
    <w:basedOn w:val="1"/>
    <w:qFormat/>
    <w:uiPriority w:val="0"/>
    <w:rPr>
      <w:rFonts w:ascii="Tahoma" w:hAnsi="Tahoma"/>
      <w:sz w:val="24"/>
      <w:szCs w:val="20"/>
    </w:rPr>
  </w:style>
  <w:style w:type="paragraph" w:customStyle="1" w:styleId="140">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1">
    <w:name w:val="MM Topic 9"/>
    <w:basedOn w:val="12"/>
    <w:qFormat/>
    <w:uiPriority w:val="0"/>
    <w:pPr>
      <w:tabs>
        <w:tab w:val="left" w:pos="5102"/>
      </w:tabs>
    </w:pPr>
  </w:style>
  <w:style w:type="paragraph" w:customStyle="1" w:styleId="142">
    <w:name w:val="MM Topic 5"/>
    <w:basedOn w:val="8"/>
    <w:qFormat/>
    <w:uiPriority w:val="0"/>
    <w:pPr>
      <w:tabs>
        <w:tab w:val="left" w:pos="2551"/>
        <w:tab w:val="clear" w:pos="1134"/>
        <w:tab w:val="clear" w:pos="1560"/>
      </w:tabs>
      <w:ind w:left="0" w:firstLine="0"/>
    </w:pPr>
    <w:rPr>
      <w:rFonts w:cs="Times New Roman"/>
    </w:rPr>
  </w:style>
  <w:style w:type="paragraph" w:customStyle="1" w:styleId="143">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4">
    <w:name w:val="MM Topic 4"/>
    <w:basedOn w:val="7"/>
    <w:qFormat/>
    <w:uiPriority w:val="0"/>
    <w:pPr>
      <w:tabs>
        <w:tab w:val="left" w:pos="1984"/>
      </w:tabs>
      <w:ind w:left="0" w:firstLine="0"/>
    </w:pPr>
  </w:style>
  <w:style w:type="paragraph" w:customStyle="1" w:styleId="14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6">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7">
    <w:name w:val="样式 标题 2H2第一章 标题 2Heading 2 HiddenHeading 2 CCBSheading 2h2..."/>
    <w:basedOn w:val="5"/>
    <w:qFormat/>
    <w:uiPriority w:val="0"/>
    <w:pPr>
      <w:tabs>
        <w:tab w:val="left" w:pos="-2493"/>
      </w:tabs>
    </w:pPr>
    <w:rPr>
      <w:rFonts w:cs="Times New Roman"/>
      <w:szCs w:val="20"/>
    </w:rPr>
  </w:style>
  <w:style w:type="paragraph" w:customStyle="1" w:styleId="148">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9">
    <w:name w:val="列出段落2"/>
    <w:basedOn w:val="1"/>
    <w:qFormat/>
    <w:uiPriority w:val="0"/>
    <w:pPr>
      <w:ind w:firstLine="420" w:firstLineChars="200"/>
    </w:pPr>
  </w:style>
  <w:style w:type="paragraph" w:customStyle="1" w:styleId="150">
    <w:name w:val="列出段落4"/>
    <w:basedOn w:val="1"/>
    <w:qFormat/>
    <w:uiPriority w:val="34"/>
    <w:pPr>
      <w:ind w:firstLine="420" w:firstLineChars="200"/>
    </w:pPr>
    <w:rPr>
      <w:rFonts w:ascii="Times New Roman" w:hAnsi="Times New Roman"/>
      <w:szCs w:val="24"/>
    </w:rPr>
  </w:style>
  <w:style w:type="paragraph" w:customStyle="1" w:styleId="151">
    <w:name w:val="列出段落1"/>
    <w:basedOn w:val="1"/>
    <w:qFormat/>
    <w:uiPriority w:val="0"/>
    <w:pPr>
      <w:ind w:firstLine="420" w:firstLineChars="200"/>
    </w:pPr>
  </w:style>
  <w:style w:type="paragraph" w:customStyle="1" w:styleId="152">
    <w:name w:val="修订1"/>
    <w:qFormat/>
    <w:uiPriority w:val="99"/>
    <w:rPr>
      <w:rFonts w:ascii="Calibri" w:hAnsi="Calibri" w:eastAsia="宋体" w:cs="Times New Roman"/>
      <w:kern w:val="2"/>
      <w:sz w:val="21"/>
      <w:szCs w:val="22"/>
      <w:lang w:val="en-US" w:eastAsia="zh-CN" w:bidi="ar-SA"/>
    </w:rPr>
  </w:style>
  <w:style w:type="paragraph" w:customStyle="1" w:styleId="153">
    <w:name w:val="彩色列表 - 强调文字颜色 12"/>
    <w:basedOn w:val="1"/>
    <w:qFormat/>
    <w:uiPriority w:val="0"/>
    <w:pPr>
      <w:ind w:firstLine="420" w:firstLineChars="200"/>
    </w:pPr>
  </w:style>
  <w:style w:type="paragraph" w:customStyle="1" w:styleId="154">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5">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6">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character" w:customStyle="1" w:styleId="157">
    <w:name w:val="0-CD Char"/>
    <w:link w:val="158"/>
    <w:qFormat/>
    <w:locked/>
    <w:uiPriority w:val="0"/>
    <w:rPr>
      <w:rFonts w:ascii="宋体" w:hAnsi="宋体" w:eastAsia="宋体"/>
      <w:sz w:val="28"/>
      <w:szCs w:val="24"/>
    </w:rPr>
  </w:style>
  <w:style w:type="paragraph" w:customStyle="1" w:styleId="158">
    <w:name w:val="0-CD"/>
    <w:basedOn w:val="1"/>
    <w:link w:val="157"/>
    <w:qFormat/>
    <w:uiPriority w:val="0"/>
    <w:pPr>
      <w:spacing w:line="360" w:lineRule="auto"/>
      <w:ind w:firstLine="708" w:firstLineChars="253"/>
      <w:jc w:val="left"/>
    </w:pPr>
    <w:rPr>
      <w:rFonts w:ascii="宋体" w:hAnsi="宋体" w:cstheme="minorBidi"/>
      <w:sz w:val="28"/>
      <w:szCs w:val="24"/>
    </w:rPr>
  </w:style>
  <w:style w:type="character" w:customStyle="1" w:styleId="159">
    <w:name w:val="Char Char8"/>
    <w:qFormat/>
    <w:uiPriority w:val="0"/>
    <w:rPr>
      <w:rFonts w:hint="eastAsia" w:ascii="宋体" w:hAnsi="宋体" w:eastAsia="宋体"/>
      <w:kern w:val="2"/>
      <w:sz w:val="28"/>
      <w:szCs w:val="28"/>
    </w:rPr>
  </w:style>
  <w:style w:type="character" w:customStyle="1" w:styleId="160">
    <w:name w:val="Char Char5"/>
    <w:qFormat/>
    <w:uiPriority w:val="0"/>
    <w:rPr>
      <w:kern w:val="2"/>
      <w:sz w:val="21"/>
      <w:szCs w:val="24"/>
    </w:rPr>
  </w:style>
  <w:style w:type="character" w:customStyle="1" w:styleId="161">
    <w:name w:val="列出段落 Char Char"/>
    <w:qFormat/>
    <w:uiPriority w:val="0"/>
    <w:rPr>
      <w:rFonts w:hint="default" w:ascii="Calibri" w:hAnsi="Calibri" w:cs="Calibri"/>
      <w:kern w:val="2"/>
      <w:sz w:val="21"/>
      <w:szCs w:val="22"/>
    </w:rPr>
  </w:style>
  <w:style w:type="character" w:customStyle="1" w:styleId="162">
    <w:name w:val="正文文本 Char Char"/>
    <w:qFormat/>
    <w:uiPriority w:val="0"/>
    <w:rPr>
      <w:kern w:val="2"/>
      <w:sz w:val="21"/>
      <w:szCs w:val="24"/>
    </w:rPr>
  </w:style>
  <w:style w:type="character" w:customStyle="1" w:styleId="163">
    <w:name w:val="Char Char11"/>
    <w:qFormat/>
    <w:uiPriority w:val="0"/>
    <w:rPr>
      <w:rFonts w:hint="default" w:ascii="Arial Narrow" w:hAnsi="Arial Narrow"/>
      <w:b/>
      <w:bCs/>
      <w:iCs/>
      <w:szCs w:val="24"/>
      <w:lang w:eastAsia="en-US"/>
    </w:rPr>
  </w:style>
  <w:style w:type="character" w:customStyle="1" w:styleId="164">
    <w:name w:val="标书（正文） Char Char"/>
    <w:qFormat/>
    <w:uiPriority w:val="0"/>
    <w:rPr>
      <w:rFonts w:hint="eastAsia" w:ascii="宋体" w:hAnsi="宋体" w:eastAsia="宋体"/>
      <w:b/>
      <w:kern w:val="10"/>
      <w:sz w:val="21"/>
      <w:szCs w:val="21"/>
      <w:lang w:val="en-US" w:eastAsia="zh-CN" w:bidi="ar-SA"/>
    </w:rPr>
  </w:style>
  <w:style w:type="character" w:customStyle="1" w:styleId="165">
    <w:name w:val="line2"/>
    <w:basedOn w:val="43"/>
    <w:qFormat/>
    <w:uiPriority w:val="0"/>
  </w:style>
  <w:style w:type="character" w:customStyle="1" w:styleId="166">
    <w:name w:val="Char Char10"/>
    <w:qFormat/>
    <w:uiPriority w:val="0"/>
    <w:rPr>
      <w:kern w:val="2"/>
      <w:sz w:val="24"/>
      <w:szCs w:val="24"/>
    </w:rPr>
  </w:style>
  <w:style w:type="character" w:customStyle="1" w:styleId="167">
    <w:name w:val="MM Topic 4 Char Char"/>
    <w:qFormat/>
    <w:uiPriority w:val="0"/>
    <w:rPr>
      <w:rFonts w:hint="default" w:ascii="Arial" w:hAnsi="Arial" w:cs="Arial"/>
      <w:b/>
      <w:bCs/>
      <w:kern w:val="2"/>
      <w:sz w:val="28"/>
      <w:szCs w:val="28"/>
    </w:rPr>
  </w:style>
  <w:style w:type="character" w:customStyle="1" w:styleId="168">
    <w:name w:val="标书正文:  0.74 厘米 Char Char"/>
    <w:qFormat/>
    <w:uiPriority w:val="0"/>
    <w:rPr>
      <w:kern w:val="2"/>
      <w:sz w:val="24"/>
    </w:rPr>
  </w:style>
  <w:style w:type="character" w:customStyle="1" w:styleId="169">
    <w:name w:val="访问过的超链接1"/>
    <w:qFormat/>
    <w:uiPriority w:val="99"/>
    <w:rPr>
      <w:color w:val="800080"/>
      <w:u w:val="single"/>
    </w:rPr>
  </w:style>
  <w:style w:type="character" w:customStyle="1" w:styleId="170">
    <w:name w:val="标题 3 Char Char Char"/>
    <w:qFormat/>
    <w:uiPriority w:val="0"/>
    <w:rPr>
      <w:rFonts w:hint="eastAsia" w:ascii="宋体" w:hAnsi="宋体" w:eastAsia="宋体"/>
      <w:b/>
      <w:kern w:val="2"/>
      <w:sz w:val="32"/>
      <w:lang w:val="en-US" w:eastAsia="zh-CN" w:bidi="ar-SA"/>
    </w:rPr>
  </w:style>
  <w:style w:type="character" w:customStyle="1" w:styleId="171">
    <w:name w:val="（符号）邀请函中一、"/>
    <w:qFormat/>
    <w:uiPriority w:val="0"/>
    <w:rPr>
      <w:rFonts w:hint="eastAsia" w:ascii="黑体" w:hAnsi="黑体" w:eastAsia="黑体"/>
      <w:b/>
      <w:bCs/>
      <w:sz w:val="24"/>
    </w:rPr>
  </w:style>
  <w:style w:type="character" w:customStyle="1" w:styleId="172">
    <w:name w:val="tt Char"/>
    <w:qFormat/>
    <w:uiPriority w:val="0"/>
    <w:rPr>
      <w:rFonts w:hint="default" w:ascii="Arial" w:hAnsi="Arial" w:eastAsia="黑体" w:cs="Arial"/>
      <w:kern w:val="2"/>
      <w:sz w:val="21"/>
      <w:szCs w:val="21"/>
    </w:rPr>
  </w:style>
  <w:style w:type="character" w:customStyle="1" w:styleId="173">
    <w:name w:val="Char Char9"/>
    <w:qFormat/>
    <w:uiPriority w:val="0"/>
    <w:rPr>
      <w:kern w:val="2"/>
      <w:sz w:val="18"/>
      <w:szCs w:val="18"/>
    </w:rPr>
  </w:style>
  <w:style w:type="character" w:customStyle="1" w:styleId="174">
    <w:name w:val="MM Topic 3 Char Char"/>
    <w:qFormat/>
    <w:uiPriority w:val="0"/>
    <w:rPr>
      <w:rFonts w:hint="eastAsia" w:ascii="宋体" w:hAnsi="宋体" w:eastAsia="宋体"/>
      <w:b/>
      <w:bCs/>
      <w:color w:val="000000"/>
      <w:kern w:val="2"/>
      <w:sz w:val="28"/>
      <w:szCs w:val="28"/>
    </w:rPr>
  </w:style>
  <w:style w:type="character" w:customStyle="1" w:styleId="175">
    <w:name w:val="样式 小四2 Char Char"/>
    <w:qFormat/>
    <w:uiPriority w:val="0"/>
    <w:rPr>
      <w:rFonts w:hint="eastAsia" w:ascii="宋体" w:hAnsi="宋体" w:eastAsia="宋体"/>
      <w:kern w:val="2"/>
      <w:sz w:val="24"/>
      <w:szCs w:val="24"/>
    </w:rPr>
  </w:style>
  <w:style w:type="character" w:customStyle="1" w:styleId="176">
    <w:name w:val="Char Char7"/>
    <w:qFormat/>
    <w:uiPriority w:val="0"/>
    <w:rPr>
      <w:kern w:val="2"/>
      <w:sz w:val="18"/>
      <w:szCs w:val="18"/>
    </w:rPr>
  </w:style>
  <w:style w:type="character" w:customStyle="1" w:styleId="177">
    <w:name w:val="Char Char3"/>
    <w:qFormat/>
    <w:uiPriority w:val="0"/>
    <w:rPr>
      <w:b/>
      <w:bCs/>
      <w:kern w:val="2"/>
      <w:sz w:val="18"/>
      <w:szCs w:val="18"/>
    </w:rPr>
  </w:style>
  <w:style w:type="character" w:customStyle="1" w:styleId="178">
    <w:name w:val="apple-style-span"/>
    <w:basedOn w:val="43"/>
    <w:qFormat/>
    <w:uiPriority w:val="0"/>
  </w:style>
  <w:style w:type="character" w:customStyle="1" w:styleId="179">
    <w:name w:val="Char Char4"/>
    <w:qFormat/>
    <w:uiPriority w:val="0"/>
    <w:rPr>
      <w:kern w:val="2"/>
      <w:sz w:val="18"/>
      <w:szCs w:val="18"/>
    </w:rPr>
  </w:style>
  <w:style w:type="character" w:customStyle="1" w:styleId="180">
    <w:name w:val="副标题 Char1"/>
    <w:qFormat/>
    <w:uiPriority w:val="11"/>
    <w:rPr>
      <w:rFonts w:hint="default" w:ascii="Cambria" w:hAnsi="Cambria" w:cs="Times New Roman"/>
      <w:b/>
      <w:bCs/>
      <w:kern w:val="28"/>
      <w:sz w:val="32"/>
      <w:szCs w:val="32"/>
    </w:rPr>
  </w:style>
  <w:style w:type="character" w:customStyle="1" w:styleId="181">
    <w:name w:val="small"/>
    <w:basedOn w:val="43"/>
    <w:qFormat/>
    <w:uiPriority w:val="0"/>
  </w:style>
  <w:style w:type="character" w:customStyle="1" w:styleId="182">
    <w:name w:val="Legal Level 1.1.1. Char"/>
    <w:qFormat/>
    <w:uiPriority w:val="0"/>
    <w:rPr>
      <w:rFonts w:hint="default" w:ascii="Arial" w:hAnsi="Arial" w:eastAsia="黑体" w:cs="Arial"/>
      <w:kern w:val="2"/>
      <w:sz w:val="24"/>
      <w:szCs w:val="24"/>
    </w:rPr>
  </w:style>
  <w:style w:type="character" w:customStyle="1" w:styleId="183">
    <w:name w:val="文章正文 Char Char"/>
    <w:qFormat/>
    <w:uiPriority w:val="0"/>
    <w:rPr>
      <w:rFonts w:hint="eastAsia" w:ascii="宋体" w:hAnsi="宋体" w:eastAsia="宋体"/>
      <w:kern w:val="2"/>
      <w:sz w:val="24"/>
      <w:szCs w:val="24"/>
      <w:lang w:val="en-US" w:eastAsia="zh-CN" w:bidi="ar-SA"/>
    </w:rPr>
  </w:style>
  <w:style w:type="character" w:customStyle="1" w:styleId="184">
    <w:name w:val="正文文本 Char1"/>
    <w:qFormat/>
    <w:uiPriority w:val="0"/>
    <w:rPr>
      <w:rFonts w:hint="default" w:ascii="Times New Roman" w:hAnsi="Times New Roman" w:eastAsia="宋体" w:cs="Times New Roman"/>
      <w:kern w:val="0"/>
      <w:sz w:val="18"/>
      <w:szCs w:val="18"/>
    </w:rPr>
  </w:style>
  <w:style w:type="character" w:customStyle="1" w:styleId="185">
    <w:name w:val="正文文本 Char2"/>
    <w:basedOn w:val="43"/>
    <w:link w:val="17"/>
    <w:qFormat/>
    <w:locked/>
    <w:uiPriority w:val="0"/>
    <w:rPr>
      <w:rFonts w:ascii="Calibri" w:hAnsi="Calibri" w:eastAsia="宋体" w:cs="Times New Roman"/>
    </w:rPr>
  </w:style>
  <w:style w:type="character" w:customStyle="1" w:styleId="186">
    <w:name w:val="CD正文 Char Char"/>
    <w:qFormat/>
    <w:uiPriority w:val="0"/>
    <w:rPr>
      <w:rFonts w:hint="eastAsia" w:ascii="宋体" w:hAnsi="宋体" w:eastAsia="宋体"/>
      <w:kern w:val="2"/>
      <w:sz w:val="30"/>
      <w:szCs w:val="28"/>
      <w:lang w:val="en-US" w:eastAsia="zh-CN" w:bidi="ar-SA"/>
    </w:rPr>
  </w:style>
  <w:style w:type="character" w:customStyle="1" w:styleId="187">
    <w:name w:val="Char Char2"/>
    <w:qFormat/>
    <w:uiPriority w:val="0"/>
    <w:rPr>
      <w:kern w:val="2"/>
      <w:sz w:val="18"/>
      <w:szCs w:val="18"/>
    </w:rPr>
  </w:style>
  <w:style w:type="character" w:customStyle="1" w:styleId="188">
    <w:name w:val="标题 1 Char1"/>
    <w:qFormat/>
    <w:uiPriority w:val="0"/>
    <w:rPr>
      <w:b/>
      <w:bCs/>
      <w:kern w:val="44"/>
      <w:sz w:val="44"/>
      <w:szCs w:val="44"/>
    </w:rPr>
  </w:style>
  <w:style w:type="character" w:customStyle="1" w:styleId="189">
    <w:name w:val="表正文 Char1"/>
    <w:qFormat/>
    <w:uiPriority w:val="0"/>
    <w:rPr>
      <w:rFonts w:hint="eastAsia" w:ascii="宋体" w:hAnsi="宋体" w:eastAsia="宋体"/>
      <w:kern w:val="2"/>
      <w:sz w:val="21"/>
      <w:lang w:val="en-US" w:eastAsia="zh-CN" w:bidi="ar-SA"/>
    </w:rPr>
  </w:style>
  <w:style w:type="character" w:customStyle="1" w:styleId="190">
    <w:name w:val="纯文本 Char1"/>
    <w:link w:val="26"/>
    <w:qFormat/>
    <w:locked/>
    <w:uiPriority w:val="0"/>
    <w:rPr>
      <w:rFonts w:ascii="宋体" w:hAnsi="Courier New" w:eastAsia="宋体" w:cs="Times New Roman"/>
      <w:kern w:val="0"/>
      <w:sz w:val="20"/>
      <w:szCs w:val="18"/>
    </w:rPr>
  </w:style>
  <w:style w:type="character" w:customStyle="1" w:styleId="191">
    <w:name w:val="Char Char Char"/>
    <w:qFormat/>
    <w:uiPriority w:val="0"/>
    <w:rPr>
      <w:rFonts w:hint="eastAsia" w:ascii="宋体" w:hAnsi="宋体" w:eastAsia="宋体"/>
      <w:kern w:val="2"/>
      <w:sz w:val="18"/>
      <w:szCs w:val="18"/>
      <w:lang w:val="en-US" w:eastAsia="zh-CN" w:bidi="ar-SA"/>
    </w:rPr>
  </w:style>
  <w:style w:type="character" w:customStyle="1" w:styleId="192">
    <w:name w:val="Char Char6"/>
    <w:qFormat/>
    <w:uiPriority w:val="0"/>
    <w:rPr>
      <w:kern w:val="2"/>
      <w:sz w:val="21"/>
      <w:szCs w:val="24"/>
    </w:rPr>
  </w:style>
  <w:style w:type="character" w:customStyle="1" w:styleId="193">
    <w:name w:val="正文缩进 Char"/>
    <w:qFormat/>
    <w:uiPriority w:val="0"/>
    <w:rPr>
      <w:kern w:val="2"/>
      <w:sz w:val="21"/>
      <w:lang w:val="zh-CN" w:eastAsia="zh-CN"/>
    </w:rPr>
  </w:style>
  <w:style w:type="character" w:customStyle="1" w:styleId="194">
    <w:name w:val="font11"/>
    <w:basedOn w:val="43"/>
    <w:qFormat/>
    <w:uiPriority w:val="0"/>
    <w:rPr>
      <w:rFonts w:hint="eastAsia" w:ascii="宋体" w:hAnsi="宋体" w:eastAsia="宋体" w:cs="宋体"/>
      <w:b/>
      <w:color w:val="000000"/>
      <w:sz w:val="22"/>
      <w:szCs w:val="22"/>
      <w:u w:val="none"/>
    </w:rPr>
  </w:style>
  <w:style w:type="character" w:customStyle="1" w:styleId="195">
    <w:name w:val="font01"/>
    <w:basedOn w:val="43"/>
    <w:qFormat/>
    <w:uiPriority w:val="0"/>
    <w:rPr>
      <w:rFonts w:hint="eastAsia" w:ascii="宋体" w:hAnsi="宋体" w:eastAsia="宋体" w:cs="宋体"/>
      <w:color w:val="000000"/>
      <w:sz w:val="22"/>
      <w:szCs w:val="22"/>
      <w:u w:val="none"/>
    </w:rPr>
  </w:style>
  <w:style w:type="character" w:customStyle="1" w:styleId="196">
    <w:name w:val="页脚 Char1"/>
    <w:basedOn w:val="43"/>
    <w:qFormat/>
    <w:uiPriority w:val="99"/>
    <w:rPr>
      <w:sz w:val="18"/>
      <w:szCs w:val="18"/>
    </w:rPr>
  </w:style>
  <w:style w:type="character" w:customStyle="1" w:styleId="197">
    <w:name w:val="批注文字 Char2"/>
    <w:qFormat/>
    <w:uiPriority w:val="0"/>
    <w:rPr>
      <w:rFonts w:hint="eastAsia" w:ascii="宋体" w:hAnsi="宋体" w:eastAsia="宋体"/>
      <w:sz w:val="18"/>
      <w:szCs w:val="18"/>
    </w:rPr>
  </w:style>
  <w:style w:type="character" w:customStyle="1" w:styleId="198">
    <w:name w:val="列出段落 Char1"/>
    <w:qFormat/>
    <w:uiPriority w:val="34"/>
    <w:rPr>
      <w:rFonts w:hint="default" w:ascii="Calibri" w:hAnsi="Calibri"/>
      <w:kern w:val="2"/>
      <w:sz w:val="21"/>
      <w:szCs w:val="22"/>
    </w:rPr>
  </w:style>
  <w:style w:type="paragraph" w:customStyle="1" w:styleId="199">
    <w:name w:val="CD正文"/>
    <w:basedOn w:val="97"/>
    <w:qFormat/>
    <w:uiPriority w:val="0"/>
  </w:style>
  <w:style w:type="paragraph" w:customStyle="1" w:styleId="200">
    <w:name w:val="项目符号：一级"/>
    <w:basedOn w:val="84"/>
    <w:next w:val="84"/>
    <w:qFormat/>
    <w:uiPriority w:val="0"/>
  </w:style>
  <w:style w:type="paragraph" w:customStyle="1" w:styleId="201">
    <w:name w:val="修订2"/>
    <w:semiHidden/>
    <w:qFormat/>
    <w:uiPriority w:val="99"/>
    <w:rPr>
      <w:rFonts w:ascii="Calibri" w:hAnsi="Calibri" w:eastAsia="宋体" w:cs="Times New Roman"/>
      <w:kern w:val="2"/>
      <w:sz w:val="21"/>
      <w:szCs w:val="22"/>
      <w:lang w:val="en-US" w:eastAsia="zh-CN" w:bidi="ar-SA"/>
    </w:rPr>
  </w:style>
  <w:style w:type="paragraph" w:customStyle="1" w:styleId="202">
    <w:name w:val="修订21"/>
    <w:semiHidden/>
    <w:qFormat/>
    <w:uiPriority w:val="99"/>
    <w:rPr>
      <w:rFonts w:ascii="Calibri" w:hAnsi="Calibri" w:eastAsia="宋体" w:cs="Times New Roman"/>
      <w:kern w:val="2"/>
      <w:sz w:val="21"/>
      <w:szCs w:val="22"/>
      <w:lang w:val="en-US" w:eastAsia="zh-CN" w:bidi="ar-SA"/>
    </w:rPr>
  </w:style>
  <w:style w:type="paragraph" w:customStyle="1" w:styleId="203">
    <w:name w:val="List Paragraph1"/>
    <w:basedOn w:val="1"/>
    <w:semiHidden/>
    <w:qFormat/>
    <w:uiPriority w:val="0"/>
    <w:pPr>
      <w:ind w:firstLine="420" w:firstLineChars="200"/>
    </w:pPr>
    <w:rPr>
      <w:rFonts w:ascii="Times New Roman" w:hAnsi="Times New Roman"/>
      <w:szCs w:val="24"/>
    </w:rPr>
  </w:style>
  <w:style w:type="paragraph" w:customStyle="1" w:styleId="204">
    <w:name w:val="修订3"/>
    <w:semiHidden/>
    <w:qFormat/>
    <w:uiPriority w:val="99"/>
    <w:rPr>
      <w:rFonts w:ascii="Calibri" w:hAnsi="Calibri" w:eastAsia="宋体" w:cs="Times New Roman"/>
      <w:kern w:val="2"/>
      <w:sz w:val="21"/>
      <w:szCs w:val="22"/>
      <w:lang w:val="en-US" w:eastAsia="zh-CN" w:bidi="ar-SA"/>
    </w:rPr>
  </w:style>
  <w:style w:type="paragraph" w:customStyle="1" w:styleId="205">
    <w:name w:val="Normal Indent1"/>
    <w:basedOn w:val="1"/>
    <w:semiHidden/>
    <w:qFormat/>
    <w:uiPriority w:val="99"/>
    <w:pPr>
      <w:spacing w:line="360" w:lineRule="auto"/>
      <w:ind w:firstLine="200" w:firstLineChars="200"/>
    </w:pPr>
    <w:rPr>
      <w:sz w:val="24"/>
      <w:szCs w:val="24"/>
    </w:rPr>
  </w:style>
  <w:style w:type="character" w:styleId="206">
    <w:name w:val="Placeholder Text"/>
    <w:basedOn w:val="43"/>
    <w:semiHidden/>
    <w:qFormat/>
    <w:uiPriority w:val="99"/>
    <w:rPr>
      <w:color w:val="808080"/>
    </w:rPr>
  </w:style>
  <w:style w:type="character" w:customStyle="1" w:styleId="207">
    <w:name w:val="font61"/>
    <w:qFormat/>
    <w:uiPriority w:val="0"/>
    <w:rPr>
      <w:rFonts w:hint="eastAsia" w:ascii="仿宋_GB2312" w:eastAsia="仿宋_GB2312" w:cs="仿宋_GB2312"/>
      <w:color w:val="000000"/>
      <w:sz w:val="24"/>
      <w:szCs w:val="24"/>
      <w:u w:val="none"/>
    </w:rPr>
  </w:style>
  <w:style w:type="character" w:customStyle="1" w:styleId="208">
    <w:name w:val="日期 Char1"/>
    <w:basedOn w:val="43"/>
    <w:semiHidden/>
    <w:qFormat/>
    <w:uiPriority w:val="99"/>
    <w:rPr>
      <w:rFonts w:hint="default" w:ascii="Calibri" w:hAnsi="Calibri" w:eastAsia="宋体" w:cs="Times New Roman"/>
    </w:rPr>
  </w:style>
  <w:style w:type="character" w:customStyle="1" w:styleId="209">
    <w:name w:val="副标题 Char2"/>
    <w:basedOn w:val="43"/>
    <w:qFormat/>
    <w:uiPriority w:val="11"/>
    <w:rPr>
      <w:rFonts w:hint="default" w:eastAsia="宋体" w:asciiTheme="majorHAnsi" w:hAnsiTheme="majorHAnsi" w:cstheme="majorBidi"/>
      <w:b/>
      <w:bCs/>
      <w:kern w:val="28"/>
      <w:sz w:val="32"/>
      <w:szCs w:val="32"/>
    </w:rPr>
  </w:style>
  <w:style w:type="character" w:customStyle="1" w:styleId="210">
    <w:name w:val="正文文本缩进 3 Char1"/>
    <w:basedOn w:val="43"/>
    <w:semiHidden/>
    <w:qFormat/>
    <w:uiPriority w:val="99"/>
    <w:rPr>
      <w:rFonts w:hint="default" w:ascii="Calibri" w:hAnsi="Calibri" w:eastAsia="宋体" w:cs="Times New Roman"/>
      <w:sz w:val="16"/>
      <w:szCs w:val="16"/>
    </w:rPr>
  </w:style>
  <w:style w:type="character" w:customStyle="1" w:styleId="211">
    <w:name w:val="批注框文本 Char1"/>
    <w:basedOn w:val="43"/>
    <w:semiHidden/>
    <w:qFormat/>
    <w:uiPriority w:val="99"/>
    <w:rPr>
      <w:rFonts w:hint="default" w:ascii="Calibri" w:hAnsi="Calibri" w:eastAsia="宋体" w:cs="Times New Roman"/>
      <w:sz w:val="18"/>
      <w:szCs w:val="18"/>
    </w:rPr>
  </w:style>
  <w:style w:type="character" w:customStyle="1" w:styleId="212">
    <w:name w:val="纯文本 Char2"/>
    <w:basedOn w:val="43"/>
    <w:qFormat/>
    <w:uiPriority w:val="99"/>
    <w:rPr>
      <w:rFonts w:hint="eastAsia" w:ascii="宋体" w:hAnsi="Courier New" w:eastAsia="宋体" w:cs="Courier New"/>
      <w:szCs w:val="21"/>
    </w:rPr>
  </w:style>
  <w:style w:type="character" w:customStyle="1" w:styleId="213">
    <w:name w:val="正文文本缩进 2 Char1"/>
    <w:basedOn w:val="43"/>
    <w:semiHidden/>
    <w:qFormat/>
    <w:uiPriority w:val="99"/>
    <w:rPr>
      <w:rFonts w:hint="default" w:ascii="Calibri" w:hAnsi="Calibri" w:eastAsia="宋体" w:cs="Times New Roman"/>
    </w:rPr>
  </w:style>
  <w:style w:type="character" w:customStyle="1" w:styleId="214">
    <w:name w:val="正文文本缩进 Char1"/>
    <w:basedOn w:val="43"/>
    <w:semiHidden/>
    <w:qFormat/>
    <w:uiPriority w:val="99"/>
    <w:rPr>
      <w:rFonts w:hint="default" w:ascii="Calibri" w:hAnsi="Calibri" w:eastAsia="宋体" w:cs="Times New Roman"/>
    </w:rPr>
  </w:style>
  <w:style w:type="character" w:customStyle="1" w:styleId="215">
    <w:name w:val="正文文本 2 Char1"/>
    <w:basedOn w:val="43"/>
    <w:semiHidden/>
    <w:qFormat/>
    <w:uiPriority w:val="99"/>
    <w:rPr>
      <w:rFonts w:hint="default" w:ascii="Calibri" w:hAnsi="Calibri" w:eastAsia="宋体" w:cs="Times New Roman"/>
    </w:rPr>
  </w:style>
  <w:style w:type="character" w:customStyle="1" w:styleId="216">
    <w:name w:val="正文文本 Char3"/>
    <w:basedOn w:val="43"/>
    <w:qFormat/>
    <w:locked/>
    <w:uiPriority w:val="0"/>
    <w:rPr>
      <w:rFonts w:ascii="Calibri" w:hAnsi="Calibri" w:eastAsia="宋体"/>
      <w:kern w:val="2"/>
      <w:sz w:val="21"/>
      <w:szCs w:val="22"/>
    </w:rPr>
  </w:style>
  <w:style w:type="character" w:customStyle="1" w:styleId="217">
    <w:name w:val="正文首行缩进 Char1"/>
    <w:basedOn w:val="216"/>
    <w:semiHidden/>
    <w:qFormat/>
    <w:uiPriority w:val="99"/>
    <w:rPr>
      <w:rFonts w:ascii="Calibri" w:hAnsi="Calibri" w:eastAsia="宋体"/>
      <w:kern w:val="2"/>
      <w:sz w:val="21"/>
      <w:szCs w:val="22"/>
    </w:rPr>
  </w:style>
  <w:style w:type="character" w:customStyle="1" w:styleId="218">
    <w:name w:val="批注文字 Char1"/>
    <w:basedOn w:val="43"/>
    <w:semiHidden/>
    <w:qFormat/>
    <w:uiPriority w:val="0"/>
    <w:rPr>
      <w:rFonts w:hint="default" w:ascii="Calibri" w:hAnsi="Calibri" w:eastAsia="宋体" w:cs="Times New Roman"/>
    </w:rPr>
  </w:style>
  <w:style w:type="character" w:customStyle="1" w:styleId="219">
    <w:name w:val="正文文本 3 Char1"/>
    <w:basedOn w:val="43"/>
    <w:semiHidden/>
    <w:qFormat/>
    <w:uiPriority w:val="99"/>
    <w:rPr>
      <w:rFonts w:hint="default" w:ascii="Calibri" w:hAnsi="Calibri" w:eastAsia="宋体" w:cs="Times New Roman"/>
      <w:sz w:val="16"/>
      <w:szCs w:val="16"/>
    </w:rPr>
  </w:style>
  <w:style w:type="character" w:customStyle="1" w:styleId="220">
    <w:name w:val="文档结构图 Char1"/>
    <w:basedOn w:val="43"/>
    <w:semiHidden/>
    <w:qFormat/>
    <w:uiPriority w:val="99"/>
    <w:rPr>
      <w:rFonts w:hint="eastAsia" w:ascii="宋体" w:hAnsi="Calibri" w:eastAsia="宋体" w:cs="Times New Roman"/>
      <w:sz w:val="18"/>
      <w:szCs w:val="18"/>
    </w:rPr>
  </w:style>
  <w:style w:type="character" w:customStyle="1" w:styleId="221">
    <w:name w:val="font21"/>
    <w:qFormat/>
    <w:uiPriority w:val="0"/>
    <w:rPr>
      <w:rFonts w:hint="eastAsia" w:ascii="仿宋_GB2312" w:eastAsia="仿宋_GB2312" w:cs="仿宋_GB2312"/>
      <w:color w:val="000000"/>
      <w:sz w:val="24"/>
      <w:szCs w:val="24"/>
      <w:u w:val="none"/>
    </w:rPr>
  </w:style>
  <w:style w:type="paragraph" w:customStyle="1" w:styleId="222">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3">
    <w:name w:val="样式 Char Char"/>
    <w:link w:val="119"/>
    <w:qFormat/>
    <w:locked/>
    <w:uiPriority w:val="0"/>
    <w:rPr>
      <w:rFonts w:ascii="宋体" w:hAnsi="宋体" w:eastAsia="宋体" w:cs="宋体"/>
      <w:kern w:val="0"/>
      <w:sz w:val="24"/>
      <w:szCs w:val="24"/>
    </w:rPr>
  </w:style>
  <w:style w:type="paragraph" w:customStyle="1" w:styleId="224">
    <w:name w:val="Table Paragraph"/>
    <w:basedOn w:val="1"/>
    <w:qFormat/>
    <w:uiPriority w:val="1"/>
    <w:rPr>
      <w:rFonts w:ascii="宋体" w:hAnsi="宋体" w:cs="宋体"/>
      <w:lang w:eastAsia="en-US" w:bidi="en-US"/>
    </w:rPr>
  </w:style>
  <w:style w:type="character" w:customStyle="1" w:styleId="225">
    <w:name w:val="font41"/>
    <w:qFormat/>
    <w:uiPriority w:val="0"/>
    <w:rPr>
      <w:rFonts w:hint="default" w:ascii="Calibri" w:hAnsi="Calibri" w:cs="Calibri"/>
      <w:color w:val="000000"/>
      <w:sz w:val="20"/>
      <w:szCs w:val="20"/>
      <w:u w:val="none"/>
    </w:rPr>
  </w:style>
  <w:style w:type="paragraph" w:customStyle="1" w:styleId="226">
    <w:name w:val="样式 正文文本 + 四号 加粗 行距: 固定值 20 磅"/>
    <w:basedOn w:val="5"/>
    <w:qFormat/>
    <w:uiPriority w:val="0"/>
    <w:pPr>
      <w:autoSpaceDE w:val="0"/>
      <w:autoSpaceDN w:val="0"/>
      <w:spacing w:before="0" w:after="0" w:line="400" w:lineRule="exact"/>
      <w:jc w:val="both"/>
    </w:pPr>
    <w:rPr>
      <w:b w:val="0"/>
      <w:bCs w:val="0"/>
      <w:kern w:val="0"/>
      <w:lang w:bidi="zh-CN"/>
    </w:rPr>
  </w:style>
  <w:style w:type="paragraph" w:customStyle="1" w:styleId="227">
    <w:name w:val="WPSOffice手动目录 1"/>
    <w:qFormat/>
    <w:uiPriority w:val="0"/>
    <w:pPr>
      <w:ind w:leftChars="0"/>
    </w:pPr>
    <w:rPr>
      <w:rFonts w:ascii="Times New Roman" w:hAnsi="Times New Roman" w:eastAsia="宋体" w:cs="Times New Roman"/>
      <w:sz w:val="20"/>
      <w:szCs w:val="20"/>
    </w:rPr>
  </w:style>
  <w:style w:type="paragraph" w:customStyle="1" w:styleId="22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d130e0e-9084-4818-a289-44059ae0e830}"/>
        <w:style w:val=""/>
        <w:category>
          <w:name w:val="常规"/>
          <w:gallery w:val="placeholder"/>
        </w:category>
        <w:types>
          <w:type w:val="bbPlcHdr"/>
        </w:types>
        <w:behaviors>
          <w:behavior w:val="content"/>
        </w:behaviors>
        <w:description w:val=""/>
        <w:guid w:val="{3d130e0e-9084-4818-a289-44059ae0e830}"/>
      </w:docPartPr>
      <w:docPartBody>
        <w:p>
          <w:r>
            <w:rPr>
              <w:color w:val="808080"/>
            </w:rPr>
            <w:t>单击此处输入文字。</w:t>
          </w:r>
        </w:p>
      </w:docPartBody>
    </w:docPart>
    <w:docPart>
      <w:docPartPr>
        <w:name w:val="{7b0a1431-8425-43e9-9a57-32b4a083a2a7}"/>
        <w:style w:val=""/>
        <w:category>
          <w:name w:val="常规"/>
          <w:gallery w:val="placeholder"/>
        </w:category>
        <w:types>
          <w:type w:val="bbPlcHdr"/>
        </w:types>
        <w:behaviors>
          <w:behavior w:val="content"/>
        </w:behaviors>
        <w:description w:val=""/>
        <w:guid w:val="{7b0a1431-8425-43e9-9a57-32b4a083a2a7}"/>
      </w:docPartPr>
      <w:docPartBody>
        <w:p>
          <w:r>
            <w:rPr>
              <w:color w:val="808080"/>
            </w:rPr>
            <w:t>单击此处输入文字。</w:t>
          </w:r>
        </w:p>
      </w:docPartBody>
    </w:docPart>
    <w:docPart>
      <w:docPartPr>
        <w:name w:val="{92e31580-a07c-4140-b42a-e3a3abd66b9d}"/>
        <w:style w:val=""/>
        <w:category>
          <w:name w:val="常规"/>
          <w:gallery w:val="placeholder"/>
        </w:category>
        <w:types>
          <w:type w:val="bbPlcHdr"/>
        </w:types>
        <w:behaviors>
          <w:behavior w:val="content"/>
        </w:behaviors>
        <w:description w:val=""/>
        <w:guid w:val="{92e31580-a07c-4140-b42a-e3a3abd66b9d}"/>
      </w:docPartPr>
      <w:docPartBody>
        <w:p>
          <w:r>
            <w:rPr>
              <w:color w:val="808080"/>
            </w:rPr>
            <w:t>单击此处输入文字。</w:t>
          </w:r>
        </w:p>
      </w:docPartBody>
    </w:docPart>
    <w:docPart>
      <w:docPartPr>
        <w:name w:val="{92875788-9d6d-4f31-9f55-0f3c445eb0b4}"/>
        <w:style w:val=""/>
        <w:category>
          <w:name w:val="常规"/>
          <w:gallery w:val="placeholder"/>
        </w:category>
        <w:types>
          <w:type w:val="bbPlcHdr"/>
        </w:types>
        <w:behaviors>
          <w:behavior w:val="content"/>
        </w:behaviors>
        <w:description w:val=""/>
        <w:guid w:val="{92875788-9d6d-4f31-9f55-0f3c445eb0b4}"/>
      </w:docPartPr>
      <w:docPartBody>
        <w:p>
          <w:r>
            <w:rPr>
              <w:color w:val="808080"/>
            </w:rPr>
            <w:t>单击此处输入文字。</w:t>
          </w:r>
        </w:p>
      </w:docPartBody>
    </w:docPart>
    <w:docPart>
      <w:docPartPr>
        <w:name w:val="{1270a1e1-2905-4d29-90e5-8f8e4cb6f432}"/>
        <w:style w:val=""/>
        <w:category>
          <w:name w:val="常规"/>
          <w:gallery w:val="placeholder"/>
        </w:category>
        <w:types>
          <w:type w:val="bbPlcHdr"/>
        </w:types>
        <w:behaviors>
          <w:behavior w:val="content"/>
        </w:behaviors>
        <w:description w:val=""/>
        <w:guid w:val="{1270a1e1-2905-4d29-90e5-8f8e4cb6f432}"/>
      </w:docPartPr>
      <w:docPartBody>
        <w:p>
          <w:r>
            <w:rPr>
              <w:color w:val="808080"/>
            </w:rPr>
            <w:t>单击此处输入文字。</w:t>
          </w:r>
        </w:p>
      </w:docPartBody>
    </w:docPart>
    <w:docPart>
      <w:docPartPr>
        <w:name w:val="{0f74f1f4-662c-427e-9b2e-82ba23dc66be}"/>
        <w:style w:val=""/>
        <w:category>
          <w:name w:val="常规"/>
          <w:gallery w:val="placeholder"/>
        </w:category>
        <w:types>
          <w:type w:val="bbPlcHdr"/>
        </w:types>
        <w:behaviors>
          <w:behavior w:val="content"/>
        </w:behaviors>
        <w:description w:val=""/>
        <w:guid w:val="{0f74f1f4-662c-427e-9b2e-82ba23dc66be}"/>
      </w:docPartPr>
      <w:docPartBody>
        <w:p>
          <w:r>
            <w:rPr>
              <w:color w:val="808080"/>
            </w:rPr>
            <w:t>单击此处输入文字。</w:t>
          </w:r>
        </w:p>
      </w:docPartBody>
    </w:docPart>
    <w:docPart>
      <w:docPartPr>
        <w:name w:val="{fbab7cb7-4bf3-4872-8b54-12e61ed5c3f4}"/>
        <w:style w:val=""/>
        <w:category>
          <w:name w:val="常规"/>
          <w:gallery w:val="placeholder"/>
        </w:category>
        <w:types>
          <w:type w:val="bbPlcHdr"/>
        </w:types>
        <w:behaviors>
          <w:behavior w:val="content"/>
        </w:behaviors>
        <w:description w:val=""/>
        <w:guid w:val="{fbab7cb7-4bf3-4872-8b54-12e61ed5c3f4}"/>
      </w:docPartPr>
      <w:docPartBody>
        <w:p>
          <w:r>
            <w:rPr>
              <w:color w:val="808080"/>
            </w:rPr>
            <w:t>单击此处输入文字。</w:t>
          </w:r>
        </w:p>
      </w:docPartBody>
    </w:docPart>
    <w:docPart>
      <w:docPartPr>
        <w:name w:val="{18efcbd9-b516-4719-868c-f61e69b2b299}"/>
        <w:style w:val=""/>
        <w:category>
          <w:name w:val="常规"/>
          <w:gallery w:val="placeholder"/>
        </w:category>
        <w:types>
          <w:type w:val="bbPlcHdr"/>
        </w:types>
        <w:behaviors>
          <w:behavior w:val="content"/>
        </w:behaviors>
        <w:description w:val=""/>
        <w:guid w:val="{18efcbd9-b516-4719-868c-f61e69b2b299}"/>
      </w:docPartPr>
      <w:docPartBody>
        <w:p>
          <w:r>
            <w:rPr>
              <w:color w:val="808080"/>
            </w:rPr>
            <w:t>单击此处输入文字。</w:t>
          </w:r>
        </w:p>
      </w:docPartBody>
    </w:docPart>
    <w:docPart>
      <w:docPartPr>
        <w:name w:val="{5086e849-f901-4d0c-9980-5b4f7f9ce9b7}"/>
        <w:style w:val=""/>
        <w:category>
          <w:name w:val="常规"/>
          <w:gallery w:val="placeholder"/>
        </w:category>
        <w:types>
          <w:type w:val="bbPlcHdr"/>
        </w:types>
        <w:behaviors>
          <w:behavior w:val="content"/>
        </w:behaviors>
        <w:description w:val=""/>
        <w:guid w:val="{5086e849-f901-4d0c-9980-5b4f7f9ce9b7}"/>
      </w:docPartPr>
      <w:docPartBody>
        <w:p>
          <w:r>
            <w:rPr>
              <w:color w:val="808080"/>
            </w:rPr>
            <w:t>单击此处输入文字。</w:t>
          </w:r>
        </w:p>
      </w:docPartBody>
    </w:docPart>
    <w:docPart>
      <w:docPartPr>
        <w:name w:val="{57ab8a17-4767-4718-94a2-f3b67a8c7b71}"/>
        <w:style w:val=""/>
        <w:category>
          <w:name w:val="常规"/>
          <w:gallery w:val="placeholder"/>
        </w:category>
        <w:types>
          <w:type w:val="bbPlcHdr"/>
        </w:types>
        <w:behaviors>
          <w:behavior w:val="content"/>
        </w:behaviors>
        <w:description w:val=""/>
        <w:guid w:val="{57ab8a17-4767-4718-94a2-f3b67a8c7b71}"/>
      </w:docPartPr>
      <w:docPartBody>
        <w:p>
          <w:r>
            <w:rPr>
              <w:color w:val="808080"/>
            </w:rPr>
            <w:t>单击此处输入文字。</w:t>
          </w:r>
        </w:p>
      </w:docPartBody>
    </w:docPart>
    <w:docPart>
      <w:docPartPr>
        <w:name w:val="{36cafdcd-119d-4d70-ae23-a291d4f70013}"/>
        <w:style w:val=""/>
        <w:category>
          <w:name w:val="常规"/>
          <w:gallery w:val="placeholder"/>
        </w:category>
        <w:types>
          <w:type w:val="bbPlcHdr"/>
        </w:types>
        <w:behaviors>
          <w:behavior w:val="content"/>
        </w:behaviors>
        <w:description w:val=""/>
        <w:guid w:val="{36cafdcd-119d-4d70-ae23-a291d4f70013}"/>
      </w:docPartPr>
      <w:docPartBody>
        <w:p>
          <w:r>
            <w:rPr>
              <w:color w:val="808080"/>
            </w:rPr>
            <w:t>单击此处输入文字。</w:t>
          </w:r>
        </w:p>
      </w:docPartBody>
    </w:docPart>
    <w:docPart>
      <w:docPartPr>
        <w:name w:val="{20a5612c-92e8-4070-8168-6f5d2b2138e8}"/>
        <w:style w:val=""/>
        <w:category>
          <w:name w:val="常规"/>
          <w:gallery w:val="placeholder"/>
        </w:category>
        <w:types>
          <w:type w:val="bbPlcHdr"/>
        </w:types>
        <w:behaviors>
          <w:behavior w:val="content"/>
        </w:behaviors>
        <w:description w:val=""/>
        <w:guid w:val="{20a5612c-92e8-4070-8168-6f5d2b2138e8}"/>
      </w:docPartPr>
      <w:docPartBody>
        <w:p>
          <w:r>
            <w:rPr>
              <w:color w:val="808080"/>
            </w:rPr>
            <w:t>单击此处输入文字。</w:t>
          </w:r>
        </w:p>
      </w:docPartBody>
    </w:docPart>
    <w:docPart>
      <w:docPartPr>
        <w:name w:val="{d6197265-168c-42d9-85ba-bb0604ecc5fc}"/>
        <w:style w:val=""/>
        <w:category>
          <w:name w:val="常规"/>
          <w:gallery w:val="placeholder"/>
        </w:category>
        <w:types>
          <w:type w:val="bbPlcHdr"/>
        </w:types>
        <w:behaviors>
          <w:behavior w:val="content"/>
        </w:behaviors>
        <w:description w:val=""/>
        <w:guid w:val="{d6197265-168c-42d9-85ba-bb0604ecc5fc}"/>
      </w:docPartPr>
      <w:docPartBody>
        <w:p>
          <w:r>
            <w:rPr>
              <w:color w:val="808080"/>
            </w:rPr>
            <w:t>单击此处输入文字。</w:t>
          </w:r>
        </w:p>
      </w:docPartBody>
    </w:docPart>
    <w:docPart>
      <w:docPartPr>
        <w:name w:val="{572374cc-7241-4f38-be76-01fc7bc6916f}"/>
        <w:style w:val=""/>
        <w:category>
          <w:name w:val="常规"/>
          <w:gallery w:val="placeholder"/>
        </w:category>
        <w:types>
          <w:type w:val="bbPlcHdr"/>
        </w:types>
        <w:behaviors>
          <w:behavior w:val="content"/>
        </w:behaviors>
        <w:description w:val=""/>
        <w:guid w:val="{572374cc-7241-4f38-be76-01fc7bc6916f}"/>
      </w:docPartPr>
      <w:docPartBody>
        <w:p>
          <w:r>
            <w:rPr>
              <w:color w:val="808080"/>
            </w:rPr>
            <w:t>单击此处输入文字。</w:t>
          </w:r>
        </w:p>
      </w:docPartBody>
    </w:docPart>
    <w:docPart>
      <w:docPartPr>
        <w:name w:val="{38756e04-a901-4b12-b41e-e170d03f590a}"/>
        <w:style w:val=""/>
        <w:category>
          <w:name w:val="常规"/>
          <w:gallery w:val="placeholder"/>
        </w:category>
        <w:types>
          <w:type w:val="bbPlcHdr"/>
        </w:types>
        <w:behaviors>
          <w:behavior w:val="content"/>
        </w:behaviors>
        <w:description w:val=""/>
        <w:guid w:val="{38756e04-a901-4b12-b41e-e170d03f590a}"/>
      </w:docPartPr>
      <w:docPartBody>
        <w:p>
          <w:r>
            <w:rPr>
              <w:color w:val="808080"/>
            </w:rPr>
            <w:t>单击此处输入文字。</w:t>
          </w:r>
        </w:p>
      </w:docPartBody>
    </w:docPart>
    <w:docPart>
      <w:docPartPr>
        <w:name w:val="{b9bb288a-c740-4c7a-996b-fc3a4849f47c}"/>
        <w:style w:val=""/>
        <w:category>
          <w:name w:val="常规"/>
          <w:gallery w:val="placeholder"/>
        </w:category>
        <w:types>
          <w:type w:val="bbPlcHdr"/>
        </w:types>
        <w:behaviors>
          <w:behavior w:val="content"/>
        </w:behaviors>
        <w:description w:val=""/>
        <w:guid w:val="{b9bb288a-c740-4c7a-996b-fc3a4849f47c}"/>
      </w:docPartPr>
      <w:docPartBody>
        <w:p>
          <w:r>
            <w:rPr>
              <w:color w:val="808080"/>
            </w:rPr>
            <w:t>单击此处输入文字。</w:t>
          </w:r>
        </w:p>
      </w:docPartBody>
    </w:docPart>
    <w:docPart>
      <w:docPartPr>
        <w:name w:val="{5db8b0ac-95a0-462d-a22e-c33b4a22451a}"/>
        <w:style w:val=""/>
        <w:category>
          <w:name w:val="常规"/>
          <w:gallery w:val="placeholder"/>
        </w:category>
        <w:types>
          <w:type w:val="bbPlcHdr"/>
        </w:types>
        <w:behaviors>
          <w:behavior w:val="content"/>
        </w:behaviors>
        <w:description w:val=""/>
        <w:guid w:val="{5db8b0ac-95a0-462d-a22e-c33b4a22451a}"/>
      </w:docPartPr>
      <w:docPartBody>
        <w:p>
          <w:r>
            <w:rPr>
              <w:color w:val="808080"/>
            </w:rPr>
            <w:t>单击此处输入文字。</w:t>
          </w:r>
        </w:p>
      </w:docPartBody>
    </w:docPart>
    <w:docPart>
      <w:docPartPr>
        <w:name w:val="{4864ea96-a480-4f0a-8051-42bdcaaf2449}"/>
        <w:style w:val=""/>
        <w:category>
          <w:name w:val="常规"/>
          <w:gallery w:val="placeholder"/>
        </w:category>
        <w:types>
          <w:type w:val="bbPlcHdr"/>
        </w:types>
        <w:behaviors>
          <w:behavior w:val="content"/>
        </w:behaviors>
        <w:description w:val=""/>
        <w:guid w:val="{4864ea96-a480-4f0a-8051-42bdcaaf2449}"/>
      </w:docPartPr>
      <w:docPartBody>
        <w:p>
          <w:r>
            <w:rPr>
              <w:color w:val="808080"/>
            </w:rPr>
            <w:t>单击此处输入文字。</w:t>
          </w:r>
        </w:p>
      </w:docPartBody>
    </w:docPart>
    <w:docPart>
      <w:docPartPr>
        <w:name w:val="{ba6fa625-ea70-4177-815e-dcc4e1b136d0}"/>
        <w:style w:val=""/>
        <w:category>
          <w:name w:val="常规"/>
          <w:gallery w:val="placeholder"/>
        </w:category>
        <w:types>
          <w:type w:val="bbPlcHdr"/>
        </w:types>
        <w:behaviors>
          <w:behavior w:val="content"/>
        </w:behaviors>
        <w:description w:val=""/>
        <w:guid w:val="{ba6fa625-ea70-4177-815e-dcc4e1b136d0}"/>
      </w:docPartPr>
      <w:docPartBody>
        <w:p>
          <w:r>
            <w:rPr>
              <w:color w:val="808080"/>
            </w:rPr>
            <w:t>单击此处输入文字。</w:t>
          </w:r>
        </w:p>
      </w:docPartBody>
    </w:docPart>
    <w:docPart>
      <w:docPartPr>
        <w:name w:val="{710838e5-d033-4b33-b38e-91b4caf0458c}"/>
        <w:style w:val=""/>
        <w:category>
          <w:name w:val="常规"/>
          <w:gallery w:val="placeholder"/>
        </w:category>
        <w:types>
          <w:type w:val="bbPlcHdr"/>
        </w:types>
        <w:behaviors>
          <w:behavior w:val="content"/>
        </w:behaviors>
        <w:description w:val=""/>
        <w:guid w:val="{710838e5-d033-4b33-b38e-91b4caf0458c}"/>
      </w:docPartPr>
      <w:docPartBody>
        <w:p>
          <w:r>
            <w:rPr>
              <w:color w:val="808080"/>
            </w:rPr>
            <w:t>单击此处输入文字。</w:t>
          </w:r>
        </w:p>
      </w:docPartBody>
    </w:docPart>
    <w:docPart>
      <w:docPartPr>
        <w:name w:val="{e10b68b2-1d96-48f4-9c97-830b1d307895}"/>
        <w:style w:val=""/>
        <w:category>
          <w:name w:val="常规"/>
          <w:gallery w:val="placeholder"/>
        </w:category>
        <w:types>
          <w:type w:val="bbPlcHdr"/>
        </w:types>
        <w:behaviors>
          <w:behavior w:val="content"/>
        </w:behaviors>
        <w:description w:val=""/>
        <w:guid w:val="{e10b68b2-1d96-48f4-9c97-830b1d307895}"/>
      </w:docPartPr>
      <w:docPartBody>
        <w:p>
          <w:r>
            <w:rPr>
              <w:color w:val="808080"/>
            </w:rPr>
            <w:t>单击此处输入文字。</w:t>
          </w:r>
        </w:p>
      </w:docPartBody>
    </w:docPart>
    <w:docPart>
      <w:docPartPr>
        <w:name w:val="{0affddb6-f796-4e34-b7c4-3fa9a320f497}"/>
        <w:style w:val=""/>
        <w:category>
          <w:name w:val="常规"/>
          <w:gallery w:val="placeholder"/>
        </w:category>
        <w:types>
          <w:type w:val="bbPlcHdr"/>
        </w:types>
        <w:behaviors>
          <w:behavior w:val="content"/>
        </w:behaviors>
        <w:description w:val=""/>
        <w:guid w:val="{0affddb6-f796-4e34-b7c4-3fa9a320f497}"/>
      </w:docPartPr>
      <w:docPartBody>
        <w:p>
          <w:r>
            <w:rPr>
              <w:color w:val="808080"/>
            </w:rPr>
            <w:t>单击此处输入文字。</w:t>
          </w:r>
        </w:p>
      </w:docPartBody>
    </w:docPart>
    <w:docPart>
      <w:docPartPr>
        <w:name w:val="{d8b94cbf-0350-4416-b850-c4039389a068}"/>
        <w:style w:val=""/>
        <w:category>
          <w:name w:val="常规"/>
          <w:gallery w:val="placeholder"/>
        </w:category>
        <w:types>
          <w:type w:val="bbPlcHdr"/>
        </w:types>
        <w:behaviors>
          <w:behavior w:val="content"/>
        </w:behaviors>
        <w:description w:val=""/>
        <w:guid w:val="{d8b94cbf-0350-4416-b850-c4039389a068}"/>
      </w:docPartPr>
      <w:docPartBody>
        <w:p>
          <w:r>
            <w:rPr>
              <w:color w:val="808080"/>
            </w:rPr>
            <w:t>单击此处输入文字。</w:t>
          </w:r>
        </w:p>
      </w:docPartBody>
    </w:docPart>
    <w:docPart>
      <w:docPartPr>
        <w:name w:val="{c881a18d-c0b2-4f82-8198-cc6131cb74a5}"/>
        <w:style w:val=""/>
        <w:category>
          <w:name w:val="常规"/>
          <w:gallery w:val="placeholder"/>
        </w:category>
        <w:types>
          <w:type w:val="bbPlcHdr"/>
        </w:types>
        <w:behaviors>
          <w:behavior w:val="content"/>
        </w:behaviors>
        <w:description w:val=""/>
        <w:guid w:val="{c881a18d-c0b2-4f82-8198-cc6131cb74a5}"/>
      </w:docPartPr>
      <w:docPartBody>
        <w:p>
          <w:r>
            <w:rPr>
              <w:color w:val="808080"/>
            </w:rPr>
            <w:t>单击此处输入文字。</w:t>
          </w:r>
        </w:p>
      </w:docPartBody>
    </w:docPart>
    <w:docPart>
      <w:docPartPr>
        <w:name w:val="{588e8ba0-7b63-4cf3-b6e1-41b8ee639432}"/>
        <w:style w:val=""/>
        <w:category>
          <w:name w:val="常规"/>
          <w:gallery w:val="placeholder"/>
        </w:category>
        <w:types>
          <w:type w:val="bbPlcHdr"/>
        </w:types>
        <w:behaviors>
          <w:behavior w:val="content"/>
        </w:behaviors>
        <w:description w:val=""/>
        <w:guid w:val="{588e8ba0-7b63-4cf3-b6e1-41b8ee639432}"/>
      </w:docPartPr>
      <w:docPartBody>
        <w:p>
          <w:r>
            <w:rPr>
              <w:color w:val="808080"/>
            </w:rPr>
            <w:t>单击此处输入文字。</w:t>
          </w:r>
        </w:p>
      </w:docPartBody>
    </w:docPart>
    <w:docPart>
      <w:docPartPr>
        <w:name w:val="{60c93292-32fc-4be3-9215-b440708b8bbc}"/>
        <w:style w:val=""/>
        <w:category>
          <w:name w:val="常规"/>
          <w:gallery w:val="placeholder"/>
        </w:category>
        <w:types>
          <w:type w:val="bbPlcHdr"/>
        </w:types>
        <w:behaviors>
          <w:behavior w:val="content"/>
        </w:behaviors>
        <w:description w:val=""/>
        <w:guid w:val="{60c93292-32fc-4be3-9215-b440708b8bbc}"/>
      </w:docPartPr>
      <w:docPartBody>
        <w:p>
          <w:r>
            <w:rPr>
              <w:color w:val="808080"/>
            </w:rPr>
            <w:t>单击此处输入文字。</w:t>
          </w:r>
        </w:p>
      </w:docPartBody>
    </w:docPart>
    <w:docPart>
      <w:docPartPr>
        <w:name w:val="{a6e2866c-a60e-4961-9500-1284efbc11f6}"/>
        <w:style w:val=""/>
        <w:category>
          <w:name w:val="常规"/>
          <w:gallery w:val="placeholder"/>
        </w:category>
        <w:types>
          <w:type w:val="bbPlcHdr"/>
        </w:types>
        <w:behaviors>
          <w:behavior w:val="content"/>
        </w:behaviors>
        <w:description w:val=""/>
        <w:guid w:val="{a6e2866c-a60e-4961-9500-1284efbc11f6}"/>
      </w:docPartPr>
      <w:docPartBody>
        <w:p>
          <w:r>
            <w:rPr>
              <w:color w:val="808080"/>
            </w:rPr>
            <w:t>单击此处输入文字。</w:t>
          </w:r>
        </w:p>
      </w:docPartBody>
    </w:docPart>
    <w:docPart>
      <w:docPartPr>
        <w:name w:val="{02ee9d17-8d4b-4d1d-a407-f36ce4903f02}"/>
        <w:style w:val=""/>
        <w:category>
          <w:name w:val="常规"/>
          <w:gallery w:val="placeholder"/>
        </w:category>
        <w:types>
          <w:type w:val="bbPlcHdr"/>
        </w:types>
        <w:behaviors>
          <w:behavior w:val="content"/>
        </w:behaviors>
        <w:description w:val=""/>
        <w:guid w:val="{02ee9d17-8d4b-4d1d-a407-f36ce4903f02}"/>
      </w:docPartPr>
      <w:docPartBody>
        <w:p>
          <w:r>
            <w:rPr>
              <w:color w:val="808080"/>
            </w:rPr>
            <w:t>单击此处输入文字。</w:t>
          </w:r>
        </w:p>
      </w:docPartBody>
    </w:docPart>
    <w:docPart>
      <w:docPartPr>
        <w:name w:val="{8fc3afa2-77f1-4541-9006-76e520f5304a}"/>
        <w:style w:val=""/>
        <w:category>
          <w:name w:val="常规"/>
          <w:gallery w:val="placeholder"/>
        </w:category>
        <w:types>
          <w:type w:val="bbPlcHdr"/>
        </w:types>
        <w:behaviors>
          <w:behavior w:val="content"/>
        </w:behaviors>
        <w:description w:val=""/>
        <w:guid w:val="{8fc3afa2-77f1-4541-9006-76e520f5304a}"/>
      </w:docPartPr>
      <w:docPartBody>
        <w:p>
          <w:r>
            <w:rPr>
              <w:color w:val="808080"/>
            </w:rPr>
            <w:t>单击此处输入文字。</w:t>
          </w:r>
        </w:p>
      </w:docPartBody>
    </w:docPart>
    <w:docPart>
      <w:docPartPr>
        <w:name w:val="{049aeb04-2db1-43c8-b568-4ca7ca86319a}"/>
        <w:style w:val=""/>
        <w:category>
          <w:name w:val="常规"/>
          <w:gallery w:val="placeholder"/>
        </w:category>
        <w:types>
          <w:type w:val="bbPlcHdr"/>
        </w:types>
        <w:behaviors>
          <w:behavior w:val="content"/>
        </w:behaviors>
        <w:description w:val=""/>
        <w:guid w:val="{049aeb04-2db1-43c8-b568-4ca7ca86319a}"/>
      </w:docPartPr>
      <w:docPartBody>
        <w:p>
          <w:r>
            <w:rPr>
              <w:color w:val="808080"/>
            </w:rPr>
            <w:t>单击此处输入文字。</w:t>
          </w:r>
        </w:p>
      </w:docPartBody>
    </w:docPart>
    <w:docPart>
      <w:docPartPr>
        <w:name w:val="{c35d3701-146a-4731-b9c3-50724d71d1a4}"/>
        <w:style w:val=""/>
        <w:category>
          <w:name w:val="常规"/>
          <w:gallery w:val="placeholder"/>
        </w:category>
        <w:types>
          <w:type w:val="bbPlcHdr"/>
        </w:types>
        <w:behaviors>
          <w:behavior w:val="content"/>
        </w:behaviors>
        <w:description w:val=""/>
        <w:guid w:val="{c35d3701-146a-4731-b9c3-50724d71d1a4}"/>
      </w:docPartPr>
      <w:docPartBody>
        <w:p>
          <w:r>
            <w:rPr>
              <w:color w:val="808080"/>
            </w:rPr>
            <w:t>单击此处输入文字。</w:t>
          </w:r>
        </w:p>
      </w:docPartBody>
    </w:docPart>
    <w:docPart>
      <w:docPartPr>
        <w:name w:val="{6793ee70-3e9b-4a39-ab97-c28f08f02223}"/>
        <w:style w:val=""/>
        <w:category>
          <w:name w:val="常规"/>
          <w:gallery w:val="placeholder"/>
        </w:category>
        <w:types>
          <w:type w:val="bbPlcHdr"/>
        </w:types>
        <w:behaviors>
          <w:behavior w:val="content"/>
        </w:behaviors>
        <w:description w:val=""/>
        <w:guid w:val="{6793ee70-3e9b-4a39-ab97-c28f08f02223}"/>
      </w:docPartPr>
      <w:docPartBody>
        <w:p>
          <w:r>
            <w:rPr>
              <w:color w:val="808080"/>
            </w:rPr>
            <w:t>单击此处输入文字。</w:t>
          </w:r>
        </w:p>
      </w:docPartBody>
    </w:docPart>
    <w:docPart>
      <w:docPartPr>
        <w:name w:val="{144e25cf-7161-4618-b101-442556079ba9}"/>
        <w:style w:val=""/>
        <w:category>
          <w:name w:val="常规"/>
          <w:gallery w:val="placeholder"/>
        </w:category>
        <w:types>
          <w:type w:val="bbPlcHdr"/>
        </w:types>
        <w:behaviors>
          <w:behavior w:val="content"/>
        </w:behaviors>
        <w:description w:val=""/>
        <w:guid w:val="{144e25cf-7161-4618-b101-442556079ba9}"/>
      </w:docPartPr>
      <w:docPartBody>
        <w:p>
          <w:r>
            <w:rPr>
              <w:color w:val="808080"/>
            </w:rPr>
            <w:t>单击此处输入文字。</w:t>
          </w:r>
        </w:p>
      </w:docPartBody>
    </w:docPart>
    <w:docPart>
      <w:docPartPr>
        <w:name w:val="{783ad283-3ff6-4d8f-9496-47e242e87e29}"/>
        <w:style w:val=""/>
        <w:category>
          <w:name w:val="常规"/>
          <w:gallery w:val="placeholder"/>
        </w:category>
        <w:types>
          <w:type w:val="bbPlcHdr"/>
        </w:types>
        <w:behaviors>
          <w:behavior w:val="content"/>
        </w:behaviors>
        <w:description w:val=""/>
        <w:guid w:val="{783ad283-3ff6-4d8f-9496-47e242e87e29}"/>
      </w:docPartPr>
      <w:docPartBody>
        <w:p>
          <w:r>
            <w:rPr>
              <w:color w:val="808080"/>
            </w:rPr>
            <w:t>单击此处输入文字。</w:t>
          </w:r>
        </w:p>
      </w:docPartBody>
    </w:docPart>
    <w:docPart>
      <w:docPartPr>
        <w:name w:val="{8140d317-4618-4100-8a3b-3b6524f4f9a8}"/>
        <w:style w:val=""/>
        <w:category>
          <w:name w:val="常规"/>
          <w:gallery w:val="placeholder"/>
        </w:category>
        <w:types>
          <w:type w:val="bbPlcHdr"/>
        </w:types>
        <w:behaviors>
          <w:behavior w:val="content"/>
        </w:behaviors>
        <w:description w:val=""/>
        <w:guid w:val="{8140d317-4618-4100-8a3b-3b6524f4f9a8}"/>
      </w:docPartPr>
      <w:docPartBody>
        <w:p>
          <w:r>
            <w:rPr>
              <w:color w:val="808080"/>
            </w:rPr>
            <w:t>单击此处输入文字。</w:t>
          </w:r>
        </w:p>
      </w:docPartBody>
    </w:docPart>
    <w:docPart>
      <w:docPartPr>
        <w:name w:val="{db137e29-3dbc-4a2c-a0bf-3dcb36602743}"/>
        <w:style w:val=""/>
        <w:category>
          <w:name w:val="常规"/>
          <w:gallery w:val="placeholder"/>
        </w:category>
        <w:types>
          <w:type w:val="bbPlcHdr"/>
        </w:types>
        <w:behaviors>
          <w:behavior w:val="content"/>
        </w:behaviors>
        <w:description w:val=""/>
        <w:guid w:val="{db137e29-3dbc-4a2c-a0bf-3dcb36602743}"/>
      </w:docPartPr>
      <w:docPartBody>
        <w:p>
          <w:r>
            <w:rPr>
              <w:color w:val="808080"/>
            </w:rPr>
            <w:t>单击此处输入文字。</w:t>
          </w:r>
        </w:p>
      </w:docPartBody>
    </w:docPart>
    <w:docPart>
      <w:docPartPr>
        <w:name w:val="{0bd47fc8-9991-4b04-808e-b129262aacec}"/>
        <w:style w:val=""/>
        <w:category>
          <w:name w:val="常规"/>
          <w:gallery w:val="placeholder"/>
        </w:category>
        <w:types>
          <w:type w:val="bbPlcHdr"/>
        </w:types>
        <w:behaviors>
          <w:behavior w:val="content"/>
        </w:behaviors>
        <w:description w:val=""/>
        <w:guid w:val="{0bd47fc8-9991-4b04-808e-b129262aacec}"/>
      </w:docPartPr>
      <w:docPartBody>
        <w:p>
          <w:r>
            <w:rPr>
              <w:color w:val="808080"/>
            </w:rPr>
            <w:t>单击此处输入文字。</w:t>
          </w:r>
        </w:p>
      </w:docPartBody>
    </w:docPart>
    <w:docPart>
      <w:docPartPr>
        <w:name w:val="{9cce0626-f669-4904-9e6b-f27d25f69412}"/>
        <w:style w:val=""/>
        <w:category>
          <w:name w:val="常规"/>
          <w:gallery w:val="placeholder"/>
        </w:category>
        <w:types>
          <w:type w:val="bbPlcHdr"/>
        </w:types>
        <w:behaviors>
          <w:behavior w:val="content"/>
        </w:behaviors>
        <w:description w:val=""/>
        <w:guid w:val="{9cce0626-f669-4904-9e6b-f27d25f69412}"/>
      </w:docPartPr>
      <w:docPartBody>
        <w:p>
          <w:r>
            <w:rPr>
              <w:color w:val="808080"/>
            </w:rPr>
            <w:t>单击此处输入文字。</w:t>
          </w:r>
        </w:p>
      </w:docPartBody>
    </w:docPart>
    <w:docPart>
      <w:docPartPr>
        <w:name w:val="{43bd0bec-8dc5-47be-9a3d-e96e35445de6}"/>
        <w:style w:val=""/>
        <w:category>
          <w:name w:val="常规"/>
          <w:gallery w:val="placeholder"/>
        </w:category>
        <w:types>
          <w:type w:val="bbPlcHdr"/>
        </w:types>
        <w:behaviors>
          <w:behavior w:val="content"/>
        </w:behaviors>
        <w:description w:val=""/>
        <w:guid w:val="{43bd0bec-8dc5-47be-9a3d-e96e35445de6}"/>
      </w:docPartPr>
      <w:docPartBody>
        <w:p>
          <w:r>
            <w:rPr>
              <w:color w:val="808080"/>
            </w:rPr>
            <w:t>单击此处输入文字。</w:t>
          </w:r>
        </w:p>
      </w:docPartBody>
    </w:docPart>
    <w:docPart>
      <w:docPartPr>
        <w:name w:val="{4907b03e-5345-4873-8068-bb66e77db1b3}"/>
        <w:style w:val=""/>
        <w:category>
          <w:name w:val="常规"/>
          <w:gallery w:val="placeholder"/>
        </w:category>
        <w:types>
          <w:type w:val="bbPlcHdr"/>
        </w:types>
        <w:behaviors>
          <w:behavior w:val="content"/>
        </w:behaviors>
        <w:description w:val=""/>
        <w:guid w:val="{4907b03e-5345-4873-8068-bb66e77db1b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9C5D8-23D2-4D58-9C24-1FF25CE3587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92</Pages>
  <Words>7911</Words>
  <Characters>45097</Characters>
  <Lines>375</Lines>
  <Paragraphs>105</Paragraphs>
  <TotalTime>195</TotalTime>
  <ScaleCrop>false</ScaleCrop>
  <LinksUpToDate>false</LinksUpToDate>
  <CharactersWithSpaces>52903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2021-06-15T10:42:00Z</dcterms:created>
  <dc:creator>高文豪</dc:creator>
  <cp:lastModifiedBy>Administrator</cp:lastModifiedBy>
  <cp:lastPrinted>2021-06-16T08:13:00Z</cp:lastPrinted>
  <dcterms:modified xsi:type="dcterms:W3CDTF">2021-09-30T01:24:09Z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